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1F6B77" w14:paraId="4982DD4D" w14:textId="784BED49">
      <w:pPr>
        <w:jc w:val="center"/>
      </w:pPr>
      <w:r>
        <w:rPr>
          <w:noProof/>
        </w:rPr>
        <w:drawing>
          <wp:inline distT="0" distB="0" distL="0" distR="0" wp14:anchorId="6F9B0F08" wp14:editId="002721E5">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13DAF1F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6DEC9623">
      <w:pPr>
        <w:jc w:val="right"/>
      </w:pPr>
      <w:r>
        <w:t>Bruselas, 2 de diciembre de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F324F7" w14:paraId="4982DD59" w14:textId="77777777">
        <w:tc>
          <w:tcPr>
            <w:tcW w:w="9289" w:type="dxa"/>
            <w:tcBorders>
              <w:bottom w:val="double" w:color="auto" w:sz="4" w:space="0"/>
            </w:tcBorders>
          </w:tcPr>
          <w:p w:rsidR="003066BE" w:rsidP="00F324F7" w:rsidRDefault="00FF111E" w14:paraId="4982DD53" w14:textId="6EB57300">
            <w:pPr>
              <w:snapToGrid w:val="0"/>
              <w:jc w:val="center"/>
              <w:rPr>
                <w:b/>
                <w:sz w:val="32"/>
                <w:szCs w:val="32"/>
              </w:rPr>
            </w:pPr>
            <w:r>
              <w:rPr>
                <w:b/>
                <w:sz w:val="32"/>
              </w:rPr>
              <w:t>591.º PLENO</w:t>
            </w:r>
          </w:p>
          <w:p w:rsidR="003066BE" w:rsidP="00F324F7" w:rsidRDefault="003066BE" w14:paraId="4982DD54" w14:textId="77777777">
            <w:pPr>
              <w:snapToGrid w:val="0"/>
              <w:jc w:val="center"/>
              <w:rPr>
                <w:b/>
                <w:sz w:val="32"/>
                <w:szCs w:val="32"/>
              </w:rPr>
            </w:pPr>
          </w:p>
          <w:p w:rsidR="003066BE" w:rsidP="00F324F7" w:rsidRDefault="00FF111E" w14:paraId="4982DD55" w14:textId="0BF54A06">
            <w:pPr>
              <w:snapToGrid w:val="0"/>
              <w:jc w:val="center"/>
              <w:rPr>
                <w:b/>
                <w:sz w:val="32"/>
                <w:szCs w:val="32"/>
              </w:rPr>
            </w:pPr>
            <w:r>
              <w:rPr>
                <w:b/>
                <w:sz w:val="32"/>
              </w:rPr>
              <w:t>23 y 24 de octubre de 2024</w:t>
            </w:r>
          </w:p>
          <w:p w:rsidR="003066BE" w:rsidP="00F324F7" w:rsidRDefault="003066BE" w14:paraId="4982DD56" w14:textId="77777777">
            <w:pPr>
              <w:snapToGrid w:val="0"/>
              <w:jc w:val="center"/>
              <w:rPr>
                <w:b/>
                <w:sz w:val="32"/>
                <w:szCs w:val="32"/>
              </w:rPr>
            </w:pPr>
          </w:p>
          <w:p w:rsidRPr="0081153B" w:rsidR="004D7AC0" w:rsidP="00F324F7" w:rsidRDefault="00754027" w14:paraId="4982DD57" w14:textId="5A35E792">
            <w:pPr>
              <w:snapToGrid w:val="0"/>
              <w:jc w:val="center"/>
              <w:rPr>
                <w:rFonts w:eastAsia="MS Mincho"/>
                <w:b/>
                <w:sz w:val="32"/>
                <w:szCs w:val="32"/>
              </w:rPr>
            </w:pPr>
            <w:r>
              <w:rPr>
                <w:b/>
                <w:sz w:val="32"/>
              </w:rPr>
              <w:t>SÍNTESIS DE LOS DICTÁMENES Y RESOLUCIONES APROBADOS Y DE LOS INFORMES DE EVALUACIÓN</w:t>
            </w:r>
          </w:p>
          <w:p w:rsidR="004D7AC0" w:rsidP="00F324F7" w:rsidRDefault="004D7AC0" w14:paraId="4982DD58" w14:textId="77777777">
            <w:pPr>
              <w:snapToGrid w:val="0"/>
            </w:pPr>
          </w:p>
        </w:tc>
      </w:tr>
      <w:tr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F324F7" w:rsidRDefault="004D7AC0" w14:paraId="4982DD5A" w14:textId="2C2406D7">
            <w:pPr>
              <w:snapToGrid w:val="0"/>
              <w:jc w:val="center"/>
            </w:pPr>
            <w:r>
              <w:t xml:space="preserve">Este documento puede consultarse en todas las lenguas oficiales de la Unión Europea </w:t>
            </w:r>
            <w:r w:rsidR="00621CAD">
              <w:br/>
            </w:r>
            <w:r>
              <w:t xml:space="preserve">en el sitio internet del CESE en la siguiente dirección: </w:t>
            </w:r>
            <w:r>
              <w:br/>
            </w:r>
            <w:r>
              <w:br/>
            </w:r>
            <w:hyperlink w:history="1" r:id="rId13">
              <w:r>
                <w:rPr>
                  <w:rStyle w:val="Hyperlink"/>
                </w:rPr>
                <w:t>https://www.eesc.europa.eu/es/our-work/opinions-information-reports/plenary-session-summaries</w:t>
              </w:r>
            </w:hyperlink>
          </w:p>
          <w:p w:rsidRPr="0081153B" w:rsidR="004D7AC0" w:rsidP="00F324F7" w:rsidRDefault="004D7AC0" w14:paraId="4982DD5B" w14:textId="77777777">
            <w:pPr>
              <w:snapToGrid w:val="0"/>
              <w:jc w:val="center"/>
            </w:pPr>
          </w:p>
          <w:p w:rsidRPr="0081153B" w:rsidR="004D7AC0" w:rsidP="00F324F7" w:rsidRDefault="004D7AC0" w14:paraId="4982DD5C" w14:textId="77777777">
            <w:pPr>
              <w:snapToGrid w:val="0"/>
              <w:jc w:val="center"/>
              <w:rPr>
                <w:rFonts w:eastAsia="SimSun"/>
              </w:rPr>
            </w:pPr>
          </w:p>
          <w:p w:rsidRPr="00044561" w:rsidR="004D7AC0" w:rsidP="00F324F7" w:rsidRDefault="004D7AC0" w14:paraId="4982DD5D" w14:textId="15D4DB11">
            <w:pPr>
              <w:snapToGrid w:val="0"/>
              <w:jc w:val="center"/>
            </w:pPr>
            <w:r>
              <w:t xml:space="preserve">Los dictámenes mencionados pueden consultarse en línea </w:t>
            </w:r>
            <w:r>
              <w:br/>
              <w:t>utilizando el motor de búsqueda del CESE:</w:t>
            </w:r>
            <w:r>
              <w:br/>
            </w:r>
            <w:r>
              <w:br/>
            </w:r>
            <w:hyperlink w:history="1" r:id="rId14">
              <w:r>
                <w:rPr>
                  <w:rStyle w:val="Hyperlink"/>
                </w:rPr>
                <w:t>https://dmsearch.eesc.europa.eu/search/opinion</w:t>
              </w:r>
            </w:hyperlink>
          </w:p>
          <w:p w:rsidRPr="00044561" w:rsidR="004D7AC0" w:rsidP="00F324F7"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34751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Índice:</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noProof/>
        </w:rPr>
      </w:sdtEndPr>
      <w:sdtContent>
        <w:p w:rsidRPr="00A81AFE" w:rsidR="004D7AC0" w:rsidP="000F216A" w:rsidRDefault="004D7AC0" w14:paraId="4982DD64" w14:textId="77777777">
          <w:pPr>
            <w:pStyle w:val="TOCHeading"/>
            <w:keepNext w:val="0"/>
            <w:keepLines w:val="0"/>
            <w:pageBreakBefore w:val="0"/>
          </w:pPr>
        </w:p>
        <w:p w:rsidR="00544A40" w:rsidRDefault="007E03C9" w14:paraId="39E9F91A" w14:textId="77B79773">
          <w:pPr>
            <w:pStyle w:val="TOC1"/>
            <w:tabs>
              <w:tab w:val="left" w:pos="440"/>
              <w:tab w:val="right" w:leader="dot" w:pos="9488"/>
            </w:tabs>
            <w:rPr>
              <w:rFonts w:asciiTheme="minorHAnsi" w:hAnsiTheme="minorHAnsi" w:eastAsiaTheme="minorEastAsia" w:cstheme="minorBidi"/>
              <w:noProof/>
              <w:lang w:val="en-US"/>
            </w:rPr>
          </w:pPr>
          <w:r>
            <w:rPr>
              <w:b/>
            </w:rPr>
            <w:fldChar w:fldCharType="begin"/>
          </w:r>
          <w:r>
            <w:rPr>
              <w:b/>
            </w:rPr>
            <w:instrText xml:space="preserve"> TOC \o "1-1" \h \z \u </w:instrText>
          </w:r>
          <w:r>
            <w:rPr>
              <w:b/>
            </w:rPr>
            <w:fldChar w:fldCharType="separate"/>
          </w:r>
          <w:hyperlink w:history="1" w:anchor="_Toc182565779">
            <w:r w:rsidRPr="004A677D" w:rsidR="00544A40">
              <w:rPr>
                <w:rStyle w:val="Hyperlink"/>
                <w:noProof/>
              </w:rPr>
              <w:t>1.</w:t>
            </w:r>
            <w:r w:rsidR="00544A40">
              <w:rPr>
                <w:rFonts w:asciiTheme="minorHAnsi" w:hAnsiTheme="minorHAnsi" w:eastAsiaTheme="minorEastAsia" w:cstheme="minorBidi"/>
                <w:noProof/>
                <w:lang w:val="en-US"/>
              </w:rPr>
              <w:tab/>
            </w:r>
            <w:r w:rsidRPr="004A677D" w:rsidR="00544A40">
              <w:rPr>
                <w:rStyle w:val="Hyperlink"/>
                <w:noProof/>
              </w:rPr>
              <w:t>UNIÓN ECONÓMICA Y MONETARIA Y COHESIÓN ECONÓMICA Y SOCIAL</w:t>
            </w:r>
            <w:r w:rsidR="00544A40">
              <w:rPr>
                <w:noProof/>
                <w:webHidden/>
              </w:rPr>
              <w:tab/>
            </w:r>
            <w:r w:rsidR="00544A40">
              <w:rPr>
                <w:noProof/>
                <w:webHidden/>
              </w:rPr>
              <w:fldChar w:fldCharType="begin"/>
            </w:r>
            <w:r w:rsidR="00544A40">
              <w:rPr>
                <w:noProof/>
                <w:webHidden/>
              </w:rPr>
              <w:instrText xml:space="preserve"> PAGEREF _Toc182565779 \h </w:instrText>
            </w:r>
            <w:r w:rsidR="00544A40">
              <w:rPr>
                <w:noProof/>
                <w:webHidden/>
              </w:rPr>
            </w:r>
            <w:r w:rsidR="00544A40">
              <w:rPr>
                <w:noProof/>
                <w:webHidden/>
              </w:rPr>
              <w:fldChar w:fldCharType="separate"/>
            </w:r>
            <w:r w:rsidR="007C1BEC">
              <w:rPr>
                <w:noProof/>
                <w:webHidden/>
              </w:rPr>
              <w:t>3</w:t>
            </w:r>
            <w:r w:rsidR="00544A40">
              <w:rPr>
                <w:noProof/>
                <w:webHidden/>
              </w:rPr>
              <w:fldChar w:fldCharType="end"/>
            </w:r>
          </w:hyperlink>
        </w:p>
        <w:p w:rsidR="00544A40" w:rsidRDefault="00F22A9C" w14:paraId="60062512" w14:textId="221249A5">
          <w:pPr>
            <w:pStyle w:val="TOC1"/>
            <w:tabs>
              <w:tab w:val="left" w:pos="440"/>
              <w:tab w:val="right" w:leader="dot" w:pos="9488"/>
            </w:tabs>
            <w:rPr>
              <w:rFonts w:asciiTheme="minorHAnsi" w:hAnsiTheme="minorHAnsi" w:eastAsiaTheme="minorEastAsia" w:cstheme="minorBidi"/>
              <w:noProof/>
              <w:lang w:val="en-US"/>
            </w:rPr>
          </w:pPr>
          <w:hyperlink w:history="1" w:anchor="_Toc182565780">
            <w:r w:rsidRPr="004A677D" w:rsidR="00544A40">
              <w:rPr>
                <w:rStyle w:val="Hyperlink"/>
                <w:noProof/>
              </w:rPr>
              <w:t>2.</w:t>
            </w:r>
            <w:r w:rsidR="00544A40">
              <w:rPr>
                <w:rFonts w:asciiTheme="minorHAnsi" w:hAnsiTheme="minorHAnsi" w:eastAsiaTheme="minorEastAsia" w:cstheme="minorBidi"/>
                <w:noProof/>
                <w:lang w:val="en-US"/>
              </w:rPr>
              <w:tab/>
            </w:r>
            <w:r w:rsidRPr="004A677D" w:rsidR="00544A40">
              <w:rPr>
                <w:rStyle w:val="Hyperlink"/>
                <w:noProof/>
              </w:rPr>
              <w:t>EMPLEO, ASUNTOS SOCIALES Y CIUDADANÍA</w:t>
            </w:r>
            <w:r w:rsidR="00544A40">
              <w:rPr>
                <w:noProof/>
                <w:webHidden/>
              </w:rPr>
              <w:tab/>
            </w:r>
            <w:r w:rsidR="00544A40">
              <w:rPr>
                <w:noProof/>
                <w:webHidden/>
              </w:rPr>
              <w:fldChar w:fldCharType="begin"/>
            </w:r>
            <w:r w:rsidR="00544A40">
              <w:rPr>
                <w:noProof/>
                <w:webHidden/>
              </w:rPr>
              <w:instrText xml:space="preserve"> PAGEREF _Toc182565780 \h </w:instrText>
            </w:r>
            <w:r w:rsidR="00544A40">
              <w:rPr>
                <w:noProof/>
                <w:webHidden/>
              </w:rPr>
            </w:r>
            <w:r w:rsidR="00544A40">
              <w:rPr>
                <w:noProof/>
                <w:webHidden/>
              </w:rPr>
              <w:fldChar w:fldCharType="separate"/>
            </w:r>
            <w:r w:rsidR="007C1BEC">
              <w:rPr>
                <w:noProof/>
                <w:webHidden/>
              </w:rPr>
              <w:t>7</w:t>
            </w:r>
            <w:r w:rsidR="00544A40">
              <w:rPr>
                <w:noProof/>
                <w:webHidden/>
              </w:rPr>
              <w:fldChar w:fldCharType="end"/>
            </w:r>
          </w:hyperlink>
        </w:p>
        <w:p w:rsidR="00544A40" w:rsidRDefault="00F22A9C" w14:paraId="66C92071" w14:textId="3D3DA361">
          <w:pPr>
            <w:pStyle w:val="TOC1"/>
            <w:tabs>
              <w:tab w:val="left" w:pos="440"/>
              <w:tab w:val="right" w:leader="dot" w:pos="9488"/>
            </w:tabs>
            <w:rPr>
              <w:rFonts w:asciiTheme="minorHAnsi" w:hAnsiTheme="minorHAnsi" w:eastAsiaTheme="minorEastAsia" w:cstheme="minorBidi"/>
              <w:noProof/>
              <w:lang w:val="en-US"/>
            </w:rPr>
          </w:pPr>
          <w:hyperlink w:history="1" w:anchor="_Toc182565781">
            <w:r w:rsidRPr="004A677D" w:rsidR="00544A40">
              <w:rPr>
                <w:rStyle w:val="Hyperlink"/>
                <w:noProof/>
              </w:rPr>
              <w:t>3.</w:t>
            </w:r>
            <w:r w:rsidR="00544A40">
              <w:rPr>
                <w:rFonts w:asciiTheme="minorHAnsi" w:hAnsiTheme="minorHAnsi" w:eastAsiaTheme="minorEastAsia" w:cstheme="minorBidi"/>
                <w:noProof/>
                <w:lang w:val="en-US"/>
              </w:rPr>
              <w:tab/>
            </w:r>
            <w:r w:rsidRPr="004A677D" w:rsidR="00544A40">
              <w:rPr>
                <w:rStyle w:val="Hyperlink"/>
                <w:noProof/>
              </w:rPr>
              <w:t>TRANSPORTE, ENERGÍA, INFRAESTRUCTURAS Y SOCIEDAD DE LA INFORMACIÓN</w:t>
            </w:r>
            <w:r w:rsidR="00544A40">
              <w:rPr>
                <w:noProof/>
                <w:webHidden/>
              </w:rPr>
              <w:tab/>
            </w:r>
            <w:r w:rsidR="00544A40">
              <w:rPr>
                <w:noProof/>
                <w:webHidden/>
              </w:rPr>
              <w:fldChar w:fldCharType="begin"/>
            </w:r>
            <w:r w:rsidR="00544A40">
              <w:rPr>
                <w:noProof/>
                <w:webHidden/>
              </w:rPr>
              <w:instrText xml:space="preserve"> PAGEREF _Toc182565781 \h </w:instrText>
            </w:r>
            <w:r w:rsidR="00544A40">
              <w:rPr>
                <w:noProof/>
                <w:webHidden/>
              </w:rPr>
            </w:r>
            <w:r w:rsidR="00544A40">
              <w:rPr>
                <w:noProof/>
                <w:webHidden/>
              </w:rPr>
              <w:fldChar w:fldCharType="separate"/>
            </w:r>
            <w:r w:rsidR="007C1BEC">
              <w:rPr>
                <w:noProof/>
                <w:webHidden/>
              </w:rPr>
              <w:t>13</w:t>
            </w:r>
            <w:r w:rsidR="00544A40">
              <w:rPr>
                <w:noProof/>
                <w:webHidden/>
              </w:rPr>
              <w:fldChar w:fldCharType="end"/>
            </w:r>
          </w:hyperlink>
        </w:p>
        <w:p w:rsidR="00544A40" w:rsidRDefault="00F22A9C" w14:paraId="4CEE8763" w14:textId="38906184">
          <w:pPr>
            <w:pStyle w:val="TOC1"/>
            <w:tabs>
              <w:tab w:val="left" w:pos="440"/>
              <w:tab w:val="right" w:leader="dot" w:pos="9488"/>
            </w:tabs>
            <w:rPr>
              <w:rFonts w:asciiTheme="minorHAnsi" w:hAnsiTheme="minorHAnsi" w:eastAsiaTheme="minorEastAsia" w:cstheme="minorBidi"/>
              <w:noProof/>
              <w:lang w:val="en-US"/>
            </w:rPr>
          </w:pPr>
          <w:hyperlink w:history="1" w:anchor="_Toc182565782">
            <w:r w:rsidRPr="004A677D" w:rsidR="00544A40">
              <w:rPr>
                <w:rStyle w:val="Hyperlink"/>
                <w:noProof/>
              </w:rPr>
              <w:t>4.</w:t>
            </w:r>
            <w:r w:rsidR="00544A40">
              <w:rPr>
                <w:rFonts w:asciiTheme="minorHAnsi" w:hAnsiTheme="minorHAnsi" w:eastAsiaTheme="minorEastAsia" w:cstheme="minorBidi"/>
                <w:noProof/>
                <w:lang w:val="en-US"/>
              </w:rPr>
              <w:tab/>
            </w:r>
            <w:r w:rsidRPr="004A677D" w:rsidR="00544A40">
              <w:rPr>
                <w:rStyle w:val="Hyperlink"/>
                <w:noProof/>
              </w:rPr>
              <w:t>MERCADO ÚNICO, PRODUCCIÓN Y CONSUMO</w:t>
            </w:r>
            <w:r w:rsidR="00544A40">
              <w:rPr>
                <w:noProof/>
                <w:webHidden/>
              </w:rPr>
              <w:tab/>
            </w:r>
            <w:r w:rsidR="00544A40">
              <w:rPr>
                <w:noProof/>
                <w:webHidden/>
              </w:rPr>
              <w:fldChar w:fldCharType="begin"/>
            </w:r>
            <w:r w:rsidR="00544A40">
              <w:rPr>
                <w:noProof/>
                <w:webHidden/>
              </w:rPr>
              <w:instrText xml:space="preserve"> PAGEREF _Toc182565782 \h </w:instrText>
            </w:r>
            <w:r w:rsidR="00544A40">
              <w:rPr>
                <w:noProof/>
                <w:webHidden/>
              </w:rPr>
            </w:r>
            <w:r w:rsidR="00544A40">
              <w:rPr>
                <w:noProof/>
                <w:webHidden/>
              </w:rPr>
              <w:fldChar w:fldCharType="separate"/>
            </w:r>
            <w:r w:rsidR="007C1BEC">
              <w:rPr>
                <w:noProof/>
                <w:webHidden/>
              </w:rPr>
              <w:t>15</w:t>
            </w:r>
            <w:r w:rsidR="00544A40">
              <w:rPr>
                <w:noProof/>
                <w:webHidden/>
              </w:rPr>
              <w:fldChar w:fldCharType="end"/>
            </w:r>
          </w:hyperlink>
        </w:p>
        <w:p w:rsidR="00544A40" w:rsidRDefault="00F22A9C" w14:paraId="75CCAFDD" w14:textId="2CC85BB0">
          <w:pPr>
            <w:pStyle w:val="TOC1"/>
            <w:tabs>
              <w:tab w:val="left" w:pos="440"/>
              <w:tab w:val="right" w:leader="dot" w:pos="9488"/>
            </w:tabs>
            <w:rPr>
              <w:rFonts w:asciiTheme="minorHAnsi" w:hAnsiTheme="minorHAnsi" w:eastAsiaTheme="minorEastAsia" w:cstheme="minorBidi"/>
              <w:noProof/>
              <w:lang w:val="en-US"/>
            </w:rPr>
          </w:pPr>
          <w:hyperlink w:history="1" w:anchor="_Toc182565783">
            <w:r w:rsidRPr="004A677D" w:rsidR="00544A40">
              <w:rPr>
                <w:rStyle w:val="Hyperlink"/>
                <w:noProof/>
              </w:rPr>
              <w:t>5.</w:t>
            </w:r>
            <w:r w:rsidR="00544A40">
              <w:rPr>
                <w:rFonts w:asciiTheme="minorHAnsi" w:hAnsiTheme="minorHAnsi" w:eastAsiaTheme="minorEastAsia" w:cstheme="minorBidi"/>
                <w:noProof/>
                <w:lang w:val="en-US"/>
              </w:rPr>
              <w:tab/>
            </w:r>
            <w:r w:rsidRPr="004A677D" w:rsidR="00544A40">
              <w:rPr>
                <w:rStyle w:val="Hyperlink"/>
                <w:noProof/>
              </w:rPr>
              <w:t>AGRICULTURA, DESARROLLO RURAL Y MEDIO AMBIENTE</w:t>
            </w:r>
            <w:r w:rsidR="00544A40">
              <w:rPr>
                <w:noProof/>
                <w:webHidden/>
              </w:rPr>
              <w:tab/>
            </w:r>
            <w:r w:rsidR="00544A40">
              <w:rPr>
                <w:noProof/>
                <w:webHidden/>
              </w:rPr>
              <w:fldChar w:fldCharType="begin"/>
            </w:r>
            <w:r w:rsidR="00544A40">
              <w:rPr>
                <w:noProof/>
                <w:webHidden/>
              </w:rPr>
              <w:instrText xml:space="preserve"> PAGEREF _Toc182565783 \h </w:instrText>
            </w:r>
            <w:r w:rsidR="00544A40">
              <w:rPr>
                <w:noProof/>
                <w:webHidden/>
              </w:rPr>
            </w:r>
            <w:r w:rsidR="00544A40">
              <w:rPr>
                <w:noProof/>
                <w:webHidden/>
              </w:rPr>
              <w:fldChar w:fldCharType="separate"/>
            </w:r>
            <w:r w:rsidR="007C1BEC">
              <w:rPr>
                <w:noProof/>
                <w:webHidden/>
              </w:rPr>
              <w:t>21</w:t>
            </w:r>
            <w:r w:rsidR="00544A40">
              <w:rPr>
                <w:noProof/>
                <w:webHidden/>
              </w:rPr>
              <w:fldChar w:fldCharType="end"/>
            </w:r>
          </w:hyperlink>
        </w:p>
        <w:p w:rsidR="00544A40" w:rsidRDefault="00F22A9C" w14:paraId="48839564" w14:textId="410072C3">
          <w:pPr>
            <w:pStyle w:val="TOC1"/>
            <w:tabs>
              <w:tab w:val="left" w:pos="440"/>
              <w:tab w:val="right" w:leader="dot" w:pos="9488"/>
            </w:tabs>
            <w:rPr>
              <w:rFonts w:asciiTheme="minorHAnsi" w:hAnsiTheme="minorHAnsi" w:eastAsiaTheme="minorEastAsia" w:cstheme="minorBidi"/>
              <w:noProof/>
              <w:lang w:val="en-US"/>
            </w:rPr>
          </w:pPr>
          <w:hyperlink w:history="1" w:anchor="_Toc182565784">
            <w:r w:rsidRPr="004A677D" w:rsidR="00544A40">
              <w:rPr>
                <w:rStyle w:val="Hyperlink"/>
                <w:noProof/>
              </w:rPr>
              <w:t>6.</w:t>
            </w:r>
            <w:r w:rsidR="00544A40">
              <w:rPr>
                <w:rFonts w:asciiTheme="minorHAnsi" w:hAnsiTheme="minorHAnsi" w:eastAsiaTheme="minorEastAsia" w:cstheme="minorBidi"/>
                <w:noProof/>
                <w:lang w:val="en-US"/>
              </w:rPr>
              <w:tab/>
            </w:r>
            <w:r w:rsidRPr="004A677D" w:rsidR="00544A40">
              <w:rPr>
                <w:rStyle w:val="Hyperlink"/>
                <w:noProof/>
              </w:rPr>
              <w:t>RELACIONES EXTERIORES</w:t>
            </w:r>
            <w:r w:rsidR="00544A40">
              <w:rPr>
                <w:noProof/>
                <w:webHidden/>
              </w:rPr>
              <w:tab/>
            </w:r>
            <w:r w:rsidR="00544A40">
              <w:rPr>
                <w:noProof/>
                <w:webHidden/>
              </w:rPr>
              <w:fldChar w:fldCharType="begin"/>
            </w:r>
            <w:r w:rsidR="00544A40">
              <w:rPr>
                <w:noProof/>
                <w:webHidden/>
              </w:rPr>
              <w:instrText xml:space="preserve"> PAGEREF _Toc182565784 \h </w:instrText>
            </w:r>
            <w:r w:rsidR="00544A40">
              <w:rPr>
                <w:noProof/>
                <w:webHidden/>
              </w:rPr>
            </w:r>
            <w:r w:rsidR="00544A40">
              <w:rPr>
                <w:noProof/>
                <w:webHidden/>
              </w:rPr>
              <w:fldChar w:fldCharType="separate"/>
            </w:r>
            <w:r w:rsidR="007C1BEC">
              <w:rPr>
                <w:noProof/>
                <w:webHidden/>
              </w:rPr>
              <w:t>25</w:t>
            </w:r>
            <w:r w:rsidR="00544A40">
              <w:rPr>
                <w:noProof/>
                <w:webHidden/>
              </w:rPr>
              <w:fldChar w:fldCharType="end"/>
            </w:r>
          </w:hyperlink>
        </w:p>
        <w:p w:rsidR="00544A40" w:rsidRDefault="00F22A9C" w14:paraId="7B06EA93" w14:textId="24DB22A9">
          <w:pPr>
            <w:pStyle w:val="TOC1"/>
            <w:tabs>
              <w:tab w:val="left" w:pos="440"/>
              <w:tab w:val="right" w:leader="dot" w:pos="9488"/>
            </w:tabs>
            <w:rPr>
              <w:rFonts w:asciiTheme="minorHAnsi" w:hAnsiTheme="minorHAnsi" w:eastAsiaTheme="minorEastAsia" w:cstheme="minorBidi"/>
              <w:noProof/>
              <w:lang w:val="en-US"/>
            </w:rPr>
          </w:pPr>
          <w:hyperlink w:history="1" w:anchor="_Toc182565785">
            <w:r w:rsidRPr="004A677D" w:rsidR="00544A40">
              <w:rPr>
                <w:rStyle w:val="Hyperlink"/>
                <w:noProof/>
              </w:rPr>
              <w:t>7.</w:t>
            </w:r>
            <w:r w:rsidR="00544A40">
              <w:rPr>
                <w:rFonts w:asciiTheme="minorHAnsi" w:hAnsiTheme="minorHAnsi" w:eastAsiaTheme="minorEastAsia" w:cstheme="minorBidi"/>
                <w:noProof/>
                <w:lang w:val="en-US"/>
              </w:rPr>
              <w:tab/>
            </w:r>
            <w:r w:rsidRPr="004A677D" w:rsidR="00544A40">
              <w:rPr>
                <w:rStyle w:val="Hyperlink"/>
                <w:noProof/>
              </w:rPr>
              <w:t>COMISIÓN CONSULTIVA DE LAS TRANSFORMACIONES INDUSTRIALES</w:t>
            </w:r>
            <w:r w:rsidR="00544A40">
              <w:rPr>
                <w:noProof/>
                <w:webHidden/>
              </w:rPr>
              <w:tab/>
            </w:r>
            <w:r w:rsidR="00544A40">
              <w:rPr>
                <w:noProof/>
                <w:webHidden/>
              </w:rPr>
              <w:fldChar w:fldCharType="begin"/>
            </w:r>
            <w:r w:rsidR="00544A40">
              <w:rPr>
                <w:noProof/>
                <w:webHidden/>
              </w:rPr>
              <w:instrText xml:space="preserve"> PAGEREF _Toc182565785 \h </w:instrText>
            </w:r>
            <w:r w:rsidR="00544A40">
              <w:rPr>
                <w:noProof/>
                <w:webHidden/>
              </w:rPr>
            </w:r>
            <w:r w:rsidR="00544A40">
              <w:rPr>
                <w:noProof/>
                <w:webHidden/>
              </w:rPr>
              <w:fldChar w:fldCharType="separate"/>
            </w:r>
            <w:r w:rsidR="007C1BEC">
              <w:rPr>
                <w:noProof/>
                <w:webHidden/>
              </w:rPr>
              <w:t>26</w:t>
            </w:r>
            <w:r w:rsidR="00544A40">
              <w:rPr>
                <w:noProof/>
                <w:webHidden/>
              </w:rPr>
              <w:fldChar w:fldCharType="end"/>
            </w:r>
          </w:hyperlink>
        </w:p>
        <w:p w:rsidR="004D7AC0" w:rsidRDefault="007E03C9" w14:paraId="4982DD6A" w14:textId="53621405">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2676D9" w:rsidRDefault="004D7AC0" w14:paraId="4982DD6D" w14:textId="77777777">
      <w:pPr>
        <w:pStyle w:val="Heading1"/>
        <w:spacing w:line="240" w:lineRule="auto"/>
      </w:pPr>
      <w:bookmarkStart w:name="_Toc182565779" w:id="0"/>
      <w:r>
        <w:lastRenderedPageBreak/>
        <w:t>UNIÓN ECONÓMICA Y MONETARIA Y COHESIÓN ECONÓMICA Y SOCIAL</w:t>
      </w:r>
      <w:bookmarkEnd w:id="0"/>
    </w:p>
    <w:p w:rsidR="004D7AC0" w:rsidP="002676D9" w:rsidRDefault="004D7AC0" w14:paraId="4982DD6E" w14:textId="14987209">
      <w:pPr>
        <w:spacing w:line="240" w:lineRule="auto"/>
      </w:pPr>
    </w:p>
    <w:p w:rsidRPr="000F216A" w:rsidR="007E03C9" w:rsidP="002676D9" w:rsidRDefault="00F22A9C" w14:paraId="375B8EA6" w14:textId="25BE3727">
      <w:pPr>
        <w:pStyle w:val="ListParagraph"/>
        <w:numPr>
          <w:ilvl w:val="0"/>
          <w:numId w:val="65"/>
        </w:numPr>
        <w:spacing w:line="276" w:lineRule="auto"/>
        <w:ind w:left="567" w:hanging="567"/>
        <w:rPr>
          <w:b/>
          <w:bCs/>
          <w:i/>
          <w:iCs/>
          <w:sz w:val="28"/>
          <w:szCs w:val="28"/>
        </w:rPr>
      </w:pPr>
      <w:hyperlink w:history="1" r:id="rId21">
        <w:r w:rsidR="007E03C9">
          <w:rPr>
            <w:rStyle w:val="Hyperlink"/>
            <w:b/>
            <w:i/>
            <w:sz w:val="28"/>
          </w:rPr>
          <w:t>Consideraciones adicionales sobre la política económica de la zona del euro en 2024</w:t>
        </w:r>
      </w:hyperlink>
    </w:p>
    <w:p w:rsidRPr="00FD7CAC" w:rsidR="00FD7CAC" w:rsidP="000F216A" w:rsidRDefault="00FD7CAC" w14:paraId="7705FD55" w14:textId="77777777">
      <w:pPr>
        <w:rPr>
          <w:rFonts w:eastAsia="Calibri"/>
          <w:sz w:val="16"/>
          <w:szCs w:val="16"/>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FD7CAC" w:rsidTr="00F324F7" w14:paraId="5CA452C6" w14:textId="77777777">
        <w:tc>
          <w:tcPr>
            <w:tcW w:w="1701" w:type="dxa"/>
          </w:tcPr>
          <w:p w:rsidRPr="000F216A" w:rsidR="00FD7CAC" w:rsidP="000F216A" w:rsidRDefault="00FD7CAC" w14:paraId="3BD4932A" w14:textId="77777777">
            <w:pPr>
              <w:tabs>
                <w:tab w:val="center" w:pos="284"/>
              </w:tabs>
              <w:spacing w:line="259" w:lineRule="auto"/>
              <w:ind w:left="266" w:hanging="266"/>
              <w:jc w:val="left"/>
              <w:rPr>
                <w:rFonts w:eastAsia="Calibri"/>
                <w:b/>
                <w:szCs w:val="24"/>
              </w:rPr>
            </w:pPr>
            <w:r>
              <w:rPr>
                <w:b/>
              </w:rPr>
              <w:t>Ponente</w:t>
            </w:r>
          </w:p>
        </w:tc>
        <w:tc>
          <w:tcPr>
            <w:tcW w:w="7088" w:type="dxa"/>
          </w:tcPr>
          <w:p w:rsidRPr="000F216A" w:rsidR="00FD7CAC" w:rsidP="000F216A" w:rsidRDefault="00FD7CAC" w14:paraId="651E7611" w14:textId="7A6C1BB9">
            <w:pPr>
              <w:tabs>
                <w:tab w:val="center" w:pos="284"/>
              </w:tabs>
              <w:spacing w:line="259" w:lineRule="auto"/>
              <w:ind w:left="266" w:hanging="266"/>
              <w:jc w:val="left"/>
              <w:rPr>
                <w:rFonts w:eastAsia="Calibri"/>
                <w:szCs w:val="24"/>
              </w:rPr>
            </w:pPr>
            <w:r>
              <w:t>Petru Sorin DANDEA (Grupo de Trabajadores – RO)</w:t>
            </w:r>
          </w:p>
        </w:tc>
      </w:tr>
      <w:tr w:rsidRPr="00946677" w:rsidR="00FD7CAC" w:rsidTr="00F324F7" w14:paraId="0830647B" w14:textId="77777777">
        <w:tc>
          <w:tcPr>
            <w:tcW w:w="8789" w:type="dxa"/>
            <w:gridSpan w:val="2"/>
          </w:tcPr>
          <w:p w:rsidRPr="000F216A" w:rsidR="00FD7CAC" w:rsidP="002676D9" w:rsidRDefault="00FD7CAC" w14:paraId="270865A6" w14:textId="77777777">
            <w:pPr>
              <w:tabs>
                <w:tab w:val="center" w:pos="284"/>
              </w:tabs>
              <w:spacing w:line="120" w:lineRule="auto"/>
              <w:ind w:left="266" w:hanging="266"/>
              <w:jc w:val="left"/>
              <w:rPr>
                <w:rFonts w:eastAsia="Calibri"/>
                <w:szCs w:val="24"/>
                <w:lang w:val="en-GB"/>
              </w:rPr>
            </w:pPr>
          </w:p>
        </w:tc>
      </w:tr>
      <w:tr w:rsidRPr="00946677" w:rsidR="00FD7CAC" w:rsidTr="00F324F7" w14:paraId="38CB5947" w14:textId="77777777">
        <w:tc>
          <w:tcPr>
            <w:tcW w:w="1701" w:type="dxa"/>
          </w:tcPr>
          <w:p w:rsidRPr="000F216A" w:rsidR="00FD7CAC" w:rsidP="000F216A" w:rsidRDefault="00FD7CAC" w14:paraId="438B67A0" w14:textId="77777777">
            <w:pPr>
              <w:tabs>
                <w:tab w:val="center" w:pos="284"/>
              </w:tabs>
              <w:spacing w:line="259" w:lineRule="auto"/>
              <w:ind w:left="266" w:hanging="266"/>
              <w:jc w:val="left"/>
              <w:rPr>
                <w:rFonts w:eastAsia="Calibri"/>
                <w:b/>
                <w:szCs w:val="24"/>
              </w:rPr>
            </w:pPr>
            <w:r>
              <w:rPr>
                <w:b/>
              </w:rPr>
              <w:t xml:space="preserve">Referencias </w:t>
            </w:r>
          </w:p>
        </w:tc>
        <w:tc>
          <w:tcPr>
            <w:tcW w:w="7088" w:type="dxa"/>
          </w:tcPr>
          <w:p w:rsidR="00FF6D64" w:rsidP="00946677" w:rsidRDefault="00FD7CAC" w14:paraId="3A9E20D9" w14:textId="77777777">
            <w:pPr>
              <w:tabs>
                <w:tab w:val="center" w:pos="284"/>
              </w:tabs>
              <w:spacing w:line="259" w:lineRule="auto"/>
              <w:jc w:val="left"/>
              <w:rPr>
                <w:rFonts w:eastAsia="Calibri"/>
                <w:szCs w:val="24"/>
              </w:rPr>
            </w:pPr>
            <w:r>
              <w:t>Dictamen de iniciativa</w:t>
            </w:r>
          </w:p>
          <w:p w:rsidRPr="000F216A" w:rsidR="00FD7CAC" w:rsidP="000F216A" w:rsidRDefault="00FD7CAC" w14:paraId="56132DA8" w14:textId="20707EAC">
            <w:pPr>
              <w:tabs>
                <w:tab w:val="center" w:pos="284"/>
              </w:tabs>
              <w:spacing w:line="259" w:lineRule="auto"/>
              <w:jc w:val="left"/>
              <w:rPr>
                <w:rFonts w:eastAsia="Calibri"/>
                <w:szCs w:val="24"/>
              </w:rPr>
            </w:pPr>
            <w:r>
              <w:t>EESC-2024-01524-00-00-AC</w:t>
            </w:r>
          </w:p>
        </w:tc>
      </w:tr>
    </w:tbl>
    <w:p w:rsidRPr="002676D9" w:rsidR="00FD7CAC" w:rsidP="002676D9" w:rsidRDefault="00FD7CAC" w14:paraId="6C2CCB10" w14:textId="77777777">
      <w:pPr>
        <w:keepNext/>
        <w:keepLines/>
        <w:tabs>
          <w:tab w:val="center" w:pos="284"/>
        </w:tabs>
        <w:spacing w:line="240" w:lineRule="auto"/>
        <w:ind w:left="266" w:hanging="266"/>
        <w:jc w:val="left"/>
        <w:rPr>
          <w:rFonts w:eastAsia="Calibri"/>
          <w:bCs/>
          <w:lang w:val="en-GB"/>
        </w:rPr>
      </w:pPr>
    </w:p>
    <w:p w:rsidR="00FD7CAC" w:rsidP="002676D9" w:rsidRDefault="00FD7CAC" w14:paraId="0D770F97" w14:textId="676387CC">
      <w:pPr>
        <w:keepNext/>
        <w:keepLines/>
        <w:tabs>
          <w:tab w:val="center" w:pos="284"/>
        </w:tabs>
        <w:spacing w:line="240" w:lineRule="auto"/>
        <w:ind w:left="266" w:hanging="266"/>
        <w:jc w:val="left"/>
        <w:rPr>
          <w:rFonts w:eastAsia="Calibri"/>
          <w:b/>
        </w:rPr>
      </w:pPr>
      <w:r>
        <w:rPr>
          <w:b/>
        </w:rPr>
        <w:t>Puntos clave</w:t>
      </w:r>
    </w:p>
    <w:p w:rsidR="00946677" w:rsidP="002676D9" w:rsidRDefault="00946677" w14:paraId="0F8B659E" w14:textId="77777777">
      <w:pPr>
        <w:spacing w:line="240" w:lineRule="auto"/>
        <w:rPr>
          <w:rFonts w:eastAsia="Calibri"/>
          <w:lang w:val="en-GB"/>
        </w:rPr>
      </w:pPr>
    </w:p>
    <w:p w:rsidR="00FD7CAC" w:rsidP="002676D9" w:rsidRDefault="00FD7CAC" w14:paraId="2B9DC130" w14:textId="496A56A9">
      <w:pPr>
        <w:spacing w:after="80" w:line="240" w:lineRule="auto"/>
        <w:rPr>
          <w:rFonts w:eastAsia="Calibri"/>
        </w:rPr>
      </w:pPr>
      <w:r>
        <w:t xml:space="preserve">El CESE: </w:t>
      </w:r>
    </w:p>
    <w:p w:rsidR="00946677" w:rsidP="002676D9" w:rsidRDefault="00FD7CAC" w14:paraId="2E84422A" w14:textId="16B846B5">
      <w:pPr>
        <w:numPr>
          <w:ilvl w:val="0"/>
          <w:numId w:val="28"/>
        </w:numPr>
        <w:spacing w:line="264" w:lineRule="auto"/>
        <w:ind w:left="284" w:hanging="284"/>
        <w:outlineLvl w:val="1"/>
      </w:pPr>
      <w:r>
        <w:t>considera que reforzar la coordinación fiscal entre los Estados miembros de la zona del euro es fundamental para garantizar una convergencia real al alza, la estabilidad y la resiliencia. Este refuerzo podría suponer una coordinación más estrecha de las políticas presupuestarias nacionales y se podría debatir también la posibilidad de contar con instrumentos fiscales comunes. En este sentido, el CESE considera demostrada la importancia de NextGenerationEU y recomienda que el futuro MFP incorpore instrumentos similares. Además, el CESE insta encarecidamente tanto a los Estados miembros como a la UE a encauzar los asuntos fiscales por la senda de la sostenibilidad y crear un margen de maniobra presupuestario de cara a futuras perturbaciones;</w:t>
      </w:r>
    </w:p>
    <w:p w:rsidRPr="00946677" w:rsidR="00FD7CAC" w:rsidP="002676D9" w:rsidRDefault="00FD7CAC" w14:paraId="1FBCE494" w14:textId="5A529E00">
      <w:pPr>
        <w:numPr>
          <w:ilvl w:val="0"/>
          <w:numId w:val="28"/>
        </w:numPr>
        <w:spacing w:line="264" w:lineRule="auto"/>
        <w:ind w:left="284" w:hanging="284"/>
        <w:outlineLvl w:val="1"/>
      </w:pPr>
      <w:r>
        <w:t>considera prioritaria la culminación de la unión de los mercados de capitales. Las pequeñas dimensiones y la fragmentación de los mercados de capitales de la UE están provocando la migración de los inversores a otros mercados mundiales, en especial al de los Estados Unidos. No obstante, serán fundamentales la estabilidad de los mercados financieros y la protección integral de los consumidores;</w:t>
      </w:r>
    </w:p>
    <w:p w:rsidRPr="00946677" w:rsidR="00FD7CAC" w:rsidP="002676D9" w:rsidRDefault="00FD7CAC" w14:paraId="2C99D7A3" w14:textId="77777777">
      <w:pPr>
        <w:numPr>
          <w:ilvl w:val="0"/>
          <w:numId w:val="28"/>
        </w:numPr>
        <w:spacing w:line="264" w:lineRule="auto"/>
        <w:ind w:left="284" w:hanging="284"/>
        <w:outlineLvl w:val="1"/>
      </w:pPr>
      <w:r>
        <w:t xml:space="preserve">considera que la culminación de la unión bancaria debe ser una prioridad en el nuevo mandato de la Comisión Europea, ya que las diferencias en las normas y prácticas bancarias vigentes en los Estados miembros provocan fragmentación en las finanzas e impiden una movilización eficaz de los recursos financieros, especialmente en lo que se refiere a la financiación de importantes proyectos de infraestructura a escala europea; </w:t>
      </w:r>
    </w:p>
    <w:p w:rsidRPr="00946677" w:rsidR="00FD7CAC" w:rsidP="002676D9" w:rsidRDefault="00FD7CAC" w14:paraId="24F241D6" w14:textId="77777777">
      <w:pPr>
        <w:numPr>
          <w:ilvl w:val="0"/>
          <w:numId w:val="28"/>
        </w:numPr>
        <w:spacing w:line="264" w:lineRule="auto"/>
        <w:ind w:left="284" w:hanging="284"/>
        <w:outlineLvl w:val="1"/>
      </w:pPr>
      <w:r>
        <w:t>cree que debe desarrollarse un plan de medidas para acelerar la convergencia real, y que la política de cohesión debe seguir ocupando un lugar central en el MFP;</w:t>
      </w:r>
    </w:p>
    <w:p w:rsidRPr="00946677" w:rsidR="00FD7CAC" w:rsidP="002676D9" w:rsidRDefault="00FD7CAC" w14:paraId="7CD47C5D" w14:textId="493F8ACE">
      <w:pPr>
        <w:numPr>
          <w:ilvl w:val="0"/>
          <w:numId w:val="28"/>
        </w:numPr>
        <w:spacing w:line="264" w:lineRule="auto"/>
        <w:ind w:left="284" w:hanging="284"/>
        <w:outlineLvl w:val="1"/>
      </w:pPr>
      <w:r>
        <w:t>considera que la UE debe aprovechar al máximo la ventaja competitiva que ofrece el mercado único. El</w:t>
      </w:r>
      <w:r w:rsidR="00544A40">
        <w:t> </w:t>
      </w:r>
      <w:r>
        <w:t>CESE apoya la iniciativa de la Comisión Europea de reducir los requisitos de información en un</w:t>
      </w:r>
      <w:r w:rsidR="00544A40">
        <w:t> </w:t>
      </w:r>
      <w:r>
        <w:t>25 %, puesto que constituyen uno de los principales obstáculos para el crecimiento económico sostenible. La reducción de la burocracia y la simplificación de los procedimientos administrativos servirán de estímulo al sector empresarial europeo y lo harán más eficiente y eficaz. Sin embargo, esto no debe ir en detrimento de las normas sociales y medioambientales ni de los derechos de los trabajadores y los consumidores;</w:t>
      </w:r>
    </w:p>
    <w:p w:rsidRPr="00946677" w:rsidR="00FD7CAC" w:rsidP="002676D9" w:rsidRDefault="00FD7CAC" w14:paraId="7EB402E1" w14:textId="77777777">
      <w:pPr>
        <w:numPr>
          <w:ilvl w:val="0"/>
          <w:numId w:val="28"/>
        </w:numPr>
        <w:spacing w:line="264" w:lineRule="auto"/>
        <w:ind w:left="284" w:hanging="284"/>
        <w:outlineLvl w:val="1"/>
      </w:pPr>
      <w:r>
        <w:t>considera urgente aplicar un nuevo enfoque en lo que respecta a la toma de decisiones, ya que una de las mayores deficiencias de la zona del euro es la falta de un procedimiento de toma de decisiones creíble;</w:t>
      </w:r>
    </w:p>
    <w:p w:rsidRPr="00946677" w:rsidR="00FD7CAC" w:rsidP="002676D9" w:rsidRDefault="00FD7CAC" w14:paraId="5ADF5EC2" w14:textId="77777777">
      <w:pPr>
        <w:numPr>
          <w:ilvl w:val="0"/>
          <w:numId w:val="28"/>
        </w:numPr>
        <w:spacing w:line="264" w:lineRule="auto"/>
        <w:ind w:left="284" w:hanging="284"/>
        <w:outlineLvl w:val="1"/>
      </w:pPr>
      <w:r>
        <w:t>defiende que, mientras prosigue el proceso de descarbonización, la UE debe completar el mercado único de la electricidad. La creación de una red plenamente interconectada a escala europea es fundamental, ya que también contribuirá a reducir los precios de la energía, combatir la inflación y propiciar que las empresas de la UE aumenten su competitividad;</w:t>
      </w:r>
    </w:p>
    <w:p w:rsidRPr="00946677" w:rsidR="00FD7CAC" w:rsidP="002676D9" w:rsidRDefault="00FD7CAC" w14:paraId="46431D68" w14:textId="77777777">
      <w:pPr>
        <w:numPr>
          <w:ilvl w:val="0"/>
          <w:numId w:val="28"/>
        </w:numPr>
        <w:spacing w:line="264" w:lineRule="auto"/>
        <w:ind w:left="284" w:hanging="284"/>
        <w:outlineLvl w:val="1"/>
      </w:pPr>
      <w:r>
        <w:t>considera que una agenda política global para la zona del euro en 2024 tendría que equilibrar imperativos a corto plazo, como la recuperación económica, con prioridades a largo plazo, como la inversión, la sostenibilidad, la innovación y la inclusión social.</w:t>
      </w:r>
    </w:p>
    <w:p w:rsidRPr="00946677" w:rsidR="00FD7CAC" w:rsidP="002676D9" w:rsidRDefault="00FD7CAC" w14:paraId="17CBEBF6" w14:textId="77777777">
      <w:pPr>
        <w:spacing w:line="120" w:lineRule="auto"/>
        <w:ind w:left="567"/>
        <w:contextualSpacing/>
        <w:rPr>
          <w:sz w:val="16"/>
          <w:szCs w:val="16"/>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594F3A" w:rsidR="00FD7CAC" w:rsidTr="002676D9" w14:paraId="59115C70" w14:textId="77777777">
        <w:tc>
          <w:tcPr>
            <w:tcW w:w="1951" w:type="dxa"/>
          </w:tcPr>
          <w:p w:rsidRPr="000F216A" w:rsidR="00FD7CAC" w:rsidP="002676D9" w:rsidRDefault="00FD7CAC" w14:paraId="0527F34B" w14:textId="77777777">
            <w:pPr>
              <w:spacing w:line="264" w:lineRule="auto"/>
              <w:jc w:val="left"/>
              <w:rPr>
                <w:rFonts w:eastAsia="Calibri"/>
                <w:i/>
                <w:sz w:val="22"/>
                <w:szCs w:val="22"/>
              </w:rPr>
            </w:pPr>
            <w:r>
              <w:rPr>
                <w:b/>
                <w:i/>
              </w:rPr>
              <w:t>Contacto</w:t>
            </w:r>
          </w:p>
        </w:tc>
        <w:tc>
          <w:tcPr>
            <w:tcW w:w="5137" w:type="dxa"/>
          </w:tcPr>
          <w:p w:rsidRPr="000F216A" w:rsidR="00FD7CAC" w:rsidP="002676D9" w:rsidRDefault="00FD7CAC" w14:paraId="68AD3D30" w14:textId="77777777">
            <w:pPr>
              <w:spacing w:line="264" w:lineRule="auto"/>
              <w:jc w:val="left"/>
              <w:rPr>
                <w:rFonts w:eastAsia="Calibri"/>
                <w:b/>
                <w:bCs/>
                <w:i/>
                <w:iCs/>
                <w:sz w:val="22"/>
                <w:szCs w:val="22"/>
              </w:rPr>
            </w:pPr>
            <w:r>
              <w:rPr>
                <w:i/>
              </w:rPr>
              <w:t xml:space="preserve">Krisztina Perlaky-Tóth </w:t>
            </w:r>
          </w:p>
        </w:tc>
      </w:tr>
      <w:tr w:rsidRPr="00594F3A" w:rsidR="00FD7CAC" w:rsidTr="002676D9" w14:paraId="56A7A5AB" w14:textId="77777777">
        <w:tc>
          <w:tcPr>
            <w:tcW w:w="1951" w:type="dxa"/>
          </w:tcPr>
          <w:p w:rsidRPr="000F216A" w:rsidR="00FD7CAC" w:rsidP="002676D9" w:rsidRDefault="00FD7CAC" w14:paraId="0A141426" w14:textId="77777777">
            <w:pPr>
              <w:spacing w:line="264" w:lineRule="auto"/>
              <w:jc w:val="left"/>
              <w:rPr>
                <w:rFonts w:eastAsia="Calibri"/>
                <w:i/>
                <w:sz w:val="22"/>
                <w:szCs w:val="22"/>
              </w:rPr>
            </w:pPr>
            <w:r>
              <w:rPr>
                <w:i/>
              </w:rPr>
              <w:t>Teléfono:</w:t>
            </w:r>
          </w:p>
        </w:tc>
        <w:tc>
          <w:tcPr>
            <w:tcW w:w="5137" w:type="dxa"/>
          </w:tcPr>
          <w:p w:rsidRPr="000F216A" w:rsidR="00FD7CAC" w:rsidP="002676D9" w:rsidRDefault="00FD7CAC" w14:paraId="3F55B904" w14:textId="77777777">
            <w:pPr>
              <w:spacing w:line="264" w:lineRule="auto"/>
              <w:jc w:val="left"/>
              <w:rPr>
                <w:rFonts w:eastAsia="Calibri"/>
                <w:i/>
                <w:iCs/>
                <w:sz w:val="22"/>
                <w:szCs w:val="22"/>
              </w:rPr>
            </w:pPr>
            <w:r>
              <w:rPr>
                <w:i/>
              </w:rPr>
              <w:t>+32 25469740</w:t>
            </w:r>
          </w:p>
        </w:tc>
      </w:tr>
      <w:tr w:rsidRPr="00594F3A" w:rsidR="00FD7CAC" w:rsidTr="002676D9" w14:paraId="4950261E" w14:textId="77777777">
        <w:trPr>
          <w:trHeight w:val="118"/>
        </w:trPr>
        <w:tc>
          <w:tcPr>
            <w:tcW w:w="1951" w:type="dxa"/>
          </w:tcPr>
          <w:p w:rsidRPr="000F216A" w:rsidR="00FD7CAC" w:rsidP="002676D9" w:rsidRDefault="00FD7CAC" w14:paraId="788B7B71" w14:textId="77777777">
            <w:pPr>
              <w:spacing w:line="264" w:lineRule="auto"/>
              <w:jc w:val="left"/>
              <w:rPr>
                <w:rFonts w:eastAsia="Calibri"/>
                <w:i/>
                <w:sz w:val="22"/>
                <w:szCs w:val="22"/>
              </w:rPr>
            </w:pPr>
            <w:r>
              <w:rPr>
                <w:i/>
              </w:rPr>
              <w:t>Correo electrónico:</w:t>
            </w:r>
          </w:p>
        </w:tc>
        <w:tc>
          <w:tcPr>
            <w:tcW w:w="5137" w:type="dxa"/>
          </w:tcPr>
          <w:p w:rsidRPr="000F216A" w:rsidR="00FD7CAC" w:rsidP="002676D9" w:rsidRDefault="00F22A9C" w14:paraId="1A0B9497" w14:textId="0D569CD3">
            <w:pPr>
              <w:spacing w:line="264" w:lineRule="auto"/>
              <w:jc w:val="left"/>
              <w:rPr>
                <w:rFonts w:eastAsia="Calibri"/>
                <w:sz w:val="22"/>
                <w:szCs w:val="22"/>
              </w:rPr>
            </w:pPr>
            <w:hyperlink w:history="1" r:id="rId22">
              <w:r w:rsidR="00FD7CAC">
                <w:rPr>
                  <w:color w:val="0000FF"/>
                  <w:u w:val="single"/>
                </w:rPr>
                <w:t>Krisztina.PerlakyToth@eesc.europa.eu</w:t>
              </w:r>
            </w:hyperlink>
          </w:p>
        </w:tc>
      </w:tr>
    </w:tbl>
    <w:p w:rsidRPr="00FD7CAC" w:rsidR="00FD7CAC" w:rsidP="002676D9" w:rsidRDefault="00F22A9C" w14:paraId="34C0045E" w14:textId="367D4667">
      <w:pPr>
        <w:widowControl w:val="0"/>
        <w:numPr>
          <w:ilvl w:val="0"/>
          <w:numId w:val="7"/>
        </w:numPr>
        <w:overflowPunct w:val="0"/>
        <w:autoSpaceDE w:val="0"/>
        <w:autoSpaceDN w:val="0"/>
        <w:adjustRightInd w:val="0"/>
        <w:spacing w:after="200" w:line="276" w:lineRule="auto"/>
        <w:ind w:left="0" w:hanging="426"/>
        <w:contextualSpacing/>
        <w:textAlignment w:val="baseline"/>
        <w:rPr>
          <w:bCs/>
          <w:iCs/>
        </w:rPr>
      </w:pPr>
      <w:hyperlink w:history="1" r:id="rId23">
        <w:r w:rsidRPr="00426D99" w:rsidR="00276FC9">
          <w:rPr>
            <w:rStyle w:val="Hyperlink"/>
            <w:b/>
            <w:i/>
            <w:sz w:val="28"/>
          </w:rPr>
          <w:t>Consideraciones adicionales acerca del Estudio Prospectivo Anual sobre el Crecimiento Sostenible para 2024</w:t>
        </w:r>
      </w:hyperlink>
      <w:r w:rsidRPr="00426D99" w:rsidR="00276FC9">
        <w:rPr>
          <w:rStyle w:val="Hyperlink"/>
        </w:rPr>
        <w:t xml:space="preserve"> </w:t>
      </w:r>
    </w:p>
    <w:p w:rsidRPr="00FD7CAC"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FD7CAC" w:rsidR="00FD7CAC" w:rsidTr="00F324F7" w14:paraId="72745103" w14:textId="77777777">
        <w:tc>
          <w:tcPr>
            <w:tcW w:w="1701" w:type="dxa"/>
          </w:tcPr>
          <w:p w:rsidRPr="00FD7CAC" w:rsidR="00FD7CAC" w:rsidP="00FD7CAC" w:rsidRDefault="00FD7CAC" w14:paraId="1B0A8B28" w14:textId="77777777">
            <w:pPr>
              <w:overflowPunct w:val="0"/>
              <w:autoSpaceDE w:val="0"/>
              <w:autoSpaceDN w:val="0"/>
              <w:adjustRightInd w:val="0"/>
              <w:ind w:left="176" w:hanging="284"/>
              <w:textAlignment w:val="baseline"/>
              <w:rPr>
                <w:b/>
              </w:rPr>
            </w:pPr>
            <w:r>
              <w:rPr>
                <w:b/>
              </w:rPr>
              <w:t>Ponente</w:t>
            </w:r>
          </w:p>
        </w:tc>
        <w:tc>
          <w:tcPr>
            <w:tcW w:w="7088" w:type="dxa"/>
          </w:tcPr>
          <w:p w:rsidRPr="00FD7CAC" w:rsidR="00FD7CAC" w:rsidP="00FD7CAC" w:rsidRDefault="00FD7CAC" w14:paraId="7E89404A" w14:textId="77777777">
            <w:pPr>
              <w:tabs>
                <w:tab w:val="center" w:pos="284"/>
              </w:tabs>
              <w:overflowPunct w:val="0"/>
              <w:autoSpaceDE w:val="0"/>
              <w:autoSpaceDN w:val="0"/>
              <w:adjustRightInd w:val="0"/>
              <w:textAlignment w:val="baseline"/>
            </w:pPr>
            <w:r>
              <w:t>Elena-Alexandra CALISTRU (Grupo de Organizaciones de la Sociedad Civil – RO)</w:t>
            </w:r>
          </w:p>
        </w:tc>
      </w:tr>
      <w:tr w:rsidRPr="00FD7CAC" w:rsidR="00FD7CAC" w:rsidTr="00F324F7" w14:paraId="1AA069D3" w14:textId="77777777">
        <w:tc>
          <w:tcPr>
            <w:tcW w:w="8789" w:type="dxa"/>
            <w:gridSpan w:val="2"/>
          </w:tcPr>
          <w:p w:rsidRPr="00FD7CAC"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FD7CAC" w:rsidR="00FD7CAC" w:rsidTr="00F324F7" w14:paraId="2071F9C9" w14:textId="77777777">
        <w:tc>
          <w:tcPr>
            <w:tcW w:w="1701" w:type="dxa"/>
            <w:vMerge w:val="restart"/>
          </w:tcPr>
          <w:p w:rsidRPr="00FD7CAC" w:rsidR="00FD7CAC" w:rsidP="00FD7CAC" w:rsidRDefault="00FD7CAC" w14:paraId="17087256" w14:textId="77777777">
            <w:pPr>
              <w:tabs>
                <w:tab w:val="center" w:pos="284"/>
              </w:tabs>
              <w:overflowPunct w:val="0"/>
              <w:autoSpaceDE w:val="0"/>
              <w:autoSpaceDN w:val="0"/>
              <w:adjustRightInd w:val="0"/>
              <w:ind w:left="266" w:hanging="374"/>
              <w:textAlignment w:val="baseline"/>
              <w:rPr>
                <w:b/>
              </w:rPr>
            </w:pPr>
            <w:r>
              <w:rPr>
                <w:b/>
                <w:bCs/>
              </w:rPr>
              <w:t>Referencias</w:t>
            </w:r>
          </w:p>
        </w:tc>
        <w:tc>
          <w:tcPr>
            <w:tcW w:w="7088" w:type="dxa"/>
          </w:tcPr>
          <w:p w:rsidR="003E0D5C" w:rsidP="00FD7CAC" w:rsidRDefault="00FD7CAC" w14:paraId="37B12DD5" w14:textId="7F029D2E">
            <w:pPr>
              <w:tabs>
                <w:tab w:val="center" w:pos="284"/>
              </w:tabs>
              <w:overflowPunct w:val="0"/>
              <w:autoSpaceDE w:val="0"/>
              <w:autoSpaceDN w:val="0"/>
              <w:adjustRightInd w:val="0"/>
              <w:textAlignment w:val="baseline"/>
            </w:pPr>
            <w:r>
              <w:t xml:space="preserve">Dictamen de iniciativa </w:t>
            </w:r>
          </w:p>
          <w:p w:rsidRPr="00FD7CAC" w:rsidR="00FD7CAC" w:rsidP="00FD7CAC" w:rsidRDefault="00FD7CAC" w14:paraId="3A1706F0" w14:textId="2254DDA8">
            <w:pPr>
              <w:tabs>
                <w:tab w:val="center" w:pos="284"/>
              </w:tabs>
              <w:overflowPunct w:val="0"/>
              <w:autoSpaceDE w:val="0"/>
              <w:autoSpaceDN w:val="0"/>
              <w:adjustRightInd w:val="0"/>
              <w:textAlignment w:val="baseline"/>
              <w:rPr>
                <w:highlight w:val="yellow"/>
              </w:rPr>
            </w:pPr>
            <w:r>
              <w:t>EESC-2024-01462-00-00-AC</w:t>
            </w:r>
          </w:p>
        </w:tc>
      </w:tr>
      <w:tr w:rsidRPr="00FD7CAC" w:rsidR="00FD7CAC" w:rsidTr="00F324F7" w14:paraId="278BC08C" w14:textId="77777777">
        <w:tc>
          <w:tcPr>
            <w:tcW w:w="1701" w:type="dxa"/>
            <w:vMerge/>
          </w:tcPr>
          <w:p w:rsidRPr="00FD7CAC"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088" w:type="dxa"/>
          </w:tcPr>
          <w:p w:rsidRPr="00FD7CAC"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FD7CAC"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FD7CAC"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Pr="00FD7CAC" w:rsidR="00FD7CAC" w:rsidP="00FD7CAC" w:rsidRDefault="00FD7CAC" w14:paraId="6121151E" w14:textId="77777777">
      <w:pPr>
        <w:overflowPunct w:val="0"/>
        <w:autoSpaceDE w:val="0"/>
        <w:autoSpaceDN w:val="0"/>
        <w:adjustRightInd w:val="0"/>
        <w:ind w:left="425" w:hanging="425"/>
        <w:textAlignment w:val="baseline"/>
        <w:rPr>
          <w:szCs w:val="20"/>
        </w:rPr>
      </w:pPr>
      <w:r>
        <w:t>El CESE:</w:t>
      </w:r>
    </w:p>
    <w:p w:rsidRPr="00FD7CAC" w:rsidR="00FD7CAC" w:rsidP="000F216A" w:rsidRDefault="00FD7CAC" w14:paraId="4D33F970" w14:textId="77777777">
      <w:pPr>
        <w:numPr>
          <w:ilvl w:val="0"/>
          <w:numId w:val="31"/>
        </w:numPr>
        <w:overflowPunct w:val="0"/>
        <w:autoSpaceDE w:val="0"/>
        <w:autoSpaceDN w:val="0"/>
        <w:adjustRightInd w:val="0"/>
        <w:spacing w:after="200" w:line="276" w:lineRule="auto"/>
        <w:contextualSpacing/>
        <w:textAlignment w:val="baseline"/>
      </w:pPr>
      <w:r>
        <w:t>pide que el Pacto Industrial Limpio y el Fondo Europeo de Competitividad se apliquen cuanto antes para garantizar que estas iniciativas apoyen tanto el crecimiento económico como los objetivos medioambientales;</w:t>
      </w:r>
    </w:p>
    <w:p w:rsidRPr="00FD7CAC" w:rsidR="00FD7CAC" w:rsidP="000F216A" w:rsidRDefault="00FD7CAC" w14:paraId="5DF519D9" w14:textId="77777777">
      <w:pPr>
        <w:numPr>
          <w:ilvl w:val="0"/>
          <w:numId w:val="31"/>
        </w:numPr>
        <w:overflowPunct w:val="0"/>
        <w:autoSpaceDE w:val="0"/>
        <w:autoSpaceDN w:val="0"/>
        <w:adjustRightInd w:val="0"/>
        <w:spacing w:after="200" w:line="276" w:lineRule="auto"/>
        <w:contextualSpacing/>
        <w:textAlignment w:val="baseline"/>
      </w:pPr>
      <w:r>
        <w:t>recomienda que se estudie la posibilidad de prorrogar el plazo del MRR y mejorar el apoyo técnico a fin de garantizar la plena absorción de los fondos y maximizar su impacto en el crecimiento sostenible;</w:t>
      </w:r>
    </w:p>
    <w:p w:rsidRPr="00FD7CAC" w:rsidR="00FD7CAC" w:rsidP="000F216A" w:rsidRDefault="00FD7CAC" w14:paraId="1EED83B5" w14:textId="77777777">
      <w:pPr>
        <w:numPr>
          <w:ilvl w:val="0"/>
          <w:numId w:val="31"/>
        </w:numPr>
        <w:overflowPunct w:val="0"/>
        <w:autoSpaceDE w:val="0"/>
        <w:autoSpaceDN w:val="0"/>
        <w:adjustRightInd w:val="0"/>
        <w:spacing w:after="200" w:line="276" w:lineRule="auto"/>
        <w:contextualSpacing/>
        <w:textAlignment w:val="baseline"/>
      </w:pPr>
      <w:r>
        <w:t xml:space="preserve">pide que se establezca un cuidadoso equilibrio entre la reducción del déficit y el mantenimiento de la capacidad de inversión, especialmente en ámbitos fundamentales para el crecimiento a largo plazo, como la doble transición ecológica y digital; </w:t>
      </w:r>
    </w:p>
    <w:p w:rsidRPr="00FD7CAC" w:rsidR="00FD7CAC" w:rsidP="000F216A" w:rsidRDefault="00FD7CAC" w14:paraId="18E2837C" w14:textId="77777777">
      <w:pPr>
        <w:numPr>
          <w:ilvl w:val="0"/>
          <w:numId w:val="31"/>
        </w:numPr>
        <w:overflowPunct w:val="0"/>
        <w:autoSpaceDE w:val="0"/>
        <w:autoSpaceDN w:val="0"/>
        <w:adjustRightInd w:val="0"/>
        <w:spacing w:after="200" w:line="276" w:lineRule="auto"/>
        <w:contextualSpacing/>
        <w:textAlignment w:val="baseline"/>
      </w:pPr>
      <w:r>
        <w:t>insta a que se elabore una estrategia global para abordar los retos del mercado laboral, en particular la inadecuación de las capacidades y los cambios demográficos. Esta estrategia debe incluir políticas destinadas a incorporar a la población inactiva y mejorar los sistemas educativos a fin de preparar mejor a las personas para los futuros mercados laborales;</w:t>
      </w:r>
    </w:p>
    <w:p w:rsidRPr="00FD7CAC" w:rsidR="00FD7CAC" w:rsidP="000F216A" w:rsidRDefault="00FD7CAC" w14:paraId="44DADF86" w14:textId="77777777">
      <w:pPr>
        <w:numPr>
          <w:ilvl w:val="0"/>
          <w:numId w:val="31"/>
        </w:numPr>
        <w:overflowPunct w:val="0"/>
        <w:autoSpaceDE w:val="0"/>
        <w:autoSpaceDN w:val="0"/>
        <w:adjustRightInd w:val="0"/>
        <w:spacing w:after="200" w:line="276" w:lineRule="auto"/>
        <w:contextualSpacing/>
        <w:textAlignment w:val="baseline"/>
      </w:pPr>
      <w:r>
        <w:t>recomienda un enfoque que incluya a las partes interesadas para garantizar que estas iniciativas redunden en beneficio de empresas de todos los tamaños y contribuyan a la resiliencia económica general;</w:t>
      </w:r>
    </w:p>
    <w:p w:rsidRPr="00FD7CAC" w:rsidR="00FD7CAC" w:rsidP="000F216A" w:rsidRDefault="00FD7CAC" w14:paraId="1BBDE95B" w14:textId="77777777">
      <w:pPr>
        <w:numPr>
          <w:ilvl w:val="0"/>
          <w:numId w:val="31"/>
        </w:numPr>
        <w:overflowPunct w:val="0"/>
        <w:autoSpaceDE w:val="0"/>
        <w:autoSpaceDN w:val="0"/>
        <w:adjustRightInd w:val="0"/>
        <w:spacing w:after="200" w:line="276" w:lineRule="auto"/>
        <w:contextualSpacing/>
        <w:textAlignment w:val="baseline"/>
      </w:pPr>
      <w:r>
        <w:t xml:space="preserve">aboga por la continuidad de las inversiones en tecnologías limpias y materias primas fundamentales, pero pide que estas se vean compensadas por políticas que apoyen la cooperación mundial e impidan la adopción de medidas proteccionistas perjudiciales; </w:t>
      </w:r>
    </w:p>
    <w:p w:rsidRPr="00FD7CAC" w:rsidR="00FD7CAC" w:rsidP="000F216A" w:rsidRDefault="00FD7CAC" w14:paraId="5FADFB15" w14:textId="77777777">
      <w:pPr>
        <w:numPr>
          <w:ilvl w:val="0"/>
          <w:numId w:val="31"/>
        </w:numPr>
        <w:overflowPunct w:val="0"/>
        <w:autoSpaceDE w:val="0"/>
        <w:autoSpaceDN w:val="0"/>
        <w:adjustRightInd w:val="0"/>
        <w:spacing w:after="200" w:line="276" w:lineRule="auto"/>
        <w:contextualSpacing/>
        <w:textAlignment w:val="baseline"/>
      </w:pPr>
      <w:r>
        <w:t>recomienda que todas las grandes iniciativas económicas vayan acompañadas de una sólida protección social y de salvaguardias medioambientales;</w:t>
      </w:r>
    </w:p>
    <w:p w:rsidRPr="00FD7CAC" w:rsidR="00FD7CAC" w:rsidP="000F216A" w:rsidRDefault="00FD7CAC" w14:paraId="30864938" w14:textId="77777777">
      <w:pPr>
        <w:numPr>
          <w:ilvl w:val="0"/>
          <w:numId w:val="31"/>
        </w:numPr>
        <w:overflowPunct w:val="0"/>
        <w:autoSpaceDE w:val="0"/>
        <w:autoSpaceDN w:val="0"/>
        <w:adjustRightInd w:val="0"/>
        <w:spacing w:after="200" w:line="276" w:lineRule="auto"/>
        <w:contextualSpacing/>
        <w:textAlignment w:val="baseline"/>
      </w:pPr>
      <w:r>
        <w:t xml:space="preserve">recomienda redoblar la energía que se invierte en el Semestre Europeo como plataforma capaz de reforzar la legitimidad y la eficacia de las estrategias de crecimiento de la UE, y garantizar al mismo tiempo que estas sigan siendo inclusivas y respondan a las necesidades de la ciudadanía, también en épocas en las que no hay elecciones. </w:t>
      </w:r>
    </w:p>
    <w:p w:rsidRPr="00FD7CAC"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3456"/>
      </w:tblGrid>
      <w:tr w:rsidRPr="00464C05" w:rsidR="00FD7CAC" w:rsidTr="00464C05" w14:paraId="5E252ACC" w14:textId="77777777">
        <w:tc>
          <w:tcPr>
            <w:tcW w:w="2235" w:type="dxa"/>
          </w:tcPr>
          <w:p w:rsidRPr="00464C05" w:rsidR="00FD7CAC" w:rsidP="00FD7CAC" w:rsidRDefault="00FD7CAC" w14:paraId="57E067B2" w14:textId="77777777">
            <w:pPr>
              <w:overflowPunct w:val="0"/>
              <w:autoSpaceDE w:val="0"/>
              <w:autoSpaceDN w:val="0"/>
              <w:adjustRightInd w:val="0"/>
              <w:textAlignment w:val="baseline"/>
              <w:rPr>
                <w:i/>
                <w:sz w:val="22"/>
                <w:szCs w:val="22"/>
              </w:rPr>
            </w:pPr>
            <w:r w:rsidRPr="00464C05">
              <w:rPr>
                <w:b/>
                <w:i/>
                <w:sz w:val="22"/>
                <w:szCs w:val="22"/>
              </w:rPr>
              <w:t>Contacto</w:t>
            </w:r>
          </w:p>
        </w:tc>
        <w:tc>
          <w:tcPr>
            <w:tcW w:w="3456" w:type="dxa"/>
          </w:tcPr>
          <w:p w:rsidRPr="00464C05" w:rsidR="00FD7CAC" w:rsidP="00FD7CAC" w:rsidRDefault="00FD7CAC" w14:paraId="56F7091B" w14:textId="77777777">
            <w:pPr>
              <w:overflowPunct w:val="0"/>
              <w:autoSpaceDE w:val="0"/>
              <w:autoSpaceDN w:val="0"/>
              <w:adjustRightInd w:val="0"/>
              <w:textAlignment w:val="baseline"/>
              <w:rPr>
                <w:i/>
                <w:iCs/>
                <w:sz w:val="22"/>
                <w:szCs w:val="22"/>
              </w:rPr>
            </w:pPr>
            <w:r w:rsidRPr="00464C05">
              <w:rPr>
                <w:i/>
                <w:sz w:val="22"/>
                <w:szCs w:val="22"/>
              </w:rPr>
              <w:t>Anna Pantazi</w:t>
            </w:r>
          </w:p>
        </w:tc>
      </w:tr>
      <w:tr w:rsidRPr="00464C05" w:rsidR="00FD7CAC" w:rsidTr="00464C05" w14:paraId="2BA36140" w14:textId="77777777">
        <w:tc>
          <w:tcPr>
            <w:tcW w:w="2235" w:type="dxa"/>
          </w:tcPr>
          <w:p w:rsidRPr="00464C05" w:rsidR="00FD7CAC" w:rsidP="00FD7CAC" w:rsidRDefault="00FD7CAC" w14:paraId="52E7B3B8" w14:textId="77777777">
            <w:pPr>
              <w:overflowPunct w:val="0"/>
              <w:autoSpaceDE w:val="0"/>
              <w:autoSpaceDN w:val="0"/>
              <w:adjustRightInd w:val="0"/>
              <w:textAlignment w:val="baseline"/>
              <w:rPr>
                <w:i/>
                <w:sz w:val="22"/>
                <w:szCs w:val="22"/>
              </w:rPr>
            </w:pPr>
            <w:r w:rsidRPr="00464C05">
              <w:rPr>
                <w:i/>
                <w:sz w:val="22"/>
                <w:szCs w:val="22"/>
              </w:rPr>
              <w:t>Teléfono:</w:t>
            </w:r>
          </w:p>
        </w:tc>
        <w:tc>
          <w:tcPr>
            <w:tcW w:w="3456" w:type="dxa"/>
          </w:tcPr>
          <w:p w:rsidRPr="00464C05" w:rsidR="00FD7CAC" w:rsidP="00FD7CAC" w:rsidRDefault="00FD7CAC" w14:paraId="1DE66AFE" w14:textId="77777777">
            <w:pPr>
              <w:overflowPunct w:val="0"/>
              <w:autoSpaceDE w:val="0"/>
              <w:autoSpaceDN w:val="0"/>
              <w:adjustRightInd w:val="0"/>
              <w:textAlignment w:val="baseline"/>
              <w:rPr>
                <w:i/>
                <w:iCs/>
                <w:sz w:val="22"/>
                <w:szCs w:val="22"/>
              </w:rPr>
            </w:pPr>
            <w:r w:rsidRPr="00464C05">
              <w:rPr>
                <w:i/>
                <w:sz w:val="22"/>
                <w:szCs w:val="22"/>
              </w:rPr>
              <w:t>+32 25469231</w:t>
            </w:r>
          </w:p>
        </w:tc>
      </w:tr>
      <w:tr w:rsidRPr="00464C05" w:rsidR="00FD7CAC" w:rsidTr="00464C05" w14:paraId="768292C3" w14:textId="77777777">
        <w:tc>
          <w:tcPr>
            <w:tcW w:w="2235" w:type="dxa"/>
          </w:tcPr>
          <w:p w:rsidRPr="00464C05" w:rsidR="00FD7CAC" w:rsidP="00FD7CAC" w:rsidRDefault="00FD7CAC" w14:paraId="35D698F6" w14:textId="77777777">
            <w:pPr>
              <w:overflowPunct w:val="0"/>
              <w:autoSpaceDE w:val="0"/>
              <w:autoSpaceDN w:val="0"/>
              <w:adjustRightInd w:val="0"/>
              <w:textAlignment w:val="baseline"/>
              <w:rPr>
                <w:i/>
                <w:sz w:val="22"/>
                <w:szCs w:val="22"/>
              </w:rPr>
            </w:pPr>
            <w:r w:rsidRPr="00464C05">
              <w:rPr>
                <w:i/>
                <w:sz w:val="22"/>
                <w:szCs w:val="22"/>
              </w:rPr>
              <w:t>Correo electrónico:</w:t>
            </w:r>
          </w:p>
        </w:tc>
        <w:tc>
          <w:tcPr>
            <w:tcW w:w="3456" w:type="dxa"/>
          </w:tcPr>
          <w:p w:rsidRPr="00464C05" w:rsidR="00FD7CAC" w:rsidP="00FD7CAC" w:rsidRDefault="00F22A9C" w14:paraId="04B6DE80" w14:textId="5FB1850F">
            <w:pPr>
              <w:overflowPunct w:val="0"/>
              <w:autoSpaceDE w:val="0"/>
              <w:autoSpaceDN w:val="0"/>
              <w:adjustRightInd w:val="0"/>
              <w:textAlignment w:val="baseline"/>
              <w:rPr>
                <w:i/>
                <w:iCs/>
                <w:sz w:val="22"/>
                <w:szCs w:val="22"/>
              </w:rPr>
            </w:pPr>
            <w:hyperlink w:history="1" r:id="rId24">
              <w:r w:rsidRPr="00464C05" w:rsidR="007E03C9">
                <w:rPr>
                  <w:color w:val="0000FF"/>
                  <w:sz w:val="22"/>
                  <w:szCs w:val="22"/>
                  <w:u w:val="single"/>
                </w:rPr>
                <w:t>Anna.Pantazi@eesc.europa.eu</w:t>
              </w:r>
            </w:hyperlink>
            <w:r w:rsidRPr="00464C05" w:rsidR="007E03C9">
              <w:rPr>
                <w:sz w:val="22"/>
                <w:szCs w:val="22"/>
              </w:rPr>
              <w:t xml:space="preserve"> </w:t>
            </w:r>
          </w:p>
        </w:tc>
      </w:tr>
    </w:tbl>
    <w:p w:rsidR="004D7AC0" w:rsidP="004D7AC0" w:rsidRDefault="004D7AC0" w14:paraId="6A14DD10" w14:textId="77777777">
      <w:pPr>
        <w:pStyle w:val="ListParagraph"/>
        <w:ind w:left="0"/>
      </w:pPr>
    </w:p>
    <w:p w:rsidR="007E5D7C" w:rsidRDefault="007E5D7C" w14:paraId="4982DD97" w14:textId="11F79B7B">
      <w:pPr>
        <w:spacing w:after="160" w:line="259" w:lineRule="auto"/>
        <w:jc w:val="left"/>
      </w:pPr>
      <w:r>
        <w:br w:type="page"/>
      </w:r>
    </w:p>
    <w:p w:rsidRPr="000F216A" w:rsidR="007E5D7C" w:rsidP="00C00BEC" w:rsidRDefault="00F22A9C" w14:paraId="5EDF9573" w14:textId="2CC837E5">
      <w:pPr>
        <w:widowControl w:val="0"/>
        <w:numPr>
          <w:ilvl w:val="0"/>
          <w:numId w:val="8"/>
        </w:numPr>
        <w:overflowPunct w:val="0"/>
        <w:autoSpaceDE w:val="0"/>
        <w:autoSpaceDN w:val="0"/>
        <w:adjustRightInd w:val="0"/>
        <w:spacing w:after="120" w:line="264" w:lineRule="auto"/>
        <w:ind w:hanging="567"/>
        <w:textAlignment w:val="baseline"/>
        <w:rPr>
          <w:b/>
          <w:i/>
          <w:iCs/>
          <w:sz w:val="28"/>
          <w:szCs w:val="28"/>
        </w:rPr>
      </w:pPr>
      <w:hyperlink w:history="1" r:id="rId25">
        <w:r w:rsidRPr="00582AB8" w:rsidR="00276FC9">
          <w:rPr>
            <w:rStyle w:val="Hyperlink"/>
            <w:b/>
            <w:i/>
            <w:sz w:val="28"/>
          </w:rPr>
          <w:t>Mejora de la transparencia fiscal a través de la presupuestación participativa en la UE</w:t>
        </w:r>
      </w:hyperlink>
    </w:p>
    <w:p w:rsidRPr="000F216A" w:rsidR="00594F3A" w:rsidP="00C00BEC" w:rsidRDefault="00594F3A" w14:paraId="7ABD711F" w14:textId="77777777">
      <w:pPr>
        <w:spacing w:line="264" w:lineRule="auto"/>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46677" w:rsidR="00347517" w:rsidTr="006961A3" w14:paraId="6F3F6C33" w14:textId="77777777">
        <w:tc>
          <w:tcPr>
            <w:tcW w:w="1701" w:type="dxa"/>
          </w:tcPr>
          <w:p w:rsidRPr="006961A3" w:rsidR="00347517" w:rsidP="00C00BEC" w:rsidRDefault="00347517" w14:paraId="65A5CF3F" w14:textId="77777777">
            <w:pPr>
              <w:tabs>
                <w:tab w:val="center" w:pos="284"/>
              </w:tabs>
              <w:spacing w:line="264" w:lineRule="auto"/>
              <w:ind w:left="266" w:hanging="266"/>
              <w:jc w:val="left"/>
              <w:rPr>
                <w:rFonts w:eastAsia="Calibri"/>
                <w:b/>
                <w:szCs w:val="24"/>
              </w:rPr>
            </w:pPr>
            <w:r>
              <w:rPr>
                <w:b/>
              </w:rPr>
              <w:t>Ponente</w:t>
            </w:r>
          </w:p>
        </w:tc>
        <w:tc>
          <w:tcPr>
            <w:tcW w:w="7088" w:type="dxa"/>
          </w:tcPr>
          <w:p w:rsidRPr="006961A3" w:rsidR="00347517" w:rsidP="00C00BEC" w:rsidRDefault="00347517" w14:paraId="250C9867" w14:textId="019193DE">
            <w:pPr>
              <w:tabs>
                <w:tab w:val="center" w:pos="284"/>
              </w:tabs>
              <w:spacing w:line="264" w:lineRule="auto"/>
              <w:ind w:left="266" w:hanging="266"/>
              <w:jc w:val="left"/>
              <w:rPr>
                <w:rFonts w:eastAsia="Calibri"/>
                <w:szCs w:val="24"/>
              </w:rPr>
            </w:pPr>
            <w:r>
              <w:t>Elena-Alexandra CALISTRU (Grupo de Organizaciones de la Sociedad Civil – RO)</w:t>
            </w:r>
          </w:p>
        </w:tc>
      </w:tr>
      <w:tr w:rsidRPr="00946677" w:rsidR="00347517" w:rsidTr="006961A3" w14:paraId="4012887E" w14:textId="77777777">
        <w:tc>
          <w:tcPr>
            <w:tcW w:w="8789" w:type="dxa"/>
            <w:gridSpan w:val="2"/>
          </w:tcPr>
          <w:p w:rsidRPr="006961A3" w:rsidR="00347517" w:rsidP="00C00BEC" w:rsidRDefault="00347517" w14:paraId="6F26D6FD" w14:textId="77777777">
            <w:pPr>
              <w:tabs>
                <w:tab w:val="center" w:pos="284"/>
              </w:tabs>
              <w:spacing w:line="264" w:lineRule="auto"/>
              <w:ind w:left="266" w:hanging="266"/>
              <w:jc w:val="left"/>
              <w:rPr>
                <w:rFonts w:eastAsia="Calibri"/>
                <w:szCs w:val="24"/>
                <w:lang w:val="en-GB"/>
              </w:rPr>
            </w:pPr>
          </w:p>
        </w:tc>
      </w:tr>
      <w:tr w:rsidRPr="00946677" w:rsidR="00347517" w:rsidTr="006961A3" w14:paraId="517C83DC" w14:textId="77777777">
        <w:tc>
          <w:tcPr>
            <w:tcW w:w="1701" w:type="dxa"/>
          </w:tcPr>
          <w:p w:rsidRPr="006961A3" w:rsidR="00347517" w:rsidP="00C00BEC" w:rsidRDefault="00347517" w14:paraId="220B28DC" w14:textId="77777777">
            <w:pPr>
              <w:tabs>
                <w:tab w:val="center" w:pos="284"/>
              </w:tabs>
              <w:spacing w:line="264" w:lineRule="auto"/>
              <w:ind w:left="266" w:hanging="266"/>
              <w:jc w:val="left"/>
              <w:rPr>
                <w:rFonts w:eastAsia="Calibri"/>
                <w:b/>
                <w:szCs w:val="24"/>
              </w:rPr>
            </w:pPr>
            <w:r>
              <w:rPr>
                <w:b/>
                <w:bCs/>
              </w:rPr>
              <w:t>Referencias</w:t>
            </w:r>
            <w:r>
              <w:rPr>
                <w:b/>
              </w:rPr>
              <w:t xml:space="preserve"> </w:t>
            </w:r>
          </w:p>
        </w:tc>
        <w:tc>
          <w:tcPr>
            <w:tcW w:w="7088" w:type="dxa"/>
          </w:tcPr>
          <w:p w:rsidR="00347517" w:rsidP="00C00BEC" w:rsidRDefault="00347517" w14:paraId="212B46A8" w14:textId="77777777">
            <w:pPr>
              <w:tabs>
                <w:tab w:val="center" w:pos="284"/>
              </w:tabs>
              <w:spacing w:line="264" w:lineRule="auto"/>
              <w:jc w:val="left"/>
              <w:rPr>
                <w:rFonts w:eastAsia="Calibri"/>
                <w:szCs w:val="24"/>
              </w:rPr>
            </w:pPr>
            <w:r>
              <w:t>Dictamen de iniciativa</w:t>
            </w:r>
          </w:p>
          <w:p w:rsidRPr="006961A3" w:rsidR="00347517" w:rsidP="00C00BEC" w:rsidRDefault="00347517" w14:paraId="1442607E" w14:textId="4BE4AF9B">
            <w:pPr>
              <w:tabs>
                <w:tab w:val="center" w:pos="284"/>
              </w:tabs>
              <w:spacing w:line="264" w:lineRule="auto"/>
              <w:jc w:val="left"/>
              <w:rPr>
                <w:rFonts w:eastAsia="Calibri"/>
                <w:szCs w:val="24"/>
              </w:rPr>
            </w:pPr>
            <w:r>
              <w:t>EESC-2024-00571-00-00-AC</w:t>
            </w:r>
          </w:p>
        </w:tc>
      </w:tr>
    </w:tbl>
    <w:p w:rsidRPr="007E5D7C" w:rsidR="007E5D7C" w:rsidP="00C00BEC" w:rsidRDefault="007E5D7C" w14:paraId="6C943817" w14:textId="77777777">
      <w:pPr>
        <w:keepNext/>
        <w:keepLines/>
        <w:tabs>
          <w:tab w:val="center" w:pos="284"/>
        </w:tabs>
        <w:overflowPunct w:val="0"/>
        <w:autoSpaceDE w:val="0"/>
        <w:autoSpaceDN w:val="0"/>
        <w:adjustRightInd w:val="0"/>
        <w:spacing w:line="264" w:lineRule="auto"/>
        <w:ind w:left="266" w:hanging="266"/>
        <w:textAlignment w:val="baseline"/>
        <w:rPr>
          <w:b/>
          <w:lang w:val="en-GB"/>
        </w:rPr>
      </w:pPr>
    </w:p>
    <w:p w:rsidRPr="007E5D7C" w:rsidR="007E5D7C" w:rsidP="00C00BEC" w:rsidRDefault="007E5D7C" w14:paraId="0D38B163"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Puntos clave</w:t>
      </w:r>
    </w:p>
    <w:p w:rsidRPr="007E5D7C" w:rsidR="007E5D7C" w:rsidP="00C00BEC" w:rsidRDefault="007E5D7C" w14:paraId="52F9CD26" w14:textId="77777777">
      <w:pPr>
        <w:keepNext/>
        <w:keepLines/>
        <w:tabs>
          <w:tab w:val="center" w:pos="284"/>
        </w:tabs>
        <w:overflowPunct w:val="0"/>
        <w:autoSpaceDE w:val="0"/>
        <w:autoSpaceDN w:val="0"/>
        <w:adjustRightInd w:val="0"/>
        <w:spacing w:line="264" w:lineRule="auto"/>
        <w:ind w:left="266" w:hanging="266"/>
        <w:textAlignment w:val="baseline"/>
        <w:rPr>
          <w:b/>
          <w:sz w:val="16"/>
          <w:szCs w:val="16"/>
          <w:lang w:val="en-GB"/>
        </w:rPr>
      </w:pPr>
    </w:p>
    <w:p w:rsidR="007E5D7C" w:rsidP="00C00BEC" w:rsidRDefault="007E5D7C" w14:paraId="54400EC2" w14:textId="09EE57FE">
      <w:pPr>
        <w:overflowPunct w:val="0"/>
        <w:autoSpaceDE w:val="0"/>
        <w:autoSpaceDN w:val="0"/>
        <w:adjustRightInd w:val="0"/>
        <w:spacing w:line="264" w:lineRule="auto"/>
        <w:textAlignment w:val="baseline"/>
        <w:rPr>
          <w:bCs/>
          <w:iCs/>
        </w:rPr>
      </w:pPr>
      <w:r>
        <w:t>El CESE:</w:t>
      </w:r>
    </w:p>
    <w:p w:rsidRPr="007E5D7C" w:rsidR="002D2388" w:rsidP="00C00BEC" w:rsidRDefault="002D2388" w14:paraId="17B254DD" w14:textId="77777777">
      <w:pPr>
        <w:overflowPunct w:val="0"/>
        <w:autoSpaceDE w:val="0"/>
        <w:autoSpaceDN w:val="0"/>
        <w:adjustRightInd w:val="0"/>
        <w:spacing w:line="264" w:lineRule="auto"/>
        <w:textAlignment w:val="baseline"/>
        <w:rPr>
          <w:bCs/>
          <w:iCs/>
          <w:lang w:val="en-GB"/>
        </w:rPr>
      </w:pPr>
    </w:p>
    <w:p w:rsidRPr="007E5D7C" w:rsidR="007E5D7C" w:rsidP="00C00BEC" w:rsidRDefault="007E5D7C" w14:paraId="38830E28" w14:textId="77777777">
      <w:pPr>
        <w:numPr>
          <w:ilvl w:val="0"/>
          <w:numId w:val="29"/>
        </w:numPr>
        <w:overflowPunct w:val="0"/>
        <w:autoSpaceDE w:val="0"/>
        <w:autoSpaceDN w:val="0"/>
        <w:adjustRightInd w:val="0"/>
        <w:spacing w:after="200" w:line="264" w:lineRule="auto"/>
        <w:ind w:left="426"/>
        <w:contextualSpacing/>
        <w:textAlignment w:val="baseline"/>
        <w:rPr>
          <w:bCs/>
          <w:iCs/>
        </w:rPr>
      </w:pPr>
      <w:r>
        <w:t>reconoce el papel determinante de la transparencia fiscal y la presupuestación participativa para mejorar los procesos democráticos y promover la confianza en las instituciones de la UE;</w:t>
      </w:r>
    </w:p>
    <w:p w:rsidRPr="007E5D7C" w:rsidR="007E5D7C" w:rsidP="00C00BEC" w:rsidRDefault="007E5D7C" w14:paraId="16C2DAAB" w14:textId="77777777">
      <w:pPr>
        <w:numPr>
          <w:ilvl w:val="0"/>
          <w:numId w:val="29"/>
        </w:numPr>
        <w:overflowPunct w:val="0"/>
        <w:autoSpaceDE w:val="0"/>
        <w:autoSpaceDN w:val="0"/>
        <w:adjustRightInd w:val="0"/>
        <w:spacing w:after="200" w:line="264" w:lineRule="auto"/>
        <w:ind w:left="426"/>
        <w:contextualSpacing/>
        <w:textAlignment w:val="baseline"/>
        <w:rPr>
          <w:bCs/>
          <w:iCs/>
        </w:rPr>
      </w:pPr>
      <w:r>
        <w:t>estima que existen considerables oportunidades de mejora y normalización en todos los Estados miembros;</w:t>
      </w:r>
    </w:p>
    <w:p w:rsidRPr="007E5D7C" w:rsidR="007E5D7C" w:rsidP="00C00BEC" w:rsidRDefault="007E5D7C" w14:paraId="4C4B8632" w14:textId="77777777">
      <w:pPr>
        <w:numPr>
          <w:ilvl w:val="0"/>
          <w:numId w:val="29"/>
        </w:numPr>
        <w:overflowPunct w:val="0"/>
        <w:autoSpaceDE w:val="0"/>
        <w:autoSpaceDN w:val="0"/>
        <w:adjustRightInd w:val="0"/>
        <w:spacing w:after="200" w:line="264" w:lineRule="auto"/>
        <w:ind w:left="426"/>
        <w:contextualSpacing/>
        <w:textAlignment w:val="baseline"/>
        <w:rPr>
          <w:bCs/>
          <w:iCs/>
        </w:rPr>
      </w:pPr>
      <w:r>
        <w:t xml:space="preserve">considera que la UE debe establecer un marco común para la transparencia fiscal en todos los programas financiados a través del marco financiero plurianual (MFP), que debería: </w:t>
      </w:r>
    </w:p>
    <w:p w:rsidRPr="007E5D7C" w:rsidR="007E5D7C" w:rsidP="00C00BEC" w:rsidRDefault="007E5D7C" w14:paraId="08680F39" w14:textId="77777777">
      <w:pPr>
        <w:numPr>
          <w:ilvl w:val="1"/>
          <w:numId w:val="26"/>
        </w:numPr>
        <w:overflowPunct w:val="0"/>
        <w:autoSpaceDE w:val="0"/>
        <w:autoSpaceDN w:val="0"/>
        <w:adjustRightInd w:val="0"/>
        <w:spacing w:after="200" w:line="264" w:lineRule="auto"/>
        <w:ind w:left="851" w:hanging="425"/>
        <w:contextualSpacing/>
        <w:textAlignment w:val="baseline"/>
        <w:rPr>
          <w:bCs/>
          <w:iCs/>
        </w:rPr>
      </w:pPr>
      <w:r>
        <w:t xml:space="preserve">fijar normas y directrices claras en materia de transparencia fiscal; </w:t>
      </w:r>
    </w:p>
    <w:p w:rsidRPr="007E5D7C" w:rsidR="007E5D7C" w:rsidP="00C00BEC" w:rsidRDefault="007E5D7C" w14:paraId="1B1CB621" w14:textId="77777777">
      <w:pPr>
        <w:numPr>
          <w:ilvl w:val="1"/>
          <w:numId w:val="26"/>
        </w:numPr>
        <w:overflowPunct w:val="0"/>
        <w:autoSpaceDE w:val="0"/>
        <w:autoSpaceDN w:val="0"/>
        <w:adjustRightInd w:val="0"/>
        <w:spacing w:after="200" w:line="264" w:lineRule="auto"/>
        <w:ind w:left="851" w:hanging="425"/>
        <w:contextualSpacing/>
        <w:textAlignment w:val="baseline"/>
        <w:rPr>
          <w:bCs/>
          <w:iCs/>
        </w:rPr>
      </w:pPr>
      <w:r>
        <w:t xml:space="preserve">hacer hincapié en los mecanismos y las buenas prácticas en lugar de introducir nuevas reglamentaciones; </w:t>
      </w:r>
    </w:p>
    <w:p w:rsidRPr="007E5D7C" w:rsidR="007E5D7C" w:rsidP="00C00BEC" w:rsidRDefault="007E5D7C" w14:paraId="3783E136" w14:textId="77777777">
      <w:pPr>
        <w:numPr>
          <w:ilvl w:val="1"/>
          <w:numId w:val="26"/>
        </w:numPr>
        <w:overflowPunct w:val="0"/>
        <w:autoSpaceDE w:val="0"/>
        <w:autoSpaceDN w:val="0"/>
        <w:adjustRightInd w:val="0"/>
        <w:spacing w:after="200" w:line="264" w:lineRule="auto"/>
        <w:ind w:left="851" w:hanging="425"/>
        <w:contextualSpacing/>
        <w:textAlignment w:val="baseline"/>
        <w:rPr>
          <w:bCs/>
          <w:iCs/>
        </w:rPr>
      </w:pPr>
      <w:r>
        <w:t>garantizar la coherencia en la presentación de informes y la accesibilidad de la información presupuestaria;</w:t>
      </w:r>
    </w:p>
    <w:p w:rsidRPr="007E5D7C" w:rsidR="007E5D7C" w:rsidP="00C00BEC" w:rsidRDefault="007E5D7C" w14:paraId="5963AA8F" w14:textId="77777777">
      <w:pPr>
        <w:numPr>
          <w:ilvl w:val="0"/>
          <w:numId w:val="30"/>
        </w:numPr>
        <w:overflowPunct w:val="0"/>
        <w:autoSpaceDE w:val="0"/>
        <w:autoSpaceDN w:val="0"/>
        <w:adjustRightInd w:val="0"/>
        <w:spacing w:after="200" w:line="264" w:lineRule="auto"/>
        <w:contextualSpacing/>
        <w:textAlignment w:val="baseline"/>
        <w:rPr>
          <w:bCs/>
          <w:iCs/>
        </w:rPr>
      </w:pPr>
      <w:r>
        <w:t>desea que la UE aliente y apoye a los Estados miembros en la publicación de conjuntos de datos de alta calidad sobre sus presupuestos y el uso de los fondos europeos;</w:t>
      </w:r>
    </w:p>
    <w:p w:rsidRPr="007E5D7C" w:rsidR="007E5D7C" w:rsidP="00C00BEC" w:rsidRDefault="007E5D7C" w14:paraId="5F9316E6" w14:textId="77777777">
      <w:pPr>
        <w:numPr>
          <w:ilvl w:val="0"/>
          <w:numId w:val="30"/>
        </w:numPr>
        <w:overflowPunct w:val="0"/>
        <w:autoSpaceDE w:val="0"/>
        <w:autoSpaceDN w:val="0"/>
        <w:adjustRightInd w:val="0"/>
        <w:spacing w:after="200" w:line="264" w:lineRule="auto"/>
        <w:contextualSpacing/>
        <w:textAlignment w:val="baseline"/>
        <w:rPr>
          <w:bCs/>
          <w:iCs/>
        </w:rPr>
      </w:pPr>
      <w:r>
        <w:t>defiende que la Unión debe promover y respaldar iniciativas de presupuestación participativa, en particular en los niveles local y regional, donde han demostrado ser más eficaces. Este apoyo incluye a) proporcionar orientación y recursos para su aplicación; b) fomentar el intercambio de conocimientos y buenas prácticas entre los Estados miembros; y c) integrar, cuando proceda, elementos participativos en los procesos presupuestarios a escala de la UE mediante la participación de la sociedad civil organizada, por ejemplo en las decisiones de financiación de la política de cohesión;</w:t>
      </w:r>
    </w:p>
    <w:p w:rsidRPr="007E5D7C" w:rsidR="007E5D7C" w:rsidP="00C00BEC" w:rsidRDefault="007E5D7C" w14:paraId="28E2656D" w14:textId="77777777">
      <w:pPr>
        <w:numPr>
          <w:ilvl w:val="0"/>
          <w:numId w:val="30"/>
        </w:numPr>
        <w:overflowPunct w:val="0"/>
        <w:autoSpaceDE w:val="0"/>
        <w:autoSpaceDN w:val="0"/>
        <w:adjustRightInd w:val="0"/>
        <w:spacing w:after="200" w:line="264" w:lineRule="auto"/>
        <w:contextualSpacing/>
        <w:textAlignment w:val="baseline"/>
        <w:rPr>
          <w:bCs/>
          <w:iCs/>
        </w:rPr>
      </w:pPr>
      <w:r>
        <w:t>recomienda que la UE desarrolle e impulse el uso de plataformas digitales para aumentar la transparencia fiscal y la participación ciudadana;</w:t>
      </w:r>
    </w:p>
    <w:p w:rsidRPr="007E5D7C" w:rsidR="007E5D7C" w:rsidP="00C00BEC" w:rsidRDefault="007E5D7C" w14:paraId="1059C158" w14:textId="77777777">
      <w:pPr>
        <w:numPr>
          <w:ilvl w:val="0"/>
          <w:numId w:val="30"/>
        </w:numPr>
        <w:overflowPunct w:val="0"/>
        <w:autoSpaceDE w:val="0"/>
        <w:autoSpaceDN w:val="0"/>
        <w:adjustRightInd w:val="0"/>
        <w:spacing w:after="200" w:line="264" w:lineRule="auto"/>
        <w:contextualSpacing/>
        <w:textAlignment w:val="baseline"/>
        <w:rPr>
          <w:bCs/>
          <w:iCs/>
        </w:rPr>
      </w:pPr>
      <w:r>
        <w:t>hace hincapié en la importancia del Tribunal de Cuentas Europeo (TCE) en la transparencia fiscal y recomienda que se refuerce su papel;</w:t>
      </w:r>
    </w:p>
    <w:p w:rsidRPr="007E5D7C" w:rsidR="007E5D7C" w:rsidP="00C00BEC" w:rsidRDefault="007E5D7C" w14:paraId="5E5B1007" w14:textId="77777777">
      <w:pPr>
        <w:numPr>
          <w:ilvl w:val="0"/>
          <w:numId w:val="30"/>
        </w:numPr>
        <w:overflowPunct w:val="0"/>
        <w:autoSpaceDE w:val="0"/>
        <w:autoSpaceDN w:val="0"/>
        <w:adjustRightInd w:val="0"/>
        <w:spacing w:after="200" w:line="264" w:lineRule="auto"/>
        <w:contextualSpacing/>
        <w:textAlignment w:val="baseline"/>
        <w:rPr>
          <w:bCs/>
          <w:iCs/>
        </w:rPr>
      </w:pPr>
      <w:r>
        <w:t>subraya la importancia de dar prioridad a los esfuerzos para incrementar la sensibilización y participación del público en lo que atañe a las cuestiones fiscales; Esto implica: a) campañas exhaustivas de educación y concienciación; b) facilitar programas de formación y desarrollo de capacidades destinados a los funcionarios públicos y las organizaciones de la sociedad civil; y c) involucrar activamente a las personas jóvenes y a los futuros líderes;</w:t>
      </w:r>
    </w:p>
    <w:p w:rsidRPr="007E5D7C" w:rsidR="007E5D7C" w:rsidP="00C00BEC" w:rsidRDefault="007E5D7C" w14:paraId="6682CC2F" w14:textId="77777777">
      <w:pPr>
        <w:numPr>
          <w:ilvl w:val="0"/>
          <w:numId w:val="30"/>
        </w:numPr>
        <w:overflowPunct w:val="0"/>
        <w:autoSpaceDE w:val="0"/>
        <w:autoSpaceDN w:val="0"/>
        <w:adjustRightInd w:val="0"/>
        <w:spacing w:after="200" w:line="264" w:lineRule="auto"/>
        <w:contextualSpacing/>
        <w:textAlignment w:val="baseline"/>
        <w:rPr>
          <w:bCs/>
          <w:iCs/>
        </w:rPr>
      </w:pPr>
      <w:r>
        <w:t>quiere que se garantice que las iniciativas de transparencia fiscal y presupuestación participativa sean compatibles con los objetivos críticos de la UE y las apoyan;</w:t>
      </w:r>
    </w:p>
    <w:p w:rsidRPr="007E5D7C" w:rsidR="007E5D7C" w:rsidP="00C00BEC" w:rsidRDefault="007E5D7C" w14:paraId="42E019A4" w14:textId="77777777">
      <w:pPr>
        <w:numPr>
          <w:ilvl w:val="0"/>
          <w:numId w:val="30"/>
        </w:numPr>
        <w:overflowPunct w:val="0"/>
        <w:autoSpaceDE w:val="0"/>
        <w:autoSpaceDN w:val="0"/>
        <w:adjustRightInd w:val="0"/>
        <w:spacing w:after="200" w:line="264" w:lineRule="auto"/>
        <w:contextualSpacing/>
        <w:textAlignment w:val="baseline"/>
        <w:rPr>
          <w:bCs/>
          <w:iCs/>
        </w:rPr>
      </w:pPr>
      <w:r>
        <w:t>desea que se fomenten una mayor cooperación y un intercambio de conocimientos más amplio sobre transparencia fiscal y presupuestación participativa entre todos los Estados miembros de la UE;</w:t>
      </w:r>
    </w:p>
    <w:p w:rsidR="007E5D7C" w:rsidP="00C00BEC" w:rsidRDefault="007E5D7C" w14:paraId="2A447801" w14:textId="3AEE87CB">
      <w:pPr>
        <w:numPr>
          <w:ilvl w:val="0"/>
          <w:numId w:val="30"/>
        </w:numPr>
        <w:overflowPunct w:val="0"/>
        <w:autoSpaceDE w:val="0"/>
        <w:autoSpaceDN w:val="0"/>
        <w:adjustRightInd w:val="0"/>
        <w:spacing w:after="200" w:line="264" w:lineRule="auto"/>
        <w:contextualSpacing/>
        <w:textAlignment w:val="baseline"/>
        <w:rPr>
          <w:bCs/>
          <w:iCs/>
        </w:rPr>
      </w:pPr>
      <w:r>
        <w:t>considera que los esfuerzos sobre transparencia fiscal y presupuestación participativa contribuirán a aumentar la confianza de la ciudadanía, hacer un uso más eficaz de los recursos públicos y reforzar el proceso democrático en el marco vigente de la democracia representativa.</w:t>
      </w:r>
    </w:p>
    <w:p w:rsidRPr="007E5D7C" w:rsidR="007E5D7C" w:rsidP="00C00BEC" w:rsidRDefault="007E5D7C" w14:paraId="6BDC3C47" w14:textId="77777777">
      <w:pPr>
        <w:overflowPunct w:val="0"/>
        <w:autoSpaceDE w:val="0"/>
        <w:autoSpaceDN w:val="0"/>
        <w:adjustRightInd w:val="0"/>
        <w:spacing w:after="200" w:line="120" w:lineRule="auto"/>
        <w:ind w:hanging="357"/>
        <w:contextualSpacing/>
        <w:textAlignment w:val="baseline"/>
        <w:rPr>
          <w:bCs/>
          <w:iCs/>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594F3A" w:rsidR="007E5D7C" w:rsidTr="00C00BEC" w14:paraId="6728D381" w14:textId="77777777">
        <w:tc>
          <w:tcPr>
            <w:tcW w:w="2093" w:type="dxa"/>
          </w:tcPr>
          <w:p w:rsidRPr="000F216A"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Pr>
                <w:b/>
                <w:i/>
              </w:rPr>
              <w:t>Contacto:</w:t>
            </w:r>
          </w:p>
        </w:tc>
        <w:tc>
          <w:tcPr>
            <w:tcW w:w="4995" w:type="dxa"/>
          </w:tcPr>
          <w:p w:rsidRPr="000F216A" w:rsidR="007E5D7C" w:rsidP="007E5D7C" w:rsidRDefault="007E5D7C" w14:paraId="1E817316" w14:textId="0588BC9F">
            <w:pPr>
              <w:overflowPunct w:val="0"/>
              <w:autoSpaceDE w:val="0"/>
              <w:autoSpaceDN w:val="0"/>
              <w:adjustRightInd w:val="0"/>
              <w:spacing w:line="240" w:lineRule="auto"/>
              <w:textAlignment w:val="baseline"/>
              <w:rPr>
                <w:i/>
                <w:sz w:val="22"/>
                <w:szCs w:val="22"/>
              </w:rPr>
            </w:pPr>
            <w:r>
              <w:rPr>
                <w:i/>
              </w:rPr>
              <w:t>Gerald Klec</w:t>
            </w:r>
          </w:p>
        </w:tc>
      </w:tr>
      <w:tr w:rsidRPr="00594F3A" w:rsidR="007E5D7C" w:rsidTr="00C00BEC" w14:paraId="27CD5F3A" w14:textId="77777777">
        <w:tc>
          <w:tcPr>
            <w:tcW w:w="2093" w:type="dxa"/>
          </w:tcPr>
          <w:p w:rsidRPr="000F216A"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Pr>
                <w:i/>
              </w:rPr>
              <w:t>Teléfono:</w:t>
            </w:r>
          </w:p>
        </w:tc>
        <w:tc>
          <w:tcPr>
            <w:tcW w:w="4995" w:type="dxa"/>
          </w:tcPr>
          <w:p w:rsidRPr="000F216A"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Pr>
                <w:i/>
              </w:rPr>
              <w:t>+32 25469909</w:t>
            </w:r>
          </w:p>
        </w:tc>
      </w:tr>
      <w:tr w:rsidRPr="00594F3A" w:rsidR="007E5D7C" w:rsidTr="00C00BEC" w14:paraId="448284D7" w14:textId="77777777">
        <w:tc>
          <w:tcPr>
            <w:tcW w:w="2093" w:type="dxa"/>
          </w:tcPr>
          <w:p w:rsidRPr="000F216A" w:rsidR="007E5D7C" w:rsidP="007E5D7C" w:rsidRDefault="00E62A2C" w14:paraId="0CCB00E0" w14:textId="18151912">
            <w:pPr>
              <w:overflowPunct w:val="0"/>
              <w:autoSpaceDE w:val="0"/>
              <w:autoSpaceDN w:val="0"/>
              <w:adjustRightInd w:val="0"/>
              <w:spacing w:line="240" w:lineRule="auto"/>
              <w:textAlignment w:val="baseline"/>
              <w:rPr>
                <w:i/>
                <w:sz w:val="22"/>
                <w:szCs w:val="22"/>
              </w:rPr>
            </w:pPr>
            <w:r>
              <w:rPr>
                <w:i/>
              </w:rPr>
              <w:t>Correo electrónico:</w:t>
            </w:r>
          </w:p>
        </w:tc>
        <w:tc>
          <w:tcPr>
            <w:tcW w:w="4995" w:type="dxa"/>
          </w:tcPr>
          <w:p w:rsidRPr="000F216A" w:rsidR="007E5D7C" w:rsidP="007E5D7C" w:rsidRDefault="00F22A9C" w14:paraId="62ED4BD1" w14:textId="1D3DA3A1">
            <w:pPr>
              <w:overflowPunct w:val="0"/>
              <w:autoSpaceDE w:val="0"/>
              <w:autoSpaceDN w:val="0"/>
              <w:adjustRightInd w:val="0"/>
              <w:spacing w:line="240" w:lineRule="auto"/>
              <w:textAlignment w:val="baseline"/>
              <w:rPr>
                <w:i/>
                <w:sz w:val="22"/>
                <w:szCs w:val="22"/>
              </w:rPr>
            </w:pPr>
            <w:hyperlink w:history="1" r:id="rId26">
              <w:r w:rsidR="007E03C9">
                <w:rPr>
                  <w:color w:val="0000FF"/>
                  <w:u w:val="single"/>
                </w:rPr>
                <w:t>Gerald.Klec@eesc.europa.eu</w:t>
              </w:r>
            </w:hyperlink>
          </w:p>
        </w:tc>
      </w:tr>
    </w:tbl>
    <w:p w:rsidRPr="0015600B" w:rsidR="00C97DBC" w:rsidP="000F216A" w:rsidRDefault="00F22A9C" w14:paraId="267E3E02" w14:textId="56340864">
      <w:pPr>
        <w:pStyle w:val="ListParagraph"/>
        <w:numPr>
          <w:ilvl w:val="0"/>
          <w:numId w:val="63"/>
        </w:numPr>
        <w:spacing w:after="160" w:line="259" w:lineRule="auto"/>
        <w:ind w:left="709" w:hanging="709"/>
        <w:jc w:val="left"/>
        <w:rPr>
          <w:rFonts w:ascii="Calibri" w:hAnsi="Calibri"/>
          <w:b/>
          <w:bCs/>
          <w:i/>
          <w:iCs/>
          <w:sz w:val="28"/>
          <w:szCs w:val="28"/>
        </w:rPr>
      </w:pPr>
      <w:hyperlink w:history="1" r:id="rId27">
        <w:r w:rsidRPr="00B75043" w:rsidR="00C97DBC">
          <w:rPr>
            <w:rStyle w:val="Hyperlink"/>
            <w:b/>
            <w:i/>
            <w:sz w:val="28"/>
          </w:rPr>
          <w:t>El cambio climático y su impacto en la economía</w:t>
        </w:r>
      </w:hyperlink>
    </w:p>
    <w:p w:rsidRPr="00C97DBC" w:rsidR="00C97DBC" w:rsidP="00C97DBC" w:rsidRDefault="00C97DBC" w14:paraId="541DA2E6" w14:textId="29EC644F">
      <w:pPr>
        <w:widowControl w:val="0"/>
        <w:overflowPunct w:val="0"/>
        <w:autoSpaceDE w:val="0"/>
        <w:autoSpaceDN w:val="0"/>
        <w:adjustRightInd w:val="0"/>
        <w:ind w:left="266"/>
        <w:textAlignment w:val="baseline"/>
        <w:rPr>
          <w:b/>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C97DBC" w:rsidR="00C97DBC" w:rsidTr="00F324F7" w14:paraId="07A17847" w14:textId="77777777">
        <w:tc>
          <w:tcPr>
            <w:tcW w:w="1701" w:type="dxa"/>
          </w:tcPr>
          <w:p w:rsidRPr="00C97DBC" w:rsidR="00C97DBC" w:rsidP="00C97DBC" w:rsidRDefault="00C97DBC" w14:paraId="0FFF3909" w14:textId="77777777">
            <w:pPr>
              <w:overflowPunct w:val="0"/>
              <w:autoSpaceDE w:val="0"/>
              <w:autoSpaceDN w:val="0"/>
              <w:adjustRightInd w:val="0"/>
              <w:ind w:left="176" w:hanging="284"/>
              <w:textAlignment w:val="baseline"/>
              <w:rPr>
                <w:b/>
              </w:rPr>
            </w:pPr>
            <w:r>
              <w:rPr>
                <w:b/>
              </w:rPr>
              <w:t>Ponente</w:t>
            </w:r>
          </w:p>
        </w:tc>
        <w:tc>
          <w:tcPr>
            <w:tcW w:w="7088" w:type="dxa"/>
          </w:tcPr>
          <w:p w:rsidRPr="00C97DBC" w:rsidR="00C97DBC" w:rsidP="00C97DBC" w:rsidRDefault="00C97DBC" w14:paraId="4D3BBBD3" w14:textId="6A64DC58">
            <w:pPr>
              <w:tabs>
                <w:tab w:val="center" w:pos="284"/>
              </w:tabs>
              <w:overflowPunct w:val="0"/>
              <w:autoSpaceDE w:val="0"/>
              <w:autoSpaceDN w:val="0"/>
              <w:adjustRightInd w:val="0"/>
              <w:textAlignment w:val="baseline"/>
            </w:pPr>
            <w:r>
              <w:t>Juraj Sipko (Grupo de Organizaciones de la Sociedad Civil – SK)</w:t>
            </w:r>
          </w:p>
        </w:tc>
      </w:tr>
      <w:tr w:rsidRPr="00C97DBC" w:rsidR="00C97DBC" w:rsidTr="00F324F7" w14:paraId="27957C50" w14:textId="77777777">
        <w:tc>
          <w:tcPr>
            <w:tcW w:w="8789" w:type="dxa"/>
            <w:gridSpan w:val="2"/>
          </w:tcPr>
          <w:p w:rsidRPr="00C97DBC"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97DBC" w:rsidR="00C97DBC" w:rsidTr="00F324F7" w14:paraId="24E7D7B3" w14:textId="77777777">
        <w:tc>
          <w:tcPr>
            <w:tcW w:w="1701" w:type="dxa"/>
          </w:tcPr>
          <w:p w:rsidRPr="00C97DBC" w:rsidR="00C97DBC" w:rsidP="00C97DBC" w:rsidRDefault="00C97DBC" w14:paraId="2CCEDE7B" w14:textId="77777777">
            <w:pPr>
              <w:tabs>
                <w:tab w:val="center" w:pos="284"/>
              </w:tabs>
              <w:overflowPunct w:val="0"/>
              <w:autoSpaceDE w:val="0"/>
              <w:autoSpaceDN w:val="0"/>
              <w:adjustRightInd w:val="0"/>
              <w:ind w:left="266" w:hanging="374"/>
              <w:textAlignment w:val="baseline"/>
              <w:rPr>
                <w:b/>
              </w:rPr>
            </w:pPr>
            <w:r>
              <w:rPr>
                <w:b/>
                <w:bCs/>
              </w:rPr>
              <w:t>Referencias</w:t>
            </w:r>
          </w:p>
        </w:tc>
        <w:tc>
          <w:tcPr>
            <w:tcW w:w="7088" w:type="dxa"/>
          </w:tcPr>
          <w:p w:rsidR="00194D13" w:rsidP="00C97DBC" w:rsidRDefault="00C97DBC" w14:paraId="2A2DF2C8" w14:textId="77777777">
            <w:pPr>
              <w:tabs>
                <w:tab w:val="center" w:pos="284"/>
              </w:tabs>
              <w:overflowPunct w:val="0"/>
              <w:autoSpaceDE w:val="0"/>
              <w:autoSpaceDN w:val="0"/>
              <w:adjustRightInd w:val="0"/>
              <w:textAlignment w:val="baseline"/>
            </w:pPr>
            <w:r>
              <w:t>Dictamen de iniciativa</w:t>
            </w:r>
          </w:p>
          <w:p w:rsidRPr="00C97DBC" w:rsidR="00C97DBC" w:rsidP="00C97DBC" w:rsidRDefault="00C97DBC" w14:paraId="1739F139" w14:textId="3A660E63">
            <w:pPr>
              <w:tabs>
                <w:tab w:val="center" w:pos="284"/>
              </w:tabs>
              <w:overflowPunct w:val="0"/>
              <w:autoSpaceDE w:val="0"/>
              <w:autoSpaceDN w:val="0"/>
              <w:adjustRightInd w:val="0"/>
              <w:textAlignment w:val="baseline"/>
              <w:rPr>
                <w:highlight w:val="yellow"/>
              </w:rPr>
            </w:pPr>
            <w:r>
              <w:t>EESC-2024-00701-00-00-AC</w:t>
            </w:r>
          </w:p>
        </w:tc>
      </w:tr>
    </w:tbl>
    <w:p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rPr>
      </w:pPr>
      <w:r>
        <w:rPr>
          <w:b/>
        </w:rPr>
        <w:t>Puntos clave</w:t>
      </w:r>
    </w:p>
    <w:p w:rsidRPr="00C97DBC"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lang w:val="en-GB"/>
        </w:rPr>
      </w:pPr>
    </w:p>
    <w:p w:rsidRPr="00C97DBC" w:rsidR="00C97DBC" w:rsidP="00C97DBC" w:rsidRDefault="00C97DBC" w14:paraId="77F63D61" w14:textId="77777777">
      <w:pPr>
        <w:overflowPunct w:val="0"/>
        <w:autoSpaceDE w:val="0"/>
        <w:autoSpaceDN w:val="0"/>
        <w:adjustRightInd w:val="0"/>
        <w:ind w:left="425" w:hanging="425"/>
        <w:textAlignment w:val="baseline"/>
        <w:rPr>
          <w:szCs w:val="20"/>
        </w:rPr>
      </w:pPr>
      <w:r>
        <w:t>El CESE:</w:t>
      </w:r>
    </w:p>
    <w:p w:rsidRPr="00C97DBC" w:rsidR="00C97DBC" w:rsidP="000F216A" w:rsidRDefault="00C97DBC" w14:paraId="3C9D97B1" w14:textId="77777777">
      <w:pPr>
        <w:numPr>
          <w:ilvl w:val="0"/>
          <w:numId w:val="34"/>
        </w:numPr>
        <w:overflowPunct w:val="0"/>
        <w:autoSpaceDE w:val="0"/>
        <w:autoSpaceDN w:val="0"/>
        <w:adjustRightInd w:val="0"/>
        <w:spacing w:after="200" w:line="276" w:lineRule="auto"/>
        <w:ind w:left="284" w:hanging="284"/>
        <w:contextualSpacing/>
        <w:textAlignment w:val="baseline"/>
      </w:pPr>
      <w:r>
        <w:t>señala que el cambio climático se debe principalmente a la actividad humana y subraya que en la naturaleza todo está interconectado, ya que si se encuentra en equilibrio, se crean condiciones favorables para un buen crecimiento económico y la salud humana. Ello conlleva la necesidad de adoptar una estrategia a largo plazo para preservar la salud humana ante la imprevisión de los episodios causados por el cambio climático;</w:t>
      </w:r>
    </w:p>
    <w:p w:rsidRPr="00C97DBC" w:rsidR="00C97DBC" w:rsidP="000F216A" w:rsidRDefault="00C97DBC" w14:paraId="04D1390C" w14:textId="77777777">
      <w:pPr>
        <w:numPr>
          <w:ilvl w:val="0"/>
          <w:numId w:val="34"/>
        </w:numPr>
        <w:overflowPunct w:val="0"/>
        <w:autoSpaceDE w:val="0"/>
        <w:autoSpaceDN w:val="0"/>
        <w:adjustRightInd w:val="0"/>
        <w:spacing w:after="200" w:line="276" w:lineRule="auto"/>
        <w:ind w:left="284" w:hanging="284"/>
        <w:contextualSpacing/>
        <w:textAlignment w:val="baseline"/>
      </w:pPr>
      <w:r>
        <w:t>considera que el cambio climático constituye una amenaza existencial para el desarrollo económico y social de los Estados miembros de la UE y que tiene un impacto muy negativo en la evolución macro y microeconómica, la estabilidad empresarial, financiera y social, las infraestructuras y la salud humana;</w:t>
      </w:r>
    </w:p>
    <w:p w:rsidRPr="00C97DBC" w:rsidR="00C97DBC" w:rsidP="000F216A" w:rsidRDefault="00C97DBC" w14:paraId="6986295E" w14:textId="77777777">
      <w:pPr>
        <w:numPr>
          <w:ilvl w:val="0"/>
          <w:numId w:val="34"/>
        </w:numPr>
        <w:overflowPunct w:val="0"/>
        <w:autoSpaceDE w:val="0"/>
        <w:autoSpaceDN w:val="0"/>
        <w:adjustRightInd w:val="0"/>
        <w:spacing w:after="200" w:line="276" w:lineRule="auto"/>
        <w:ind w:left="284" w:hanging="284"/>
        <w:contextualSpacing/>
        <w:textAlignment w:val="baseline"/>
      </w:pPr>
      <w:r>
        <w:t>pone de relieve la urgencia de adoptar y aplicar todas las medidas necesarias encaminadas a reducir las emisiones (es decir, medidas de mitigación del cambio climático) y a adaptarse a las nuevas condiciones (en otras palabras, medidas de adaptación al mismo), entre ellas la tarificación del carbono y la introducción de un impuesto sobre el mismo, en consonancia con la recomendación más reciente de la Comisión Europea;</w:t>
      </w:r>
    </w:p>
    <w:p w:rsidRPr="00C97DBC" w:rsidR="00C97DBC" w:rsidP="000F216A" w:rsidRDefault="00C97DBC" w14:paraId="5AEDFB33" w14:textId="77777777">
      <w:pPr>
        <w:numPr>
          <w:ilvl w:val="0"/>
          <w:numId w:val="34"/>
        </w:numPr>
        <w:overflowPunct w:val="0"/>
        <w:autoSpaceDE w:val="0"/>
        <w:autoSpaceDN w:val="0"/>
        <w:adjustRightInd w:val="0"/>
        <w:spacing w:after="200" w:line="276" w:lineRule="auto"/>
        <w:ind w:left="284" w:hanging="284"/>
        <w:contextualSpacing/>
        <w:textAlignment w:val="baseline"/>
      </w:pPr>
      <w:r>
        <w:t>considera que las inversiones en materia de lucha contra el cambio climático constituyen una oportunidad económica inédita para apoyar y aprovechar el enorme potencial de innovación y desarrollo de los Estados miembros de la UE;</w:t>
      </w:r>
    </w:p>
    <w:p w:rsidRPr="00C97DBC" w:rsidR="00C97DBC" w:rsidP="000F216A" w:rsidRDefault="00C97DBC" w14:paraId="76CABD9F" w14:textId="77777777">
      <w:pPr>
        <w:numPr>
          <w:ilvl w:val="0"/>
          <w:numId w:val="34"/>
        </w:numPr>
        <w:overflowPunct w:val="0"/>
        <w:autoSpaceDE w:val="0"/>
        <w:autoSpaceDN w:val="0"/>
        <w:adjustRightInd w:val="0"/>
        <w:spacing w:after="200" w:line="276" w:lineRule="auto"/>
        <w:ind w:left="284" w:hanging="284"/>
        <w:contextualSpacing/>
        <w:textAlignment w:val="baseline"/>
      </w:pPr>
      <w:r>
        <w:t>subraya que, además de aprovechar el importante potencial de crecimiento, la respuesta económica al cambio climático debería suponer también un ahorro de costes a largo plazo para el funcionamiento de la economía y la sociedad;</w:t>
      </w:r>
    </w:p>
    <w:p w:rsidRPr="00C97DBC" w:rsidR="00C97DBC" w:rsidP="000F216A" w:rsidRDefault="00C97DBC" w14:paraId="5AD984C1" w14:textId="77777777">
      <w:pPr>
        <w:numPr>
          <w:ilvl w:val="0"/>
          <w:numId w:val="34"/>
        </w:numPr>
        <w:overflowPunct w:val="0"/>
        <w:autoSpaceDE w:val="0"/>
        <w:autoSpaceDN w:val="0"/>
        <w:adjustRightInd w:val="0"/>
        <w:spacing w:after="200" w:line="276" w:lineRule="auto"/>
        <w:ind w:left="284" w:hanging="284"/>
        <w:contextualSpacing/>
        <w:textAlignment w:val="baseline"/>
      </w:pPr>
      <w:r>
        <w:t>es consciente de la gran complejidad de la respuesta al cambio climático desde las ópticas presupuestaria, financiera y de inversión;</w:t>
      </w:r>
    </w:p>
    <w:p w:rsidRPr="00C97DBC" w:rsidR="00C97DBC" w:rsidP="000F216A" w:rsidRDefault="00C97DBC" w14:paraId="65C6D406" w14:textId="77777777">
      <w:pPr>
        <w:numPr>
          <w:ilvl w:val="0"/>
          <w:numId w:val="34"/>
        </w:numPr>
        <w:overflowPunct w:val="0"/>
        <w:autoSpaceDE w:val="0"/>
        <w:autoSpaceDN w:val="0"/>
        <w:adjustRightInd w:val="0"/>
        <w:spacing w:after="200" w:line="276" w:lineRule="auto"/>
        <w:ind w:left="284" w:hanging="284"/>
        <w:contextualSpacing/>
        <w:textAlignment w:val="baseline"/>
      </w:pPr>
      <w:r>
        <w:t>es consciente de que una respuesta inadecuada o la ausencia de soluciones a los retos del cambio climático puede acarrear enormes riesgos, tanto por lo que respecta al crecimiento económico como a las consiguientes repercusiones sociales negativas;</w:t>
      </w:r>
    </w:p>
    <w:p w:rsidRPr="00C97DBC" w:rsidR="00C97DBC" w:rsidP="000F216A" w:rsidRDefault="00C97DBC" w14:paraId="17C0EA4F" w14:textId="77777777">
      <w:pPr>
        <w:numPr>
          <w:ilvl w:val="0"/>
          <w:numId w:val="34"/>
        </w:numPr>
        <w:overflowPunct w:val="0"/>
        <w:autoSpaceDE w:val="0"/>
        <w:autoSpaceDN w:val="0"/>
        <w:adjustRightInd w:val="0"/>
        <w:spacing w:after="200" w:line="276" w:lineRule="auto"/>
        <w:ind w:left="284" w:hanging="284"/>
        <w:contextualSpacing/>
        <w:textAlignment w:val="baseline"/>
      </w:pPr>
      <w:r>
        <w:t>considera de suma importancia no subestimar la trascendencia del factor humano en el sentido más amplio del término a la hora de responder al cambio climático;</w:t>
      </w:r>
    </w:p>
    <w:p w:rsidRPr="00C97DBC" w:rsidR="00C97DBC" w:rsidP="000F216A" w:rsidRDefault="00C97DBC" w14:paraId="5EE9A367" w14:textId="77777777">
      <w:pPr>
        <w:numPr>
          <w:ilvl w:val="0"/>
          <w:numId w:val="34"/>
        </w:numPr>
        <w:overflowPunct w:val="0"/>
        <w:autoSpaceDE w:val="0"/>
        <w:autoSpaceDN w:val="0"/>
        <w:adjustRightInd w:val="0"/>
        <w:spacing w:after="200" w:line="276" w:lineRule="auto"/>
        <w:ind w:left="284" w:hanging="284"/>
        <w:contextualSpacing/>
        <w:textAlignment w:val="baseline"/>
      </w:pPr>
      <w:r>
        <w:t>subraya la necesidad de adoptar y aplicar medidas para analizar, evaluar y anticipar de manera sistemática el impacto del cambio climático en el desarrollo económico y social de los Estados miembros de la UE;</w:t>
      </w:r>
    </w:p>
    <w:p w:rsidR="00C97DBC" w:rsidP="004109EE" w:rsidRDefault="00C97DBC" w14:paraId="442E83EE" w14:textId="551A2E66">
      <w:pPr>
        <w:numPr>
          <w:ilvl w:val="0"/>
          <w:numId w:val="34"/>
        </w:numPr>
        <w:overflowPunct w:val="0"/>
        <w:autoSpaceDE w:val="0"/>
        <w:autoSpaceDN w:val="0"/>
        <w:adjustRightInd w:val="0"/>
        <w:spacing w:after="200" w:line="276" w:lineRule="auto"/>
        <w:ind w:left="284" w:hanging="284"/>
        <w:contextualSpacing/>
        <w:textAlignment w:val="baseline"/>
      </w:pPr>
      <w:r>
        <w:t>subraya la necesidad de coordinar y alinear a escala internacional todas las acciones y apoya firmemente los esfuerzos de la UE para dar la máxima prioridad a la lucha contra el cambio climático, lo que supone asumir un compromiso colectivo a escala nacional, subnacional, europea e internacional en todos los ámbitos, como los económicos y sociales, con un reparto claro y preciso de las funciones y responsabilidades en todas las esferas del proceso de toma de decisiones.</w:t>
      </w:r>
    </w:p>
    <w:p w:rsidRPr="00C97DBC" w:rsidR="004109EE" w:rsidP="000F216A" w:rsidRDefault="004109EE" w14:paraId="6872DC30" w14:textId="77777777">
      <w:pPr>
        <w:overflowPunct w:val="0"/>
        <w:autoSpaceDE w:val="0"/>
        <w:autoSpaceDN w:val="0"/>
        <w:adjustRightInd w:val="0"/>
        <w:spacing w:after="200" w:line="276" w:lineRule="auto"/>
        <w:ind w:left="284" w:hanging="284"/>
        <w:contextualSpacing/>
        <w:textAlignment w:val="baseline"/>
        <w:rPr>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3740"/>
      </w:tblGrid>
      <w:tr w:rsidRPr="00594F3A" w:rsidR="00C97DBC" w:rsidTr="001B7902" w14:paraId="6F4AA6D2" w14:textId="77777777">
        <w:tc>
          <w:tcPr>
            <w:tcW w:w="1951" w:type="dxa"/>
          </w:tcPr>
          <w:p w:rsidRPr="000F216A" w:rsidR="00C97DBC" w:rsidP="00C97DBC" w:rsidRDefault="00C97DBC" w14:paraId="47880F50" w14:textId="77777777">
            <w:pPr>
              <w:overflowPunct w:val="0"/>
              <w:autoSpaceDE w:val="0"/>
              <w:autoSpaceDN w:val="0"/>
              <w:adjustRightInd w:val="0"/>
              <w:textAlignment w:val="baseline"/>
              <w:rPr>
                <w:bCs/>
                <w:i/>
                <w:sz w:val="22"/>
                <w:szCs w:val="22"/>
              </w:rPr>
            </w:pPr>
            <w:r>
              <w:rPr>
                <w:i/>
              </w:rPr>
              <w:t>Contacto</w:t>
            </w:r>
          </w:p>
        </w:tc>
        <w:tc>
          <w:tcPr>
            <w:tcW w:w="3740" w:type="dxa"/>
          </w:tcPr>
          <w:p w:rsidRPr="000F216A" w:rsidR="00C97DBC" w:rsidP="00C97DBC" w:rsidRDefault="00C97DBC" w14:paraId="49C03F56" w14:textId="77777777">
            <w:pPr>
              <w:overflowPunct w:val="0"/>
              <w:autoSpaceDE w:val="0"/>
              <w:autoSpaceDN w:val="0"/>
              <w:adjustRightInd w:val="0"/>
              <w:textAlignment w:val="baseline"/>
              <w:rPr>
                <w:bCs/>
                <w:i/>
                <w:iCs/>
                <w:sz w:val="22"/>
                <w:szCs w:val="22"/>
              </w:rPr>
            </w:pPr>
            <w:r>
              <w:rPr>
                <w:i/>
              </w:rPr>
              <w:t>Anna Pantazi</w:t>
            </w:r>
          </w:p>
        </w:tc>
      </w:tr>
      <w:tr w:rsidRPr="00594F3A" w:rsidR="00C97DBC" w:rsidTr="001B7902" w14:paraId="65D5F642" w14:textId="77777777">
        <w:tc>
          <w:tcPr>
            <w:tcW w:w="1951" w:type="dxa"/>
          </w:tcPr>
          <w:p w:rsidRPr="000F216A" w:rsidR="00C97DBC" w:rsidP="00C97DBC" w:rsidRDefault="00C97DBC" w14:paraId="1DEECBAA" w14:textId="77777777">
            <w:pPr>
              <w:overflowPunct w:val="0"/>
              <w:autoSpaceDE w:val="0"/>
              <w:autoSpaceDN w:val="0"/>
              <w:adjustRightInd w:val="0"/>
              <w:textAlignment w:val="baseline"/>
              <w:rPr>
                <w:i/>
                <w:sz w:val="22"/>
                <w:szCs w:val="22"/>
              </w:rPr>
            </w:pPr>
            <w:r>
              <w:rPr>
                <w:i/>
              </w:rPr>
              <w:t>Teléfono:</w:t>
            </w:r>
          </w:p>
        </w:tc>
        <w:tc>
          <w:tcPr>
            <w:tcW w:w="3740" w:type="dxa"/>
          </w:tcPr>
          <w:p w:rsidRPr="000F216A" w:rsidR="00C97DBC" w:rsidP="00C97DBC" w:rsidRDefault="00C97DBC" w14:paraId="6D07F885" w14:textId="77777777">
            <w:pPr>
              <w:overflowPunct w:val="0"/>
              <w:autoSpaceDE w:val="0"/>
              <w:autoSpaceDN w:val="0"/>
              <w:adjustRightInd w:val="0"/>
              <w:textAlignment w:val="baseline"/>
              <w:rPr>
                <w:i/>
                <w:iCs/>
                <w:sz w:val="22"/>
                <w:szCs w:val="22"/>
              </w:rPr>
            </w:pPr>
            <w:r>
              <w:rPr>
                <w:i/>
              </w:rPr>
              <w:t>+32 25469231</w:t>
            </w:r>
          </w:p>
        </w:tc>
      </w:tr>
      <w:tr w:rsidRPr="00594F3A" w:rsidR="00C97DBC" w:rsidTr="001B7902" w14:paraId="34EF1BFB" w14:textId="77777777">
        <w:tc>
          <w:tcPr>
            <w:tcW w:w="1951" w:type="dxa"/>
          </w:tcPr>
          <w:p w:rsidRPr="000F216A" w:rsidR="00C97DBC" w:rsidP="00C97DBC" w:rsidRDefault="00C97DBC" w14:paraId="5C552A33" w14:textId="77777777">
            <w:pPr>
              <w:overflowPunct w:val="0"/>
              <w:autoSpaceDE w:val="0"/>
              <w:autoSpaceDN w:val="0"/>
              <w:adjustRightInd w:val="0"/>
              <w:textAlignment w:val="baseline"/>
              <w:rPr>
                <w:i/>
                <w:sz w:val="22"/>
                <w:szCs w:val="22"/>
              </w:rPr>
            </w:pPr>
            <w:r>
              <w:rPr>
                <w:i/>
              </w:rPr>
              <w:t>Correo electrónico:</w:t>
            </w:r>
          </w:p>
        </w:tc>
        <w:tc>
          <w:tcPr>
            <w:tcW w:w="3740" w:type="dxa"/>
          </w:tcPr>
          <w:p w:rsidRPr="000F216A" w:rsidR="00C97DBC" w:rsidP="00C97DBC" w:rsidRDefault="00F22A9C" w14:paraId="4A40D9C4" w14:textId="06636C15">
            <w:pPr>
              <w:overflowPunct w:val="0"/>
              <w:autoSpaceDE w:val="0"/>
              <w:autoSpaceDN w:val="0"/>
              <w:adjustRightInd w:val="0"/>
              <w:textAlignment w:val="baseline"/>
              <w:rPr>
                <w:i/>
                <w:iCs/>
                <w:sz w:val="22"/>
                <w:szCs w:val="22"/>
              </w:rPr>
            </w:pPr>
            <w:hyperlink w:history="1" r:id="rId28">
              <w:r w:rsidR="007E03C9">
                <w:rPr>
                  <w:color w:val="0000FF"/>
                  <w:u w:val="single"/>
                </w:rPr>
                <w:t>Anna.Pantazi@eesc.europa.eu</w:t>
              </w:r>
            </w:hyperlink>
            <w:r w:rsidR="007E03C9">
              <w:rPr>
                <w:sz w:val="22"/>
              </w:rPr>
              <w:t xml:space="preserve"> </w:t>
            </w:r>
          </w:p>
        </w:tc>
      </w:tr>
    </w:tbl>
    <w:p w:rsidR="00594F3A" w:rsidP="000F216A" w:rsidRDefault="007E03C9" w14:paraId="35C5919D" w14:textId="1B96BB34">
      <w:pPr>
        <w:pStyle w:val="Heading1"/>
      </w:pPr>
      <w:bookmarkStart w:name="_Toc182565780" w:id="1"/>
      <w:r>
        <w:lastRenderedPageBreak/>
        <w:t>EMPLEO, ASUNTOS SOCIALES Y CIUDADANÍA</w:t>
      </w:r>
      <w:bookmarkEnd w:id="1"/>
    </w:p>
    <w:p w:rsidR="004D7AC0" w:rsidP="004D7AC0" w:rsidRDefault="004D7AC0" w14:paraId="4982DD9A" w14:textId="0E453DF9"/>
    <w:p w:rsidRPr="00C57C2D" w:rsidR="00167D22" w:rsidP="00292019" w:rsidRDefault="00F22A9C" w14:paraId="3837C091" w14:textId="2F36152E">
      <w:pPr>
        <w:pStyle w:val="ListParagraph"/>
        <w:numPr>
          <w:ilvl w:val="0"/>
          <w:numId w:val="63"/>
        </w:numPr>
        <w:spacing w:after="160" w:line="259" w:lineRule="auto"/>
        <w:ind w:left="709" w:hanging="709"/>
        <w:rPr>
          <w:b/>
          <w:bCs/>
          <w:i/>
          <w:iCs/>
          <w:sz w:val="28"/>
          <w:szCs w:val="28"/>
          <w:u w:val="single"/>
        </w:rPr>
      </w:pPr>
      <w:hyperlink w:history="1" r:id="rId29">
        <w:r w:rsidR="00594F3A">
          <w:rPr>
            <w:rStyle w:val="Hyperlink"/>
            <w:b/>
            <w:i/>
            <w:sz w:val="28"/>
          </w:rPr>
          <w:t>Garantizar un equilibrio entre la vida profesional y la vida privada para todas las personas en respuesta a sus necesidades: ¿cómo unas condiciones laborales flexibles y adecuadas pueden apoyar la solidaridad intergeneracional y el empoderamiento de las mujeres?</w:t>
        </w:r>
      </w:hyperlink>
    </w:p>
    <w:p w:rsidRPr="00B4456F" w:rsidR="00167D22" w:rsidP="00167D22" w:rsidRDefault="00167D22" w14:paraId="4DE343CE" w14:textId="77777777">
      <w:pPr>
        <w:tabs>
          <w:tab w:val="center" w:pos="284"/>
        </w:tabs>
        <w:ind w:left="266" w:hanging="266"/>
        <w:rPr>
          <w:b/>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55"/>
      </w:tblGrid>
      <w:tr w:rsidRPr="00B4456F" w:rsidR="00167D22" w:rsidTr="000F216A" w14:paraId="6EF724F5" w14:textId="77777777">
        <w:tc>
          <w:tcPr>
            <w:tcW w:w="1701" w:type="dxa"/>
          </w:tcPr>
          <w:p w:rsidRPr="00D42A3F" w:rsidR="00167D22" w:rsidP="00F324F7" w:rsidRDefault="00167D22" w14:paraId="22AD1A77" w14:textId="77777777">
            <w:pPr>
              <w:tabs>
                <w:tab w:val="center" w:pos="284"/>
              </w:tabs>
              <w:ind w:left="266" w:hanging="266"/>
              <w:rPr>
                <w:b/>
                <w:sz w:val="20"/>
                <w:szCs w:val="20"/>
              </w:rPr>
            </w:pPr>
            <w:r>
              <w:rPr>
                <w:b/>
                <w:sz w:val="20"/>
              </w:rPr>
              <w:t>Ponente</w:t>
            </w:r>
          </w:p>
        </w:tc>
        <w:tc>
          <w:tcPr>
            <w:tcW w:w="7655" w:type="dxa"/>
          </w:tcPr>
          <w:p w:rsidRPr="00D42A3F" w:rsidR="00167D22" w:rsidP="00F324F7" w:rsidRDefault="00167D22" w14:paraId="65DD1EE5" w14:textId="14C1BE1F">
            <w:pPr>
              <w:tabs>
                <w:tab w:val="center" w:pos="284"/>
              </w:tabs>
              <w:ind w:left="266" w:hanging="266"/>
              <w:rPr>
                <w:sz w:val="20"/>
                <w:szCs w:val="20"/>
              </w:rPr>
            </w:pPr>
            <w:r>
              <w:rPr>
                <w:sz w:val="20"/>
              </w:rPr>
              <w:t>Kinga JOÓ (Grupo de Organizaciones de la Sociedad Civil – HU)</w:t>
            </w:r>
          </w:p>
        </w:tc>
      </w:tr>
      <w:tr w:rsidRPr="00B4456F" w:rsidR="00167D22" w:rsidTr="000F216A" w14:paraId="5D3226B1" w14:textId="77777777">
        <w:tc>
          <w:tcPr>
            <w:tcW w:w="1701" w:type="dxa"/>
          </w:tcPr>
          <w:p w:rsidRPr="00D42A3F" w:rsidR="00167D22" w:rsidP="00F324F7" w:rsidRDefault="00167D22" w14:paraId="1A51CF2E" w14:textId="77777777">
            <w:pPr>
              <w:tabs>
                <w:tab w:val="center" w:pos="284"/>
              </w:tabs>
              <w:ind w:left="266" w:hanging="266"/>
              <w:rPr>
                <w:b/>
                <w:sz w:val="20"/>
                <w:szCs w:val="20"/>
              </w:rPr>
            </w:pPr>
            <w:r>
              <w:rPr>
                <w:b/>
                <w:sz w:val="20"/>
              </w:rPr>
              <w:t>Coponente:</w:t>
            </w:r>
          </w:p>
        </w:tc>
        <w:tc>
          <w:tcPr>
            <w:tcW w:w="7655" w:type="dxa"/>
          </w:tcPr>
          <w:p w:rsidRPr="00D42A3F" w:rsidR="00167D22" w:rsidP="00F324F7" w:rsidRDefault="00167D22" w14:paraId="4F85DB12" w14:textId="67A76FE5">
            <w:pPr>
              <w:tabs>
                <w:tab w:val="center" w:pos="284"/>
              </w:tabs>
              <w:ind w:left="266" w:hanging="266"/>
              <w:rPr>
                <w:sz w:val="20"/>
                <w:szCs w:val="20"/>
              </w:rPr>
            </w:pPr>
            <w:r>
              <w:rPr>
                <w:sz w:val="20"/>
              </w:rPr>
              <w:t xml:space="preserve">Erika KOLLER (Grupo de Trabajadores – HU) </w:t>
            </w:r>
          </w:p>
        </w:tc>
      </w:tr>
      <w:tr w:rsidRPr="00B4456F" w:rsidR="00167D22" w:rsidTr="000F216A" w14:paraId="5E4A1E86" w14:textId="77777777">
        <w:tc>
          <w:tcPr>
            <w:tcW w:w="9356" w:type="dxa"/>
            <w:gridSpan w:val="2"/>
          </w:tcPr>
          <w:p w:rsidRPr="00D42A3F" w:rsidR="00167D22" w:rsidP="00F324F7" w:rsidRDefault="00167D22" w14:paraId="68033661" w14:textId="77777777">
            <w:pPr>
              <w:tabs>
                <w:tab w:val="center" w:pos="284"/>
              </w:tabs>
              <w:spacing w:line="160" w:lineRule="exact"/>
              <w:ind w:left="266" w:hanging="266"/>
              <w:rPr>
                <w:sz w:val="20"/>
                <w:szCs w:val="20"/>
              </w:rPr>
            </w:pPr>
          </w:p>
        </w:tc>
      </w:tr>
      <w:tr w:rsidRPr="00B4456F" w:rsidR="00167D22" w:rsidTr="000F216A" w14:paraId="621A00AD" w14:textId="77777777">
        <w:tc>
          <w:tcPr>
            <w:tcW w:w="1701" w:type="dxa"/>
            <w:vMerge w:val="restart"/>
          </w:tcPr>
          <w:p w:rsidRPr="00D42A3F" w:rsidR="00167D22" w:rsidP="00F324F7" w:rsidRDefault="00167D22" w14:paraId="5C81DB1C" w14:textId="77777777">
            <w:pPr>
              <w:tabs>
                <w:tab w:val="center" w:pos="284"/>
              </w:tabs>
              <w:ind w:left="266" w:hanging="266"/>
              <w:rPr>
                <w:b/>
                <w:sz w:val="20"/>
                <w:szCs w:val="20"/>
              </w:rPr>
            </w:pPr>
            <w:r>
              <w:rPr>
                <w:b/>
                <w:sz w:val="20"/>
              </w:rPr>
              <w:t xml:space="preserve">Referencia </w:t>
            </w:r>
          </w:p>
        </w:tc>
        <w:tc>
          <w:tcPr>
            <w:tcW w:w="7655" w:type="dxa"/>
          </w:tcPr>
          <w:p w:rsidRPr="00D42A3F" w:rsidR="00167D22" w:rsidP="00CA38F2" w:rsidRDefault="00167D22" w14:paraId="7CBFB89B" w14:textId="4E2F313B">
            <w:pPr>
              <w:tabs>
                <w:tab w:val="center" w:pos="40"/>
              </w:tabs>
              <w:ind w:right="-246"/>
              <w:rPr>
                <w:sz w:val="20"/>
                <w:szCs w:val="20"/>
              </w:rPr>
            </w:pPr>
            <w:r>
              <w:rPr>
                <w:sz w:val="20"/>
              </w:rPr>
              <w:t>Dictamen exploratorio solicitado por la Presidencia húngara del Consejo de la UE</w:t>
            </w:r>
          </w:p>
        </w:tc>
      </w:tr>
      <w:tr w:rsidRPr="00B4456F" w:rsidR="00167D22" w:rsidTr="000F216A" w14:paraId="6272C9CA" w14:textId="77777777">
        <w:tc>
          <w:tcPr>
            <w:tcW w:w="1701" w:type="dxa"/>
            <w:vMerge/>
          </w:tcPr>
          <w:p w:rsidRPr="00D42A3F" w:rsidR="00167D22" w:rsidP="00F324F7" w:rsidRDefault="00167D22" w14:paraId="1A98DC1E" w14:textId="77777777">
            <w:pPr>
              <w:tabs>
                <w:tab w:val="center" w:pos="284"/>
              </w:tabs>
              <w:ind w:left="266" w:hanging="266"/>
              <w:rPr>
                <w:b/>
                <w:sz w:val="20"/>
                <w:szCs w:val="20"/>
              </w:rPr>
            </w:pPr>
          </w:p>
        </w:tc>
        <w:tc>
          <w:tcPr>
            <w:tcW w:w="7655" w:type="dxa"/>
          </w:tcPr>
          <w:p w:rsidRPr="00D42A3F" w:rsidR="00167D22" w:rsidP="00F324F7" w:rsidRDefault="00167D22" w14:paraId="75413A9F" w14:textId="03807BBB">
            <w:pPr>
              <w:tabs>
                <w:tab w:val="center" w:pos="284"/>
              </w:tabs>
              <w:ind w:left="266" w:hanging="266"/>
              <w:rPr>
                <w:sz w:val="20"/>
                <w:szCs w:val="20"/>
              </w:rPr>
            </w:pPr>
            <w:r>
              <w:rPr>
                <w:sz w:val="20"/>
              </w:rPr>
              <w:t>EESC-2024-01783-00-00-AC</w:t>
            </w:r>
          </w:p>
        </w:tc>
      </w:tr>
    </w:tbl>
    <w:p w:rsidRPr="00B4456F" w:rsidR="00167D22" w:rsidP="00167D22" w:rsidRDefault="00167D22" w14:paraId="68B4371A" w14:textId="77777777">
      <w:pPr>
        <w:tabs>
          <w:tab w:val="center" w:pos="284"/>
        </w:tabs>
        <w:ind w:left="266" w:hanging="266"/>
      </w:pPr>
    </w:p>
    <w:p w:rsidRPr="00B4456F" w:rsidR="00167D22" w:rsidP="00167D22" w:rsidRDefault="00167D22" w14:paraId="64B2CFC9" w14:textId="77777777">
      <w:pPr>
        <w:keepNext/>
        <w:keepLines/>
        <w:tabs>
          <w:tab w:val="center" w:pos="284"/>
        </w:tabs>
        <w:ind w:left="266" w:hanging="266"/>
        <w:rPr>
          <w:b/>
        </w:rPr>
      </w:pPr>
      <w:r>
        <w:rPr>
          <w:b/>
          <w:bCs/>
        </w:rPr>
        <w:t>Puntos clave:</w:t>
      </w:r>
    </w:p>
    <w:p w:rsidRPr="00B4456F" w:rsidR="00167D22" w:rsidP="00167D22" w:rsidRDefault="00167D22" w14:paraId="3ADA4F13" w14:textId="77777777">
      <w:pPr>
        <w:keepNext/>
        <w:keepLines/>
        <w:tabs>
          <w:tab w:val="center" w:pos="284"/>
        </w:tabs>
        <w:ind w:left="266" w:hanging="266"/>
        <w:rPr>
          <w:b/>
        </w:rPr>
      </w:pPr>
    </w:p>
    <w:p w:rsidRPr="00C94060" w:rsidR="00167D22" w:rsidP="00167D22" w:rsidRDefault="00167D22" w14:paraId="64186BCF" w14:textId="77777777">
      <w:pPr>
        <w:rPr>
          <w:bCs/>
          <w:iCs/>
        </w:rPr>
      </w:pPr>
      <w:r>
        <w:t>El CESE:</w:t>
      </w:r>
    </w:p>
    <w:p w:rsidRPr="00C94060" w:rsidR="00167D22" w:rsidP="000F216A" w:rsidRDefault="00167D22" w14:paraId="17ECD139" w14:textId="77777777">
      <w:pPr>
        <w:widowControl w:val="0"/>
        <w:numPr>
          <w:ilvl w:val="0"/>
          <w:numId w:val="35"/>
        </w:numPr>
        <w:ind w:left="284" w:hanging="284"/>
        <w:rPr>
          <w:rFonts w:eastAsia="Calibri"/>
          <w:color w:val="000000" w:themeColor="text1"/>
        </w:rPr>
      </w:pPr>
      <w:r>
        <w:rPr>
          <w:color w:val="000000" w:themeColor="text1"/>
        </w:rPr>
        <w:t>destaca la urgente necesidad de adaptar las estrategias de equilibrio entre la vida profesional y la vida privada teniendo en cuenta el cambio demográfico, las nuevas formas de trabajo, las fórmulas de trabajo flexibles y la creciente demanda de cuidados, con vistas a la revisión en 2027 de la Directiva (UE) 2019/1158 relativa a la conciliación de la vida familiar y la vida profesional de los progenitores y los cuidadores;</w:t>
      </w:r>
    </w:p>
    <w:p w:rsidRPr="00C94060" w:rsidR="00167D22" w:rsidP="000F216A" w:rsidRDefault="00167D22" w14:paraId="73233632" w14:textId="77777777">
      <w:pPr>
        <w:widowControl w:val="0"/>
        <w:numPr>
          <w:ilvl w:val="0"/>
          <w:numId w:val="35"/>
        </w:numPr>
        <w:ind w:left="284" w:hanging="284"/>
        <w:rPr>
          <w:rFonts w:eastAsia="Calibri"/>
          <w:color w:val="000000" w:themeColor="text1"/>
        </w:rPr>
      </w:pPr>
      <w:r>
        <w:rPr>
          <w:color w:val="000000" w:themeColor="text1"/>
        </w:rPr>
        <w:t>señala que el envejecimiento de la población hace indispensable mayores recursos para los servicios asistenciales y recomienda al Consejo que pida a la Comisión que desarrolle un conjunto de instrumentos en materia de cuidados con indicadores para los cuidados de larga duración;</w:t>
      </w:r>
    </w:p>
    <w:p w:rsidRPr="00C94060" w:rsidR="00167D22" w:rsidP="000F216A" w:rsidRDefault="00167D22" w14:paraId="28E308BD" w14:textId="77777777">
      <w:pPr>
        <w:widowControl w:val="0"/>
        <w:numPr>
          <w:ilvl w:val="0"/>
          <w:numId w:val="35"/>
        </w:numPr>
        <w:ind w:left="284" w:hanging="284"/>
        <w:rPr>
          <w:rFonts w:eastAsia="Calibri"/>
          <w:color w:val="000000" w:themeColor="text1"/>
        </w:rPr>
      </w:pPr>
      <w:r>
        <w:rPr>
          <w:color w:val="000000" w:themeColor="text1"/>
        </w:rPr>
        <w:t>hace hincapié en que las medidas basadas en las necesidades deben proporcionar servicios asequibles, accesibles y de alta calidad en beneficio de los trabajadores, las familias, las empresas y las autoridades públicas;</w:t>
      </w:r>
    </w:p>
    <w:p w:rsidRPr="00C94060" w:rsidR="00167D22" w:rsidP="000F216A" w:rsidRDefault="00167D22" w14:paraId="28D2F5C8" w14:textId="77777777">
      <w:pPr>
        <w:widowControl w:val="0"/>
        <w:numPr>
          <w:ilvl w:val="0"/>
          <w:numId w:val="35"/>
        </w:numPr>
        <w:ind w:left="284" w:hanging="284"/>
        <w:rPr>
          <w:rFonts w:eastAsia="Calibri"/>
          <w:color w:val="000000" w:themeColor="text1"/>
        </w:rPr>
      </w:pPr>
      <w:r>
        <w:rPr>
          <w:color w:val="000000" w:themeColor="text1"/>
        </w:rPr>
        <w:t>señala que, a pesar de algunos avances, las mujeres siguen soportando la mayor parte de los cuidados no remunerados, lo que contribuye a la «feminización de la pobreza», ya que las mujeres abandonan su puesto de trabajo o reducen su jornada laboral para cuidar a un familiar o a los hijos. Por lo tanto, apoyar el trabajo asistencial y la seguridad financiera de las familias y los trabajadores debe considerarse una inversión que repercute de forma positiva en la sociedad y la economía y no un gasto;</w:t>
      </w:r>
    </w:p>
    <w:p w:rsidR="00167D22" w:rsidP="000F216A" w:rsidRDefault="00167D22" w14:paraId="402BB932" w14:textId="77777777">
      <w:pPr>
        <w:widowControl w:val="0"/>
        <w:numPr>
          <w:ilvl w:val="0"/>
          <w:numId w:val="35"/>
        </w:numPr>
        <w:ind w:left="284" w:hanging="284"/>
        <w:rPr>
          <w:rFonts w:eastAsia="Calibri"/>
          <w:color w:val="000000" w:themeColor="text1"/>
        </w:rPr>
      </w:pPr>
      <w:r>
        <w:rPr>
          <w:color w:val="000000" w:themeColor="text1"/>
        </w:rPr>
        <w:t>propone que la Comisión examine las políticas de conciliación de la vida familiar y la vida profesional en las empresas, incluidas las pymes, de la UE, incluidos los beneficios, retos y repercusiones en la competitividad, así como las buenas prácticas; asimismo, debe prestarse atención al potencial de la cooperación intergeneracional en el lugar de trabajo;</w:t>
      </w:r>
    </w:p>
    <w:p w:rsidR="00167D22" w:rsidP="000F216A" w:rsidRDefault="00167D22" w14:paraId="686C8E33" w14:textId="77777777">
      <w:pPr>
        <w:widowControl w:val="0"/>
        <w:numPr>
          <w:ilvl w:val="0"/>
          <w:numId w:val="35"/>
        </w:numPr>
        <w:ind w:left="284" w:hanging="284"/>
        <w:rPr>
          <w:rFonts w:eastAsia="Calibri"/>
          <w:color w:val="000000" w:themeColor="text1"/>
        </w:rPr>
      </w:pPr>
      <w:r>
        <w:rPr>
          <w:color w:val="000000" w:themeColor="text1"/>
        </w:rPr>
        <w:t>destaca que, en el período posterior a la pandemia, es importante examinar, evaluar y actualizar, en caso necesario, las medidas relacionadas con el empleo adoptadas como consecuencia de ella, incluidas las fórmulas de trabajo flexible, e integrarlas en el proceso de revisión de la Directiva (UE) 2019/1158 relativa a la conciliación de la vida familiar y la vida profesional de los progenitores y los cuidadores;</w:t>
      </w:r>
    </w:p>
    <w:p w:rsidRPr="003F5DFC" w:rsidR="00167D22" w:rsidP="000F216A" w:rsidRDefault="00167D22" w14:paraId="27982EF8" w14:textId="77777777">
      <w:pPr>
        <w:widowControl w:val="0"/>
        <w:numPr>
          <w:ilvl w:val="0"/>
          <w:numId w:val="35"/>
        </w:numPr>
        <w:ind w:left="284" w:hanging="284"/>
        <w:rPr>
          <w:rFonts w:eastAsia="Calibri"/>
          <w:color w:val="000000" w:themeColor="text1"/>
        </w:rPr>
      </w:pPr>
      <w:r>
        <w:rPr>
          <w:color w:val="000000" w:themeColor="text1"/>
        </w:rPr>
        <w:t>destaca que el diálogo social es clave para lograr un equilibrio adecuado entre la vida profesional y la vida privada, y que las organizaciones de la sociedad civil pueden apoyar este proceso.</w:t>
      </w:r>
    </w:p>
    <w:p w:rsidRPr="00B4456F" w:rsidR="00167D22" w:rsidP="00543F56" w:rsidRDefault="00167D22" w14:paraId="144E9DEA" w14:textId="77777777">
      <w:pPr>
        <w:widowControl w:val="0"/>
        <w:ind w:left="284" w:hanging="284"/>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853"/>
      </w:tblGrid>
      <w:tr w:rsidRPr="00B4456F" w:rsidR="00167D22" w:rsidTr="00292019" w14:paraId="5F79696F" w14:textId="77777777">
        <w:tc>
          <w:tcPr>
            <w:tcW w:w="2093" w:type="dxa"/>
          </w:tcPr>
          <w:p w:rsidRPr="00B4456F" w:rsidR="00167D22" w:rsidP="00F324F7" w:rsidRDefault="00167D22" w14:paraId="270CC7DE" w14:textId="77777777">
            <w:pPr>
              <w:spacing w:line="240" w:lineRule="auto"/>
              <w:rPr>
                <w:i/>
              </w:rPr>
            </w:pPr>
            <w:r>
              <w:rPr>
                <w:b/>
                <w:i/>
              </w:rPr>
              <w:t>Contacto:</w:t>
            </w:r>
          </w:p>
        </w:tc>
        <w:tc>
          <w:tcPr>
            <w:tcW w:w="4853" w:type="dxa"/>
          </w:tcPr>
          <w:p w:rsidRPr="00B4456F" w:rsidR="00167D22" w:rsidP="00F324F7" w:rsidRDefault="00167D22" w14:paraId="305C496B" w14:textId="1770E294">
            <w:pPr>
              <w:spacing w:line="240" w:lineRule="auto"/>
              <w:rPr>
                <w:i/>
              </w:rPr>
            </w:pPr>
            <w:r>
              <w:rPr>
                <w:i/>
              </w:rPr>
              <w:t>Gabriela Grasu y Bartek Bednarowicz</w:t>
            </w:r>
          </w:p>
        </w:tc>
      </w:tr>
      <w:tr w:rsidRPr="00B4456F" w:rsidR="00167D22" w:rsidTr="00292019" w14:paraId="5B6FA6D1" w14:textId="77777777">
        <w:tc>
          <w:tcPr>
            <w:tcW w:w="2093" w:type="dxa"/>
          </w:tcPr>
          <w:p w:rsidRPr="00B4456F" w:rsidR="00167D22" w:rsidP="00F324F7" w:rsidRDefault="00167D22" w14:paraId="4FCE9FD0" w14:textId="77777777">
            <w:pPr>
              <w:spacing w:line="240" w:lineRule="auto"/>
              <w:rPr>
                <w:i/>
              </w:rPr>
            </w:pPr>
            <w:r>
              <w:rPr>
                <w:i/>
              </w:rPr>
              <w:t>Teléfono:</w:t>
            </w:r>
          </w:p>
        </w:tc>
        <w:tc>
          <w:tcPr>
            <w:tcW w:w="4853" w:type="dxa"/>
          </w:tcPr>
          <w:p w:rsidRPr="00B4456F" w:rsidR="00167D22" w:rsidP="00F324F7" w:rsidRDefault="00167D22" w14:paraId="44D5DC42" w14:textId="77777777">
            <w:pPr>
              <w:spacing w:line="240" w:lineRule="auto"/>
              <w:rPr>
                <w:i/>
              </w:rPr>
            </w:pPr>
            <w:r>
              <w:rPr>
                <w:i/>
              </w:rPr>
              <w:t>+32 25469162 y +32 25469229</w:t>
            </w:r>
          </w:p>
        </w:tc>
      </w:tr>
      <w:tr w:rsidRPr="00B4456F" w:rsidR="00167D22" w:rsidTr="00292019" w14:paraId="1B5D4C93" w14:textId="77777777">
        <w:tc>
          <w:tcPr>
            <w:tcW w:w="2093" w:type="dxa"/>
          </w:tcPr>
          <w:p w:rsidRPr="00B4456F" w:rsidR="00167D22" w:rsidP="00F324F7" w:rsidRDefault="00B6772C" w14:paraId="655F8DC5" w14:textId="7317597F">
            <w:pPr>
              <w:spacing w:line="240" w:lineRule="auto"/>
              <w:rPr>
                <w:i/>
              </w:rPr>
            </w:pPr>
            <w:r>
              <w:rPr>
                <w:i/>
              </w:rPr>
              <w:t>Correo electrónico:</w:t>
            </w:r>
          </w:p>
        </w:tc>
        <w:tc>
          <w:tcPr>
            <w:tcW w:w="4853" w:type="dxa"/>
          </w:tcPr>
          <w:p w:rsidR="00347517" w:rsidP="00F324F7" w:rsidRDefault="00F22A9C" w14:paraId="04C6E02C" w14:textId="48D75E5A">
            <w:pPr>
              <w:spacing w:line="240" w:lineRule="auto"/>
            </w:pPr>
            <w:hyperlink w:history="1" r:id="rId30">
              <w:r w:rsidR="00347517">
                <w:rPr>
                  <w:rStyle w:val="Hyperlink"/>
                </w:rPr>
                <w:t>Gabriela.Grasu@eesc.europa.eu</w:t>
              </w:r>
            </w:hyperlink>
          </w:p>
          <w:p w:rsidRPr="00B4456F" w:rsidR="00167D22" w:rsidP="00F324F7" w:rsidRDefault="00F22A9C" w14:paraId="1DCEA359" w14:textId="35E5BC26">
            <w:pPr>
              <w:spacing w:line="240" w:lineRule="auto"/>
              <w:rPr>
                <w:i/>
                <w:iCs/>
              </w:rPr>
            </w:pPr>
            <w:hyperlink w:history="1" r:id="rId31">
              <w:r w:rsidR="00347517">
                <w:rPr>
                  <w:rStyle w:val="Hyperlink"/>
                </w:rPr>
                <w:t>Bartek.Bednarowicz@eesc.europa.eu</w:t>
              </w:r>
            </w:hyperlink>
          </w:p>
        </w:tc>
      </w:tr>
    </w:tbl>
    <w:p w:rsidRPr="009B15D0" w:rsidR="009B15D0" w:rsidP="009B15D0" w:rsidRDefault="00F22A9C" w14:paraId="4BD5DE20" w14:textId="4C23EF47">
      <w:pPr>
        <w:widowControl w:val="0"/>
        <w:numPr>
          <w:ilvl w:val="0"/>
          <w:numId w:val="9"/>
        </w:numPr>
        <w:overflowPunct w:val="0"/>
        <w:autoSpaceDE w:val="0"/>
        <w:autoSpaceDN w:val="0"/>
        <w:adjustRightInd w:val="0"/>
        <w:ind w:left="567" w:hanging="567"/>
        <w:textAlignment w:val="baseline"/>
        <w:rPr>
          <w:b/>
          <w:color w:val="0000FF"/>
          <w:u w:val="single"/>
        </w:rPr>
      </w:pPr>
      <w:hyperlink w:history="1" r:id="rId32">
        <w:r w:rsidRPr="00292019" w:rsidR="002912D2">
          <w:rPr>
            <w:rStyle w:val="Hyperlink"/>
            <w:b/>
            <w:i/>
            <w:sz w:val="28"/>
          </w:rPr>
          <w:t>Orientaciones para las políticas de empleo de los Estados miembros</w:t>
        </w:r>
      </w:hyperlink>
    </w:p>
    <w:p w:rsidRPr="000F216A" w:rsidR="009B15D0" w:rsidP="000F216A" w:rsidRDefault="009B15D0" w14:paraId="66B75ABF" w14:textId="77777777"/>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54"/>
      </w:tblGrid>
      <w:tr w:rsidRPr="009B15D0" w:rsidR="009B15D0" w:rsidTr="00292019" w14:paraId="43D78729" w14:textId="77777777">
        <w:tc>
          <w:tcPr>
            <w:tcW w:w="1701" w:type="dxa"/>
          </w:tcPr>
          <w:p w:rsidRPr="009B15D0" w:rsidR="009B15D0" w:rsidP="009B15D0" w:rsidRDefault="009B15D0" w14:paraId="23214B86" w14:textId="77777777">
            <w:pPr>
              <w:tabs>
                <w:tab w:val="center" w:pos="284"/>
              </w:tabs>
              <w:overflowPunct w:val="0"/>
              <w:autoSpaceDE w:val="0"/>
              <w:autoSpaceDN w:val="0"/>
              <w:adjustRightInd w:val="0"/>
              <w:ind w:left="567" w:hanging="567"/>
              <w:textAlignment w:val="baseline"/>
              <w:rPr>
                <w:b/>
              </w:rPr>
            </w:pPr>
            <w:r>
              <w:rPr>
                <w:b/>
              </w:rPr>
              <w:t>Ponente</w:t>
            </w:r>
          </w:p>
          <w:p w:rsidRPr="009B15D0" w:rsidR="009B15D0" w:rsidP="009B15D0" w:rsidRDefault="009B15D0" w14:paraId="4F5B0A01" w14:textId="77777777">
            <w:pPr>
              <w:tabs>
                <w:tab w:val="center" w:pos="284"/>
              </w:tabs>
              <w:overflowPunct w:val="0"/>
              <w:autoSpaceDE w:val="0"/>
              <w:autoSpaceDN w:val="0"/>
              <w:adjustRightInd w:val="0"/>
              <w:ind w:left="567" w:hanging="567"/>
              <w:textAlignment w:val="baseline"/>
              <w:rPr>
                <w:b/>
              </w:rPr>
            </w:pPr>
          </w:p>
        </w:tc>
        <w:tc>
          <w:tcPr>
            <w:tcW w:w="7054" w:type="dxa"/>
          </w:tcPr>
          <w:p w:rsidRPr="000F216A" w:rsidR="009B15D0" w:rsidP="009B15D0" w:rsidRDefault="009B15D0" w14:paraId="729B9649" w14:textId="77777777">
            <w:pPr>
              <w:overflowPunct w:val="0"/>
              <w:autoSpaceDE w:val="0"/>
              <w:autoSpaceDN w:val="0"/>
              <w:adjustRightInd w:val="0"/>
              <w:textAlignment w:val="baseline"/>
            </w:pPr>
            <w:r>
              <w:t>Giovanni MARCANTONIO (Grupo de Organizaciones de la Sociedad Civil – IT)</w:t>
            </w:r>
          </w:p>
          <w:p w:rsidRPr="000F216A" w:rsidR="009B15D0" w:rsidP="009B15D0" w:rsidRDefault="009B15D0" w14:paraId="55E16B20" w14:textId="77777777">
            <w:pPr>
              <w:tabs>
                <w:tab w:val="center" w:pos="284"/>
              </w:tabs>
              <w:overflowPunct w:val="0"/>
              <w:autoSpaceDE w:val="0"/>
              <w:autoSpaceDN w:val="0"/>
              <w:adjustRightInd w:val="0"/>
              <w:ind w:left="567" w:hanging="567"/>
              <w:textAlignment w:val="baseline"/>
            </w:pPr>
          </w:p>
        </w:tc>
      </w:tr>
      <w:tr w:rsidRPr="009B15D0" w:rsidR="009B15D0" w:rsidTr="00292019" w14:paraId="41B01139" w14:textId="77777777">
        <w:tc>
          <w:tcPr>
            <w:tcW w:w="1701" w:type="dxa"/>
            <w:vMerge w:val="restart"/>
          </w:tcPr>
          <w:p w:rsidRPr="009B15D0" w:rsidR="009B15D0" w:rsidP="009B15D0" w:rsidRDefault="009B15D0" w14:paraId="3E69163F" w14:textId="77777777">
            <w:pPr>
              <w:tabs>
                <w:tab w:val="center" w:pos="284"/>
              </w:tabs>
              <w:overflowPunct w:val="0"/>
              <w:autoSpaceDE w:val="0"/>
              <w:autoSpaceDN w:val="0"/>
              <w:adjustRightInd w:val="0"/>
              <w:ind w:left="567" w:hanging="567"/>
              <w:textAlignment w:val="baseline"/>
              <w:rPr>
                <w:b/>
              </w:rPr>
            </w:pPr>
            <w:r>
              <w:rPr>
                <w:b/>
                <w:bCs/>
              </w:rPr>
              <w:t>Referencias</w:t>
            </w:r>
          </w:p>
        </w:tc>
        <w:tc>
          <w:tcPr>
            <w:tcW w:w="7054" w:type="dxa"/>
          </w:tcPr>
          <w:p w:rsidR="00EB109D" w:rsidP="009B15D0" w:rsidRDefault="00EB109D" w14:paraId="35F64810" w14:textId="2AF83E58">
            <w:pPr>
              <w:tabs>
                <w:tab w:val="center" w:pos="284"/>
              </w:tabs>
              <w:overflowPunct w:val="0"/>
              <w:autoSpaceDE w:val="0"/>
              <w:autoSpaceDN w:val="0"/>
              <w:adjustRightInd w:val="0"/>
              <w:ind w:left="567" w:hanging="567"/>
              <w:textAlignment w:val="baseline"/>
            </w:pPr>
            <w:r>
              <w:t>COM(2024) 599 final</w:t>
            </w:r>
          </w:p>
          <w:p w:rsidRPr="009B15D0" w:rsidR="009B15D0" w:rsidP="009B15D0" w:rsidRDefault="009B15D0" w14:paraId="60874D5F" w14:textId="3FBFA3A8">
            <w:pPr>
              <w:tabs>
                <w:tab w:val="center" w:pos="284"/>
              </w:tabs>
              <w:overflowPunct w:val="0"/>
              <w:autoSpaceDE w:val="0"/>
              <w:autoSpaceDN w:val="0"/>
              <w:adjustRightInd w:val="0"/>
              <w:ind w:left="567" w:hanging="567"/>
              <w:textAlignment w:val="baseline"/>
            </w:pPr>
            <w:r>
              <w:t>EESC-2024-02310-00-00-AC</w:t>
            </w:r>
          </w:p>
        </w:tc>
      </w:tr>
      <w:tr w:rsidRPr="009B15D0" w:rsidR="009B15D0" w:rsidTr="00292019" w14:paraId="5C3DAD6D" w14:textId="77777777">
        <w:tc>
          <w:tcPr>
            <w:tcW w:w="1701" w:type="dxa"/>
            <w:vMerge/>
          </w:tcPr>
          <w:p w:rsidRPr="009B15D0" w:rsidR="009B15D0" w:rsidP="009B15D0" w:rsidRDefault="009B15D0" w14:paraId="1A919E23" w14:textId="77777777">
            <w:pPr>
              <w:tabs>
                <w:tab w:val="center" w:pos="284"/>
              </w:tabs>
              <w:overflowPunct w:val="0"/>
              <w:autoSpaceDE w:val="0"/>
              <w:autoSpaceDN w:val="0"/>
              <w:adjustRightInd w:val="0"/>
              <w:ind w:left="266" w:hanging="266"/>
              <w:textAlignment w:val="baseline"/>
              <w:rPr>
                <w:b/>
                <w:lang w:val="pt-PT"/>
              </w:rPr>
            </w:pPr>
          </w:p>
        </w:tc>
        <w:tc>
          <w:tcPr>
            <w:tcW w:w="7054" w:type="dxa"/>
          </w:tcPr>
          <w:p w:rsidRPr="009B15D0" w:rsidR="009B15D0" w:rsidP="009B15D0" w:rsidRDefault="009B15D0" w14:paraId="5F6C63CE" w14:textId="77777777">
            <w:pPr>
              <w:tabs>
                <w:tab w:val="center" w:pos="284"/>
              </w:tabs>
              <w:overflowPunct w:val="0"/>
              <w:autoSpaceDE w:val="0"/>
              <w:autoSpaceDN w:val="0"/>
              <w:adjustRightInd w:val="0"/>
              <w:ind w:left="266" w:hanging="266"/>
              <w:textAlignment w:val="baseline"/>
              <w:rPr>
                <w:sz w:val="16"/>
                <w:szCs w:val="16"/>
                <w:lang w:val="pt-PT"/>
              </w:rPr>
            </w:pPr>
          </w:p>
        </w:tc>
      </w:tr>
    </w:tbl>
    <w:p w:rsidRPr="009B15D0" w:rsidR="009B15D0" w:rsidP="009B15D0" w:rsidRDefault="009B15D0" w14:paraId="45331566"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9B15D0" w:rsidR="009B15D0" w:rsidP="009B15D0" w:rsidRDefault="009B15D0" w14:paraId="53C8CBFC" w14:textId="77777777">
      <w:pPr>
        <w:overflowPunct w:val="0"/>
        <w:autoSpaceDE w:val="0"/>
        <w:autoSpaceDN w:val="0"/>
        <w:adjustRightInd w:val="0"/>
        <w:textAlignment w:val="baseline"/>
        <w:rPr>
          <w:szCs w:val="20"/>
          <w:lang w:val="en-GB"/>
        </w:rPr>
      </w:pPr>
    </w:p>
    <w:p w:rsidRPr="009B15D0" w:rsidR="009B15D0" w:rsidP="009B15D0" w:rsidRDefault="009B15D0" w14:paraId="59466BE5" w14:textId="77777777">
      <w:pPr>
        <w:overflowPunct w:val="0"/>
        <w:autoSpaceDE w:val="0"/>
        <w:autoSpaceDN w:val="0"/>
        <w:adjustRightInd w:val="0"/>
        <w:textAlignment w:val="baseline"/>
        <w:rPr>
          <w:szCs w:val="20"/>
        </w:rPr>
      </w:pPr>
      <w:r>
        <w:t>El CESE:</w:t>
      </w:r>
    </w:p>
    <w:p w:rsidRPr="009B15D0" w:rsidR="009B15D0" w:rsidP="000F216A" w:rsidRDefault="009B15D0" w14:paraId="7DA618DD" w14:textId="77777777">
      <w:pPr>
        <w:numPr>
          <w:ilvl w:val="0"/>
          <w:numId w:val="36"/>
        </w:numPr>
        <w:overflowPunct w:val="0"/>
        <w:autoSpaceDE w:val="0"/>
        <w:autoSpaceDN w:val="0"/>
        <w:adjustRightInd w:val="0"/>
        <w:spacing w:after="200" w:line="276" w:lineRule="auto"/>
        <w:ind w:left="284" w:hanging="284"/>
        <w:contextualSpacing/>
        <w:textAlignment w:val="baseline"/>
      </w:pPr>
      <w:r>
        <w:t>acoge favorablemente la propuesta de directrices actualizadas sobre las políticas de empleo, destinadas a fomentar una economía competitiva y sostenible, que refleje las nuevas necesidades del mercado laboral;</w:t>
      </w:r>
    </w:p>
    <w:p w:rsidRPr="009B15D0" w:rsidR="009B15D0" w:rsidP="000F216A" w:rsidRDefault="009B15D0" w14:paraId="6814CCF8" w14:textId="77777777">
      <w:pPr>
        <w:numPr>
          <w:ilvl w:val="0"/>
          <w:numId w:val="36"/>
        </w:numPr>
        <w:overflowPunct w:val="0"/>
        <w:autoSpaceDE w:val="0"/>
        <w:autoSpaceDN w:val="0"/>
        <w:adjustRightInd w:val="0"/>
        <w:spacing w:after="200" w:line="276" w:lineRule="auto"/>
        <w:ind w:left="284" w:hanging="284"/>
        <w:contextualSpacing/>
        <w:textAlignment w:val="baseline"/>
      </w:pPr>
      <w:r>
        <w:t>destaca la importancia de una convergencia al alza y de reforzar el papel del Semestre Europeo en las respuestas coordinadas en materia de política económica;</w:t>
      </w:r>
    </w:p>
    <w:p w:rsidRPr="009B15D0" w:rsidR="009B15D0" w:rsidP="000F216A" w:rsidRDefault="009B15D0" w14:paraId="01083B83" w14:textId="77777777">
      <w:pPr>
        <w:numPr>
          <w:ilvl w:val="0"/>
          <w:numId w:val="36"/>
        </w:numPr>
        <w:overflowPunct w:val="0"/>
        <w:autoSpaceDE w:val="0"/>
        <w:autoSpaceDN w:val="0"/>
        <w:adjustRightInd w:val="0"/>
        <w:spacing w:after="200" w:line="276" w:lineRule="auto"/>
        <w:ind w:left="284" w:hanging="284"/>
        <w:contextualSpacing/>
        <w:textAlignment w:val="baseline"/>
      </w:pPr>
      <w:r>
        <w:t>destaca la necesidad de reforzar el papel de los interlocutores sociales a través del diálogo social y la negociación colectiva, así como la participación de la sociedad civil en las reformas y la elaboración de políticas en materia de empleo;</w:t>
      </w:r>
    </w:p>
    <w:p w:rsidRPr="009B15D0" w:rsidR="009B15D0" w:rsidP="000F216A" w:rsidRDefault="009B15D0" w14:paraId="33DFB5E8" w14:textId="77777777">
      <w:pPr>
        <w:numPr>
          <w:ilvl w:val="0"/>
          <w:numId w:val="36"/>
        </w:numPr>
        <w:overflowPunct w:val="0"/>
        <w:autoSpaceDE w:val="0"/>
        <w:autoSpaceDN w:val="0"/>
        <w:adjustRightInd w:val="0"/>
        <w:spacing w:after="200" w:line="276" w:lineRule="auto"/>
        <w:ind w:left="284" w:hanging="284"/>
        <w:contextualSpacing/>
        <w:textAlignment w:val="baseline"/>
      </w:pPr>
      <w:r>
        <w:t>hace hincapié en la necesidad de impulsar la oferta de mano de obra y mejorar el acceso a empleos de calidad, abordando los retos empresariales derivados de la escasez de personal;</w:t>
      </w:r>
    </w:p>
    <w:p w:rsidRPr="009B15D0" w:rsidR="009B15D0" w:rsidP="000F216A" w:rsidRDefault="009B15D0" w14:paraId="28524A4B" w14:textId="77777777">
      <w:pPr>
        <w:numPr>
          <w:ilvl w:val="0"/>
          <w:numId w:val="36"/>
        </w:numPr>
        <w:overflowPunct w:val="0"/>
        <w:autoSpaceDE w:val="0"/>
        <w:autoSpaceDN w:val="0"/>
        <w:adjustRightInd w:val="0"/>
        <w:spacing w:after="200" w:line="276" w:lineRule="auto"/>
        <w:ind w:left="284" w:hanging="284"/>
        <w:contextualSpacing/>
        <w:textAlignment w:val="baseline"/>
      </w:pPr>
      <w:r>
        <w:t>apoya el llamamiento de la Comisión en favor de unas políticas de inclusión más sólidas para promover la igualdad de oportunidades en el empleo y el desarrollo profesional;</w:t>
      </w:r>
    </w:p>
    <w:p w:rsidRPr="009B15D0" w:rsidR="009B15D0" w:rsidP="000F216A" w:rsidRDefault="009B15D0" w14:paraId="77F8E962" w14:textId="77777777">
      <w:pPr>
        <w:numPr>
          <w:ilvl w:val="0"/>
          <w:numId w:val="36"/>
        </w:numPr>
        <w:overflowPunct w:val="0"/>
        <w:autoSpaceDE w:val="0"/>
        <w:autoSpaceDN w:val="0"/>
        <w:adjustRightInd w:val="0"/>
        <w:spacing w:after="200" w:line="276" w:lineRule="auto"/>
        <w:ind w:left="284" w:hanging="284"/>
        <w:contextualSpacing/>
        <w:textAlignment w:val="baseline"/>
      </w:pPr>
      <w:r>
        <w:t>destaca la importancia de reforzar las capacidades para las transiciones ecológica y digital y de garantizar el acceso a un aprendizaje permanente de alta calidad;</w:t>
      </w:r>
    </w:p>
    <w:p w:rsidRPr="009B15D0" w:rsidR="009B15D0" w:rsidP="000F216A" w:rsidRDefault="009B15D0" w14:paraId="231E5DC3" w14:textId="77777777">
      <w:pPr>
        <w:numPr>
          <w:ilvl w:val="0"/>
          <w:numId w:val="36"/>
        </w:numPr>
        <w:overflowPunct w:val="0"/>
        <w:autoSpaceDE w:val="0"/>
        <w:autoSpaceDN w:val="0"/>
        <w:adjustRightInd w:val="0"/>
        <w:spacing w:after="200" w:line="276" w:lineRule="auto"/>
        <w:ind w:left="284" w:hanging="284"/>
        <w:contextualSpacing/>
        <w:textAlignment w:val="baseline"/>
      </w:pPr>
      <w:r>
        <w:t>pide unos salarios justos y dignos acordes con la productividad y la competitividad, que promuevan la negociación colectiva y un seguimiento eficaz de los datos salariales, respetando al mismo tiempo las prácticas nacionales y la autonomía de los interlocutores sociales;</w:t>
      </w:r>
    </w:p>
    <w:p w:rsidRPr="009B15D0" w:rsidR="009B15D0" w:rsidP="000F216A" w:rsidRDefault="009B15D0" w14:paraId="5EFFB52A" w14:textId="77777777">
      <w:pPr>
        <w:numPr>
          <w:ilvl w:val="0"/>
          <w:numId w:val="36"/>
        </w:numPr>
        <w:overflowPunct w:val="0"/>
        <w:autoSpaceDE w:val="0"/>
        <w:autoSpaceDN w:val="0"/>
        <w:adjustRightInd w:val="0"/>
        <w:spacing w:after="200" w:line="276" w:lineRule="auto"/>
        <w:ind w:left="284" w:hanging="284"/>
        <w:contextualSpacing/>
        <w:textAlignment w:val="baseline"/>
      </w:pPr>
      <w:r>
        <w:t>pide asimismo que se implante una IA ética y socialmente sostenible en los lugares de trabajo, evaluando el impacto en el empleo y la organización del trabajo tanto en términos de oportunidades como de riesgos potenciales;</w:t>
      </w:r>
    </w:p>
    <w:p w:rsidRPr="009B15D0" w:rsidR="009B15D0" w:rsidP="000F216A" w:rsidRDefault="009B15D0" w14:paraId="12D5F65C" w14:textId="77777777">
      <w:pPr>
        <w:numPr>
          <w:ilvl w:val="0"/>
          <w:numId w:val="36"/>
        </w:numPr>
        <w:overflowPunct w:val="0"/>
        <w:autoSpaceDE w:val="0"/>
        <w:autoSpaceDN w:val="0"/>
        <w:adjustRightInd w:val="0"/>
        <w:spacing w:after="200" w:line="276" w:lineRule="auto"/>
        <w:ind w:left="284" w:hanging="284"/>
        <w:contextualSpacing/>
        <w:textAlignment w:val="baseline"/>
      </w:pPr>
      <w:r>
        <w:t>destaca la necesidad de modernizar la protección social para que esta abarque a todos los trabajadores, independientemente de su forma de empleo, adaptando los sistemas fiscales y de prestaciones sociales y supervisando los efectos redistributivos;</w:t>
      </w:r>
    </w:p>
    <w:p w:rsidRPr="009B15D0" w:rsidR="009B15D0" w:rsidP="000F216A" w:rsidRDefault="009B15D0" w14:paraId="3558E2B1" w14:textId="77777777">
      <w:pPr>
        <w:numPr>
          <w:ilvl w:val="0"/>
          <w:numId w:val="36"/>
        </w:numPr>
        <w:overflowPunct w:val="0"/>
        <w:autoSpaceDE w:val="0"/>
        <w:autoSpaceDN w:val="0"/>
        <w:adjustRightInd w:val="0"/>
        <w:spacing w:after="200" w:line="276" w:lineRule="auto"/>
        <w:ind w:left="284" w:hanging="284"/>
        <w:contextualSpacing/>
        <w:textAlignment w:val="baseline"/>
      </w:pPr>
      <w:r>
        <w:t>anima a que se sigan desarrollando políticas para la vivienda asequible, la prevención del problema de las personas sin hogar y el uso eficaz de los fondos de la Unión;</w:t>
      </w:r>
    </w:p>
    <w:p w:rsidRPr="009B15D0" w:rsidR="009B15D0" w:rsidP="000F216A" w:rsidRDefault="009B15D0" w14:paraId="2DFD6DC7" w14:textId="77777777">
      <w:pPr>
        <w:numPr>
          <w:ilvl w:val="0"/>
          <w:numId w:val="36"/>
        </w:numPr>
        <w:overflowPunct w:val="0"/>
        <w:autoSpaceDE w:val="0"/>
        <w:autoSpaceDN w:val="0"/>
        <w:adjustRightInd w:val="0"/>
        <w:spacing w:after="200" w:line="276" w:lineRule="auto"/>
        <w:ind w:left="284" w:hanging="284"/>
        <w:contextualSpacing/>
        <w:textAlignment w:val="baseline"/>
      </w:pPr>
      <w:r>
        <w:t>pide políticas más sólidas para luchar contra el trabajo irregular, promover el trabajo de calidad, mejorar la salud y la seguridad en el lugar de trabajo e impedir que se difundan condiciones laborales informales y precarias.</w:t>
      </w:r>
    </w:p>
    <w:p w:rsidRPr="009B15D0"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3610"/>
      </w:tblGrid>
      <w:tr w:rsidRPr="00476A1F" w:rsidR="009B15D0" w:rsidTr="00476A1F" w14:paraId="193EB235" w14:textId="77777777">
        <w:tc>
          <w:tcPr>
            <w:tcW w:w="2093" w:type="dxa"/>
          </w:tcPr>
          <w:p w:rsidRPr="00476A1F"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sidRPr="00476A1F">
              <w:rPr>
                <w:b/>
                <w:i/>
                <w:sz w:val="22"/>
                <w:szCs w:val="22"/>
              </w:rPr>
              <w:t>Contacto:</w:t>
            </w:r>
          </w:p>
        </w:tc>
        <w:tc>
          <w:tcPr>
            <w:tcW w:w="3610" w:type="dxa"/>
          </w:tcPr>
          <w:p w:rsidRPr="00476A1F"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r w:rsidRPr="00476A1F">
              <w:rPr>
                <w:i/>
                <w:sz w:val="22"/>
                <w:szCs w:val="22"/>
              </w:rPr>
              <w:t>Bartek Bednarowicz</w:t>
            </w:r>
          </w:p>
        </w:tc>
      </w:tr>
      <w:tr w:rsidRPr="00476A1F" w:rsidR="009B15D0" w:rsidTr="00476A1F" w14:paraId="29DEADD4" w14:textId="77777777">
        <w:tc>
          <w:tcPr>
            <w:tcW w:w="2093" w:type="dxa"/>
          </w:tcPr>
          <w:p w:rsidRPr="00476A1F"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sidRPr="00476A1F">
              <w:rPr>
                <w:i/>
                <w:sz w:val="22"/>
                <w:szCs w:val="22"/>
              </w:rPr>
              <w:t>Teléfono:</w:t>
            </w:r>
          </w:p>
        </w:tc>
        <w:tc>
          <w:tcPr>
            <w:tcW w:w="3610" w:type="dxa"/>
          </w:tcPr>
          <w:p w:rsidRPr="00476A1F"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sidRPr="00476A1F">
              <w:rPr>
                <w:i/>
                <w:sz w:val="22"/>
                <w:szCs w:val="22"/>
              </w:rPr>
              <w:t>+32 25469229</w:t>
            </w:r>
          </w:p>
        </w:tc>
      </w:tr>
      <w:tr w:rsidRPr="00476A1F" w:rsidR="009B15D0" w:rsidTr="00476A1F" w14:paraId="50E5214B" w14:textId="77777777">
        <w:tc>
          <w:tcPr>
            <w:tcW w:w="2093" w:type="dxa"/>
          </w:tcPr>
          <w:p w:rsidRPr="00476A1F"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sidRPr="00476A1F">
              <w:rPr>
                <w:i/>
                <w:sz w:val="22"/>
                <w:szCs w:val="22"/>
              </w:rPr>
              <w:t>Correo electrónico:</w:t>
            </w:r>
          </w:p>
        </w:tc>
        <w:tc>
          <w:tcPr>
            <w:tcW w:w="3610" w:type="dxa"/>
          </w:tcPr>
          <w:p w:rsidRPr="00476A1F" w:rsidR="009B15D0" w:rsidP="009B15D0" w:rsidRDefault="00F22A9C" w14:paraId="728E1C6B" w14:textId="2F460D55">
            <w:pPr>
              <w:overflowPunct w:val="0"/>
              <w:autoSpaceDE w:val="0"/>
              <w:autoSpaceDN w:val="0"/>
              <w:adjustRightInd w:val="0"/>
              <w:spacing w:line="240" w:lineRule="auto"/>
              <w:textAlignment w:val="baseline"/>
              <w:rPr>
                <w:i/>
                <w:sz w:val="22"/>
                <w:szCs w:val="22"/>
              </w:rPr>
            </w:pPr>
            <w:hyperlink w:history="1" r:id="rId33">
              <w:r w:rsidRPr="00476A1F" w:rsidR="007E03C9">
                <w:rPr>
                  <w:i/>
                  <w:color w:val="0000FF"/>
                  <w:sz w:val="22"/>
                  <w:szCs w:val="22"/>
                  <w:u w:val="single"/>
                </w:rPr>
                <w:t>Bartek.Bednarowicz@eesc.europa.eu</w:t>
              </w:r>
            </w:hyperlink>
          </w:p>
        </w:tc>
      </w:tr>
    </w:tbl>
    <w:p w:rsidRPr="00476A1F" w:rsidR="00C46CDD" w:rsidP="004D7AC0" w:rsidRDefault="00C46CDD" w14:paraId="7343DA24" w14:textId="77777777">
      <w:pPr>
        <w:spacing w:after="160" w:line="259" w:lineRule="auto"/>
        <w:jc w:val="left"/>
      </w:pPr>
    </w:p>
    <w:p w:rsidR="00C46CDD" w:rsidRDefault="00C46CDD" w14:paraId="661423E8" w14:textId="77777777">
      <w:pPr>
        <w:spacing w:after="160" w:line="259" w:lineRule="auto"/>
        <w:jc w:val="left"/>
      </w:pPr>
      <w:r>
        <w:br w:type="page"/>
      </w:r>
    </w:p>
    <w:p w:rsidRPr="00C46CDD" w:rsidR="00C46CDD" w:rsidP="00C46CDD" w:rsidRDefault="00F22A9C" w14:paraId="33E4F420" w14:textId="4C47CC4D">
      <w:pPr>
        <w:widowControl w:val="0"/>
        <w:numPr>
          <w:ilvl w:val="0"/>
          <w:numId w:val="8"/>
        </w:numPr>
        <w:overflowPunct w:val="0"/>
        <w:autoSpaceDE w:val="0"/>
        <w:autoSpaceDN w:val="0"/>
        <w:adjustRightInd w:val="0"/>
        <w:ind w:hanging="567"/>
        <w:textAlignment w:val="baseline"/>
        <w:rPr>
          <w:sz w:val="24"/>
          <w:szCs w:val="24"/>
        </w:rPr>
      </w:pPr>
      <w:hyperlink w:history="1" r:id="rId34">
        <w:r w:rsidRPr="0002674D" w:rsidR="00276FC9">
          <w:rPr>
            <w:rStyle w:val="Hyperlink"/>
            <w:b/>
            <w:i/>
            <w:sz w:val="28"/>
          </w:rPr>
          <w:t>Crear una iniciativa emblemática europea en favor de la salud</w:t>
        </w:r>
      </w:hyperlink>
      <w:r w:rsidR="00276FC9">
        <w:rPr>
          <w:b/>
          <w:i/>
          <w:sz w:val="28"/>
        </w:rPr>
        <w:t xml:space="preserve"> </w:t>
      </w:r>
    </w:p>
    <w:p w:rsidRPr="000F216A" w:rsidR="00C46CDD" w:rsidP="000F216A" w:rsidRDefault="00C46CDD" w14:paraId="71763E5F" w14:textId="77777777"/>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C46CDD" w:rsidR="00C46CDD" w:rsidTr="00F324F7" w14:paraId="2FDE04A8" w14:textId="77777777">
        <w:tc>
          <w:tcPr>
            <w:tcW w:w="1701" w:type="dxa"/>
          </w:tcPr>
          <w:p w:rsidRPr="00C46CDD" w:rsidR="00C46CDD" w:rsidP="00C46CDD" w:rsidRDefault="00C46CDD" w14:paraId="6043BF0A" w14:textId="77777777">
            <w:pPr>
              <w:tabs>
                <w:tab w:val="center" w:pos="284"/>
              </w:tabs>
              <w:overflowPunct w:val="0"/>
              <w:autoSpaceDE w:val="0"/>
              <w:autoSpaceDN w:val="0"/>
              <w:adjustRightInd w:val="0"/>
              <w:ind w:left="266" w:hanging="266"/>
              <w:textAlignment w:val="baseline"/>
              <w:rPr>
                <w:b/>
              </w:rPr>
            </w:pPr>
            <w:r>
              <w:rPr>
                <w:b/>
              </w:rPr>
              <w:t>Ponente</w:t>
            </w:r>
          </w:p>
        </w:tc>
        <w:tc>
          <w:tcPr>
            <w:tcW w:w="6237" w:type="dxa"/>
          </w:tcPr>
          <w:p w:rsidRPr="00C46CDD" w:rsidR="00C46CDD" w:rsidP="00C46CDD" w:rsidRDefault="00C46CDD" w14:paraId="2204DEA4" w14:textId="79758E6B">
            <w:pPr>
              <w:tabs>
                <w:tab w:val="center" w:pos="284"/>
              </w:tabs>
              <w:overflowPunct w:val="0"/>
              <w:autoSpaceDE w:val="0"/>
              <w:autoSpaceDN w:val="0"/>
              <w:adjustRightInd w:val="0"/>
              <w:ind w:left="266" w:hanging="266"/>
              <w:textAlignment w:val="baseline"/>
            </w:pPr>
            <w:r>
              <w:t>Alain COHEUR (Grupo de Organizaciones de la Sociedad Civil – BE)</w:t>
            </w:r>
          </w:p>
        </w:tc>
      </w:tr>
      <w:tr w:rsidRPr="00C46CDD" w:rsidR="00C46CDD" w:rsidTr="00F324F7" w14:paraId="172D4E6D" w14:textId="77777777">
        <w:tc>
          <w:tcPr>
            <w:tcW w:w="7938" w:type="dxa"/>
            <w:gridSpan w:val="2"/>
          </w:tcPr>
          <w:p w:rsidRPr="00C46CDD"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C46CDD" w:rsidR="00C46CDD" w:rsidTr="00F324F7" w14:paraId="6B3F067E" w14:textId="77777777">
        <w:tc>
          <w:tcPr>
            <w:tcW w:w="1701" w:type="dxa"/>
            <w:vMerge w:val="restart"/>
          </w:tcPr>
          <w:p w:rsidRPr="00C46CDD" w:rsidR="00C46CDD" w:rsidP="00C46CDD" w:rsidRDefault="00C46CDD" w14:paraId="40267CBF" w14:textId="77777777">
            <w:pPr>
              <w:tabs>
                <w:tab w:val="center" w:pos="284"/>
              </w:tabs>
              <w:overflowPunct w:val="0"/>
              <w:autoSpaceDE w:val="0"/>
              <w:autoSpaceDN w:val="0"/>
              <w:adjustRightInd w:val="0"/>
              <w:ind w:left="266" w:hanging="266"/>
              <w:textAlignment w:val="baseline"/>
              <w:rPr>
                <w:b/>
              </w:rPr>
            </w:pPr>
            <w:r>
              <w:rPr>
                <w:b/>
              </w:rPr>
              <w:t xml:space="preserve">Referencia </w:t>
            </w:r>
          </w:p>
        </w:tc>
        <w:tc>
          <w:tcPr>
            <w:tcW w:w="6237" w:type="dxa"/>
          </w:tcPr>
          <w:p w:rsidRPr="00C46CDD" w:rsidR="00C46CDD" w:rsidP="00C46CDD" w:rsidRDefault="00C46CDD" w14:paraId="1F8C7A5D" w14:textId="77777777">
            <w:pPr>
              <w:tabs>
                <w:tab w:val="center" w:pos="284"/>
              </w:tabs>
              <w:overflowPunct w:val="0"/>
              <w:autoSpaceDE w:val="0"/>
              <w:autoSpaceDN w:val="0"/>
              <w:adjustRightInd w:val="0"/>
              <w:ind w:left="266" w:hanging="266"/>
              <w:textAlignment w:val="baseline"/>
            </w:pPr>
            <w:r>
              <w:t>Dictamen de iniciativa</w:t>
            </w:r>
          </w:p>
        </w:tc>
      </w:tr>
      <w:tr w:rsidRPr="00C46CDD" w:rsidR="00C46CDD" w:rsidTr="00F324F7" w14:paraId="5ECD6C9E" w14:textId="77777777">
        <w:tc>
          <w:tcPr>
            <w:tcW w:w="1701" w:type="dxa"/>
            <w:vMerge/>
          </w:tcPr>
          <w:p w:rsidRPr="00C46CDD"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C46CDD" w:rsidR="00C46CDD" w:rsidP="00C46CDD" w:rsidRDefault="00C46CDD" w14:paraId="6495B854" w14:textId="77777777">
            <w:pPr>
              <w:tabs>
                <w:tab w:val="center" w:pos="284"/>
              </w:tabs>
              <w:overflowPunct w:val="0"/>
              <w:autoSpaceDE w:val="0"/>
              <w:autoSpaceDN w:val="0"/>
              <w:adjustRightInd w:val="0"/>
              <w:ind w:left="266" w:hanging="266"/>
              <w:textAlignment w:val="baseline"/>
            </w:pPr>
            <w:r>
              <w:t>EESC-2024-02124-00-00-AC</w:t>
            </w:r>
          </w:p>
        </w:tc>
      </w:tr>
    </w:tbl>
    <w:p w:rsidRPr="00C46CDD"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C46CDD"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rPr>
      </w:pPr>
      <w:r>
        <w:rPr>
          <w:b/>
          <w:bCs/>
        </w:rPr>
        <w:t>Puntos clave:</w:t>
      </w:r>
    </w:p>
    <w:p w:rsidRPr="00C46CDD"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C46CDD" w:rsidR="00C46CDD" w:rsidP="00C46CDD" w:rsidRDefault="00C46CDD" w14:paraId="67002C95" w14:textId="77777777">
      <w:pPr>
        <w:overflowPunct w:val="0"/>
        <w:autoSpaceDE w:val="0"/>
        <w:autoSpaceDN w:val="0"/>
        <w:adjustRightInd w:val="0"/>
        <w:textAlignment w:val="baseline"/>
        <w:rPr>
          <w:bCs/>
          <w:iCs/>
        </w:rPr>
      </w:pPr>
      <w:r>
        <w:t>El CESE:</w:t>
      </w:r>
    </w:p>
    <w:p w:rsidRPr="00C46CDD" w:rsidR="00C46CDD" w:rsidP="00C46CDD" w:rsidRDefault="00C46CDD" w14:paraId="0CBB43F9" w14:textId="77777777">
      <w:pPr>
        <w:overflowPunct w:val="0"/>
        <w:autoSpaceDE w:val="0"/>
        <w:autoSpaceDN w:val="0"/>
        <w:adjustRightInd w:val="0"/>
        <w:textAlignment w:val="baseline"/>
        <w:rPr>
          <w:bCs/>
          <w:iCs/>
          <w:lang w:val="en-GB"/>
        </w:rPr>
      </w:pPr>
    </w:p>
    <w:p w:rsidRPr="00C46CDD" w:rsidR="00C46CDD" w:rsidP="00700204" w:rsidRDefault="00C46CDD" w14:paraId="072B53E5" w14:textId="77777777">
      <w:pPr>
        <w:numPr>
          <w:ilvl w:val="0"/>
          <w:numId w:val="37"/>
        </w:numPr>
        <w:overflowPunct w:val="0"/>
        <w:autoSpaceDE w:val="0"/>
        <w:autoSpaceDN w:val="0"/>
        <w:adjustRightInd w:val="0"/>
        <w:spacing w:line="276" w:lineRule="auto"/>
        <w:ind w:left="284" w:hanging="284"/>
        <w:contextualSpacing/>
        <w:textAlignment w:val="baseline"/>
      </w:pPr>
      <w:r>
        <w:t xml:space="preserve">solicita la creación de una iniciativa emblemática europea en favor de la salud, fundada sobre los principios de universalidad, calidad, accesibilidad, solidaridad e inclusividad; </w:t>
      </w:r>
    </w:p>
    <w:p w:rsidRPr="00C46CDD" w:rsidR="00C46CDD" w:rsidP="00700204" w:rsidRDefault="00C46CDD" w14:paraId="243E20A8" w14:textId="77777777">
      <w:pPr>
        <w:keepNext/>
        <w:numPr>
          <w:ilvl w:val="0"/>
          <w:numId w:val="37"/>
        </w:numPr>
        <w:overflowPunct w:val="0"/>
        <w:autoSpaceDE w:val="0"/>
        <w:autoSpaceDN w:val="0"/>
        <w:adjustRightInd w:val="0"/>
        <w:ind w:left="284" w:hanging="284"/>
        <w:textAlignment w:val="baseline"/>
        <w:outlineLvl w:val="1"/>
        <w:rPr>
          <w:szCs w:val="20"/>
        </w:rPr>
      </w:pPr>
      <w:r>
        <w:t>establece los pilares estratégicos de esta hoja de ruta, a saber:</w:t>
      </w:r>
    </w:p>
    <w:p w:rsidRPr="00C46CDD" w:rsidR="00C46CDD" w:rsidP="00700204" w:rsidRDefault="00C46CDD" w14:paraId="4A084735" w14:textId="77777777">
      <w:pPr>
        <w:numPr>
          <w:ilvl w:val="2"/>
          <w:numId w:val="11"/>
        </w:numPr>
        <w:overflowPunct w:val="0"/>
        <w:autoSpaceDE w:val="0"/>
        <w:autoSpaceDN w:val="0"/>
        <w:adjustRightInd w:val="0"/>
        <w:ind w:left="567" w:hanging="283"/>
        <w:textAlignment w:val="baseline"/>
        <w:outlineLvl w:val="2"/>
        <w:rPr>
          <w:szCs w:val="20"/>
        </w:rPr>
      </w:pPr>
      <w:r>
        <w:t xml:space="preserve">crear una garantía de cuidados y salud europea, </w:t>
      </w:r>
    </w:p>
    <w:p w:rsidRPr="00C46CDD" w:rsidR="00C46CDD" w:rsidP="00700204" w:rsidRDefault="00C46CDD" w14:paraId="3AA0A049" w14:textId="77777777">
      <w:pPr>
        <w:numPr>
          <w:ilvl w:val="2"/>
          <w:numId w:val="11"/>
        </w:numPr>
        <w:overflowPunct w:val="0"/>
        <w:autoSpaceDE w:val="0"/>
        <w:autoSpaceDN w:val="0"/>
        <w:adjustRightInd w:val="0"/>
        <w:ind w:left="567" w:hanging="283"/>
        <w:textAlignment w:val="baseline"/>
        <w:outlineLvl w:val="2"/>
        <w:rPr>
          <w:szCs w:val="20"/>
        </w:rPr>
      </w:pPr>
      <w:r>
        <w:t>dar concreción el enfoque integrado de «Una sola salud»,</w:t>
      </w:r>
    </w:p>
    <w:p w:rsidRPr="00C46CDD" w:rsidR="00C46CDD" w:rsidP="00700204" w:rsidRDefault="00C46CDD" w14:paraId="3F31D6CD" w14:textId="77777777">
      <w:pPr>
        <w:numPr>
          <w:ilvl w:val="2"/>
          <w:numId w:val="11"/>
        </w:numPr>
        <w:overflowPunct w:val="0"/>
        <w:autoSpaceDE w:val="0"/>
        <w:autoSpaceDN w:val="0"/>
        <w:adjustRightInd w:val="0"/>
        <w:ind w:left="567" w:hanging="283"/>
        <w:textAlignment w:val="baseline"/>
        <w:outlineLvl w:val="2"/>
        <w:rPr>
          <w:szCs w:val="20"/>
        </w:rPr>
      </w:pPr>
      <w:r>
        <w:t>valorizar el potencial de la digitalización y la inteligencia artificial para modernizar los sistemas sanitarios,</w:t>
      </w:r>
    </w:p>
    <w:p w:rsidRPr="00C46CDD" w:rsidR="00C46CDD" w:rsidP="00700204" w:rsidRDefault="00C46CDD" w14:paraId="760A5ED8" w14:textId="77777777">
      <w:pPr>
        <w:numPr>
          <w:ilvl w:val="2"/>
          <w:numId w:val="11"/>
        </w:numPr>
        <w:overflowPunct w:val="0"/>
        <w:autoSpaceDE w:val="0"/>
        <w:autoSpaceDN w:val="0"/>
        <w:adjustRightInd w:val="0"/>
        <w:ind w:left="567" w:hanging="283"/>
        <w:textAlignment w:val="baseline"/>
        <w:outlineLvl w:val="2"/>
        <w:rPr>
          <w:szCs w:val="20"/>
        </w:rPr>
      </w:pPr>
      <w:r>
        <w:t>mantener instrumentos financieros europeos para prestar apoyo a las iniciativas y las financiaciones nacionales dedicadas a la salud,</w:t>
      </w:r>
    </w:p>
    <w:p w:rsidRPr="00C46CDD" w:rsidR="00C46CDD" w:rsidP="00700204" w:rsidRDefault="00C46CDD" w14:paraId="06E585A6" w14:textId="77777777">
      <w:pPr>
        <w:numPr>
          <w:ilvl w:val="2"/>
          <w:numId w:val="11"/>
        </w:numPr>
        <w:overflowPunct w:val="0"/>
        <w:autoSpaceDE w:val="0"/>
        <w:autoSpaceDN w:val="0"/>
        <w:adjustRightInd w:val="0"/>
        <w:ind w:left="567" w:hanging="283"/>
        <w:textAlignment w:val="baseline"/>
        <w:outlineLvl w:val="2"/>
        <w:rPr>
          <w:szCs w:val="20"/>
        </w:rPr>
      </w:pPr>
      <w:r>
        <w:t xml:space="preserve">conceder prioridad a las inversiones sociales y sanitarias, </w:t>
      </w:r>
    </w:p>
    <w:p w:rsidRPr="00C46CDD" w:rsidR="00C46CDD" w:rsidP="00700204" w:rsidRDefault="00C46CDD" w14:paraId="2E44EA7A" w14:textId="77777777">
      <w:pPr>
        <w:numPr>
          <w:ilvl w:val="2"/>
          <w:numId w:val="11"/>
        </w:numPr>
        <w:overflowPunct w:val="0"/>
        <w:autoSpaceDE w:val="0"/>
        <w:autoSpaceDN w:val="0"/>
        <w:adjustRightInd w:val="0"/>
        <w:ind w:left="567" w:hanging="283"/>
        <w:textAlignment w:val="baseline"/>
        <w:outlineLvl w:val="2"/>
        <w:rPr>
          <w:szCs w:val="20"/>
        </w:rPr>
      </w:pPr>
      <w:r>
        <w:t xml:space="preserve">promover un cuadro de indicadores integrado de las reformas socioeconómicas, sanitarias y medioambientales con vistas a una estrategia «más allá del crecimiento», </w:t>
      </w:r>
    </w:p>
    <w:p w:rsidRPr="00C46CDD" w:rsidR="00C46CDD" w:rsidP="00700204" w:rsidRDefault="00C46CDD" w14:paraId="24E41480" w14:textId="77777777">
      <w:pPr>
        <w:numPr>
          <w:ilvl w:val="2"/>
          <w:numId w:val="11"/>
        </w:numPr>
        <w:overflowPunct w:val="0"/>
        <w:autoSpaceDE w:val="0"/>
        <w:autoSpaceDN w:val="0"/>
        <w:adjustRightInd w:val="0"/>
        <w:ind w:left="567" w:hanging="283"/>
        <w:textAlignment w:val="baseline"/>
        <w:outlineLvl w:val="2"/>
        <w:rPr>
          <w:szCs w:val="20"/>
        </w:rPr>
      </w:pPr>
      <w:r>
        <w:t xml:space="preserve">elaborar un plan de inversión específico para reforzar las capacidades y poner en valor las profesiones y el personal sanitarios, </w:t>
      </w:r>
    </w:p>
    <w:p w:rsidRPr="00C46CDD" w:rsidR="00C46CDD" w:rsidP="00700204" w:rsidRDefault="00C46CDD" w14:paraId="5CF34598" w14:textId="77777777">
      <w:pPr>
        <w:numPr>
          <w:ilvl w:val="2"/>
          <w:numId w:val="11"/>
        </w:numPr>
        <w:overflowPunct w:val="0"/>
        <w:autoSpaceDE w:val="0"/>
        <w:autoSpaceDN w:val="0"/>
        <w:adjustRightInd w:val="0"/>
        <w:ind w:left="567" w:hanging="283"/>
        <w:textAlignment w:val="baseline"/>
        <w:outlineLvl w:val="2"/>
        <w:rPr>
          <w:szCs w:val="20"/>
        </w:rPr>
      </w:pPr>
      <w:r>
        <w:t xml:space="preserve">concretar la colaboración entre la UE y la Oficina Regional para Europa de la OMS con el fin de seleccionar, atraer, orientar y apoyar al personal sanitario, </w:t>
      </w:r>
    </w:p>
    <w:p w:rsidRPr="00C46CDD" w:rsidR="00C46CDD" w:rsidP="00700204" w:rsidRDefault="00C46CDD" w14:paraId="7BC1C2EA" w14:textId="77777777">
      <w:pPr>
        <w:numPr>
          <w:ilvl w:val="2"/>
          <w:numId w:val="11"/>
        </w:numPr>
        <w:overflowPunct w:val="0"/>
        <w:autoSpaceDE w:val="0"/>
        <w:autoSpaceDN w:val="0"/>
        <w:adjustRightInd w:val="0"/>
        <w:ind w:left="567" w:hanging="283"/>
        <w:textAlignment w:val="baseline"/>
        <w:outlineLvl w:val="2"/>
        <w:rPr>
          <w:szCs w:val="20"/>
        </w:rPr>
      </w:pPr>
      <w:r>
        <w:t>mejorar la salud y la seguridad en el trabajo,</w:t>
      </w:r>
    </w:p>
    <w:p w:rsidRPr="00C46CDD" w:rsidR="00C46CDD" w:rsidP="00700204" w:rsidRDefault="00C46CDD" w14:paraId="535F7E06" w14:textId="77777777">
      <w:pPr>
        <w:numPr>
          <w:ilvl w:val="2"/>
          <w:numId w:val="11"/>
        </w:numPr>
        <w:overflowPunct w:val="0"/>
        <w:autoSpaceDE w:val="0"/>
        <w:autoSpaceDN w:val="0"/>
        <w:adjustRightInd w:val="0"/>
        <w:ind w:left="567" w:hanging="283"/>
        <w:textAlignment w:val="baseline"/>
        <w:outlineLvl w:val="2"/>
        <w:rPr>
          <w:szCs w:val="20"/>
        </w:rPr>
      </w:pPr>
      <w:r>
        <w:t>establecer un plan de acción de la UE sobre enfermedades raras y planes nacionales sobre enfermedades raras, incorporando la diplomacia sanitaria a las políticas exteriores de la UE como instrumento de «poder blando»</w:t>
      </w:r>
      <w:r w:rsidRPr="00C46CDD">
        <w:rPr>
          <w:szCs w:val="20"/>
          <w:lang w:val="en-GB"/>
        </w:rPr>
        <w:footnoteReference w:id="1"/>
      </w:r>
      <w:r>
        <w:t xml:space="preserve">; </w:t>
      </w:r>
    </w:p>
    <w:p w:rsidRPr="00C46CDD" w:rsidR="00C46CDD" w:rsidP="00700204" w:rsidRDefault="00C46CDD" w14:paraId="11727F21" w14:textId="77777777">
      <w:pPr>
        <w:keepNext/>
        <w:widowControl w:val="0"/>
        <w:numPr>
          <w:ilvl w:val="0"/>
          <w:numId w:val="38"/>
        </w:numPr>
        <w:overflowPunct w:val="0"/>
        <w:autoSpaceDE w:val="0"/>
        <w:autoSpaceDN w:val="0"/>
        <w:adjustRightInd w:val="0"/>
        <w:ind w:left="284" w:hanging="284"/>
        <w:textAlignment w:val="baseline"/>
        <w:outlineLvl w:val="1"/>
        <w:rPr>
          <w:szCs w:val="20"/>
        </w:rPr>
      </w:pPr>
      <w:r>
        <w:t>pide una participación más institucionalizada de la sociedad civil en la definición, la evaluación y el seguimiento de las prioridades sanitarias.</w:t>
      </w:r>
    </w:p>
    <w:p w:rsidRPr="00C46CDD" w:rsidR="00C46CDD" w:rsidP="00700204"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AA20A5" w:rsidR="00594F3A" w:rsidTr="000F216A" w14:paraId="64BA1221" w14:textId="77777777">
        <w:tc>
          <w:tcPr>
            <w:tcW w:w="1985" w:type="dxa"/>
          </w:tcPr>
          <w:p w:rsidRPr="00AA20A5" w:rsidR="00594F3A" w:rsidP="00C46CDD" w:rsidRDefault="00594F3A" w14:paraId="0B1E69DD" w14:textId="77777777">
            <w:pPr>
              <w:overflowPunct w:val="0"/>
              <w:autoSpaceDE w:val="0"/>
              <w:autoSpaceDN w:val="0"/>
              <w:adjustRightInd w:val="0"/>
              <w:spacing w:line="240" w:lineRule="auto"/>
              <w:textAlignment w:val="baseline"/>
              <w:rPr>
                <w:i/>
                <w:sz w:val="22"/>
                <w:szCs w:val="22"/>
              </w:rPr>
            </w:pPr>
            <w:r w:rsidRPr="00AA20A5">
              <w:rPr>
                <w:b/>
                <w:i/>
                <w:sz w:val="22"/>
                <w:szCs w:val="22"/>
              </w:rPr>
              <w:t>Contacto:</w:t>
            </w:r>
          </w:p>
        </w:tc>
        <w:tc>
          <w:tcPr>
            <w:tcW w:w="4507" w:type="dxa"/>
          </w:tcPr>
          <w:p w:rsidRPr="00AA20A5" w:rsidR="00594F3A" w:rsidP="00C46CDD" w:rsidRDefault="00594F3A" w14:paraId="4C1535B4" w14:textId="0C2CBA0F">
            <w:pPr>
              <w:overflowPunct w:val="0"/>
              <w:autoSpaceDE w:val="0"/>
              <w:autoSpaceDN w:val="0"/>
              <w:adjustRightInd w:val="0"/>
              <w:spacing w:line="240" w:lineRule="auto"/>
              <w:textAlignment w:val="baseline"/>
              <w:rPr>
                <w:i/>
                <w:sz w:val="22"/>
                <w:szCs w:val="22"/>
              </w:rPr>
            </w:pPr>
            <w:r w:rsidRPr="00AA20A5">
              <w:rPr>
                <w:i/>
                <w:sz w:val="22"/>
                <w:szCs w:val="22"/>
              </w:rPr>
              <w:t>Valeria Atzori</w:t>
            </w:r>
          </w:p>
        </w:tc>
      </w:tr>
      <w:tr w:rsidRPr="00AA20A5" w:rsidR="00594F3A" w:rsidTr="000F216A" w14:paraId="2DAB0189" w14:textId="77777777">
        <w:tc>
          <w:tcPr>
            <w:tcW w:w="1985" w:type="dxa"/>
          </w:tcPr>
          <w:p w:rsidRPr="00AA20A5" w:rsidR="00594F3A" w:rsidP="00C46CDD" w:rsidRDefault="00594F3A" w14:paraId="515670BA" w14:textId="77777777">
            <w:pPr>
              <w:overflowPunct w:val="0"/>
              <w:autoSpaceDE w:val="0"/>
              <w:autoSpaceDN w:val="0"/>
              <w:adjustRightInd w:val="0"/>
              <w:spacing w:line="240" w:lineRule="auto"/>
              <w:textAlignment w:val="baseline"/>
              <w:rPr>
                <w:i/>
                <w:sz w:val="22"/>
                <w:szCs w:val="22"/>
              </w:rPr>
            </w:pPr>
            <w:r w:rsidRPr="00AA20A5">
              <w:rPr>
                <w:i/>
                <w:sz w:val="22"/>
                <w:szCs w:val="22"/>
              </w:rPr>
              <w:t>Teléfono:</w:t>
            </w:r>
          </w:p>
        </w:tc>
        <w:tc>
          <w:tcPr>
            <w:tcW w:w="4507" w:type="dxa"/>
          </w:tcPr>
          <w:p w:rsidRPr="00AA20A5" w:rsidR="00594F3A" w:rsidP="00C46CDD" w:rsidRDefault="00594F3A" w14:paraId="41E5F313" w14:textId="77777777">
            <w:pPr>
              <w:overflowPunct w:val="0"/>
              <w:autoSpaceDE w:val="0"/>
              <w:autoSpaceDN w:val="0"/>
              <w:adjustRightInd w:val="0"/>
              <w:spacing w:line="240" w:lineRule="auto"/>
              <w:textAlignment w:val="baseline"/>
              <w:rPr>
                <w:i/>
                <w:sz w:val="22"/>
                <w:szCs w:val="22"/>
              </w:rPr>
            </w:pPr>
            <w:r w:rsidRPr="00AA20A5">
              <w:rPr>
                <w:i/>
                <w:sz w:val="22"/>
                <w:szCs w:val="22"/>
              </w:rPr>
              <w:t>+32 25468774</w:t>
            </w:r>
          </w:p>
        </w:tc>
      </w:tr>
      <w:tr w:rsidRPr="00AA20A5" w:rsidR="00594F3A" w:rsidTr="000F216A" w14:paraId="4B7D2331" w14:textId="77777777">
        <w:tc>
          <w:tcPr>
            <w:tcW w:w="1985" w:type="dxa"/>
          </w:tcPr>
          <w:p w:rsidRPr="00AA20A5" w:rsidR="00594F3A" w:rsidP="00C46CDD" w:rsidRDefault="00594F3A" w14:paraId="1466B240" w14:textId="1471B953">
            <w:pPr>
              <w:overflowPunct w:val="0"/>
              <w:autoSpaceDE w:val="0"/>
              <w:autoSpaceDN w:val="0"/>
              <w:adjustRightInd w:val="0"/>
              <w:spacing w:line="240" w:lineRule="auto"/>
              <w:textAlignment w:val="baseline"/>
              <w:rPr>
                <w:i/>
                <w:sz w:val="22"/>
                <w:szCs w:val="22"/>
              </w:rPr>
            </w:pPr>
            <w:r w:rsidRPr="00AA20A5">
              <w:rPr>
                <w:i/>
                <w:sz w:val="22"/>
                <w:szCs w:val="22"/>
              </w:rPr>
              <w:t>Correo electrónico:</w:t>
            </w:r>
          </w:p>
        </w:tc>
        <w:tc>
          <w:tcPr>
            <w:tcW w:w="4507" w:type="dxa"/>
          </w:tcPr>
          <w:p w:rsidRPr="00AA20A5" w:rsidR="00594F3A" w:rsidP="00C46CDD" w:rsidRDefault="00F22A9C" w14:paraId="643B2166" w14:textId="45AD95E8">
            <w:pPr>
              <w:overflowPunct w:val="0"/>
              <w:autoSpaceDE w:val="0"/>
              <w:autoSpaceDN w:val="0"/>
              <w:adjustRightInd w:val="0"/>
              <w:spacing w:line="240" w:lineRule="auto"/>
              <w:textAlignment w:val="baseline"/>
              <w:rPr>
                <w:i/>
                <w:iCs/>
                <w:sz w:val="22"/>
                <w:szCs w:val="22"/>
              </w:rPr>
            </w:pPr>
            <w:hyperlink w:history="1" r:id="rId35">
              <w:r w:rsidRPr="00AA20A5" w:rsidR="00594F3A">
                <w:rPr>
                  <w:i/>
                  <w:color w:val="0000FF"/>
                  <w:sz w:val="22"/>
                  <w:szCs w:val="22"/>
                  <w:u w:val="single"/>
                </w:rPr>
                <w:t>Valeria.Atzori@eesc.europa.eu</w:t>
              </w:r>
            </w:hyperlink>
          </w:p>
        </w:tc>
      </w:tr>
    </w:tbl>
    <w:p w:rsidR="00C46CDD" w:rsidP="004D7AC0" w:rsidRDefault="00C46CDD" w14:paraId="2D851726" w14:textId="77777777">
      <w:pPr>
        <w:spacing w:after="160" w:line="259" w:lineRule="auto"/>
        <w:jc w:val="left"/>
      </w:pPr>
    </w:p>
    <w:p w:rsidR="00C46CDD" w:rsidRDefault="00C46CDD" w14:paraId="58744B54" w14:textId="77777777">
      <w:pPr>
        <w:spacing w:after="160" w:line="259" w:lineRule="auto"/>
        <w:jc w:val="left"/>
      </w:pPr>
      <w:r>
        <w:br w:type="page"/>
      </w:r>
    </w:p>
    <w:p w:rsidRPr="00450A40" w:rsidR="00450A40" w:rsidP="00450A40" w:rsidRDefault="00F22A9C" w14:paraId="758FA460" w14:textId="69DF6C42">
      <w:pPr>
        <w:widowControl w:val="0"/>
        <w:numPr>
          <w:ilvl w:val="0"/>
          <w:numId w:val="8"/>
        </w:numPr>
        <w:overflowPunct w:val="0"/>
        <w:autoSpaceDE w:val="0"/>
        <w:autoSpaceDN w:val="0"/>
        <w:adjustRightInd w:val="0"/>
        <w:ind w:hanging="567"/>
        <w:textAlignment w:val="baseline"/>
        <w:rPr>
          <w:sz w:val="24"/>
          <w:szCs w:val="24"/>
        </w:rPr>
      </w:pPr>
      <w:hyperlink w:history="1" r:id="rId36">
        <w:r w:rsidRPr="00AA20A5" w:rsidR="00276FC9">
          <w:rPr>
            <w:rStyle w:val="Hyperlink"/>
            <w:b/>
            <w:i/>
            <w:sz w:val="28"/>
          </w:rPr>
          <w:t>No dejar a nadie atrás: el compromiso europeo en la lucha contra las enfermedades raras</w:t>
        </w:r>
      </w:hyperlink>
    </w:p>
    <w:p w:rsidRPr="00450A40"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450A40" w:rsidR="00450A40" w:rsidTr="00EF04B5" w14:paraId="2917F207" w14:textId="77777777">
        <w:tc>
          <w:tcPr>
            <w:tcW w:w="1701" w:type="dxa"/>
          </w:tcPr>
          <w:p w:rsidRPr="00450A40" w:rsidR="00450A40" w:rsidP="00450A40" w:rsidRDefault="00450A40" w14:paraId="3BF4FBFA" w14:textId="77777777">
            <w:pPr>
              <w:tabs>
                <w:tab w:val="center" w:pos="284"/>
              </w:tabs>
              <w:overflowPunct w:val="0"/>
              <w:autoSpaceDE w:val="0"/>
              <w:autoSpaceDN w:val="0"/>
              <w:adjustRightInd w:val="0"/>
              <w:ind w:left="266" w:hanging="266"/>
              <w:textAlignment w:val="baseline"/>
              <w:rPr>
                <w:b/>
              </w:rPr>
            </w:pPr>
            <w:r>
              <w:rPr>
                <w:b/>
              </w:rPr>
              <w:t>Ponente</w:t>
            </w:r>
          </w:p>
        </w:tc>
        <w:tc>
          <w:tcPr>
            <w:tcW w:w="6237" w:type="dxa"/>
          </w:tcPr>
          <w:p w:rsidRPr="00450A40" w:rsidR="00450A40" w:rsidP="00450A40" w:rsidRDefault="00450A40" w14:paraId="407379E4" w14:textId="7BCF5FA2">
            <w:pPr>
              <w:tabs>
                <w:tab w:val="center" w:pos="284"/>
              </w:tabs>
              <w:overflowPunct w:val="0"/>
              <w:autoSpaceDE w:val="0"/>
              <w:autoSpaceDN w:val="0"/>
              <w:adjustRightInd w:val="0"/>
              <w:ind w:left="266" w:hanging="266"/>
              <w:textAlignment w:val="baseline"/>
            </w:pPr>
            <w:r>
              <w:t>Ágnes CSER (Grupo de Organizaciones de la Sociedad Civil – BE)</w:t>
            </w:r>
          </w:p>
        </w:tc>
      </w:tr>
      <w:tr w:rsidRPr="00450A40" w:rsidR="00450A40" w:rsidTr="00EF04B5" w14:paraId="7A81A249" w14:textId="77777777">
        <w:tc>
          <w:tcPr>
            <w:tcW w:w="7938" w:type="dxa"/>
            <w:gridSpan w:val="2"/>
          </w:tcPr>
          <w:p w:rsidRPr="00450A40"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50A40" w:rsidR="00450A40" w:rsidTr="00EF04B5" w14:paraId="4868C399" w14:textId="77777777">
        <w:tc>
          <w:tcPr>
            <w:tcW w:w="1701" w:type="dxa"/>
            <w:vMerge w:val="restart"/>
          </w:tcPr>
          <w:p w:rsidRPr="00450A40" w:rsidR="00450A40" w:rsidP="00450A40" w:rsidRDefault="00450A40" w14:paraId="5A3BBF42" w14:textId="77777777">
            <w:pPr>
              <w:tabs>
                <w:tab w:val="center" w:pos="284"/>
              </w:tabs>
              <w:overflowPunct w:val="0"/>
              <w:autoSpaceDE w:val="0"/>
              <w:autoSpaceDN w:val="0"/>
              <w:adjustRightInd w:val="0"/>
              <w:ind w:left="266" w:hanging="266"/>
              <w:textAlignment w:val="baseline"/>
              <w:rPr>
                <w:b/>
              </w:rPr>
            </w:pPr>
            <w:r>
              <w:rPr>
                <w:b/>
              </w:rPr>
              <w:t xml:space="preserve">Referencia </w:t>
            </w:r>
          </w:p>
        </w:tc>
        <w:tc>
          <w:tcPr>
            <w:tcW w:w="6237" w:type="dxa"/>
          </w:tcPr>
          <w:p w:rsidRPr="00450A40" w:rsidR="00450A40" w:rsidP="00450A40" w:rsidRDefault="00450A40" w14:paraId="412520D1" w14:textId="77777777">
            <w:pPr>
              <w:tabs>
                <w:tab w:val="center" w:pos="284"/>
              </w:tabs>
              <w:overflowPunct w:val="0"/>
              <w:autoSpaceDE w:val="0"/>
              <w:autoSpaceDN w:val="0"/>
              <w:adjustRightInd w:val="0"/>
              <w:ind w:left="266" w:hanging="266"/>
              <w:textAlignment w:val="baseline"/>
            </w:pPr>
            <w:r>
              <w:t>Dictamen de iniciativa</w:t>
            </w:r>
          </w:p>
        </w:tc>
      </w:tr>
      <w:tr w:rsidRPr="00450A40" w:rsidR="00450A40" w:rsidTr="00EF04B5" w14:paraId="5A783053" w14:textId="77777777">
        <w:tc>
          <w:tcPr>
            <w:tcW w:w="1701" w:type="dxa"/>
            <w:vMerge/>
          </w:tcPr>
          <w:p w:rsidRPr="00450A40" w:rsidR="00450A40" w:rsidP="00450A40" w:rsidRDefault="00450A40" w14:paraId="76249DF8" w14:textId="77777777">
            <w:pPr>
              <w:tabs>
                <w:tab w:val="center" w:pos="284"/>
              </w:tabs>
              <w:overflowPunct w:val="0"/>
              <w:autoSpaceDE w:val="0"/>
              <w:autoSpaceDN w:val="0"/>
              <w:adjustRightInd w:val="0"/>
              <w:ind w:left="266" w:hanging="266"/>
              <w:textAlignment w:val="baseline"/>
              <w:rPr>
                <w:b/>
                <w:lang w:val="en-GB"/>
              </w:rPr>
            </w:pPr>
          </w:p>
        </w:tc>
        <w:tc>
          <w:tcPr>
            <w:tcW w:w="6237" w:type="dxa"/>
          </w:tcPr>
          <w:p w:rsidRPr="00450A40" w:rsidR="00450A40" w:rsidP="00450A40" w:rsidRDefault="00450A40" w14:paraId="75CD27AE" w14:textId="77777777">
            <w:pPr>
              <w:tabs>
                <w:tab w:val="center" w:pos="284"/>
              </w:tabs>
              <w:overflowPunct w:val="0"/>
              <w:autoSpaceDE w:val="0"/>
              <w:autoSpaceDN w:val="0"/>
              <w:adjustRightInd w:val="0"/>
              <w:ind w:left="266" w:hanging="266"/>
              <w:textAlignment w:val="baseline"/>
            </w:pPr>
            <w:r>
              <w:t>EESC-2024-02112-00-00-AC</w:t>
            </w:r>
          </w:p>
        </w:tc>
      </w:tr>
    </w:tbl>
    <w:p w:rsidRPr="00450A40"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450A40"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rPr>
      </w:pPr>
      <w:r>
        <w:rPr>
          <w:b/>
          <w:bCs/>
        </w:rPr>
        <w:t>Puntos clave:</w:t>
      </w:r>
    </w:p>
    <w:p w:rsidRPr="00450A40"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450A40" w:rsidR="00450A40" w:rsidP="00450A40" w:rsidRDefault="00450A40" w14:paraId="750A1011" w14:textId="77777777">
      <w:pPr>
        <w:overflowPunct w:val="0"/>
        <w:autoSpaceDE w:val="0"/>
        <w:autoSpaceDN w:val="0"/>
        <w:adjustRightInd w:val="0"/>
        <w:textAlignment w:val="baseline"/>
        <w:rPr>
          <w:bCs/>
          <w:iCs/>
        </w:rPr>
      </w:pPr>
      <w:r>
        <w:t xml:space="preserve">El CESE </w:t>
      </w:r>
    </w:p>
    <w:p w:rsidRPr="00450A40" w:rsidR="00450A40" w:rsidP="00450A40" w:rsidRDefault="00450A40" w14:paraId="1E174A19" w14:textId="77777777">
      <w:pPr>
        <w:overflowPunct w:val="0"/>
        <w:autoSpaceDE w:val="0"/>
        <w:autoSpaceDN w:val="0"/>
        <w:adjustRightInd w:val="0"/>
        <w:textAlignment w:val="baseline"/>
        <w:rPr>
          <w:bCs/>
          <w:iCs/>
          <w:lang w:val="en-GB"/>
        </w:rPr>
      </w:pPr>
    </w:p>
    <w:p w:rsidRPr="00450A40" w:rsidR="00450A40" w:rsidP="000F216A" w:rsidRDefault="00450A40" w14:paraId="7E826689" w14:textId="77777777">
      <w:pPr>
        <w:numPr>
          <w:ilvl w:val="0"/>
          <w:numId w:val="39"/>
        </w:numPr>
        <w:overflowPunct w:val="0"/>
        <w:autoSpaceDE w:val="0"/>
        <w:autoSpaceDN w:val="0"/>
        <w:adjustRightInd w:val="0"/>
        <w:spacing w:line="276" w:lineRule="auto"/>
        <w:ind w:left="284" w:hanging="284"/>
        <w:textAlignment w:val="baseline"/>
        <w:outlineLvl w:val="1"/>
        <w:rPr>
          <w:szCs w:val="20"/>
        </w:rPr>
      </w:pPr>
      <w:r>
        <w:t>pide a la Comisión que:</w:t>
      </w:r>
    </w:p>
    <w:p w:rsidRPr="00450A40" w:rsidR="00450A40" w:rsidP="00915CD9" w:rsidRDefault="00450A40" w14:paraId="6BA4A495" w14:textId="77777777">
      <w:pPr>
        <w:numPr>
          <w:ilvl w:val="0"/>
          <w:numId w:val="14"/>
        </w:numPr>
        <w:tabs>
          <w:tab w:val="left" w:pos="1185"/>
        </w:tabs>
        <w:overflowPunct w:val="0"/>
        <w:autoSpaceDE w:val="0"/>
        <w:autoSpaceDN w:val="0"/>
        <w:adjustRightInd w:val="0"/>
        <w:ind w:left="567" w:hanging="283"/>
        <w:contextualSpacing/>
        <w:textAlignment w:val="baseline"/>
        <w:outlineLvl w:val="1"/>
      </w:pPr>
      <w:r>
        <w:t>ponga en marcha la propuesta de un plan de acción europeo global sobre enfermedades raras, que incluya objetivos específicos, medibles, alcanzables, realistas y acotados en el tiempo —viables de aquí a 2030— y posibilite el diagnóstico de este tipo de enfermedades en el plazo de un año;</w:t>
      </w:r>
    </w:p>
    <w:p w:rsidRPr="00450A40" w:rsidR="00450A40" w:rsidP="00915CD9" w:rsidRDefault="00450A40" w14:paraId="264ACA10" w14:textId="77777777">
      <w:pPr>
        <w:numPr>
          <w:ilvl w:val="0"/>
          <w:numId w:val="14"/>
        </w:numPr>
        <w:overflowPunct w:val="0"/>
        <w:autoSpaceDE w:val="0"/>
        <w:autoSpaceDN w:val="0"/>
        <w:adjustRightInd w:val="0"/>
        <w:ind w:left="567" w:hanging="283"/>
        <w:contextualSpacing/>
        <w:textAlignment w:val="baseline"/>
        <w:outlineLvl w:val="1"/>
      </w:pPr>
      <w:r>
        <w:t>cree un grupo director del plan de acción europeo para las enfermedades raras que reúna a expertos de los Estados miembros y miembros de Eurordis y del CESE con objeto de garantizar la coordinación, la cooperación, el seguimiento y la supervisión de dicho plan de acción;</w:t>
      </w:r>
    </w:p>
    <w:p w:rsidRPr="00450A40" w:rsidR="00450A40" w:rsidP="00915CD9" w:rsidRDefault="00450A40" w14:paraId="1E368AE0" w14:textId="77777777">
      <w:pPr>
        <w:numPr>
          <w:ilvl w:val="0"/>
          <w:numId w:val="14"/>
        </w:numPr>
        <w:overflowPunct w:val="0"/>
        <w:autoSpaceDE w:val="0"/>
        <w:autoSpaceDN w:val="0"/>
        <w:adjustRightInd w:val="0"/>
        <w:ind w:left="567" w:hanging="283"/>
        <w:contextualSpacing/>
        <w:textAlignment w:val="baseline"/>
        <w:outlineLvl w:val="1"/>
      </w:pPr>
      <w:r>
        <w:t>fomente acuerdos con los Estados miembros sobre el contenido, la actualización, la aplicación y el seguimiento de los planes nacionales en el ámbito de las enfermedades raras;</w:t>
      </w:r>
    </w:p>
    <w:p w:rsidRPr="00450A40" w:rsidR="00450A40" w:rsidP="00915CD9" w:rsidRDefault="00450A40" w14:paraId="2D7A7CA8" w14:textId="77777777">
      <w:pPr>
        <w:numPr>
          <w:ilvl w:val="0"/>
          <w:numId w:val="14"/>
        </w:numPr>
        <w:overflowPunct w:val="0"/>
        <w:autoSpaceDE w:val="0"/>
        <w:autoSpaceDN w:val="0"/>
        <w:adjustRightInd w:val="0"/>
        <w:ind w:left="567" w:hanging="283"/>
        <w:contextualSpacing/>
        <w:textAlignment w:val="baseline"/>
        <w:outlineLvl w:val="1"/>
      </w:pPr>
      <w:r>
        <w:t>garantice la financiación y la sostenibilidad del plan de acción y prevea los recursos presupuestarios necesarios en el ámbito de la salud en el marco financiero plurianual 2028-2035;</w:t>
      </w:r>
    </w:p>
    <w:p w:rsidRPr="00450A40" w:rsidR="00450A40" w:rsidP="000F216A" w:rsidRDefault="00450A40" w14:paraId="4F0D053C" w14:textId="77777777">
      <w:pPr>
        <w:numPr>
          <w:ilvl w:val="0"/>
          <w:numId w:val="40"/>
        </w:numPr>
        <w:overflowPunct w:val="0"/>
        <w:autoSpaceDE w:val="0"/>
        <w:autoSpaceDN w:val="0"/>
        <w:adjustRightInd w:val="0"/>
        <w:spacing w:line="276" w:lineRule="auto"/>
        <w:ind w:left="284" w:hanging="284"/>
        <w:textAlignment w:val="baseline"/>
        <w:outlineLvl w:val="1"/>
        <w:rPr>
          <w:bCs/>
          <w:iCs/>
        </w:rPr>
      </w:pPr>
      <w:r>
        <w:t>recomienda que el plan de acción europeo para las enfermedades raras no solo establezca objetivos comunes y mensurables que ayuden a definir y aplicar los planes y estrategias nacionales en materia de enfermedades raras, animar a los Estados miembros y proseguir la cooperación a escala de la UE, sino que también incluya mecanismos específicos de incentivación para promover la investigación y la innovación, en particular en los ámbitos del diagnóstico avanzado, la medicina de precisión y la terapia génica.</w:t>
      </w:r>
    </w:p>
    <w:p w:rsidRPr="00450A40" w:rsidR="00450A40" w:rsidP="000F216A" w:rsidRDefault="00450A40" w14:paraId="418E9E39" w14:textId="77777777">
      <w:pPr>
        <w:numPr>
          <w:ilvl w:val="0"/>
          <w:numId w:val="40"/>
        </w:numPr>
        <w:overflowPunct w:val="0"/>
        <w:autoSpaceDE w:val="0"/>
        <w:autoSpaceDN w:val="0"/>
        <w:adjustRightInd w:val="0"/>
        <w:spacing w:after="200" w:line="276" w:lineRule="auto"/>
        <w:ind w:left="284" w:hanging="284"/>
        <w:textAlignment w:val="baseline"/>
        <w:outlineLvl w:val="1"/>
        <w:rPr>
          <w:bCs/>
          <w:iCs/>
        </w:rPr>
      </w:pPr>
      <w:r>
        <w:t>aboga por una formación específica para reforzar las capacidades de diagnóstico tanto del personal sanitario como de los trabajadores sociales y el personal de asistencia social, al objeto de que puedan atender más eficazmente a las personas con enfermedades raras.</w:t>
      </w:r>
    </w:p>
    <w:p w:rsidRPr="00450A40" w:rsidR="00450A40" w:rsidP="00450A40" w:rsidRDefault="00450A40" w14:paraId="699F5299" w14:textId="77777777">
      <w:pPr>
        <w:widowControl w:val="0"/>
        <w:overflowPunct w:val="0"/>
        <w:autoSpaceDE w:val="0"/>
        <w:autoSpaceDN w:val="0"/>
        <w:adjustRightInd w:val="0"/>
        <w:ind w:left="709"/>
        <w:textAlignment w:val="baseline"/>
        <w:rPr>
          <w:szCs w:val="20"/>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950137" w:rsidR="00347517" w:rsidTr="000F216A" w14:paraId="6BAB6B77" w14:textId="77777777">
        <w:tc>
          <w:tcPr>
            <w:tcW w:w="1985" w:type="dxa"/>
          </w:tcPr>
          <w:p w:rsidRPr="00950137" w:rsidR="00347517" w:rsidP="00450A40" w:rsidRDefault="00347517" w14:paraId="2030A07C" w14:textId="77777777">
            <w:pPr>
              <w:overflowPunct w:val="0"/>
              <w:autoSpaceDE w:val="0"/>
              <w:autoSpaceDN w:val="0"/>
              <w:adjustRightInd w:val="0"/>
              <w:spacing w:line="240" w:lineRule="auto"/>
              <w:textAlignment w:val="baseline"/>
              <w:rPr>
                <w:i/>
                <w:sz w:val="22"/>
                <w:szCs w:val="22"/>
              </w:rPr>
            </w:pPr>
            <w:r w:rsidRPr="00950137">
              <w:rPr>
                <w:b/>
                <w:i/>
                <w:sz w:val="22"/>
                <w:szCs w:val="22"/>
              </w:rPr>
              <w:t>Contacto:</w:t>
            </w:r>
          </w:p>
        </w:tc>
        <w:tc>
          <w:tcPr>
            <w:tcW w:w="4507" w:type="dxa"/>
          </w:tcPr>
          <w:p w:rsidRPr="00950137" w:rsidR="00347517" w:rsidP="00450A40" w:rsidRDefault="00347517" w14:paraId="28309AB2" w14:textId="6056F1FD">
            <w:pPr>
              <w:overflowPunct w:val="0"/>
              <w:autoSpaceDE w:val="0"/>
              <w:autoSpaceDN w:val="0"/>
              <w:adjustRightInd w:val="0"/>
              <w:spacing w:line="240" w:lineRule="auto"/>
              <w:textAlignment w:val="baseline"/>
              <w:rPr>
                <w:i/>
                <w:sz w:val="22"/>
                <w:szCs w:val="22"/>
              </w:rPr>
            </w:pPr>
            <w:r w:rsidRPr="00950137">
              <w:rPr>
                <w:i/>
                <w:sz w:val="22"/>
                <w:szCs w:val="22"/>
              </w:rPr>
              <w:t>Valeria Atzori</w:t>
            </w:r>
          </w:p>
        </w:tc>
      </w:tr>
      <w:tr w:rsidRPr="00950137" w:rsidR="00347517" w:rsidTr="000F216A" w14:paraId="6C1B34F5" w14:textId="77777777">
        <w:tc>
          <w:tcPr>
            <w:tcW w:w="1985" w:type="dxa"/>
          </w:tcPr>
          <w:p w:rsidRPr="00950137" w:rsidR="00347517" w:rsidP="00450A40" w:rsidRDefault="00347517" w14:paraId="2A46950A" w14:textId="77777777">
            <w:pPr>
              <w:overflowPunct w:val="0"/>
              <w:autoSpaceDE w:val="0"/>
              <w:autoSpaceDN w:val="0"/>
              <w:adjustRightInd w:val="0"/>
              <w:spacing w:line="240" w:lineRule="auto"/>
              <w:textAlignment w:val="baseline"/>
              <w:rPr>
                <w:i/>
                <w:sz w:val="22"/>
                <w:szCs w:val="22"/>
              </w:rPr>
            </w:pPr>
            <w:r w:rsidRPr="00950137">
              <w:rPr>
                <w:i/>
                <w:sz w:val="22"/>
                <w:szCs w:val="22"/>
              </w:rPr>
              <w:t>Teléfono:</w:t>
            </w:r>
          </w:p>
        </w:tc>
        <w:tc>
          <w:tcPr>
            <w:tcW w:w="4507" w:type="dxa"/>
          </w:tcPr>
          <w:p w:rsidRPr="00950137" w:rsidR="00347517" w:rsidP="00450A40" w:rsidRDefault="00347517" w14:paraId="071FDAD8" w14:textId="77777777">
            <w:pPr>
              <w:overflowPunct w:val="0"/>
              <w:autoSpaceDE w:val="0"/>
              <w:autoSpaceDN w:val="0"/>
              <w:adjustRightInd w:val="0"/>
              <w:spacing w:line="240" w:lineRule="auto"/>
              <w:textAlignment w:val="baseline"/>
              <w:rPr>
                <w:i/>
                <w:sz w:val="22"/>
                <w:szCs w:val="22"/>
              </w:rPr>
            </w:pPr>
            <w:r w:rsidRPr="00950137">
              <w:rPr>
                <w:i/>
                <w:sz w:val="22"/>
                <w:szCs w:val="22"/>
              </w:rPr>
              <w:t>+32 25468774</w:t>
            </w:r>
          </w:p>
        </w:tc>
      </w:tr>
      <w:tr w:rsidRPr="00950137" w:rsidR="00347517" w:rsidTr="000F216A" w14:paraId="3114971F" w14:textId="77777777">
        <w:tc>
          <w:tcPr>
            <w:tcW w:w="1985" w:type="dxa"/>
          </w:tcPr>
          <w:p w:rsidRPr="00950137" w:rsidR="00347517" w:rsidP="00450A40" w:rsidRDefault="00347517" w14:paraId="6ACB8673" w14:textId="5D94D3DE">
            <w:pPr>
              <w:overflowPunct w:val="0"/>
              <w:autoSpaceDE w:val="0"/>
              <w:autoSpaceDN w:val="0"/>
              <w:adjustRightInd w:val="0"/>
              <w:spacing w:line="240" w:lineRule="auto"/>
              <w:textAlignment w:val="baseline"/>
              <w:rPr>
                <w:i/>
                <w:sz w:val="22"/>
                <w:szCs w:val="22"/>
              </w:rPr>
            </w:pPr>
            <w:r w:rsidRPr="00950137">
              <w:rPr>
                <w:i/>
                <w:sz w:val="22"/>
                <w:szCs w:val="22"/>
              </w:rPr>
              <w:t>Correo electrónico:</w:t>
            </w:r>
          </w:p>
        </w:tc>
        <w:tc>
          <w:tcPr>
            <w:tcW w:w="4507" w:type="dxa"/>
          </w:tcPr>
          <w:p w:rsidRPr="00950137" w:rsidR="00347517" w:rsidP="00450A40" w:rsidRDefault="00F22A9C" w14:paraId="04A7B698" w14:textId="1572EA8C">
            <w:pPr>
              <w:overflowPunct w:val="0"/>
              <w:autoSpaceDE w:val="0"/>
              <w:autoSpaceDN w:val="0"/>
              <w:adjustRightInd w:val="0"/>
              <w:spacing w:line="240" w:lineRule="auto"/>
              <w:textAlignment w:val="baseline"/>
              <w:rPr>
                <w:i/>
                <w:iCs/>
                <w:sz w:val="22"/>
                <w:szCs w:val="22"/>
              </w:rPr>
            </w:pPr>
            <w:hyperlink w:history="1" r:id="rId37">
              <w:r w:rsidRPr="00950137" w:rsidR="00347517">
                <w:rPr>
                  <w:i/>
                  <w:color w:val="0000FF"/>
                  <w:sz w:val="22"/>
                  <w:szCs w:val="22"/>
                  <w:u w:val="single"/>
                </w:rPr>
                <w:t>Valeria.Atzori@eesc.europa.eu</w:t>
              </w:r>
            </w:hyperlink>
          </w:p>
        </w:tc>
      </w:tr>
    </w:tbl>
    <w:p w:rsidR="00C050AC" w:rsidRDefault="00C050AC" w14:paraId="1F383D03" w14:textId="77777777">
      <w:pPr>
        <w:spacing w:after="160" w:line="259" w:lineRule="auto"/>
        <w:jc w:val="left"/>
      </w:pPr>
      <w:r>
        <w:br w:type="page"/>
      </w:r>
    </w:p>
    <w:p w:rsidR="007E03C9" w:rsidP="00C050AC" w:rsidRDefault="00F22A9C" w14:paraId="628FA2D3" w14:textId="749CB833">
      <w:pPr>
        <w:widowControl w:val="0"/>
        <w:numPr>
          <w:ilvl w:val="0"/>
          <w:numId w:val="8"/>
        </w:numPr>
        <w:overflowPunct w:val="0"/>
        <w:autoSpaceDE w:val="0"/>
        <w:autoSpaceDN w:val="0"/>
        <w:adjustRightInd w:val="0"/>
        <w:ind w:hanging="567"/>
        <w:textAlignment w:val="baseline"/>
        <w:rPr>
          <w:b/>
          <w:bCs/>
          <w:i/>
          <w:iCs/>
          <w:color w:val="0000FF"/>
          <w:sz w:val="28"/>
          <w:szCs w:val="28"/>
          <w:u w:val="single"/>
        </w:rPr>
      </w:pPr>
      <w:hyperlink w:history="1" r:id="rId38">
        <w:r w:rsidR="007E03C9">
          <w:rPr>
            <w:rStyle w:val="Hyperlink"/>
            <w:b/>
            <w:i/>
            <w:sz w:val="28"/>
          </w:rPr>
          <w:t>Crear oportunidades y gestionar los riesgos de las nuevas tecnologías en favor de los servicios públicos, la organización del trabajo y unas sociedades más igualitarias e inclusivas</w:t>
        </w:r>
      </w:hyperlink>
    </w:p>
    <w:p w:rsidRPr="00C050AC"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830"/>
      </w:tblGrid>
      <w:tr w:rsidRPr="00C050AC" w:rsidR="00C050AC" w:rsidTr="00F324F7" w14:paraId="5A85262E" w14:textId="77777777">
        <w:tc>
          <w:tcPr>
            <w:tcW w:w="1187" w:type="pct"/>
          </w:tcPr>
          <w:p w:rsidRPr="00C050AC" w:rsidR="00C050AC" w:rsidP="00C050AC" w:rsidRDefault="00C050AC" w14:paraId="79711890" w14:textId="77777777">
            <w:pPr>
              <w:tabs>
                <w:tab w:val="center" w:pos="284"/>
              </w:tabs>
              <w:overflowPunct w:val="0"/>
              <w:autoSpaceDE w:val="0"/>
              <w:autoSpaceDN w:val="0"/>
              <w:adjustRightInd w:val="0"/>
              <w:ind w:left="266" w:hanging="266"/>
              <w:textAlignment w:val="baseline"/>
              <w:rPr>
                <w:b/>
              </w:rPr>
            </w:pPr>
            <w:r>
              <w:rPr>
                <w:b/>
              </w:rPr>
              <w:t>Ponente</w:t>
            </w:r>
          </w:p>
        </w:tc>
        <w:tc>
          <w:tcPr>
            <w:tcW w:w="3813" w:type="pct"/>
          </w:tcPr>
          <w:p w:rsidRPr="00C050AC" w:rsidR="00C050AC" w:rsidP="00C050AC" w:rsidRDefault="00C050AC" w14:paraId="02C85583" w14:textId="51A09897">
            <w:pPr>
              <w:tabs>
                <w:tab w:val="center" w:pos="284"/>
              </w:tabs>
              <w:overflowPunct w:val="0"/>
              <w:autoSpaceDE w:val="0"/>
              <w:autoSpaceDN w:val="0"/>
              <w:adjustRightInd w:val="0"/>
              <w:ind w:left="266" w:hanging="266"/>
              <w:textAlignment w:val="baseline"/>
            </w:pPr>
            <w:r>
              <w:t>Giulia BARBUCCI (Grupo de Trabajadores – IT)</w:t>
            </w:r>
          </w:p>
        </w:tc>
      </w:tr>
      <w:tr w:rsidRPr="00C050AC" w:rsidR="00C050AC" w:rsidTr="00F324F7" w14:paraId="51479F3E" w14:textId="77777777">
        <w:tc>
          <w:tcPr>
            <w:tcW w:w="1187" w:type="pct"/>
          </w:tcPr>
          <w:p w:rsidRPr="00C050AC" w:rsidR="00C050AC" w:rsidP="00C050AC" w:rsidRDefault="00C050AC" w14:paraId="41169744" w14:textId="77777777">
            <w:pPr>
              <w:tabs>
                <w:tab w:val="center" w:pos="284"/>
              </w:tabs>
              <w:overflowPunct w:val="0"/>
              <w:autoSpaceDE w:val="0"/>
              <w:autoSpaceDN w:val="0"/>
              <w:adjustRightInd w:val="0"/>
              <w:ind w:left="266" w:hanging="266"/>
              <w:textAlignment w:val="baseline"/>
              <w:rPr>
                <w:b/>
              </w:rPr>
            </w:pPr>
            <w:r>
              <w:rPr>
                <w:b/>
                <w:bCs/>
              </w:rPr>
              <w:t>Coponente</w:t>
            </w:r>
          </w:p>
        </w:tc>
        <w:tc>
          <w:tcPr>
            <w:tcW w:w="3813" w:type="pct"/>
          </w:tcPr>
          <w:p w:rsidRPr="00C050AC" w:rsidR="00C050AC" w:rsidP="00C050AC" w:rsidRDefault="00C050AC" w14:paraId="1AB5F368" w14:textId="190ABB64">
            <w:pPr>
              <w:tabs>
                <w:tab w:val="center" w:pos="284"/>
              </w:tabs>
              <w:overflowPunct w:val="0"/>
              <w:autoSpaceDE w:val="0"/>
              <w:autoSpaceDN w:val="0"/>
              <w:adjustRightInd w:val="0"/>
              <w:ind w:left="266" w:hanging="266"/>
              <w:textAlignment w:val="baseline"/>
            </w:pPr>
            <w:r>
              <w:t>Giovanni MARCANTONIO (Grupo de Organizaciones de la Sociedad Civil – IT)</w:t>
            </w:r>
          </w:p>
        </w:tc>
      </w:tr>
      <w:tr w:rsidRPr="00C050AC" w:rsidR="00C050AC" w:rsidTr="00F324F7" w14:paraId="0EC644D5" w14:textId="77777777">
        <w:tc>
          <w:tcPr>
            <w:tcW w:w="5000" w:type="pct"/>
            <w:gridSpan w:val="2"/>
          </w:tcPr>
          <w:p w:rsidRPr="00C050AC"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pPr>
          </w:p>
        </w:tc>
      </w:tr>
      <w:tr w:rsidRPr="00C050AC" w:rsidR="00C050AC" w:rsidTr="00F324F7" w14:paraId="094D3F66" w14:textId="77777777">
        <w:tc>
          <w:tcPr>
            <w:tcW w:w="1187" w:type="pct"/>
            <w:vMerge w:val="restart"/>
          </w:tcPr>
          <w:p w:rsidRPr="00C050AC" w:rsidR="00C050AC" w:rsidP="00C050AC" w:rsidRDefault="00C050AC" w14:paraId="674B4571" w14:textId="77777777">
            <w:pPr>
              <w:tabs>
                <w:tab w:val="center" w:pos="284"/>
              </w:tabs>
              <w:overflowPunct w:val="0"/>
              <w:autoSpaceDE w:val="0"/>
              <w:autoSpaceDN w:val="0"/>
              <w:adjustRightInd w:val="0"/>
              <w:ind w:left="266" w:hanging="266"/>
              <w:textAlignment w:val="baseline"/>
              <w:rPr>
                <w:b/>
              </w:rPr>
            </w:pPr>
            <w:r>
              <w:rPr>
                <w:b/>
                <w:bCs/>
              </w:rPr>
              <w:t>Referencias</w:t>
            </w:r>
          </w:p>
        </w:tc>
        <w:tc>
          <w:tcPr>
            <w:tcW w:w="3813" w:type="pct"/>
          </w:tcPr>
          <w:p w:rsidR="00F5655E" w:rsidP="00C050AC" w:rsidRDefault="00F5655E" w14:paraId="43316479" w14:textId="2644CA5E">
            <w:pPr>
              <w:tabs>
                <w:tab w:val="center" w:pos="284"/>
              </w:tabs>
              <w:overflowPunct w:val="0"/>
              <w:autoSpaceDE w:val="0"/>
              <w:autoSpaceDN w:val="0"/>
              <w:adjustRightInd w:val="0"/>
              <w:ind w:left="266" w:hanging="266"/>
              <w:textAlignment w:val="baseline"/>
            </w:pPr>
            <w:r>
              <w:t>Dictamen exploratorio solicitado por la Comisión Europea</w:t>
            </w:r>
          </w:p>
          <w:p w:rsidRPr="00C050AC" w:rsidR="00C050AC" w:rsidP="00C050AC" w:rsidRDefault="00C050AC" w14:paraId="4DB3E461" w14:textId="4BC39955">
            <w:pPr>
              <w:tabs>
                <w:tab w:val="center" w:pos="284"/>
              </w:tabs>
              <w:overflowPunct w:val="0"/>
              <w:autoSpaceDE w:val="0"/>
              <w:autoSpaceDN w:val="0"/>
              <w:adjustRightInd w:val="0"/>
              <w:ind w:left="266" w:hanging="266"/>
              <w:textAlignment w:val="baseline"/>
            </w:pPr>
            <w:r>
              <w:t>EESC-2024-01482-00-00-AC</w:t>
            </w:r>
          </w:p>
        </w:tc>
      </w:tr>
      <w:tr w:rsidRPr="00C050AC" w:rsidR="00C050AC" w:rsidTr="00F324F7" w14:paraId="1B49B580" w14:textId="77777777">
        <w:tc>
          <w:tcPr>
            <w:tcW w:w="1187" w:type="pct"/>
            <w:vMerge/>
          </w:tcPr>
          <w:p w:rsidRPr="00C050AC" w:rsidR="00C050AC" w:rsidP="00C050AC" w:rsidRDefault="00C050AC" w14:paraId="7385DD94" w14:textId="77777777">
            <w:pPr>
              <w:tabs>
                <w:tab w:val="center" w:pos="284"/>
              </w:tabs>
              <w:overflowPunct w:val="0"/>
              <w:autoSpaceDE w:val="0"/>
              <w:autoSpaceDN w:val="0"/>
              <w:adjustRightInd w:val="0"/>
              <w:ind w:left="266" w:hanging="266"/>
              <w:textAlignment w:val="baseline"/>
              <w:rPr>
                <w:b/>
              </w:rPr>
            </w:pPr>
          </w:p>
        </w:tc>
        <w:tc>
          <w:tcPr>
            <w:tcW w:w="3813" w:type="pct"/>
          </w:tcPr>
          <w:p w:rsidRPr="00C050AC" w:rsidR="00C050AC" w:rsidP="00C050AC" w:rsidRDefault="00C050AC" w14:paraId="71927970" w14:textId="77777777">
            <w:pPr>
              <w:tabs>
                <w:tab w:val="center" w:pos="284"/>
              </w:tabs>
              <w:overflowPunct w:val="0"/>
              <w:autoSpaceDE w:val="0"/>
              <w:autoSpaceDN w:val="0"/>
              <w:adjustRightInd w:val="0"/>
              <w:ind w:left="266" w:hanging="266"/>
              <w:textAlignment w:val="baseline"/>
            </w:pPr>
          </w:p>
        </w:tc>
      </w:tr>
    </w:tbl>
    <w:p w:rsidRPr="00C050AC"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C050AC"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C050AC" w:rsidR="00C050AC" w:rsidP="00C050AC" w:rsidRDefault="00C050AC" w14:paraId="2AC76463" w14:textId="77777777">
      <w:pPr>
        <w:overflowPunct w:val="0"/>
        <w:autoSpaceDE w:val="0"/>
        <w:autoSpaceDN w:val="0"/>
        <w:adjustRightInd w:val="0"/>
        <w:textAlignment w:val="baseline"/>
        <w:rPr>
          <w:szCs w:val="20"/>
        </w:rPr>
      </w:pPr>
      <w:r>
        <w:t xml:space="preserve">El Dictamen comienza aclarando que se entiende por «servicio público» las actividades o servicios que las autoridades públicas de los Estados miembros a escala nacional, regional o local consideran de interés general. </w:t>
      </w:r>
    </w:p>
    <w:p w:rsidRPr="00C050AC" w:rsidR="00C050AC" w:rsidP="00C050AC" w:rsidRDefault="00C050AC" w14:paraId="3E62E875" w14:textId="77777777">
      <w:pPr>
        <w:overflowPunct w:val="0"/>
        <w:autoSpaceDE w:val="0"/>
        <w:autoSpaceDN w:val="0"/>
        <w:adjustRightInd w:val="0"/>
        <w:textAlignment w:val="baseline"/>
        <w:rPr>
          <w:szCs w:val="20"/>
          <w:lang w:val="en-GB"/>
        </w:rPr>
      </w:pPr>
    </w:p>
    <w:p w:rsidRPr="00C050AC" w:rsidR="00C050AC" w:rsidP="00C050AC" w:rsidRDefault="00C050AC" w14:paraId="737C96B5" w14:textId="77777777">
      <w:pPr>
        <w:overflowPunct w:val="0"/>
        <w:autoSpaceDE w:val="0"/>
        <w:autoSpaceDN w:val="0"/>
        <w:adjustRightInd w:val="0"/>
        <w:textAlignment w:val="baseline"/>
        <w:rPr>
          <w:szCs w:val="20"/>
        </w:rPr>
      </w:pPr>
      <w:r>
        <w:t>A continuación, señala lo siguiente:</w:t>
      </w:r>
    </w:p>
    <w:p w:rsidRPr="00C050AC" w:rsidR="00C050AC" w:rsidP="000F216A" w:rsidRDefault="00C050AC" w14:paraId="0DAEA587"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la adopción de la digitalización y la inteligencia artificial (IA) podría revolucionar la forma en que se prestan los servicios públicos, al ofrecer soluciones innovadoras para atender con mayor eficacia y rapidez las necesidades de la población; </w:t>
      </w:r>
    </w:p>
    <w:p w:rsidRPr="00C050AC" w:rsidR="00C050AC" w:rsidP="000F216A" w:rsidRDefault="00C050AC" w14:paraId="0010E49E"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la IA puede contribuir a que sean más accesibles, en particular, para las personas más vulnerables de la sociedad; </w:t>
      </w:r>
    </w:p>
    <w:p w:rsidRPr="00C050AC" w:rsidR="00C050AC" w:rsidP="000F216A" w:rsidRDefault="00C050AC" w14:paraId="231F3A32"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la posibilidad de automatizar procesos complejos y repetitivos podría aumentar la eficiencia y reducir la carga de trabajo de los trabajadores; </w:t>
      </w:r>
    </w:p>
    <w:p w:rsidRPr="00C050AC" w:rsidR="00C050AC" w:rsidP="000F216A" w:rsidRDefault="00C050AC" w14:paraId="00085DD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sin embargo, hay que tener cuidado —por ejemplo, para evitar sesgos— con el uso de algoritmos de IA predictivos y generativos, de modo que los sistemas utilizados sean justos y transparentes y protejan los derechos de todos los agentes implicados; </w:t>
      </w:r>
    </w:p>
    <w:p w:rsidRPr="00C050AC" w:rsidR="00C050AC" w:rsidP="000F216A" w:rsidRDefault="00C050AC" w14:paraId="5C05DC9F"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el CESE recomienda que los procesos de toma de decisiones en el desarrollo de algoritmos y en la implantación de estas tecnologías sean transparentes, también para garantizar el principio de «control humano». Hay que tener presente que estos servicios los prestan seres humanos, a su propio ritmo, en su propio tiempo y con sus propias necesidades; </w:t>
      </w:r>
    </w:p>
    <w:p w:rsidRPr="00C050AC" w:rsidR="00C050AC" w:rsidP="000F216A" w:rsidRDefault="00C050AC" w14:paraId="67EDAAD5"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los servicios públicos deben invertir en herramientas de ciberseguridad para prevenir ataques y otros delitos relacionados con los datos; </w:t>
      </w:r>
    </w:p>
    <w:p w:rsidRPr="00C050AC" w:rsidR="00C050AC" w:rsidP="000F216A" w:rsidRDefault="00C050AC" w14:paraId="23BFAA83"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los gestores de servicios públicos deben poner en conocimiento de sus trabajadores la adopción de sistemas de supervisión de IA. La información es crucial para generar confianza; </w:t>
      </w:r>
    </w:p>
    <w:p w:rsidRPr="00C050AC" w:rsidR="00C050AC" w:rsidP="000F216A" w:rsidRDefault="00C050AC" w14:paraId="0AFD241B" w14:textId="77777777">
      <w:pPr>
        <w:numPr>
          <w:ilvl w:val="0"/>
          <w:numId w:val="41"/>
        </w:numPr>
        <w:overflowPunct w:val="0"/>
        <w:autoSpaceDE w:val="0"/>
        <w:autoSpaceDN w:val="0"/>
        <w:adjustRightInd w:val="0"/>
        <w:spacing w:after="160" w:line="259" w:lineRule="auto"/>
        <w:ind w:left="284" w:hanging="284"/>
        <w:contextualSpacing/>
        <w:textAlignment w:val="baseline"/>
      </w:pPr>
      <w:r>
        <w:t xml:space="preserve">Además, la integración de la IA en los servicios públicos debe ir acompañada de un plan exhaustivo de formación y perfeccionamiento profesional; </w:t>
      </w:r>
    </w:p>
    <w:p w:rsidRPr="00C050AC" w:rsidR="00C050AC" w:rsidP="000F216A" w:rsidRDefault="00C050AC" w14:paraId="2C5EE259" w14:textId="77777777">
      <w:pPr>
        <w:widowControl w:val="0"/>
        <w:numPr>
          <w:ilvl w:val="0"/>
          <w:numId w:val="41"/>
        </w:numPr>
        <w:overflowPunct w:val="0"/>
        <w:autoSpaceDE w:val="0"/>
        <w:autoSpaceDN w:val="0"/>
        <w:adjustRightInd w:val="0"/>
        <w:spacing w:after="160" w:line="259" w:lineRule="auto"/>
        <w:ind w:left="284" w:hanging="284"/>
        <w:contextualSpacing/>
        <w:textAlignment w:val="baseline"/>
        <w:rPr>
          <w:rFonts w:ascii="Calibri" w:hAnsi="Calibri"/>
        </w:rPr>
      </w:pPr>
      <w:r>
        <w:t>el diálogo social y la negociación colectiva desempeñan un papel crucial en la promoción de la transición a la IA. Asimismo, es necesario que exista un diálogo con las partes interesadas pertinentes de la sociedad civil, a fin de garantizar que la introducción de la IA en los servicios públicos sea inclusiva y sostenible.</w:t>
      </w:r>
    </w:p>
    <w:p w:rsidRPr="00C050AC"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950137" w:rsidR="00C050AC" w:rsidTr="00F324F7" w14:paraId="1AAA4577" w14:textId="77777777">
        <w:tc>
          <w:tcPr>
            <w:tcW w:w="1556" w:type="pct"/>
          </w:tcPr>
          <w:p w:rsidRPr="00950137"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sidRPr="00950137">
              <w:rPr>
                <w:b/>
                <w:i/>
                <w:sz w:val="22"/>
                <w:szCs w:val="22"/>
              </w:rPr>
              <w:t>Contacto</w:t>
            </w:r>
          </w:p>
        </w:tc>
        <w:tc>
          <w:tcPr>
            <w:tcW w:w="3444" w:type="pct"/>
          </w:tcPr>
          <w:p w:rsidRPr="00950137" w:rsidR="00C050AC" w:rsidP="00C050AC" w:rsidRDefault="00C050AC" w14:paraId="712E5CC7" w14:textId="77777777">
            <w:pPr>
              <w:overflowPunct w:val="0"/>
              <w:autoSpaceDE w:val="0"/>
              <w:autoSpaceDN w:val="0"/>
              <w:adjustRightInd w:val="0"/>
              <w:spacing w:line="240" w:lineRule="auto"/>
              <w:textAlignment w:val="baseline"/>
              <w:rPr>
                <w:i/>
                <w:sz w:val="22"/>
                <w:szCs w:val="22"/>
              </w:rPr>
            </w:pPr>
            <w:r w:rsidRPr="00950137">
              <w:rPr>
                <w:i/>
                <w:sz w:val="22"/>
                <w:szCs w:val="22"/>
              </w:rPr>
              <w:t>Ana Dumitrache</w:t>
            </w:r>
          </w:p>
        </w:tc>
      </w:tr>
      <w:tr w:rsidRPr="00950137" w:rsidR="00C050AC" w:rsidTr="00F324F7" w14:paraId="05B9CEF1" w14:textId="77777777">
        <w:tc>
          <w:tcPr>
            <w:tcW w:w="1556" w:type="pct"/>
          </w:tcPr>
          <w:p w:rsidRPr="00950137"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sidRPr="00950137">
              <w:rPr>
                <w:i/>
                <w:sz w:val="22"/>
                <w:szCs w:val="22"/>
              </w:rPr>
              <w:t>Teléfono:</w:t>
            </w:r>
          </w:p>
        </w:tc>
        <w:tc>
          <w:tcPr>
            <w:tcW w:w="3444" w:type="pct"/>
          </w:tcPr>
          <w:p w:rsidRPr="00950137"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sidRPr="00950137">
              <w:rPr>
                <w:i/>
                <w:sz w:val="22"/>
                <w:szCs w:val="22"/>
              </w:rPr>
              <w:t>+32 25468131</w:t>
            </w:r>
          </w:p>
        </w:tc>
      </w:tr>
      <w:tr w:rsidRPr="00950137" w:rsidR="00C050AC" w:rsidTr="00F324F7" w14:paraId="7BBF2102" w14:textId="77777777">
        <w:tc>
          <w:tcPr>
            <w:tcW w:w="1556" w:type="pct"/>
          </w:tcPr>
          <w:p w:rsidRPr="00950137" w:rsidR="00C050AC" w:rsidP="00C050AC" w:rsidRDefault="00F5655E" w14:paraId="4444AAB3" w14:textId="29DE3FF3">
            <w:pPr>
              <w:overflowPunct w:val="0"/>
              <w:autoSpaceDE w:val="0"/>
              <w:autoSpaceDN w:val="0"/>
              <w:adjustRightInd w:val="0"/>
              <w:spacing w:line="240" w:lineRule="auto"/>
              <w:textAlignment w:val="baseline"/>
              <w:rPr>
                <w:i/>
                <w:sz w:val="22"/>
                <w:szCs w:val="22"/>
              </w:rPr>
            </w:pPr>
            <w:r w:rsidRPr="00950137">
              <w:rPr>
                <w:i/>
                <w:sz w:val="22"/>
                <w:szCs w:val="22"/>
              </w:rPr>
              <w:t>Correo electrónico:</w:t>
            </w:r>
          </w:p>
        </w:tc>
        <w:tc>
          <w:tcPr>
            <w:tcW w:w="3444" w:type="pct"/>
          </w:tcPr>
          <w:p w:rsidRPr="00950137" w:rsidR="00C050AC" w:rsidP="00C050AC" w:rsidRDefault="00F22A9C" w14:paraId="195562E1" w14:textId="3B537756">
            <w:pPr>
              <w:overflowPunct w:val="0"/>
              <w:autoSpaceDE w:val="0"/>
              <w:autoSpaceDN w:val="0"/>
              <w:adjustRightInd w:val="0"/>
              <w:spacing w:line="240" w:lineRule="auto"/>
              <w:textAlignment w:val="baseline"/>
              <w:rPr>
                <w:i/>
                <w:sz w:val="22"/>
                <w:szCs w:val="22"/>
              </w:rPr>
            </w:pPr>
            <w:hyperlink w:history="1" r:id="rId39">
              <w:r w:rsidRPr="00950137" w:rsidR="007E03C9">
                <w:rPr>
                  <w:i/>
                  <w:color w:val="0000FF"/>
                  <w:sz w:val="22"/>
                  <w:szCs w:val="22"/>
                  <w:u w:val="single"/>
                </w:rPr>
                <w:t>Ana.Dumitrache@eesc.europa.eu</w:t>
              </w:r>
            </w:hyperlink>
            <w:r w:rsidRPr="00950137" w:rsidR="007E03C9">
              <w:rPr>
                <w:i/>
                <w:sz w:val="22"/>
                <w:szCs w:val="22"/>
              </w:rPr>
              <w:t xml:space="preserve"> </w:t>
            </w:r>
          </w:p>
        </w:tc>
      </w:tr>
    </w:tbl>
    <w:p w:rsidR="00C050AC" w:rsidP="004D7AC0" w:rsidRDefault="00C050AC" w14:paraId="5B1DFE2C" w14:textId="77777777">
      <w:pPr>
        <w:spacing w:after="160" w:line="259" w:lineRule="auto"/>
        <w:jc w:val="left"/>
      </w:pPr>
    </w:p>
    <w:p w:rsidR="00C050AC" w:rsidRDefault="00C050AC" w14:paraId="0570E731" w14:textId="77777777">
      <w:pPr>
        <w:spacing w:after="160" w:line="259" w:lineRule="auto"/>
        <w:jc w:val="left"/>
      </w:pPr>
      <w:r>
        <w:br w:type="page"/>
      </w:r>
    </w:p>
    <w:p w:rsidRPr="00B80A16" w:rsidR="00B80A16" w:rsidP="00B80A16" w:rsidRDefault="00F22A9C" w14:paraId="6B0D0961" w14:textId="4E482099">
      <w:pPr>
        <w:widowControl w:val="0"/>
        <w:numPr>
          <w:ilvl w:val="0"/>
          <w:numId w:val="8"/>
        </w:numPr>
        <w:overflowPunct w:val="0"/>
        <w:autoSpaceDE w:val="0"/>
        <w:autoSpaceDN w:val="0"/>
        <w:adjustRightInd w:val="0"/>
        <w:ind w:hanging="567"/>
        <w:textAlignment w:val="baseline"/>
        <w:rPr>
          <w:sz w:val="24"/>
          <w:szCs w:val="24"/>
        </w:rPr>
      </w:pPr>
      <w:hyperlink w:history="1" r:id="rId40">
        <w:r w:rsidRPr="00950137" w:rsidR="00276FC9">
          <w:rPr>
            <w:rStyle w:val="Hyperlink"/>
            <w:b/>
            <w:i/>
            <w:sz w:val="28"/>
          </w:rPr>
          <w:t>Desequilibrios sobre protección social en general y específicamente respecto de las «nuevas formas de trabajo» y «los trabajadores atípicos»</w:t>
        </w:r>
      </w:hyperlink>
    </w:p>
    <w:p w:rsidRPr="00B80A16"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B80A16" w:rsidR="00B80A16" w:rsidTr="00F324F7" w14:paraId="5C876E2A" w14:textId="77777777">
        <w:tc>
          <w:tcPr>
            <w:tcW w:w="1701" w:type="dxa"/>
          </w:tcPr>
          <w:p w:rsidRPr="00B80A16" w:rsidR="00B80A16" w:rsidP="00B80A16" w:rsidRDefault="00B80A16" w14:paraId="6D94FF63" w14:textId="77777777">
            <w:pPr>
              <w:tabs>
                <w:tab w:val="center" w:pos="284"/>
              </w:tabs>
              <w:overflowPunct w:val="0"/>
              <w:autoSpaceDE w:val="0"/>
              <w:autoSpaceDN w:val="0"/>
              <w:adjustRightInd w:val="0"/>
              <w:ind w:left="266" w:hanging="266"/>
              <w:textAlignment w:val="baseline"/>
              <w:rPr>
                <w:b/>
              </w:rPr>
            </w:pPr>
            <w:r>
              <w:rPr>
                <w:b/>
              </w:rPr>
              <w:t>Ponente</w:t>
            </w:r>
          </w:p>
        </w:tc>
        <w:tc>
          <w:tcPr>
            <w:tcW w:w="7479" w:type="dxa"/>
          </w:tcPr>
          <w:p w:rsidRPr="00B80A16" w:rsidR="00B80A16" w:rsidP="00B80A16" w:rsidRDefault="00B80A16" w14:paraId="08165A00" w14:textId="401766D2">
            <w:pPr>
              <w:tabs>
                <w:tab w:val="center" w:pos="0"/>
              </w:tabs>
              <w:overflowPunct w:val="0"/>
              <w:autoSpaceDE w:val="0"/>
              <w:autoSpaceDN w:val="0"/>
              <w:adjustRightInd w:val="0"/>
              <w:ind w:left="1" w:hanging="1"/>
              <w:textAlignment w:val="baseline"/>
            </w:pPr>
            <w:r>
              <w:t>María del Carmen BARRERA CHAMORRO (Grupo de Trabajadores – ES)</w:t>
            </w:r>
          </w:p>
        </w:tc>
      </w:tr>
      <w:tr w:rsidRPr="00B80A16" w:rsidR="00B80A16" w:rsidTr="00F324F7" w14:paraId="01FC46FC" w14:textId="77777777">
        <w:tc>
          <w:tcPr>
            <w:tcW w:w="9180" w:type="dxa"/>
            <w:gridSpan w:val="2"/>
          </w:tcPr>
          <w:p w:rsidRPr="00B80A16"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B80A16" w:rsidR="00B80A16" w:rsidTr="00F324F7" w14:paraId="367CE71A" w14:textId="77777777">
        <w:tc>
          <w:tcPr>
            <w:tcW w:w="1701" w:type="dxa"/>
            <w:vMerge w:val="restart"/>
          </w:tcPr>
          <w:p w:rsidRPr="00B80A16" w:rsidR="00B80A16" w:rsidP="00B80A16" w:rsidRDefault="00B80A16" w14:paraId="463BDE81" w14:textId="77777777">
            <w:pPr>
              <w:tabs>
                <w:tab w:val="center" w:pos="284"/>
              </w:tabs>
              <w:overflowPunct w:val="0"/>
              <w:autoSpaceDE w:val="0"/>
              <w:autoSpaceDN w:val="0"/>
              <w:adjustRightInd w:val="0"/>
              <w:ind w:left="266" w:hanging="266"/>
              <w:textAlignment w:val="baseline"/>
              <w:rPr>
                <w:b/>
              </w:rPr>
            </w:pPr>
            <w:r>
              <w:rPr>
                <w:b/>
              </w:rPr>
              <w:t>Referencia</w:t>
            </w:r>
          </w:p>
        </w:tc>
        <w:tc>
          <w:tcPr>
            <w:tcW w:w="7479" w:type="dxa"/>
          </w:tcPr>
          <w:p w:rsidRPr="00B80A16" w:rsidR="00B80A16" w:rsidP="00B80A16" w:rsidRDefault="00B80A16" w14:paraId="01D3D41C" w14:textId="77777777">
            <w:pPr>
              <w:tabs>
                <w:tab w:val="center" w:pos="284"/>
              </w:tabs>
              <w:overflowPunct w:val="0"/>
              <w:autoSpaceDE w:val="0"/>
              <w:autoSpaceDN w:val="0"/>
              <w:adjustRightInd w:val="0"/>
              <w:ind w:left="266" w:hanging="266"/>
              <w:textAlignment w:val="baseline"/>
            </w:pPr>
            <w:r>
              <w:t>Dictamen de iniciativa</w:t>
            </w:r>
          </w:p>
        </w:tc>
      </w:tr>
      <w:tr w:rsidRPr="00B80A16" w:rsidR="00B80A16" w:rsidTr="00F324F7" w14:paraId="6C494D65" w14:textId="77777777">
        <w:tc>
          <w:tcPr>
            <w:tcW w:w="1701" w:type="dxa"/>
            <w:vMerge/>
          </w:tcPr>
          <w:p w:rsidRPr="00B80A16" w:rsidR="00B80A16" w:rsidP="00B80A16" w:rsidRDefault="00B80A16" w14:paraId="70BA9B6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B80A16" w:rsidR="00B80A16" w:rsidP="00B80A16" w:rsidRDefault="00B80A16" w14:paraId="41E794EE" w14:textId="5CD06CF0">
            <w:pPr>
              <w:tabs>
                <w:tab w:val="center" w:pos="284"/>
              </w:tabs>
              <w:overflowPunct w:val="0"/>
              <w:autoSpaceDE w:val="0"/>
              <w:autoSpaceDN w:val="0"/>
              <w:adjustRightInd w:val="0"/>
              <w:ind w:left="266" w:hanging="266"/>
              <w:textAlignment w:val="baseline"/>
            </w:pPr>
            <w:r>
              <w:t>EESC-2024-01141-00-00-AC</w:t>
            </w:r>
          </w:p>
        </w:tc>
      </w:tr>
    </w:tbl>
    <w:p w:rsidRPr="00B80A16"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B80A16" w:rsidR="00B80A16" w:rsidP="00B80A16" w:rsidRDefault="00B80A16" w14:paraId="32E64B0C" w14:textId="42F02D8C">
      <w:pPr>
        <w:keepNext/>
        <w:keepLines/>
        <w:tabs>
          <w:tab w:val="center" w:pos="284"/>
        </w:tabs>
        <w:overflowPunct w:val="0"/>
        <w:autoSpaceDE w:val="0"/>
        <w:autoSpaceDN w:val="0"/>
        <w:adjustRightInd w:val="0"/>
        <w:ind w:left="266" w:hanging="266"/>
        <w:textAlignment w:val="baseline"/>
        <w:rPr>
          <w:b/>
        </w:rPr>
      </w:pPr>
      <w:r>
        <w:rPr>
          <w:b/>
        </w:rPr>
        <w:t>Puntos clave</w:t>
      </w:r>
    </w:p>
    <w:p w:rsidRPr="00B80A16"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Pr="00B80A16" w:rsidR="00B80A16" w:rsidP="00B80A16" w:rsidRDefault="00B80A16" w14:paraId="0BA55970" w14:textId="77777777">
      <w:pPr>
        <w:overflowPunct w:val="0"/>
        <w:autoSpaceDE w:val="0"/>
        <w:autoSpaceDN w:val="0"/>
        <w:adjustRightInd w:val="0"/>
        <w:textAlignment w:val="baseline"/>
        <w:rPr>
          <w:bCs/>
          <w:iCs/>
        </w:rPr>
      </w:pPr>
      <w:r>
        <w:t>El CESE:</w:t>
      </w:r>
    </w:p>
    <w:p w:rsidRPr="00B80A16" w:rsidR="00B80A16" w:rsidP="000F216A" w:rsidRDefault="00B80A16" w14:paraId="6164D655" w14:textId="77777777">
      <w:pPr>
        <w:numPr>
          <w:ilvl w:val="0"/>
          <w:numId w:val="42"/>
        </w:numPr>
        <w:overflowPunct w:val="0"/>
        <w:autoSpaceDE w:val="0"/>
        <w:autoSpaceDN w:val="0"/>
        <w:adjustRightInd w:val="0"/>
        <w:ind w:left="284" w:hanging="284"/>
        <w:textAlignment w:val="baseline"/>
        <w:outlineLvl w:val="1"/>
        <w:rPr>
          <w:szCs w:val="20"/>
        </w:rPr>
      </w:pPr>
      <w:r>
        <w:t>señala que la UE y los Estados miembros deben fomentar un alto nivel de empleo y mejorar las condiciones de vida y de trabajo, incluyendo, en condiciones comparables, las de los trabajadores por cuenta propia;</w:t>
      </w:r>
    </w:p>
    <w:p w:rsidRPr="00B80A16" w:rsidR="00B80A16" w:rsidP="000F216A" w:rsidRDefault="00B80A16" w14:paraId="747F6101" w14:textId="77777777">
      <w:pPr>
        <w:numPr>
          <w:ilvl w:val="0"/>
          <w:numId w:val="42"/>
        </w:numPr>
        <w:overflowPunct w:val="0"/>
        <w:autoSpaceDE w:val="0"/>
        <w:autoSpaceDN w:val="0"/>
        <w:adjustRightInd w:val="0"/>
        <w:ind w:left="284" w:hanging="284"/>
        <w:textAlignment w:val="baseline"/>
        <w:outlineLvl w:val="1"/>
        <w:rPr>
          <w:szCs w:val="20"/>
        </w:rPr>
      </w:pPr>
      <w:r>
        <w:t>anima a la UE y a los Estados miembros, en el marco de sus respectivas competencias y de acuerdo con sus prácticas nacionales, a adaptar los sistemas de protección social a las formas de trabajo no convencional, a fin de garantizar prestaciones suficientes para un trabajo decente y una vida digna para todos los trabajadores;</w:t>
      </w:r>
    </w:p>
    <w:p w:rsidRPr="00B80A16" w:rsidR="00B80A16" w:rsidP="000F216A" w:rsidRDefault="00B80A16" w14:paraId="55B9534E" w14:textId="77777777">
      <w:pPr>
        <w:numPr>
          <w:ilvl w:val="0"/>
          <w:numId w:val="42"/>
        </w:numPr>
        <w:overflowPunct w:val="0"/>
        <w:autoSpaceDE w:val="0"/>
        <w:autoSpaceDN w:val="0"/>
        <w:adjustRightInd w:val="0"/>
        <w:ind w:left="284" w:hanging="284"/>
        <w:textAlignment w:val="baseline"/>
        <w:outlineLvl w:val="1"/>
        <w:rPr>
          <w:szCs w:val="20"/>
        </w:rPr>
      </w:pPr>
      <w:r>
        <w:t>pide que los Estados miembros centren la protección social no solo en los trabajadores, sino en todos los europeos, atribuyendo una renta mínima a toda persona en incapacidad de trabajar, combinada con incentivos y ayuda para el retorno al empleo para quien pueda trabajar;</w:t>
      </w:r>
    </w:p>
    <w:p w:rsidRPr="00B80A16" w:rsidR="00B80A16" w:rsidP="000F216A" w:rsidRDefault="00B80A16" w14:paraId="41BDBF90" w14:textId="77777777">
      <w:pPr>
        <w:numPr>
          <w:ilvl w:val="0"/>
          <w:numId w:val="42"/>
        </w:numPr>
        <w:overflowPunct w:val="0"/>
        <w:autoSpaceDE w:val="0"/>
        <w:autoSpaceDN w:val="0"/>
        <w:adjustRightInd w:val="0"/>
        <w:ind w:left="284" w:hanging="284"/>
        <w:textAlignment w:val="baseline"/>
        <w:outlineLvl w:val="1"/>
        <w:rPr>
          <w:szCs w:val="20"/>
        </w:rPr>
      </w:pPr>
      <w:r>
        <w:t>insta a los Estados miembros a efectuar una revisión de las fuentes de financiación de los sistemas de protección social para garantizar su sostenibilidad financiera, sin poner en peligro la creación de empleo. La UE puede apoyar a los Estados miembros en este empeño facilitando el intercambio de experiencias relacionadas con la revisión/reforma de los sistemas nacionales de protección social;</w:t>
      </w:r>
    </w:p>
    <w:p w:rsidRPr="00B80A16" w:rsidR="00B80A16" w:rsidP="000F216A" w:rsidRDefault="00B80A16" w14:paraId="276AC431" w14:textId="77777777">
      <w:pPr>
        <w:numPr>
          <w:ilvl w:val="0"/>
          <w:numId w:val="42"/>
        </w:numPr>
        <w:overflowPunct w:val="0"/>
        <w:autoSpaceDE w:val="0"/>
        <w:autoSpaceDN w:val="0"/>
        <w:adjustRightInd w:val="0"/>
        <w:ind w:left="284" w:hanging="284"/>
        <w:textAlignment w:val="baseline"/>
        <w:outlineLvl w:val="1"/>
        <w:rPr>
          <w:szCs w:val="20"/>
        </w:rPr>
      </w:pPr>
      <w:r>
        <w:t>reconoce que, aunque la adaptación de los sistemas de protección social es una responsabilidad principalmente nacional, la UE debe ayudar a los Estados miembros a hacer frente a los obstáculos a la protección del trabajo atípico, sin perjudicar la flexibilidad que esas relaciones laborales proporcionan a empresarios y trabajadores;</w:t>
      </w:r>
    </w:p>
    <w:p w:rsidRPr="00B80A16" w:rsidR="00B80A16" w:rsidP="000F216A" w:rsidRDefault="00B80A16" w14:paraId="45F54D37" w14:textId="77777777">
      <w:pPr>
        <w:numPr>
          <w:ilvl w:val="0"/>
          <w:numId w:val="42"/>
        </w:numPr>
        <w:overflowPunct w:val="0"/>
        <w:autoSpaceDE w:val="0"/>
        <w:autoSpaceDN w:val="0"/>
        <w:adjustRightInd w:val="0"/>
        <w:ind w:left="284" w:hanging="284"/>
        <w:textAlignment w:val="baseline"/>
        <w:outlineLvl w:val="1"/>
        <w:rPr>
          <w:szCs w:val="20"/>
        </w:rPr>
      </w:pPr>
      <w:r>
        <w:t>insta a la Comisión a que revise la Directiva 79/7/CE y, en su caso, proponga reformas para corregir las brechas en la protección social, incluyendo un diálogo social a escala nacional;</w:t>
      </w:r>
    </w:p>
    <w:p w:rsidRPr="00B80A16" w:rsidR="00B80A16" w:rsidP="000F216A" w:rsidRDefault="00B80A16" w14:paraId="6EA00068" w14:textId="77777777">
      <w:pPr>
        <w:numPr>
          <w:ilvl w:val="0"/>
          <w:numId w:val="42"/>
        </w:numPr>
        <w:overflowPunct w:val="0"/>
        <w:autoSpaceDE w:val="0"/>
        <w:autoSpaceDN w:val="0"/>
        <w:adjustRightInd w:val="0"/>
        <w:ind w:left="284" w:hanging="284"/>
        <w:textAlignment w:val="baseline"/>
        <w:outlineLvl w:val="1"/>
        <w:rPr>
          <w:szCs w:val="20"/>
        </w:rPr>
      </w:pPr>
      <w:r>
        <w:t>defiende el intercambio de experiencias entre los Estados miembros para compartir buenas prácticas y pide a la Comisión que fomente el aprendizaje mutuo, con la participación de los interlocutores sociales nacionales y el CESE.</w:t>
      </w:r>
    </w:p>
    <w:p w:rsidRPr="00B80A16"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572E71" w:rsidR="00B80A16" w:rsidTr="00572E71" w14:paraId="4DB4B439" w14:textId="77777777">
        <w:tc>
          <w:tcPr>
            <w:tcW w:w="2093" w:type="dxa"/>
          </w:tcPr>
          <w:p w:rsidRPr="00572E71" w:rsidR="00B80A16" w:rsidP="00B80A16" w:rsidRDefault="00B80A16" w14:paraId="2E5E35C7" w14:textId="77777777">
            <w:pPr>
              <w:overflowPunct w:val="0"/>
              <w:autoSpaceDE w:val="0"/>
              <w:autoSpaceDN w:val="0"/>
              <w:adjustRightInd w:val="0"/>
              <w:spacing w:line="240" w:lineRule="auto"/>
              <w:textAlignment w:val="baseline"/>
              <w:rPr>
                <w:i/>
                <w:sz w:val="22"/>
                <w:szCs w:val="22"/>
              </w:rPr>
            </w:pPr>
            <w:r w:rsidRPr="00572E71">
              <w:rPr>
                <w:b/>
                <w:i/>
                <w:sz w:val="22"/>
                <w:szCs w:val="22"/>
              </w:rPr>
              <w:t>Contacto:</w:t>
            </w:r>
          </w:p>
        </w:tc>
        <w:tc>
          <w:tcPr>
            <w:tcW w:w="4995" w:type="dxa"/>
          </w:tcPr>
          <w:p w:rsidRPr="00572E71" w:rsidR="00B80A16" w:rsidP="00B80A16" w:rsidRDefault="00B80A16" w14:paraId="6F41E32A" w14:textId="77777777">
            <w:pPr>
              <w:overflowPunct w:val="0"/>
              <w:autoSpaceDE w:val="0"/>
              <w:autoSpaceDN w:val="0"/>
              <w:adjustRightInd w:val="0"/>
              <w:spacing w:line="240" w:lineRule="auto"/>
              <w:textAlignment w:val="baseline"/>
              <w:rPr>
                <w:i/>
                <w:sz w:val="22"/>
                <w:szCs w:val="22"/>
              </w:rPr>
            </w:pPr>
            <w:r w:rsidRPr="00572E71">
              <w:rPr>
                <w:i/>
                <w:sz w:val="22"/>
                <w:szCs w:val="22"/>
              </w:rPr>
              <w:t>Bartek Bednarowicz</w:t>
            </w:r>
          </w:p>
        </w:tc>
      </w:tr>
      <w:tr w:rsidRPr="00572E71" w:rsidR="00B80A16" w:rsidTr="00572E71" w14:paraId="5D861B45" w14:textId="77777777">
        <w:tc>
          <w:tcPr>
            <w:tcW w:w="2093" w:type="dxa"/>
          </w:tcPr>
          <w:p w:rsidRPr="00572E71" w:rsidR="00B80A16" w:rsidP="00B80A16" w:rsidRDefault="00B80A16" w14:paraId="2872D330" w14:textId="77777777">
            <w:pPr>
              <w:overflowPunct w:val="0"/>
              <w:autoSpaceDE w:val="0"/>
              <w:autoSpaceDN w:val="0"/>
              <w:adjustRightInd w:val="0"/>
              <w:spacing w:line="240" w:lineRule="auto"/>
              <w:textAlignment w:val="baseline"/>
              <w:rPr>
                <w:i/>
                <w:sz w:val="22"/>
                <w:szCs w:val="22"/>
              </w:rPr>
            </w:pPr>
            <w:r w:rsidRPr="00572E71">
              <w:rPr>
                <w:i/>
                <w:sz w:val="22"/>
                <w:szCs w:val="22"/>
              </w:rPr>
              <w:t>Teléfono:</w:t>
            </w:r>
          </w:p>
        </w:tc>
        <w:tc>
          <w:tcPr>
            <w:tcW w:w="4995" w:type="dxa"/>
          </w:tcPr>
          <w:p w:rsidRPr="00572E71" w:rsidR="00B80A16" w:rsidP="00B80A16" w:rsidRDefault="00B80A16" w14:paraId="581CA22A" w14:textId="77777777">
            <w:pPr>
              <w:overflowPunct w:val="0"/>
              <w:autoSpaceDE w:val="0"/>
              <w:autoSpaceDN w:val="0"/>
              <w:adjustRightInd w:val="0"/>
              <w:spacing w:line="240" w:lineRule="auto"/>
              <w:textAlignment w:val="baseline"/>
              <w:rPr>
                <w:i/>
                <w:sz w:val="22"/>
                <w:szCs w:val="22"/>
              </w:rPr>
            </w:pPr>
            <w:r w:rsidRPr="00572E71">
              <w:rPr>
                <w:i/>
                <w:sz w:val="22"/>
                <w:szCs w:val="22"/>
              </w:rPr>
              <w:t>+32 25469229</w:t>
            </w:r>
          </w:p>
        </w:tc>
      </w:tr>
      <w:tr w:rsidRPr="00572E71" w:rsidR="00B80A16" w:rsidTr="00572E71" w14:paraId="1EC78B68" w14:textId="77777777">
        <w:tc>
          <w:tcPr>
            <w:tcW w:w="2093" w:type="dxa"/>
          </w:tcPr>
          <w:p w:rsidRPr="00572E71" w:rsidR="00B80A16" w:rsidP="00B80A16" w:rsidRDefault="001B6628" w14:paraId="7CD10320" w14:textId="13101F17">
            <w:pPr>
              <w:overflowPunct w:val="0"/>
              <w:autoSpaceDE w:val="0"/>
              <w:autoSpaceDN w:val="0"/>
              <w:adjustRightInd w:val="0"/>
              <w:spacing w:line="240" w:lineRule="auto"/>
              <w:textAlignment w:val="baseline"/>
              <w:rPr>
                <w:i/>
                <w:sz w:val="22"/>
                <w:szCs w:val="22"/>
              </w:rPr>
            </w:pPr>
            <w:r w:rsidRPr="00572E71">
              <w:rPr>
                <w:i/>
                <w:sz w:val="22"/>
                <w:szCs w:val="22"/>
              </w:rPr>
              <w:t>Correo electrónico:</w:t>
            </w:r>
          </w:p>
        </w:tc>
        <w:tc>
          <w:tcPr>
            <w:tcW w:w="4995" w:type="dxa"/>
          </w:tcPr>
          <w:p w:rsidRPr="00572E71" w:rsidR="00B80A16" w:rsidP="00B80A16" w:rsidRDefault="00F22A9C" w14:paraId="7971D364" w14:textId="4031A271">
            <w:pPr>
              <w:overflowPunct w:val="0"/>
              <w:autoSpaceDE w:val="0"/>
              <w:autoSpaceDN w:val="0"/>
              <w:adjustRightInd w:val="0"/>
              <w:spacing w:line="240" w:lineRule="auto"/>
              <w:textAlignment w:val="baseline"/>
              <w:rPr>
                <w:i/>
                <w:iCs/>
                <w:sz w:val="22"/>
                <w:szCs w:val="22"/>
              </w:rPr>
            </w:pPr>
            <w:hyperlink w:history="1" r:id="rId41">
              <w:r w:rsidRPr="00572E71" w:rsidR="007E03C9">
                <w:rPr>
                  <w:i/>
                  <w:color w:val="0000FF"/>
                  <w:sz w:val="22"/>
                  <w:szCs w:val="22"/>
                  <w:u w:val="single"/>
                </w:rPr>
                <w:t>Bartek.Bednarowicz@eesc.europa.eu</w:t>
              </w:r>
            </w:hyperlink>
          </w:p>
        </w:tc>
      </w:tr>
    </w:tbl>
    <w:p w:rsidR="004D7AC0" w:rsidP="004D7AC0" w:rsidRDefault="004D7AC0" w14:paraId="4982DDC5" w14:textId="28ACBA39">
      <w:pPr>
        <w:spacing w:after="160" w:line="259" w:lineRule="auto"/>
        <w:jc w:val="left"/>
      </w:pPr>
      <w:r>
        <w:br w:type="page"/>
      </w:r>
    </w:p>
    <w:p w:rsidR="004D7AC0" w:rsidRDefault="004D7AC0" w14:paraId="4982DDC6" w14:textId="77777777">
      <w:pPr>
        <w:pStyle w:val="Heading1"/>
      </w:pPr>
      <w:bookmarkStart w:name="_Toc24617160" w:id="2"/>
      <w:bookmarkStart w:name="_Toc75527082" w:id="3"/>
      <w:bookmarkStart w:name="_Toc182565781" w:id="4"/>
      <w:r>
        <w:lastRenderedPageBreak/>
        <w:t>TRANSPORTE, ENERGÍA, INFRAESTRUCTURAS Y SOCIEDAD DE LA INFORMACIÓN</w:t>
      </w:r>
      <w:bookmarkEnd w:id="2"/>
      <w:bookmarkEnd w:id="3"/>
      <w:bookmarkEnd w:id="4"/>
    </w:p>
    <w:p w:rsidR="004D7AC0" w:rsidP="004D7AC0" w:rsidRDefault="004D7AC0" w14:paraId="4982DDC7" w14:textId="77777777"/>
    <w:p w:rsidRPr="002C78FD" w:rsidR="006C457C" w:rsidP="006C457C" w:rsidRDefault="00F22A9C" w14:paraId="3A8057E4" w14:textId="6C8576EA">
      <w:pPr>
        <w:widowControl w:val="0"/>
        <w:numPr>
          <w:ilvl w:val="0"/>
          <w:numId w:val="8"/>
        </w:numPr>
        <w:overflowPunct w:val="0"/>
        <w:autoSpaceDE w:val="0"/>
        <w:autoSpaceDN w:val="0"/>
        <w:adjustRightInd w:val="0"/>
        <w:ind w:left="266" w:hanging="266"/>
        <w:textAlignment w:val="baseline"/>
        <w:rPr>
          <w:b/>
          <w:u w:val="single"/>
        </w:rPr>
      </w:pPr>
      <w:hyperlink w:history="1" r:id="rId42">
        <w:r w:rsidR="00276FC9">
          <w:rPr>
            <w:rStyle w:val="Hyperlink"/>
            <w:b/>
            <w:i/>
            <w:sz w:val="28"/>
          </w:rPr>
          <w:t>El potencial de la energía geotérmica para la transición ecológica</w:t>
        </w:r>
      </w:hyperlink>
    </w:p>
    <w:p w:rsidRPr="00347517" w:rsidR="006C457C" w:rsidP="000F216A" w:rsidRDefault="006C457C" w14:paraId="0E7EAD0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533"/>
      </w:tblGrid>
      <w:tr w:rsidRPr="00A6689B" w:rsidR="006C457C" w:rsidTr="00572E71" w14:paraId="47DEF071" w14:textId="77777777">
        <w:tc>
          <w:tcPr>
            <w:tcW w:w="1701" w:type="dxa"/>
          </w:tcPr>
          <w:p w:rsidRPr="00D42A3F" w:rsidR="006C457C" w:rsidP="00F324F7" w:rsidRDefault="006C457C" w14:paraId="2CC0FA94" w14:textId="77777777">
            <w:pPr>
              <w:tabs>
                <w:tab w:val="center" w:pos="284"/>
              </w:tabs>
              <w:ind w:left="266" w:hanging="266"/>
              <w:rPr>
                <w:b/>
                <w:sz w:val="20"/>
                <w:szCs w:val="20"/>
              </w:rPr>
            </w:pPr>
            <w:r>
              <w:rPr>
                <w:b/>
                <w:sz w:val="20"/>
              </w:rPr>
              <w:t xml:space="preserve">Ponente </w:t>
            </w:r>
          </w:p>
        </w:tc>
        <w:tc>
          <w:tcPr>
            <w:tcW w:w="5920" w:type="dxa"/>
            <w:gridSpan w:val="2"/>
          </w:tcPr>
          <w:p w:rsidRPr="00D42A3F" w:rsidR="006C457C" w:rsidP="00F324F7" w:rsidRDefault="006C457C" w14:paraId="0259BE1C" w14:textId="53BF9BAA">
            <w:pPr>
              <w:tabs>
                <w:tab w:val="center" w:pos="284"/>
              </w:tabs>
              <w:ind w:left="266" w:hanging="266"/>
              <w:rPr>
                <w:sz w:val="20"/>
                <w:szCs w:val="20"/>
              </w:rPr>
            </w:pPr>
            <w:r>
              <w:rPr>
                <w:sz w:val="20"/>
              </w:rPr>
              <w:t>Zsolt KÜKEDI (Grupo de Organizaciones de la Sociedad Civil – HU)</w:t>
            </w:r>
          </w:p>
        </w:tc>
      </w:tr>
      <w:tr w:rsidRPr="00A6689B" w:rsidR="006C457C" w:rsidTr="00F324F7" w14:paraId="3DFA0B1E" w14:textId="77777777">
        <w:trPr>
          <w:gridAfter w:val="1"/>
          <w:wAfter w:w="533" w:type="dxa"/>
        </w:trPr>
        <w:tc>
          <w:tcPr>
            <w:tcW w:w="1701" w:type="dxa"/>
          </w:tcPr>
          <w:p w:rsidRPr="00D42A3F" w:rsidR="006C457C" w:rsidP="00F324F7" w:rsidRDefault="006C457C" w14:paraId="4EBB08B4" w14:textId="77777777">
            <w:pPr>
              <w:tabs>
                <w:tab w:val="center" w:pos="284"/>
              </w:tabs>
              <w:ind w:left="266" w:hanging="266"/>
              <w:rPr>
                <w:b/>
                <w:sz w:val="20"/>
                <w:szCs w:val="20"/>
              </w:rPr>
            </w:pPr>
            <w:r>
              <w:rPr>
                <w:b/>
                <w:bCs/>
                <w:sz w:val="20"/>
              </w:rPr>
              <w:t>Coponente</w:t>
            </w:r>
          </w:p>
        </w:tc>
        <w:tc>
          <w:tcPr>
            <w:tcW w:w="5387" w:type="dxa"/>
          </w:tcPr>
          <w:p w:rsidRPr="00D42A3F" w:rsidR="006C457C" w:rsidP="00F324F7" w:rsidRDefault="006C457C" w14:paraId="7849B036" w14:textId="77777777">
            <w:pPr>
              <w:tabs>
                <w:tab w:val="center" w:pos="284"/>
              </w:tabs>
              <w:ind w:left="266" w:hanging="266"/>
              <w:rPr>
                <w:sz w:val="20"/>
                <w:szCs w:val="20"/>
              </w:rPr>
            </w:pPr>
            <w:r>
              <w:rPr>
                <w:sz w:val="20"/>
              </w:rPr>
              <w:t>Thomas KATTNIG (Grupo de Trabajadores – AT)</w:t>
            </w:r>
          </w:p>
        </w:tc>
      </w:tr>
      <w:tr w:rsidRPr="00A6689B" w:rsidR="006C457C" w:rsidTr="00F324F7" w14:paraId="7AB5CDD0" w14:textId="77777777">
        <w:trPr>
          <w:gridAfter w:val="1"/>
          <w:wAfter w:w="533" w:type="dxa"/>
        </w:trPr>
        <w:tc>
          <w:tcPr>
            <w:tcW w:w="7088" w:type="dxa"/>
            <w:gridSpan w:val="2"/>
          </w:tcPr>
          <w:p w:rsidRPr="00D42A3F" w:rsidR="006C457C" w:rsidP="00F324F7" w:rsidRDefault="006C457C" w14:paraId="3C894F59" w14:textId="77777777">
            <w:pPr>
              <w:tabs>
                <w:tab w:val="center" w:pos="284"/>
              </w:tabs>
              <w:spacing w:line="160" w:lineRule="exact"/>
              <w:ind w:left="266" w:hanging="266"/>
              <w:rPr>
                <w:sz w:val="20"/>
                <w:szCs w:val="20"/>
              </w:rPr>
            </w:pPr>
          </w:p>
        </w:tc>
      </w:tr>
      <w:tr w:rsidRPr="00A6689B" w:rsidR="006C457C" w:rsidTr="00F324F7" w14:paraId="25F01F59" w14:textId="77777777">
        <w:trPr>
          <w:gridAfter w:val="1"/>
          <w:wAfter w:w="533" w:type="dxa"/>
        </w:trPr>
        <w:tc>
          <w:tcPr>
            <w:tcW w:w="1701" w:type="dxa"/>
            <w:vMerge w:val="restart"/>
          </w:tcPr>
          <w:p w:rsidRPr="00D42A3F" w:rsidR="006C457C" w:rsidP="00F324F7" w:rsidRDefault="006C457C" w14:paraId="2BA5A584" w14:textId="77777777">
            <w:pPr>
              <w:tabs>
                <w:tab w:val="center" w:pos="284"/>
              </w:tabs>
              <w:ind w:left="266" w:hanging="266"/>
              <w:rPr>
                <w:b/>
                <w:sz w:val="20"/>
                <w:szCs w:val="20"/>
              </w:rPr>
            </w:pPr>
            <w:r>
              <w:rPr>
                <w:b/>
                <w:bCs/>
                <w:sz w:val="20"/>
              </w:rPr>
              <w:t>Referencias</w:t>
            </w:r>
          </w:p>
        </w:tc>
        <w:tc>
          <w:tcPr>
            <w:tcW w:w="5387" w:type="dxa"/>
          </w:tcPr>
          <w:p w:rsidRPr="00D42A3F" w:rsidR="006C457C" w:rsidP="00F324F7" w:rsidRDefault="006C457C" w14:paraId="0CCB83A9" w14:textId="77777777">
            <w:pPr>
              <w:tabs>
                <w:tab w:val="center" w:pos="284"/>
              </w:tabs>
              <w:ind w:left="266" w:hanging="266"/>
              <w:rPr>
                <w:sz w:val="20"/>
                <w:szCs w:val="20"/>
              </w:rPr>
            </w:pPr>
            <w:r>
              <w:rPr>
                <w:sz w:val="20"/>
              </w:rPr>
              <w:t>Dictamen de iniciativa</w:t>
            </w:r>
          </w:p>
          <w:p w:rsidRPr="00D42A3F" w:rsidR="006C457C" w:rsidP="00F324F7" w:rsidRDefault="006C457C" w14:paraId="7686A18A" w14:textId="77777777">
            <w:pPr>
              <w:tabs>
                <w:tab w:val="center" w:pos="284"/>
              </w:tabs>
              <w:ind w:left="266" w:hanging="266"/>
              <w:rPr>
                <w:sz w:val="20"/>
                <w:szCs w:val="20"/>
              </w:rPr>
            </w:pPr>
            <w:r>
              <w:rPr>
                <w:sz w:val="20"/>
              </w:rPr>
              <w:t>EESC-2024-02690-00-00-AC</w:t>
            </w:r>
          </w:p>
        </w:tc>
      </w:tr>
      <w:tr w:rsidRPr="00A6689B" w:rsidR="006C457C" w:rsidTr="00F324F7" w14:paraId="542F8DBA" w14:textId="77777777">
        <w:trPr>
          <w:gridAfter w:val="1"/>
          <w:wAfter w:w="533" w:type="dxa"/>
        </w:trPr>
        <w:tc>
          <w:tcPr>
            <w:tcW w:w="1701" w:type="dxa"/>
            <w:vMerge/>
          </w:tcPr>
          <w:p w:rsidRPr="00A6689B" w:rsidR="006C457C" w:rsidP="00F324F7" w:rsidRDefault="006C457C" w14:paraId="07EF68AF" w14:textId="77777777">
            <w:pPr>
              <w:tabs>
                <w:tab w:val="center" w:pos="284"/>
              </w:tabs>
              <w:ind w:left="266" w:hanging="266"/>
              <w:rPr>
                <w:b/>
              </w:rPr>
            </w:pPr>
          </w:p>
        </w:tc>
        <w:tc>
          <w:tcPr>
            <w:tcW w:w="5387" w:type="dxa"/>
          </w:tcPr>
          <w:p w:rsidRPr="00A6689B" w:rsidR="006C457C" w:rsidP="00F324F7" w:rsidRDefault="006C457C" w14:paraId="068FC2C4" w14:textId="77777777">
            <w:pPr>
              <w:tabs>
                <w:tab w:val="center" w:pos="284"/>
              </w:tabs>
              <w:ind w:left="266" w:hanging="266"/>
            </w:pPr>
          </w:p>
        </w:tc>
      </w:tr>
    </w:tbl>
    <w:p w:rsidRPr="00A6689B" w:rsidR="006C457C" w:rsidP="006C457C" w:rsidRDefault="006C457C" w14:paraId="3F5CFF13" w14:textId="77777777">
      <w:pPr>
        <w:tabs>
          <w:tab w:val="center" w:pos="284"/>
        </w:tabs>
        <w:ind w:left="266" w:hanging="266"/>
      </w:pPr>
    </w:p>
    <w:p w:rsidRPr="00A6689B" w:rsidR="006C457C" w:rsidP="006C457C" w:rsidRDefault="006C457C" w14:paraId="6DB241F5" w14:textId="77777777">
      <w:pPr>
        <w:keepNext/>
        <w:keepLines/>
        <w:tabs>
          <w:tab w:val="center" w:pos="284"/>
        </w:tabs>
        <w:ind w:left="266" w:hanging="266"/>
        <w:rPr>
          <w:b/>
        </w:rPr>
      </w:pPr>
      <w:r>
        <w:rPr>
          <w:b/>
        </w:rPr>
        <w:t>Puntos clave</w:t>
      </w:r>
    </w:p>
    <w:p w:rsidRPr="00A6689B" w:rsidR="006C457C" w:rsidP="006C457C" w:rsidRDefault="006C457C" w14:paraId="6A994DD6" w14:textId="77777777">
      <w:pPr>
        <w:keepNext/>
        <w:keepLines/>
        <w:tabs>
          <w:tab w:val="center" w:pos="284"/>
        </w:tabs>
        <w:ind w:left="266" w:hanging="266"/>
        <w:rPr>
          <w:b/>
        </w:rPr>
      </w:pPr>
    </w:p>
    <w:p w:rsidRPr="00A6689B" w:rsidR="006C457C" w:rsidP="006C457C" w:rsidRDefault="006C457C" w14:paraId="164BF212" w14:textId="77777777">
      <w:pPr>
        <w:rPr>
          <w:bCs/>
          <w:iCs/>
        </w:rPr>
      </w:pPr>
      <w:r>
        <w:t>El CESE:</w:t>
      </w:r>
    </w:p>
    <w:p w:rsidRPr="00A6689B" w:rsidR="006C457C" w:rsidP="006C457C" w:rsidRDefault="006C457C" w14:paraId="7A926285" w14:textId="77777777">
      <w:pPr>
        <w:rPr>
          <w:bCs/>
          <w:iCs/>
        </w:rPr>
      </w:pPr>
    </w:p>
    <w:p w:rsidRPr="00250CD0" w:rsidR="006C457C" w:rsidP="000F216A" w:rsidRDefault="006C457C" w14:paraId="5CDA7B2E" w14:textId="77777777">
      <w:pPr>
        <w:widowControl w:val="0"/>
        <w:numPr>
          <w:ilvl w:val="0"/>
          <w:numId w:val="43"/>
        </w:numPr>
        <w:overflowPunct w:val="0"/>
        <w:autoSpaceDE w:val="0"/>
        <w:autoSpaceDN w:val="0"/>
        <w:adjustRightInd w:val="0"/>
        <w:ind w:left="284" w:hanging="284"/>
        <w:textAlignment w:val="baseline"/>
        <w:rPr>
          <w:bCs/>
          <w:iCs/>
        </w:rPr>
      </w:pPr>
      <w:r>
        <w:t>pone de relieve que la producción de energía geotérmica origina unas emisiones de gases de efecto invernadero extremadamente bajas, por lo que puede reducir la dependencia de los combustibles fósiles de que adolece el continente, contribuyendo así a descarbonizarlo y, por ende, a realizar avances significativos hacia la consecución de los objetivos de neutralidad climática de la UE para 2050;</w:t>
      </w:r>
    </w:p>
    <w:p w:rsidRPr="00A6689B" w:rsidR="006C457C" w:rsidP="000F216A" w:rsidRDefault="006C457C" w14:paraId="44B47F15" w14:textId="77777777">
      <w:pPr>
        <w:widowControl w:val="0"/>
        <w:numPr>
          <w:ilvl w:val="0"/>
          <w:numId w:val="43"/>
        </w:numPr>
        <w:overflowPunct w:val="0"/>
        <w:autoSpaceDE w:val="0"/>
        <w:autoSpaceDN w:val="0"/>
        <w:adjustRightInd w:val="0"/>
        <w:ind w:left="284" w:hanging="284"/>
        <w:textAlignment w:val="baseline"/>
      </w:pPr>
      <w:r>
        <w:t>destaca que el potencial de la energía geotérmica está considerablemente infraexplotado en Europa. Para aprovechar dicho potencial, el Comité pide a la Comisión que elabore una estrategia general europea de desarrollo geotérmico;</w:t>
      </w:r>
    </w:p>
    <w:p w:rsidRPr="00EE75BE" w:rsidR="006C457C" w:rsidP="000F216A" w:rsidRDefault="006C457C" w14:paraId="5B7C2DA2" w14:textId="77777777">
      <w:pPr>
        <w:widowControl w:val="0"/>
        <w:numPr>
          <w:ilvl w:val="0"/>
          <w:numId w:val="43"/>
        </w:numPr>
        <w:overflowPunct w:val="0"/>
        <w:autoSpaceDE w:val="0"/>
        <w:autoSpaceDN w:val="0"/>
        <w:adjustRightInd w:val="0"/>
        <w:ind w:left="284" w:hanging="284"/>
        <w:textAlignment w:val="baseline"/>
        <w:rPr>
          <w:rFonts w:asciiTheme="minorHAnsi" w:hAnsiTheme="minorHAnsi"/>
        </w:rPr>
      </w:pPr>
      <w:r>
        <w:t>considera que las inversiones en centrales geotérmicas no funcionarán sin la intervención de los Estados miembros: se necesitan financiación e incentivos públicos para atraer inversiones iniciales y reducir sus riesgos. Los cambios en la política energética o en la financiación pueden repercutir en el atractivo económico de los proyectos geotérmicos.</w:t>
      </w:r>
    </w:p>
    <w:p w:rsidRPr="000624A9" w:rsidR="006C457C" w:rsidP="006C457C" w:rsidRDefault="006C457C" w14:paraId="45EF73F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A6689B" w:rsidR="006C457C" w:rsidTr="00572E71" w14:paraId="692814A5" w14:textId="77777777">
        <w:tc>
          <w:tcPr>
            <w:tcW w:w="2093" w:type="dxa"/>
          </w:tcPr>
          <w:p w:rsidRPr="00A6689B" w:rsidR="006C457C" w:rsidP="00F324F7" w:rsidRDefault="006C457C" w14:paraId="0E41D6CE" w14:textId="77777777">
            <w:pPr>
              <w:spacing w:line="240" w:lineRule="auto"/>
              <w:rPr>
                <w:i/>
              </w:rPr>
            </w:pPr>
            <w:r>
              <w:rPr>
                <w:b/>
                <w:i/>
              </w:rPr>
              <w:t>Contacto</w:t>
            </w:r>
          </w:p>
        </w:tc>
        <w:tc>
          <w:tcPr>
            <w:tcW w:w="4995" w:type="dxa"/>
          </w:tcPr>
          <w:p w:rsidRPr="00A6689B" w:rsidR="006C457C" w:rsidP="00F324F7" w:rsidRDefault="006C457C" w14:paraId="0EDA5629" w14:textId="77777777">
            <w:pPr>
              <w:spacing w:line="240" w:lineRule="auto"/>
              <w:rPr>
                <w:i/>
              </w:rPr>
            </w:pPr>
            <w:r>
              <w:rPr>
                <w:i/>
              </w:rPr>
              <w:t>António Ribeiro Pereira</w:t>
            </w:r>
          </w:p>
        </w:tc>
      </w:tr>
      <w:tr w:rsidRPr="00A6689B" w:rsidR="006C457C" w:rsidTr="00572E71" w14:paraId="4DE1AECB" w14:textId="77777777">
        <w:tc>
          <w:tcPr>
            <w:tcW w:w="2093" w:type="dxa"/>
          </w:tcPr>
          <w:p w:rsidRPr="00A6689B" w:rsidR="006C457C" w:rsidP="00F324F7" w:rsidRDefault="006C457C" w14:paraId="41ACEF29" w14:textId="77777777">
            <w:pPr>
              <w:spacing w:line="240" w:lineRule="auto"/>
              <w:rPr>
                <w:i/>
              </w:rPr>
            </w:pPr>
            <w:r>
              <w:rPr>
                <w:i/>
              </w:rPr>
              <w:t>Teléfono:</w:t>
            </w:r>
          </w:p>
        </w:tc>
        <w:tc>
          <w:tcPr>
            <w:tcW w:w="4995" w:type="dxa"/>
          </w:tcPr>
          <w:p w:rsidRPr="00A6689B" w:rsidR="006C457C" w:rsidP="00F324F7" w:rsidRDefault="006C457C" w14:paraId="225FBCFB" w14:textId="77777777">
            <w:pPr>
              <w:spacing w:line="240" w:lineRule="auto"/>
              <w:rPr>
                <w:i/>
              </w:rPr>
            </w:pPr>
            <w:r>
              <w:rPr>
                <w:i/>
              </w:rPr>
              <w:t>+32 25469363</w:t>
            </w:r>
          </w:p>
        </w:tc>
      </w:tr>
      <w:tr w:rsidRPr="00A6689B" w:rsidR="006C457C" w:rsidTr="00572E71" w14:paraId="476823F8" w14:textId="77777777">
        <w:tc>
          <w:tcPr>
            <w:tcW w:w="2093" w:type="dxa"/>
          </w:tcPr>
          <w:p w:rsidRPr="00A6689B" w:rsidR="006C457C" w:rsidP="00F324F7" w:rsidRDefault="006C172C" w14:paraId="65FB71C4" w14:textId="572FECBD">
            <w:pPr>
              <w:spacing w:line="240" w:lineRule="auto"/>
              <w:rPr>
                <w:i/>
              </w:rPr>
            </w:pPr>
            <w:r>
              <w:rPr>
                <w:i/>
              </w:rPr>
              <w:t>Correo electrónico:</w:t>
            </w:r>
          </w:p>
        </w:tc>
        <w:tc>
          <w:tcPr>
            <w:tcW w:w="4995" w:type="dxa"/>
          </w:tcPr>
          <w:p w:rsidRPr="00A6689B" w:rsidR="006C457C" w:rsidP="00F324F7" w:rsidRDefault="00F22A9C" w14:paraId="7A486C1A" w14:textId="499C1E00">
            <w:pPr>
              <w:spacing w:line="240" w:lineRule="auto"/>
              <w:rPr>
                <w:i/>
              </w:rPr>
            </w:pPr>
            <w:hyperlink w:history="1" r:id="rId43">
              <w:r w:rsidR="00276FC9">
                <w:rPr>
                  <w:rStyle w:val="Hyperlink"/>
                  <w:i/>
                </w:rPr>
                <w:t>Antonio.RibeiroPereira@eesc.europa.eu</w:t>
              </w:r>
            </w:hyperlink>
          </w:p>
        </w:tc>
      </w:tr>
    </w:tbl>
    <w:p w:rsidR="00392AA4" w:rsidRDefault="00392AA4" w14:paraId="4982DDC9" w14:textId="0AAA6F9A">
      <w:pPr>
        <w:spacing w:after="160" w:line="259" w:lineRule="auto"/>
        <w:jc w:val="left"/>
      </w:pPr>
      <w:r>
        <w:br w:type="page"/>
      </w:r>
    </w:p>
    <w:p w:rsidRPr="00392AA4" w:rsidR="00392AA4" w:rsidP="00392AA4" w:rsidRDefault="00F22A9C" w14:paraId="16CA7AC7" w14:textId="6499E0B4">
      <w:pPr>
        <w:widowControl w:val="0"/>
        <w:numPr>
          <w:ilvl w:val="0"/>
          <w:numId w:val="8"/>
        </w:numPr>
        <w:overflowPunct w:val="0"/>
        <w:autoSpaceDE w:val="0"/>
        <w:autoSpaceDN w:val="0"/>
        <w:adjustRightInd w:val="0"/>
        <w:ind w:left="266" w:hanging="266"/>
        <w:textAlignment w:val="baseline"/>
        <w:rPr>
          <w:b/>
          <w:u w:val="single"/>
        </w:rPr>
      </w:pPr>
      <w:hyperlink w:history="1" r:id="rId44">
        <w:r w:rsidRPr="00572E71" w:rsidR="00276FC9">
          <w:rPr>
            <w:rStyle w:val="Hyperlink"/>
            <w:b/>
            <w:i/>
            <w:sz w:val="28"/>
          </w:rPr>
          <w:t>Gestión de residuos radiactivos: el punto de vista de la sociedad civil</w:t>
        </w:r>
      </w:hyperlink>
    </w:p>
    <w:p w:rsidRPr="000F216A" w:rsidR="00392AA4" w:rsidP="000F216A" w:rsidRDefault="00392AA4" w14:paraId="31972488"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92AA4" w:rsidR="00392AA4" w:rsidTr="00F324F7" w14:paraId="72A1E6A4" w14:textId="77777777">
        <w:tc>
          <w:tcPr>
            <w:tcW w:w="1701" w:type="dxa"/>
          </w:tcPr>
          <w:p w:rsidRPr="00392AA4" w:rsidR="00392AA4" w:rsidP="00392AA4" w:rsidRDefault="00392AA4" w14:paraId="0E613FF7" w14:textId="77777777">
            <w:pPr>
              <w:tabs>
                <w:tab w:val="center" w:pos="284"/>
              </w:tabs>
              <w:overflowPunct w:val="0"/>
              <w:autoSpaceDE w:val="0"/>
              <w:autoSpaceDN w:val="0"/>
              <w:adjustRightInd w:val="0"/>
              <w:ind w:left="266" w:hanging="266"/>
              <w:textAlignment w:val="baseline"/>
              <w:rPr>
                <w:b/>
              </w:rPr>
            </w:pPr>
            <w:r>
              <w:rPr>
                <w:b/>
              </w:rPr>
              <w:t xml:space="preserve">Ponente </w:t>
            </w:r>
          </w:p>
        </w:tc>
        <w:tc>
          <w:tcPr>
            <w:tcW w:w="5387" w:type="dxa"/>
          </w:tcPr>
          <w:p w:rsidRPr="00392AA4" w:rsidR="00392AA4" w:rsidP="00392AA4" w:rsidRDefault="00392AA4" w14:paraId="43DF8FF1" w14:textId="77777777">
            <w:pPr>
              <w:tabs>
                <w:tab w:val="center" w:pos="284"/>
              </w:tabs>
              <w:overflowPunct w:val="0"/>
              <w:autoSpaceDE w:val="0"/>
              <w:autoSpaceDN w:val="0"/>
              <w:adjustRightInd w:val="0"/>
              <w:ind w:left="266" w:hanging="266"/>
              <w:textAlignment w:val="baseline"/>
            </w:pPr>
            <w:r>
              <w:t>Alena MASTANTUONO (Grupo de Empresarios – CZ)</w:t>
            </w:r>
          </w:p>
        </w:tc>
      </w:tr>
      <w:tr w:rsidRPr="00392AA4" w:rsidR="00392AA4" w:rsidTr="00F324F7" w14:paraId="4DF9456A" w14:textId="77777777">
        <w:tc>
          <w:tcPr>
            <w:tcW w:w="1701" w:type="dxa"/>
          </w:tcPr>
          <w:p w:rsidRPr="00392AA4" w:rsidR="00392AA4" w:rsidP="00392AA4" w:rsidRDefault="00392AA4" w14:paraId="481A1677" w14:textId="77777777">
            <w:pPr>
              <w:tabs>
                <w:tab w:val="center" w:pos="284"/>
              </w:tabs>
              <w:overflowPunct w:val="0"/>
              <w:autoSpaceDE w:val="0"/>
              <w:autoSpaceDN w:val="0"/>
              <w:adjustRightInd w:val="0"/>
              <w:ind w:left="266" w:hanging="266"/>
              <w:textAlignment w:val="baseline"/>
              <w:rPr>
                <w:b/>
              </w:rPr>
            </w:pPr>
            <w:r>
              <w:rPr>
                <w:b/>
                <w:bCs/>
              </w:rPr>
              <w:t>Coponente</w:t>
            </w:r>
          </w:p>
        </w:tc>
        <w:tc>
          <w:tcPr>
            <w:tcW w:w="5387" w:type="dxa"/>
          </w:tcPr>
          <w:p w:rsidRPr="00392AA4" w:rsidR="00392AA4" w:rsidP="00392AA4" w:rsidRDefault="00392AA4" w14:paraId="2BDCBADC" w14:textId="77777777">
            <w:pPr>
              <w:tabs>
                <w:tab w:val="center" w:pos="284"/>
              </w:tabs>
              <w:overflowPunct w:val="0"/>
              <w:autoSpaceDE w:val="0"/>
              <w:autoSpaceDN w:val="0"/>
              <w:adjustRightInd w:val="0"/>
              <w:ind w:left="266" w:hanging="266"/>
              <w:textAlignment w:val="baseline"/>
            </w:pPr>
            <w:r>
              <w:t>Christophe QUAREZ (Grupo de Trabajadores – FR)</w:t>
            </w:r>
          </w:p>
        </w:tc>
      </w:tr>
      <w:tr w:rsidRPr="00392AA4" w:rsidR="00392AA4" w:rsidTr="00F324F7" w14:paraId="75625242" w14:textId="77777777">
        <w:tc>
          <w:tcPr>
            <w:tcW w:w="7088" w:type="dxa"/>
            <w:gridSpan w:val="2"/>
          </w:tcPr>
          <w:p w:rsidRPr="00392AA4"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pPr>
          </w:p>
        </w:tc>
      </w:tr>
      <w:tr w:rsidRPr="00392AA4" w:rsidR="00392AA4" w:rsidTr="00F324F7" w14:paraId="58FDA19F" w14:textId="77777777">
        <w:tc>
          <w:tcPr>
            <w:tcW w:w="1701" w:type="dxa"/>
            <w:vMerge w:val="restart"/>
          </w:tcPr>
          <w:p w:rsidRPr="00392AA4" w:rsidR="00392AA4" w:rsidP="00392AA4" w:rsidRDefault="00392AA4" w14:paraId="57FAA44A" w14:textId="77777777">
            <w:pPr>
              <w:tabs>
                <w:tab w:val="center" w:pos="284"/>
              </w:tabs>
              <w:overflowPunct w:val="0"/>
              <w:autoSpaceDE w:val="0"/>
              <w:autoSpaceDN w:val="0"/>
              <w:adjustRightInd w:val="0"/>
              <w:ind w:left="266" w:hanging="266"/>
              <w:textAlignment w:val="baseline"/>
              <w:rPr>
                <w:b/>
              </w:rPr>
            </w:pPr>
            <w:r>
              <w:rPr>
                <w:b/>
                <w:bCs/>
              </w:rPr>
              <w:t>Referencias</w:t>
            </w:r>
          </w:p>
        </w:tc>
        <w:tc>
          <w:tcPr>
            <w:tcW w:w="5387" w:type="dxa"/>
          </w:tcPr>
          <w:p w:rsidRPr="00392AA4" w:rsidR="00392AA4" w:rsidP="00392AA4" w:rsidRDefault="00392AA4" w14:paraId="457D7D87" w14:textId="77777777">
            <w:pPr>
              <w:tabs>
                <w:tab w:val="center" w:pos="284"/>
              </w:tabs>
              <w:overflowPunct w:val="0"/>
              <w:autoSpaceDE w:val="0"/>
              <w:autoSpaceDN w:val="0"/>
              <w:adjustRightInd w:val="0"/>
              <w:ind w:left="266" w:hanging="266"/>
              <w:textAlignment w:val="baseline"/>
            </w:pPr>
            <w:r>
              <w:t>Dictamen de iniciativa</w:t>
            </w:r>
          </w:p>
          <w:p w:rsidRPr="00392AA4" w:rsidR="00392AA4" w:rsidP="00392AA4" w:rsidRDefault="00392AA4" w14:paraId="7A458B4A" w14:textId="77777777">
            <w:pPr>
              <w:tabs>
                <w:tab w:val="center" w:pos="284"/>
              </w:tabs>
              <w:overflowPunct w:val="0"/>
              <w:autoSpaceDE w:val="0"/>
              <w:autoSpaceDN w:val="0"/>
              <w:adjustRightInd w:val="0"/>
              <w:ind w:left="266" w:hanging="266"/>
              <w:textAlignment w:val="baseline"/>
            </w:pPr>
            <w:r>
              <w:t>EESC-2024-02352-00-00-AC</w:t>
            </w:r>
          </w:p>
        </w:tc>
      </w:tr>
      <w:tr w:rsidRPr="00392AA4" w:rsidR="00392AA4" w:rsidTr="00F324F7" w14:paraId="56B30325" w14:textId="77777777">
        <w:tc>
          <w:tcPr>
            <w:tcW w:w="1701" w:type="dxa"/>
            <w:vMerge/>
          </w:tcPr>
          <w:p w:rsidRPr="00392AA4" w:rsidR="00392AA4" w:rsidP="00392AA4" w:rsidRDefault="00392AA4" w14:paraId="152E47D3" w14:textId="77777777">
            <w:pPr>
              <w:tabs>
                <w:tab w:val="center" w:pos="284"/>
              </w:tabs>
              <w:overflowPunct w:val="0"/>
              <w:autoSpaceDE w:val="0"/>
              <w:autoSpaceDN w:val="0"/>
              <w:adjustRightInd w:val="0"/>
              <w:ind w:left="266" w:hanging="266"/>
              <w:textAlignment w:val="baseline"/>
              <w:rPr>
                <w:b/>
              </w:rPr>
            </w:pPr>
          </w:p>
        </w:tc>
        <w:tc>
          <w:tcPr>
            <w:tcW w:w="5387" w:type="dxa"/>
          </w:tcPr>
          <w:p w:rsidRPr="00392AA4" w:rsidR="00392AA4" w:rsidP="00392AA4" w:rsidRDefault="00392AA4" w14:paraId="2B86352E" w14:textId="182B31C6">
            <w:pPr>
              <w:tabs>
                <w:tab w:val="center" w:pos="284"/>
              </w:tabs>
              <w:overflowPunct w:val="0"/>
              <w:autoSpaceDE w:val="0"/>
              <w:autoSpaceDN w:val="0"/>
              <w:adjustRightInd w:val="0"/>
              <w:ind w:left="266" w:hanging="266"/>
              <w:textAlignment w:val="baseline"/>
            </w:pPr>
          </w:p>
        </w:tc>
      </w:tr>
    </w:tbl>
    <w:p w:rsidRPr="00392AA4" w:rsidR="00392AA4" w:rsidP="00392AA4" w:rsidRDefault="00392AA4" w14:paraId="2C8C8FB0"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392AA4"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392AA4" w:rsidR="00392AA4" w:rsidP="00392AA4" w:rsidRDefault="00392AA4" w14:paraId="3AD86B16" w14:textId="77777777">
      <w:pPr>
        <w:overflowPunct w:val="0"/>
        <w:autoSpaceDE w:val="0"/>
        <w:autoSpaceDN w:val="0"/>
        <w:adjustRightInd w:val="0"/>
        <w:textAlignment w:val="baseline"/>
        <w:rPr>
          <w:bCs/>
          <w:iCs/>
        </w:rPr>
      </w:pPr>
      <w:r>
        <w:t>El CESE:</w:t>
      </w:r>
    </w:p>
    <w:p w:rsidRPr="00392AA4" w:rsidR="00392AA4" w:rsidP="00392AA4" w:rsidRDefault="00392AA4" w14:paraId="1B910D87" w14:textId="77777777">
      <w:pPr>
        <w:overflowPunct w:val="0"/>
        <w:autoSpaceDE w:val="0"/>
        <w:autoSpaceDN w:val="0"/>
        <w:adjustRightInd w:val="0"/>
        <w:textAlignment w:val="baseline"/>
        <w:rPr>
          <w:bCs/>
          <w:iCs/>
          <w:lang w:val="en-GB"/>
        </w:rPr>
      </w:pPr>
    </w:p>
    <w:p w:rsidRPr="00392AA4" w:rsidR="00392AA4" w:rsidP="000F216A" w:rsidRDefault="00392AA4" w14:paraId="26C0A20D" w14:textId="77777777">
      <w:pPr>
        <w:widowControl w:val="0"/>
        <w:numPr>
          <w:ilvl w:val="0"/>
          <w:numId w:val="44"/>
        </w:numPr>
        <w:overflowPunct w:val="0"/>
        <w:autoSpaceDE w:val="0"/>
        <w:autoSpaceDN w:val="0"/>
        <w:adjustRightInd w:val="0"/>
        <w:spacing w:after="120"/>
        <w:ind w:left="284" w:hanging="284"/>
        <w:textAlignment w:val="baseline"/>
        <w:rPr>
          <w:szCs w:val="20"/>
        </w:rPr>
      </w:pPr>
      <w:r>
        <w:t>destaca que los Estados miembros deben fomentar el compromiso inclusivo, la transparencia y la apertura con la sociedad civil —en particular con las actuales comunidades receptoras y con aquellas que puedan tener interés en serlo— en todas las zonas en que se lleve a cabo la gestión de residuos radiactivos. La financiación disponible debería destinarse a aumentar la capacidad de los grupos de la sociedad civil —en particular las comunidades locales próximas a las instalaciones nucleares— para tomar parte de forma independiente en proyectos y estudios para evaluar la participación y las prácticas de transparencia en materia de gestión de residuos radiactivos;</w:t>
      </w:r>
    </w:p>
    <w:p w:rsidRPr="00392AA4" w:rsidR="00392AA4" w:rsidP="000F216A" w:rsidRDefault="00392AA4" w14:paraId="4715946E" w14:textId="77777777">
      <w:pPr>
        <w:widowControl w:val="0"/>
        <w:numPr>
          <w:ilvl w:val="0"/>
          <w:numId w:val="44"/>
        </w:numPr>
        <w:overflowPunct w:val="0"/>
        <w:autoSpaceDE w:val="0"/>
        <w:autoSpaceDN w:val="0"/>
        <w:adjustRightInd w:val="0"/>
        <w:spacing w:after="120"/>
        <w:ind w:left="284" w:hanging="284"/>
        <w:textAlignment w:val="baseline"/>
        <w:rPr>
          <w:szCs w:val="20"/>
        </w:rPr>
      </w:pPr>
      <w:r>
        <w:t>insta a los Estados miembros a que asuman todas sus responsabilidades para no trasladar a las generaciones futuras la carga de procesar los residuos nucleares, con independencia de su naturaleza, vida y grado de peligrosidad. Algunos Estados miembros de la UE podrían tener interés en desarrollar soluciones compartidas, como depósitos multinacionales de residuos radiactivos, sobre todo aquellos que disponen de inventarios de tamaño pequeño o medio;</w:t>
      </w:r>
    </w:p>
    <w:p w:rsidRPr="00392AA4" w:rsidR="00392AA4" w:rsidP="000F216A" w:rsidRDefault="00392AA4" w14:paraId="21EC1349" w14:textId="77777777">
      <w:pPr>
        <w:widowControl w:val="0"/>
        <w:numPr>
          <w:ilvl w:val="0"/>
          <w:numId w:val="44"/>
        </w:numPr>
        <w:overflowPunct w:val="0"/>
        <w:autoSpaceDE w:val="0"/>
        <w:autoSpaceDN w:val="0"/>
        <w:adjustRightInd w:val="0"/>
        <w:spacing w:after="120"/>
        <w:ind w:left="284" w:hanging="284"/>
        <w:textAlignment w:val="baseline"/>
        <w:rPr>
          <w:szCs w:val="20"/>
        </w:rPr>
      </w:pPr>
      <w:r>
        <w:t>anima a los Estados miembros de la UE a que procuren almacenar definitivamente una cantidad mínima de residuos mediante estrategias de economía circular que minimicen la generación de residuos radiactivos en la medida de lo posible;</w:t>
      </w:r>
    </w:p>
    <w:p w:rsidRPr="00392AA4" w:rsidR="00392AA4" w:rsidP="000F216A" w:rsidRDefault="00392AA4" w14:paraId="78AC8A65" w14:textId="77777777">
      <w:pPr>
        <w:widowControl w:val="0"/>
        <w:numPr>
          <w:ilvl w:val="0"/>
          <w:numId w:val="44"/>
        </w:numPr>
        <w:overflowPunct w:val="0"/>
        <w:autoSpaceDE w:val="0"/>
        <w:autoSpaceDN w:val="0"/>
        <w:adjustRightInd w:val="0"/>
        <w:spacing w:after="120"/>
        <w:ind w:left="284" w:hanging="284"/>
        <w:textAlignment w:val="baseline"/>
        <w:rPr>
          <w:szCs w:val="20"/>
        </w:rPr>
      </w:pPr>
      <w:r>
        <w:t xml:space="preserve"> señala que los Estados miembros no aplican la Directiva de manera uniforme, lo que da lugar a una falta de datos comparables; pide a los Estados miembros que mejoren el uso de los indicadores clave de rendimiento al supervisar y presentar los progresos realizados en la aplicación de la Directiva 2011/70/Euratom del Consejo, por la que se establece un marco comunitario para la gestión responsable y segura del combustible nuclear gastado y de los residuos radiactivos;</w:t>
      </w:r>
    </w:p>
    <w:p w:rsidRPr="00392AA4" w:rsidR="00392AA4" w:rsidP="000F216A" w:rsidRDefault="00392AA4" w14:paraId="0E462B59" w14:textId="77777777">
      <w:pPr>
        <w:widowControl w:val="0"/>
        <w:numPr>
          <w:ilvl w:val="0"/>
          <w:numId w:val="44"/>
        </w:numPr>
        <w:overflowPunct w:val="0"/>
        <w:autoSpaceDE w:val="0"/>
        <w:autoSpaceDN w:val="0"/>
        <w:adjustRightInd w:val="0"/>
        <w:spacing w:after="120"/>
        <w:ind w:left="284" w:hanging="284"/>
        <w:textAlignment w:val="baseline"/>
        <w:rPr>
          <w:szCs w:val="20"/>
        </w:rPr>
      </w:pPr>
      <w:r>
        <w:t>anima a apoyar la educación y la formación de profesionales y científicos en materia de gestión de residuos radiactivos y propone «enfoques sociotécnicos» en relación con los residuos radiactivos.</w:t>
      </w:r>
    </w:p>
    <w:p w:rsidRPr="00392AA4"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741C73" w:rsidR="00392AA4" w:rsidTr="00741C73" w14:paraId="46E4703C" w14:textId="77777777">
        <w:tc>
          <w:tcPr>
            <w:tcW w:w="2235" w:type="dxa"/>
          </w:tcPr>
          <w:p w:rsidRPr="00741C73"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sidRPr="00741C73">
              <w:rPr>
                <w:b/>
                <w:i/>
                <w:sz w:val="22"/>
                <w:szCs w:val="22"/>
              </w:rPr>
              <w:t>Contacto:</w:t>
            </w:r>
          </w:p>
        </w:tc>
        <w:tc>
          <w:tcPr>
            <w:tcW w:w="4853" w:type="dxa"/>
          </w:tcPr>
          <w:p w:rsidRPr="00741C73" w:rsidR="00392AA4" w:rsidP="00392AA4" w:rsidRDefault="00392AA4" w14:paraId="00047AB7" w14:textId="77777777">
            <w:pPr>
              <w:overflowPunct w:val="0"/>
              <w:autoSpaceDE w:val="0"/>
              <w:autoSpaceDN w:val="0"/>
              <w:adjustRightInd w:val="0"/>
              <w:spacing w:line="240" w:lineRule="auto"/>
              <w:textAlignment w:val="baseline"/>
              <w:rPr>
                <w:i/>
                <w:sz w:val="22"/>
                <w:szCs w:val="22"/>
              </w:rPr>
            </w:pPr>
            <w:r w:rsidRPr="00741C73">
              <w:rPr>
                <w:i/>
                <w:sz w:val="22"/>
                <w:szCs w:val="22"/>
              </w:rPr>
              <w:t>Albert Precup</w:t>
            </w:r>
          </w:p>
        </w:tc>
      </w:tr>
      <w:tr w:rsidRPr="00741C73" w:rsidR="00392AA4" w:rsidTr="00741C73" w14:paraId="50D270CC" w14:textId="77777777">
        <w:tc>
          <w:tcPr>
            <w:tcW w:w="2235" w:type="dxa"/>
          </w:tcPr>
          <w:p w:rsidRPr="00741C73"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sidRPr="00741C73">
              <w:rPr>
                <w:i/>
                <w:sz w:val="22"/>
                <w:szCs w:val="22"/>
              </w:rPr>
              <w:t>Teléfono:</w:t>
            </w:r>
          </w:p>
        </w:tc>
        <w:tc>
          <w:tcPr>
            <w:tcW w:w="4853" w:type="dxa"/>
          </w:tcPr>
          <w:p w:rsidRPr="00741C73"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sidRPr="00741C73">
              <w:rPr>
                <w:i/>
                <w:sz w:val="22"/>
                <w:szCs w:val="22"/>
              </w:rPr>
              <w:t>+32 25469326</w:t>
            </w:r>
          </w:p>
        </w:tc>
      </w:tr>
      <w:tr w:rsidRPr="00741C73" w:rsidR="00392AA4" w:rsidTr="00741C73" w14:paraId="606098E2" w14:textId="77777777">
        <w:tc>
          <w:tcPr>
            <w:tcW w:w="2235" w:type="dxa"/>
          </w:tcPr>
          <w:p w:rsidRPr="00741C73" w:rsidR="00392AA4" w:rsidP="00392AA4" w:rsidRDefault="0078435A" w14:paraId="343E1701" w14:textId="7E4E559E">
            <w:pPr>
              <w:overflowPunct w:val="0"/>
              <w:autoSpaceDE w:val="0"/>
              <w:autoSpaceDN w:val="0"/>
              <w:adjustRightInd w:val="0"/>
              <w:spacing w:line="240" w:lineRule="auto"/>
              <w:textAlignment w:val="baseline"/>
              <w:rPr>
                <w:i/>
                <w:sz w:val="22"/>
                <w:szCs w:val="22"/>
              </w:rPr>
            </w:pPr>
            <w:r w:rsidRPr="00741C73">
              <w:rPr>
                <w:i/>
                <w:sz w:val="22"/>
                <w:szCs w:val="22"/>
              </w:rPr>
              <w:t>Correo electrónico:</w:t>
            </w:r>
          </w:p>
        </w:tc>
        <w:tc>
          <w:tcPr>
            <w:tcW w:w="4853" w:type="dxa"/>
          </w:tcPr>
          <w:p w:rsidRPr="00741C73" w:rsidR="00392AA4" w:rsidP="00392AA4" w:rsidRDefault="00F22A9C" w14:paraId="4D05537C" w14:textId="48095E4B">
            <w:pPr>
              <w:overflowPunct w:val="0"/>
              <w:autoSpaceDE w:val="0"/>
              <w:autoSpaceDN w:val="0"/>
              <w:adjustRightInd w:val="0"/>
              <w:spacing w:line="240" w:lineRule="auto"/>
              <w:textAlignment w:val="baseline"/>
              <w:rPr>
                <w:i/>
                <w:sz w:val="22"/>
                <w:szCs w:val="22"/>
              </w:rPr>
            </w:pPr>
            <w:hyperlink w:history="1" r:id="rId45">
              <w:r w:rsidRPr="00741C73" w:rsidR="007E03C9">
                <w:rPr>
                  <w:rStyle w:val="Hyperlink"/>
                  <w:sz w:val="22"/>
                  <w:szCs w:val="22"/>
                </w:rPr>
                <w:t>Albert.Precup@eesc.europa.eu</w:t>
              </w:r>
            </w:hyperlink>
          </w:p>
        </w:tc>
      </w:tr>
    </w:tbl>
    <w:p w:rsidR="004D7AC0" w:rsidP="004D7AC0" w:rsidRDefault="004D7AC0" w14:paraId="47881A0C" w14:textId="77777777">
      <w:pPr>
        <w:pStyle w:val="ListParagraph"/>
        <w:ind w:left="567"/>
      </w:pPr>
    </w:p>
    <w:p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RDefault="004D7AC0" w14:paraId="4982DDF3" w14:textId="77777777">
      <w:pPr>
        <w:pStyle w:val="Heading1"/>
      </w:pPr>
      <w:bookmarkStart w:name="_Toc75527083" w:id="5"/>
      <w:bookmarkStart w:name="_Toc182565782" w:id="6"/>
      <w:r>
        <w:lastRenderedPageBreak/>
        <w:t>MERCADO ÚNICO, PRODUCCIÓN Y CONSUMO</w:t>
      </w:r>
      <w:bookmarkEnd w:id="5"/>
      <w:bookmarkEnd w:id="6"/>
    </w:p>
    <w:p w:rsidR="004D7AC0" w:rsidP="004D7AC0" w:rsidRDefault="004D7AC0" w14:paraId="4982DDF4" w14:textId="77777777"/>
    <w:p w:rsidRPr="005E4210" w:rsidR="007A5F00" w:rsidP="007A5F00" w:rsidRDefault="00F22A9C" w14:paraId="6D1B960A" w14:textId="4D3200B1">
      <w:pPr>
        <w:widowControl w:val="0"/>
        <w:numPr>
          <w:ilvl w:val="0"/>
          <w:numId w:val="8"/>
        </w:numPr>
        <w:overflowPunct w:val="0"/>
        <w:autoSpaceDE w:val="0"/>
        <w:autoSpaceDN w:val="0"/>
        <w:adjustRightInd w:val="0"/>
        <w:ind w:left="266" w:hanging="266"/>
        <w:textAlignment w:val="baseline"/>
        <w:rPr>
          <w:b/>
        </w:rPr>
      </w:pPr>
      <w:hyperlink w:tgtFrame="_blank" w:history="1" r:id="rId46">
        <w:r w:rsidR="00276FC9">
          <w:rPr>
            <w:rStyle w:val="Hyperlink"/>
            <w:b/>
            <w:i/>
            <w:sz w:val="28"/>
          </w:rPr>
          <w:t>Informe sobre la política de competencia 2023</w:t>
        </w:r>
      </w:hyperlink>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689B" w:rsidR="007A5F00" w:rsidTr="00F324F7" w14:paraId="4E67491F" w14:textId="77777777">
        <w:tc>
          <w:tcPr>
            <w:tcW w:w="1148" w:type="pct"/>
          </w:tcPr>
          <w:p w:rsidRPr="00D42A3F" w:rsidR="007A5F00" w:rsidP="00F324F7" w:rsidRDefault="007A5F00" w14:paraId="5657EE19" w14:textId="77777777">
            <w:pPr>
              <w:tabs>
                <w:tab w:val="center" w:pos="284"/>
              </w:tabs>
              <w:ind w:left="266" w:hanging="266"/>
              <w:rPr>
                <w:b/>
                <w:sz w:val="20"/>
                <w:szCs w:val="20"/>
              </w:rPr>
            </w:pPr>
          </w:p>
          <w:p w:rsidRPr="00D42A3F" w:rsidR="007A5F00" w:rsidP="00F324F7" w:rsidRDefault="007A5F00" w14:paraId="065627A7" w14:textId="77777777">
            <w:pPr>
              <w:tabs>
                <w:tab w:val="center" w:pos="284"/>
              </w:tabs>
              <w:ind w:left="266" w:hanging="266"/>
              <w:rPr>
                <w:b/>
                <w:sz w:val="20"/>
                <w:szCs w:val="20"/>
              </w:rPr>
            </w:pPr>
            <w:r>
              <w:rPr>
                <w:b/>
                <w:sz w:val="20"/>
              </w:rPr>
              <w:t>Ponente</w:t>
            </w:r>
          </w:p>
        </w:tc>
        <w:tc>
          <w:tcPr>
            <w:tcW w:w="3852" w:type="pct"/>
          </w:tcPr>
          <w:p w:rsidRPr="00D42A3F" w:rsidR="007A5F00" w:rsidP="00F324F7" w:rsidRDefault="007A5F00" w14:paraId="323BDABB" w14:textId="77777777">
            <w:pPr>
              <w:tabs>
                <w:tab w:val="center" w:pos="284"/>
              </w:tabs>
              <w:ind w:left="266" w:hanging="266"/>
              <w:rPr>
                <w:sz w:val="20"/>
                <w:szCs w:val="20"/>
              </w:rPr>
            </w:pPr>
          </w:p>
          <w:p w:rsidRPr="00D42A3F" w:rsidR="007A5F00" w:rsidP="00F324F7" w:rsidRDefault="007A5F00" w14:paraId="3D430017" w14:textId="38D73651">
            <w:pPr>
              <w:tabs>
                <w:tab w:val="center" w:pos="284"/>
              </w:tabs>
              <w:ind w:left="266" w:hanging="266"/>
              <w:rPr>
                <w:sz w:val="20"/>
                <w:szCs w:val="20"/>
              </w:rPr>
            </w:pPr>
            <w:r>
              <w:rPr>
                <w:sz w:val="20"/>
              </w:rPr>
              <w:t xml:space="preserve">Giuseppe GUERINI (Grupo de Organizaciones de la Sociedad Civil – IT) </w:t>
            </w:r>
          </w:p>
        </w:tc>
      </w:tr>
      <w:tr w:rsidRPr="00A6689B" w:rsidR="007A5F00" w:rsidTr="00F324F7" w14:paraId="5237549D" w14:textId="77777777">
        <w:tc>
          <w:tcPr>
            <w:tcW w:w="5000" w:type="pct"/>
            <w:gridSpan w:val="2"/>
          </w:tcPr>
          <w:p w:rsidRPr="00D42A3F" w:rsidR="007A5F00" w:rsidP="00F324F7" w:rsidRDefault="007A5F00" w14:paraId="6B6D1123" w14:textId="77777777">
            <w:pPr>
              <w:tabs>
                <w:tab w:val="center" w:pos="284"/>
              </w:tabs>
              <w:spacing w:line="160" w:lineRule="exact"/>
              <w:ind w:left="266" w:hanging="266"/>
              <w:rPr>
                <w:sz w:val="20"/>
                <w:szCs w:val="20"/>
              </w:rPr>
            </w:pPr>
          </w:p>
        </w:tc>
      </w:tr>
      <w:tr w:rsidRPr="00A6689B" w:rsidR="007A5F00" w:rsidTr="00F324F7" w14:paraId="328D8021" w14:textId="77777777">
        <w:tc>
          <w:tcPr>
            <w:tcW w:w="1148" w:type="pct"/>
            <w:vMerge w:val="restart"/>
          </w:tcPr>
          <w:p w:rsidRPr="00D42A3F" w:rsidR="007A5F00" w:rsidP="00F324F7" w:rsidRDefault="007A5F00" w14:paraId="2FB5F044" w14:textId="77777777">
            <w:pPr>
              <w:tabs>
                <w:tab w:val="center" w:pos="284"/>
              </w:tabs>
              <w:ind w:left="266" w:hanging="266"/>
              <w:rPr>
                <w:b/>
                <w:sz w:val="20"/>
                <w:szCs w:val="20"/>
              </w:rPr>
            </w:pPr>
            <w:r>
              <w:rPr>
                <w:b/>
                <w:bCs/>
                <w:sz w:val="20"/>
              </w:rPr>
              <w:t>Referencias</w:t>
            </w:r>
          </w:p>
        </w:tc>
        <w:tc>
          <w:tcPr>
            <w:tcW w:w="3852" w:type="pct"/>
          </w:tcPr>
          <w:p w:rsidRPr="00D42A3F" w:rsidR="007A5F00" w:rsidP="00F324F7" w:rsidRDefault="007A5F00" w14:paraId="71CF2363" w14:textId="77777777">
            <w:pPr>
              <w:tabs>
                <w:tab w:val="center" w:pos="284"/>
              </w:tabs>
              <w:ind w:left="266" w:hanging="266"/>
              <w:rPr>
                <w:sz w:val="20"/>
                <w:szCs w:val="20"/>
              </w:rPr>
            </w:pPr>
            <w:r>
              <w:rPr>
                <w:sz w:val="20"/>
              </w:rPr>
              <w:t>COM(2024) 115 final</w:t>
            </w:r>
          </w:p>
        </w:tc>
      </w:tr>
      <w:tr w:rsidRPr="00A6689B" w:rsidR="007A5F00" w:rsidTr="00F324F7" w14:paraId="78137C0C" w14:textId="77777777">
        <w:tc>
          <w:tcPr>
            <w:tcW w:w="1148" w:type="pct"/>
            <w:vMerge/>
          </w:tcPr>
          <w:p w:rsidRPr="00D42A3F" w:rsidR="007A5F00" w:rsidP="00F324F7" w:rsidRDefault="007A5F00" w14:paraId="797952DE" w14:textId="77777777">
            <w:pPr>
              <w:tabs>
                <w:tab w:val="center" w:pos="284"/>
              </w:tabs>
              <w:ind w:left="266" w:hanging="266"/>
              <w:rPr>
                <w:b/>
                <w:sz w:val="20"/>
                <w:szCs w:val="20"/>
              </w:rPr>
            </w:pPr>
          </w:p>
        </w:tc>
        <w:tc>
          <w:tcPr>
            <w:tcW w:w="3852" w:type="pct"/>
          </w:tcPr>
          <w:p w:rsidRPr="00D42A3F" w:rsidR="007A5F00" w:rsidP="00F324F7" w:rsidRDefault="007A5F00" w14:paraId="3E6D0988" w14:textId="77777777">
            <w:pPr>
              <w:tabs>
                <w:tab w:val="center" w:pos="284"/>
              </w:tabs>
              <w:ind w:left="266" w:hanging="266"/>
              <w:rPr>
                <w:sz w:val="20"/>
                <w:szCs w:val="20"/>
              </w:rPr>
            </w:pPr>
            <w:r>
              <w:rPr>
                <w:sz w:val="20"/>
              </w:rPr>
              <w:t>EESC-2024-01290-00-00-AC</w:t>
            </w:r>
          </w:p>
        </w:tc>
      </w:tr>
    </w:tbl>
    <w:p w:rsidRPr="00A6689B" w:rsidR="007A5F00" w:rsidP="007A5F00" w:rsidRDefault="007A5F00" w14:paraId="1E8AC9CE" w14:textId="77777777">
      <w:pPr>
        <w:tabs>
          <w:tab w:val="center" w:pos="284"/>
        </w:tabs>
        <w:ind w:left="266" w:hanging="266"/>
      </w:pPr>
    </w:p>
    <w:p w:rsidRPr="00A6689B" w:rsidR="007A5F00" w:rsidP="007A5F00" w:rsidRDefault="007A5F00" w14:paraId="4D6C979C" w14:textId="77777777">
      <w:pPr>
        <w:keepNext/>
        <w:keepLines/>
        <w:tabs>
          <w:tab w:val="center" w:pos="284"/>
        </w:tabs>
        <w:ind w:left="266" w:hanging="266"/>
        <w:rPr>
          <w:b/>
        </w:rPr>
      </w:pPr>
      <w:r>
        <w:rPr>
          <w:b/>
        </w:rPr>
        <w:t>Puntos clave</w:t>
      </w:r>
    </w:p>
    <w:p w:rsidRPr="00A6689B" w:rsidR="007A5F00" w:rsidP="007A5F00" w:rsidRDefault="007A5F00" w14:paraId="5A012937" w14:textId="77777777">
      <w:pPr>
        <w:keepNext/>
        <w:keepLines/>
        <w:tabs>
          <w:tab w:val="center" w:pos="284"/>
        </w:tabs>
        <w:ind w:left="266" w:hanging="266"/>
        <w:rPr>
          <w:b/>
        </w:rPr>
      </w:pPr>
    </w:p>
    <w:p w:rsidRPr="00A6689B" w:rsidR="007A5F00" w:rsidP="007A5F00" w:rsidRDefault="007A5F00" w14:paraId="7997123F" w14:textId="77777777">
      <w:pPr>
        <w:rPr>
          <w:bCs/>
          <w:iCs/>
        </w:rPr>
      </w:pPr>
      <w:r>
        <w:t>El CESE:</w:t>
      </w:r>
    </w:p>
    <w:p w:rsidRPr="00A6689B" w:rsidR="007A5F00" w:rsidP="007A5F00" w:rsidRDefault="007A5F00" w14:paraId="33A3F0FA" w14:textId="77777777">
      <w:pPr>
        <w:rPr>
          <w:bCs/>
          <w:iCs/>
        </w:rPr>
      </w:pPr>
    </w:p>
    <w:p w:rsidRPr="002766BA" w:rsidR="007A5F00" w:rsidP="000F216A" w:rsidRDefault="007A5F00" w14:paraId="3360647D" w14:textId="77777777">
      <w:pPr>
        <w:widowControl w:val="0"/>
        <w:numPr>
          <w:ilvl w:val="0"/>
          <w:numId w:val="45"/>
        </w:numPr>
        <w:overflowPunct w:val="0"/>
        <w:autoSpaceDE w:val="0"/>
        <w:autoSpaceDN w:val="0"/>
        <w:adjustRightInd w:val="0"/>
        <w:ind w:left="284" w:hanging="284"/>
        <w:textAlignment w:val="baseline"/>
        <w:rPr>
          <w:bCs/>
          <w:iCs/>
        </w:rPr>
      </w:pPr>
      <w:r>
        <w:t xml:space="preserve">considera que es necesario evaluar a fondo los actuales </w:t>
      </w:r>
      <w:r>
        <w:rPr>
          <w:b/>
        </w:rPr>
        <w:t>Marcos Temporales de Crisis y Transición</w:t>
      </w:r>
      <w:r>
        <w:t xml:space="preserve">, para determinar si sería conveniente </w:t>
      </w:r>
      <w:r>
        <w:rPr>
          <w:b/>
        </w:rPr>
        <w:t>suprimirlos progresivamente en 2025</w:t>
      </w:r>
      <w:r>
        <w:t xml:space="preserve">, como está previsto en la actualidad, </w:t>
      </w:r>
      <w:r>
        <w:rPr>
          <w:b/>
        </w:rPr>
        <w:t>o</w:t>
      </w:r>
      <w:r>
        <w:t xml:space="preserve"> si sería útil </w:t>
      </w:r>
      <w:r>
        <w:rPr>
          <w:b/>
        </w:rPr>
        <w:t>incorporar a las normas generales sobre ayudas estatales algunos de los elementos que han resultado ser beneficiosos para la transición ecológica, en especial las mejoras de procedimiento</w:t>
      </w:r>
      <w:r>
        <w:t>;</w:t>
      </w:r>
    </w:p>
    <w:p w:rsidRPr="00A6689B" w:rsidR="007A5F00" w:rsidP="000F216A" w:rsidRDefault="007A5F00" w14:paraId="13FBD5B2" w14:textId="77777777">
      <w:pPr>
        <w:widowControl w:val="0"/>
        <w:numPr>
          <w:ilvl w:val="0"/>
          <w:numId w:val="45"/>
        </w:numPr>
        <w:overflowPunct w:val="0"/>
        <w:autoSpaceDE w:val="0"/>
        <w:autoSpaceDN w:val="0"/>
        <w:adjustRightInd w:val="0"/>
        <w:ind w:left="284" w:hanging="284"/>
        <w:textAlignment w:val="baseline"/>
        <w:rPr>
          <w:bCs/>
          <w:iCs/>
        </w:rPr>
      </w:pPr>
      <w:r>
        <w:t xml:space="preserve">reclama una reflexión sobre una parte importante del informe </w:t>
      </w:r>
      <w:r>
        <w:rPr>
          <w:b/>
          <w:i/>
        </w:rPr>
        <w:t>«Much more than a market» (Mucho más que un mercado), elaborado por Enrico Letta</w:t>
      </w:r>
      <w:r>
        <w:t xml:space="preserve">, respecto de la necesidad de movilizar rápidamente ayudas públicas nacionales específicas para la industria, en la medida en que aborden de manera proporcionada los fallos de mercado, a la vez que se evita la fragmentación del mercado único. Según el informe, una forma de superar este dilema podría consistir en establecer un equilibrio entre una </w:t>
      </w:r>
      <w:r>
        <w:rPr>
          <w:b/>
        </w:rPr>
        <w:t>aplicación más estricta de las ayudas estatales a nivel nacional y la ampliación progresiva de las ayudas de financiación a escala de la UE</w:t>
      </w:r>
      <w:r>
        <w:t xml:space="preserve">. En concreto, se podría prever un </w:t>
      </w:r>
      <w:r>
        <w:rPr>
          <w:b/>
        </w:rPr>
        <w:t>mecanismo de contribución para las ayudas estatales</w:t>
      </w:r>
      <w:r>
        <w:t>, con el fin de exigir a los Estados miembros que destinen parte de sus fondos nacionales a la financiación de iniciativas e inversiones paneuropeas;</w:t>
      </w:r>
    </w:p>
    <w:p w:rsidR="007A5F00" w:rsidP="000F216A" w:rsidRDefault="007A5F00" w14:paraId="3F41CFAD" w14:textId="77777777">
      <w:pPr>
        <w:widowControl w:val="0"/>
        <w:numPr>
          <w:ilvl w:val="0"/>
          <w:numId w:val="45"/>
        </w:numPr>
        <w:overflowPunct w:val="0"/>
        <w:autoSpaceDE w:val="0"/>
        <w:autoSpaceDN w:val="0"/>
        <w:adjustRightInd w:val="0"/>
        <w:ind w:left="284" w:hanging="284"/>
        <w:textAlignment w:val="baseline"/>
        <w:rPr>
          <w:bCs/>
          <w:iCs/>
        </w:rPr>
      </w:pPr>
      <w:r>
        <w:t xml:space="preserve">hace hincapié en la necesidad de </w:t>
      </w:r>
      <w:r>
        <w:rPr>
          <w:b/>
        </w:rPr>
        <w:t>facilitar que los agentes de la economía social tengan acceso a la financiación a lo largo de todo su ciclo de vida</w:t>
      </w:r>
      <w:r>
        <w:t>. Esto podría incluir que se adapte el Reglamento General de Exención por Categorías para las ayudas estatales a las empresas sociales y que se revalúen las normas sobre ayudas para la contratación de trabajadores desfavorecidos;</w:t>
      </w:r>
    </w:p>
    <w:p w:rsidR="007A5F00" w:rsidP="000F216A" w:rsidRDefault="007A5F00" w14:paraId="5AC8FAA9" w14:textId="77777777">
      <w:pPr>
        <w:widowControl w:val="0"/>
        <w:numPr>
          <w:ilvl w:val="0"/>
          <w:numId w:val="45"/>
        </w:numPr>
        <w:overflowPunct w:val="0"/>
        <w:autoSpaceDE w:val="0"/>
        <w:autoSpaceDN w:val="0"/>
        <w:adjustRightInd w:val="0"/>
        <w:ind w:left="284" w:hanging="284"/>
        <w:textAlignment w:val="baseline"/>
      </w:pPr>
      <w:r>
        <w:t xml:space="preserve">considera muy interesante la idea de </w:t>
      </w:r>
      <w:r>
        <w:rPr>
          <w:b/>
        </w:rPr>
        <w:t>crear en el futuro un fondo soberano paneuropeo de ayudas estatales</w:t>
      </w:r>
      <w:r>
        <w:t>, como se propone en el informe Letta, ya que podría ser beneficioso para preservar la cohesión social y el buen funcionamiento del mercado único.</w:t>
      </w:r>
    </w:p>
    <w:p w:rsidR="007A5F00" w:rsidP="007A5F00" w:rsidRDefault="007A5F00" w14:paraId="6B4504ED" w14:textId="77777777">
      <w:pPr>
        <w:widowControl w:val="0"/>
        <w:ind w:left="709"/>
      </w:pPr>
    </w:p>
    <w:p w:rsidRPr="000624A9" w:rsidR="007A5F00" w:rsidP="007A5F00" w:rsidRDefault="007A5F00" w14:paraId="51DAE8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A6689B" w:rsidR="007A5F00" w:rsidTr="00F324F7" w14:paraId="70269681" w14:textId="77777777">
        <w:tc>
          <w:tcPr>
            <w:tcW w:w="1556" w:type="pct"/>
          </w:tcPr>
          <w:p w:rsidRPr="00A6689B" w:rsidR="007A5F00" w:rsidP="00F324F7" w:rsidRDefault="007A5F00" w14:paraId="561BAED3" w14:textId="77777777">
            <w:pPr>
              <w:spacing w:line="240" w:lineRule="auto"/>
              <w:rPr>
                <w:i/>
              </w:rPr>
            </w:pPr>
            <w:r>
              <w:rPr>
                <w:b/>
                <w:i/>
              </w:rPr>
              <w:t>Contacto:</w:t>
            </w:r>
          </w:p>
        </w:tc>
        <w:tc>
          <w:tcPr>
            <w:tcW w:w="3444" w:type="pct"/>
          </w:tcPr>
          <w:p w:rsidRPr="00A6689B" w:rsidR="007A5F00" w:rsidP="00F324F7" w:rsidRDefault="007A5F00" w14:paraId="7F0EA6EC" w14:textId="77777777">
            <w:pPr>
              <w:spacing w:line="240" w:lineRule="auto"/>
              <w:rPr>
                <w:i/>
              </w:rPr>
            </w:pPr>
            <w:r>
              <w:rPr>
                <w:i/>
              </w:rPr>
              <w:t>Silvia Staffa</w:t>
            </w:r>
          </w:p>
        </w:tc>
      </w:tr>
      <w:tr w:rsidRPr="00A6689B" w:rsidR="007A5F00" w:rsidTr="00F324F7" w14:paraId="7319C70E" w14:textId="77777777">
        <w:tc>
          <w:tcPr>
            <w:tcW w:w="1556" w:type="pct"/>
          </w:tcPr>
          <w:p w:rsidRPr="00A6689B" w:rsidR="007A5F00" w:rsidP="00F324F7" w:rsidRDefault="007A5F00" w14:paraId="1368CCED" w14:textId="77777777">
            <w:pPr>
              <w:spacing w:line="240" w:lineRule="auto"/>
              <w:rPr>
                <w:i/>
              </w:rPr>
            </w:pPr>
            <w:r>
              <w:rPr>
                <w:i/>
              </w:rPr>
              <w:t>Teléfono:</w:t>
            </w:r>
          </w:p>
        </w:tc>
        <w:tc>
          <w:tcPr>
            <w:tcW w:w="3444" w:type="pct"/>
          </w:tcPr>
          <w:p w:rsidRPr="00A6689B" w:rsidR="007A5F00" w:rsidP="00F324F7" w:rsidRDefault="007A5F00" w14:paraId="368A4F87" w14:textId="77777777">
            <w:pPr>
              <w:spacing w:line="240" w:lineRule="auto"/>
              <w:rPr>
                <w:i/>
              </w:rPr>
            </w:pPr>
            <w:r>
              <w:rPr>
                <w:i/>
              </w:rPr>
              <w:t>+32 25468244</w:t>
            </w:r>
          </w:p>
        </w:tc>
      </w:tr>
      <w:tr w:rsidRPr="00A6689B" w:rsidR="007A5F00" w:rsidTr="00F324F7" w14:paraId="6CD820A7" w14:textId="77777777">
        <w:tc>
          <w:tcPr>
            <w:tcW w:w="1556" w:type="pct"/>
          </w:tcPr>
          <w:p w:rsidRPr="00A6689B" w:rsidR="007A5F00" w:rsidP="00F324F7" w:rsidRDefault="003451B0" w14:paraId="3EF65C32" w14:textId="12516F21">
            <w:pPr>
              <w:spacing w:line="240" w:lineRule="auto"/>
              <w:rPr>
                <w:i/>
              </w:rPr>
            </w:pPr>
            <w:r>
              <w:rPr>
                <w:i/>
              </w:rPr>
              <w:t>Correo electrónico:</w:t>
            </w:r>
          </w:p>
        </w:tc>
        <w:tc>
          <w:tcPr>
            <w:tcW w:w="3444" w:type="pct"/>
          </w:tcPr>
          <w:p w:rsidRPr="00A6689B" w:rsidR="007A5F00" w:rsidP="00F324F7" w:rsidRDefault="00F22A9C" w14:paraId="0C3BCA9A" w14:textId="21BC0983">
            <w:pPr>
              <w:spacing w:line="240" w:lineRule="auto"/>
              <w:rPr>
                <w:i/>
              </w:rPr>
            </w:pPr>
            <w:hyperlink w:history="1" r:id="rId47">
              <w:r w:rsidR="00276FC9">
                <w:rPr>
                  <w:rStyle w:val="Hyperlink"/>
                  <w:i/>
                </w:rPr>
                <w:t>Silvia.Staffa@eesc.europa.eu</w:t>
              </w:r>
            </w:hyperlink>
          </w:p>
        </w:tc>
      </w:tr>
    </w:tbl>
    <w:p w:rsidR="002F20BE" w:rsidP="002F20BE" w:rsidRDefault="002F20BE" w14:paraId="4982DDF5" w14:textId="36EBFD4F">
      <w:pPr>
        <w:ind w:left="710"/>
        <w:rPr>
          <w:b/>
          <w:i/>
          <w:sz w:val="28"/>
          <w:szCs w:val="28"/>
        </w:rPr>
      </w:pPr>
    </w:p>
    <w:p w:rsidR="002F20BE" w:rsidRDefault="002F20BE" w14:paraId="1661963F" w14:textId="77777777">
      <w:pPr>
        <w:spacing w:after="160" w:line="259" w:lineRule="auto"/>
        <w:jc w:val="left"/>
        <w:rPr>
          <w:b/>
          <w:i/>
          <w:sz w:val="28"/>
          <w:szCs w:val="28"/>
        </w:rPr>
      </w:pPr>
      <w:r>
        <w:br w:type="page"/>
      </w:r>
    </w:p>
    <w:p w:rsidRPr="00926B4A" w:rsidR="00926B4A" w:rsidP="00926B4A" w:rsidRDefault="00F22A9C" w14:paraId="337B37D9" w14:textId="5920FCE2">
      <w:pPr>
        <w:widowControl w:val="0"/>
        <w:numPr>
          <w:ilvl w:val="0"/>
          <w:numId w:val="8"/>
        </w:numPr>
        <w:overflowPunct w:val="0"/>
        <w:autoSpaceDE w:val="0"/>
        <w:autoSpaceDN w:val="0"/>
        <w:adjustRightInd w:val="0"/>
        <w:ind w:hanging="567"/>
        <w:textAlignment w:val="baseline"/>
        <w:rPr>
          <w:sz w:val="20"/>
          <w:szCs w:val="20"/>
        </w:rPr>
      </w:pPr>
      <w:hyperlink w:history="1" r:id="rId48">
        <w:r w:rsidRPr="00D64339" w:rsidR="00276FC9">
          <w:rPr>
            <w:rStyle w:val="Hyperlink"/>
            <w:b/>
            <w:i/>
            <w:sz w:val="28"/>
          </w:rPr>
          <w:t>Contratación pública para las entidades de la economía social</w:t>
        </w:r>
      </w:hyperlink>
    </w:p>
    <w:p w:rsidRPr="000F216A" w:rsidR="00926B4A" w:rsidP="000F216A" w:rsidRDefault="00926B4A" w14:paraId="191A5062" w14:textId="77777777"/>
    <w:tbl>
      <w:tblPr>
        <w:tblStyle w:val="TableGrid9"/>
        <w:tblW w:w="445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525"/>
      </w:tblGrid>
      <w:tr w:rsidRPr="00926B4A" w:rsidR="00926B4A" w:rsidTr="00F324F7" w14:paraId="01FAE0D8" w14:textId="77777777">
        <w:trPr>
          <w:trHeight w:val="406"/>
        </w:trPr>
        <w:tc>
          <w:tcPr>
            <w:tcW w:w="1229" w:type="pct"/>
          </w:tcPr>
          <w:p w:rsidRPr="00926B4A" w:rsidR="00926B4A" w:rsidP="00926B4A" w:rsidRDefault="00926B4A" w14:paraId="218A7D32" w14:textId="77777777">
            <w:pPr>
              <w:tabs>
                <w:tab w:val="center" w:pos="284"/>
              </w:tabs>
              <w:overflowPunct w:val="0"/>
              <w:autoSpaceDE w:val="0"/>
              <w:autoSpaceDN w:val="0"/>
              <w:adjustRightInd w:val="0"/>
              <w:ind w:left="266" w:hanging="266"/>
              <w:textAlignment w:val="baseline"/>
              <w:rPr>
                <w:b/>
              </w:rPr>
            </w:pPr>
            <w:r>
              <w:rPr>
                <w:b/>
              </w:rPr>
              <w:t>Ponente</w:t>
            </w:r>
          </w:p>
          <w:p w:rsidRPr="00926B4A" w:rsidR="00926B4A" w:rsidP="00926B4A" w:rsidRDefault="00926B4A" w14:paraId="58F1A67A" w14:textId="77777777">
            <w:pPr>
              <w:tabs>
                <w:tab w:val="center" w:pos="284"/>
              </w:tabs>
              <w:overflowPunct w:val="0"/>
              <w:autoSpaceDE w:val="0"/>
              <w:autoSpaceDN w:val="0"/>
              <w:adjustRightInd w:val="0"/>
              <w:ind w:left="266" w:hanging="266"/>
              <w:textAlignment w:val="baseline"/>
              <w:rPr>
                <w:b/>
              </w:rPr>
            </w:pPr>
            <w:r>
              <w:rPr>
                <w:b/>
                <w:bCs/>
              </w:rPr>
              <w:t>Coponente</w:t>
            </w:r>
          </w:p>
        </w:tc>
        <w:tc>
          <w:tcPr>
            <w:tcW w:w="3771" w:type="pct"/>
          </w:tcPr>
          <w:p w:rsidRPr="00926B4A" w:rsidR="00926B4A" w:rsidP="00926B4A" w:rsidRDefault="00926B4A" w14:paraId="498C82D1" w14:textId="61925745">
            <w:pPr>
              <w:tabs>
                <w:tab w:val="center" w:pos="0"/>
              </w:tabs>
              <w:overflowPunct w:val="0"/>
              <w:autoSpaceDE w:val="0"/>
              <w:autoSpaceDN w:val="0"/>
              <w:adjustRightInd w:val="0"/>
              <w:ind w:left="266" w:hanging="266"/>
              <w:textAlignment w:val="baseline"/>
            </w:pPr>
            <w:r>
              <w:t>Ferre WYCKMANS (Grupo de Trabajadores – BE)</w:t>
            </w:r>
          </w:p>
          <w:p w:rsidR="00926B4A" w:rsidP="00926B4A" w:rsidRDefault="00926B4A" w14:paraId="496CBFB3" w14:textId="462AE4DB">
            <w:pPr>
              <w:tabs>
                <w:tab w:val="center" w:pos="0"/>
              </w:tabs>
              <w:overflowPunct w:val="0"/>
              <w:autoSpaceDE w:val="0"/>
              <w:autoSpaceDN w:val="0"/>
              <w:adjustRightInd w:val="0"/>
              <w:ind w:left="266" w:hanging="266"/>
              <w:textAlignment w:val="baseline"/>
            </w:pPr>
            <w:r>
              <w:t>Alain COHEUR (Grupo de Organizaciones de la Sociedad Civil – BE)</w:t>
            </w:r>
          </w:p>
          <w:p w:rsidRPr="00926B4A" w:rsidR="00643F95" w:rsidP="00926B4A" w:rsidRDefault="00643F95" w14:paraId="2E83665E" w14:textId="77777777">
            <w:pPr>
              <w:tabs>
                <w:tab w:val="center" w:pos="0"/>
              </w:tabs>
              <w:overflowPunct w:val="0"/>
              <w:autoSpaceDE w:val="0"/>
              <w:autoSpaceDN w:val="0"/>
              <w:adjustRightInd w:val="0"/>
              <w:ind w:left="266" w:hanging="266"/>
              <w:textAlignment w:val="baseline"/>
              <w:rPr>
                <w:lang w:val="en-GB"/>
              </w:rPr>
            </w:pPr>
          </w:p>
        </w:tc>
      </w:tr>
      <w:tr w:rsidRPr="00926B4A" w:rsidR="00926B4A" w:rsidTr="00F324F7" w14:paraId="2199AB02" w14:textId="77777777">
        <w:tc>
          <w:tcPr>
            <w:tcW w:w="1229" w:type="pct"/>
          </w:tcPr>
          <w:p w:rsidRPr="00926B4A" w:rsidR="00926B4A" w:rsidP="00926B4A" w:rsidRDefault="00926B4A" w14:paraId="109076E5" w14:textId="77777777">
            <w:pPr>
              <w:tabs>
                <w:tab w:val="center" w:pos="284"/>
              </w:tabs>
              <w:overflowPunct w:val="0"/>
              <w:autoSpaceDE w:val="0"/>
              <w:autoSpaceDN w:val="0"/>
              <w:adjustRightInd w:val="0"/>
              <w:ind w:left="266" w:hanging="266"/>
              <w:textAlignment w:val="baseline"/>
              <w:rPr>
                <w:b/>
              </w:rPr>
            </w:pPr>
            <w:r>
              <w:rPr>
                <w:b/>
                <w:bCs/>
              </w:rPr>
              <w:t>Referencias</w:t>
            </w:r>
          </w:p>
        </w:tc>
        <w:tc>
          <w:tcPr>
            <w:tcW w:w="3771" w:type="pct"/>
          </w:tcPr>
          <w:p w:rsidRPr="00926B4A" w:rsidR="00926B4A" w:rsidP="00926B4A" w:rsidRDefault="00926B4A" w14:paraId="112DDA0E" w14:textId="77777777">
            <w:pPr>
              <w:tabs>
                <w:tab w:val="center" w:pos="284"/>
              </w:tabs>
              <w:overflowPunct w:val="0"/>
              <w:autoSpaceDE w:val="0"/>
              <w:autoSpaceDN w:val="0"/>
              <w:adjustRightInd w:val="0"/>
              <w:ind w:left="266" w:hanging="266"/>
              <w:textAlignment w:val="baseline"/>
            </w:pPr>
            <w:r>
              <w:t>Dictamen de iniciativa</w:t>
            </w:r>
          </w:p>
          <w:p w:rsidRPr="00926B4A" w:rsidR="00926B4A" w:rsidP="00926B4A" w:rsidRDefault="00926B4A" w14:paraId="271311AC" w14:textId="77777777">
            <w:pPr>
              <w:tabs>
                <w:tab w:val="center" w:pos="284"/>
              </w:tabs>
              <w:overflowPunct w:val="0"/>
              <w:autoSpaceDE w:val="0"/>
              <w:autoSpaceDN w:val="0"/>
              <w:adjustRightInd w:val="0"/>
              <w:ind w:left="266" w:hanging="266"/>
              <w:textAlignment w:val="baseline"/>
            </w:pPr>
            <w:r>
              <w:t>EESC-2024-00655-00-00-AC</w:t>
            </w:r>
          </w:p>
        </w:tc>
      </w:tr>
    </w:tbl>
    <w:p w:rsidRPr="00926B4A"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926B4A"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926B4A"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00926B4A" w:rsidP="00926B4A" w:rsidRDefault="00926B4A" w14:paraId="30A00576" w14:textId="77777777">
      <w:pPr>
        <w:overflowPunct w:val="0"/>
        <w:autoSpaceDE w:val="0"/>
        <w:autoSpaceDN w:val="0"/>
        <w:adjustRightInd w:val="0"/>
        <w:textAlignment w:val="baseline"/>
        <w:rPr>
          <w:bCs/>
          <w:iCs/>
        </w:rPr>
      </w:pPr>
      <w:r>
        <w:t>El CESE:</w:t>
      </w:r>
    </w:p>
    <w:p w:rsidRPr="00926B4A" w:rsidR="00646F72" w:rsidP="00926B4A" w:rsidRDefault="00646F72" w14:paraId="14429487" w14:textId="77777777">
      <w:pPr>
        <w:overflowPunct w:val="0"/>
        <w:autoSpaceDE w:val="0"/>
        <w:autoSpaceDN w:val="0"/>
        <w:adjustRightInd w:val="0"/>
        <w:textAlignment w:val="baseline"/>
        <w:rPr>
          <w:bCs/>
          <w:iCs/>
          <w:lang w:val="en-GB"/>
        </w:rPr>
      </w:pPr>
    </w:p>
    <w:p w:rsidRPr="00926B4A" w:rsidR="00926B4A" w:rsidP="000F216A" w:rsidRDefault="00926B4A" w14:paraId="05FE4BB3"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señala que el acceso a la contratación pública es crucial para las entidades de la economía social y destaca la importancia de establecer criterios innovadores con un valor real, no limitado a lo mercantil;</w:t>
      </w:r>
    </w:p>
    <w:p w:rsidRPr="00926B4A" w:rsidR="00926B4A" w:rsidP="000F216A" w:rsidRDefault="00926B4A" w14:paraId="07AABE9D"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apoya iniciativas como «Buying for Social impact» y «We Buy Social EU», que, además de intercambiar conocimientos, permiten mejorar la comprensión mutua entre las autoridades públicas y los agentes de la economía social y la economía de proximidad, y pide la aplicación de la Hoja de ruta de Lieja;</w:t>
      </w:r>
    </w:p>
    <w:p w:rsidRPr="00926B4A" w:rsidR="00926B4A" w:rsidP="000F216A" w:rsidRDefault="00926B4A" w14:paraId="3C5F436F"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hace un llamamiento a los Estados miembros y a los distintos niveles de gobierno para que apliquen todas las medidas y acciones de la Recomendación sobre el desarrollo de condiciones marco para la economía social, con el fin de ayudar a las entidades de la economía social a acceder al mercado, por ejemplo mediante el establecimiento de criterios de selección proporcionados o la división de los contratos en lotes;</w:t>
      </w:r>
    </w:p>
    <w:p w:rsidRPr="00926B4A" w:rsidR="00926B4A" w:rsidP="000F216A" w:rsidRDefault="00926B4A" w14:paraId="2DAACE3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insta a la Comisión a que ponga en marcha lo antes posible el plan de acción estratégico a escala de la UE para la contratación pública, tal como ha solicitado recientemente el Consejo, y le pide que desarrolle un sistema de seguimiento de la aplicación de las medidas con el fin de aumentar su eficacia;</w:t>
      </w:r>
    </w:p>
    <w:p w:rsidRPr="00926B4A" w:rsidR="00926B4A" w:rsidP="000F216A" w:rsidRDefault="00926B4A" w14:paraId="0CB60C78"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pide una evaluación exhaustiva y una revisión del marco europeo de contratación pública en la nueva legislatura;</w:t>
      </w:r>
    </w:p>
    <w:p w:rsidRPr="00926B4A" w:rsidR="00926B4A" w:rsidP="000F216A" w:rsidRDefault="00926B4A" w14:paraId="3F090E11"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pide que los poderes adjudicadores de la UE hagan un mejor uso de las consultas preliminares del mercado, de los contratos reservados y de la división en lotes;</w:t>
      </w:r>
    </w:p>
    <w:p w:rsidR="00926B4A" w:rsidP="00643F95" w:rsidRDefault="00926B4A" w14:paraId="596D7E09" w14:textId="77777777">
      <w:pPr>
        <w:numPr>
          <w:ilvl w:val="0"/>
          <w:numId w:val="46"/>
        </w:numPr>
        <w:overflowPunct w:val="0"/>
        <w:autoSpaceDE w:val="0"/>
        <w:autoSpaceDN w:val="0"/>
        <w:adjustRightInd w:val="0"/>
        <w:spacing w:after="200" w:line="276" w:lineRule="auto"/>
        <w:ind w:left="284" w:hanging="284"/>
        <w:contextualSpacing/>
        <w:textAlignment w:val="baseline"/>
        <w:rPr>
          <w:bCs/>
          <w:iCs/>
        </w:rPr>
      </w:pPr>
      <w:r>
        <w:t>pide a la Comisión que cree en la pasarela de la economía social de la UE una sección específica que lleve por título «Contratación pública socialmente responsable», con el fin de fomentar el intercambio de conocimientos y buenas prácticas.</w:t>
      </w:r>
    </w:p>
    <w:p w:rsidRPr="00926B4A" w:rsidR="00643F95" w:rsidP="000F216A" w:rsidRDefault="00643F95" w14:paraId="1F7FE8CC" w14:textId="77777777">
      <w:pPr>
        <w:overflowPunct w:val="0"/>
        <w:autoSpaceDE w:val="0"/>
        <w:autoSpaceDN w:val="0"/>
        <w:adjustRightInd w:val="0"/>
        <w:spacing w:after="200" w:line="276" w:lineRule="auto"/>
        <w:ind w:left="284"/>
        <w:contextualSpacing/>
        <w:textAlignment w:val="baseline"/>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738"/>
      </w:tblGrid>
      <w:tr w:rsidRPr="00746E6E" w:rsidR="00926B4A" w:rsidTr="00746E6E" w14:paraId="5E8C3D27" w14:textId="77777777">
        <w:tc>
          <w:tcPr>
            <w:tcW w:w="1532" w:type="pct"/>
          </w:tcPr>
          <w:p w:rsidRPr="00746E6E"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sidRPr="00746E6E">
              <w:rPr>
                <w:b/>
                <w:i/>
                <w:sz w:val="22"/>
                <w:szCs w:val="22"/>
              </w:rPr>
              <w:t>Contacto</w:t>
            </w:r>
          </w:p>
        </w:tc>
        <w:tc>
          <w:tcPr>
            <w:tcW w:w="3468" w:type="pct"/>
          </w:tcPr>
          <w:p w:rsidRPr="00746E6E" w:rsidR="00926B4A" w:rsidP="00926B4A" w:rsidRDefault="00926B4A" w14:paraId="1DC30B11" w14:textId="77777777">
            <w:pPr>
              <w:overflowPunct w:val="0"/>
              <w:autoSpaceDE w:val="0"/>
              <w:autoSpaceDN w:val="0"/>
              <w:adjustRightInd w:val="0"/>
              <w:spacing w:line="240" w:lineRule="auto"/>
              <w:textAlignment w:val="baseline"/>
              <w:rPr>
                <w:i/>
                <w:sz w:val="22"/>
                <w:szCs w:val="22"/>
              </w:rPr>
            </w:pPr>
            <w:r w:rsidRPr="00746E6E">
              <w:rPr>
                <w:i/>
                <w:sz w:val="22"/>
                <w:szCs w:val="22"/>
              </w:rPr>
              <w:t>Annalisa Tessarolo</w:t>
            </w:r>
          </w:p>
        </w:tc>
      </w:tr>
      <w:tr w:rsidRPr="00746E6E" w:rsidR="00926B4A" w:rsidTr="00746E6E" w14:paraId="758BA8CE" w14:textId="77777777">
        <w:tc>
          <w:tcPr>
            <w:tcW w:w="1532" w:type="pct"/>
          </w:tcPr>
          <w:p w:rsidRPr="00746E6E"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sidRPr="00746E6E">
              <w:rPr>
                <w:i/>
                <w:sz w:val="22"/>
                <w:szCs w:val="22"/>
              </w:rPr>
              <w:t>Teléfono:</w:t>
            </w:r>
          </w:p>
        </w:tc>
        <w:tc>
          <w:tcPr>
            <w:tcW w:w="3468" w:type="pct"/>
          </w:tcPr>
          <w:p w:rsidRPr="00746E6E"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sidRPr="00746E6E">
              <w:rPr>
                <w:i/>
                <w:sz w:val="22"/>
                <w:szCs w:val="22"/>
              </w:rPr>
              <w:t>+32 25469732</w:t>
            </w:r>
          </w:p>
        </w:tc>
      </w:tr>
      <w:tr w:rsidRPr="00746E6E" w:rsidR="00926B4A" w:rsidTr="00746E6E" w14:paraId="5FBB9A81" w14:textId="77777777">
        <w:tc>
          <w:tcPr>
            <w:tcW w:w="1532" w:type="pct"/>
          </w:tcPr>
          <w:p w:rsidRPr="00746E6E"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sidRPr="00746E6E">
              <w:rPr>
                <w:i/>
                <w:sz w:val="22"/>
                <w:szCs w:val="22"/>
              </w:rPr>
              <w:t>Correo electrónico:</w:t>
            </w:r>
          </w:p>
        </w:tc>
        <w:tc>
          <w:tcPr>
            <w:tcW w:w="3468" w:type="pct"/>
          </w:tcPr>
          <w:p w:rsidRPr="00746E6E" w:rsidR="00926B4A" w:rsidP="00926B4A" w:rsidRDefault="00F22A9C" w14:paraId="37B96DF1" w14:textId="4AB9B892">
            <w:pPr>
              <w:overflowPunct w:val="0"/>
              <w:autoSpaceDE w:val="0"/>
              <w:autoSpaceDN w:val="0"/>
              <w:adjustRightInd w:val="0"/>
              <w:spacing w:line="240" w:lineRule="auto"/>
              <w:textAlignment w:val="baseline"/>
              <w:rPr>
                <w:i/>
                <w:iCs/>
                <w:sz w:val="22"/>
                <w:szCs w:val="22"/>
              </w:rPr>
            </w:pPr>
            <w:hyperlink w:history="1" r:id="rId49">
              <w:r w:rsidRPr="00746E6E" w:rsidR="007E03C9">
                <w:rPr>
                  <w:i/>
                  <w:color w:val="0000FF"/>
                  <w:sz w:val="22"/>
                  <w:szCs w:val="22"/>
                  <w:u w:val="single"/>
                </w:rPr>
                <w:t>Annalisa.Tessarolo@eesc.europa.eu</w:t>
              </w:r>
            </w:hyperlink>
          </w:p>
        </w:tc>
      </w:tr>
    </w:tbl>
    <w:p w:rsidR="00135714" w:rsidP="002F20BE" w:rsidRDefault="00135714" w14:paraId="5049B685" w14:textId="0667D56C">
      <w:pPr>
        <w:ind w:left="710"/>
        <w:rPr>
          <w:b/>
          <w:i/>
          <w:sz w:val="28"/>
          <w:szCs w:val="28"/>
        </w:rPr>
      </w:pPr>
    </w:p>
    <w:p w:rsidR="00135714" w:rsidRDefault="00135714" w14:paraId="587338EB" w14:textId="77777777">
      <w:pPr>
        <w:spacing w:after="160" w:line="259" w:lineRule="auto"/>
        <w:jc w:val="left"/>
        <w:rPr>
          <w:b/>
          <w:i/>
          <w:sz w:val="28"/>
          <w:szCs w:val="28"/>
        </w:rPr>
      </w:pPr>
      <w:r>
        <w:br w:type="page"/>
      </w:r>
    </w:p>
    <w:p w:rsidRPr="000F216A" w:rsidR="00135714" w:rsidP="00135714" w:rsidRDefault="00F22A9C" w14:paraId="6BBE666E" w14:textId="5ECCCACD">
      <w:pPr>
        <w:widowControl w:val="0"/>
        <w:numPr>
          <w:ilvl w:val="0"/>
          <w:numId w:val="8"/>
        </w:numPr>
        <w:overflowPunct w:val="0"/>
        <w:autoSpaceDE w:val="0"/>
        <w:autoSpaceDN w:val="0"/>
        <w:adjustRightInd w:val="0"/>
        <w:ind w:left="266" w:hanging="266"/>
        <w:textAlignment w:val="baseline"/>
        <w:rPr>
          <w:b/>
        </w:rPr>
      </w:pPr>
      <w:hyperlink w:history="1" r:id="rId50">
        <w:r w:rsidRPr="00746E6E" w:rsidR="00135714">
          <w:rPr>
            <w:rStyle w:val="Hyperlink"/>
            <w:b/>
            <w:i/>
            <w:sz w:val="28"/>
          </w:rPr>
          <w:t>Inteligencia artificial: el camino por recorrer</w:t>
        </w:r>
      </w:hyperlink>
    </w:p>
    <w:p w:rsidRPr="000F216A" w:rsidR="00347517" w:rsidP="000F216A" w:rsidRDefault="00347517" w14:paraId="07B6F676" w14:textId="77777777"/>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D42A3F" w:rsidR="00135714" w:rsidTr="00F324F7" w14:paraId="75D61B6C" w14:textId="77777777">
        <w:tc>
          <w:tcPr>
            <w:tcW w:w="1148" w:type="pct"/>
          </w:tcPr>
          <w:p w:rsidRPr="00135714" w:rsidR="00135714" w:rsidP="00135714" w:rsidRDefault="00135714" w14:paraId="026C6B73" w14:textId="77777777">
            <w:pPr>
              <w:tabs>
                <w:tab w:val="center" w:pos="284"/>
              </w:tabs>
              <w:overflowPunct w:val="0"/>
              <w:autoSpaceDE w:val="0"/>
              <w:autoSpaceDN w:val="0"/>
              <w:adjustRightInd w:val="0"/>
              <w:ind w:left="266" w:hanging="266"/>
              <w:textAlignment w:val="baseline"/>
              <w:rPr>
                <w:b/>
              </w:rPr>
            </w:pPr>
          </w:p>
          <w:p w:rsidRPr="00135714" w:rsidR="00135714" w:rsidP="00135714" w:rsidRDefault="00135714" w14:paraId="1462BF92" w14:textId="77777777">
            <w:pPr>
              <w:tabs>
                <w:tab w:val="center" w:pos="284"/>
              </w:tabs>
              <w:overflowPunct w:val="0"/>
              <w:autoSpaceDE w:val="0"/>
              <w:autoSpaceDN w:val="0"/>
              <w:adjustRightInd w:val="0"/>
              <w:ind w:left="266" w:hanging="266"/>
              <w:textAlignment w:val="baseline"/>
              <w:rPr>
                <w:b/>
              </w:rPr>
            </w:pPr>
            <w:r>
              <w:rPr>
                <w:b/>
              </w:rPr>
              <w:t>Ponente</w:t>
            </w:r>
          </w:p>
        </w:tc>
        <w:tc>
          <w:tcPr>
            <w:tcW w:w="3852" w:type="pct"/>
          </w:tcPr>
          <w:p w:rsidRPr="000F216A" w:rsidR="00135714" w:rsidP="00135714" w:rsidRDefault="00135714" w14:paraId="2B5BFEA3" w14:textId="77777777">
            <w:pPr>
              <w:tabs>
                <w:tab w:val="center" w:pos="284"/>
              </w:tabs>
              <w:overflowPunct w:val="0"/>
              <w:autoSpaceDE w:val="0"/>
              <w:autoSpaceDN w:val="0"/>
              <w:adjustRightInd w:val="0"/>
              <w:ind w:left="266" w:hanging="266"/>
              <w:textAlignment w:val="baseline"/>
              <w:rPr>
                <w:lang w:val="fr-BE"/>
              </w:rPr>
            </w:pPr>
          </w:p>
          <w:p w:rsidRPr="000F216A" w:rsidR="00135714" w:rsidP="00700337" w:rsidRDefault="00135714" w14:paraId="03447F59" w14:textId="718D04B8">
            <w:pPr>
              <w:tabs>
                <w:tab w:val="center" w:pos="284"/>
              </w:tabs>
              <w:overflowPunct w:val="0"/>
              <w:autoSpaceDE w:val="0"/>
              <w:autoSpaceDN w:val="0"/>
              <w:adjustRightInd w:val="0"/>
              <w:ind w:left="266" w:right="-264" w:hanging="266"/>
              <w:textAlignment w:val="baseline"/>
            </w:pPr>
            <w:r>
              <w:t>Sandra PARTHIE (Grupo de Empresarios – DE)</w:t>
            </w:r>
          </w:p>
        </w:tc>
      </w:tr>
      <w:tr w:rsidRPr="00D42A3F" w:rsidR="00135714" w:rsidTr="00F324F7" w14:paraId="03B3AED9" w14:textId="77777777">
        <w:tc>
          <w:tcPr>
            <w:tcW w:w="5000" w:type="pct"/>
            <w:gridSpan w:val="2"/>
          </w:tcPr>
          <w:p w:rsidRPr="000F216A"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lang w:val="fr-BE"/>
              </w:rPr>
            </w:pPr>
          </w:p>
        </w:tc>
      </w:tr>
      <w:tr w:rsidRPr="00135714" w:rsidR="00135714" w:rsidTr="00F324F7" w14:paraId="5C659247" w14:textId="77777777">
        <w:tc>
          <w:tcPr>
            <w:tcW w:w="1148" w:type="pct"/>
            <w:vMerge w:val="restart"/>
          </w:tcPr>
          <w:p w:rsidRPr="00135714" w:rsidR="00135714" w:rsidP="00135714" w:rsidRDefault="00135714" w14:paraId="1F477CC5" w14:textId="77777777">
            <w:pPr>
              <w:tabs>
                <w:tab w:val="center" w:pos="284"/>
              </w:tabs>
              <w:overflowPunct w:val="0"/>
              <w:autoSpaceDE w:val="0"/>
              <w:autoSpaceDN w:val="0"/>
              <w:adjustRightInd w:val="0"/>
              <w:ind w:left="266" w:hanging="266"/>
              <w:textAlignment w:val="baseline"/>
              <w:rPr>
                <w:b/>
              </w:rPr>
            </w:pPr>
            <w:r>
              <w:rPr>
                <w:b/>
                <w:bCs/>
              </w:rPr>
              <w:t>Referencias</w:t>
            </w:r>
          </w:p>
        </w:tc>
        <w:tc>
          <w:tcPr>
            <w:tcW w:w="3852" w:type="pct"/>
          </w:tcPr>
          <w:p w:rsidRPr="00135714" w:rsidR="00135714" w:rsidP="000F216A" w:rsidRDefault="00135714" w14:paraId="1C6150CD" w14:textId="1D07FD71">
            <w:pPr>
              <w:tabs>
                <w:tab w:val="center" w:pos="284"/>
              </w:tabs>
              <w:overflowPunct w:val="0"/>
              <w:autoSpaceDE w:val="0"/>
              <w:autoSpaceDN w:val="0"/>
              <w:adjustRightInd w:val="0"/>
              <w:ind w:left="266" w:hanging="266"/>
              <w:textAlignment w:val="baseline"/>
            </w:pPr>
            <w:r>
              <w:t xml:space="preserve">Dictamen exploratorio solicitado por la Comisión Europea </w:t>
            </w:r>
          </w:p>
        </w:tc>
      </w:tr>
      <w:tr w:rsidRPr="00135714" w:rsidR="00135714" w:rsidTr="00F324F7" w14:paraId="511CDBC5" w14:textId="77777777">
        <w:tc>
          <w:tcPr>
            <w:tcW w:w="1148" w:type="pct"/>
            <w:vMerge/>
          </w:tcPr>
          <w:p w:rsidRPr="00135714" w:rsidR="00135714" w:rsidP="00135714" w:rsidRDefault="00135714" w14:paraId="3FA98469" w14:textId="77777777">
            <w:pPr>
              <w:tabs>
                <w:tab w:val="center" w:pos="284"/>
              </w:tabs>
              <w:overflowPunct w:val="0"/>
              <w:autoSpaceDE w:val="0"/>
              <w:autoSpaceDN w:val="0"/>
              <w:adjustRightInd w:val="0"/>
              <w:ind w:left="266" w:hanging="266"/>
              <w:textAlignment w:val="baseline"/>
              <w:rPr>
                <w:b/>
              </w:rPr>
            </w:pPr>
          </w:p>
        </w:tc>
        <w:tc>
          <w:tcPr>
            <w:tcW w:w="3852" w:type="pct"/>
          </w:tcPr>
          <w:p w:rsidRPr="00135714" w:rsidR="00135714" w:rsidP="00135714" w:rsidRDefault="00135714" w14:paraId="65498915" w14:textId="77777777">
            <w:pPr>
              <w:tabs>
                <w:tab w:val="center" w:pos="284"/>
              </w:tabs>
              <w:overflowPunct w:val="0"/>
              <w:autoSpaceDE w:val="0"/>
              <w:autoSpaceDN w:val="0"/>
              <w:adjustRightInd w:val="0"/>
              <w:ind w:left="266" w:hanging="266"/>
              <w:textAlignment w:val="baseline"/>
            </w:pPr>
            <w:r>
              <w:t>EESC-2024-00602-00-00-AC</w:t>
            </w:r>
          </w:p>
        </w:tc>
      </w:tr>
    </w:tbl>
    <w:p w:rsidRPr="00135714"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135714"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135714"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135714" w:rsidR="00135714" w:rsidP="00135714" w:rsidRDefault="00135714" w14:paraId="0442A06E" w14:textId="77777777">
      <w:pPr>
        <w:overflowPunct w:val="0"/>
        <w:autoSpaceDE w:val="0"/>
        <w:autoSpaceDN w:val="0"/>
        <w:adjustRightInd w:val="0"/>
        <w:textAlignment w:val="baseline"/>
        <w:rPr>
          <w:bCs/>
          <w:iCs/>
        </w:rPr>
      </w:pPr>
      <w:r>
        <w:t>El CESE:</w:t>
      </w:r>
    </w:p>
    <w:p w:rsidRPr="00135714" w:rsidR="00135714" w:rsidP="00135714" w:rsidRDefault="00135714" w14:paraId="0B114028" w14:textId="77777777">
      <w:pPr>
        <w:overflowPunct w:val="0"/>
        <w:autoSpaceDE w:val="0"/>
        <w:autoSpaceDN w:val="0"/>
        <w:adjustRightInd w:val="0"/>
        <w:textAlignment w:val="baseline"/>
        <w:rPr>
          <w:bCs/>
          <w:iCs/>
          <w:lang w:val="en-GB"/>
        </w:rPr>
      </w:pPr>
    </w:p>
    <w:p w:rsidRPr="00135714" w:rsidR="00135714" w:rsidP="000F216A" w:rsidRDefault="00135714" w14:paraId="2FD6E7BE"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considera que, para ser competitiva en inteligencia artificial (IA) de uso general, Europa debe invertir en una conectividad segura y una infraestructura troncal resiliente, así como en una cadena de suministro resiliente, para garantizar que los efectos de la IA generativa puedan aprovecharse para los agentes europeos y ajustarse a los valores y necesidades europeos;</w:t>
      </w:r>
    </w:p>
    <w:p w:rsidRPr="00135714" w:rsidR="00135714" w:rsidP="000F216A" w:rsidRDefault="00135714" w14:paraId="62853A1D"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recomienda organizar diálogos con las partes interesadas, incluidos los interlocutores sociales, sobre los códigos de prácticas en los lugares de trabajo y los derechos de los trabajadores en el contexto de la AI de uso general;</w:t>
      </w:r>
    </w:p>
    <w:p w:rsidRPr="00135714" w:rsidR="00135714" w:rsidP="000F216A" w:rsidRDefault="00135714" w14:paraId="2C135F6D" w14:textId="77777777">
      <w:pPr>
        <w:numPr>
          <w:ilvl w:val="0"/>
          <w:numId w:val="47"/>
        </w:numPr>
        <w:overflowPunct w:val="0"/>
        <w:autoSpaceDE w:val="0"/>
        <w:autoSpaceDN w:val="0"/>
        <w:adjustRightInd w:val="0"/>
        <w:spacing w:after="200" w:line="276" w:lineRule="auto"/>
        <w:ind w:left="284" w:hanging="284"/>
        <w:contextualSpacing/>
        <w:textAlignment w:val="baseline"/>
        <w:rPr>
          <w:rFonts w:ascii="Calibri" w:hAnsi="Calibri"/>
        </w:rPr>
      </w:pPr>
      <w:r>
        <w:t>subraya que es necesaria una inversión europea y nacional en innovación coordinada, así como la movilización de los instrumentos de la política de competencia, a fin de luchar contra una concentración del mercado dominada por grandes empresas digitales, a menudo no europeas, y contribuir al desarrollo de cadenas de valor de la UE y a la creación de valor en la IA;</w:t>
      </w:r>
    </w:p>
    <w:p w:rsidRPr="00135714" w:rsidR="00135714" w:rsidP="000F216A" w:rsidRDefault="00135714" w14:paraId="7E4099DB"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espera que los códigos de prácticas con respecto al Reglamento de IA proporcionen a los usuarios, desarrolladores y otras partes interesadas en la IA directrices para la aplicación del Reglamento y otras herramientas, con el fin de facilitar a las empresas el cumplimiento de la normativa;</w:t>
      </w:r>
    </w:p>
    <w:p w:rsidRPr="00135714" w:rsidR="00135714" w:rsidP="000F216A" w:rsidRDefault="00135714" w14:paraId="0F5B6EC8"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destaca que la Oficina de IA y las autoridades nacionales deben disponer de los recursos necesarios para supervisar, evaluar y hacer cumplir las disposiciones de la legislación, garantizando el cumplimiento y la protección de los derechos de los consumidores;</w:t>
      </w:r>
    </w:p>
    <w:p w:rsidRPr="00135714" w:rsidR="00135714" w:rsidP="000F216A" w:rsidRDefault="00135714" w14:paraId="41B5AAD3"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es consciente de la preocupación que tienen en la actualidad diversas categorías de creadores de contenidos en relación con el uso de la IA generativa y subraya que es de suma importancia garantizar que la IA se desarrolle respetando las normas en materia de patentes, derechos de autor y propiedad intelectual;</w:t>
      </w:r>
    </w:p>
    <w:p w:rsidRPr="00135714" w:rsidR="00135714" w:rsidP="000F216A" w:rsidRDefault="00135714" w14:paraId="71673505" w14:textId="77777777">
      <w:pPr>
        <w:numPr>
          <w:ilvl w:val="0"/>
          <w:numId w:val="47"/>
        </w:numPr>
        <w:overflowPunct w:val="0"/>
        <w:autoSpaceDE w:val="0"/>
        <w:autoSpaceDN w:val="0"/>
        <w:adjustRightInd w:val="0"/>
        <w:spacing w:after="200" w:line="276" w:lineRule="auto"/>
        <w:ind w:left="284" w:hanging="284"/>
        <w:contextualSpacing/>
        <w:textAlignment w:val="baseline"/>
        <w:rPr>
          <w:bCs/>
          <w:iCs/>
        </w:rPr>
      </w:pPr>
      <w:r>
        <w:t>reitera que la IA puede aumentar la eficiencia energética y de los recursos al mejorar los procesos y ofrecer soluciones que permitan reducir el uso de materiales, al tiempo que también puede tener un impacto en el medio ambiente y el uso de la energía, que debe medirse con exactitud y tenerse en cuenta.</w:t>
      </w:r>
    </w:p>
    <w:p w:rsidRPr="00135714"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E2134E" w:rsidR="00135714" w:rsidTr="00F324F7" w14:paraId="274CC185" w14:textId="77777777">
        <w:tc>
          <w:tcPr>
            <w:tcW w:w="1556" w:type="pct"/>
          </w:tcPr>
          <w:p w:rsidRPr="00E2134E"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sidRPr="00E2134E">
              <w:rPr>
                <w:b/>
                <w:i/>
                <w:sz w:val="22"/>
                <w:szCs w:val="22"/>
              </w:rPr>
              <w:t>Contacto:</w:t>
            </w:r>
          </w:p>
        </w:tc>
        <w:tc>
          <w:tcPr>
            <w:tcW w:w="3444" w:type="pct"/>
          </w:tcPr>
          <w:p w:rsidRPr="00E2134E" w:rsidR="00135714" w:rsidP="00135714" w:rsidRDefault="00135714" w14:paraId="5FFDD121" w14:textId="77777777">
            <w:pPr>
              <w:overflowPunct w:val="0"/>
              <w:autoSpaceDE w:val="0"/>
              <w:autoSpaceDN w:val="0"/>
              <w:adjustRightInd w:val="0"/>
              <w:spacing w:line="240" w:lineRule="auto"/>
              <w:textAlignment w:val="baseline"/>
              <w:rPr>
                <w:i/>
                <w:sz w:val="22"/>
                <w:szCs w:val="22"/>
              </w:rPr>
            </w:pPr>
            <w:r w:rsidRPr="00E2134E">
              <w:rPr>
                <w:i/>
                <w:sz w:val="22"/>
                <w:szCs w:val="22"/>
              </w:rPr>
              <w:t>Veronika Kadlecova</w:t>
            </w:r>
          </w:p>
        </w:tc>
      </w:tr>
      <w:tr w:rsidRPr="00E2134E" w:rsidR="00135714" w:rsidTr="00F324F7" w14:paraId="5062CF43" w14:textId="77777777">
        <w:tc>
          <w:tcPr>
            <w:tcW w:w="1556" w:type="pct"/>
          </w:tcPr>
          <w:p w:rsidRPr="00E2134E"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sidRPr="00E2134E">
              <w:rPr>
                <w:i/>
                <w:sz w:val="22"/>
                <w:szCs w:val="22"/>
              </w:rPr>
              <w:t>Teléfono:</w:t>
            </w:r>
          </w:p>
        </w:tc>
        <w:tc>
          <w:tcPr>
            <w:tcW w:w="3444" w:type="pct"/>
          </w:tcPr>
          <w:p w:rsidRPr="00E2134E"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sidRPr="00E2134E">
              <w:rPr>
                <w:i/>
                <w:sz w:val="22"/>
                <w:szCs w:val="22"/>
              </w:rPr>
              <w:t>+32 25469113</w:t>
            </w:r>
          </w:p>
        </w:tc>
      </w:tr>
      <w:tr w:rsidRPr="00E2134E" w:rsidR="00135714" w:rsidTr="00F324F7" w14:paraId="2164DD9F" w14:textId="77777777">
        <w:tc>
          <w:tcPr>
            <w:tcW w:w="1556" w:type="pct"/>
          </w:tcPr>
          <w:p w:rsidRPr="00E2134E" w:rsidR="00135714" w:rsidP="00135714" w:rsidRDefault="00700337" w14:paraId="79B61694" w14:textId="56929BB6">
            <w:pPr>
              <w:overflowPunct w:val="0"/>
              <w:autoSpaceDE w:val="0"/>
              <w:autoSpaceDN w:val="0"/>
              <w:adjustRightInd w:val="0"/>
              <w:spacing w:line="240" w:lineRule="auto"/>
              <w:textAlignment w:val="baseline"/>
              <w:rPr>
                <w:i/>
                <w:sz w:val="22"/>
                <w:szCs w:val="22"/>
              </w:rPr>
            </w:pPr>
            <w:r w:rsidRPr="00E2134E">
              <w:rPr>
                <w:i/>
                <w:sz w:val="22"/>
                <w:szCs w:val="22"/>
              </w:rPr>
              <w:t>Correo electrónico:</w:t>
            </w:r>
          </w:p>
        </w:tc>
        <w:tc>
          <w:tcPr>
            <w:tcW w:w="3444" w:type="pct"/>
          </w:tcPr>
          <w:p w:rsidRPr="00E2134E" w:rsidR="00135714" w:rsidP="00135714" w:rsidRDefault="00F22A9C" w14:paraId="598D126B" w14:textId="2D11EA6E">
            <w:pPr>
              <w:overflowPunct w:val="0"/>
              <w:autoSpaceDE w:val="0"/>
              <w:autoSpaceDN w:val="0"/>
              <w:adjustRightInd w:val="0"/>
              <w:spacing w:line="240" w:lineRule="auto"/>
              <w:textAlignment w:val="baseline"/>
              <w:rPr>
                <w:i/>
                <w:iCs/>
                <w:sz w:val="22"/>
                <w:szCs w:val="22"/>
              </w:rPr>
            </w:pPr>
            <w:hyperlink w:history="1" r:id="rId51">
              <w:r w:rsidRPr="00E2134E" w:rsidR="007E03C9">
                <w:rPr>
                  <w:i/>
                  <w:color w:val="0000FF"/>
                  <w:sz w:val="22"/>
                  <w:szCs w:val="22"/>
                  <w:u w:val="single"/>
                </w:rPr>
                <w:t>Veronika.Kadlecova@eesc.europa.eu</w:t>
              </w:r>
            </w:hyperlink>
          </w:p>
          <w:p w:rsidRPr="00E2134E" w:rsidR="00135714" w:rsidP="00135714" w:rsidRDefault="00135714" w14:paraId="14086705" w14:textId="77777777">
            <w:pPr>
              <w:overflowPunct w:val="0"/>
              <w:autoSpaceDE w:val="0"/>
              <w:autoSpaceDN w:val="0"/>
              <w:adjustRightInd w:val="0"/>
              <w:spacing w:line="240" w:lineRule="auto"/>
              <w:textAlignment w:val="baseline"/>
              <w:rPr>
                <w:i/>
                <w:sz w:val="22"/>
                <w:szCs w:val="22"/>
              </w:rPr>
            </w:pPr>
          </w:p>
        </w:tc>
      </w:tr>
    </w:tbl>
    <w:p w:rsidR="00CA1A9B" w:rsidP="002F20BE" w:rsidRDefault="00CA1A9B" w14:paraId="139997F9" w14:textId="7614419F">
      <w:pPr>
        <w:ind w:left="710"/>
        <w:rPr>
          <w:b/>
          <w:i/>
          <w:sz w:val="28"/>
          <w:szCs w:val="28"/>
        </w:rPr>
      </w:pPr>
    </w:p>
    <w:p w:rsidR="00CA1A9B" w:rsidRDefault="00CA1A9B" w14:paraId="02266FFE" w14:textId="77777777">
      <w:pPr>
        <w:spacing w:after="160" w:line="259" w:lineRule="auto"/>
        <w:jc w:val="left"/>
        <w:rPr>
          <w:b/>
          <w:i/>
          <w:sz w:val="28"/>
          <w:szCs w:val="28"/>
        </w:rPr>
      </w:pPr>
      <w:r>
        <w:br w:type="page"/>
      </w:r>
    </w:p>
    <w:p w:rsidRPr="000F216A" w:rsidR="00CA1A9B" w:rsidP="00CA1A9B" w:rsidRDefault="00F22A9C" w14:paraId="1EE31E4A" w14:textId="48091D41">
      <w:pPr>
        <w:widowControl w:val="0"/>
        <w:numPr>
          <w:ilvl w:val="0"/>
          <w:numId w:val="8"/>
        </w:numPr>
        <w:overflowPunct w:val="0"/>
        <w:autoSpaceDE w:val="0"/>
        <w:autoSpaceDN w:val="0"/>
        <w:adjustRightInd w:val="0"/>
        <w:ind w:left="266" w:hanging="266"/>
        <w:textAlignment w:val="baseline"/>
        <w:rPr>
          <w:b/>
        </w:rPr>
      </w:pPr>
      <w:hyperlink w:history="1" r:id="rId52">
        <w:r w:rsidRPr="0035043B" w:rsidR="00276FC9">
          <w:rPr>
            <w:rStyle w:val="Hyperlink"/>
            <w:b/>
            <w:i/>
            <w:sz w:val="28"/>
          </w:rPr>
          <w:t>Programa Europa Digital</w:t>
        </w:r>
      </w:hyperlink>
    </w:p>
    <w:p w:rsidRPr="000F216A" w:rsidR="00347517" w:rsidP="000F216A" w:rsidRDefault="00347517" w14:paraId="21E9992E" w14:textId="77777777"/>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CA1A9B" w:rsidR="00CA1A9B" w:rsidTr="00F324F7" w14:paraId="32B97B6A" w14:textId="77777777">
        <w:tc>
          <w:tcPr>
            <w:tcW w:w="1148" w:type="pct"/>
          </w:tcPr>
          <w:p w:rsidRPr="00CA1A9B" w:rsidR="00CA1A9B" w:rsidP="00CA1A9B" w:rsidRDefault="00CA1A9B" w14:paraId="0A0DC1BF" w14:textId="77777777">
            <w:pPr>
              <w:tabs>
                <w:tab w:val="center" w:pos="284"/>
              </w:tabs>
              <w:overflowPunct w:val="0"/>
              <w:autoSpaceDE w:val="0"/>
              <w:autoSpaceDN w:val="0"/>
              <w:adjustRightInd w:val="0"/>
              <w:ind w:left="266" w:hanging="266"/>
              <w:textAlignment w:val="baseline"/>
              <w:rPr>
                <w:b/>
              </w:rPr>
            </w:pPr>
          </w:p>
          <w:p w:rsidRPr="00CA1A9B" w:rsidR="00CA1A9B" w:rsidP="00CA1A9B" w:rsidRDefault="00CA1A9B" w14:paraId="4CCE6D17" w14:textId="77777777">
            <w:pPr>
              <w:tabs>
                <w:tab w:val="center" w:pos="284"/>
              </w:tabs>
              <w:overflowPunct w:val="0"/>
              <w:autoSpaceDE w:val="0"/>
              <w:autoSpaceDN w:val="0"/>
              <w:adjustRightInd w:val="0"/>
              <w:ind w:left="266" w:hanging="266"/>
              <w:textAlignment w:val="baseline"/>
              <w:rPr>
                <w:b/>
              </w:rPr>
            </w:pPr>
            <w:r>
              <w:rPr>
                <w:b/>
              </w:rPr>
              <w:t>Ponente</w:t>
            </w:r>
          </w:p>
        </w:tc>
        <w:tc>
          <w:tcPr>
            <w:tcW w:w="3852" w:type="pct"/>
          </w:tcPr>
          <w:p w:rsidRPr="00CA1A9B" w:rsidR="00CA1A9B" w:rsidP="00CA1A9B" w:rsidRDefault="00CA1A9B" w14:paraId="263BE7BE" w14:textId="77777777">
            <w:pPr>
              <w:tabs>
                <w:tab w:val="center" w:pos="284"/>
              </w:tabs>
              <w:overflowPunct w:val="0"/>
              <w:autoSpaceDE w:val="0"/>
              <w:autoSpaceDN w:val="0"/>
              <w:adjustRightInd w:val="0"/>
              <w:ind w:left="266" w:hanging="266"/>
              <w:textAlignment w:val="baseline"/>
            </w:pPr>
          </w:p>
          <w:p w:rsidRPr="00CA1A9B" w:rsidR="00CA1A9B" w:rsidP="00CA1A9B" w:rsidRDefault="00CA1A9B" w14:paraId="63363C70" w14:textId="20B41909">
            <w:pPr>
              <w:tabs>
                <w:tab w:val="center" w:pos="284"/>
              </w:tabs>
              <w:overflowPunct w:val="0"/>
              <w:autoSpaceDE w:val="0"/>
              <w:autoSpaceDN w:val="0"/>
              <w:adjustRightInd w:val="0"/>
              <w:ind w:left="266" w:hanging="266"/>
              <w:textAlignment w:val="baseline"/>
            </w:pPr>
            <w:r>
              <w:t>Katrīna ZARIŅA (Grupo de Empresarios – LV)</w:t>
            </w:r>
          </w:p>
        </w:tc>
      </w:tr>
      <w:tr w:rsidRPr="00CA1A9B" w:rsidR="00CA1A9B" w:rsidTr="00F324F7" w14:paraId="410E2510" w14:textId="77777777">
        <w:tc>
          <w:tcPr>
            <w:tcW w:w="5000" w:type="pct"/>
            <w:gridSpan w:val="2"/>
          </w:tcPr>
          <w:p w:rsidRPr="00CA1A9B"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pPr>
          </w:p>
        </w:tc>
      </w:tr>
      <w:tr w:rsidRPr="00CA1A9B" w:rsidR="00CA1A9B" w:rsidTr="00F324F7" w14:paraId="0BA95FE5" w14:textId="77777777">
        <w:tc>
          <w:tcPr>
            <w:tcW w:w="1148" w:type="pct"/>
            <w:vMerge w:val="restart"/>
          </w:tcPr>
          <w:p w:rsidRPr="00CA1A9B" w:rsidR="00CA1A9B" w:rsidP="00CA1A9B" w:rsidRDefault="00CA1A9B" w14:paraId="56B0BF1D" w14:textId="77777777">
            <w:pPr>
              <w:tabs>
                <w:tab w:val="center" w:pos="284"/>
              </w:tabs>
              <w:overflowPunct w:val="0"/>
              <w:autoSpaceDE w:val="0"/>
              <w:autoSpaceDN w:val="0"/>
              <w:adjustRightInd w:val="0"/>
              <w:ind w:left="266" w:hanging="266"/>
              <w:textAlignment w:val="baseline"/>
              <w:rPr>
                <w:b/>
              </w:rPr>
            </w:pPr>
            <w:r>
              <w:rPr>
                <w:b/>
                <w:bCs/>
              </w:rPr>
              <w:t>Referencias</w:t>
            </w:r>
          </w:p>
        </w:tc>
        <w:tc>
          <w:tcPr>
            <w:tcW w:w="3852" w:type="pct"/>
          </w:tcPr>
          <w:p w:rsidRPr="00CA1A9B" w:rsidR="00CA1A9B" w:rsidP="00CA1A9B" w:rsidRDefault="00CA1A9B" w14:paraId="55A08F61" w14:textId="77777777">
            <w:pPr>
              <w:tabs>
                <w:tab w:val="center" w:pos="284"/>
              </w:tabs>
              <w:overflowPunct w:val="0"/>
              <w:autoSpaceDE w:val="0"/>
              <w:autoSpaceDN w:val="0"/>
              <w:adjustRightInd w:val="0"/>
              <w:ind w:left="266" w:hanging="266"/>
              <w:textAlignment w:val="baseline"/>
            </w:pPr>
            <w:r>
              <w:t>Informe de evaluación</w:t>
            </w:r>
          </w:p>
        </w:tc>
      </w:tr>
      <w:tr w:rsidRPr="00CA1A9B" w:rsidR="00CA1A9B" w:rsidTr="00F324F7" w14:paraId="6E44948D" w14:textId="77777777">
        <w:tc>
          <w:tcPr>
            <w:tcW w:w="1148" w:type="pct"/>
            <w:vMerge/>
          </w:tcPr>
          <w:p w:rsidRPr="00CA1A9B" w:rsidR="00CA1A9B" w:rsidP="00CA1A9B" w:rsidRDefault="00CA1A9B" w14:paraId="7BD09DFE" w14:textId="77777777">
            <w:pPr>
              <w:tabs>
                <w:tab w:val="center" w:pos="284"/>
              </w:tabs>
              <w:overflowPunct w:val="0"/>
              <w:autoSpaceDE w:val="0"/>
              <w:autoSpaceDN w:val="0"/>
              <w:adjustRightInd w:val="0"/>
              <w:ind w:left="266" w:hanging="266"/>
              <w:textAlignment w:val="baseline"/>
              <w:rPr>
                <w:b/>
              </w:rPr>
            </w:pPr>
          </w:p>
        </w:tc>
        <w:tc>
          <w:tcPr>
            <w:tcW w:w="3852" w:type="pct"/>
          </w:tcPr>
          <w:p w:rsidRPr="00CA1A9B" w:rsidR="00CA1A9B" w:rsidP="00CA1A9B" w:rsidRDefault="00CA1A9B" w14:paraId="0D4A1642" w14:textId="77777777">
            <w:pPr>
              <w:tabs>
                <w:tab w:val="center" w:pos="284"/>
              </w:tabs>
              <w:overflowPunct w:val="0"/>
              <w:autoSpaceDE w:val="0"/>
              <w:autoSpaceDN w:val="0"/>
              <w:adjustRightInd w:val="0"/>
              <w:ind w:left="266" w:hanging="266"/>
              <w:textAlignment w:val="baseline"/>
            </w:pPr>
            <w:r>
              <w:t>EESC-2024-00492-00-00-RE</w:t>
            </w:r>
          </w:p>
        </w:tc>
      </w:tr>
    </w:tbl>
    <w:p w:rsidRPr="00CA1A9B"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CA1A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CA1A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CA1A9B" w:rsidR="00CA1A9B" w:rsidP="00CA1A9B" w:rsidRDefault="00CA1A9B" w14:paraId="13F6B9C2" w14:textId="77777777">
      <w:pPr>
        <w:overflowPunct w:val="0"/>
        <w:autoSpaceDE w:val="0"/>
        <w:autoSpaceDN w:val="0"/>
        <w:adjustRightInd w:val="0"/>
        <w:textAlignment w:val="baseline"/>
        <w:rPr>
          <w:bCs/>
          <w:iCs/>
        </w:rPr>
      </w:pPr>
      <w:r>
        <w:t>El CESE:</w:t>
      </w:r>
    </w:p>
    <w:p w:rsidRPr="00CA1A9B" w:rsidR="00CA1A9B" w:rsidP="00CA1A9B" w:rsidRDefault="00CA1A9B" w14:paraId="7B40FEEC" w14:textId="77777777">
      <w:pPr>
        <w:overflowPunct w:val="0"/>
        <w:autoSpaceDE w:val="0"/>
        <w:autoSpaceDN w:val="0"/>
        <w:adjustRightInd w:val="0"/>
        <w:textAlignment w:val="baseline"/>
        <w:rPr>
          <w:bCs/>
          <w:iCs/>
          <w:lang w:val="en-GB"/>
        </w:rPr>
      </w:pPr>
    </w:p>
    <w:p w:rsidRPr="00CA1A9B" w:rsidR="00CA1A9B" w:rsidP="000F216A" w:rsidRDefault="00CA1A9B" w14:paraId="07808D76"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propone que la Comisión Europea desarrolle una estrategia de comunicación integrada para dar a conocer el Programa Europa Digital (en lo sucesivo, «el Programa») entre las distintas partes interesadas, como los interlocutores sociales, las pymes, las autoridades públicas, las instituciones educativas y la sociedad civil;</w:t>
      </w:r>
    </w:p>
    <w:p w:rsidRPr="00CA1A9B" w:rsidR="00CA1A9B" w:rsidP="000F216A" w:rsidRDefault="00CA1A9B" w14:paraId="69BFA6B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pide a la Comisión que revise y mejore los modelos de cofinanciación en el marco del Programa, aumentando el porcentaje de cofinanciación al menos al 80 %, con objeto de aliviar las cargas financieras de las organizaciones, y haciéndolos más atractivos y accesibles para las pymes y otras entidades más pequeñas;</w:t>
      </w:r>
    </w:p>
    <w:p w:rsidRPr="00CA1A9B" w:rsidR="00CA1A9B" w:rsidP="000F216A" w:rsidRDefault="00CA1A9B" w14:paraId="786C3CFB"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insta a la Comisión a que establezca mecanismos claros para alinear los objetivos del Programa, Horizonte Europa, el Fondo Europeo de Desarrollo Regional y otros programas de la UE, ofreciendo orientaciones claras sobre la combinación de recursos de dichas fuentes para potenciar el impacto de los proyectos y evitar solapamientos;</w:t>
      </w:r>
    </w:p>
    <w:p w:rsidRPr="00025B86" w:rsidR="00CA1A9B" w:rsidP="000F216A" w:rsidRDefault="00CA1A9B" w14:paraId="6B6C5C59" w14:textId="77777777">
      <w:pPr>
        <w:numPr>
          <w:ilvl w:val="0"/>
          <w:numId w:val="48"/>
        </w:numPr>
        <w:overflowPunct w:val="0"/>
        <w:autoSpaceDE w:val="0"/>
        <w:autoSpaceDN w:val="0"/>
        <w:adjustRightInd w:val="0"/>
        <w:spacing w:after="200" w:line="276" w:lineRule="auto"/>
        <w:ind w:left="284" w:hanging="284"/>
        <w:contextualSpacing/>
        <w:textAlignment w:val="baseline"/>
        <w:rPr>
          <w:bCs/>
          <w:iCs/>
        </w:rPr>
      </w:pPr>
      <w:r w:rsidRPr="00025B86">
        <w:t>pide que se reduzcan las barreras burocráticas, se establezcan directrices más claras para mejorar el cumplimiento y la comprensión entre los solicitantes y se instaure un sistema eficaz de seguimiento y evaluación, e insta a la Comisión a que cree programas de apoyo específicos para abordar los retos concretos que afrontan las pymes a la hora de acceder a la financiación del Programa y utilizarla;</w:t>
      </w:r>
    </w:p>
    <w:p w:rsidRPr="00CA1A9B" w:rsidR="00CA1A9B" w:rsidP="000F216A" w:rsidRDefault="00CA1A9B" w14:paraId="371FA337"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recomienda que la Comisión promueva de forma activa el cuadro de indicadores del Programa, en marcha desde el verano de 2024, y desarrolle un marco global para evaluar la eficacia y el impacto de las iniciativas del Programa, el cual debería centrarse en parámetros tanto cualitativos como cuantitativos e incluir evaluaciones periódicas sobre la adecuación a los objetivos políticos más amplios de la UE y a las necesidades socioeconómicas de las distintas regiones;</w:t>
      </w:r>
    </w:p>
    <w:p w:rsidRPr="00CA1A9B" w:rsidR="00CA1A9B" w:rsidP="000F216A" w:rsidRDefault="00CA1A9B" w14:paraId="53C54993" w14:textId="77777777">
      <w:pPr>
        <w:numPr>
          <w:ilvl w:val="0"/>
          <w:numId w:val="48"/>
        </w:numPr>
        <w:overflowPunct w:val="0"/>
        <w:autoSpaceDE w:val="0"/>
        <w:autoSpaceDN w:val="0"/>
        <w:adjustRightInd w:val="0"/>
        <w:spacing w:after="200" w:line="276" w:lineRule="auto"/>
        <w:ind w:left="284" w:hanging="284"/>
        <w:contextualSpacing/>
        <w:textAlignment w:val="baseline"/>
        <w:rPr>
          <w:rFonts w:ascii="Calibri" w:hAnsi="Calibri"/>
          <w:bCs/>
          <w:iCs/>
        </w:rPr>
      </w:pPr>
      <w:r>
        <w:t>pide un apoyo activo a las iniciativas destinadas a aumentar la participación femenina en las carreras de ciencias, tecnologías, ingenierías y matemáticas y a informar a las mujeres sobre sus posibilidades de crecimiento intersectorial mediante el aprendizaje y la utilización de diferentes tecnologías emergentes.</w:t>
      </w:r>
    </w:p>
    <w:p w:rsidRPr="00CA1A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025B86" w:rsidR="00CA1A9B" w:rsidTr="00F324F7" w14:paraId="0A654251" w14:textId="77777777">
        <w:tc>
          <w:tcPr>
            <w:tcW w:w="1556" w:type="pct"/>
          </w:tcPr>
          <w:p w:rsidRPr="00025B86"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sidRPr="00025B86">
              <w:rPr>
                <w:b/>
                <w:i/>
                <w:sz w:val="22"/>
                <w:szCs w:val="22"/>
              </w:rPr>
              <w:t>Contacto</w:t>
            </w:r>
          </w:p>
        </w:tc>
        <w:tc>
          <w:tcPr>
            <w:tcW w:w="3444" w:type="pct"/>
          </w:tcPr>
          <w:p w:rsidRPr="00025B86"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sidRPr="00025B86">
              <w:rPr>
                <w:i/>
                <w:sz w:val="22"/>
                <w:szCs w:val="22"/>
              </w:rPr>
              <w:t>Marco Manfroni</w:t>
            </w:r>
          </w:p>
        </w:tc>
      </w:tr>
      <w:tr w:rsidRPr="00025B86" w:rsidR="00CA1A9B" w:rsidTr="00F324F7" w14:paraId="21292A04" w14:textId="77777777">
        <w:tc>
          <w:tcPr>
            <w:tcW w:w="1556" w:type="pct"/>
          </w:tcPr>
          <w:p w:rsidRPr="00025B86"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sidRPr="00025B86">
              <w:rPr>
                <w:i/>
                <w:sz w:val="22"/>
                <w:szCs w:val="22"/>
              </w:rPr>
              <w:t>Teléfono:</w:t>
            </w:r>
          </w:p>
        </w:tc>
        <w:tc>
          <w:tcPr>
            <w:tcW w:w="3444" w:type="pct"/>
          </w:tcPr>
          <w:p w:rsidRPr="00025B86"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sidRPr="00025B86">
              <w:rPr>
                <w:i/>
                <w:sz w:val="22"/>
                <w:szCs w:val="22"/>
              </w:rPr>
              <w:t>+32 25469140</w:t>
            </w:r>
          </w:p>
        </w:tc>
      </w:tr>
      <w:tr w:rsidRPr="00025B86" w:rsidR="00CA1A9B" w:rsidTr="00F324F7" w14:paraId="0059F17F" w14:textId="77777777">
        <w:tc>
          <w:tcPr>
            <w:tcW w:w="1556" w:type="pct"/>
          </w:tcPr>
          <w:p w:rsidRPr="00025B86" w:rsidR="00CA1A9B" w:rsidP="00CA1A9B" w:rsidRDefault="00A73811" w14:paraId="433DB0A6" w14:textId="3831409E">
            <w:pPr>
              <w:overflowPunct w:val="0"/>
              <w:autoSpaceDE w:val="0"/>
              <w:autoSpaceDN w:val="0"/>
              <w:adjustRightInd w:val="0"/>
              <w:spacing w:line="240" w:lineRule="auto"/>
              <w:textAlignment w:val="baseline"/>
              <w:rPr>
                <w:i/>
                <w:sz w:val="22"/>
                <w:szCs w:val="22"/>
              </w:rPr>
            </w:pPr>
            <w:r w:rsidRPr="00025B86">
              <w:rPr>
                <w:i/>
                <w:sz w:val="22"/>
                <w:szCs w:val="22"/>
              </w:rPr>
              <w:t>Correo electrónico:</w:t>
            </w:r>
          </w:p>
        </w:tc>
        <w:tc>
          <w:tcPr>
            <w:tcW w:w="3444" w:type="pct"/>
          </w:tcPr>
          <w:p w:rsidRPr="00025B86" w:rsidR="00CA1A9B" w:rsidP="00CA1A9B" w:rsidRDefault="00F22A9C" w14:paraId="30AE97F0" w14:textId="02E51DE8">
            <w:pPr>
              <w:overflowPunct w:val="0"/>
              <w:autoSpaceDE w:val="0"/>
              <w:autoSpaceDN w:val="0"/>
              <w:adjustRightInd w:val="0"/>
              <w:spacing w:line="240" w:lineRule="auto"/>
              <w:textAlignment w:val="baseline"/>
              <w:rPr>
                <w:i/>
                <w:iCs/>
                <w:sz w:val="22"/>
                <w:szCs w:val="22"/>
              </w:rPr>
            </w:pPr>
            <w:hyperlink w:history="1" r:id="rId53">
              <w:r w:rsidRPr="00025B86" w:rsidR="007E03C9">
                <w:rPr>
                  <w:i/>
                  <w:color w:val="0000FF"/>
                  <w:sz w:val="22"/>
                  <w:szCs w:val="22"/>
                  <w:u w:val="single"/>
                </w:rPr>
                <w:t>Marco.Manfroni@eesc.europa.eu</w:t>
              </w:r>
            </w:hyperlink>
          </w:p>
          <w:p w:rsidRPr="00025B86" w:rsidR="00CA1A9B" w:rsidP="00CA1A9B" w:rsidRDefault="00CA1A9B" w14:paraId="35079E8A" w14:textId="77777777">
            <w:pPr>
              <w:overflowPunct w:val="0"/>
              <w:autoSpaceDE w:val="0"/>
              <w:autoSpaceDN w:val="0"/>
              <w:adjustRightInd w:val="0"/>
              <w:spacing w:line="240" w:lineRule="auto"/>
              <w:textAlignment w:val="baseline"/>
              <w:rPr>
                <w:i/>
                <w:sz w:val="22"/>
                <w:szCs w:val="22"/>
              </w:rPr>
            </w:pPr>
          </w:p>
        </w:tc>
      </w:tr>
    </w:tbl>
    <w:p w:rsidR="007C49B3" w:rsidRDefault="007C49B3" w14:paraId="0D2F5A16" w14:textId="77777777">
      <w:pPr>
        <w:spacing w:after="160" w:line="259" w:lineRule="auto"/>
        <w:jc w:val="left"/>
        <w:rPr>
          <w:b/>
          <w:i/>
          <w:sz w:val="28"/>
          <w:szCs w:val="28"/>
        </w:rPr>
      </w:pPr>
      <w:r>
        <w:br w:type="page"/>
      </w:r>
    </w:p>
    <w:p w:rsidRPr="000F216A" w:rsidR="00A630EC" w:rsidP="0015600B" w:rsidRDefault="00F22A9C" w14:paraId="38CEC459" w14:textId="5488B8C6">
      <w:pPr>
        <w:widowControl w:val="0"/>
        <w:numPr>
          <w:ilvl w:val="0"/>
          <w:numId w:val="8"/>
        </w:numPr>
        <w:overflowPunct w:val="0"/>
        <w:autoSpaceDE w:val="0"/>
        <w:autoSpaceDN w:val="0"/>
        <w:adjustRightInd w:val="0"/>
        <w:ind w:left="426" w:hanging="426"/>
        <w:textAlignment w:val="baseline"/>
        <w:rPr>
          <w:b/>
        </w:rPr>
      </w:pPr>
      <w:hyperlink w:tgtFrame="_blank" w:history="1" r:id="rId54">
        <w:r w:rsidRPr="0080025A" w:rsidR="00276FC9">
          <w:rPr>
            <w:rStyle w:val="Hyperlink"/>
            <w:b/>
            <w:i/>
            <w:sz w:val="28"/>
          </w:rPr>
          <w:t>Evaluación final del Programa de Consumidores (2014-2020)</w:t>
        </w:r>
      </w:hyperlink>
    </w:p>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A630EC" w:rsidR="00A630EC" w:rsidTr="00F324F7" w14:paraId="75842C48" w14:textId="77777777">
        <w:tc>
          <w:tcPr>
            <w:tcW w:w="1148" w:type="pct"/>
          </w:tcPr>
          <w:p w:rsidRPr="00A630EC" w:rsidR="00A630EC" w:rsidP="00A630EC" w:rsidRDefault="00A630EC" w14:paraId="6F4F624C" w14:textId="77777777">
            <w:pPr>
              <w:tabs>
                <w:tab w:val="center" w:pos="284"/>
              </w:tabs>
              <w:overflowPunct w:val="0"/>
              <w:autoSpaceDE w:val="0"/>
              <w:autoSpaceDN w:val="0"/>
              <w:adjustRightInd w:val="0"/>
              <w:ind w:left="266" w:hanging="266"/>
              <w:textAlignment w:val="baseline"/>
              <w:rPr>
                <w:b/>
              </w:rPr>
            </w:pPr>
          </w:p>
          <w:p w:rsidRPr="00A630EC" w:rsidR="00A630EC" w:rsidP="00A630EC" w:rsidRDefault="00A630EC" w14:paraId="537AE0E3" w14:textId="77777777">
            <w:pPr>
              <w:tabs>
                <w:tab w:val="center" w:pos="284"/>
              </w:tabs>
              <w:overflowPunct w:val="0"/>
              <w:autoSpaceDE w:val="0"/>
              <w:autoSpaceDN w:val="0"/>
              <w:adjustRightInd w:val="0"/>
              <w:ind w:left="266" w:hanging="266"/>
              <w:textAlignment w:val="baseline"/>
              <w:rPr>
                <w:b/>
              </w:rPr>
            </w:pPr>
            <w:r>
              <w:rPr>
                <w:b/>
                <w:bCs/>
              </w:rPr>
              <w:t>Ponente</w:t>
            </w:r>
          </w:p>
        </w:tc>
        <w:tc>
          <w:tcPr>
            <w:tcW w:w="3852" w:type="pct"/>
          </w:tcPr>
          <w:p w:rsidRPr="00A630EC" w:rsidR="00A630EC" w:rsidP="00A630EC" w:rsidRDefault="00A630EC" w14:paraId="2C12583B" w14:textId="77777777">
            <w:pPr>
              <w:tabs>
                <w:tab w:val="center" w:pos="284"/>
              </w:tabs>
              <w:overflowPunct w:val="0"/>
              <w:autoSpaceDE w:val="0"/>
              <w:autoSpaceDN w:val="0"/>
              <w:adjustRightInd w:val="0"/>
              <w:ind w:left="266" w:hanging="266"/>
              <w:textAlignment w:val="baseline"/>
            </w:pPr>
          </w:p>
          <w:p w:rsidRPr="00A630EC" w:rsidR="00A630EC" w:rsidP="00A630EC" w:rsidRDefault="00A630EC" w14:paraId="56CF9B43" w14:textId="1C2579CB">
            <w:pPr>
              <w:tabs>
                <w:tab w:val="center" w:pos="284"/>
              </w:tabs>
              <w:overflowPunct w:val="0"/>
              <w:autoSpaceDE w:val="0"/>
              <w:autoSpaceDN w:val="0"/>
              <w:adjustRightInd w:val="0"/>
              <w:ind w:left="266" w:hanging="266"/>
              <w:textAlignment w:val="baseline"/>
            </w:pPr>
            <w:r>
              <w:t>João NABAIS (Grupo de Organizaciones de la Sociedad Civil – PT)</w:t>
            </w:r>
          </w:p>
        </w:tc>
      </w:tr>
      <w:tr w:rsidRPr="00A630EC" w:rsidR="00A630EC" w:rsidTr="00F324F7" w14:paraId="286DA434" w14:textId="77777777">
        <w:tc>
          <w:tcPr>
            <w:tcW w:w="5000" w:type="pct"/>
            <w:gridSpan w:val="2"/>
          </w:tcPr>
          <w:p w:rsidRPr="00A630EC"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pPr>
          </w:p>
        </w:tc>
      </w:tr>
      <w:tr w:rsidRPr="00A630EC" w:rsidR="00A630EC" w:rsidTr="00F324F7" w14:paraId="3771B39B" w14:textId="77777777">
        <w:tc>
          <w:tcPr>
            <w:tcW w:w="1148" w:type="pct"/>
            <w:vMerge w:val="restart"/>
          </w:tcPr>
          <w:p w:rsidRPr="00A630EC" w:rsidR="00A630EC" w:rsidP="00A630EC" w:rsidRDefault="00A630EC" w14:paraId="11411897" w14:textId="77777777">
            <w:pPr>
              <w:tabs>
                <w:tab w:val="center" w:pos="284"/>
              </w:tabs>
              <w:overflowPunct w:val="0"/>
              <w:autoSpaceDE w:val="0"/>
              <w:autoSpaceDN w:val="0"/>
              <w:adjustRightInd w:val="0"/>
              <w:ind w:left="266" w:hanging="266"/>
              <w:textAlignment w:val="baseline"/>
              <w:rPr>
                <w:b/>
              </w:rPr>
            </w:pPr>
            <w:r>
              <w:rPr>
                <w:b/>
                <w:bCs/>
              </w:rPr>
              <w:t>Referencias</w:t>
            </w:r>
          </w:p>
        </w:tc>
        <w:tc>
          <w:tcPr>
            <w:tcW w:w="3852" w:type="pct"/>
          </w:tcPr>
          <w:p w:rsidRPr="00A630EC" w:rsidR="00A630EC" w:rsidP="00A630EC" w:rsidRDefault="00A630EC" w14:paraId="09590717" w14:textId="77777777">
            <w:pPr>
              <w:tabs>
                <w:tab w:val="center" w:pos="284"/>
              </w:tabs>
              <w:overflowPunct w:val="0"/>
              <w:autoSpaceDE w:val="0"/>
              <w:autoSpaceDN w:val="0"/>
              <w:adjustRightInd w:val="0"/>
              <w:ind w:left="266" w:hanging="266"/>
              <w:textAlignment w:val="baseline"/>
            </w:pPr>
            <w:r>
              <w:t>Informe de evaluación</w:t>
            </w:r>
          </w:p>
        </w:tc>
      </w:tr>
      <w:tr w:rsidRPr="00A630EC" w:rsidR="00A630EC" w:rsidTr="00F324F7" w14:paraId="7322AF43" w14:textId="77777777">
        <w:tc>
          <w:tcPr>
            <w:tcW w:w="1148" w:type="pct"/>
            <w:vMerge/>
          </w:tcPr>
          <w:p w:rsidRPr="00A630EC" w:rsidR="00A630EC" w:rsidP="00A630EC" w:rsidRDefault="00A630EC" w14:paraId="20040845" w14:textId="77777777">
            <w:pPr>
              <w:tabs>
                <w:tab w:val="center" w:pos="284"/>
              </w:tabs>
              <w:overflowPunct w:val="0"/>
              <w:autoSpaceDE w:val="0"/>
              <w:autoSpaceDN w:val="0"/>
              <w:adjustRightInd w:val="0"/>
              <w:ind w:left="266" w:hanging="266"/>
              <w:textAlignment w:val="baseline"/>
              <w:rPr>
                <w:b/>
              </w:rPr>
            </w:pPr>
          </w:p>
        </w:tc>
        <w:tc>
          <w:tcPr>
            <w:tcW w:w="3852" w:type="pct"/>
          </w:tcPr>
          <w:p w:rsidRPr="00A630EC" w:rsidR="00A630EC" w:rsidP="00A630EC" w:rsidRDefault="00A630EC" w14:paraId="55BDF311" w14:textId="77777777">
            <w:pPr>
              <w:tabs>
                <w:tab w:val="center" w:pos="284"/>
              </w:tabs>
              <w:overflowPunct w:val="0"/>
              <w:autoSpaceDE w:val="0"/>
              <w:autoSpaceDN w:val="0"/>
              <w:adjustRightInd w:val="0"/>
              <w:ind w:left="266" w:hanging="266"/>
              <w:textAlignment w:val="baseline"/>
            </w:pPr>
            <w:r>
              <w:t>EESC-2024-00627-00-00-RE</w:t>
            </w:r>
          </w:p>
        </w:tc>
      </w:tr>
    </w:tbl>
    <w:p w:rsidRPr="00A630EC"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A630EC"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A630EC"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A630EC" w:rsidR="00A630EC" w:rsidP="00A630EC" w:rsidRDefault="00A630EC" w14:paraId="5C99682F" w14:textId="77777777">
      <w:pPr>
        <w:overflowPunct w:val="0"/>
        <w:autoSpaceDE w:val="0"/>
        <w:autoSpaceDN w:val="0"/>
        <w:adjustRightInd w:val="0"/>
        <w:textAlignment w:val="baseline"/>
        <w:rPr>
          <w:bCs/>
          <w:iCs/>
        </w:rPr>
      </w:pPr>
      <w:r>
        <w:t>El CESE:</w:t>
      </w:r>
    </w:p>
    <w:p w:rsidRPr="00A630EC" w:rsidR="00A630EC" w:rsidP="00A630EC" w:rsidRDefault="00A630EC" w14:paraId="043EA8A5" w14:textId="77777777">
      <w:pPr>
        <w:overflowPunct w:val="0"/>
        <w:autoSpaceDE w:val="0"/>
        <w:autoSpaceDN w:val="0"/>
        <w:adjustRightInd w:val="0"/>
        <w:textAlignment w:val="baseline"/>
        <w:rPr>
          <w:bCs/>
          <w:iCs/>
          <w:lang w:val="en-GB"/>
        </w:rPr>
      </w:pPr>
    </w:p>
    <w:p w:rsidRPr="00A630EC" w:rsidR="00A630EC" w:rsidP="000F216A" w:rsidRDefault="00A630EC" w14:paraId="72D8860C" w14:textId="77777777">
      <w:pPr>
        <w:widowControl w:val="0"/>
        <w:numPr>
          <w:ilvl w:val="0"/>
          <w:numId w:val="49"/>
        </w:numPr>
        <w:overflowPunct w:val="0"/>
        <w:autoSpaceDE w:val="0"/>
        <w:autoSpaceDN w:val="0"/>
        <w:adjustRightInd w:val="0"/>
        <w:ind w:left="284" w:hanging="284"/>
        <w:textAlignment w:val="baseline"/>
      </w:pPr>
      <w:r>
        <w:t>señala que el Programa de Consumidores ha contribuido a aumentar la protección y el empoderamiento de los consumidores de la UE. Sin embargo, su asignación presupuestaria, sus acciones y los posibles beneficiarios de las subvenciones deberían haber sido más ambiciosos, habida cuenta de sus objetivos y su carácter temporal;</w:t>
      </w:r>
    </w:p>
    <w:p w:rsidRPr="00A630EC" w:rsidR="00A630EC" w:rsidP="000F216A" w:rsidRDefault="00A630EC" w14:paraId="779B7ED4" w14:textId="77777777">
      <w:pPr>
        <w:widowControl w:val="0"/>
        <w:numPr>
          <w:ilvl w:val="0"/>
          <w:numId w:val="49"/>
        </w:numPr>
        <w:overflowPunct w:val="0"/>
        <w:autoSpaceDE w:val="0"/>
        <w:autoSpaceDN w:val="0"/>
        <w:adjustRightInd w:val="0"/>
        <w:ind w:left="284" w:hanging="284"/>
        <w:textAlignment w:val="baseline"/>
      </w:pPr>
      <w:r>
        <w:t>reconoce que se han realizado grandes esfuerzos para que los consumidores tengan acceso a las vías de reclamación;</w:t>
      </w:r>
    </w:p>
    <w:p w:rsidRPr="00A630EC" w:rsidR="00A630EC" w:rsidP="000F216A" w:rsidRDefault="00A630EC" w14:paraId="235D909D" w14:textId="77777777">
      <w:pPr>
        <w:widowControl w:val="0"/>
        <w:numPr>
          <w:ilvl w:val="0"/>
          <w:numId w:val="49"/>
        </w:numPr>
        <w:overflowPunct w:val="0"/>
        <w:autoSpaceDE w:val="0"/>
        <w:autoSpaceDN w:val="0"/>
        <w:adjustRightInd w:val="0"/>
        <w:ind w:left="284" w:hanging="284"/>
        <w:textAlignment w:val="baseline"/>
      </w:pPr>
      <w:r>
        <w:t>acoge con satisfacción el hecho de que actualmente se disponga de un sistema de aplicación más sólido, transparente y accesible, y subraya que es importante seguir invirtiendo en redes de vigilancia, como la red CPC;</w:t>
      </w:r>
    </w:p>
    <w:p w:rsidRPr="00A630EC" w:rsidR="00A630EC" w:rsidP="000F216A" w:rsidRDefault="00A630EC" w14:paraId="5781ABC7" w14:textId="77777777">
      <w:pPr>
        <w:widowControl w:val="0"/>
        <w:numPr>
          <w:ilvl w:val="0"/>
          <w:numId w:val="49"/>
        </w:numPr>
        <w:overflowPunct w:val="0"/>
        <w:autoSpaceDE w:val="0"/>
        <w:autoSpaceDN w:val="0"/>
        <w:adjustRightInd w:val="0"/>
        <w:ind w:left="284" w:hanging="284"/>
        <w:textAlignment w:val="baseline"/>
      </w:pPr>
      <w:r>
        <w:t>considera que los programas plurianuales deben prestar más apoyo a los países con menos acervo en materia de defensa de los derechos de los consumidores;</w:t>
      </w:r>
    </w:p>
    <w:p w:rsidRPr="00A630EC" w:rsidR="00A630EC" w:rsidP="000F216A" w:rsidRDefault="00A630EC" w14:paraId="24A7DBD8" w14:textId="77777777">
      <w:pPr>
        <w:widowControl w:val="0"/>
        <w:numPr>
          <w:ilvl w:val="0"/>
          <w:numId w:val="49"/>
        </w:numPr>
        <w:overflowPunct w:val="0"/>
        <w:autoSpaceDE w:val="0"/>
        <w:autoSpaceDN w:val="0"/>
        <w:adjustRightInd w:val="0"/>
        <w:ind w:left="284" w:hanging="284"/>
        <w:textAlignment w:val="baseline"/>
      </w:pPr>
      <w:r>
        <w:t>insiste en que es esencial reforzar las capacidades de las organizaciones de consumidores y pide que se potencie la educación de los consumidores en el entorno escolar y académico, especialmente en los ámbitos financiero y digital;</w:t>
      </w:r>
    </w:p>
    <w:p w:rsidRPr="00A630EC" w:rsidR="00A630EC" w:rsidP="000F216A" w:rsidRDefault="00A630EC" w14:paraId="56A9AC2F" w14:textId="77777777">
      <w:pPr>
        <w:widowControl w:val="0"/>
        <w:numPr>
          <w:ilvl w:val="0"/>
          <w:numId w:val="49"/>
        </w:numPr>
        <w:overflowPunct w:val="0"/>
        <w:autoSpaceDE w:val="0"/>
        <w:autoSpaceDN w:val="0"/>
        <w:adjustRightInd w:val="0"/>
        <w:ind w:left="284" w:hanging="284"/>
        <w:textAlignment w:val="baseline"/>
      </w:pPr>
      <w:r>
        <w:t>recomienda que se preste una mayor atención a las necesidades especiales de determinados segmentos de consumidores, como la infancia y la juventud, las personas mayores, los desempleados, los migrantes y las personas con discapacidad;</w:t>
      </w:r>
    </w:p>
    <w:p w:rsidRPr="00A630EC" w:rsidR="00A630EC" w:rsidP="000F216A" w:rsidRDefault="00A630EC" w14:paraId="463F6230" w14:textId="77777777">
      <w:pPr>
        <w:widowControl w:val="0"/>
        <w:numPr>
          <w:ilvl w:val="0"/>
          <w:numId w:val="49"/>
        </w:numPr>
        <w:overflowPunct w:val="0"/>
        <w:autoSpaceDE w:val="0"/>
        <w:autoSpaceDN w:val="0"/>
        <w:adjustRightInd w:val="0"/>
        <w:ind w:left="284" w:hanging="284"/>
        <w:textAlignment w:val="baseline"/>
      </w:pPr>
      <w:r>
        <w:t>destaca la necesidad de garantizar un mejor sistema de apoyo a las autoridades nacionales en materia de seguridad de los productos, máxime si se tienen en cuenta los retos que plantean la internet de las cosas, la ciberseguridad y la inteligencia artificial;</w:t>
      </w:r>
    </w:p>
    <w:p w:rsidRPr="00A630EC" w:rsidR="00A630EC" w:rsidP="000F216A" w:rsidRDefault="00A630EC" w14:paraId="08A6A07C" w14:textId="77777777">
      <w:pPr>
        <w:widowControl w:val="0"/>
        <w:numPr>
          <w:ilvl w:val="0"/>
          <w:numId w:val="49"/>
        </w:numPr>
        <w:overflowPunct w:val="0"/>
        <w:autoSpaceDE w:val="0"/>
        <w:autoSpaceDN w:val="0"/>
        <w:adjustRightInd w:val="0"/>
        <w:ind w:left="284" w:hanging="284"/>
        <w:textAlignment w:val="baseline"/>
      </w:pPr>
      <w:r>
        <w:t>considera esencial simplificar los procedimientos de integración de la sociedad civil, fomentar una comunicación transparente y accesible y garantizar que las consultas sean auténticas oportunidades para que la sociedad civil presente propuestas reales, adecuadas y concretas;</w:t>
      </w:r>
    </w:p>
    <w:p w:rsidRPr="00A630EC" w:rsidR="00A630EC" w:rsidP="000F216A" w:rsidRDefault="00A630EC" w14:paraId="7B676EBD" w14:textId="77777777">
      <w:pPr>
        <w:widowControl w:val="0"/>
        <w:numPr>
          <w:ilvl w:val="0"/>
          <w:numId w:val="49"/>
        </w:numPr>
        <w:overflowPunct w:val="0"/>
        <w:autoSpaceDE w:val="0"/>
        <w:autoSpaceDN w:val="0"/>
        <w:adjustRightInd w:val="0"/>
        <w:ind w:left="284" w:hanging="284"/>
        <w:textAlignment w:val="baseline"/>
      </w:pPr>
      <w:r>
        <w:t>considera importante que la elaboración y ejecución de los futuros programas sean más claras, transparentes y menos burocráticas.</w:t>
      </w:r>
    </w:p>
    <w:p w:rsidRPr="00A630EC"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922542" w:rsidR="00A630EC" w:rsidTr="00F324F7" w14:paraId="1A622280" w14:textId="77777777">
        <w:tc>
          <w:tcPr>
            <w:tcW w:w="1556" w:type="pct"/>
          </w:tcPr>
          <w:p w:rsidRPr="00922542"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sidRPr="00922542">
              <w:rPr>
                <w:b/>
                <w:i/>
                <w:sz w:val="22"/>
                <w:szCs w:val="22"/>
              </w:rPr>
              <w:t>Contacto</w:t>
            </w:r>
          </w:p>
        </w:tc>
        <w:tc>
          <w:tcPr>
            <w:tcW w:w="3444" w:type="pct"/>
          </w:tcPr>
          <w:p w:rsidRPr="00922542" w:rsidR="00A630EC" w:rsidP="00A630EC" w:rsidRDefault="00A630EC" w14:paraId="72FACB9C" w14:textId="77777777">
            <w:pPr>
              <w:overflowPunct w:val="0"/>
              <w:autoSpaceDE w:val="0"/>
              <w:autoSpaceDN w:val="0"/>
              <w:adjustRightInd w:val="0"/>
              <w:spacing w:line="240" w:lineRule="auto"/>
              <w:textAlignment w:val="baseline"/>
              <w:rPr>
                <w:i/>
                <w:sz w:val="22"/>
                <w:szCs w:val="22"/>
              </w:rPr>
            </w:pPr>
            <w:r w:rsidRPr="00922542">
              <w:rPr>
                <w:i/>
                <w:sz w:val="22"/>
                <w:szCs w:val="22"/>
              </w:rPr>
              <w:t>Radoslava Stefankova</w:t>
            </w:r>
          </w:p>
        </w:tc>
      </w:tr>
      <w:tr w:rsidRPr="00922542" w:rsidR="00A630EC" w:rsidTr="00F324F7" w14:paraId="189AA5DB" w14:textId="77777777">
        <w:tc>
          <w:tcPr>
            <w:tcW w:w="1556" w:type="pct"/>
          </w:tcPr>
          <w:p w:rsidRPr="00922542"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sidRPr="00922542">
              <w:rPr>
                <w:i/>
                <w:sz w:val="22"/>
                <w:szCs w:val="22"/>
              </w:rPr>
              <w:t>Teléfono:</w:t>
            </w:r>
          </w:p>
        </w:tc>
        <w:tc>
          <w:tcPr>
            <w:tcW w:w="3444" w:type="pct"/>
          </w:tcPr>
          <w:p w:rsidRPr="00922542"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sidRPr="00922542">
              <w:rPr>
                <w:i/>
                <w:sz w:val="22"/>
                <w:szCs w:val="22"/>
              </w:rPr>
              <w:t>+32 25468188</w:t>
            </w:r>
          </w:p>
        </w:tc>
      </w:tr>
      <w:tr w:rsidRPr="00922542" w:rsidR="00A630EC" w:rsidTr="00F324F7" w14:paraId="6D50F069" w14:textId="77777777">
        <w:tc>
          <w:tcPr>
            <w:tcW w:w="1556" w:type="pct"/>
          </w:tcPr>
          <w:p w:rsidRPr="00922542" w:rsidR="00A630EC" w:rsidP="00A630EC" w:rsidRDefault="00B24195" w14:paraId="7FD986E4" w14:textId="64BE2FDE">
            <w:pPr>
              <w:overflowPunct w:val="0"/>
              <w:autoSpaceDE w:val="0"/>
              <w:autoSpaceDN w:val="0"/>
              <w:adjustRightInd w:val="0"/>
              <w:spacing w:line="240" w:lineRule="auto"/>
              <w:textAlignment w:val="baseline"/>
              <w:rPr>
                <w:i/>
                <w:sz w:val="22"/>
                <w:szCs w:val="22"/>
              </w:rPr>
            </w:pPr>
            <w:r w:rsidRPr="00922542">
              <w:rPr>
                <w:i/>
                <w:sz w:val="22"/>
                <w:szCs w:val="22"/>
              </w:rPr>
              <w:t>Correo electrónico:</w:t>
            </w:r>
          </w:p>
        </w:tc>
        <w:tc>
          <w:tcPr>
            <w:tcW w:w="3444" w:type="pct"/>
          </w:tcPr>
          <w:p w:rsidRPr="00922542" w:rsidR="00A630EC" w:rsidP="00A630EC" w:rsidRDefault="00F22A9C" w14:paraId="5718CBD8" w14:textId="1636A5F7">
            <w:pPr>
              <w:overflowPunct w:val="0"/>
              <w:autoSpaceDE w:val="0"/>
              <w:autoSpaceDN w:val="0"/>
              <w:adjustRightInd w:val="0"/>
              <w:spacing w:line="240" w:lineRule="auto"/>
              <w:textAlignment w:val="baseline"/>
              <w:rPr>
                <w:i/>
                <w:sz w:val="22"/>
                <w:szCs w:val="22"/>
              </w:rPr>
            </w:pPr>
            <w:hyperlink w:history="1" r:id="rId55">
              <w:r w:rsidRPr="00922542" w:rsidR="007E03C9">
                <w:rPr>
                  <w:i/>
                  <w:color w:val="0000FF"/>
                  <w:sz w:val="22"/>
                  <w:szCs w:val="22"/>
                  <w:u w:val="single"/>
                </w:rPr>
                <w:t>Radoslava.Stefankova@eesc.europa.eu</w:t>
              </w:r>
            </w:hyperlink>
          </w:p>
        </w:tc>
      </w:tr>
    </w:tbl>
    <w:p w:rsidR="00991DA2" w:rsidP="002F20BE" w:rsidRDefault="00991DA2" w14:paraId="13DD82E3" w14:textId="5FE82F37">
      <w:pPr>
        <w:ind w:left="710"/>
        <w:rPr>
          <w:b/>
          <w:i/>
          <w:sz w:val="28"/>
          <w:szCs w:val="28"/>
        </w:rPr>
      </w:pPr>
    </w:p>
    <w:p w:rsidR="00991DA2" w:rsidRDefault="00991DA2" w14:paraId="69682B44" w14:textId="77777777">
      <w:pPr>
        <w:spacing w:after="160" w:line="259" w:lineRule="auto"/>
        <w:jc w:val="left"/>
        <w:rPr>
          <w:b/>
          <w:i/>
          <w:sz w:val="28"/>
          <w:szCs w:val="28"/>
        </w:rPr>
      </w:pPr>
      <w:r>
        <w:br w:type="page"/>
      </w:r>
    </w:p>
    <w:p w:rsidRPr="00991DA2" w:rsidR="00991DA2" w:rsidP="00991DA2" w:rsidRDefault="00F22A9C" w14:paraId="72ED4EF3" w14:textId="6F3F50A8">
      <w:pPr>
        <w:widowControl w:val="0"/>
        <w:numPr>
          <w:ilvl w:val="0"/>
          <w:numId w:val="8"/>
        </w:numPr>
        <w:overflowPunct w:val="0"/>
        <w:autoSpaceDE w:val="0"/>
        <w:autoSpaceDN w:val="0"/>
        <w:adjustRightInd w:val="0"/>
        <w:ind w:hanging="567"/>
        <w:textAlignment w:val="baseline"/>
        <w:rPr>
          <w:sz w:val="20"/>
          <w:szCs w:val="20"/>
        </w:rPr>
      </w:pPr>
      <w:hyperlink w:tgtFrame="_blank" w:history="1" r:id="rId56">
        <w:r w:rsidRPr="00635F3B" w:rsidR="00276FC9">
          <w:rPr>
            <w:rStyle w:val="Hyperlink"/>
            <w:b/>
            <w:i/>
            <w:sz w:val="28"/>
          </w:rPr>
          <w:t>Lucha contra la falsificación</w:t>
        </w:r>
      </w:hyperlink>
    </w:p>
    <w:p w:rsidRPr="000F216A" w:rsidR="00991DA2" w:rsidP="000F216A" w:rsidRDefault="00991DA2" w14:paraId="14FAB47E" w14:textId="77777777"/>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91DA2" w:rsidR="00991DA2" w:rsidTr="00F324F7" w14:paraId="6D685F99" w14:textId="77777777">
        <w:tc>
          <w:tcPr>
            <w:tcW w:w="1701" w:type="dxa"/>
          </w:tcPr>
          <w:p w:rsidRPr="00991DA2" w:rsidR="00991DA2" w:rsidP="00991DA2" w:rsidRDefault="00991DA2" w14:paraId="70EB151F" w14:textId="77777777">
            <w:pPr>
              <w:tabs>
                <w:tab w:val="center" w:pos="284"/>
              </w:tabs>
              <w:overflowPunct w:val="0"/>
              <w:autoSpaceDE w:val="0"/>
              <w:autoSpaceDN w:val="0"/>
              <w:adjustRightInd w:val="0"/>
              <w:ind w:left="266" w:hanging="266"/>
              <w:textAlignment w:val="baseline"/>
              <w:rPr>
                <w:b/>
              </w:rPr>
            </w:pPr>
            <w:r>
              <w:rPr>
                <w:b/>
              </w:rPr>
              <w:t>Ponente</w:t>
            </w:r>
          </w:p>
        </w:tc>
        <w:tc>
          <w:tcPr>
            <w:tcW w:w="5387" w:type="dxa"/>
          </w:tcPr>
          <w:p w:rsidRPr="00991DA2" w:rsidR="00991DA2" w:rsidP="00991DA2" w:rsidRDefault="00991DA2" w14:paraId="05962DD1" w14:textId="6B062448">
            <w:pPr>
              <w:tabs>
                <w:tab w:val="center" w:pos="284"/>
              </w:tabs>
              <w:overflowPunct w:val="0"/>
              <w:autoSpaceDE w:val="0"/>
              <w:autoSpaceDN w:val="0"/>
              <w:adjustRightInd w:val="0"/>
              <w:ind w:left="266" w:hanging="266"/>
              <w:textAlignment w:val="baseline"/>
            </w:pPr>
            <w:r>
              <w:t>Bruno CHOIX (Grupo de Empresarios – FR)</w:t>
            </w:r>
          </w:p>
        </w:tc>
      </w:tr>
      <w:tr w:rsidRPr="00991DA2" w:rsidR="00991DA2" w:rsidTr="00F324F7" w14:paraId="20B85526" w14:textId="77777777">
        <w:tc>
          <w:tcPr>
            <w:tcW w:w="7088" w:type="dxa"/>
            <w:gridSpan w:val="2"/>
          </w:tcPr>
          <w:p w:rsidRPr="00991DA2"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pPr>
          </w:p>
        </w:tc>
      </w:tr>
      <w:tr w:rsidRPr="00991DA2" w:rsidR="00991DA2" w:rsidTr="00F324F7" w14:paraId="2A4DCD45" w14:textId="77777777">
        <w:tc>
          <w:tcPr>
            <w:tcW w:w="1701" w:type="dxa"/>
            <w:vMerge w:val="restart"/>
          </w:tcPr>
          <w:p w:rsidRPr="00991DA2" w:rsidR="00991DA2" w:rsidP="00991DA2" w:rsidRDefault="00991DA2" w14:paraId="5AA74E99" w14:textId="77777777">
            <w:pPr>
              <w:tabs>
                <w:tab w:val="center" w:pos="284"/>
              </w:tabs>
              <w:overflowPunct w:val="0"/>
              <w:autoSpaceDE w:val="0"/>
              <w:autoSpaceDN w:val="0"/>
              <w:adjustRightInd w:val="0"/>
              <w:ind w:left="266" w:hanging="266"/>
              <w:textAlignment w:val="baseline"/>
              <w:rPr>
                <w:b/>
              </w:rPr>
            </w:pPr>
            <w:r>
              <w:rPr>
                <w:b/>
                <w:bCs/>
              </w:rPr>
              <w:t>Referencias</w:t>
            </w:r>
          </w:p>
        </w:tc>
        <w:tc>
          <w:tcPr>
            <w:tcW w:w="5387" w:type="dxa"/>
          </w:tcPr>
          <w:p w:rsidRPr="00991DA2" w:rsidR="00991DA2" w:rsidP="00991DA2" w:rsidRDefault="00991DA2" w14:paraId="5F7F1B79" w14:textId="77777777">
            <w:pPr>
              <w:tabs>
                <w:tab w:val="center" w:pos="284"/>
              </w:tabs>
              <w:overflowPunct w:val="0"/>
              <w:autoSpaceDE w:val="0"/>
              <w:autoSpaceDN w:val="0"/>
              <w:adjustRightInd w:val="0"/>
              <w:ind w:left="266" w:hanging="266"/>
              <w:textAlignment w:val="baseline"/>
            </w:pPr>
            <w:r>
              <w:t>C(2024) 1739 final</w:t>
            </w:r>
          </w:p>
        </w:tc>
      </w:tr>
      <w:tr w:rsidRPr="00991DA2" w:rsidR="00991DA2" w:rsidTr="00F324F7" w14:paraId="131BE847" w14:textId="77777777">
        <w:tc>
          <w:tcPr>
            <w:tcW w:w="1701" w:type="dxa"/>
            <w:vMerge/>
          </w:tcPr>
          <w:p w:rsidRPr="00991DA2" w:rsidR="00991DA2" w:rsidP="00991DA2" w:rsidRDefault="00991DA2" w14:paraId="05C8A184" w14:textId="77777777">
            <w:pPr>
              <w:tabs>
                <w:tab w:val="center" w:pos="284"/>
              </w:tabs>
              <w:overflowPunct w:val="0"/>
              <w:autoSpaceDE w:val="0"/>
              <w:autoSpaceDN w:val="0"/>
              <w:adjustRightInd w:val="0"/>
              <w:ind w:left="266" w:hanging="266"/>
              <w:textAlignment w:val="baseline"/>
              <w:rPr>
                <w:b/>
              </w:rPr>
            </w:pPr>
          </w:p>
        </w:tc>
        <w:tc>
          <w:tcPr>
            <w:tcW w:w="5387" w:type="dxa"/>
          </w:tcPr>
          <w:p w:rsidRPr="00991DA2" w:rsidR="00991DA2" w:rsidP="00991DA2" w:rsidRDefault="00991DA2" w14:paraId="7CE9096F" w14:textId="65AAC3AF">
            <w:pPr>
              <w:tabs>
                <w:tab w:val="center" w:pos="284"/>
              </w:tabs>
              <w:overflowPunct w:val="0"/>
              <w:autoSpaceDE w:val="0"/>
              <w:autoSpaceDN w:val="0"/>
              <w:adjustRightInd w:val="0"/>
              <w:ind w:left="266" w:hanging="266"/>
              <w:textAlignment w:val="baseline"/>
            </w:pPr>
            <w:r>
              <w:t>EESC-2024-01676-00-00-AC</w:t>
            </w:r>
          </w:p>
        </w:tc>
      </w:tr>
    </w:tbl>
    <w:p w:rsidRPr="00991DA2"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991DA2"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991DA2"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Pr="00991DA2" w:rsidR="00991DA2" w:rsidP="00991DA2" w:rsidRDefault="00991DA2" w14:paraId="16385ECF" w14:textId="77777777">
      <w:pPr>
        <w:overflowPunct w:val="0"/>
        <w:autoSpaceDE w:val="0"/>
        <w:autoSpaceDN w:val="0"/>
        <w:adjustRightInd w:val="0"/>
        <w:spacing w:line="360" w:lineRule="auto"/>
        <w:textAlignment w:val="baseline"/>
        <w:rPr>
          <w:bCs/>
          <w:iCs/>
        </w:rPr>
      </w:pPr>
      <w:r>
        <w:t>El CESE:</w:t>
      </w:r>
    </w:p>
    <w:p w:rsidRPr="009B29D4" w:rsidR="00991DA2" w:rsidP="000F216A" w:rsidRDefault="00991DA2" w14:paraId="0B99E56C" w14:textId="77777777">
      <w:pPr>
        <w:widowControl w:val="0"/>
        <w:numPr>
          <w:ilvl w:val="0"/>
          <w:numId w:val="49"/>
        </w:numPr>
        <w:overflowPunct w:val="0"/>
        <w:autoSpaceDE w:val="0"/>
        <w:autoSpaceDN w:val="0"/>
        <w:adjustRightInd w:val="0"/>
        <w:ind w:left="284" w:hanging="284"/>
        <w:textAlignment w:val="baseline"/>
        <w:rPr>
          <w:bCs/>
          <w:iCs/>
        </w:rPr>
      </w:pPr>
      <w:r>
        <w:t>considera, no obstante, que se puede hacer más para apoyar a las pymes mediante un aumento de las indemnizaciones por daños y perjuicios en caso de acciones por infracción. Se ha de recomendar a los Estados miembros que no lo hayan hecho aún que reconozcan las sanciones punitivas en su legislación nacional;</w:t>
      </w:r>
    </w:p>
    <w:p w:rsidRPr="009B29D4" w:rsidR="00991DA2" w:rsidP="000F216A" w:rsidRDefault="00991DA2" w14:paraId="2A0318E2" w14:textId="77777777">
      <w:pPr>
        <w:widowControl w:val="0"/>
        <w:numPr>
          <w:ilvl w:val="0"/>
          <w:numId w:val="49"/>
        </w:numPr>
        <w:overflowPunct w:val="0"/>
        <w:autoSpaceDE w:val="0"/>
        <w:autoSpaceDN w:val="0"/>
        <w:adjustRightInd w:val="0"/>
        <w:ind w:left="284" w:hanging="284"/>
        <w:textAlignment w:val="baseline"/>
        <w:rPr>
          <w:bCs/>
          <w:iCs/>
        </w:rPr>
      </w:pPr>
      <w:r>
        <w:t>considera que es preciso escuchar más testimonios de empresarios que se han valido de los derechos de propiedad industrial para luchar contra la falsificación;</w:t>
      </w:r>
    </w:p>
    <w:p w:rsidRPr="009B29D4" w:rsidR="00991DA2" w:rsidP="000F216A" w:rsidRDefault="00991DA2" w14:paraId="53DE55DD" w14:textId="77777777">
      <w:pPr>
        <w:widowControl w:val="0"/>
        <w:numPr>
          <w:ilvl w:val="0"/>
          <w:numId w:val="49"/>
        </w:numPr>
        <w:overflowPunct w:val="0"/>
        <w:autoSpaceDE w:val="0"/>
        <w:autoSpaceDN w:val="0"/>
        <w:adjustRightInd w:val="0"/>
        <w:ind w:left="284" w:hanging="284"/>
        <w:textAlignment w:val="baseline"/>
        <w:rPr>
          <w:bCs/>
          <w:iCs/>
        </w:rPr>
      </w:pPr>
      <w:r>
        <w:t>considera que sería conveniente introducir un seguro de falsificación a escala europea y que los Estados miembros deberían estudiar la cuestión de cómo se valoran los activos;</w:t>
      </w:r>
    </w:p>
    <w:p w:rsidRPr="009B29D4" w:rsidR="00991DA2" w:rsidP="000F216A" w:rsidRDefault="00991DA2" w14:paraId="1390EF3B" w14:textId="77777777">
      <w:pPr>
        <w:widowControl w:val="0"/>
        <w:numPr>
          <w:ilvl w:val="0"/>
          <w:numId w:val="49"/>
        </w:numPr>
        <w:overflowPunct w:val="0"/>
        <w:autoSpaceDE w:val="0"/>
        <w:autoSpaceDN w:val="0"/>
        <w:adjustRightInd w:val="0"/>
        <w:ind w:left="284" w:hanging="284"/>
        <w:textAlignment w:val="baseline"/>
        <w:rPr>
          <w:bCs/>
          <w:iCs/>
        </w:rPr>
      </w:pPr>
      <w:r>
        <w:t>pide procedimientos más sencillos, rápidos y eficaces para notificar y retirar anuncios de productos falsificados en línea, y supervisará si las obligaciones previstas en el Reglamento de Servicios Digitales tienen un impacto real en la reducción de la oferta de productos falsificados en internet;</w:t>
      </w:r>
    </w:p>
    <w:p w:rsidRPr="009B29D4" w:rsidR="00991DA2" w:rsidP="000F216A" w:rsidRDefault="00991DA2" w14:paraId="3A366C25" w14:textId="77777777">
      <w:pPr>
        <w:widowControl w:val="0"/>
        <w:numPr>
          <w:ilvl w:val="0"/>
          <w:numId w:val="49"/>
        </w:numPr>
        <w:overflowPunct w:val="0"/>
        <w:autoSpaceDE w:val="0"/>
        <w:autoSpaceDN w:val="0"/>
        <w:adjustRightInd w:val="0"/>
        <w:ind w:left="284" w:hanging="284"/>
        <w:textAlignment w:val="baseline"/>
        <w:rPr>
          <w:bCs/>
          <w:iCs/>
        </w:rPr>
      </w:pPr>
      <w:r>
        <w:t>supervisará la aplicación de las recomendaciones contenidas en el conjunto de instrumentos de la UE contra la falsificación;</w:t>
      </w:r>
    </w:p>
    <w:p w:rsidRPr="009B29D4" w:rsidR="00991DA2" w:rsidP="000F216A" w:rsidRDefault="00991DA2" w14:paraId="54DFACBE" w14:textId="6321EF35">
      <w:pPr>
        <w:widowControl w:val="0"/>
        <w:numPr>
          <w:ilvl w:val="0"/>
          <w:numId w:val="49"/>
        </w:numPr>
        <w:overflowPunct w:val="0"/>
        <w:autoSpaceDE w:val="0"/>
        <w:autoSpaceDN w:val="0"/>
        <w:adjustRightInd w:val="0"/>
        <w:ind w:left="284" w:hanging="284"/>
        <w:textAlignment w:val="baseline"/>
        <w:rPr>
          <w:bCs/>
          <w:iCs/>
        </w:rPr>
      </w:pPr>
      <w:r>
        <w:t>considera que la falsificación debe ser una prioridad para la Oficina Europea de Lucha contra el Fraude y para Europol, y que también debe ser una de las prioridades del ciclo político de la UE (EMPACT);</w:t>
      </w:r>
    </w:p>
    <w:p w:rsidRPr="009B29D4" w:rsidR="00991DA2" w:rsidP="000F216A" w:rsidRDefault="00991DA2" w14:paraId="23F2E50B" w14:textId="77777777">
      <w:pPr>
        <w:widowControl w:val="0"/>
        <w:numPr>
          <w:ilvl w:val="0"/>
          <w:numId w:val="49"/>
        </w:numPr>
        <w:overflowPunct w:val="0"/>
        <w:autoSpaceDE w:val="0"/>
        <w:autoSpaceDN w:val="0"/>
        <w:adjustRightInd w:val="0"/>
        <w:ind w:left="284" w:hanging="284"/>
        <w:textAlignment w:val="baseline"/>
        <w:rPr>
          <w:bCs/>
          <w:iCs/>
        </w:rPr>
      </w:pPr>
      <w:r>
        <w:t xml:space="preserve">verificará muy atentamente si el tema de la falsificación se incluye sistemáticamente en los acuerdos comerciales que la UE celebra con sus socios, también en la fase de aplicación. </w:t>
      </w:r>
    </w:p>
    <w:p w:rsidRPr="00991DA2"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AC3936" w:rsidR="00991DA2" w:rsidTr="00AC3936" w14:paraId="56E32158" w14:textId="77777777">
        <w:tc>
          <w:tcPr>
            <w:tcW w:w="2093" w:type="dxa"/>
          </w:tcPr>
          <w:p w:rsidRPr="00AC3936"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sidRPr="00AC3936">
              <w:rPr>
                <w:b/>
                <w:i/>
                <w:sz w:val="22"/>
                <w:szCs w:val="22"/>
              </w:rPr>
              <w:t>Contacto:</w:t>
            </w:r>
          </w:p>
        </w:tc>
        <w:tc>
          <w:tcPr>
            <w:tcW w:w="4995" w:type="dxa"/>
          </w:tcPr>
          <w:p w:rsidRPr="00AC3936" w:rsidR="00991DA2" w:rsidP="00991DA2" w:rsidRDefault="00991DA2" w14:paraId="67EBA9EF" w14:textId="77777777">
            <w:pPr>
              <w:overflowPunct w:val="0"/>
              <w:autoSpaceDE w:val="0"/>
              <w:autoSpaceDN w:val="0"/>
              <w:adjustRightInd w:val="0"/>
              <w:spacing w:line="240" w:lineRule="auto"/>
              <w:textAlignment w:val="baseline"/>
              <w:rPr>
                <w:i/>
                <w:sz w:val="22"/>
                <w:szCs w:val="22"/>
              </w:rPr>
            </w:pPr>
            <w:r w:rsidRPr="00AC3936">
              <w:rPr>
                <w:i/>
                <w:sz w:val="22"/>
                <w:szCs w:val="22"/>
              </w:rPr>
              <w:t>Annalisa Tessarolo</w:t>
            </w:r>
          </w:p>
        </w:tc>
      </w:tr>
      <w:tr w:rsidRPr="00AC3936" w:rsidR="00991DA2" w:rsidTr="00AC3936" w14:paraId="585149C6" w14:textId="77777777">
        <w:tc>
          <w:tcPr>
            <w:tcW w:w="2093" w:type="dxa"/>
          </w:tcPr>
          <w:p w:rsidRPr="00AC3936"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sidRPr="00AC3936">
              <w:rPr>
                <w:i/>
                <w:sz w:val="22"/>
                <w:szCs w:val="22"/>
              </w:rPr>
              <w:t>Teléfono:</w:t>
            </w:r>
          </w:p>
        </w:tc>
        <w:tc>
          <w:tcPr>
            <w:tcW w:w="4995" w:type="dxa"/>
          </w:tcPr>
          <w:p w:rsidRPr="00AC3936"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sidRPr="00AC3936">
              <w:rPr>
                <w:i/>
                <w:sz w:val="22"/>
                <w:szCs w:val="22"/>
              </w:rPr>
              <w:t>+32 25469732</w:t>
            </w:r>
          </w:p>
        </w:tc>
      </w:tr>
      <w:tr w:rsidRPr="00AC3936" w:rsidR="00991DA2" w:rsidTr="00AC3936" w14:paraId="372CD44D" w14:textId="77777777">
        <w:tc>
          <w:tcPr>
            <w:tcW w:w="2093" w:type="dxa"/>
          </w:tcPr>
          <w:p w:rsidRPr="00AC3936" w:rsidR="00991DA2" w:rsidP="00991DA2" w:rsidRDefault="00B24195" w14:paraId="41880992" w14:textId="27E2ADE8">
            <w:pPr>
              <w:overflowPunct w:val="0"/>
              <w:autoSpaceDE w:val="0"/>
              <w:autoSpaceDN w:val="0"/>
              <w:adjustRightInd w:val="0"/>
              <w:spacing w:line="240" w:lineRule="auto"/>
              <w:textAlignment w:val="baseline"/>
              <w:rPr>
                <w:i/>
                <w:sz w:val="22"/>
                <w:szCs w:val="22"/>
              </w:rPr>
            </w:pPr>
            <w:r w:rsidRPr="00AC3936">
              <w:rPr>
                <w:i/>
                <w:sz w:val="22"/>
                <w:szCs w:val="22"/>
              </w:rPr>
              <w:t>Correo electrónico:</w:t>
            </w:r>
          </w:p>
        </w:tc>
        <w:tc>
          <w:tcPr>
            <w:tcW w:w="4995" w:type="dxa"/>
          </w:tcPr>
          <w:p w:rsidRPr="00AC3936" w:rsidR="00991DA2" w:rsidP="00991DA2" w:rsidRDefault="00F22A9C" w14:paraId="1AE3FB4F" w14:textId="418DE4D9">
            <w:pPr>
              <w:overflowPunct w:val="0"/>
              <w:autoSpaceDE w:val="0"/>
              <w:autoSpaceDN w:val="0"/>
              <w:adjustRightInd w:val="0"/>
              <w:spacing w:line="240" w:lineRule="auto"/>
              <w:textAlignment w:val="baseline"/>
              <w:rPr>
                <w:i/>
                <w:iCs/>
                <w:sz w:val="22"/>
                <w:szCs w:val="22"/>
              </w:rPr>
            </w:pPr>
            <w:hyperlink w:history="1" r:id="rId57">
              <w:r w:rsidRPr="00AC3936" w:rsidR="007E03C9">
                <w:rPr>
                  <w:i/>
                  <w:color w:val="0000FF"/>
                  <w:sz w:val="22"/>
                  <w:szCs w:val="22"/>
                  <w:u w:val="single"/>
                </w:rPr>
                <w:t>Annalisa.Tessarolo@eesc.europa.eu</w:t>
              </w:r>
            </w:hyperlink>
          </w:p>
        </w:tc>
      </w:tr>
    </w:tbl>
    <w:p w:rsidR="0093748C" w:rsidP="002F20BE" w:rsidRDefault="0093748C" w14:paraId="33D3D03B" w14:textId="4C85114C">
      <w:pPr>
        <w:ind w:left="710"/>
        <w:rPr>
          <w:b/>
          <w:i/>
          <w:sz w:val="28"/>
          <w:szCs w:val="28"/>
        </w:rPr>
      </w:pPr>
    </w:p>
    <w:p w:rsidR="0093748C" w:rsidRDefault="0093748C" w14:paraId="27F572C4" w14:textId="77777777">
      <w:pPr>
        <w:spacing w:after="160" w:line="259" w:lineRule="auto"/>
        <w:jc w:val="left"/>
        <w:rPr>
          <w:b/>
          <w:i/>
          <w:sz w:val="28"/>
          <w:szCs w:val="28"/>
        </w:rPr>
      </w:pPr>
      <w:r>
        <w:br w:type="page"/>
      </w:r>
    </w:p>
    <w:p w:rsidR="004D7AC0" w:rsidP="000F216A"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2565783" w:id="12"/>
      <w:bookmarkEnd w:id="7"/>
      <w:bookmarkEnd w:id="8"/>
      <w:bookmarkEnd w:id="9"/>
      <w:r>
        <w:lastRenderedPageBreak/>
        <w:t>AGRICULTURA, DESARROLLO RURAL Y MEDIO AMBIENTE</w:t>
      </w:r>
      <w:bookmarkEnd w:id="10"/>
      <w:bookmarkEnd w:id="11"/>
      <w:bookmarkEnd w:id="12"/>
    </w:p>
    <w:p w:rsidR="004D7AC0" w:rsidP="004D7AC0" w:rsidRDefault="004D7AC0" w14:paraId="4982DE20" w14:textId="77777777"/>
    <w:p w:rsidR="004D7AC0" w:rsidP="00AC3936" w:rsidRDefault="004D7AC0" w14:paraId="4982DE22" w14:textId="77777777"/>
    <w:p w:rsidRPr="0093748C" w:rsidR="0093748C" w:rsidP="0093748C" w:rsidRDefault="00F22A9C" w14:paraId="060171AF" w14:textId="0FF5E935">
      <w:pPr>
        <w:widowControl w:val="0"/>
        <w:numPr>
          <w:ilvl w:val="0"/>
          <w:numId w:val="8"/>
        </w:numPr>
        <w:overflowPunct w:val="0"/>
        <w:autoSpaceDE w:val="0"/>
        <w:autoSpaceDN w:val="0"/>
        <w:adjustRightInd w:val="0"/>
        <w:ind w:left="266" w:hanging="266"/>
        <w:textAlignment w:val="baseline"/>
        <w:rPr>
          <w:b/>
        </w:rPr>
      </w:pPr>
      <w:hyperlink w:history="1" r:id="rId58">
        <w:r w:rsidRPr="002B59D2" w:rsidR="00276FC9">
          <w:rPr>
            <w:rStyle w:val="Hyperlink"/>
            <w:b/>
            <w:i/>
            <w:sz w:val="28"/>
          </w:rPr>
          <w:t>Ampliación del régimen de equivalencia para la importación de materiales forestales de reproducción</w:t>
        </w:r>
      </w:hyperlink>
      <w:r w:rsidR="00276FC9">
        <w:rPr>
          <w:b/>
          <w:i/>
          <w:sz w:val="28"/>
        </w:rPr>
        <w:t xml:space="preserve"> </w:t>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57C14171" w14:textId="77777777">
        <w:tc>
          <w:tcPr>
            <w:tcW w:w="5000" w:type="pct"/>
            <w:gridSpan w:val="2"/>
          </w:tcPr>
          <w:p w:rsidRPr="0093748C" w:rsidR="0093748C" w:rsidP="0093748C" w:rsidRDefault="0093748C" w14:paraId="00730631" w14:textId="77777777">
            <w:pPr>
              <w:tabs>
                <w:tab w:val="center" w:pos="284"/>
              </w:tabs>
              <w:overflowPunct w:val="0"/>
              <w:autoSpaceDE w:val="0"/>
              <w:autoSpaceDN w:val="0"/>
              <w:adjustRightInd w:val="0"/>
              <w:spacing w:line="160" w:lineRule="exact"/>
              <w:ind w:left="266" w:hanging="266"/>
              <w:textAlignment w:val="baseline"/>
            </w:pPr>
          </w:p>
        </w:tc>
      </w:tr>
      <w:tr w:rsidRPr="00A47A41" w:rsidR="0093748C" w:rsidTr="00F324F7" w14:paraId="746DC44C" w14:textId="77777777">
        <w:tc>
          <w:tcPr>
            <w:tcW w:w="1591" w:type="pct"/>
            <w:vMerge w:val="restart"/>
          </w:tcPr>
          <w:p w:rsidRPr="0093748C" w:rsidR="0093748C" w:rsidP="0093748C" w:rsidRDefault="0093748C" w14:paraId="2BF87C5F" w14:textId="77777777">
            <w:pPr>
              <w:tabs>
                <w:tab w:val="center" w:pos="284"/>
              </w:tabs>
              <w:overflowPunct w:val="0"/>
              <w:autoSpaceDE w:val="0"/>
              <w:autoSpaceDN w:val="0"/>
              <w:adjustRightInd w:val="0"/>
              <w:ind w:left="266" w:hanging="266"/>
              <w:textAlignment w:val="baseline"/>
              <w:rPr>
                <w:b/>
              </w:rPr>
            </w:pPr>
            <w:r>
              <w:rPr>
                <w:b/>
                <w:bCs/>
              </w:rPr>
              <w:t>Referencias</w:t>
            </w:r>
          </w:p>
        </w:tc>
        <w:tc>
          <w:tcPr>
            <w:tcW w:w="3409" w:type="pct"/>
          </w:tcPr>
          <w:p w:rsidRPr="000F216A" w:rsidR="00A47A41" w:rsidP="0093748C" w:rsidRDefault="00A47A41" w14:paraId="28FE2D2B" w14:textId="1B275EA2">
            <w:pPr>
              <w:tabs>
                <w:tab w:val="center" w:pos="284"/>
              </w:tabs>
              <w:overflowPunct w:val="0"/>
              <w:autoSpaceDE w:val="0"/>
              <w:autoSpaceDN w:val="0"/>
              <w:adjustRightInd w:val="0"/>
              <w:ind w:left="266" w:hanging="266"/>
              <w:textAlignment w:val="baseline"/>
            </w:pPr>
            <w:r>
              <w:t>Dictamen de categoría C</w:t>
            </w:r>
          </w:p>
          <w:p w:rsidRPr="000F216A" w:rsidR="0093748C" w:rsidP="0093748C" w:rsidRDefault="0093748C" w14:paraId="76C8122A" w14:textId="1671DB7E">
            <w:pPr>
              <w:tabs>
                <w:tab w:val="center" w:pos="284"/>
              </w:tabs>
              <w:overflowPunct w:val="0"/>
              <w:autoSpaceDE w:val="0"/>
              <w:autoSpaceDN w:val="0"/>
              <w:adjustRightInd w:val="0"/>
              <w:ind w:left="266" w:hanging="266"/>
              <w:textAlignment w:val="baseline"/>
            </w:pPr>
            <w:r>
              <w:t>COM(2024) 387 final</w:t>
            </w:r>
          </w:p>
        </w:tc>
      </w:tr>
      <w:tr w:rsidRPr="0093748C" w:rsidR="0093748C" w:rsidTr="00F324F7" w14:paraId="4CA48C1F" w14:textId="77777777">
        <w:tc>
          <w:tcPr>
            <w:tcW w:w="1591" w:type="pct"/>
            <w:vMerge/>
          </w:tcPr>
          <w:p w:rsidRPr="000F216A" w:rsidR="0093748C" w:rsidP="0093748C" w:rsidRDefault="0093748C" w14:paraId="32109F4E"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42BC4B60" w14:textId="77777777">
            <w:pPr>
              <w:tabs>
                <w:tab w:val="center" w:pos="284"/>
              </w:tabs>
              <w:overflowPunct w:val="0"/>
              <w:autoSpaceDE w:val="0"/>
              <w:autoSpaceDN w:val="0"/>
              <w:adjustRightInd w:val="0"/>
              <w:ind w:left="266" w:hanging="266"/>
              <w:textAlignment w:val="baseline"/>
            </w:pPr>
            <w:r>
              <w:t>EESC-2024-03464-00-00-AC</w:t>
            </w:r>
          </w:p>
        </w:tc>
      </w:tr>
    </w:tbl>
    <w:p w:rsidRPr="0093748C"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93748C"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065C2DEA" w14:textId="77777777">
      <w:pPr>
        <w:overflowPunct w:val="0"/>
        <w:autoSpaceDE w:val="0"/>
        <w:autoSpaceDN w:val="0"/>
        <w:adjustRightInd w:val="0"/>
        <w:textAlignment w:val="baseline"/>
        <w:rPr>
          <w:bCs/>
          <w:iCs/>
        </w:rPr>
      </w:pPr>
      <w:r>
        <w:t>El CESE:</w:t>
      </w:r>
    </w:p>
    <w:p w:rsidRPr="0093748C" w:rsidR="0093748C" w:rsidP="0093748C" w:rsidRDefault="0093748C" w14:paraId="195A1DF0" w14:textId="77777777">
      <w:pPr>
        <w:overflowPunct w:val="0"/>
        <w:autoSpaceDE w:val="0"/>
        <w:autoSpaceDN w:val="0"/>
        <w:adjustRightInd w:val="0"/>
        <w:textAlignment w:val="baseline"/>
        <w:rPr>
          <w:bCs/>
          <w:iCs/>
          <w:lang w:val="en-GB"/>
        </w:rPr>
      </w:pPr>
    </w:p>
    <w:p w:rsidRPr="0093748C" w:rsidR="0093748C" w:rsidP="000F216A" w:rsidRDefault="0093748C" w14:paraId="313B2EF2" w14:textId="77777777">
      <w:pPr>
        <w:widowControl w:val="0"/>
        <w:numPr>
          <w:ilvl w:val="0"/>
          <w:numId w:val="52"/>
        </w:numPr>
        <w:overflowPunct w:val="0"/>
        <w:autoSpaceDE w:val="0"/>
        <w:autoSpaceDN w:val="0"/>
        <w:adjustRightInd w:val="0"/>
        <w:ind w:left="284" w:hanging="284"/>
        <w:textAlignment w:val="baseline"/>
        <w:rPr>
          <w:bCs/>
          <w:iCs/>
        </w:rPr>
      </w:pPr>
      <w:r>
        <w:t>considera que el contenido de la propuesta es plenamente satisfactorio y no es objeto de ninguna observación por su parte.</w:t>
      </w:r>
    </w:p>
    <w:p w:rsidRPr="0093748C" w:rsidR="0093748C" w:rsidP="0093748C" w:rsidRDefault="0093748C" w14:paraId="4684BA94"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1C7BAE" w:rsidR="0093748C" w:rsidTr="00F324F7" w14:paraId="61800A27" w14:textId="77777777">
        <w:tc>
          <w:tcPr>
            <w:tcW w:w="1556" w:type="pct"/>
          </w:tcPr>
          <w:p w:rsidRPr="001C7BAE"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sidRPr="001C7BAE">
              <w:rPr>
                <w:b/>
                <w:i/>
                <w:sz w:val="22"/>
                <w:szCs w:val="22"/>
              </w:rPr>
              <w:t>Contacto:</w:t>
            </w:r>
          </w:p>
        </w:tc>
        <w:tc>
          <w:tcPr>
            <w:tcW w:w="3444" w:type="pct"/>
          </w:tcPr>
          <w:p w:rsidRPr="001C7BAE" w:rsidR="0093748C" w:rsidP="0093748C" w:rsidRDefault="0093748C" w14:paraId="3C1DE251" w14:textId="77777777">
            <w:pPr>
              <w:overflowPunct w:val="0"/>
              <w:autoSpaceDE w:val="0"/>
              <w:autoSpaceDN w:val="0"/>
              <w:adjustRightInd w:val="0"/>
              <w:spacing w:line="240" w:lineRule="auto"/>
              <w:textAlignment w:val="baseline"/>
              <w:rPr>
                <w:i/>
                <w:sz w:val="22"/>
                <w:szCs w:val="22"/>
              </w:rPr>
            </w:pPr>
            <w:r w:rsidRPr="001C7BAE">
              <w:rPr>
                <w:i/>
                <w:sz w:val="22"/>
                <w:szCs w:val="22"/>
              </w:rPr>
              <w:t>Nicolas Stenger</w:t>
            </w:r>
          </w:p>
        </w:tc>
      </w:tr>
      <w:tr w:rsidRPr="001C7BAE" w:rsidR="0093748C" w:rsidTr="00F324F7" w14:paraId="6BBBFC71" w14:textId="77777777">
        <w:tc>
          <w:tcPr>
            <w:tcW w:w="1556" w:type="pct"/>
          </w:tcPr>
          <w:p w:rsidRPr="001C7BAE"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sidRPr="001C7BAE">
              <w:rPr>
                <w:i/>
                <w:sz w:val="22"/>
                <w:szCs w:val="22"/>
              </w:rPr>
              <w:t>Teléfono:</w:t>
            </w:r>
          </w:p>
        </w:tc>
        <w:tc>
          <w:tcPr>
            <w:tcW w:w="3444" w:type="pct"/>
          </w:tcPr>
          <w:p w:rsidRPr="001C7BAE"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sidRPr="001C7BAE">
              <w:rPr>
                <w:i/>
                <w:sz w:val="22"/>
                <w:szCs w:val="22"/>
              </w:rPr>
              <w:t>+32 25468152</w:t>
            </w:r>
          </w:p>
        </w:tc>
      </w:tr>
      <w:tr w:rsidRPr="001C7BAE" w:rsidR="0093748C" w:rsidTr="00F324F7" w14:paraId="676132DB" w14:textId="77777777">
        <w:tc>
          <w:tcPr>
            <w:tcW w:w="1556" w:type="pct"/>
          </w:tcPr>
          <w:p w:rsidRPr="001C7BAE" w:rsidR="0093748C" w:rsidP="0093748C" w:rsidRDefault="00DC0660" w14:paraId="25D06FA4" w14:textId="6800538B">
            <w:pPr>
              <w:overflowPunct w:val="0"/>
              <w:autoSpaceDE w:val="0"/>
              <w:autoSpaceDN w:val="0"/>
              <w:adjustRightInd w:val="0"/>
              <w:spacing w:line="240" w:lineRule="auto"/>
              <w:textAlignment w:val="baseline"/>
              <w:rPr>
                <w:i/>
                <w:sz w:val="22"/>
                <w:szCs w:val="22"/>
              </w:rPr>
            </w:pPr>
            <w:r w:rsidRPr="001C7BAE">
              <w:rPr>
                <w:i/>
                <w:sz w:val="22"/>
                <w:szCs w:val="22"/>
              </w:rPr>
              <w:t>Correo electrónico:</w:t>
            </w:r>
          </w:p>
        </w:tc>
        <w:tc>
          <w:tcPr>
            <w:tcW w:w="3444" w:type="pct"/>
          </w:tcPr>
          <w:p w:rsidRPr="001C7BAE" w:rsidR="0093748C" w:rsidP="0093748C" w:rsidRDefault="00F22A9C" w14:paraId="4857B255" w14:textId="0BF8A62B">
            <w:pPr>
              <w:overflowPunct w:val="0"/>
              <w:autoSpaceDE w:val="0"/>
              <w:autoSpaceDN w:val="0"/>
              <w:adjustRightInd w:val="0"/>
              <w:spacing w:line="240" w:lineRule="auto"/>
              <w:textAlignment w:val="baseline"/>
              <w:rPr>
                <w:i/>
                <w:sz w:val="22"/>
                <w:szCs w:val="22"/>
              </w:rPr>
            </w:pPr>
            <w:hyperlink w:history="1" r:id="rId59">
              <w:r w:rsidRPr="001C7BAE" w:rsidR="007E03C9">
                <w:rPr>
                  <w:i/>
                  <w:color w:val="0000FF"/>
                  <w:sz w:val="22"/>
                  <w:szCs w:val="22"/>
                  <w:u w:val="single"/>
                </w:rPr>
                <w:t>Nicolas.Stenger@eesc.europa.eu</w:t>
              </w:r>
            </w:hyperlink>
          </w:p>
        </w:tc>
      </w:tr>
    </w:tbl>
    <w:p w:rsidR="0093748C" w:rsidRDefault="0093748C" w14:paraId="4982DE45" w14:textId="79408871">
      <w:pPr>
        <w:spacing w:after="160" w:line="259" w:lineRule="auto"/>
        <w:jc w:val="left"/>
      </w:pPr>
    </w:p>
    <w:p w:rsidR="0093748C" w:rsidRDefault="0093748C" w14:paraId="3BBF3E3A" w14:textId="77777777">
      <w:pPr>
        <w:spacing w:after="160" w:line="259" w:lineRule="auto"/>
        <w:jc w:val="left"/>
      </w:pPr>
      <w:r>
        <w:br w:type="page"/>
      </w:r>
    </w:p>
    <w:p w:rsidRPr="000F216A" w:rsidR="0093748C" w:rsidP="0093748C" w:rsidRDefault="00F22A9C" w14:paraId="55E4738D" w14:textId="4C0AAF60">
      <w:pPr>
        <w:widowControl w:val="0"/>
        <w:numPr>
          <w:ilvl w:val="0"/>
          <w:numId w:val="8"/>
        </w:numPr>
        <w:overflowPunct w:val="0"/>
        <w:autoSpaceDE w:val="0"/>
        <w:autoSpaceDN w:val="0"/>
        <w:adjustRightInd w:val="0"/>
        <w:ind w:left="266" w:hanging="266"/>
        <w:textAlignment w:val="baseline"/>
        <w:rPr>
          <w:b/>
        </w:rPr>
      </w:pPr>
      <w:hyperlink w:history="1" r:id="rId60">
        <w:r w:rsidRPr="001C7BAE" w:rsidR="00276FC9">
          <w:rPr>
            <w:rStyle w:val="Hyperlink"/>
            <w:b/>
            <w:i/>
            <w:sz w:val="28"/>
          </w:rPr>
          <w:t>Reglamento sobre la deforestación: disposiciones relativas a la fecha de aplicación</w:t>
        </w:r>
      </w:hyperlink>
    </w:p>
    <w:p w:rsidRPr="000F216A" w:rsidR="00347517" w:rsidP="000F216A" w:rsidRDefault="00347517" w14:paraId="068F3918" w14:textId="77777777"/>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93748C" w:rsidR="0093748C" w:rsidTr="00F324F7" w14:paraId="69953E79" w14:textId="77777777">
        <w:tc>
          <w:tcPr>
            <w:tcW w:w="5000" w:type="pct"/>
            <w:gridSpan w:val="2"/>
          </w:tcPr>
          <w:p w:rsidRPr="0093748C" w:rsidR="0093748C" w:rsidP="0093748C" w:rsidRDefault="0093748C" w14:paraId="3831CD14" w14:textId="77777777">
            <w:pPr>
              <w:tabs>
                <w:tab w:val="center" w:pos="284"/>
              </w:tabs>
              <w:overflowPunct w:val="0"/>
              <w:autoSpaceDE w:val="0"/>
              <w:autoSpaceDN w:val="0"/>
              <w:adjustRightInd w:val="0"/>
              <w:spacing w:line="160" w:lineRule="exact"/>
              <w:ind w:left="266" w:hanging="266"/>
              <w:textAlignment w:val="baseline"/>
            </w:pPr>
          </w:p>
        </w:tc>
      </w:tr>
      <w:tr w:rsidRPr="00DC0660" w:rsidR="0093748C" w:rsidTr="00F324F7" w14:paraId="1E63D901" w14:textId="77777777">
        <w:tc>
          <w:tcPr>
            <w:tcW w:w="1591" w:type="pct"/>
            <w:vMerge w:val="restart"/>
          </w:tcPr>
          <w:p w:rsidRPr="0093748C" w:rsidR="0093748C" w:rsidP="0093748C" w:rsidRDefault="0093748C" w14:paraId="1D8A895E" w14:textId="77777777">
            <w:pPr>
              <w:tabs>
                <w:tab w:val="center" w:pos="284"/>
              </w:tabs>
              <w:overflowPunct w:val="0"/>
              <w:autoSpaceDE w:val="0"/>
              <w:autoSpaceDN w:val="0"/>
              <w:adjustRightInd w:val="0"/>
              <w:ind w:left="266" w:hanging="266"/>
              <w:textAlignment w:val="baseline"/>
              <w:rPr>
                <w:b/>
              </w:rPr>
            </w:pPr>
            <w:r>
              <w:rPr>
                <w:b/>
                <w:bCs/>
              </w:rPr>
              <w:t>Referencias</w:t>
            </w:r>
          </w:p>
        </w:tc>
        <w:tc>
          <w:tcPr>
            <w:tcW w:w="3409" w:type="pct"/>
          </w:tcPr>
          <w:p w:rsidRPr="000F216A" w:rsidR="00DC0660" w:rsidP="0093748C" w:rsidRDefault="00DC0660" w14:paraId="2BC151E4" w14:textId="632BC673">
            <w:pPr>
              <w:tabs>
                <w:tab w:val="center" w:pos="284"/>
              </w:tabs>
              <w:overflowPunct w:val="0"/>
              <w:autoSpaceDE w:val="0"/>
              <w:autoSpaceDN w:val="0"/>
              <w:adjustRightInd w:val="0"/>
              <w:ind w:left="266" w:hanging="266"/>
              <w:textAlignment w:val="baseline"/>
            </w:pPr>
            <w:r>
              <w:t>Dictamen de categoría C</w:t>
            </w:r>
          </w:p>
          <w:p w:rsidRPr="000F216A" w:rsidR="0093748C" w:rsidP="0093748C" w:rsidRDefault="0093748C" w14:paraId="66C493B8" w14:textId="340B2CC5">
            <w:pPr>
              <w:tabs>
                <w:tab w:val="center" w:pos="284"/>
              </w:tabs>
              <w:overflowPunct w:val="0"/>
              <w:autoSpaceDE w:val="0"/>
              <w:autoSpaceDN w:val="0"/>
              <w:adjustRightInd w:val="0"/>
              <w:ind w:left="266" w:hanging="266"/>
              <w:textAlignment w:val="baseline"/>
            </w:pPr>
            <w:r>
              <w:t>COM(2024) 452 final</w:t>
            </w:r>
          </w:p>
        </w:tc>
      </w:tr>
      <w:tr w:rsidRPr="0093748C" w:rsidR="0093748C" w:rsidTr="00F324F7" w14:paraId="02E8546B" w14:textId="77777777">
        <w:tc>
          <w:tcPr>
            <w:tcW w:w="1591" w:type="pct"/>
            <w:vMerge/>
          </w:tcPr>
          <w:p w:rsidRPr="000F216A" w:rsidR="0093748C" w:rsidP="0093748C" w:rsidRDefault="0093748C" w14:paraId="7788C910" w14:textId="77777777">
            <w:pPr>
              <w:tabs>
                <w:tab w:val="center" w:pos="284"/>
              </w:tabs>
              <w:overflowPunct w:val="0"/>
              <w:autoSpaceDE w:val="0"/>
              <w:autoSpaceDN w:val="0"/>
              <w:adjustRightInd w:val="0"/>
              <w:ind w:left="266" w:hanging="266"/>
              <w:textAlignment w:val="baseline"/>
              <w:rPr>
                <w:b/>
                <w:lang w:val="pt-PT"/>
              </w:rPr>
            </w:pPr>
          </w:p>
        </w:tc>
        <w:tc>
          <w:tcPr>
            <w:tcW w:w="3409" w:type="pct"/>
          </w:tcPr>
          <w:p w:rsidRPr="0093748C" w:rsidR="0093748C" w:rsidP="0093748C" w:rsidRDefault="0093748C" w14:paraId="55965283" w14:textId="77777777">
            <w:pPr>
              <w:tabs>
                <w:tab w:val="center" w:pos="284"/>
              </w:tabs>
              <w:overflowPunct w:val="0"/>
              <w:autoSpaceDE w:val="0"/>
              <w:autoSpaceDN w:val="0"/>
              <w:adjustRightInd w:val="0"/>
              <w:ind w:left="266" w:hanging="266"/>
              <w:textAlignment w:val="baseline"/>
            </w:pPr>
            <w:r>
              <w:t>EESC-2024-03672-00-00-AC</w:t>
            </w:r>
          </w:p>
        </w:tc>
      </w:tr>
    </w:tbl>
    <w:p w:rsidRPr="0093748C"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93748C"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59BEF999" w14:textId="77777777">
      <w:pPr>
        <w:overflowPunct w:val="0"/>
        <w:autoSpaceDE w:val="0"/>
        <w:autoSpaceDN w:val="0"/>
        <w:adjustRightInd w:val="0"/>
        <w:textAlignment w:val="baseline"/>
        <w:rPr>
          <w:bCs/>
          <w:iCs/>
        </w:rPr>
      </w:pPr>
      <w:r>
        <w:t>El CESE:</w:t>
      </w:r>
    </w:p>
    <w:p w:rsidRPr="0093748C" w:rsidR="0093748C" w:rsidP="0093748C" w:rsidRDefault="0093748C" w14:paraId="0E7A4591" w14:textId="77777777">
      <w:pPr>
        <w:overflowPunct w:val="0"/>
        <w:autoSpaceDE w:val="0"/>
        <w:autoSpaceDN w:val="0"/>
        <w:adjustRightInd w:val="0"/>
        <w:textAlignment w:val="baseline"/>
        <w:rPr>
          <w:bCs/>
          <w:iCs/>
          <w:lang w:val="en-GB"/>
        </w:rPr>
      </w:pPr>
    </w:p>
    <w:p w:rsidRPr="0093748C" w:rsidR="0093748C" w:rsidP="000F216A" w:rsidRDefault="0093748C" w14:paraId="03CB7D22" w14:textId="77777777">
      <w:pPr>
        <w:widowControl w:val="0"/>
        <w:numPr>
          <w:ilvl w:val="0"/>
          <w:numId w:val="53"/>
        </w:numPr>
        <w:overflowPunct w:val="0"/>
        <w:autoSpaceDE w:val="0"/>
        <w:autoSpaceDN w:val="0"/>
        <w:adjustRightInd w:val="0"/>
        <w:ind w:left="284" w:hanging="284"/>
        <w:textAlignment w:val="baseline"/>
        <w:rPr>
          <w:bCs/>
          <w:iCs/>
        </w:rPr>
      </w:pPr>
      <w:r>
        <w:t>ya se pronunció sobre el contenido de la propuesta objeto de examen en sus Dictámenes EESC-2024-01183-00-00-AC-TRA</w:t>
      </w:r>
      <w:r w:rsidRPr="0093748C">
        <w:rPr>
          <w:sz w:val="18"/>
          <w:szCs w:val="14"/>
          <w:vertAlign w:val="superscript"/>
          <w:lang w:val="en-GB"/>
        </w:rPr>
        <w:footnoteReference w:id="2"/>
      </w:r>
      <w:r>
        <w:t xml:space="preserve"> y EESC-2021-05690-00-00-AC-TRA</w:t>
      </w:r>
      <w:r w:rsidRPr="0093748C">
        <w:rPr>
          <w:sz w:val="18"/>
          <w:szCs w:val="14"/>
          <w:vertAlign w:val="superscript"/>
          <w:lang w:val="en-GB"/>
        </w:rPr>
        <w:footnoteReference w:id="3"/>
      </w:r>
      <w:r>
        <w:t>, aprobados respectivamente el 19 de septiembre de 2024 y el 23 de febrero de 2022, por lo que decidió no elaborar un nuevo dictamen sobre el asunto y remitirse a la posición mantenida en los documentos anteriormente mencionados.</w:t>
      </w:r>
    </w:p>
    <w:p w:rsidRPr="0093748C" w:rsidR="0093748C" w:rsidP="0093748C" w:rsidRDefault="0093748C" w14:paraId="308C3055" w14:textId="77777777">
      <w:pPr>
        <w:widowControl w:val="0"/>
        <w:overflowPunct w:val="0"/>
        <w:autoSpaceDE w:val="0"/>
        <w:autoSpaceDN w:val="0"/>
        <w:adjustRightInd w:val="0"/>
        <w:ind w:left="709"/>
        <w:textAlignment w:val="baseline"/>
        <w:rPr>
          <w:szCs w:val="20"/>
          <w:lang w:val="en-GB"/>
        </w:rPr>
      </w:pPr>
    </w:p>
    <w:p w:rsidRPr="0093748C"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9D1033" w:rsidR="0093748C" w:rsidTr="00F324F7" w14:paraId="02DA41A4" w14:textId="77777777">
        <w:tc>
          <w:tcPr>
            <w:tcW w:w="1556" w:type="pct"/>
          </w:tcPr>
          <w:p w:rsidRPr="009D1033"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sidRPr="009D1033">
              <w:rPr>
                <w:b/>
                <w:i/>
                <w:sz w:val="22"/>
                <w:szCs w:val="22"/>
              </w:rPr>
              <w:t>Contacto:</w:t>
            </w:r>
          </w:p>
        </w:tc>
        <w:tc>
          <w:tcPr>
            <w:tcW w:w="3444" w:type="pct"/>
          </w:tcPr>
          <w:p w:rsidRPr="009D1033" w:rsidR="0093748C" w:rsidP="0093748C" w:rsidRDefault="0093748C" w14:paraId="07091794" w14:textId="7154DA62">
            <w:pPr>
              <w:overflowPunct w:val="0"/>
              <w:autoSpaceDE w:val="0"/>
              <w:autoSpaceDN w:val="0"/>
              <w:adjustRightInd w:val="0"/>
              <w:spacing w:line="240" w:lineRule="auto"/>
              <w:textAlignment w:val="baseline"/>
              <w:rPr>
                <w:i/>
                <w:sz w:val="22"/>
                <w:szCs w:val="22"/>
              </w:rPr>
            </w:pPr>
            <w:r w:rsidRPr="009D1033">
              <w:rPr>
                <w:i/>
                <w:sz w:val="22"/>
                <w:szCs w:val="22"/>
              </w:rPr>
              <w:t>Martine Delanoy</w:t>
            </w:r>
          </w:p>
        </w:tc>
      </w:tr>
      <w:tr w:rsidRPr="009D1033" w:rsidR="0093748C" w:rsidTr="00F324F7" w14:paraId="60117E67" w14:textId="77777777">
        <w:tc>
          <w:tcPr>
            <w:tcW w:w="1556" w:type="pct"/>
          </w:tcPr>
          <w:p w:rsidRPr="009D1033"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sidRPr="009D1033">
              <w:rPr>
                <w:i/>
                <w:sz w:val="22"/>
                <w:szCs w:val="22"/>
              </w:rPr>
              <w:t>Teléfono:</w:t>
            </w:r>
          </w:p>
        </w:tc>
        <w:tc>
          <w:tcPr>
            <w:tcW w:w="3444" w:type="pct"/>
          </w:tcPr>
          <w:p w:rsidRPr="009D1033"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sidRPr="009D1033">
              <w:rPr>
                <w:i/>
                <w:sz w:val="22"/>
                <w:szCs w:val="22"/>
              </w:rPr>
              <w:t>+32 25469802</w:t>
            </w:r>
          </w:p>
        </w:tc>
      </w:tr>
      <w:tr w:rsidRPr="009D1033" w:rsidR="0093748C" w:rsidTr="00F324F7" w14:paraId="10E191F0" w14:textId="77777777">
        <w:tc>
          <w:tcPr>
            <w:tcW w:w="1556" w:type="pct"/>
          </w:tcPr>
          <w:p w:rsidRPr="009D1033"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sidRPr="009D1033">
              <w:rPr>
                <w:i/>
                <w:sz w:val="22"/>
                <w:szCs w:val="22"/>
              </w:rPr>
              <w:t>Correo electrónico</w:t>
            </w:r>
          </w:p>
        </w:tc>
        <w:tc>
          <w:tcPr>
            <w:tcW w:w="3444" w:type="pct"/>
          </w:tcPr>
          <w:p w:rsidRPr="009D1033" w:rsidR="0093748C" w:rsidP="0093748C" w:rsidRDefault="00F22A9C" w14:paraId="03312EEB" w14:textId="1D22C28C">
            <w:pPr>
              <w:overflowPunct w:val="0"/>
              <w:autoSpaceDE w:val="0"/>
              <w:autoSpaceDN w:val="0"/>
              <w:adjustRightInd w:val="0"/>
              <w:spacing w:line="240" w:lineRule="auto"/>
              <w:textAlignment w:val="baseline"/>
              <w:rPr>
                <w:i/>
                <w:sz w:val="22"/>
                <w:szCs w:val="22"/>
              </w:rPr>
            </w:pPr>
            <w:hyperlink w:history="1" r:id="rId61">
              <w:r w:rsidRPr="009D1033" w:rsidR="007E03C9">
                <w:rPr>
                  <w:i/>
                  <w:color w:val="0000FF"/>
                  <w:sz w:val="22"/>
                  <w:szCs w:val="22"/>
                  <w:u w:val="single"/>
                </w:rPr>
                <w:t>Martine.Delanoy@eesc.europa.eu</w:t>
              </w:r>
            </w:hyperlink>
          </w:p>
        </w:tc>
      </w:tr>
    </w:tbl>
    <w:p w:rsidR="007F5784" w:rsidRDefault="007F5784" w14:paraId="1490274E" w14:textId="77777777">
      <w:pPr>
        <w:spacing w:after="160" w:line="259" w:lineRule="auto"/>
        <w:jc w:val="left"/>
      </w:pPr>
    </w:p>
    <w:p w:rsidR="00A5001B" w:rsidRDefault="00A5001B" w14:paraId="3932688C" w14:textId="77777777">
      <w:pPr>
        <w:spacing w:after="160" w:line="259" w:lineRule="auto"/>
        <w:jc w:val="left"/>
      </w:pPr>
      <w:r>
        <w:br w:type="page"/>
      </w:r>
    </w:p>
    <w:p w:rsidRPr="00A5001B" w:rsidR="00A5001B" w:rsidP="001474CF" w:rsidRDefault="00F22A9C" w14:paraId="0141D99C" w14:textId="7EC501C8">
      <w:pPr>
        <w:widowControl w:val="0"/>
        <w:numPr>
          <w:ilvl w:val="0"/>
          <w:numId w:val="20"/>
        </w:numPr>
        <w:overflowPunct w:val="0"/>
        <w:autoSpaceDE w:val="0"/>
        <w:autoSpaceDN w:val="0"/>
        <w:adjustRightInd w:val="0"/>
        <w:spacing w:line="264" w:lineRule="auto"/>
        <w:ind w:left="567" w:hanging="425"/>
        <w:textAlignment w:val="baseline"/>
        <w:rPr>
          <w:b/>
          <w:bCs/>
          <w:i/>
          <w:iCs/>
          <w:sz w:val="28"/>
          <w:szCs w:val="28"/>
        </w:rPr>
      </w:pPr>
      <w:hyperlink w:history="1" r:id="rId62">
        <w:r w:rsidRPr="008A2F72" w:rsidR="00276FC9">
          <w:rPr>
            <w:rStyle w:val="Hyperlink"/>
            <w:b/>
            <w:i/>
            <w:sz w:val="28"/>
          </w:rPr>
          <w:t>Fomentar sistemas alimentarios sostenibles y resilientes en un contexto de</w:t>
        </w:r>
        <w:r w:rsidRPr="008A2F72" w:rsidR="00871258">
          <w:rPr>
            <w:rStyle w:val="Hyperlink"/>
            <w:b/>
            <w:i/>
            <w:sz w:val="28"/>
          </w:rPr>
          <w:t> </w:t>
        </w:r>
        <w:r w:rsidRPr="008A2F72" w:rsidR="00276FC9">
          <w:rPr>
            <w:rStyle w:val="Hyperlink"/>
            <w:b/>
            <w:i/>
            <w:sz w:val="28"/>
          </w:rPr>
          <w:t>crisis profundas</w:t>
        </w:r>
      </w:hyperlink>
    </w:p>
    <w:p w:rsidRPr="000F216A" w:rsidR="00A5001B" w:rsidP="001474CF" w:rsidRDefault="00A5001B" w14:paraId="5645EA32" w14:textId="77777777">
      <w:pPr>
        <w:spacing w:line="264" w:lineRule="auto"/>
        <w:rPr>
          <w:sz w:val="18"/>
          <w:szCs w:val="18"/>
        </w:rPr>
      </w:pPr>
    </w:p>
    <w:tbl>
      <w:tblPr>
        <w:tblStyle w:val="TableGrid16"/>
        <w:tblW w:w="45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9"/>
        <w:gridCol w:w="7325"/>
      </w:tblGrid>
      <w:tr w:rsidRPr="00A5001B" w:rsidR="00A5001B" w:rsidTr="000F216A" w14:paraId="0016E694" w14:textId="77777777">
        <w:trPr>
          <w:trHeight w:val="543"/>
        </w:trPr>
        <w:tc>
          <w:tcPr>
            <w:tcW w:w="859" w:type="pct"/>
          </w:tcPr>
          <w:p w:rsidRPr="00A5001B" w:rsidR="00A5001B" w:rsidP="001474CF" w:rsidRDefault="00A5001B" w14:paraId="533666AB" w14:textId="77777777">
            <w:pPr>
              <w:tabs>
                <w:tab w:val="center" w:pos="284"/>
              </w:tabs>
              <w:overflowPunct w:val="0"/>
              <w:autoSpaceDE w:val="0"/>
              <w:autoSpaceDN w:val="0"/>
              <w:adjustRightInd w:val="0"/>
              <w:spacing w:line="264" w:lineRule="auto"/>
              <w:ind w:left="266" w:hanging="266"/>
              <w:textAlignment w:val="baseline"/>
              <w:rPr>
                <w:b/>
              </w:rPr>
            </w:pPr>
            <w:r>
              <w:rPr>
                <w:b/>
              </w:rPr>
              <w:t>Ponente</w:t>
            </w:r>
          </w:p>
        </w:tc>
        <w:tc>
          <w:tcPr>
            <w:tcW w:w="4141" w:type="pct"/>
          </w:tcPr>
          <w:p w:rsidRPr="00A5001B" w:rsidR="00A5001B" w:rsidP="001474CF" w:rsidRDefault="00A5001B" w14:paraId="690D7FA4" w14:textId="77777777">
            <w:pPr>
              <w:tabs>
                <w:tab w:val="center" w:pos="284"/>
              </w:tabs>
              <w:overflowPunct w:val="0"/>
              <w:autoSpaceDE w:val="0"/>
              <w:autoSpaceDN w:val="0"/>
              <w:adjustRightInd w:val="0"/>
              <w:spacing w:line="264" w:lineRule="auto"/>
              <w:ind w:left="266" w:hanging="266"/>
              <w:textAlignment w:val="baseline"/>
            </w:pPr>
            <w:r>
              <w:t>Joe HEALY (Grupo de Organizaciones de la Sociedad Civil – IE)</w:t>
            </w:r>
          </w:p>
          <w:p w:rsidRPr="00A5001B" w:rsidR="00A5001B" w:rsidP="001474CF" w:rsidRDefault="00A5001B" w14:paraId="45E6A865" w14:textId="77777777">
            <w:pPr>
              <w:tabs>
                <w:tab w:val="center" w:pos="284"/>
              </w:tabs>
              <w:overflowPunct w:val="0"/>
              <w:autoSpaceDE w:val="0"/>
              <w:autoSpaceDN w:val="0"/>
              <w:adjustRightInd w:val="0"/>
              <w:spacing w:line="264" w:lineRule="auto"/>
              <w:ind w:left="266" w:hanging="266"/>
              <w:textAlignment w:val="baseline"/>
            </w:pPr>
            <w:r>
              <w:t>Piroska KÁLLAY (Grupo de Trabajadores – HU)</w:t>
            </w:r>
          </w:p>
          <w:p w:rsidRPr="00A5001B" w:rsidR="00A5001B" w:rsidP="001474CF" w:rsidRDefault="00A5001B" w14:paraId="1F544CE6" w14:textId="2768F2B5">
            <w:pPr>
              <w:tabs>
                <w:tab w:val="center" w:pos="284"/>
              </w:tabs>
              <w:overflowPunct w:val="0"/>
              <w:autoSpaceDE w:val="0"/>
              <w:autoSpaceDN w:val="0"/>
              <w:adjustRightInd w:val="0"/>
              <w:spacing w:line="264" w:lineRule="auto"/>
              <w:ind w:left="266" w:hanging="266"/>
              <w:textAlignment w:val="baseline"/>
            </w:pPr>
            <w:r>
              <w:t>Arnold PUECH D'ALISSAC (Grupo de Empresarios – FR)</w:t>
            </w:r>
          </w:p>
        </w:tc>
      </w:tr>
      <w:tr w:rsidRPr="00A5001B" w:rsidR="00A5001B" w:rsidTr="000F216A" w14:paraId="7A3551C6" w14:textId="77777777">
        <w:trPr>
          <w:trHeight w:val="275"/>
        </w:trPr>
        <w:tc>
          <w:tcPr>
            <w:tcW w:w="859" w:type="pct"/>
            <w:vMerge w:val="restart"/>
          </w:tcPr>
          <w:p w:rsidRPr="00A5001B" w:rsidR="00A5001B" w:rsidP="001474CF" w:rsidRDefault="00A5001B" w14:paraId="09987923" w14:textId="77777777">
            <w:pPr>
              <w:tabs>
                <w:tab w:val="center" w:pos="284"/>
              </w:tabs>
              <w:overflowPunct w:val="0"/>
              <w:autoSpaceDE w:val="0"/>
              <w:autoSpaceDN w:val="0"/>
              <w:adjustRightInd w:val="0"/>
              <w:spacing w:line="264" w:lineRule="auto"/>
              <w:ind w:left="266" w:hanging="266"/>
              <w:textAlignment w:val="baseline"/>
              <w:rPr>
                <w:b/>
              </w:rPr>
            </w:pPr>
            <w:r>
              <w:rPr>
                <w:b/>
                <w:bCs/>
              </w:rPr>
              <w:t>Referencias</w:t>
            </w:r>
          </w:p>
        </w:tc>
        <w:tc>
          <w:tcPr>
            <w:tcW w:w="4141" w:type="pct"/>
          </w:tcPr>
          <w:p w:rsidR="00DD46E6" w:rsidP="001474CF" w:rsidRDefault="00DD46E6" w14:paraId="12AE83AC" w14:textId="3AD7F101">
            <w:pPr>
              <w:tabs>
                <w:tab w:val="center" w:pos="284"/>
              </w:tabs>
              <w:overflowPunct w:val="0"/>
              <w:autoSpaceDE w:val="0"/>
              <w:autoSpaceDN w:val="0"/>
              <w:adjustRightInd w:val="0"/>
              <w:spacing w:line="264" w:lineRule="auto"/>
              <w:ind w:left="266" w:right="-112" w:hanging="266"/>
              <w:textAlignment w:val="baseline"/>
            </w:pPr>
            <w:r>
              <w:t>Dictamen exploratorio solicitado por la Presidencia húngara del Consejo de la UE</w:t>
            </w:r>
          </w:p>
          <w:p w:rsidRPr="00A5001B" w:rsidR="00A5001B" w:rsidP="001474CF" w:rsidRDefault="00A5001B" w14:paraId="396BDE20" w14:textId="6A7B2E5D">
            <w:pPr>
              <w:tabs>
                <w:tab w:val="center" w:pos="284"/>
              </w:tabs>
              <w:overflowPunct w:val="0"/>
              <w:autoSpaceDE w:val="0"/>
              <w:autoSpaceDN w:val="0"/>
              <w:adjustRightInd w:val="0"/>
              <w:spacing w:line="264" w:lineRule="auto"/>
              <w:ind w:left="266" w:hanging="266"/>
              <w:textAlignment w:val="baseline"/>
            </w:pPr>
            <w:r>
              <w:t>EESC-2024-02010-00-00-AC</w:t>
            </w:r>
          </w:p>
        </w:tc>
      </w:tr>
      <w:tr w:rsidRPr="00A5001B" w:rsidR="00A5001B" w:rsidTr="000F216A" w14:paraId="3D905768" w14:textId="77777777">
        <w:trPr>
          <w:trHeight w:val="267"/>
        </w:trPr>
        <w:tc>
          <w:tcPr>
            <w:tcW w:w="859" w:type="pct"/>
            <w:vMerge/>
          </w:tcPr>
          <w:p w:rsidRPr="00A5001B" w:rsidR="00A5001B" w:rsidP="001474CF" w:rsidRDefault="00A5001B" w14:paraId="6A8F12FC" w14:textId="77777777">
            <w:pPr>
              <w:tabs>
                <w:tab w:val="center" w:pos="284"/>
              </w:tabs>
              <w:overflowPunct w:val="0"/>
              <w:autoSpaceDE w:val="0"/>
              <w:autoSpaceDN w:val="0"/>
              <w:adjustRightInd w:val="0"/>
              <w:spacing w:line="264" w:lineRule="auto"/>
              <w:ind w:left="266" w:hanging="266"/>
              <w:textAlignment w:val="baseline"/>
              <w:rPr>
                <w:b/>
              </w:rPr>
            </w:pPr>
          </w:p>
        </w:tc>
        <w:tc>
          <w:tcPr>
            <w:tcW w:w="4141" w:type="pct"/>
          </w:tcPr>
          <w:p w:rsidRPr="00A5001B" w:rsidR="00A5001B" w:rsidP="001474CF" w:rsidRDefault="00A5001B" w14:paraId="0DD849B5" w14:textId="77777777">
            <w:pPr>
              <w:tabs>
                <w:tab w:val="center" w:pos="284"/>
              </w:tabs>
              <w:overflowPunct w:val="0"/>
              <w:autoSpaceDE w:val="0"/>
              <w:autoSpaceDN w:val="0"/>
              <w:adjustRightInd w:val="0"/>
              <w:spacing w:line="240" w:lineRule="auto"/>
              <w:ind w:left="266" w:hanging="266"/>
              <w:textAlignment w:val="baseline"/>
            </w:pPr>
          </w:p>
        </w:tc>
      </w:tr>
    </w:tbl>
    <w:p w:rsidRPr="00A5001B" w:rsidR="00A5001B" w:rsidP="001474CF" w:rsidRDefault="00A5001B" w14:paraId="65760287" w14:textId="77777777">
      <w:pPr>
        <w:keepNext/>
        <w:keepLines/>
        <w:overflowPunct w:val="0"/>
        <w:autoSpaceDE w:val="0"/>
        <w:autoSpaceDN w:val="0"/>
        <w:adjustRightInd w:val="0"/>
        <w:spacing w:line="264" w:lineRule="auto"/>
        <w:ind w:left="266" w:hanging="266"/>
        <w:textAlignment w:val="baseline"/>
        <w:rPr>
          <w:b/>
        </w:rPr>
      </w:pPr>
      <w:r>
        <w:rPr>
          <w:b/>
        </w:rPr>
        <w:t>Puntos clave</w:t>
      </w:r>
    </w:p>
    <w:p w:rsidRPr="000F216A" w:rsidR="00A5001B" w:rsidP="001474CF" w:rsidRDefault="00A5001B" w14:paraId="7B4BD566" w14:textId="77777777">
      <w:pPr>
        <w:keepNext/>
        <w:keepLines/>
        <w:tabs>
          <w:tab w:val="center" w:pos="284"/>
        </w:tabs>
        <w:overflowPunct w:val="0"/>
        <w:autoSpaceDE w:val="0"/>
        <w:autoSpaceDN w:val="0"/>
        <w:adjustRightInd w:val="0"/>
        <w:spacing w:line="264" w:lineRule="auto"/>
        <w:ind w:left="266" w:hanging="266"/>
        <w:textAlignment w:val="baseline"/>
        <w:rPr>
          <w:b/>
          <w:sz w:val="14"/>
          <w:szCs w:val="14"/>
          <w:lang w:val="en-GB"/>
        </w:rPr>
      </w:pPr>
    </w:p>
    <w:p w:rsidRPr="00A5001B" w:rsidR="00A5001B" w:rsidP="001474CF" w:rsidRDefault="00A5001B" w14:paraId="27469A86" w14:textId="77777777">
      <w:pPr>
        <w:overflowPunct w:val="0"/>
        <w:autoSpaceDE w:val="0"/>
        <w:autoSpaceDN w:val="0"/>
        <w:adjustRightInd w:val="0"/>
        <w:spacing w:line="264" w:lineRule="auto"/>
        <w:textAlignment w:val="baseline"/>
        <w:rPr>
          <w:bCs/>
          <w:iCs/>
        </w:rPr>
      </w:pPr>
      <w:r>
        <w:t>El CESE:</w:t>
      </w:r>
    </w:p>
    <w:p w:rsidRPr="000F216A" w:rsidR="00A5001B" w:rsidP="001474CF" w:rsidRDefault="00A5001B" w14:paraId="5AA2D2E1" w14:textId="77777777">
      <w:pPr>
        <w:overflowPunct w:val="0"/>
        <w:autoSpaceDE w:val="0"/>
        <w:autoSpaceDN w:val="0"/>
        <w:adjustRightInd w:val="0"/>
        <w:spacing w:line="120" w:lineRule="auto"/>
        <w:textAlignment w:val="baseline"/>
        <w:rPr>
          <w:bCs/>
          <w:iCs/>
          <w:sz w:val="18"/>
          <w:szCs w:val="18"/>
          <w:lang w:val="en-GB"/>
        </w:rPr>
      </w:pPr>
    </w:p>
    <w:p w:rsidRPr="00A5001B" w:rsidR="00A5001B" w:rsidP="001474CF" w:rsidRDefault="00A5001B" w14:paraId="3380F787" w14:textId="77777777">
      <w:pPr>
        <w:numPr>
          <w:ilvl w:val="0"/>
          <w:numId w:val="54"/>
        </w:numPr>
        <w:overflowPunct w:val="0"/>
        <w:autoSpaceDE w:val="0"/>
        <w:autoSpaceDN w:val="0"/>
        <w:adjustRightInd w:val="0"/>
        <w:spacing w:line="264" w:lineRule="auto"/>
        <w:ind w:left="284" w:hanging="284"/>
        <w:textAlignment w:val="baseline"/>
        <w:rPr>
          <w:szCs w:val="20"/>
        </w:rPr>
      </w:pPr>
      <w:r>
        <w:t>considera que la política agrícola, pesquera y alimentaria de la UE debe estar mejor equipada para adaptarse a los continuos retos a los que se enfrenta el sector. Además, debe ser competitiva, resistente a las crisis, sostenible desde el punto de vista económico, medioambiental y social, favorable a los productores, basada en el conocimiento y capaz de suministrar alimentos de alta calidad a precios competitivos, además de proporcionar a los productores unos ingresos elevados y sostenibles;</w:t>
      </w:r>
    </w:p>
    <w:p w:rsidRPr="00A5001B" w:rsidR="00A5001B" w:rsidP="001474CF" w:rsidRDefault="00A5001B" w14:paraId="75A4BE32" w14:textId="77777777">
      <w:pPr>
        <w:numPr>
          <w:ilvl w:val="0"/>
          <w:numId w:val="54"/>
        </w:numPr>
        <w:overflowPunct w:val="0"/>
        <w:autoSpaceDE w:val="0"/>
        <w:autoSpaceDN w:val="0"/>
        <w:adjustRightInd w:val="0"/>
        <w:spacing w:line="264" w:lineRule="auto"/>
        <w:ind w:left="284" w:hanging="284"/>
        <w:textAlignment w:val="baseline"/>
        <w:rPr>
          <w:szCs w:val="20"/>
        </w:rPr>
      </w:pPr>
      <w:r>
        <w:t xml:space="preserve">presenta una serie de propuestas concretas en torno a los instrumentos económicos, la sostenibilidad medioambiental y el apoyo social, entre ellas las siguientes: </w:t>
      </w:r>
    </w:p>
    <w:p w:rsidRPr="003D6908" w:rsidR="00A5001B" w:rsidP="001474CF" w:rsidRDefault="00A5001B" w14:paraId="4C21814B"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 xml:space="preserve">aumentar el presupuesto y aportar una financiación adecuada para satisfacer las necesidades y ambiciones políticas en los ámbitos de la agricultura, la pesca y la alimentación de la UE; </w:t>
      </w:r>
    </w:p>
    <w:p w:rsidRPr="003D6908" w:rsidR="00A5001B" w:rsidP="001474CF" w:rsidRDefault="00A5001B" w14:paraId="3C6A0146"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garantizar que los productores primarios reciban unos ingresos justos y económicamente sostenibles, por ejemplo, mediante la introducción de garantías de precios y la regulación del equilibrio de poder en la cadena alimentaria, así como la elaboración de herramientas y mecanismos para cambiar la forma de fijar los precios a la producción;</w:t>
      </w:r>
    </w:p>
    <w:p w:rsidRPr="003D6908" w:rsidR="00A5001B" w:rsidP="001474CF" w:rsidRDefault="00A5001B" w14:paraId="49BFAAE7"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 xml:space="preserve">estudiar y diseñar un sistema a escala de la UE de seguros públicos contra las catástrofes naturales, con un alto grado de inversión pública; </w:t>
      </w:r>
    </w:p>
    <w:p w:rsidRPr="003D6908" w:rsidR="00A5001B" w:rsidP="001474CF" w:rsidRDefault="00A5001B" w14:paraId="590C3CE7"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simplificar y eliminar la burocracia en toda la cadena alimentaria;</w:t>
      </w:r>
    </w:p>
    <w:p w:rsidRPr="003D6908" w:rsidR="00A5001B" w:rsidP="001474CF" w:rsidRDefault="00A5001B" w14:paraId="458953B7"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 xml:space="preserve">impulsar la participación de la juventud y las mujeres mediante el fomento del relevo generacional, la enseñanza y la formación; apoyar la agricultura respaldada por la comunidad e intensificar el apoyo a las cooperativas y modelos asociativos similares; </w:t>
      </w:r>
    </w:p>
    <w:p w:rsidRPr="003D6908" w:rsidR="00A5001B" w:rsidP="001474CF" w:rsidRDefault="00A5001B" w14:paraId="405D7F9A"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 xml:space="preserve">regenerar y restaurar la salud del suelo y aumentar la eficiencia hídrica mediante el uso de tecnologías para reducir el consumo de agua, como el riego de precisión; </w:t>
      </w:r>
    </w:p>
    <w:p w:rsidRPr="003D6908" w:rsidR="00A5001B" w:rsidP="001474CF" w:rsidRDefault="00A5001B" w14:paraId="5DF514E7"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 xml:space="preserve">recompensar la captura de carbono y evitar fugas de carbono; </w:t>
      </w:r>
    </w:p>
    <w:p w:rsidRPr="003D6908" w:rsidR="00A5001B" w:rsidP="001474CF" w:rsidRDefault="00A5001B" w14:paraId="1E2FD995"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garantizar el cumplimiento efectivo de las normas relativas a las prácticas comerciales desleales y la normalización de su aplicación a escala de la UE, y prohibir la venta por debajo del coste;</w:t>
      </w:r>
    </w:p>
    <w:p w:rsidRPr="003D6908" w:rsidR="00A5001B" w:rsidP="001474CF" w:rsidRDefault="00A5001B" w14:paraId="2CBADFAE"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 xml:space="preserve">reforzar la seguridad alimentaria y la autonomía estratégica mediante la reducción de la dependencia de las importaciones; </w:t>
      </w:r>
    </w:p>
    <w:p w:rsidRPr="003D6908" w:rsidR="00A5001B" w:rsidP="001474CF" w:rsidRDefault="00A5001B" w14:paraId="1823D2AE" w14:textId="77777777">
      <w:pPr>
        <w:pStyle w:val="ListParagraph"/>
        <w:numPr>
          <w:ilvl w:val="0"/>
          <w:numId w:val="55"/>
        </w:numPr>
        <w:overflowPunct w:val="0"/>
        <w:autoSpaceDE w:val="0"/>
        <w:autoSpaceDN w:val="0"/>
        <w:adjustRightInd w:val="0"/>
        <w:spacing w:line="264" w:lineRule="auto"/>
        <w:ind w:left="567" w:hanging="283"/>
        <w:textAlignment w:val="baseline"/>
        <w:rPr>
          <w:szCs w:val="20"/>
        </w:rPr>
      </w:pPr>
      <w:r>
        <w:t>regular los flujos comerciales para evitar perturbaciones innecesarias del mercado y crear un centro digitalizado para recopilar datos sobre los precios y los costes con el fin de aportar transparencia a la cadena alimentaria;</w:t>
      </w:r>
    </w:p>
    <w:p w:rsidRPr="003D6908" w:rsidR="00A5001B" w:rsidP="001474CF" w:rsidRDefault="00A5001B" w14:paraId="31562717" w14:textId="77777777">
      <w:pPr>
        <w:pStyle w:val="ListParagraph"/>
        <w:keepNext/>
        <w:keepLines/>
        <w:numPr>
          <w:ilvl w:val="0"/>
          <w:numId w:val="55"/>
        </w:numPr>
        <w:overflowPunct w:val="0"/>
        <w:autoSpaceDE w:val="0"/>
        <w:autoSpaceDN w:val="0"/>
        <w:adjustRightInd w:val="0"/>
        <w:spacing w:line="264" w:lineRule="auto"/>
        <w:ind w:left="567" w:hanging="283"/>
        <w:textAlignment w:val="baseline"/>
        <w:rPr>
          <w:szCs w:val="20"/>
        </w:rPr>
      </w:pPr>
      <w:r>
        <w:t>introducir un etiquetado de origen para las materias primas y los productos transformados, como opción para promover relaciones estables entre los productores y la industria y como forma de informar a los consumidores;</w:t>
      </w:r>
    </w:p>
    <w:p w:rsidRPr="003D6908" w:rsidR="00A5001B" w:rsidP="001474CF" w:rsidRDefault="00A5001B" w14:paraId="51267AF1" w14:textId="77777777">
      <w:pPr>
        <w:pStyle w:val="ListParagraph"/>
        <w:keepNext/>
        <w:keepLines/>
        <w:numPr>
          <w:ilvl w:val="0"/>
          <w:numId w:val="55"/>
        </w:numPr>
        <w:overflowPunct w:val="0"/>
        <w:autoSpaceDE w:val="0"/>
        <w:autoSpaceDN w:val="0"/>
        <w:adjustRightInd w:val="0"/>
        <w:spacing w:line="264" w:lineRule="auto"/>
        <w:ind w:left="567" w:hanging="283"/>
        <w:textAlignment w:val="baseline"/>
        <w:rPr>
          <w:szCs w:val="20"/>
        </w:rPr>
      </w:pPr>
      <w:r>
        <w:t>instaurar un Consejo Europeo de Política Alimentaria (CEPA) como plataforma para reforzar el diálogo sobre cuestiones relacionadas con la alimentación, en términos similares a los propuestos por el diálogo estratégico.</w:t>
      </w:r>
    </w:p>
    <w:p w:rsidRPr="000F216A" w:rsidR="00A5001B" w:rsidP="001474CF" w:rsidRDefault="00A5001B" w14:paraId="6516BBAA" w14:textId="77777777">
      <w:pPr>
        <w:keepNext/>
        <w:keepLines/>
        <w:widowControl w:val="0"/>
        <w:overflowPunct w:val="0"/>
        <w:autoSpaceDE w:val="0"/>
        <w:autoSpaceDN w:val="0"/>
        <w:adjustRightInd w:val="0"/>
        <w:spacing w:line="264" w:lineRule="auto"/>
        <w:ind w:left="284" w:hanging="284"/>
        <w:textAlignment w:val="baseline"/>
        <w:rPr>
          <w:sz w:val="12"/>
          <w:szCs w:val="12"/>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1474CF" w:rsidR="00A5001B" w:rsidTr="00F324F7" w14:paraId="1776179E" w14:textId="77777777">
        <w:tc>
          <w:tcPr>
            <w:tcW w:w="1556" w:type="pct"/>
          </w:tcPr>
          <w:p w:rsidRPr="001474CF"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sidRPr="001474CF">
              <w:rPr>
                <w:b/>
                <w:i/>
                <w:sz w:val="22"/>
                <w:szCs w:val="22"/>
              </w:rPr>
              <w:t>Contacto</w:t>
            </w:r>
          </w:p>
        </w:tc>
        <w:tc>
          <w:tcPr>
            <w:tcW w:w="3444" w:type="pct"/>
          </w:tcPr>
          <w:p w:rsidRPr="001474CF" w:rsidR="00A5001B" w:rsidP="00A5001B" w:rsidRDefault="00A5001B" w14:paraId="555ACCF8" w14:textId="5CF92EDB">
            <w:pPr>
              <w:overflowPunct w:val="0"/>
              <w:autoSpaceDE w:val="0"/>
              <w:autoSpaceDN w:val="0"/>
              <w:adjustRightInd w:val="0"/>
              <w:spacing w:line="240" w:lineRule="auto"/>
              <w:textAlignment w:val="baseline"/>
              <w:rPr>
                <w:i/>
                <w:sz w:val="22"/>
                <w:szCs w:val="22"/>
              </w:rPr>
            </w:pPr>
            <w:r w:rsidRPr="001474CF">
              <w:rPr>
                <w:i/>
                <w:sz w:val="22"/>
                <w:szCs w:val="22"/>
              </w:rPr>
              <w:t>Myrto Kolyva</w:t>
            </w:r>
          </w:p>
        </w:tc>
      </w:tr>
      <w:tr w:rsidRPr="001474CF" w:rsidR="00A5001B" w:rsidTr="00F324F7" w14:paraId="2C54CCC3" w14:textId="77777777">
        <w:tc>
          <w:tcPr>
            <w:tcW w:w="1556" w:type="pct"/>
          </w:tcPr>
          <w:p w:rsidRPr="001474CF"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sidRPr="001474CF">
              <w:rPr>
                <w:i/>
                <w:sz w:val="22"/>
                <w:szCs w:val="22"/>
              </w:rPr>
              <w:t>Teléfono:</w:t>
            </w:r>
          </w:p>
        </w:tc>
        <w:tc>
          <w:tcPr>
            <w:tcW w:w="3444" w:type="pct"/>
          </w:tcPr>
          <w:p w:rsidRPr="001474CF"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sidRPr="001474CF">
              <w:rPr>
                <w:i/>
                <w:sz w:val="22"/>
                <w:szCs w:val="22"/>
              </w:rPr>
              <w:t>+32 25468718</w:t>
            </w:r>
          </w:p>
        </w:tc>
      </w:tr>
      <w:tr w:rsidRPr="001474CF" w:rsidR="00A5001B" w:rsidTr="00F324F7" w14:paraId="1D7A0571" w14:textId="77777777">
        <w:tc>
          <w:tcPr>
            <w:tcW w:w="1556" w:type="pct"/>
          </w:tcPr>
          <w:p w:rsidRPr="001474CF" w:rsidR="00A5001B" w:rsidP="00A5001B" w:rsidRDefault="003D6908" w14:paraId="4C4027DC" w14:textId="0033C7E0">
            <w:pPr>
              <w:overflowPunct w:val="0"/>
              <w:autoSpaceDE w:val="0"/>
              <w:autoSpaceDN w:val="0"/>
              <w:adjustRightInd w:val="0"/>
              <w:spacing w:line="240" w:lineRule="auto"/>
              <w:textAlignment w:val="baseline"/>
              <w:rPr>
                <w:i/>
                <w:sz w:val="22"/>
                <w:szCs w:val="22"/>
              </w:rPr>
            </w:pPr>
            <w:r w:rsidRPr="001474CF">
              <w:rPr>
                <w:i/>
                <w:sz w:val="22"/>
                <w:szCs w:val="22"/>
              </w:rPr>
              <w:t>Correo electrónico:</w:t>
            </w:r>
          </w:p>
        </w:tc>
        <w:tc>
          <w:tcPr>
            <w:tcW w:w="3444" w:type="pct"/>
          </w:tcPr>
          <w:p w:rsidRPr="001474CF" w:rsidR="00A5001B" w:rsidP="00A5001B" w:rsidRDefault="00F22A9C" w14:paraId="544606A7" w14:textId="3FD06458">
            <w:pPr>
              <w:overflowPunct w:val="0"/>
              <w:autoSpaceDE w:val="0"/>
              <w:autoSpaceDN w:val="0"/>
              <w:adjustRightInd w:val="0"/>
              <w:spacing w:line="240" w:lineRule="auto"/>
              <w:textAlignment w:val="baseline"/>
              <w:rPr>
                <w:i/>
                <w:sz w:val="22"/>
                <w:szCs w:val="22"/>
              </w:rPr>
            </w:pPr>
            <w:hyperlink w:history="1" r:id="rId63">
              <w:r w:rsidRPr="001474CF" w:rsidR="007E03C9">
                <w:rPr>
                  <w:color w:val="0000FF"/>
                  <w:sz w:val="22"/>
                  <w:szCs w:val="22"/>
                  <w:u w:val="single"/>
                </w:rPr>
                <w:t>Myrto.Kolyva@eesc.europa.eu</w:t>
              </w:r>
            </w:hyperlink>
            <w:r w:rsidRPr="001474CF" w:rsidR="007E03C9">
              <w:rPr>
                <w:sz w:val="22"/>
                <w:szCs w:val="22"/>
              </w:rPr>
              <w:t xml:space="preserve"> </w:t>
            </w:r>
          </w:p>
        </w:tc>
      </w:tr>
    </w:tbl>
    <w:p w:rsidR="00347517" w:rsidP="000F216A" w:rsidRDefault="00F22A9C" w14:paraId="15E442EF" w14:textId="53886FC8">
      <w:pPr>
        <w:widowControl w:val="0"/>
        <w:numPr>
          <w:ilvl w:val="0"/>
          <w:numId w:val="20"/>
        </w:numPr>
        <w:overflowPunct w:val="0"/>
        <w:autoSpaceDE w:val="0"/>
        <w:autoSpaceDN w:val="0"/>
        <w:adjustRightInd w:val="0"/>
        <w:ind w:left="567" w:hanging="425"/>
        <w:textAlignment w:val="baseline"/>
      </w:pPr>
      <w:hyperlink w:history="1" r:id="rId64">
        <w:r w:rsidR="00594F3A">
          <w:rPr>
            <w:rStyle w:val="Hyperlink"/>
            <w:b/>
            <w:i/>
            <w:sz w:val="28"/>
          </w:rPr>
          <w:t>Armonizar la economía circular y la bioeconomía a escala nacional y de la</w:t>
        </w:r>
        <w:r w:rsidR="001474CF">
          <w:rPr>
            <w:rStyle w:val="Hyperlink"/>
            <w:b/>
            <w:i/>
            <w:sz w:val="28"/>
          </w:rPr>
          <w:t> </w:t>
        </w:r>
        <w:r w:rsidR="00594F3A">
          <w:rPr>
            <w:rStyle w:val="Hyperlink"/>
            <w:b/>
            <w:i/>
            <w:sz w:val="28"/>
          </w:rPr>
          <w:t>UE</w:t>
        </w:r>
      </w:hyperlink>
    </w:p>
    <w:p w:rsidRPr="00A5001B" w:rsidR="00A5001B" w:rsidP="000F216A"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5001B" w:rsidR="00A5001B" w:rsidTr="00F324F7" w14:paraId="39323E95" w14:textId="77777777">
        <w:tc>
          <w:tcPr>
            <w:tcW w:w="1701" w:type="dxa"/>
          </w:tcPr>
          <w:p w:rsidRPr="00A5001B" w:rsidR="00A5001B" w:rsidP="00A5001B" w:rsidRDefault="00A5001B" w14:paraId="5B9986A2" w14:textId="77777777">
            <w:pPr>
              <w:tabs>
                <w:tab w:val="center" w:pos="284"/>
              </w:tabs>
              <w:overflowPunct w:val="0"/>
              <w:autoSpaceDE w:val="0"/>
              <w:autoSpaceDN w:val="0"/>
              <w:adjustRightInd w:val="0"/>
              <w:ind w:left="266" w:hanging="266"/>
              <w:textAlignment w:val="baseline"/>
              <w:rPr>
                <w:b/>
              </w:rPr>
            </w:pPr>
            <w:r>
              <w:rPr>
                <w:b/>
              </w:rPr>
              <w:t>Ponente</w:t>
            </w:r>
          </w:p>
        </w:tc>
        <w:tc>
          <w:tcPr>
            <w:tcW w:w="6096" w:type="dxa"/>
          </w:tcPr>
          <w:p w:rsidRPr="00A5001B" w:rsidR="00A5001B" w:rsidP="00A5001B" w:rsidRDefault="00A5001B" w14:paraId="2BCED79C" w14:textId="77777777">
            <w:pPr>
              <w:tabs>
                <w:tab w:val="center" w:pos="284"/>
              </w:tabs>
              <w:overflowPunct w:val="0"/>
              <w:autoSpaceDE w:val="0"/>
              <w:autoSpaceDN w:val="0"/>
              <w:adjustRightInd w:val="0"/>
              <w:ind w:left="266" w:hanging="266"/>
              <w:textAlignment w:val="baseline"/>
              <w:rPr>
                <w:b/>
                <w:bCs/>
              </w:rPr>
            </w:pPr>
            <w:r>
              <w:rPr>
                <w:b/>
              </w:rPr>
              <w:t>Cillian LOHAN</w:t>
            </w:r>
            <w:r>
              <w:t xml:space="preserve"> (Grupo de Organizaciones de la Sociedad Civil – IE)</w:t>
            </w:r>
          </w:p>
        </w:tc>
      </w:tr>
      <w:tr w:rsidRPr="00A5001B" w:rsidR="00A5001B" w:rsidTr="00F324F7" w14:paraId="730DD52F" w14:textId="77777777">
        <w:tc>
          <w:tcPr>
            <w:tcW w:w="7797" w:type="dxa"/>
            <w:gridSpan w:val="2"/>
          </w:tcPr>
          <w:p w:rsidRPr="00A5001B"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5001B" w:rsidR="00A5001B" w:rsidTr="00F324F7" w14:paraId="1F9519BB" w14:textId="77777777">
        <w:tc>
          <w:tcPr>
            <w:tcW w:w="1701" w:type="dxa"/>
          </w:tcPr>
          <w:p w:rsidRPr="00A5001B" w:rsidR="00A5001B" w:rsidP="00A5001B" w:rsidRDefault="00A34FE2" w14:paraId="74B8611C" w14:textId="1A6A0601">
            <w:pPr>
              <w:tabs>
                <w:tab w:val="center" w:pos="284"/>
              </w:tabs>
              <w:overflowPunct w:val="0"/>
              <w:autoSpaceDE w:val="0"/>
              <w:autoSpaceDN w:val="0"/>
              <w:adjustRightInd w:val="0"/>
              <w:ind w:left="266" w:hanging="266"/>
              <w:textAlignment w:val="baseline"/>
              <w:rPr>
                <w:b/>
              </w:rPr>
            </w:pPr>
            <w:r>
              <w:rPr>
                <w:b/>
              </w:rPr>
              <w:t>Referencias</w:t>
            </w:r>
          </w:p>
        </w:tc>
        <w:tc>
          <w:tcPr>
            <w:tcW w:w="6096" w:type="dxa"/>
          </w:tcPr>
          <w:p w:rsidR="00145410" w:rsidP="00A5001B" w:rsidRDefault="00145410" w14:paraId="29A3A89E" w14:textId="2BB0FF87">
            <w:pPr>
              <w:tabs>
                <w:tab w:val="center" w:pos="284"/>
              </w:tabs>
              <w:overflowPunct w:val="0"/>
              <w:autoSpaceDE w:val="0"/>
              <w:autoSpaceDN w:val="0"/>
              <w:adjustRightInd w:val="0"/>
              <w:ind w:left="266" w:hanging="266"/>
              <w:textAlignment w:val="baseline"/>
            </w:pPr>
            <w:r>
              <w:t>Dictamen de iniciativa</w:t>
            </w:r>
          </w:p>
          <w:p w:rsidRPr="00A5001B" w:rsidR="00A5001B" w:rsidP="00A5001B" w:rsidRDefault="00A5001B" w14:paraId="607264E2" w14:textId="02DC005A">
            <w:pPr>
              <w:tabs>
                <w:tab w:val="center" w:pos="284"/>
              </w:tabs>
              <w:overflowPunct w:val="0"/>
              <w:autoSpaceDE w:val="0"/>
              <w:autoSpaceDN w:val="0"/>
              <w:adjustRightInd w:val="0"/>
              <w:ind w:left="266" w:hanging="266"/>
              <w:textAlignment w:val="baseline"/>
            </w:pPr>
            <w:r>
              <w:t>EESC-2024-01377-00-00-AC</w:t>
            </w:r>
          </w:p>
        </w:tc>
      </w:tr>
    </w:tbl>
    <w:p w:rsidRPr="00A5001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A5001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A5001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A5001B" w:rsidR="00A5001B" w:rsidP="00A5001B" w:rsidRDefault="00A5001B" w14:paraId="330BD159" w14:textId="77777777">
      <w:pPr>
        <w:overflowPunct w:val="0"/>
        <w:autoSpaceDE w:val="0"/>
        <w:autoSpaceDN w:val="0"/>
        <w:adjustRightInd w:val="0"/>
        <w:spacing w:line="240" w:lineRule="auto"/>
        <w:textAlignment w:val="baseline"/>
        <w:rPr>
          <w:bCs/>
          <w:iCs/>
        </w:rPr>
      </w:pPr>
      <w:r>
        <w:t>El CESE:</w:t>
      </w:r>
    </w:p>
    <w:p w:rsidRPr="00A5001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901CA1" w:rsidR="00A5001B" w:rsidP="000F216A" w:rsidRDefault="00A5001B" w14:paraId="12341F34"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destaca que debe garantizarse la </w:t>
      </w:r>
      <w:r>
        <w:rPr>
          <w:b/>
        </w:rPr>
        <w:t>coherencia</w:t>
      </w:r>
      <w:r>
        <w:t xml:space="preserve"> entre el Pacto Verde Europeo, los compromisos de desarrollo sostenible, la economía circular y objetivos más amplios en materia de clima y biodiversidad. Una </w:t>
      </w:r>
      <w:r>
        <w:rPr>
          <w:b/>
        </w:rPr>
        <w:t>bioeconomía sólida complementará los avances realizados en materia de economía circular y permitirá un crecimiento competitivo dentro de los límites del planeta</w:t>
      </w:r>
      <w:r>
        <w:t xml:space="preserve"> y que tenga en cuenta la sostenibilidad;</w:t>
      </w:r>
    </w:p>
    <w:p w:rsidRPr="00CA050B" w:rsidR="00A5001B" w:rsidP="000F216A" w:rsidRDefault="00A5001B" w14:paraId="6568C9CA" w14:textId="77777777">
      <w:pPr>
        <w:pStyle w:val="ListParagraph"/>
        <w:numPr>
          <w:ilvl w:val="0"/>
          <w:numId w:val="56"/>
        </w:numPr>
        <w:overflowPunct w:val="0"/>
        <w:autoSpaceDE w:val="0"/>
        <w:autoSpaceDN w:val="0"/>
        <w:adjustRightInd w:val="0"/>
        <w:ind w:left="284" w:hanging="284"/>
        <w:textAlignment w:val="baseline"/>
        <w:outlineLvl w:val="1"/>
        <w:rPr>
          <w:szCs w:val="20"/>
        </w:rPr>
      </w:pPr>
      <w:r>
        <w:t xml:space="preserve">considera que debe aprovecharse la </w:t>
      </w:r>
      <w:r>
        <w:rPr>
          <w:b/>
        </w:rPr>
        <w:t>oportunidad de que la UE sea líder mundial</w:t>
      </w:r>
      <w:r>
        <w:t xml:space="preserve"> con una Estrategia de Bioeconomía muy ambiciosa y coherente. Deben maximizarse los puestos de trabajo sostenibles bien remunerados, también en las regiones rurales y remotas. La </w:t>
      </w:r>
      <w:r>
        <w:rPr>
          <w:b/>
        </w:rPr>
        <w:t>tecnología existente</w:t>
      </w:r>
      <w:r>
        <w:t xml:space="preserve"> puede utilizarse para introducir en el mercado productos y servicios urgentemente necesarios que </w:t>
      </w:r>
      <w:r>
        <w:rPr>
          <w:b/>
        </w:rPr>
        <w:t>contribuyan a la innovación</w:t>
      </w:r>
      <w:r>
        <w:t xml:space="preserve">, con el respaldo de un </w:t>
      </w:r>
      <w:r>
        <w:rPr>
          <w:b/>
        </w:rPr>
        <w:t>paquete legislativo sólido e interconectado en materia de circularidad</w:t>
      </w:r>
      <w:r>
        <w:t>;</w:t>
      </w:r>
    </w:p>
    <w:p w:rsidRPr="00A5001B" w:rsidR="00A5001B" w:rsidP="000F216A" w:rsidRDefault="00A5001B" w14:paraId="561DCCAF" w14:textId="77777777">
      <w:pPr>
        <w:numPr>
          <w:ilvl w:val="0"/>
          <w:numId w:val="56"/>
        </w:numPr>
        <w:overflowPunct w:val="0"/>
        <w:autoSpaceDE w:val="0"/>
        <w:autoSpaceDN w:val="0"/>
        <w:adjustRightInd w:val="0"/>
        <w:ind w:left="284" w:hanging="284"/>
        <w:textAlignment w:val="baseline"/>
        <w:outlineLvl w:val="1"/>
        <w:rPr>
          <w:szCs w:val="20"/>
        </w:rPr>
      </w:pPr>
      <w:r>
        <w:rPr>
          <w:b/>
        </w:rPr>
        <w:t>opina que la UE necesita una definición clara de bioeconomía</w:t>
      </w:r>
      <w:r>
        <w:t xml:space="preserve"> que ponga de manifiesto de forma explícita su relación con la economía circular y su potencial como herramienta para generar un desarrollo sostenible.</w:t>
      </w:r>
    </w:p>
    <w:p w:rsidRPr="00A5001B" w:rsidR="00A5001B" w:rsidP="00A5001B" w:rsidRDefault="00A5001B" w14:paraId="50423C74" w14:textId="77777777">
      <w:pPr>
        <w:overflowPunct w:val="0"/>
        <w:autoSpaceDE w:val="0"/>
        <w:autoSpaceDN w:val="0"/>
        <w:adjustRightInd w:val="0"/>
        <w:spacing w:line="240" w:lineRule="auto"/>
        <w:textAlignment w:val="baseline"/>
        <w:rPr>
          <w:lang w:val="en-GB"/>
        </w:rPr>
      </w:pPr>
    </w:p>
    <w:p w:rsidRPr="00A5001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211"/>
      </w:tblGrid>
      <w:tr w:rsidRPr="00A34FE2" w:rsidR="00A5001B" w:rsidTr="00A34FE2" w14:paraId="33441159" w14:textId="77777777">
        <w:tc>
          <w:tcPr>
            <w:tcW w:w="2093" w:type="dxa"/>
          </w:tcPr>
          <w:p w:rsidRPr="00A34FE2" w:rsidR="00A5001B" w:rsidP="000F216A" w:rsidRDefault="00A5001B" w14:paraId="1ECA2A8A" w14:textId="77777777">
            <w:pPr>
              <w:overflowPunct w:val="0"/>
              <w:autoSpaceDE w:val="0"/>
              <w:autoSpaceDN w:val="0"/>
              <w:adjustRightInd w:val="0"/>
              <w:spacing w:line="240" w:lineRule="auto"/>
              <w:ind w:left="709" w:hanging="677"/>
              <w:textAlignment w:val="baseline"/>
              <w:rPr>
                <w:i/>
                <w:sz w:val="22"/>
                <w:szCs w:val="22"/>
              </w:rPr>
            </w:pPr>
            <w:r w:rsidRPr="00A34FE2">
              <w:rPr>
                <w:b/>
                <w:i/>
                <w:sz w:val="22"/>
                <w:szCs w:val="22"/>
              </w:rPr>
              <w:t>Contacto</w:t>
            </w:r>
          </w:p>
        </w:tc>
        <w:tc>
          <w:tcPr>
            <w:tcW w:w="5211" w:type="dxa"/>
          </w:tcPr>
          <w:p w:rsidRPr="00A34FE2" w:rsidR="00A5001B" w:rsidP="000F216A" w:rsidRDefault="00A5001B" w14:paraId="4CCEC40D" w14:textId="49E23F27">
            <w:pPr>
              <w:overflowPunct w:val="0"/>
              <w:autoSpaceDE w:val="0"/>
              <w:autoSpaceDN w:val="0"/>
              <w:adjustRightInd w:val="0"/>
              <w:spacing w:line="240" w:lineRule="auto"/>
              <w:ind w:left="709" w:hanging="677"/>
              <w:textAlignment w:val="baseline"/>
              <w:rPr>
                <w:i/>
                <w:sz w:val="22"/>
                <w:szCs w:val="22"/>
              </w:rPr>
            </w:pPr>
            <w:r w:rsidRPr="00A34FE2">
              <w:rPr>
                <w:sz w:val="22"/>
                <w:szCs w:val="22"/>
              </w:rPr>
              <w:t>Caroline Verhelst</w:t>
            </w:r>
          </w:p>
        </w:tc>
      </w:tr>
      <w:tr w:rsidRPr="00A34FE2" w:rsidR="00A5001B" w:rsidTr="00A34FE2" w14:paraId="1067EBD6" w14:textId="77777777">
        <w:tc>
          <w:tcPr>
            <w:tcW w:w="2093" w:type="dxa"/>
          </w:tcPr>
          <w:p w:rsidRPr="00A34FE2" w:rsidR="00A5001B" w:rsidP="000F216A" w:rsidRDefault="00A5001B" w14:paraId="555A4904" w14:textId="77777777">
            <w:pPr>
              <w:overflowPunct w:val="0"/>
              <w:autoSpaceDE w:val="0"/>
              <w:autoSpaceDN w:val="0"/>
              <w:adjustRightInd w:val="0"/>
              <w:spacing w:line="240" w:lineRule="auto"/>
              <w:ind w:left="709" w:hanging="677"/>
              <w:textAlignment w:val="baseline"/>
              <w:rPr>
                <w:i/>
                <w:sz w:val="22"/>
                <w:szCs w:val="22"/>
              </w:rPr>
            </w:pPr>
            <w:r w:rsidRPr="00A34FE2">
              <w:rPr>
                <w:i/>
                <w:sz w:val="22"/>
                <w:szCs w:val="22"/>
              </w:rPr>
              <w:t>Teléfono:</w:t>
            </w:r>
          </w:p>
        </w:tc>
        <w:tc>
          <w:tcPr>
            <w:tcW w:w="5211" w:type="dxa"/>
          </w:tcPr>
          <w:p w:rsidRPr="00A34FE2" w:rsidR="00A5001B" w:rsidP="000F216A"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sidRPr="00A34FE2">
              <w:rPr>
                <w:i/>
                <w:sz w:val="22"/>
                <w:szCs w:val="22"/>
              </w:rPr>
              <w:t>+32 25469497</w:t>
            </w:r>
          </w:p>
        </w:tc>
      </w:tr>
      <w:tr w:rsidRPr="00A34FE2" w:rsidR="00A5001B" w:rsidTr="00A34FE2" w14:paraId="2AE4390F" w14:textId="77777777">
        <w:tc>
          <w:tcPr>
            <w:tcW w:w="2093" w:type="dxa"/>
          </w:tcPr>
          <w:p w:rsidRPr="00A34FE2" w:rsidR="00A5001B" w:rsidP="000F216A" w:rsidRDefault="00CA050B" w14:paraId="7DCF26E9" w14:textId="4D062FDF">
            <w:pPr>
              <w:overflowPunct w:val="0"/>
              <w:autoSpaceDE w:val="0"/>
              <w:autoSpaceDN w:val="0"/>
              <w:adjustRightInd w:val="0"/>
              <w:spacing w:line="240" w:lineRule="auto"/>
              <w:ind w:left="709" w:hanging="677"/>
              <w:textAlignment w:val="baseline"/>
              <w:rPr>
                <w:i/>
                <w:sz w:val="22"/>
                <w:szCs w:val="22"/>
              </w:rPr>
            </w:pPr>
            <w:r w:rsidRPr="00A34FE2">
              <w:rPr>
                <w:i/>
                <w:sz w:val="22"/>
                <w:szCs w:val="22"/>
              </w:rPr>
              <w:t>Correo electrónico:</w:t>
            </w:r>
          </w:p>
        </w:tc>
        <w:tc>
          <w:tcPr>
            <w:tcW w:w="5211" w:type="dxa"/>
          </w:tcPr>
          <w:p w:rsidRPr="00A34FE2" w:rsidR="00A5001B" w:rsidP="000F216A" w:rsidRDefault="00F22A9C" w14:paraId="0F14C55D" w14:textId="5EFCBBCE">
            <w:pPr>
              <w:overflowPunct w:val="0"/>
              <w:autoSpaceDE w:val="0"/>
              <w:autoSpaceDN w:val="0"/>
              <w:adjustRightInd w:val="0"/>
              <w:spacing w:line="240" w:lineRule="auto"/>
              <w:ind w:left="709" w:hanging="677"/>
              <w:textAlignment w:val="baseline"/>
              <w:rPr>
                <w:i/>
                <w:iCs/>
                <w:color w:val="0000FF"/>
                <w:sz w:val="22"/>
                <w:szCs w:val="22"/>
                <w:u w:val="single"/>
              </w:rPr>
            </w:pPr>
            <w:hyperlink w:history="1" r:id="rId65">
              <w:r w:rsidRPr="00A34FE2" w:rsidR="00A5001B">
                <w:rPr>
                  <w:i/>
                  <w:color w:val="0000FF"/>
                  <w:sz w:val="22"/>
                  <w:szCs w:val="22"/>
                  <w:u w:val="single"/>
                </w:rPr>
                <w:t>Caroline.Verhelst@eesc.europa.eu</w:t>
              </w:r>
            </w:hyperlink>
          </w:p>
        </w:tc>
      </w:tr>
    </w:tbl>
    <w:p w:rsidR="007F5784" w:rsidRDefault="007F5784" w14:paraId="715DB2BD" w14:textId="00DBF93C">
      <w:pPr>
        <w:spacing w:after="160" w:line="259" w:lineRule="auto"/>
        <w:jc w:val="left"/>
      </w:pPr>
      <w:r>
        <w:br w:type="page"/>
      </w:r>
    </w:p>
    <w:p w:rsidR="007F5784" w:rsidRDefault="007F5784" w14:paraId="14026A78" w14:textId="4FAE1588">
      <w:pPr>
        <w:pStyle w:val="Heading1"/>
      </w:pPr>
      <w:bookmarkStart w:name="_Toc182565784" w:id="13"/>
      <w:r>
        <w:lastRenderedPageBreak/>
        <w:t>RELACIONES EXTERIORES</w:t>
      </w:r>
      <w:bookmarkEnd w:id="13"/>
    </w:p>
    <w:p w:rsidR="007F5784" w:rsidP="007F5784" w:rsidRDefault="007F5784" w14:paraId="3BBB3E68" w14:textId="77777777"/>
    <w:p w:rsidRPr="00634C99" w:rsidR="00634C99" w:rsidP="00634C99" w:rsidRDefault="00F22A9C" w14:paraId="0A85E2FE" w14:textId="74FB4ADC">
      <w:pPr>
        <w:widowControl w:val="0"/>
        <w:numPr>
          <w:ilvl w:val="0"/>
          <w:numId w:val="8"/>
        </w:numPr>
        <w:overflowPunct w:val="0"/>
        <w:autoSpaceDE w:val="0"/>
        <w:autoSpaceDN w:val="0"/>
        <w:adjustRightInd w:val="0"/>
        <w:ind w:hanging="567"/>
        <w:textAlignment w:val="baseline"/>
        <w:rPr>
          <w:b/>
          <w:bCs/>
          <w:i/>
          <w:iCs/>
          <w:sz w:val="28"/>
          <w:szCs w:val="28"/>
        </w:rPr>
      </w:pPr>
      <w:hyperlink w:history="1" r:id="rId66">
        <w:r w:rsidRPr="007850A2" w:rsidR="00276FC9">
          <w:rPr>
            <w:rStyle w:val="Hyperlink"/>
            <w:b/>
            <w:i/>
            <w:sz w:val="28"/>
          </w:rPr>
          <w:t>Revisión del mecanismo de suspensión de visados de la UE</w:t>
        </w:r>
      </w:hyperlink>
    </w:p>
    <w:p w:rsidRPr="000F216A" w:rsidR="00634C99" w:rsidP="000F216A" w:rsidRDefault="00634C99" w14:paraId="4D61D043" w14:textId="77777777"/>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920"/>
      </w:tblGrid>
      <w:tr w:rsidRPr="00594F3A" w:rsidR="00634C99" w:rsidTr="00795AB6" w14:paraId="41EC2BDA" w14:textId="77777777">
        <w:tc>
          <w:tcPr>
            <w:tcW w:w="1701" w:type="dxa"/>
          </w:tcPr>
          <w:p w:rsidRPr="000F216A"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Pr>
                <w:b/>
              </w:rPr>
              <w:t>Ponente</w:t>
            </w:r>
          </w:p>
        </w:tc>
        <w:tc>
          <w:tcPr>
            <w:tcW w:w="5920" w:type="dxa"/>
          </w:tcPr>
          <w:p w:rsidRPr="000F216A" w:rsidR="00634C99" w:rsidP="00634C99" w:rsidRDefault="00634C99" w14:paraId="011FF44F" w14:textId="6773C3F2">
            <w:pPr>
              <w:tabs>
                <w:tab w:val="center" w:pos="284"/>
              </w:tabs>
              <w:overflowPunct w:val="0"/>
              <w:autoSpaceDE w:val="0"/>
              <w:autoSpaceDN w:val="0"/>
              <w:adjustRightInd w:val="0"/>
              <w:ind w:left="266" w:hanging="266"/>
              <w:textAlignment w:val="baseline"/>
              <w:rPr>
                <w:sz w:val="22"/>
                <w:szCs w:val="22"/>
              </w:rPr>
            </w:pPr>
            <w:r>
              <w:t>Ionuţ SIBIAN (Grupo de Organizaciones de la Sociedad Civil – RO)</w:t>
            </w:r>
          </w:p>
        </w:tc>
      </w:tr>
      <w:tr w:rsidRPr="00594F3A" w:rsidR="00634C99" w:rsidTr="00795AB6" w14:paraId="7068400F" w14:textId="77777777">
        <w:tc>
          <w:tcPr>
            <w:tcW w:w="7621" w:type="dxa"/>
            <w:gridSpan w:val="2"/>
          </w:tcPr>
          <w:p w:rsidRPr="000F216A"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94F3A" w:rsidR="00634C99" w:rsidTr="00795AB6" w14:paraId="5AC15554" w14:textId="77777777">
        <w:tc>
          <w:tcPr>
            <w:tcW w:w="1701" w:type="dxa"/>
            <w:vMerge w:val="restart"/>
          </w:tcPr>
          <w:p w:rsidRPr="000F216A" w:rsidR="00634C99" w:rsidP="00634C99" w:rsidRDefault="00634C99" w14:paraId="6A6E6067" w14:textId="77777777">
            <w:pPr>
              <w:tabs>
                <w:tab w:val="center" w:pos="284"/>
              </w:tabs>
              <w:overflowPunct w:val="0"/>
              <w:autoSpaceDE w:val="0"/>
              <w:autoSpaceDN w:val="0"/>
              <w:adjustRightInd w:val="0"/>
              <w:ind w:left="266" w:hanging="266"/>
              <w:textAlignment w:val="baseline"/>
              <w:rPr>
                <w:b/>
                <w:sz w:val="22"/>
                <w:szCs w:val="22"/>
              </w:rPr>
            </w:pPr>
            <w:r>
              <w:rPr>
                <w:b/>
                <w:bCs/>
              </w:rPr>
              <w:t>Referencias</w:t>
            </w:r>
          </w:p>
        </w:tc>
        <w:tc>
          <w:tcPr>
            <w:tcW w:w="5920" w:type="dxa"/>
          </w:tcPr>
          <w:p w:rsidRPr="000F216A" w:rsidR="0017486C" w:rsidP="00634C99" w:rsidRDefault="0017486C" w14:paraId="10052AB7" w14:textId="1CBD42CB">
            <w:pPr>
              <w:tabs>
                <w:tab w:val="center" w:pos="284"/>
              </w:tabs>
              <w:overflowPunct w:val="0"/>
              <w:autoSpaceDE w:val="0"/>
              <w:autoSpaceDN w:val="0"/>
              <w:adjustRightInd w:val="0"/>
              <w:ind w:left="266" w:hanging="266"/>
              <w:textAlignment w:val="baseline"/>
              <w:rPr>
                <w:sz w:val="22"/>
                <w:szCs w:val="22"/>
              </w:rPr>
            </w:pPr>
            <w:r>
              <w:t>Dictamen de iniciativa</w:t>
            </w:r>
          </w:p>
          <w:p w:rsidRPr="000F216A"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t>EESC-2024-01460-00-00-AC</w:t>
            </w:r>
          </w:p>
        </w:tc>
      </w:tr>
      <w:tr w:rsidRPr="00594F3A" w:rsidR="00634C99" w:rsidTr="00795AB6" w14:paraId="5497795D" w14:textId="77777777">
        <w:tc>
          <w:tcPr>
            <w:tcW w:w="1701" w:type="dxa"/>
            <w:vMerge/>
          </w:tcPr>
          <w:p w:rsidRPr="000F216A" w:rsidR="00634C99" w:rsidP="00634C99" w:rsidRDefault="00634C99" w14:paraId="45F36117" w14:textId="77777777">
            <w:pPr>
              <w:tabs>
                <w:tab w:val="center" w:pos="284"/>
              </w:tabs>
              <w:overflowPunct w:val="0"/>
              <w:autoSpaceDE w:val="0"/>
              <w:autoSpaceDN w:val="0"/>
              <w:adjustRightInd w:val="0"/>
              <w:ind w:left="266" w:hanging="266"/>
              <w:textAlignment w:val="baseline"/>
              <w:rPr>
                <w:b/>
                <w:sz w:val="22"/>
                <w:szCs w:val="22"/>
              </w:rPr>
            </w:pPr>
          </w:p>
        </w:tc>
        <w:tc>
          <w:tcPr>
            <w:tcW w:w="5920" w:type="dxa"/>
          </w:tcPr>
          <w:p w:rsidRPr="000F216A" w:rsidR="00634C99" w:rsidP="00634C99" w:rsidRDefault="00634C99" w14:paraId="24E08693" w14:textId="77777777">
            <w:pPr>
              <w:tabs>
                <w:tab w:val="center" w:pos="284"/>
              </w:tabs>
              <w:overflowPunct w:val="0"/>
              <w:autoSpaceDE w:val="0"/>
              <w:autoSpaceDN w:val="0"/>
              <w:adjustRightInd w:val="0"/>
              <w:ind w:left="266" w:hanging="266"/>
              <w:textAlignment w:val="baseline"/>
              <w:rPr>
                <w:sz w:val="22"/>
                <w:szCs w:val="22"/>
              </w:rPr>
            </w:pPr>
          </w:p>
        </w:tc>
      </w:tr>
    </w:tbl>
    <w:p w:rsidRPr="00634C99" w:rsidR="00634C99" w:rsidP="00634C99" w:rsidRDefault="00634C99" w14:paraId="5217B4F5" w14:textId="77777777">
      <w:pPr>
        <w:keepNext/>
        <w:keepLines/>
        <w:tabs>
          <w:tab w:val="center" w:pos="284"/>
        </w:tabs>
        <w:overflowPunct w:val="0"/>
        <w:autoSpaceDE w:val="0"/>
        <w:autoSpaceDN w:val="0"/>
        <w:adjustRightInd w:val="0"/>
        <w:ind w:left="266" w:hanging="266"/>
        <w:textAlignment w:val="baseline"/>
        <w:rPr>
          <w:b/>
        </w:rPr>
      </w:pPr>
      <w:r>
        <w:rPr>
          <w:b/>
        </w:rPr>
        <w:t xml:space="preserve">Puntos clave </w:t>
      </w:r>
    </w:p>
    <w:p w:rsidRPr="00634C99"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634C99" w:rsidR="00634C99" w:rsidP="00634C99" w:rsidRDefault="00634C99" w14:paraId="1A19FC9B" w14:textId="77777777">
      <w:pPr>
        <w:overflowPunct w:val="0"/>
        <w:autoSpaceDE w:val="0"/>
        <w:autoSpaceDN w:val="0"/>
        <w:adjustRightInd w:val="0"/>
        <w:textAlignment w:val="baseline"/>
        <w:rPr>
          <w:bCs/>
          <w:iCs/>
        </w:rPr>
      </w:pPr>
      <w:r>
        <w:t>El CESE:</w:t>
      </w:r>
    </w:p>
    <w:p w:rsidRPr="00634C99" w:rsidR="00634C99" w:rsidP="00634C99" w:rsidRDefault="00634C99" w14:paraId="71FC8A91" w14:textId="77777777">
      <w:pPr>
        <w:overflowPunct w:val="0"/>
        <w:autoSpaceDE w:val="0"/>
        <w:autoSpaceDN w:val="0"/>
        <w:adjustRightInd w:val="0"/>
        <w:textAlignment w:val="baseline"/>
        <w:rPr>
          <w:bCs/>
          <w:iCs/>
          <w:sz w:val="16"/>
          <w:szCs w:val="16"/>
          <w:lang w:val="en-GB"/>
        </w:rPr>
      </w:pPr>
    </w:p>
    <w:p w:rsidRPr="00634C99" w:rsidR="00634C99" w:rsidP="000F216A" w:rsidRDefault="00634C99" w14:paraId="005CC8BA" w14:textId="27C3609B">
      <w:pPr>
        <w:numPr>
          <w:ilvl w:val="0"/>
          <w:numId w:val="57"/>
        </w:numPr>
        <w:overflowPunct w:val="0"/>
        <w:autoSpaceDE w:val="0"/>
        <w:autoSpaceDN w:val="0"/>
        <w:adjustRightInd w:val="0"/>
        <w:ind w:left="284" w:hanging="284"/>
        <w:textAlignment w:val="baseline"/>
        <w:rPr>
          <w:bCs/>
          <w:iCs/>
        </w:rPr>
      </w:pPr>
      <w:r>
        <w:t>reconoce los beneficios que aporta la exención de visado para la ciudadanía de las dos Partes en estos regímenes y los efectos positivos que comporta en cuanto refuerza en mayor medida las relaciones de la</w:t>
      </w:r>
      <w:r w:rsidR="00795AB6">
        <w:t> </w:t>
      </w:r>
      <w:r>
        <w:t>UE con sus socios. La política de visados de la UE debe seguir siendo una herramienta para facilitar los contactos interpersonales, el turismo y la actividad empresarial, previniendo al mismo tiempo los riesgos para la seguridad de la UE;</w:t>
      </w:r>
    </w:p>
    <w:p w:rsidRPr="00634C99" w:rsidR="00634C99" w:rsidP="000F216A" w:rsidRDefault="00634C99" w14:paraId="028D385A" w14:textId="77777777">
      <w:pPr>
        <w:numPr>
          <w:ilvl w:val="0"/>
          <w:numId w:val="57"/>
        </w:numPr>
        <w:overflowPunct w:val="0"/>
        <w:autoSpaceDE w:val="0"/>
        <w:autoSpaceDN w:val="0"/>
        <w:adjustRightInd w:val="0"/>
        <w:ind w:left="284" w:hanging="284"/>
        <w:textAlignment w:val="baseline"/>
        <w:rPr>
          <w:bCs/>
          <w:iCs/>
        </w:rPr>
      </w:pPr>
      <w:r>
        <w:t>reconoce que la seguridad de la UE y de sus fronteras exteriores se ha visto profundamente afectada por los recientes acontecimientos geopolíticos. Por ello, apoya la idea de que la UE debe estar bien preparada para reaccionar rápidamente ante toda una gama de riesgos posibles para la seguridad en el futuro, incluidas las amenazas híbridas;</w:t>
      </w:r>
    </w:p>
    <w:p w:rsidRPr="00634C99" w:rsidR="00634C99" w:rsidP="000F216A" w:rsidRDefault="00634C99" w14:paraId="7EB791AF" w14:textId="77777777">
      <w:pPr>
        <w:numPr>
          <w:ilvl w:val="0"/>
          <w:numId w:val="57"/>
        </w:numPr>
        <w:overflowPunct w:val="0"/>
        <w:autoSpaceDE w:val="0"/>
        <w:autoSpaceDN w:val="0"/>
        <w:adjustRightInd w:val="0"/>
        <w:ind w:left="284" w:hanging="284"/>
        <w:textAlignment w:val="baseline"/>
        <w:rPr>
          <w:bCs/>
          <w:iCs/>
        </w:rPr>
      </w:pPr>
      <w:r>
        <w:t>considera que deben realizarse esfuerzos por aclarar los criterios para activar el mecanismo y por garantizar que sean lo suficientemente flexibles como para permitir su rápida y eficiente aplicación en caso necesario;</w:t>
      </w:r>
    </w:p>
    <w:p w:rsidRPr="00634C99" w:rsidR="00634C99" w:rsidP="000F216A" w:rsidRDefault="00634C99" w14:paraId="635CEF9B" w14:textId="77777777">
      <w:pPr>
        <w:numPr>
          <w:ilvl w:val="0"/>
          <w:numId w:val="57"/>
        </w:numPr>
        <w:overflowPunct w:val="0"/>
        <w:autoSpaceDE w:val="0"/>
        <w:autoSpaceDN w:val="0"/>
        <w:adjustRightInd w:val="0"/>
        <w:ind w:left="284" w:hanging="284"/>
        <w:textAlignment w:val="baseline"/>
        <w:rPr>
          <w:bCs/>
          <w:iCs/>
        </w:rPr>
      </w:pPr>
      <w:r>
        <w:t>recomienda que la Comisión evalúe la necesidad, la proporcionalidad y las consecuencias de suspender una exención de la obligación de visado, teniendo en cuenta las relaciones exteriores globales de la Unión y sus Estados miembros con el tercer país de que se trate, el grado de idoneidad de la suspensión para remediar una situación y las repercusiones de una suspensión para los derechos de los nacionales de dicho país;</w:t>
      </w:r>
    </w:p>
    <w:p w:rsidRPr="00634C99" w:rsidR="00634C99" w:rsidP="000F216A" w:rsidRDefault="00634C99" w14:paraId="7F60EFD6" w14:textId="77777777">
      <w:pPr>
        <w:numPr>
          <w:ilvl w:val="0"/>
          <w:numId w:val="57"/>
        </w:numPr>
        <w:overflowPunct w:val="0"/>
        <w:autoSpaceDE w:val="0"/>
        <w:autoSpaceDN w:val="0"/>
        <w:adjustRightInd w:val="0"/>
        <w:ind w:left="284" w:hanging="284"/>
        <w:textAlignment w:val="baseline"/>
        <w:rPr>
          <w:bCs/>
          <w:iCs/>
        </w:rPr>
      </w:pPr>
      <w:r>
        <w:t>considera que debe prestarse atención a las necesidades de movilidad de los defensores de los derechos humanos, especialmente en caso de deterioro de la situación de los derechos humanos en el tercer país de que se trate, y a los posibles riesgos que la activación del mecanismo de suspensión contra ese país plantee para el trabajo y la seguridad personal de aquellos;</w:t>
      </w:r>
    </w:p>
    <w:p w:rsidRPr="00634C99" w:rsidR="00634C99" w:rsidP="000F216A" w:rsidRDefault="00634C99" w14:paraId="44DDDF7A" w14:textId="77777777">
      <w:pPr>
        <w:numPr>
          <w:ilvl w:val="0"/>
          <w:numId w:val="57"/>
        </w:numPr>
        <w:overflowPunct w:val="0"/>
        <w:autoSpaceDE w:val="0"/>
        <w:autoSpaceDN w:val="0"/>
        <w:adjustRightInd w:val="0"/>
        <w:ind w:left="284" w:hanging="284"/>
        <w:textAlignment w:val="baseline"/>
        <w:rPr>
          <w:bCs/>
          <w:iCs/>
        </w:rPr>
      </w:pPr>
      <w:r>
        <w:t>entiende que los regímenes de ciudadanía para inversores gestionados por terceros países con acceso sin visado representan un riesgo para el orden público y la seguridad interior de los Estados miembros, por lo que debe ser posible suspender la exención de visado para los terceros países que opten por aplicar ese tipo de regímenes, en virtud de los cuales se concede la ciudadanía sin que exista un vínculo real con el tercer país de que se trate.</w:t>
      </w:r>
    </w:p>
    <w:p w:rsidRPr="00634C99" w:rsidR="00634C99" w:rsidP="00D15E7A" w:rsidRDefault="00634C99" w14:paraId="0ED3132E" w14:textId="77777777">
      <w:pPr>
        <w:widowControl w:val="0"/>
        <w:overflowPunct w:val="0"/>
        <w:autoSpaceDE w:val="0"/>
        <w:autoSpaceDN w:val="0"/>
        <w:adjustRightInd w:val="0"/>
        <w:ind w:left="426" w:hanging="426"/>
        <w:textAlignment w:val="baseline"/>
        <w:rPr>
          <w:sz w:val="16"/>
          <w:szCs w:val="14"/>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740649" w:rsidR="00634C99" w:rsidTr="00740649" w14:paraId="0A94CCBE" w14:textId="77777777">
        <w:tc>
          <w:tcPr>
            <w:tcW w:w="2093" w:type="dxa"/>
          </w:tcPr>
          <w:p w:rsidRPr="00740649"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sidRPr="00740649">
              <w:rPr>
                <w:b/>
                <w:i/>
                <w:sz w:val="22"/>
                <w:szCs w:val="22"/>
              </w:rPr>
              <w:t>Contacto:</w:t>
            </w:r>
          </w:p>
        </w:tc>
        <w:tc>
          <w:tcPr>
            <w:tcW w:w="4995" w:type="dxa"/>
          </w:tcPr>
          <w:p w:rsidRPr="00740649" w:rsidR="00634C99" w:rsidP="00634C99" w:rsidRDefault="00634C99" w14:paraId="009FB94F" w14:textId="77777777">
            <w:pPr>
              <w:overflowPunct w:val="0"/>
              <w:autoSpaceDE w:val="0"/>
              <w:autoSpaceDN w:val="0"/>
              <w:adjustRightInd w:val="0"/>
              <w:spacing w:line="240" w:lineRule="auto"/>
              <w:textAlignment w:val="baseline"/>
              <w:rPr>
                <w:i/>
                <w:sz w:val="22"/>
                <w:szCs w:val="22"/>
              </w:rPr>
            </w:pPr>
            <w:r w:rsidRPr="00740649">
              <w:rPr>
                <w:i/>
                <w:sz w:val="22"/>
                <w:szCs w:val="22"/>
              </w:rPr>
              <w:t>Sabrina Tesoka</w:t>
            </w:r>
          </w:p>
        </w:tc>
      </w:tr>
      <w:tr w:rsidRPr="00740649" w:rsidR="00634C99" w:rsidTr="00740649" w14:paraId="45351054" w14:textId="77777777">
        <w:tc>
          <w:tcPr>
            <w:tcW w:w="2093" w:type="dxa"/>
          </w:tcPr>
          <w:p w:rsidRPr="00740649"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sidRPr="00740649">
              <w:rPr>
                <w:i/>
                <w:sz w:val="22"/>
                <w:szCs w:val="22"/>
              </w:rPr>
              <w:t>Teléfono:</w:t>
            </w:r>
          </w:p>
        </w:tc>
        <w:tc>
          <w:tcPr>
            <w:tcW w:w="4995" w:type="dxa"/>
          </w:tcPr>
          <w:p w:rsidRPr="00740649"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sidRPr="00740649">
              <w:rPr>
                <w:i/>
                <w:sz w:val="22"/>
                <w:szCs w:val="22"/>
              </w:rPr>
              <w:t>+32 25469552</w:t>
            </w:r>
          </w:p>
        </w:tc>
      </w:tr>
      <w:tr w:rsidRPr="00740649" w:rsidR="00634C99" w:rsidTr="00740649" w14:paraId="6295E192" w14:textId="77777777">
        <w:tc>
          <w:tcPr>
            <w:tcW w:w="2093" w:type="dxa"/>
          </w:tcPr>
          <w:p w:rsidRPr="00740649"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sidRPr="00740649">
              <w:rPr>
                <w:i/>
                <w:sz w:val="22"/>
                <w:szCs w:val="22"/>
              </w:rPr>
              <w:t>Correo electrónico:</w:t>
            </w:r>
          </w:p>
        </w:tc>
        <w:tc>
          <w:tcPr>
            <w:tcW w:w="4995" w:type="dxa"/>
          </w:tcPr>
          <w:p w:rsidRPr="00740649" w:rsidR="00634C99" w:rsidP="00634C99" w:rsidRDefault="00F22A9C" w14:paraId="2D9FB2AA" w14:textId="27F01CD9">
            <w:pPr>
              <w:overflowPunct w:val="0"/>
              <w:autoSpaceDE w:val="0"/>
              <w:autoSpaceDN w:val="0"/>
              <w:adjustRightInd w:val="0"/>
              <w:spacing w:line="240" w:lineRule="auto"/>
              <w:textAlignment w:val="baseline"/>
              <w:rPr>
                <w:i/>
                <w:sz w:val="22"/>
                <w:szCs w:val="22"/>
              </w:rPr>
            </w:pPr>
            <w:hyperlink w:history="1" r:id="rId67">
              <w:r w:rsidRPr="00740649" w:rsidR="007E03C9">
                <w:rPr>
                  <w:i/>
                  <w:color w:val="0000FF"/>
                  <w:sz w:val="22"/>
                  <w:szCs w:val="22"/>
                  <w:u w:val="single"/>
                </w:rPr>
                <w:t>Sabrina.Tesoka@eesc.europa.eu</w:t>
              </w:r>
            </w:hyperlink>
          </w:p>
        </w:tc>
      </w:tr>
    </w:tbl>
    <w:p w:rsidR="006D2C8A" w:rsidRDefault="006D2C8A" w14:paraId="4464305F" w14:textId="35197EF9">
      <w:pPr>
        <w:spacing w:after="160" w:line="259" w:lineRule="auto"/>
        <w:jc w:val="left"/>
      </w:pPr>
      <w:r>
        <w:br w:type="page"/>
      </w:r>
    </w:p>
    <w:p w:rsidRPr="006D2C8A" w:rsidR="006D2C8A" w:rsidRDefault="006D2C8A" w14:paraId="528C73AA" w14:textId="46DE726B">
      <w:pPr>
        <w:pStyle w:val="Heading1"/>
      </w:pPr>
      <w:bookmarkStart w:name="_Toc182565785" w:id="14"/>
      <w:r>
        <w:lastRenderedPageBreak/>
        <w:t>COMISIÓN CONSULTIVA DE LAS TRANSFORMACIONES INDUSTRIALES</w:t>
      </w:r>
      <w:bookmarkEnd w:id="14"/>
    </w:p>
    <w:p w:rsidR="006D2C8A" w:rsidP="006D2C8A" w:rsidRDefault="006D2C8A" w14:paraId="713E272F" w14:textId="77777777"/>
    <w:p w:rsidRPr="00436222" w:rsidR="00436222" w:rsidP="00436222" w:rsidRDefault="00F22A9C" w14:paraId="4DA6BB04" w14:textId="76078C50">
      <w:pPr>
        <w:widowControl w:val="0"/>
        <w:numPr>
          <w:ilvl w:val="0"/>
          <w:numId w:val="8"/>
        </w:numPr>
        <w:overflowPunct w:val="0"/>
        <w:autoSpaceDE w:val="0"/>
        <w:autoSpaceDN w:val="0"/>
        <w:adjustRightInd w:val="0"/>
        <w:ind w:hanging="567"/>
        <w:textAlignment w:val="baseline"/>
        <w:rPr>
          <w:sz w:val="20"/>
          <w:szCs w:val="20"/>
        </w:rPr>
      </w:pPr>
      <w:hyperlink w:history="1" r:id="rId68">
        <w:r w:rsidRPr="00620BBE" w:rsidR="00436222">
          <w:rPr>
            <w:rStyle w:val="Hyperlink"/>
            <w:b/>
            <w:i/>
            <w:sz w:val="28"/>
          </w:rPr>
          <w:t>Balance de los diálogos sobre la transición hacia una energía limpia</w:t>
        </w:r>
      </w:hyperlink>
    </w:p>
    <w:p w:rsidRPr="000F216A" w:rsidR="00436222" w:rsidP="000F216A" w:rsidRDefault="00436222" w14:paraId="067FC0D5" w14:textId="77777777"/>
    <w:tbl>
      <w:tblPr>
        <w:tblStyle w:val="TableGrid19"/>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6982"/>
      </w:tblGrid>
      <w:tr w:rsidRPr="00436222" w:rsidR="00436222" w:rsidTr="00F324F7" w14:paraId="2C068778" w14:textId="77777777">
        <w:tc>
          <w:tcPr>
            <w:tcW w:w="1167" w:type="pct"/>
          </w:tcPr>
          <w:p w:rsidRPr="00436222" w:rsidR="00436222" w:rsidP="00436222" w:rsidRDefault="00436222" w14:paraId="6E1552DD" w14:textId="77777777">
            <w:pPr>
              <w:tabs>
                <w:tab w:val="center" w:pos="284"/>
              </w:tabs>
              <w:overflowPunct w:val="0"/>
              <w:autoSpaceDE w:val="0"/>
              <w:autoSpaceDN w:val="0"/>
              <w:adjustRightInd w:val="0"/>
              <w:ind w:left="266" w:hanging="266"/>
              <w:textAlignment w:val="baseline"/>
              <w:rPr>
                <w:bCs/>
              </w:rPr>
            </w:pPr>
            <w:r>
              <w:rPr>
                <w:b/>
              </w:rPr>
              <w:t>Ponente</w:t>
            </w:r>
          </w:p>
        </w:tc>
        <w:tc>
          <w:tcPr>
            <w:tcW w:w="3833" w:type="pct"/>
          </w:tcPr>
          <w:p w:rsidRPr="00436222" w:rsidR="00436222" w:rsidP="00436222" w:rsidRDefault="00436222" w14:paraId="4318DDEC" w14:textId="77777777">
            <w:pPr>
              <w:tabs>
                <w:tab w:val="center" w:pos="284"/>
              </w:tabs>
              <w:overflowPunct w:val="0"/>
              <w:autoSpaceDE w:val="0"/>
              <w:autoSpaceDN w:val="0"/>
              <w:adjustRightInd w:val="0"/>
              <w:ind w:left="266" w:hanging="266"/>
              <w:jc w:val="left"/>
              <w:textAlignment w:val="baseline"/>
            </w:pPr>
            <w:r>
              <w:t>Konstantinos DIAMANTOUROS (Grupo de Empresarios – EL)</w:t>
            </w:r>
          </w:p>
        </w:tc>
      </w:tr>
      <w:tr w:rsidRPr="00436222" w:rsidR="00436222" w:rsidTr="00F324F7" w14:paraId="53566920" w14:textId="77777777">
        <w:tc>
          <w:tcPr>
            <w:tcW w:w="1167" w:type="pct"/>
          </w:tcPr>
          <w:p w:rsidRPr="00436222" w:rsidR="00436222" w:rsidP="00436222" w:rsidRDefault="00436222" w14:paraId="1187CD2E" w14:textId="77777777">
            <w:pPr>
              <w:tabs>
                <w:tab w:val="center" w:pos="284"/>
              </w:tabs>
              <w:overflowPunct w:val="0"/>
              <w:autoSpaceDE w:val="0"/>
              <w:autoSpaceDN w:val="0"/>
              <w:adjustRightInd w:val="0"/>
              <w:ind w:left="266" w:hanging="266"/>
              <w:textAlignment w:val="baseline"/>
              <w:rPr>
                <w:b/>
              </w:rPr>
            </w:pPr>
            <w:r>
              <w:rPr>
                <w:b/>
              </w:rPr>
              <w:t>Coponente</w:t>
            </w:r>
          </w:p>
        </w:tc>
        <w:tc>
          <w:tcPr>
            <w:tcW w:w="3833" w:type="pct"/>
          </w:tcPr>
          <w:p w:rsidRPr="00436222" w:rsidR="00436222" w:rsidP="00436222" w:rsidRDefault="00436222" w14:paraId="21D7153C" w14:textId="77777777">
            <w:pPr>
              <w:tabs>
                <w:tab w:val="center" w:pos="284"/>
              </w:tabs>
              <w:overflowPunct w:val="0"/>
              <w:autoSpaceDE w:val="0"/>
              <w:autoSpaceDN w:val="0"/>
              <w:adjustRightInd w:val="0"/>
              <w:ind w:left="266" w:hanging="266"/>
              <w:textAlignment w:val="baseline"/>
            </w:pPr>
            <w:r>
              <w:t>John BRYAN (Cat. 3 – IE)</w:t>
            </w:r>
          </w:p>
        </w:tc>
      </w:tr>
      <w:tr w:rsidRPr="00436222" w:rsidR="00436222" w:rsidTr="00F324F7" w14:paraId="2176FC7D" w14:textId="77777777">
        <w:tc>
          <w:tcPr>
            <w:tcW w:w="5000" w:type="pct"/>
            <w:gridSpan w:val="2"/>
          </w:tcPr>
          <w:p w:rsidRPr="00436222"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pPr>
          </w:p>
        </w:tc>
      </w:tr>
      <w:tr w:rsidRPr="00436222" w:rsidR="00436222" w:rsidTr="00F324F7" w14:paraId="1C30E032" w14:textId="77777777">
        <w:tc>
          <w:tcPr>
            <w:tcW w:w="1167" w:type="pct"/>
            <w:vMerge w:val="restart"/>
          </w:tcPr>
          <w:p w:rsidRPr="00436222" w:rsidR="00436222" w:rsidP="00436222" w:rsidRDefault="00436222" w14:paraId="6CC114CF" w14:textId="77777777">
            <w:pPr>
              <w:tabs>
                <w:tab w:val="center" w:pos="284"/>
              </w:tabs>
              <w:overflowPunct w:val="0"/>
              <w:autoSpaceDE w:val="0"/>
              <w:autoSpaceDN w:val="0"/>
              <w:adjustRightInd w:val="0"/>
              <w:ind w:left="266" w:hanging="266"/>
              <w:textAlignment w:val="baseline"/>
              <w:rPr>
                <w:b/>
              </w:rPr>
            </w:pPr>
            <w:r>
              <w:rPr>
                <w:b/>
                <w:bCs/>
              </w:rPr>
              <w:t>Referencias</w:t>
            </w:r>
          </w:p>
        </w:tc>
        <w:tc>
          <w:tcPr>
            <w:tcW w:w="3833" w:type="pct"/>
          </w:tcPr>
          <w:p w:rsidRPr="00436222" w:rsidR="00436222" w:rsidP="00436222" w:rsidRDefault="00436222" w14:paraId="46483B64" w14:textId="77777777">
            <w:pPr>
              <w:tabs>
                <w:tab w:val="center" w:pos="284"/>
              </w:tabs>
              <w:overflowPunct w:val="0"/>
              <w:autoSpaceDE w:val="0"/>
              <w:autoSpaceDN w:val="0"/>
              <w:adjustRightInd w:val="0"/>
              <w:ind w:left="266" w:hanging="266"/>
              <w:textAlignment w:val="baseline"/>
            </w:pPr>
            <w:r>
              <w:t>COM(2024) 163 final</w:t>
            </w:r>
          </w:p>
          <w:p w:rsidRPr="00436222" w:rsidR="00436222" w:rsidP="00436222" w:rsidRDefault="00436222" w14:paraId="5C1B3E46" w14:textId="77777777">
            <w:pPr>
              <w:tabs>
                <w:tab w:val="center" w:pos="284"/>
              </w:tabs>
              <w:overflowPunct w:val="0"/>
              <w:autoSpaceDE w:val="0"/>
              <w:autoSpaceDN w:val="0"/>
              <w:adjustRightInd w:val="0"/>
              <w:ind w:left="266" w:hanging="266"/>
              <w:textAlignment w:val="baseline"/>
            </w:pPr>
            <w:r>
              <w:t>EESC-2024-02431-00-00-AC</w:t>
            </w:r>
          </w:p>
        </w:tc>
      </w:tr>
      <w:tr w:rsidRPr="00436222" w:rsidR="00436222" w:rsidTr="00F324F7" w14:paraId="2C7EADDB" w14:textId="77777777">
        <w:tc>
          <w:tcPr>
            <w:tcW w:w="1167" w:type="pct"/>
            <w:vMerge/>
          </w:tcPr>
          <w:p w:rsidRPr="00436222" w:rsidR="00436222" w:rsidP="00436222" w:rsidRDefault="00436222" w14:paraId="1A158CB2" w14:textId="77777777">
            <w:pPr>
              <w:tabs>
                <w:tab w:val="center" w:pos="284"/>
              </w:tabs>
              <w:overflowPunct w:val="0"/>
              <w:autoSpaceDE w:val="0"/>
              <w:autoSpaceDN w:val="0"/>
              <w:adjustRightInd w:val="0"/>
              <w:ind w:left="266" w:hanging="266"/>
              <w:textAlignment w:val="baseline"/>
              <w:rPr>
                <w:b/>
              </w:rPr>
            </w:pPr>
          </w:p>
        </w:tc>
        <w:tc>
          <w:tcPr>
            <w:tcW w:w="3833" w:type="pct"/>
          </w:tcPr>
          <w:p w:rsidRPr="00436222" w:rsidR="00436222" w:rsidP="00436222" w:rsidRDefault="00436222" w14:paraId="47C35AC9" w14:textId="77777777">
            <w:pPr>
              <w:tabs>
                <w:tab w:val="center" w:pos="284"/>
              </w:tabs>
              <w:overflowPunct w:val="0"/>
              <w:autoSpaceDE w:val="0"/>
              <w:autoSpaceDN w:val="0"/>
              <w:adjustRightInd w:val="0"/>
              <w:ind w:left="266" w:hanging="266"/>
              <w:textAlignment w:val="baseline"/>
            </w:pPr>
          </w:p>
        </w:tc>
      </w:tr>
    </w:tbl>
    <w:p w:rsidRPr="00436222" w:rsidR="00436222" w:rsidP="00436222" w:rsidRDefault="00436222" w14:paraId="12E0866C"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436222"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436222" w:rsidR="00436222" w:rsidP="00436222" w:rsidRDefault="00436222" w14:paraId="5162FA02" w14:textId="77777777">
      <w:pPr>
        <w:overflowPunct w:val="0"/>
        <w:autoSpaceDE w:val="0"/>
        <w:autoSpaceDN w:val="0"/>
        <w:adjustRightInd w:val="0"/>
        <w:textAlignment w:val="baseline"/>
        <w:rPr>
          <w:bCs/>
          <w:iCs/>
        </w:rPr>
      </w:pPr>
      <w:r>
        <w:t>El CESE:</w:t>
      </w:r>
    </w:p>
    <w:p w:rsidRPr="00436222" w:rsidR="00436222" w:rsidP="00436222" w:rsidRDefault="00436222" w14:paraId="5D1DF711" w14:textId="77777777">
      <w:pPr>
        <w:overflowPunct w:val="0"/>
        <w:autoSpaceDE w:val="0"/>
        <w:autoSpaceDN w:val="0"/>
        <w:adjustRightInd w:val="0"/>
        <w:textAlignment w:val="baseline"/>
        <w:rPr>
          <w:bCs/>
          <w:iCs/>
          <w:lang w:val="en-GB"/>
        </w:rPr>
      </w:pPr>
    </w:p>
    <w:p w:rsidRPr="00436222" w:rsidR="00436222" w:rsidP="000F216A" w:rsidRDefault="00436222" w14:paraId="619C26EF" w14:textId="77777777">
      <w:pPr>
        <w:widowControl w:val="0"/>
        <w:numPr>
          <w:ilvl w:val="0"/>
          <w:numId w:val="58"/>
        </w:numPr>
        <w:overflowPunct w:val="0"/>
        <w:autoSpaceDE w:val="0"/>
        <w:autoSpaceDN w:val="0"/>
        <w:adjustRightInd w:val="0"/>
        <w:ind w:left="284" w:hanging="284"/>
        <w:textAlignment w:val="baseline"/>
        <w:rPr>
          <w:bCs/>
          <w:iCs/>
        </w:rPr>
      </w:pPr>
      <w:r>
        <w:t>se muestra convencido de que se necesita un nuevo enfoque mucho más audaz y ambicioso, junto con un marco de aplicación claro, para garantizar que el Pacto Verde Europeo se convierta en un éxito desde una perspectiva climática y socioeconómica. Necesitamos un nuevo pacto para la competitividad que impulse y proteja la industria y el empleo en la UE;</w:t>
      </w:r>
    </w:p>
    <w:p w:rsidRPr="00436222" w:rsidR="00436222" w:rsidP="000F216A" w:rsidRDefault="00436222" w14:paraId="3E8E7DE9" w14:textId="77777777">
      <w:pPr>
        <w:widowControl w:val="0"/>
        <w:numPr>
          <w:ilvl w:val="0"/>
          <w:numId w:val="58"/>
        </w:numPr>
        <w:overflowPunct w:val="0"/>
        <w:autoSpaceDE w:val="0"/>
        <w:autoSpaceDN w:val="0"/>
        <w:adjustRightInd w:val="0"/>
        <w:ind w:left="284" w:hanging="284"/>
        <w:textAlignment w:val="baseline"/>
        <w:rPr>
          <w:bCs/>
          <w:iCs/>
        </w:rPr>
      </w:pPr>
      <w:r>
        <w:t>considera que dicho pacto para la competitividad debería incluir:</w:t>
      </w:r>
    </w:p>
    <w:p w:rsidRPr="00AB39AA" w:rsidR="00436222" w:rsidP="000F216A" w:rsidRDefault="00436222" w14:paraId="7B811A6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plazos de concesión de permisos mucho más breves (también límites al examen de las objeciones medioambientales en los juzgados); </w:t>
      </w:r>
    </w:p>
    <w:p w:rsidRPr="00AB39AA" w:rsidR="00436222" w:rsidP="000F216A" w:rsidRDefault="00436222" w14:paraId="22DDC0B3" w14:textId="77777777">
      <w:pPr>
        <w:pStyle w:val="ListParagraph"/>
        <w:widowControl w:val="0"/>
        <w:numPr>
          <w:ilvl w:val="0"/>
          <w:numId w:val="59"/>
        </w:numPr>
        <w:overflowPunct w:val="0"/>
        <w:autoSpaceDE w:val="0"/>
        <w:autoSpaceDN w:val="0"/>
        <w:adjustRightInd w:val="0"/>
        <w:ind w:left="567" w:hanging="283"/>
        <w:textAlignment w:val="baseline"/>
        <w:rPr>
          <w:bCs/>
          <w:iCs/>
        </w:rPr>
      </w:pPr>
      <w:r>
        <w:t>un enfoque más preciso para medir los avances hacia los objetivos climáticos de la UE, que tenga en cuenta la huella de carbono de los bienes importados en vez de contabilizar únicamente la producción de emisiones en Europa;</w:t>
      </w:r>
    </w:p>
    <w:p w:rsidRPr="00AB39AA" w:rsidR="00436222" w:rsidP="000F216A" w:rsidRDefault="00436222" w14:paraId="30365531" w14:textId="77777777">
      <w:pPr>
        <w:pStyle w:val="ListParagraph"/>
        <w:widowControl w:val="0"/>
        <w:numPr>
          <w:ilvl w:val="0"/>
          <w:numId w:val="59"/>
        </w:numPr>
        <w:overflowPunct w:val="0"/>
        <w:autoSpaceDE w:val="0"/>
        <w:autoSpaceDN w:val="0"/>
        <w:adjustRightInd w:val="0"/>
        <w:ind w:left="567" w:hanging="283"/>
        <w:textAlignment w:val="baseline"/>
        <w:rPr>
          <w:bCs/>
          <w:iCs/>
        </w:rPr>
      </w:pPr>
      <w:r>
        <w:t>una mayor protección frente a la fuga de carbono para preservar la igualdad de condiciones para las empresas europeas;</w:t>
      </w:r>
    </w:p>
    <w:p w:rsidRPr="00AB39AA" w:rsidR="00436222" w:rsidP="000F216A" w:rsidRDefault="00436222" w14:paraId="2F6EFB30"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una política energética tecnológicamente neutra que genere una mayor estabilidad a largo plazo, ofrezca precios competitivos a escala mundial y reconozca la necesidad de invertir en fuentes hipocarbónicas estables durante la transición; </w:t>
      </w:r>
    </w:p>
    <w:p w:rsidRPr="00AB39AA" w:rsidR="00436222" w:rsidP="000F216A" w:rsidRDefault="00436222" w14:paraId="4FA737BA" w14:textId="77777777">
      <w:pPr>
        <w:pStyle w:val="ListParagraph"/>
        <w:widowControl w:val="0"/>
        <w:numPr>
          <w:ilvl w:val="0"/>
          <w:numId w:val="59"/>
        </w:numPr>
        <w:overflowPunct w:val="0"/>
        <w:autoSpaceDE w:val="0"/>
        <w:autoSpaceDN w:val="0"/>
        <w:adjustRightInd w:val="0"/>
        <w:ind w:left="567" w:hanging="283"/>
        <w:textAlignment w:val="baseline"/>
        <w:rPr>
          <w:bCs/>
          <w:iCs/>
        </w:rPr>
      </w:pPr>
      <w:r>
        <w:t>inversiones urgentes e importantes en las redes de distribución y transporte, así como en los puertos, para facilitar el desarrollo de las energías renovables marinas;</w:t>
      </w:r>
    </w:p>
    <w:p w:rsidRPr="00AB39AA" w:rsidR="00436222" w:rsidP="000F216A" w:rsidRDefault="00436222" w14:paraId="5D11CBDC"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un instrumento de financiación específico para apoyar la producción de materias primas fundamentales y las tecnologías de cero emisiones netas; </w:t>
      </w:r>
    </w:p>
    <w:p w:rsidRPr="00AB39AA" w:rsidR="00436222" w:rsidP="000F216A" w:rsidRDefault="00436222" w14:paraId="0EC6A957" w14:textId="77777777">
      <w:pPr>
        <w:pStyle w:val="ListParagraph"/>
        <w:widowControl w:val="0"/>
        <w:numPr>
          <w:ilvl w:val="0"/>
          <w:numId w:val="59"/>
        </w:numPr>
        <w:overflowPunct w:val="0"/>
        <w:autoSpaceDE w:val="0"/>
        <w:autoSpaceDN w:val="0"/>
        <w:adjustRightInd w:val="0"/>
        <w:ind w:left="567" w:hanging="283"/>
        <w:textAlignment w:val="baseline"/>
        <w:rPr>
          <w:bCs/>
          <w:iCs/>
        </w:rPr>
      </w:pPr>
      <w:r>
        <w:t xml:space="preserve">un marco de transición justa que ofrezca a los trabajadores y trabajadoras reciclaje y perfeccionamiento profesional a gran escala; </w:t>
      </w:r>
    </w:p>
    <w:p w:rsidRPr="00AB39AA" w:rsidR="00436222" w:rsidP="000F216A" w:rsidRDefault="00436222" w14:paraId="765B3017" w14:textId="77777777">
      <w:pPr>
        <w:widowControl w:val="0"/>
        <w:numPr>
          <w:ilvl w:val="0"/>
          <w:numId w:val="58"/>
        </w:numPr>
        <w:overflowPunct w:val="0"/>
        <w:autoSpaceDE w:val="0"/>
        <w:autoSpaceDN w:val="0"/>
        <w:adjustRightInd w:val="0"/>
        <w:ind w:left="284" w:hanging="284"/>
        <w:textAlignment w:val="baseline"/>
        <w:rPr>
          <w:bCs/>
        </w:rPr>
      </w:pPr>
      <w:r>
        <w:t>considera que determinados aspectos de las políticas han tenido repercusiones negativas para el empleo y la competitividad de la UE y han aumentado las emisiones globales debido a la fuga de carbono, si bien apoya plenamente los objetivos del Pacto Verde Europeo.</w:t>
      </w:r>
    </w:p>
    <w:p w:rsidRPr="00436222" w:rsidR="00436222" w:rsidP="00436222" w:rsidRDefault="00436222" w14:paraId="2350D91E" w14:textId="77777777">
      <w:pPr>
        <w:widowControl w:val="0"/>
        <w:overflowPunct w:val="0"/>
        <w:autoSpaceDE w:val="0"/>
        <w:autoSpaceDN w:val="0"/>
        <w:adjustRightInd w:val="0"/>
        <w:ind w:left="284"/>
        <w:textAlignment w:val="baseline"/>
        <w:rPr>
          <w:bCs/>
          <w:iCs/>
          <w:lang w:val="en-GB"/>
        </w:rPr>
      </w:pPr>
    </w:p>
    <w:p w:rsidRPr="00436222"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2F04A7" w:rsidR="00436222" w:rsidTr="00F324F7" w14:paraId="42071E27" w14:textId="77777777">
        <w:tc>
          <w:tcPr>
            <w:tcW w:w="1556" w:type="pct"/>
          </w:tcPr>
          <w:p w:rsidRPr="002F04A7"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sidRPr="002F04A7">
              <w:rPr>
                <w:b/>
                <w:i/>
                <w:sz w:val="22"/>
                <w:szCs w:val="22"/>
              </w:rPr>
              <w:t>Contacto</w:t>
            </w:r>
          </w:p>
        </w:tc>
        <w:tc>
          <w:tcPr>
            <w:tcW w:w="3444" w:type="pct"/>
          </w:tcPr>
          <w:p w:rsidRPr="002F04A7"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r w:rsidRPr="002F04A7">
              <w:rPr>
                <w:i/>
                <w:sz w:val="22"/>
                <w:szCs w:val="22"/>
              </w:rPr>
              <w:t>Ioannis Diamantopoulos</w:t>
            </w:r>
          </w:p>
        </w:tc>
      </w:tr>
      <w:tr w:rsidRPr="002F04A7" w:rsidR="00436222" w:rsidTr="00F324F7" w14:paraId="49E75BC3" w14:textId="77777777">
        <w:tc>
          <w:tcPr>
            <w:tcW w:w="1556" w:type="pct"/>
          </w:tcPr>
          <w:p w:rsidRPr="002F04A7"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sidRPr="002F04A7">
              <w:rPr>
                <w:i/>
                <w:sz w:val="22"/>
                <w:szCs w:val="22"/>
              </w:rPr>
              <w:t>Teléfono:</w:t>
            </w:r>
          </w:p>
        </w:tc>
        <w:tc>
          <w:tcPr>
            <w:tcW w:w="3444" w:type="pct"/>
          </w:tcPr>
          <w:p w:rsidRPr="002F04A7"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sidRPr="002F04A7">
              <w:rPr>
                <w:i/>
                <w:sz w:val="22"/>
                <w:szCs w:val="22"/>
              </w:rPr>
              <w:t>+32 25469170</w:t>
            </w:r>
          </w:p>
        </w:tc>
      </w:tr>
      <w:tr w:rsidRPr="002F04A7" w:rsidR="00436222" w:rsidTr="00F324F7" w14:paraId="47287801" w14:textId="77777777">
        <w:tc>
          <w:tcPr>
            <w:tcW w:w="1556" w:type="pct"/>
          </w:tcPr>
          <w:p w:rsidRPr="002F04A7" w:rsidR="00436222" w:rsidP="00436222" w:rsidRDefault="001E66FB" w14:paraId="4BB81B29" w14:textId="1A9EDF43">
            <w:pPr>
              <w:keepNext/>
              <w:keepLines/>
              <w:overflowPunct w:val="0"/>
              <w:autoSpaceDE w:val="0"/>
              <w:autoSpaceDN w:val="0"/>
              <w:adjustRightInd w:val="0"/>
              <w:spacing w:line="240" w:lineRule="auto"/>
              <w:textAlignment w:val="baseline"/>
              <w:rPr>
                <w:i/>
                <w:sz w:val="22"/>
                <w:szCs w:val="22"/>
              </w:rPr>
            </w:pPr>
            <w:r w:rsidRPr="002F04A7">
              <w:rPr>
                <w:i/>
                <w:sz w:val="22"/>
                <w:szCs w:val="22"/>
              </w:rPr>
              <w:t>Correo electrónico:</w:t>
            </w:r>
          </w:p>
        </w:tc>
        <w:tc>
          <w:tcPr>
            <w:tcW w:w="3444" w:type="pct"/>
          </w:tcPr>
          <w:p w:rsidRPr="002F04A7" w:rsidR="00436222" w:rsidP="00436222" w:rsidRDefault="00F22A9C" w14:paraId="70F6CD22" w14:textId="20102A8C">
            <w:pPr>
              <w:keepNext/>
              <w:keepLines/>
              <w:overflowPunct w:val="0"/>
              <w:autoSpaceDE w:val="0"/>
              <w:autoSpaceDN w:val="0"/>
              <w:adjustRightInd w:val="0"/>
              <w:spacing w:line="240" w:lineRule="auto"/>
              <w:textAlignment w:val="baseline"/>
              <w:rPr>
                <w:i/>
                <w:iCs/>
                <w:sz w:val="22"/>
                <w:szCs w:val="22"/>
              </w:rPr>
            </w:pPr>
            <w:hyperlink w:history="1" r:id="rId69">
              <w:r w:rsidRPr="002F04A7" w:rsidR="007E03C9">
                <w:rPr>
                  <w:i/>
                  <w:color w:val="0000FF"/>
                  <w:sz w:val="22"/>
                  <w:szCs w:val="22"/>
                  <w:u w:val="single"/>
                </w:rPr>
                <w:t>Ioannis.Diamantopoulos@eesc.europa.eu</w:t>
              </w:r>
            </w:hyperlink>
            <w:r w:rsidRPr="002F04A7" w:rsidR="007E03C9">
              <w:rPr>
                <w:i/>
                <w:sz w:val="22"/>
                <w:szCs w:val="22"/>
              </w:rPr>
              <w:t xml:space="preserve"> </w:t>
            </w:r>
          </w:p>
        </w:tc>
      </w:tr>
    </w:tbl>
    <w:p w:rsidR="00991962" w:rsidP="00436222" w:rsidRDefault="00991962" w14:paraId="78721B86" w14:textId="3EEEF5C7">
      <w:pPr>
        <w:ind w:left="710"/>
        <w:rPr>
          <w:b/>
          <w:i/>
          <w:sz w:val="28"/>
          <w:szCs w:val="28"/>
        </w:rPr>
      </w:pPr>
    </w:p>
    <w:p w:rsidR="00991962" w:rsidRDefault="00991962" w14:paraId="70579813" w14:textId="77777777">
      <w:pPr>
        <w:spacing w:after="160" w:line="259" w:lineRule="auto"/>
        <w:jc w:val="left"/>
        <w:rPr>
          <w:b/>
          <w:i/>
          <w:sz w:val="28"/>
          <w:szCs w:val="28"/>
        </w:rPr>
      </w:pPr>
      <w:r>
        <w:br w:type="page"/>
      </w:r>
    </w:p>
    <w:p w:rsidRPr="00430D17" w:rsidR="00430D17" w:rsidP="00430D17" w:rsidRDefault="00F22A9C" w14:paraId="6EC49EFB" w14:textId="5BE7CD1A">
      <w:pPr>
        <w:widowControl w:val="0"/>
        <w:numPr>
          <w:ilvl w:val="0"/>
          <w:numId w:val="8"/>
        </w:numPr>
        <w:overflowPunct w:val="0"/>
        <w:autoSpaceDE w:val="0"/>
        <w:autoSpaceDN w:val="0"/>
        <w:adjustRightInd w:val="0"/>
        <w:ind w:hanging="567"/>
        <w:textAlignment w:val="baseline"/>
        <w:rPr>
          <w:sz w:val="20"/>
          <w:szCs w:val="20"/>
        </w:rPr>
      </w:pPr>
      <w:hyperlink w:history="1" r:id="rId70">
        <w:r w:rsidRPr="002F04A7" w:rsidR="00276FC9">
          <w:rPr>
            <w:rStyle w:val="Hyperlink"/>
            <w:b/>
            <w:i/>
            <w:sz w:val="28"/>
          </w:rPr>
          <w:t>De plantas de residuos a plantas de recursos</w:t>
        </w:r>
      </w:hyperlink>
    </w:p>
    <w:p w:rsidRPr="000F216A" w:rsidR="00430D17" w:rsidP="000F216A" w:rsidRDefault="00430D17" w14:paraId="0813F7B3" w14:textId="77777777"/>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430D17" w:rsidR="00430D17" w:rsidTr="002F04A7" w14:paraId="7B952ECA" w14:textId="77777777">
        <w:tc>
          <w:tcPr>
            <w:tcW w:w="1701" w:type="dxa"/>
          </w:tcPr>
          <w:p w:rsidRPr="00430D17" w:rsidR="00430D17" w:rsidP="00430D17" w:rsidRDefault="00430D17" w14:paraId="011252E4" w14:textId="77777777">
            <w:pPr>
              <w:tabs>
                <w:tab w:val="center" w:pos="284"/>
              </w:tabs>
              <w:overflowPunct w:val="0"/>
              <w:autoSpaceDE w:val="0"/>
              <w:autoSpaceDN w:val="0"/>
              <w:adjustRightInd w:val="0"/>
              <w:ind w:left="266" w:hanging="266"/>
              <w:textAlignment w:val="baseline"/>
              <w:rPr>
                <w:b/>
              </w:rPr>
            </w:pPr>
            <w:r>
              <w:rPr>
                <w:b/>
              </w:rPr>
              <w:t>Ponente</w:t>
            </w:r>
          </w:p>
        </w:tc>
        <w:tc>
          <w:tcPr>
            <w:tcW w:w="6771" w:type="dxa"/>
          </w:tcPr>
          <w:p w:rsidRPr="00430D17" w:rsidR="00430D17" w:rsidP="00430D17" w:rsidRDefault="00430D17" w14:paraId="3702A588" w14:textId="77777777">
            <w:pPr>
              <w:tabs>
                <w:tab w:val="center" w:pos="284"/>
              </w:tabs>
              <w:overflowPunct w:val="0"/>
              <w:autoSpaceDE w:val="0"/>
              <w:autoSpaceDN w:val="0"/>
              <w:adjustRightInd w:val="0"/>
              <w:ind w:left="266" w:hanging="266"/>
              <w:textAlignment w:val="baseline"/>
            </w:pPr>
            <w:r>
              <w:t>Anastasis YIAPANIS (Grupo de Organizaciones de la Sociedad Civil – CY)</w:t>
            </w:r>
          </w:p>
        </w:tc>
      </w:tr>
      <w:tr w:rsidRPr="00430D17" w:rsidR="00430D17" w:rsidTr="002F04A7" w14:paraId="0ED020DF" w14:textId="77777777">
        <w:tc>
          <w:tcPr>
            <w:tcW w:w="1701" w:type="dxa"/>
          </w:tcPr>
          <w:p w:rsidRPr="00430D17" w:rsidR="00430D17" w:rsidP="00430D17" w:rsidRDefault="00430D17" w14:paraId="253105A1" w14:textId="77777777">
            <w:pPr>
              <w:tabs>
                <w:tab w:val="center" w:pos="284"/>
              </w:tabs>
              <w:overflowPunct w:val="0"/>
              <w:autoSpaceDE w:val="0"/>
              <w:autoSpaceDN w:val="0"/>
              <w:adjustRightInd w:val="0"/>
              <w:ind w:left="266" w:hanging="266"/>
              <w:textAlignment w:val="baseline"/>
              <w:rPr>
                <w:b/>
              </w:rPr>
            </w:pPr>
            <w:r>
              <w:rPr>
                <w:b/>
                <w:bCs/>
              </w:rPr>
              <w:t>Coponente</w:t>
            </w:r>
          </w:p>
        </w:tc>
        <w:tc>
          <w:tcPr>
            <w:tcW w:w="6771" w:type="dxa"/>
          </w:tcPr>
          <w:p w:rsidRPr="00430D17" w:rsidR="00430D17" w:rsidP="00430D17" w:rsidRDefault="00430D17" w14:paraId="64B1A9E8" w14:textId="77777777">
            <w:pPr>
              <w:tabs>
                <w:tab w:val="center" w:pos="284"/>
              </w:tabs>
              <w:overflowPunct w:val="0"/>
              <w:autoSpaceDE w:val="0"/>
              <w:autoSpaceDN w:val="0"/>
              <w:adjustRightInd w:val="0"/>
              <w:ind w:left="266" w:hanging="266"/>
              <w:textAlignment w:val="baseline"/>
            </w:pPr>
            <w:r>
              <w:t>Michal PINTÉR (Cat. 1 – SK)</w:t>
            </w:r>
          </w:p>
        </w:tc>
      </w:tr>
      <w:tr w:rsidRPr="00430D17" w:rsidR="00430D17" w:rsidTr="002F04A7" w14:paraId="7BC819CE" w14:textId="77777777">
        <w:tc>
          <w:tcPr>
            <w:tcW w:w="8472" w:type="dxa"/>
            <w:gridSpan w:val="2"/>
          </w:tcPr>
          <w:p w:rsidRPr="00430D17"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pPr>
          </w:p>
        </w:tc>
      </w:tr>
      <w:tr w:rsidRPr="00430D17" w:rsidR="00430D17" w:rsidTr="002F04A7" w14:paraId="1AE43E6F" w14:textId="77777777">
        <w:tc>
          <w:tcPr>
            <w:tcW w:w="1701" w:type="dxa"/>
            <w:vMerge w:val="restart"/>
          </w:tcPr>
          <w:p w:rsidRPr="00430D17" w:rsidR="00430D17" w:rsidP="00430D17" w:rsidRDefault="00430D17" w14:paraId="4692E3B4" w14:textId="77777777">
            <w:pPr>
              <w:tabs>
                <w:tab w:val="center" w:pos="284"/>
              </w:tabs>
              <w:overflowPunct w:val="0"/>
              <w:autoSpaceDE w:val="0"/>
              <w:autoSpaceDN w:val="0"/>
              <w:adjustRightInd w:val="0"/>
              <w:ind w:left="266" w:hanging="266"/>
              <w:textAlignment w:val="baseline"/>
              <w:rPr>
                <w:b/>
              </w:rPr>
            </w:pPr>
            <w:r>
              <w:rPr>
                <w:b/>
                <w:bCs/>
              </w:rPr>
              <w:t>Referencias</w:t>
            </w:r>
          </w:p>
        </w:tc>
        <w:tc>
          <w:tcPr>
            <w:tcW w:w="6771" w:type="dxa"/>
          </w:tcPr>
          <w:p w:rsidR="00986C8F" w:rsidP="00430D17" w:rsidRDefault="00BC7F5A" w14:paraId="339057A5" w14:textId="1B4DED6A">
            <w:pPr>
              <w:tabs>
                <w:tab w:val="center" w:pos="284"/>
              </w:tabs>
              <w:overflowPunct w:val="0"/>
              <w:autoSpaceDE w:val="0"/>
              <w:autoSpaceDN w:val="0"/>
              <w:adjustRightInd w:val="0"/>
              <w:ind w:left="266" w:hanging="266"/>
              <w:textAlignment w:val="baseline"/>
            </w:pPr>
            <w:r>
              <w:t>Dictamen de iniciativa</w:t>
            </w:r>
          </w:p>
          <w:p w:rsidRPr="00430D17" w:rsidR="00430D17" w:rsidP="00430D17" w:rsidRDefault="00430D17" w14:paraId="0C365193" w14:textId="66B44E63">
            <w:pPr>
              <w:tabs>
                <w:tab w:val="center" w:pos="284"/>
              </w:tabs>
              <w:overflowPunct w:val="0"/>
              <w:autoSpaceDE w:val="0"/>
              <w:autoSpaceDN w:val="0"/>
              <w:adjustRightInd w:val="0"/>
              <w:ind w:left="266" w:hanging="266"/>
              <w:textAlignment w:val="baseline"/>
            </w:pPr>
            <w:r>
              <w:t>EESC-2024-00669-00-00-AC</w:t>
            </w:r>
          </w:p>
        </w:tc>
      </w:tr>
      <w:tr w:rsidRPr="00430D17" w:rsidR="00430D17" w:rsidTr="002F04A7" w14:paraId="66F71806" w14:textId="77777777">
        <w:tc>
          <w:tcPr>
            <w:tcW w:w="1701" w:type="dxa"/>
            <w:vMerge/>
          </w:tcPr>
          <w:p w:rsidRPr="00430D17" w:rsidR="00430D17" w:rsidP="00430D17" w:rsidRDefault="00430D17" w14:paraId="413BED7C" w14:textId="77777777">
            <w:pPr>
              <w:tabs>
                <w:tab w:val="center" w:pos="284"/>
              </w:tabs>
              <w:overflowPunct w:val="0"/>
              <w:autoSpaceDE w:val="0"/>
              <w:autoSpaceDN w:val="0"/>
              <w:adjustRightInd w:val="0"/>
              <w:ind w:left="266" w:hanging="266"/>
              <w:textAlignment w:val="baseline"/>
              <w:rPr>
                <w:b/>
              </w:rPr>
            </w:pPr>
          </w:p>
        </w:tc>
        <w:tc>
          <w:tcPr>
            <w:tcW w:w="6771" w:type="dxa"/>
          </w:tcPr>
          <w:p w:rsidRPr="00430D17" w:rsidR="00430D17" w:rsidP="00430D17" w:rsidRDefault="00430D17" w14:paraId="33127AA0" w14:textId="77777777">
            <w:pPr>
              <w:tabs>
                <w:tab w:val="center" w:pos="284"/>
              </w:tabs>
              <w:overflowPunct w:val="0"/>
              <w:autoSpaceDE w:val="0"/>
              <w:autoSpaceDN w:val="0"/>
              <w:adjustRightInd w:val="0"/>
              <w:ind w:left="266" w:hanging="266"/>
              <w:textAlignment w:val="baseline"/>
            </w:pPr>
          </w:p>
        </w:tc>
      </w:tr>
    </w:tbl>
    <w:p w:rsidRPr="00430D17" w:rsidR="00430D17" w:rsidP="00430D17" w:rsidRDefault="00430D17" w14:paraId="30619E75" w14:textId="77777777">
      <w:pPr>
        <w:tabs>
          <w:tab w:val="center" w:pos="284"/>
        </w:tabs>
        <w:overflowPunct w:val="0"/>
        <w:autoSpaceDE w:val="0"/>
        <w:autoSpaceDN w:val="0"/>
        <w:adjustRightInd w:val="0"/>
        <w:ind w:left="266" w:hanging="266"/>
        <w:textAlignment w:val="baseline"/>
        <w:rPr>
          <w:lang w:val="en-GB"/>
        </w:rPr>
      </w:pPr>
    </w:p>
    <w:p w:rsidRPr="00430D17"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430D17"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430D17" w:rsidR="00430D17" w:rsidP="00430D17" w:rsidRDefault="00430D17" w14:paraId="31E433B8" w14:textId="77777777">
      <w:pPr>
        <w:overflowPunct w:val="0"/>
        <w:autoSpaceDE w:val="0"/>
        <w:autoSpaceDN w:val="0"/>
        <w:adjustRightInd w:val="0"/>
        <w:textAlignment w:val="baseline"/>
        <w:rPr>
          <w:bCs/>
          <w:iCs/>
        </w:rPr>
      </w:pPr>
      <w:r>
        <w:t>El CESE:</w:t>
      </w:r>
    </w:p>
    <w:p w:rsidRPr="00430D17" w:rsidR="00430D17" w:rsidP="00430D17" w:rsidRDefault="00430D17" w14:paraId="1AA0E214" w14:textId="77777777">
      <w:pPr>
        <w:overflowPunct w:val="0"/>
        <w:autoSpaceDE w:val="0"/>
        <w:autoSpaceDN w:val="0"/>
        <w:adjustRightInd w:val="0"/>
        <w:textAlignment w:val="baseline"/>
        <w:rPr>
          <w:bCs/>
          <w:iCs/>
          <w:lang w:val="en-GB"/>
        </w:rPr>
      </w:pPr>
    </w:p>
    <w:p w:rsidRPr="00430D17" w:rsidR="00430D17" w:rsidP="000F216A" w:rsidRDefault="00430D17" w14:paraId="290DD0A4" w14:textId="77777777">
      <w:pPr>
        <w:widowControl w:val="0"/>
        <w:numPr>
          <w:ilvl w:val="0"/>
          <w:numId w:val="60"/>
        </w:numPr>
        <w:overflowPunct w:val="0"/>
        <w:autoSpaceDE w:val="0"/>
        <w:autoSpaceDN w:val="0"/>
        <w:adjustRightInd w:val="0"/>
        <w:ind w:left="284" w:hanging="284"/>
        <w:textAlignment w:val="baseline"/>
        <w:rPr>
          <w:bCs/>
          <w:iCs/>
        </w:rPr>
      </w:pPr>
      <w:r>
        <w:t xml:space="preserve">considera imprescindible </w:t>
      </w:r>
      <w:r>
        <w:rPr>
          <w:b/>
        </w:rPr>
        <w:t>priorizar los debates a escala de la UE sobre la gestión de los residuos</w:t>
      </w:r>
      <w:r>
        <w:t xml:space="preserve"> y </w:t>
      </w:r>
      <w:r>
        <w:rPr>
          <w:b/>
        </w:rPr>
        <w:t>aplicar una estrategia revisada</w:t>
      </w:r>
      <w:r>
        <w:t xml:space="preserve"> que incluya proyectos pioneros destinados a potenciar el reciclado y la recuperación de recursos, al tiempo que se reduce la prevalencia de los vertederos;</w:t>
      </w:r>
    </w:p>
    <w:p w:rsidRPr="00430D17" w:rsidR="00430D17" w:rsidP="000F216A" w:rsidRDefault="00430D17" w14:paraId="1209DFF9" w14:textId="77777777">
      <w:pPr>
        <w:widowControl w:val="0"/>
        <w:numPr>
          <w:ilvl w:val="0"/>
          <w:numId w:val="60"/>
        </w:numPr>
        <w:overflowPunct w:val="0"/>
        <w:autoSpaceDE w:val="0"/>
        <w:autoSpaceDN w:val="0"/>
        <w:adjustRightInd w:val="0"/>
        <w:ind w:left="284" w:hanging="284"/>
        <w:textAlignment w:val="baseline"/>
        <w:rPr>
          <w:bCs/>
          <w:iCs/>
        </w:rPr>
      </w:pPr>
      <w:r>
        <w:t xml:space="preserve">pide una </w:t>
      </w:r>
      <w:r>
        <w:rPr>
          <w:b/>
        </w:rPr>
        <w:t>supervisión a escala de la UE para hacer frente a las infracciones</w:t>
      </w:r>
      <w:r>
        <w:t xml:space="preserve"> y racionalizar la cadena de productos con futuras inversiones;</w:t>
      </w:r>
    </w:p>
    <w:p w:rsidRPr="00430D17" w:rsidR="00430D17" w:rsidP="000F216A" w:rsidRDefault="00430D17" w14:paraId="1FE2165F" w14:textId="77777777">
      <w:pPr>
        <w:widowControl w:val="0"/>
        <w:numPr>
          <w:ilvl w:val="0"/>
          <w:numId w:val="60"/>
        </w:numPr>
        <w:overflowPunct w:val="0"/>
        <w:autoSpaceDE w:val="0"/>
        <w:autoSpaceDN w:val="0"/>
        <w:adjustRightInd w:val="0"/>
        <w:ind w:left="284" w:hanging="284"/>
        <w:textAlignment w:val="baseline"/>
        <w:rPr>
          <w:bCs/>
          <w:iCs/>
        </w:rPr>
      </w:pPr>
      <w:r>
        <w:t xml:space="preserve">insta a que se adopten </w:t>
      </w:r>
      <w:r>
        <w:rPr>
          <w:b/>
        </w:rPr>
        <w:t>políticas adicionales, en la esfera tanto nacional como de la UE, para mejorar los sistemas de recogida de residuos, invertir en tecnologías avanzadas de clasificación, hacer cumplir de manera eficaz la normativa vigente y establecer multas armonizadas en todos los Estados miembros</w:t>
      </w:r>
      <w:r>
        <w:t xml:space="preserve"> para combatir las actividades ilegales relacionadas con los residuos;</w:t>
      </w:r>
    </w:p>
    <w:p w:rsidRPr="00430D17" w:rsidR="00430D17" w:rsidP="000F216A" w:rsidRDefault="00430D17" w14:paraId="3F80F5DB" w14:textId="77777777">
      <w:pPr>
        <w:widowControl w:val="0"/>
        <w:numPr>
          <w:ilvl w:val="0"/>
          <w:numId w:val="60"/>
        </w:numPr>
        <w:overflowPunct w:val="0"/>
        <w:autoSpaceDE w:val="0"/>
        <w:autoSpaceDN w:val="0"/>
        <w:adjustRightInd w:val="0"/>
        <w:ind w:left="284" w:hanging="284"/>
        <w:textAlignment w:val="baseline"/>
        <w:rPr>
          <w:bCs/>
          <w:iCs/>
        </w:rPr>
      </w:pPr>
      <w:r>
        <w:t xml:space="preserve">apoya la </w:t>
      </w:r>
      <w:r>
        <w:rPr>
          <w:b/>
        </w:rPr>
        <w:t>armonización generalizada de las normas relativas a los materiales recuperados</w:t>
      </w:r>
      <w:r>
        <w:t xml:space="preserve"> a fin de garantizar la igualdad de condiciones para los materiales vírgenes y secundarios en toda la Unión y evitar su regulación fragmentada a nivel nacional;</w:t>
      </w:r>
    </w:p>
    <w:p w:rsidRPr="00430D17" w:rsidR="00430D17" w:rsidP="000F216A" w:rsidRDefault="00430D17" w14:paraId="5164A701" w14:textId="77777777">
      <w:pPr>
        <w:widowControl w:val="0"/>
        <w:numPr>
          <w:ilvl w:val="0"/>
          <w:numId w:val="60"/>
        </w:numPr>
        <w:overflowPunct w:val="0"/>
        <w:autoSpaceDE w:val="0"/>
        <w:autoSpaceDN w:val="0"/>
        <w:adjustRightInd w:val="0"/>
        <w:ind w:left="284" w:hanging="284"/>
        <w:textAlignment w:val="baseline"/>
        <w:rPr>
          <w:bCs/>
          <w:iCs/>
        </w:rPr>
      </w:pPr>
      <w:r>
        <w:t xml:space="preserve">considera necesario </w:t>
      </w:r>
      <w:r>
        <w:rPr>
          <w:b/>
        </w:rPr>
        <w:t>apoyar las tecnologías de recuperación innovadoras y los mercados funcionales para los materiales recuperados</w:t>
      </w:r>
      <w:r>
        <w:t xml:space="preserve">, así como un entorno normativo que propicie el </w:t>
      </w:r>
      <w:r>
        <w:rPr>
          <w:b/>
        </w:rPr>
        <w:t>paso de la eliminación de materiales insostenibles a la generación de materiales secundarios de alta calidad</w:t>
      </w:r>
      <w:r>
        <w:t>;</w:t>
      </w:r>
    </w:p>
    <w:p w:rsidRPr="00430D17" w:rsidR="00430D17" w:rsidP="000F216A" w:rsidRDefault="00430D17" w14:paraId="1D67A00A" w14:textId="77777777">
      <w:pPr>
        <w:widowControl w:val="0"/>
        <w:numPr>
          <w:ilvl w:val="0"/>
          <w:numId w:val="60"/>
        </w:numPr>
        <w:overflowPunct w:val="0"/>
        <w:autoSpaceDE w:val="0"/>
        <w:autoSpaceDN w:val="0"/>
        <w:adjustRightInd w:val="0"/>
        <w:ind w:left="284" w:hanging="284"/>
        <w:textAlignment w:val="baseline"/>
      </w:pPr>
      <w:r>
        <w:t xml:space="preserve">pide que </w:t>
      </w:r>
      <w:r>
        <w:rPr>
          <w:b/>
        </w:rPr>
        <w:t>se aumenten los incentivos y el apoyo financieros</w:t>
      </w:r>
      <w:r>
        <w:t xml:space="preserve"> para desarrollar y adoptar estas </w:t>
      </w:r>
      <w:r>
        <w:rPr>
          <w:b/>
        </w:rPr>
        <w:t>tecnologías y prácticas innovadoras</w:t>
      </w:r>
      <w:r>
        <w:t xml:space="preserve"> en materia de gestión de residuos, respetando al mismo tiempo el principio de la jerarquía de residuos;</w:t>
      </w:r>
    </w:p>
    <w:p w:rsidRPr="00430D17" w:rsidR="00430D17" w:rsidP="000F216A" w:rsidRDefault="00430D17" w14:paraId="2B736ED5"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respalda firmemente que </w:t>
      </w:r>
      <w:r>
        <w:rPr>
          <w:b/>
        </w:rPr>
        <w:t>se maximice la recuperación de nutrientes de las aguas residuales y los lodos de depuradora, entre otras fuentes</w:t>
      </w:r>
      <w:r>
        <w:t>, a través de las mejores prácticas de tratamiento y reciclado y de métodos de recuperación de recursos destinados a capturar minerales valiosos;</w:t>
      </w:r>
    </w:p>
    <w:p w:rsidRPr="00430D17" w:rsidR="00430D17" w:rsidP="000F216A" w:rsidRDefault="00430D17" w14:paraId="066FBAFF" w14:textId="77777777">
      <w:pPr>
        <w:widowControl w:val="0"/>
        <w:numPr>
          <w:ilvl w:val="0"/>
          <w:numId w:val="60"/>
        </w:numPr>
        <w:overflowPunct w:val="0"/>
        <w:autoSpaceDE w:val="0"/>
        <w:autoSpaceDN w:val="0"/>
        <w:adjustRightInd w:val="0"/>
        <w:ind w:left="284" w:hanging="284"/>
        <w:textAlignment w:val="baseline"/>
        <w:rPr>
          <w:rFonts w:asciiTheme="minorHAnsi" w:hAnsiTheme="minorHAnsi"/>
          <w:szCs w:val="20"/>
        </w:rPr>
      </w:pPr>
      <w:r>
        <w:t xml:space="preserve">reconoce la </w:t>
      </w:r>
      <w:r>
        <w:rPr>
          <w:b/>
        </w:rPr>
        <w:t>necesidad de crear programas específicos de mejora de las capacidades y reciclaje profesional del personal del sector de los residuos</w:t>
      </w:r>
      <w:r>
        <w:t>, y</w:t>
      </w:r>
    </w:p>
    <w:p w:rsidRPr="00430D17" w:rsidR="00430D17" w:rsidP="000F216A" w:rsidRDefault="00430D17" w14:paraId="07658568" w14:textId="77777777">
      <w:pPr>
        <w:widowControl w:val="0"/>
        <w:numPr>
          <w:ilvl w:val="0"/>
          <w:numId w:val="60"/>
        </w:numPr>
        <w:overflowPunct w:val="0"/>
        <w:autoSpaceDE w:val="0"/>
        <w:autoSpaceDN w:val="0"/>
        <w:adjustRightInd w:val="0"/>
        <w:ind w:left="284" w:hanging="284"/>
        <w:textAlignment w:val="baseline"/>
        <w:rPr>
          <w:szCs w:val="20"/>
        </w:rPr>
      </w:pPr>
      <w:r>
        <w:t xml:space="preserve">considera que deben promoverse y financiarse </w:t>
      </w:r>
      <w:r>
        <w:rPr>
          <w:b/>
        </w:rPr>
        <w:t>campañas de información</w:t>
      </w:r>
      <w:r>
        <w:t xml:space="preserve"> dirigidas a la ciudadanía de la UE sobre la prevención de residuos, la responsabilidad de los productores y la protección del medio ambiente. </w:t>
      </w:r>
    </w:p>
    <w:p w:rsidRPr="00430D17"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747224" w:rsidR="00430D17" w:rsidTr="00747224" w14:paraId="7F269F20" w14:textId="77777777">
        <w:tc>
          <w:tcPr>
            <w:tcW w:w="2093" w:type="dxa"/>
          </w:tcPr>
          <w:p w:rsidRPr="00747224"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sidRPr="00747224">
              <w:rPr>
                <w:b/>
                <w:i/>
                <w:sz w:val="22"/>
                <w:szCs w:val="22"/>
              </w:rPr>
              <w:t>Contacto</w:t>
            </w:r>
          </w:p>
        </w:tc>
        <w:tc>
          <w:tcPr>
            <w:tcW w:w="4995" w:type="dxa"/>
          </w:tcPr>
          <w:p w:rsidRPr="00747224"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r w:rsidRPr="00747224">
              <w:rPr>
                <w:i/>
                <w:sz w:val="22"/>
                <w:szCs w:val="22"/>
              </w:rPr>
              <w:t>Marie-Laurence Drillon</w:t>
            </w:r>
          </w:p>
        </w:tc>
      </w:tr>
      <w:tr w:rsidRPr="00747224" w:rsidR="00430D17" w:rsidTr="00747224" w14:paraId="55ADD0FD" w14:textId="77777777">
        <w:tc>
          <w:tcPr>
            <w:tcW w:w="2093" w:type="dxa"/>
          </w:tcPr>
          <w:p w:rsidRPr="00747224"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sidRPr="00747224">
              <w:rPr>
                <w:i/>
                <w:sz w:val="22"/>
                <w:szCs w:val="22"/>
              </w:rPr>
              <w:t>Teléfono:</w:t>
            </w:r>
          </w:p>
        </w:tc>
        <w:tc>
          <w:tcPr>
            <w:tcW w:w="4995" w:type="dxa"/>
          </w:tcPr>
          <w:p w:rsidRPr="00747224"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sidRPr="00747224">
              <w:rPr>
                <w:i/>
                <w:sz w:val="22"/>
                <w:szCs w:val="22"/>
              </w:rPr>
              <w:t>+32 25468320</w:t>
            </w:r>
          </w:p>
        </w:tc>
      </w:tr>
      <w:tr w:rsidRPr="00747224" w:rsidR="00430D17" w:rsidTr="00747224" w14:paraId="306B853B" w14:textId="77777777">
        <w:tc>
          <w:tcPr>
            <w:tcW w:w="2093" w:type="dxa"/>
          </w:tcPr>
          <w:p w:rsidRPr="00747224" w:rsidR="00430D17" w:rsidP="00430D17" w:rsidRDefault="006D180C" w14:paraId="08376D61" w14:textId="2E30140B">
            <w:pPr>
              <w:overflowPunct w:val="0"/>
              <w:autoSpaceDE w:val="0"/>
              <w:autoSpaceDN w:val="0"/>
              <w:adjustRightInd w:val="0"/>
              <w:spacing w:line="240" w:lineRule="auto"/>
              <w:textAlignment w:val="baseline"/>
              <w:rPr>
                <w:i/>
                <w:sz w:val="22"/>
                <w:szCs w:val="22"/>
              </w:rPr>
            </w:pPr>
            <w:r w:rsidRPr="00747224">
              <w:rPr>
                <w:i/>
                <w:sz w:val="22"/>
                <w:szCs w:val="22"/>
              </w:rPr>
              <w:t>Correo electrónico:</w:t>
            </w:r>
          </w:p>
        </w:tc>
        <w:tc>
          <w:tcPr>
            <w:tcW w:w="4995" w:type="dxa"/>
          </w:tcPr>
          <w:p w:rsidRPr="00747224" w:rsidR="00430D17" w:rsidP="00430D17" w:rsidRDefault="00F22A9C" w14:paraId="516BD231" w14:textId="68BFFAB2">
            <w:pPr>
              <w:overflowPunct w:val="0"/>
              <w:autoSpaceDE w:val="0"/>
              <w:autoSpaceDN w:val="0"/>
              <w:adjustRightInd w:val="0"/>
              <w:spacing w:line="240" w:lineRule="auto"/>
              <w:textAlignment w:val="baseline"/>
              <w:rPr>
                <w:i/>
                <w:sz w:val="22"/>
                <w:szCs w:val="22"/>
              </w:rPr>
            </w:pPr>
            <w:hyperlink w:history="1" r:id="rId71">
              <w:r w:rsidRPr="00747224" w:rsidR="00594F3A">
                <w:rPr>
                  <w:rStyle w:val="Hyperlink"/>
                  <w:sz w:val="22"/>
                  <w:szCs w:val="22"/>
                </w:rPr>
                <w:t>Marie-Laurence.Drillon@eesc.europa.eu</w:t>
              </w:r>
            </w:hyperlink>
          </w:p>
        </w:tc>
      </w:tr>
    </w:tbl>
    <w:p w:rsidR="00430D17" w:rsidRDefault="00430D17" w14:paraId="45285681" w14:textId="77777777">
      <w:pPr>
        <w:spacing w:after="160" w:line="259" w:lineRule="auto"/>
        <w:jc w:val="left"/>
        <w:rPr>
          <w:b/>
          <w:i/>
          <w:sz w:val="28"/>
          <w:szCs w:val="28"/>
        </w:rPr>
      </w:pPr>
      <w:r>
        <w:br w:type="page"/>
      </w:r>
    </w:p>
    <w:p w:rsidRPr="001D6920" w:rsidR="001D6920" w:rsidP="001D6920" w:rsidRDefault="00F22A9C" w14:paraId="693BCB5D" w14:textId="057DA8F1">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72">
        <w:r w:rsidRPr="00747224" w:rsidR="00276FC9">
          <w:rPr>
            <w:rStyle w:val="Hyperlink"/>
            <w:b/>
            <w:i/>
            <w:sz w:val="28"/>
          </w:rPr>
          <w:t>Industria 5.0: cómo hacerla realidad</w:t>
        </w:r>
      </w:hyperlink>
    </w:p>
    <w:p w:rsidRPr="001D6920"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345"/>
      </w:tblGrid>
      <w:tr w:rsidRPr="001D6920" w:rsidR="001D6920" w:rsidTr="00F324F7" w14:paraId="166CD282" w14:textId="77777777">
        <w:tc>
          <w:tcPr>
            <w:tcW w:w="1701" w:type="dxa"/>
          </w:tcPr>
          <w:p w:rsidRPr="001D6920" w:rsidR="001D6920" w:rsidP="001D6920" w:rsidRDefault="001D6920" w14:paraId="29110215" w14:textId="77777777">
            <w:pPr>
              <w:tabs>
                <w:tab w:val="center" w:pos="284"/>
              </w:tabs>
              <w:overflowPunct w:val="0"/>
              <w:autoSpaceDE w:val="0"/>
              <w:autoSpaceDN w:val="0"/>
              <w:adjustRightInd w:val="0"/>
              <w:ind w:left="266" w:hanging="266"/>
              <w:textAlignment w:val="baseline"/>
              <w:rPr>
                <w:b/>
              </w:rPr>
            </w:pPr>
            <w:r>
              <w:rPr>
                <w:b/>
              </w:rPr>
              <w:t>Ponente</w:t>
            </w:r>
          </w:p>
        </w:tc>
        <w:tc>
          <w:tcPr>
            <w:tcW w:w="6345" w:type="dxa"/>
          </w:tcPr>
          <w:p w:rsidRPr="001D6920" w:rsidR="001D6920" w:rsidP="001D6920" w:rsidRDefault="001D6920" w14:paraId="0C899D86" w14:textId="77777777">
            <w:pPr>
              <w:tabs>
                <w:tab w:val="center" w:pos="284"/>
              </w:tabs>
              <w:overflowPunct w:val="0"/>
              <w:autoSpaceDE w:val="0"/>
              <w:autoSpaceDN w:val="0"/>
              <w:adjustRightInd w:val="0"/>
              <w:ind w:left="266" w:hanging="266"/>
              <w:textAlignment w:val="baseline"/>
            </w:pPr>
            <w:r>
              <w:t>Giuseppe GUERINI (Grupo de Organizaciones de la Sociedad Civil – IT)</w:t>
            </w:r>
          </w:p>
        </w:tc>
      </w:tr>
      <w:tr w:rsidRPr="001D6920" w:rsidR="001D6920" w:rsidTr="00F324F7" w14:paraId="490A3508" w14:textId="77777777">
        <w:tc>
          <w:tcPr>
            <w:tcW w:w="1701" w:type="dxa"/>
          </w:tcPr>
          <w:p w:rsidRPr="001D6920" w:rsidR="001D6920" w:rsidP="001D6920" w:rsidRDefault="001D6920" w14:paraId="67D47AE0" w14:textId="77777777">
            <w:pPr>
              <w:tabs>
                <w:tab w:val="center" w:pos="284"/>
              </w:tabs>
              <w:overflowPunct w:val="0"/>
              <w:autoSpaceDE w:val="0"/>
              <w:autoSpaceDN w:val="0"/>
              <w:adjustRightInd w:val="0"/>
              <w:ind w:left="266" w:hanging="266"/>
              <w:textAlignment w:val="baseline"/>
              <w:rPr>
                <w:b/>
              </w:rPr>
            </w:pPr>
            <w:r>
              <w:rPr>
                <w:b/>
              </w:rPr>
              <w:t>Coponente</w:t>
            </w:r>
          </w:p>
        </w:tc>
        <w:tc>
          <w:tcPr>
            <w:tcW w:w="6345" w:type="dxa"/>
          </w:tcPr>
          <w:p w:rsidRPr="001D6920" w:rsidR="001D6920" w:rsidP="001D6920" w:rsidRDefault="001D6920" w14:paraId="5D7ABF4F" w14:textId="77777777">
            <w:pPr>
              <w:tabs>
                <w:tab w:val="center" w:pos="284"/>
              </w:tabs>
              <w:overflowPunct w:val="0"/>
              <w:autoSpaceDE w:val="0"/>
              <w:autoSpaceDN w:val="0"/>
              <w:adjustRightInd w:val="0"/>
              <w:ind w:left="266" w:hanging="266"/>
              <w:textAlignment w:val="baseline"/>
            </w:pPr>
            <w:r>
              <w:t>Guido NELISSEN (Cat. 2 – BE)</w:t>
            </w:r>
          </w:p>
        </w:tc>
      </w:tr>
      <w:tr w:rsidRPr="001D6920" w:rsidR="001D6920" w:rsidTr="00F324F7" w14:paraId="7213AB59" w14:textId="77777777">
        <w:tc>
          <w:tcPr>
            <w:tcW w:w="8046" w:type="dxa"/>
            <w:gridSpan w:val="2"/>
          </w:tcPr>
          <w:p w:rsidRPr="001D6920"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pPr>
          </w:p>
        </w:tc>
      </w:tr>
      <w:tr w:rsidRPr="001D6920" w:rsidR="001D6920" w:rsidTr="00F324F7" w14:paraId="1E6716E4" w14:textId="77777777">
        <w:tc>
          <w:tcPr>
            <w:tcW w:w="1701" w:type="dxa"/>
            <w:vMerge w:val="restart"/>
          </w:tcPr>
          <w:p w:rsidRPr="001D6920" w:rsidR="001D6920" w:rsidP="001D6920" w:rsidRDefault="001D6920" w14:paraId="77A177EE" w14:textId="77777777">
            <w:pPr>
              <w:tabs>
                <w:tab w:val="center" w:pos="284"/>
              </w:tabs>
              <w:overflowPunct w:val="0"/>
              <w:autoSpaceDE w:val="0"/>
              <w:autoSpaceDN w:val="0"/>
              <w:adjustRightInd w:val="0"/>
              <w:ind w:left="266" w:hanging="266"/>
              <w:textAlignment w:val="baseline"/>
              <w:rPr>
                <w:b/>
              </w:rPr>
            </w:pPr>
            <w:r>
              <w:rPr>
                <w:b/>
                <w:bCs/>
              </w:rPr>
              <w:t>Referencias</w:t>
            </w:r>
          </w:p>
        </w:tc>
        <w:tc>
          <w:tcPr>
            <w:tcW w:w="6345" w:type="dxa"/>
          </w:tcPr>
          <w:p w:rsidR="00C92B60" w:rsidP="001D6920" w:rsidRDefault="00C92B60" w14:paraId="239CCB75" w14:textId="442CB60D">
            <w:pPr>
              <w:tabs>
                <w:tab w:val="center" w:pos="284"/>
              </w:tabs>
              <w:overflowPunct w:val="0"/>
              <w:autoSpaceDE w:val="0"/>
              <w:autoSpaceDN w:val="0"/>
              <w:adjustRightInd w:val="0"/>
              <w:ind w:left="266" w:hanging="266"/>
              <w:textAlignment w:val="baseline"/>
            </w:pPr>
            <w:r>
              <w:t>Dictamen de iniciativa</w:t>
            </w:r>
          </w:p>
          <w:p w:rsidRPr="001D6920" w:rsidR="001D6920" w:rsidP="001D6920" w:rsidRDefault="001D6920" w14:paraId="0882D662" w14:textId="6429688D">
            <w:pPr>
              <w:tabs>
                <w:tab w:val="center" w:pos="284"/>
              </w:tabs>
              <w:overflowPunct w:val="0"/>
              <w:autoSpaceDE w:val="0"/>
              <w:autoSpaceDN w:val="0"/>
              <w:adjustRightInd w:val="0"/>
              <w:ind w:left="266" w:hanging="266"/>
              <w:textAlignment w:val="baseline"/>
            </w:pPr>
            <w:r>
              <w:t>EESC-2024-01285-00-00-AC-TRA</w:t>
            </w:r>
          </w:p>
        </w:tc>
      </w:tr>
      <w:tr w:rsidRPr="001D6920" w:rsidR="001D6920" w:rsidTr="00F324F7" w14:paraId="72F9E57D" w14:textId="77777777">
        <w:tc>
          <w:tcPr>
            <w:tcW w:w="1701" w:type="dxa"/>
            <w:vMerge/>
          </w:tcPr>
          <w:p w:rsidRPr="001D6920" w:rsidR="001D6920" w:rsidP="001D6920" w:rsidRDefault="001D6920" w14:paraId="73E5DF86" w14:textId="77777777">
            <w:pPr>
              <w:tabs>
                <w:tab w:val="center" w:pos="284"/>
              </w:tabs>
              <w:overflowPunct w:val="0"/>
              <w:autoSpaceDE w:val="0"/>
              <w:autoSpaceDN w:val="0"/>
              <w:adjustRightInd w:val="0"/>
              <w:ind w:left="266" w:hanging="266"/>
              <w:textAlignment w:val="baseline"/>
              <w:rPr>
                <w:b/>
              </w:rPr>
            </w:pPr>
          </w:p>
        </w:tc>
        <w:tc>
          <w:tcPr>
            <w:tcW w:w="6345" w:type="dxa"/>
          </w:tcPr>
          <w:p w:rsidRPr="001D6920" w:rsidR="001D6920" w:rsidP="001D6920" w:rsidRDefault="001D6920" w14:paraId="54BD0872" w14:textId="77777777">
            <w:pPr>
              <w:tabs>
                <w:tab w:val="center" w:pos="284"/>
              </w:tabs>
              <w:overflowPunct w:val="0"/>
              <w:autoSpaceDE w:val="0"/>
              <w:autoSpaceDN w:val="0"/>
              <w:adjustRightInd w:val="0"/>
              <w:ind w:left="266" w:hanging="266"/>
              <w:textAlignment w:val="baseline"/>
            </w:pPr>
          </w:p>
        </w:tc>
      </w:tr>
    </w:tbl>
    <w:p w:rsidRPr="001D6920" w:rsidR="001D6920" w:rsidP="001D6920" w:rsidRDefault="001D6920" w14:paraId="77E5D1B6"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1D6920"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1D6920"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rPr>
      </w:pPr>
      <w:r>
        <w:t>El CESE:</w:t>
      </w:r>
    </w:p>
    <w:p w:rsidRPr="001D6920"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1D6920" w:rsidR="001D6920" w:rsidP="000F216A" w:rsidRDefault="001D6920" w14:paraId="42160A4C" w14:textId="77777777">
      <w:pPr>
        <w:numPr>
          <w:ilvl w:val="1"/>
          <w:numId w:val="61"/>
        </w:numPr>
        <w:overflowPunct w:val="0"/>
        <w:autoSpaceDE w:val="0"/>
        <w:autoSpaceDN w:val="0"/>
        <w:adjustRightInd w:val="0"/>
        <w:textAlignment w:val="baseline"/>
        <w:outlineLvl w:val="1"/>
        <w:rPr>
          <w:szCs w:val="20"/>
        </w:rPr>
      </w:pPr>
      <w:r>
        <w:t>considera que la industria 5.0 es un enfoque válido para abordar el impacto de las tecnologías digitales en la fabricación y, de manera más general, para adaptarse mejor a los retos sociales y ecológicos actuales. Si bien acoge con satisfacción la inclusión de nociones como la posición central del ser humano, la resiliencia económica y sostenibilidad, opina que se debe seguir profundizando en el concepto de industria 5.0 con el fin de definir mejor sus consecuencias económicas, sociales, políticas, jurídicas y tecnológicas;</w:t>
      </w:r>
    </w:p>
    <w:p w:rsidRPr="001D6920" w:rsidR="001D6920" w:rsidP="000F216A" w:rsidRDefault="001D6920" w14:paraId="6295CB24" w14:textId="77777777">
      <w:pPr>
        <w:numPr>
          <w:ilvl w:val="1"/>
          <w:numId w:val="61"/>
        </w:numPr>
        <w:overflowPunct w:val="0"/>
        <w:autoSpaceDE w:val="0"/>
        <w:autoSpaceDN w:val="0"/>
        <w:adjustRightInd w:val="0"/>
        <w:textAlignment w:val="baseline"/>
        <w:outlineLvl w:val="1"/>
        <w:rPr>
          <w:szCs w:val="20"/>
        </w:rPr>
      </w:pPr>
      <w:r>
        <w:t>apoya a las autoridades y a los interlocutores sociales en el desarrollo de un marco conceptual, económico y reglamentario más claro y de planes de acción para la adopción generalizada de los principios de la industria 5.0, teniendo en cuenta al hacerlo los posibles costes sociales. Para garantizar una transición tecnológica ordenada, se requiere una mayor participación de los trabajadores y un diálogo social consolidado que implique a todas las partes interesadas pertinentes y a la sociedad civil organizada;</w:t>
      </w:r>
    </w:p>
    <w:p w:rsidRPr="001D6920" w:rsidR="001D6920" w:rsidP="000F216A" w:rsidRDefault="001D6920" w14:paraId="279F1380" w14:textId="77777777">
      <w:pPr>
        <w:numPr>
          <w:ilvl w:val="1"/>
          <w:numId w:val="61"/>
        </w:numPr>
        <w:overflowPunct w:val="0"/>
        <w:autoSpaceDE w:val="0"/>
        <w:autoSpaceDN w:val="0"/>
        <w:adjustRightInd w:val="0"/>
        <w:textAlignment w:val="baseline"/>
        <w:outlineLvl w:val="1"/>
        <w:rPr>
          <w:szCs w:val="20"/>
        </w:rPr>
      </w:pPr>
      <w:r>
        <w:t>pide a las instituciones de la UE que fomenten la creación de un ecosistema industrial europeo propicio, que tiene que estar preparado para el futuro y centrado en el ser humano y basarse en valores democráticos, la equidad social, la competencia leal y la competitividad inclusiva; subraya la necesidad de fundamentar la visión de la industria 5.0 en las políticas europeas existentes, actualizándolas al mismo tiempo con el fin de integrar los principios de la Industria 5.0;</w:t>
      </w:r>
    </w:p>
    <w:p w:rsidRPr="001D6920" w:rsidR="001D6920" w:rsidP="000F216A" w:rsidRDefault="001D6920" w14:paraId="1CBBCCCD" w14:textId="77777777">
      <w:pPr>
        <w:numPr>
          <w:ilvl w:val="1"/>
          <w:numId w:val="61"/>
        </w:numPr>
        <w:overflowPunct w:val="0"/>
        <w:autoSpaceDE w:val="0"/>
        <w:autoSpaceDN w:val="0"/>
        <w:adjustRightInd w:val="0"/>
        <w:textAlignment w:val="baseline"/>
        <w:outlineLvl w:val="1"/>
        <w:rPr>
          <w:szCs w:val="20"/>
        </w:rPr>
      </w:pPr>
      <w:r>
        <w:t>considera que el despliegue de la industria 5.0 también debe contar con el apoyo de plataformas descentralizadas de partes interesadas y asociaciones público-privadas, que tendrán que desarrollar herramientas de aprendizaje, establecer programas o actividades empresariales, promover la asimilación e intercambiar o difundir buenas prácticas;</w:t>
      </w:r>
    </w:p>
    <w:p w:rsidRPr="001D6920" w:rsidR="001D6920" w:rsidP="000F216A" w:rsidRDefault="001D6920" w14:paraId="6BAC89E5" w14:textId="77777777">
      <w:pPr>
        <w:numPr>
          <w:ilvl w:val="1"/>
          <w:numId w:val="61"/>
        </w:numPr>
        <w:overflowPunct w:val="0"/>
        <w:autoSpaceDE w:val="0"/>
        <w:autoSpaceDN w:val="0"/>
        <w:adjustRightInd w:val="0"/>
        <w:textAlignment w:val="baseline"/>
        <w:outlineLvl w:val="1"/>
        <w:rPr>
          <w:szCs w:val="20"/>
        </w:rPr>
      </w:pPr>
      <w:r>
        <w:t>subraya la necesidad de invertir en programas de I+D e innovación, tanto públicos como privados, para desarrollar nuevos modelos económicos, sistemas de producción y mercados sostenibles, resilientes y centrados en el ser humano; del mismo modo, destaca la importancia de prestar un apoyo continuo y suficiente a las costosas inversiones de 360° necesarias para actualizar las empresas a fin de adecuarlas a la industria 5.0.</w:t>
      </w:r>
    </w:p>
    <w:p w:rsidRPr="001D6920"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4995"/>
      </w:tblGrid>
      <w:tr w:rsidRPr="007A67C4" w:rsidR="001D6920" w:rsidTr="007A67C4" w14:paraId="3479108A" w14:textId="77777777">
        <w:tc>
          <w:tcPr>
            <w:tcW w:w="2093" w:type="dxa"/>
          </w:tcPr>
          <w:p w:rsidRPr="007A67C4"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sidRPr="007A67C4">
              <w:rPr>
                <w:b/>
                <w:i/>
                <w:sz w:val="22"/>
                <w:szCs w:val="22"/>
              </w:rPr>
              <w:t>Contacto:</w:t>
            </w:r>
          </w:p>
        </w:tc>
        <w:tc>
          <w:tcPr>
            <w:tcW w:w="4995" w:type="dxa"/>
          </w:tcPr>
          <w:p w:rsidRPr="007A67C4" w:rsidR="001D6920" w:rsidP="001D6920" w:rsidRDefault="001D6920" w14:paraId="5F17F0AD" w14:textId="3E5FCC79">
            <w:pPr>
              <w:overflowPunct w:val="0"/>
              <w:autoSpaceDE w:val="0"/>
              <w:autoSpaceDN w:val="0"/>
              <w:adjustRightInd w:val="0"/>
              <w:spacing w:line="240" w:lineRule="auto"/>
              <w:textAlignment w:val="baseline"/>
              <w:rPr>
                <w:i/>
                <w:sz w:val="22"/>
                <w:szCs w:val="22"/>
              </w:rPr>
            </w:pPr>
            <w:r w:rsidRPr="007A67C4">
              <w:rPr>
                <w:i/>
                <w:sz w:val="22"/>
                <w:szCs w:val="22"/>
              </w:rPr>
              <w:t>Laia Tomàs Vinardell</w:t>
            </w:r>
          </w:p>
        </w:tc>
      </w:tr>
      <w:tr w:rsidRPr="007A67C4" w:rsidR="001D6920" w:rsidTr="007A67C4" w14:paraId="209C9F6E" w14:textId="77777777">
        <w:tc>
          <w:tcPr>
            <w:tcW w:w="2093" w:type="dxa"/>
          </w:tcPr>
          <w:p w:rsidRPr="007A67C4"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sidRPr="007A67C4">
              <w:rPr>
                <w:i/>
                <w:sz w:val="22"/>
                <w:szCs w:val="22"/>
              </w:rPr>
              <w:t>Teléfono:</w:t>
            </w:r>
          </w:p>
        </w:tc>
        <w:tc>
          <w:tcPr>
            <w:tcW w:w="4995" w:type="dxa"/>
          </w:tcPr>
          <w:p w:rsidRPr="007A67C4"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sidRPr="007A67C4">
              <w:rPr>
                <w:i/>
                <w:sz w:val="22"/>
                <w:szCs w:val="22"/>
              </w:rPr>
              <w:t>+32 25469149</w:t>
            </w:r>
          </w:p>
        </w:tc>
      </w:tr>
      <w:tr w:rsidRPr="007A67C4" w:rsidR="001D6920" w:rsidTr="007A67C4" w14:paraId="2F1B5100" w14:textId="77777777">
        <w:trPr>
          <w:trHeight w:val="80"/>
        </w:trPr>
        <w:tc>
          <w:tcPr>
            <w:tcW w:w="2093" w:type="dxa"/>
          </w:tcPr>
          <w:p w:rsidRPr="007A67C4" w:rsidR="001D6920" w:rsidP="001D6920" w:rsidRDefault="00E44EE2" w14:paraId="339CF0F0" w14:textId="40C6C8D8">
            <w:pPr>
              <w:overflowPunct w:val="0"/>
              <w:autoSpaceDE w:val="0"/>
              <w:autoSpaceDN w:val="0"/>
              <w:adjustRightInd w:val="0"/>
              <w:spacing w:line="240" w:lineRule="auto"/>
              <w:textAlignment w:val="baseline"/>
              <w:rPr>
                <w:i/>
                <w:sz w:val="22"/>
                <w:szCs w:val="22"/>
              </w:rPr>
            </w:pPr>
            <w:r w:rsidRPr="007A67C4">
              <w:rPr>
                <w:i/>
                <w:sz w:val="22"/>
                <w:szCs w:val="22"/>
              </w:rPr>
              <w:t>Correo electrónico:</w:t>
            </w:r>
          </w:p>
        </w:tc>
        <w:tc>
          <w:tcPr>
            <w:tcW w:w="4995" w:type="dxa"/>
          </w:tcPr>
          <w:p w:rsidRPr="007A67C4" w:rsidR="001D6920" w:rsidP="001D6920" w:rsidRDefault="00F22A9C" w14:paraId="0C4C5443" w14:textId="598FDD4C">
            <w:pPr>
              <w:overflowPunct w:val="0"/>
              <w:autoSpaceDE w:val="0"/>
              <w:autoSpaceDN w:val="0"/>
              <w:adjustRightInd w:val="0"/>
              <w:spacing w:line="240" w:lineRule="auto"/>
              <w:textAlignment w:val="baseline"/>
              <w:rPr>
                <w:i/>
                <w:color w:val="0000FF"/>
                <w:sz w:val="22"/>
                <w:szCs w:val="22"/>
                <w:u w:val="single"/>
              </w:rPr>
            </w:pPr>
            <w:hyperlink w:history="1" r:id="rId73">
              <w:r w:rsidRPr="007A67C4" w:rsidR="007E03C9">
                <w:rPr>
                  <w:i/>
                  <w:color w:val="0000FF"/>
                  <w:sz w:val="22"/>
                  <w:szCs w:val="22"/>
                  <w:u w:val="single"/>
                </w:rPr>
                <w:t>Laia.TomasVinardell@eesc.europa.eu</w:t>
              </w:r>
            </w:hyperlink>
          </w:p>
          <w:p w:rsidRPr="007A67C4" w:rsidR="001D6920" w:rsidP="001D6920" w:rsidRDefault="001D6920" w14:paraId="26D406F3" w14:textId="7CFCE0E3">
            <w:pPr>
              <w:overflowPunct w:val="0"/>
              <w:autoSpaceDE w:val="0"/>
              <w:autoSpaceDN w:val="0"/>
              <w:adjustRightInd w:val="0"/>
              <w:spacing w:line="240" w:lineRule="auto"/>
              <w:textAlignment w:val="baseline"/>
              <w:rPr>
                <w:i/>
                <w:sz w:val="22"/>
                <w:szCs w:val="22"/>
              </w:rPr>
            </w:pPr>
          </w:p>
        </w:tc>
      </w:tr>
    </w:tbl>
    <w:p w:rsidRPr="001D6920" w:rsidR="001D6920" w:rsidP="001D6920" w:rsidRDefault="001D6920" w14:paraId="45FF33BB" w14:textId="77777777">
      <w:pPr>
        <w:overflowPunct w:val="0"/>
        <w:autoSpaceDE w:val="0"/>
        <w:autoSpaceDN w:val="0"/>
        <w:adjustRightInd w:val="0"/>
        <w:jc w:val="center"/>
        <w:textAlignment w:val="baseline"/>
        <w:rPr>
          <w:szCs w:val="20"/>
        </w:rPr>
      </w:pPr>
      <w:r>
        <w:t>______________</w:t>
      </w:r>
    </w:p>
    <w:p w:rsidR="000D394D" w:rsidRDefault="000D394D" w14:paraId="2E28EF19" w14:textId="77777777">
      <w:pPr>
        <w:spacing w:after="160" w:line="259" w:lineRule="auto"/>
        <w:jc w:val="left"/>
      </w:pPr>
    </w:p>
    <w:sectPr w:rsidR="000D394D" w:rsidSect="002676D9">
      <w:headerReference w:type="even" r:id="rId74"/>
      <w:headerReference w:type="default" r:id="rId75"/>
      <w:footerReference w:type="even" r:id="rId76"/>
      <w:footerReference w:type="default" r:id="rId77"/>
      <w:headerReference w:type="first" r:id="rId78"/>
      <w:footerReference w:type="first" r:id="rId79"/>
      <w:pgSz w:w="11907" w:h="16839"/>
      <w:pgMar w:top="1417" w:right="992" w:bottom="1135"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DB7E" w14:textId="77777777" w:rsidR="00347517" w:rsidRPr="00347517" w:rsidRDefault="00347517" w:rsidP="0034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E76617B"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sidR="000F216A">
      <w:t>1</w:t>
    </w:r>
    <w:r>
      <w:fldChar w:fldCharType="end"/>
    </w:r>
    <w:r>
      <w:t>/</w:t>
    </w:r>
    <w:fldSimple w:instr=" NUMPAGES ">
      <w:r w:rsidR="000F216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D7AB" w14:textId="77777777" w:rsidR="00347517" w:rsidRPr="00347517" w:rsidRDefault="00347517" w:rsidP="00347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t>2</w:t>
    </w:r>
    <w:r>
      <w:fldChar w:fldCharType="end"/>
    </w:r>
    <w:r>
      <w:t>/</w:t>
    </w:r>
    <w:fldSimple w:instr=" NUMPAGES ">
      <w:r>
        <w:t>31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0F216A" w:rsidRDefault="00C46CDD" w:rsidP="00C46CDD">
      <w:pPr>
        <w:pStyle w:val="FootnoteText"/>
      </w:pPr>
      <w:r>
        <w:rPr>
          <w:rStyle w:val="FootnoteReference"/>
        </w:rPr>
        <w:footnoteRef/>
      </w:r>
      <w:r>
        <w:tab/>
        <w:t xml:space="preserve">DO C, C/2023/883, de 8.12.2023, ELI: </w:t>
      </w:r>
      <w:hyperlink r:id="rId1" w:tgtFrame="_blank" w:tooltip="Da acceso a este documento a través de su URI ELI." w:history="1">
        <w:r>
          <w:rPr>
            <w:rStyle w:val="Hyperlink"/>
          </w:rPr>
          <w:t>https://eur-lex.europa.eu/eli/C/2023/883/oj?locale=es</w:t>
        </w:r>
      </w:hyperlink>
    </w:p>
  </w:footnote>
  <w:footnote w:id="2">
    <w:p w14:paraId="38A8703E" w14:textId="77777777" w:rsidR="0093748C" w:rsidRPr="00360DD3" w:rsidRDefault="0093748C" w:rsidP="0093748C">
      <w:pPr>
        <w:pStyle w:val="FootnoteText"/>
      </w:pPr>
      <w:r>
        <w:rPr>
          <w:rStyle w:val="FootnoteReference"/>
        </w:rPr>
        <w:footnoteRef/>
      </w:r>
      <w:r>
        <w:t xml:space="preserve"> </w:t>
      </w:r>
      <w:r>
        <w:tab/>
        <w:t xml:space="preserve">Dictamen de iniciativa del CESE </w:t>
      </w:r>
      <w:hyperlink r:id="rId2" w:history="1">
        <w:r>
          <w:rPr>
            <w:rStyle w:val="Hyperlink"/>
          </w:rPr>
          <w:t>«Deforestación de la selva amazónica: repercusiones para el cambio climático y el medio ambiente mundial y consecuencias para las empresas, los trabajadores y la sociedad»</w:t>
        </w:r>
      </w:hyperlink>
      <w:r>
        <w:t xml:space="preserve"> (pendiente de publicación en el Diario Oficial).</w:t>
      </w:r>
    </w:p>
  </w:footnote>
  <w:footnote w:id="3">
    <w:p w14:paraId="30E6D304" w14:textId="008A7FB9" w:rsidR="0093748C" w:rsidRPr="00360DD3" w:rsidRDefault="0093748C" w:rsidP="0093748C">
      <w:pPr>
        <w:pStyle w:val="FootnoteText"/>
      </w:pPr>
      <w:r>
        <w:rPr>
          <w:rStyle w:val="FootnoteReference"/>
        </w:rPr>
        <w:footnoteRef/>
      </w:r>
      <w:r>
        <w:t xml:space="preserve"> </w:t>
      </w:r>
      <w:r>
        <w:tab/>
        <w:t xml:space="preserve">Dictamen del CESE </w:t>
      </w:r>
      <w:hyperlink r:id="rId3" w:history="1">
        <w:r>
          <w:rPr>
            <w:rStyle w:val="Hyperlink"/>
          </w:rPr>
          <w:t>«Minimizar el riesgo de deforestación y degradación forestal asociado a los productos comercializados en la UE»</w:t>
        </w:r>
      </w:hyperlink>
      <w:r>
        <w:t xml:space="preserve">, </w:t>
      </w:r>
      <w:hyperlink r:id="rId4" w:history="1">
        <w:r>
          <w:rPr>
            <w:rStyle w:val="Hyperlink"/>
          </w:rPr>
          <w:t>DO C 275 de 18.7.2022, p.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E62C" w14:textId="77777777" w:rsidR="00347517" w:rsidRPr="00347517" w:rsidRDefault="00347517" w:rsidP="003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F5E" w14:textId="1CA8A3AC" w:rsidR="00347517" w:rsidRPr="00347517" w:rsidRDefault="00347517" w:rsidP="0034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125C" w14:textId="77777777" w:rsidR="00347517" w:rsidRPr="00347517" w:rsidRDefault="00347517" w:rsidP="00347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C762951E"/>
    <w:lvl w:ilvl="0" w:tplc="080C0001">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623"/>
    <w:rsid w:val="00010A4D"/>
    <w:rsid w:val="000227C8"/>
    <w:rsid w:val="00025B86"/>
    <w:rsid w:val="0002674D"/>
    <w:rsid w:val="00035CE5"/>
    <w:rsid w:val="00054A40"/>
    <w:rsid w:val="00061BA6"/>
    <w:rsid w:val="00063DFF"/>
    <w:rsid w:val="0006417B"/>
    <w:rsid w:val="0007366C"/>
    <w:rsid w:val="000D3652"/>
    <w:rsid w:val="000D394D"/>
    <w:rsid w:val="000E3799"/>
    <w:rsid w:val="000F216A"/>
    <w:rsid w:val="000F5F52"/>
    <w:rsid w:val="0011408B"/>
    <w:rsid w:val="0012096F"/>
    <w:rsid w:val="001336EC"/>
    <w:rsid w:val="00135714"/>
    <w:rsid w:val="00145410"/>
    <w:rsid w:val="001474CF"/>
    <w:rsid w:val="0015600B"/>
    <w:rsid w:val="00167D22"/>
    <w:rsid w:val="0017390A"/>
    <w:rsid w:val="0017486C"/>
    <w:rsid w:val="00194D13"/>
    <w:rsid w:val="0019579C"/>
    <w:rsid w:val="001B2D67"/>
    <w:rsid w:val="001B6628"/>
    <w:rsid w:val="001B7902"/>
    <w:rsid w:val="001C7BAE"/>
    <w:rsid w:val="001D6920"/>
    <w:rsid w:val="001E391D"/>
    <w:rsid w:val="001E66FB"/>
    <w:rsid w:val="001F6B77"/>
    <w:rsid w:val="001F7935"/>
    <w:rsid w:val="002359A5"/>
    <w:rsid w:val="0024307B"/>
    <w:rsid w:val="00256464"/>
    <w:rsid w:val="00260FDB"/>
    <w:rsid w:val="002676D9"/>
    <w:rsid w:val="00276FC9"/>
    <w:rsid w:val="002856F3"/>
    <w:rsid w:val="002912D2"/>
    <w:rsid w:val="00292019"/>
    <w:rsid w:val="002A5636"/>
    <w:rsid w:val="002B398F"/>
    <w:rsid w:val="002B59D2"/>
    <w:rsid w:val="002B6EB3"/>
    <w:rsid w:val="002B7981"/>
    <w:rsid w:val="002C7C99"/>
    <w:rsid w:val="002D02AC"/>
    <w:rsid w:val="002D2388"/>
    <w:rsid w:val="002E4BE1"/>
    <w:rsid w:val="002F04A7"/>
    <w:rsid w:val="002F20BE"/>
    <w:rsid w:val="003009EF"/>
    <w:rsid w:val="00303415"/>
    <w:rsid w:val="003066BE"/>
    <w:rsid w:val="00314E42"/>
    <w:rsid w:val="003227CC"/>
    <w:rsid w:val="003248DA"/>
    <w:rsid w:val="00325873"/>
    <w:rsid w:val="003451B0"/>
    <w:rsid w:val="00347517"/>
    <w:rsid w:val="0035043B"/>
    <w:rsid w:val="00374C94"/>
    <w:rsid w:val="00376A01"/>
    <w:rsid w:val="00392AA4"/>
    <w:rsid w:val="003C4A67"/>
    <w:rsid w:val="003D5E11"/>
    <w:rsid w:val="003D6908"/>
    <w:rsid w:val="003E0D5C"/>
    <w:rsid w:val="003E4BF8"/>
    <w:rsid w:val="003F326D"/>
    <w:rsid w:val="003F79EF"/>
    <w:rsid w:val="004109EE"/>
    <w:rsid w:val="00426D99"/>
    <w:rsid w:val="00430D17"/>
    <w:rsid w:val="0043191A"/>
    <w:rsid w:val="00436222"/>
    <w:rsid w:val="00450A40"/>
    <w:rsid w:val="0045124C"/>
    <w:rsid w:val="00464C05"/>
    <w:rsid w:val="00476A1F"/>
    <w:rsid w:val="00477EC1"/>
    <w:rsid w:val="0048069D"/>
    <w:rsid w:val="004A39AB"/>
    <w:rsid w:val="004A5CD7"/>
    <w:rsid w:val="004A734C"/>
    <w:rsid w:val="004D7AC0"/>
    <w:rsid w:val="00500C3A"/>
    <w:rsid w:val="0050374B"/>
    <w:rsid w:val="00532089"/>
    <w:rsid w:val="00543F56"/>
    <w:rsid w:val="00544A40"/>
    <w:rsid w:val="00563476"/>
    <w:rsid w:val="00572E71"/>
    <w:rsid w:val="00582AB8"/>
    <w:rsid w:val="00586B4B"/>
    <w:rsid w:val="00594F3A"/>
    <w:rsid w:val="005A0BDA"/>
    <w:rsid w:val="005D3FDF"/>
    <w:rsid w:val="005E23DC"/>
    <w:rsid w:val="005E2D2D"/>
    <w:rsid w:val="005E7651"/>
    <w:rsid w:val="00603E92"/>
    <w:rsid w:val="00620BBE"/>
    <w:rsid w:val="00621CAD"/>
    <w:rsid w:val="00625CA3"/>
    <w:rsid w:val="00630774"/>
    <w:rsid w:val="00634C99"/>
    <w:rsid w:val="00635F3B"/>
    <w:rsid w:val="00637500"/>
    <w:rsid w:val="00641262"/>
    <w:rsid w:val="00643F95"/>
    <w:rsid w:val="00646F72"/>
    <w:rsid w:val="00672AFD"/>
    <w:rsid w:val="00680D82"/>
    <w:rsid w:val="006C172C"/>
    <w:rsid w:val="006C457C"/>
    <w:rsid w:val="006D180C"/>
    <w:rsid w:val="006D2C8A"/>
    <w:rsid w:val="006D2D64"/>
    <w:rsid w:val="006E6DFA"/>
    <w:rsid w:val="00700204"/>
    <w:rsid w:val="00700337"/>
    <w:rsid w:val="007258F5"/>
    <w:rsid w:val="00726DB5"/>
    <w:rsid w:val="00740649"/>
    <w:rsid w:val="00741C73"/>
    <w:rsid w:val="00746E6E"/>
    <w:rsid w:val="00747224"/>
    <w:rsid w:val="00754027"/>
    <w:rsid w:val="00757AA0"/>
    <w:rsid w:val="00763857"/>
    <w:rsid w:val="007668A1"/>
    <w:rsid w:val="00766B1A"/>
    <w:rsid w:val="0078435A"/>
    <w:rsid w:val="007850A2"/>
    <w:rsid w:val="007877AE"/>
    <w:rsid w:val="00795AB6"/>
    <w:rsid w:val="007A5F00"/>
    <w:rsid w:val="007A67C4"/>
    <w:rsid w:val="007A7D3B"/>
    <w:rsid w:val="007C1BEC"/>
    <w:rsid w:val="007C49B3"/>
    <w:rsid w:val="007E03C9"/>
    <w:rsid w:val="007E5D7C"/>
    <w:rsid w:val="007F5784"/>
    <w:rsid w:val="0080025A"/>
    <w:rsid w:val="008171BE"/>
    <w:rsid w:val="00836113"/>
    <w:rsid w:val="008425F1"/>
    <w:rsid w:val="008441EB"/>
    <w:rsid w:val="00845F24"/>
    <w:rsid w:val="008526AF"/>
    <w:rsid w:val="00871258"/>
    <w:rsid w:val="0088219D"/>
    <w:rsid w:val="008A2F71"/>
    <w:rsid w:val="008A2F72"/>
    <w:rsid w:val="00901CA1"/>
    <w:rsid w:val="0091466A"/>
    <w:rsid w:val="00915C29"/>
    <w:rsid w:val="00915CD9"/>
    <w:rsid w:val="00922542"/>
    <w:rsid w:val="00926B4A"/>
    <w:rsid w:val="0093748C"/>
    <w:rsid w:val="00946677"/>
    <w:rsid w:val="00946F7A"/>
    <w:rsid w:val="00950137"/>
    <w:rsid w:val="00973BBC"/>
    <w:rsid w:val="009769A0"/>
    <w:rsid w:val="0098576D"/>
    <w:rsid w:val="00986C8F"/>
    <w:rsid w:val="00991962"/>
    <w:rsid w:val="00991DA2"/>
    <w:rsid w:val="00992171"/>
    <w:rsid w:val="009B15D0"/>
    <w:rsid w:val="009B29D4"/>
    <w:rsid w:val="009B61C0"/>
    <w:rsid w:val="009C0722"/>
    <w:rsid w:val="009C29D8"/>
    <w:rsid w:val="009D0400"/>
    <w:rsid w:val="009D1033"/>
    <w:rsid w:val="009F353D"/>
    <w:rsid w:val="00A07F34"/>
    <w:rsid w:val="00A20E9D"/>
    <w:rsid w:val="00A21A77"/>
    <w:rsid w:val="00A272B2"/>
    <w:rsid w:val="00A30C1F"/>
    <w:rsid w:val="00A33A63"/>
    <w:rsid w:val="00A34FE2"/>
    <w:rsid w:val="00A35CE7"/>
    <w:rsid w:val="00A454FA"/>
    <w:rsid w:val="00A471DC"/>
    <w:rsid w:val="00A47435"/>
    <w:rsid w:val="00A47A41"/>
    <w:rsid w:val="00A5001B"/>
    <w:rsid w:val="00A50553"/>
    <w:rsid w:val="00A630EC"/>
    <w:rsid w:val="00A73811"/>
    <w:rsid w:val="00A8113A"/>
    <w:rsid w:val="00A82CF4"/>
    <w:rsid w:val="00A91E08"/>
    <w:rsid w:val="00A92187"/>
    <w:rsid w:val="00AA20A5"/>
    <w:rsid w:val="00AB39AA"/>
    <w:rsid w:val="00AC3936"/>
    <w:rsid w:val="00AD787C"/>
    <w:rsid w:val="00B03207"/>
    <w:rsid w:val="00B1062C"/>
    <w:rsid w:val="00B203DA"/>
    <w:rsid w:val="00B24195"/>
    <w:rsid w:val="00B518C9"/>
    <w:rsid w:val="00B55819"/>
    <w:rsid w:val="00B6772C"/>
    <w:rsid w:val="00B75043"/>
    <w:rsid w:val="00B80A16"/>
    <w:rsid w:val="00BC3832"/>
    <w:rsid w:val="00BC7F5A"/>
    <w:rsid w:val="00BD18EB"/>
    <w:rsid w:val="00BE074F"/>
    <w:rsid w:val="00BE43C2"/>
    <w:rsid w:val="00BE54B3"/>
    <w:rsid w:val="00C008B4"/>
    <w:rsid w:val="00C00BEC"/>
    <w:rsid w:val="00C02BD1"/>
    <w:rsid w:val="00C050AC"/>
    <w:rsid w:val="00C1261F"/>
    <w:rsid w:val="00C17ABD"/>
    <w:rsid w:val="00C26C67"/>
    <w:rsid w:val="00C44E7D"/>
    <w:rsid w:val="00C46CDD"/>
    <w:rsid w:val="00C509F7"/>
    <w:rsid w:val="00C57C2D"/>
    <w:rsid w:val="00C70E92"/>
    <w:rsid w:val="00C821A5"/>
    <w:rsid w:val="00C91A40"/>
    <w:rsid w:val="00C92B60"/>
    <w:rsid w:val="00C97DBC"/>
    <w:rsid w:val="00C97E35"/>
    <w:rsid w:val="00CA050B"/>
    <w:rsid w:val="00CA1A9B"/>
    <w:rsid w:val="00CA38F2"/>
    <w:rsid w:val="00CC15AC"/>
    <w:rsid w:val="00D0422E"/>
    <w:rsid w:val="00D15E7A"/>
    <w:rsid w:val="00D42A3F"/>
    <w:rsid w:val="00D43613"/>
    <w:rsid w:val="00D64339"/>
    <w:rsid w:val="00D7076A"/>
    <w:rsid w:val="00D81F5E"/>
    <w:rsid w:val="00D92269"/>
    <w:rsid w:val="00DA5DFB"/>
    <w:rsid w:val="00DC0660"/>
    <w:rsid w:val="00DC07D2"/>
    <w:rsid w:val="00DD46E6"/>
    <w:rsid w:val="00DE176A"/>
    <w:rsid w:val="00DE7A4A"/>
    <w:rsid w:val="00E00A6B"/>
    <w:rsid w:val="00E2134E"/>
    <w:rsid w:val="00E44EE2"/>
    <w:rsid w:val="00E60F13"/>
    <w:rsid w:val="00E62A2C"/>
    <w:rsid w:val="00E77899"/>
    <w:rsid w:val="00E86DED"/>
    <w:rsid w:val="00E9511D"/>
    <w:rsid w:val="00EB109D"/>
    <w:rsid w:val="00EC1A9A"/>
    <w:rsid w:val="00ED03A0"/>
    <w:rsid w:val="00EF1659"/>
    <w:rsid w:val="00F324F7"/>
    <w:rsid w:val="00F5655E"/>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customStyle="1" w:styleId="UnresolvedMention1">
    <w:name w:val="Unresolved Mention1"/>
    <w:basedOn w:val="DefaultParagraphFont"/>
    <w:uiPriority w:val="99"/>
    <w:semiHidden/>
    <w:unhideWhenUsed/>
    <w:rsid w:val="00347517"/>
    <w:rPr>
      <w:color w:val="605E5C"/>
      <w:shd w:val="clear" w:color="auto" w:fill="E1DFDD"/>
    </w:rPr>
  </w:style>
  <w:style w:type="character" w:styleId="UnresolvedMention">
    <w:name w:val="Unresolved Mention"/>
    <w:basedOn w:val="DefaultParagraphFont"/>
    <w:uiPriority w:val="99"/>
    <w:semiHidden/>
    <w:unhideWhenUsed/>
    <w:rsid w:val="00292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es/our-work/opinions-information-reports/opinions/additional-considerations-euro-area-economic-policy-2024" TargetMode="External"/><Relationship Id="rId42" Type="http://schemas.openxmlformats.org/officeDocument/2006/relationships/hyperlink" Target="https://www.eesc.europa.eu/es/our-work/opinions-information-reports/opinions/potential-geothermal-energy-green-transition" TargetMode="External"/><Relationship Id="rId47" Type="http://schemas.openxmlformats.org/officeDocument/2006/relationships/hyperlink" Target="mailto:Silvia.Staffa@eesc.europa.eu" TargetMode="External"/><Relationship Id="rId63" Type="http://schemas.openxmlformats.org/officeDocument/2006/relationships/hyperlink" Target="mailto:Myrto.Kolyva@eesc.europa.eu" TargetMode="External"/><Relationship Id="rId68" Type="http://schemas.openxmlformats.org/officeDocument/2006/relationships/hyperlink" Target="https://www.eesc.europa.eu/es/our-work/opinions-information-reports/opinions/clean-transition-dialogues-stocktaking-strong-european-industry-sustainable-europe" TargetMode="External"/><Relationship Id="rId84" Type="http://schemas.openxmlformats.org/officeDocument/2006/relationships/customXml" Target="../customXml/item3.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https://www.eesc.europa.eu/es/our-work/opinions-information-reports/opinions/guidelines-employment-policies-member-states-4" TargetMode="External"/><Relationship Id="rId37" Type="http://schemas.openxmlformats.org/officeDocument/2006/relationships/hyperlink" Target="mailto:Valeria.Atzori@eesc.europa.eu" TargetMode="External"/><Relationship Id="rId40" Type="http://schemas.openxmlformats.org/officeDocument/2006/relationships/hyperlink" Target="https://www.eesc.europa.eu/es/our-work/opinions-information-reports/opinions/imbalances-social-protection-general-and-specifically-new-forms-work-and-atypical-workers" TargetMode="External"/><Relationship Id="rId45" Type="http://schemas.openxmlformats.org/officeDocument/2006/relationships/hyperlink" Target="mailto:Albert.Precup@eesc.europa.eu" TargetMode="External"/><Relationship Id="rId53" Type="http://schemas.openxmlformats.org/officeDocument/2006/relationships/hyperlink" Target="mailto:Marco.Manfroni@eesc.europa.eu" TargetMode="External"/><Relationship Id="rId58" Type="http://schemas.openxmlformats.org/officeDocument/2006/relationships/hyperlink" Target="https://www.eesc.europa.eu/es/our-work/opinions-information-reports/opinions/extension-equivalence-regime-imports-forest-reproductive-material" TargetMode="External"/><Relationship Id="rId66" Type="http://schemas.openxmlformats.org/officeDocument/2006/relationships/hyperlink" Target="https://www.eesc.europa.eu/es/our-work/opinions-information-reports/opinions/revision-eu-visa-suspension-mechanism" TargetMode="External"/><Relationship Id="rId74" Type="http://schemas.openxmlformats.org/officeDocument/2006/relationships/header" Target="header4.xml"/><Relationship Id="rId79" Type="http://schemas.openxmlformats.org/officeDocument/2006/relationships/footer" Target="footer6.xml"/><Relationship Id="rId61" Type="http://schemas.openxmlformats.org/officeDocument/2006/relationships/hyperlink" Target="mailto:Martine.Delanoy@eesc.europa.eu" TargetMode="External"/><Relationship Id="rId82" Type="http://schemas.openxmlformats.org/officeDocument/2006/relationships/customXml" Target="../customXml/item1.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es/our-work/opinions-information-reports/opinions/climate-change-and-its-impact-economy" TargetMode="External"/><Relationship Id="rId30" Type="http://schemas.openxmlformats.org/officeDocument/2006/relationships/hyperlink" Target="mailto:Gabriela.Grasu@eesc.europa.eu" TargetMode="External"/><Relationship Id="rId35" Type="http://schemas.openxmlformats.org/officeDocument/2006/relationships/hyperlink" Target="mailto:Valeria.Atzori@eesc.europa.eu" TargetMode="External"/><Relationship Id="rId43" Type="http://schemas.openxmlformats.org/officeDocument/2006/relationships/hyperlink" Target="mailto:Antonio.RibeiroPereira@eesc.europa.eu" TargetMode="External"/><Relationship Id="rId48" Type="http://schemas.openxmlformats.org/officeDocument/2006/relationships/hyperlink" Target="https://www.eesc.europa.eu/es/our-work/opinions-information-reports/opinions/potential-public-procurement-social-economy-enterprises" TargetMode="External"/><Relationship Id="rId56" Type="http://schemas.openxmlformats.org/officeDocument/2006/relationships/hyperlink" Target="https://www.eesc.europa.eu/es/our-work/opinions-information-reports/opinions/fight-against-counterfeiting" TargetMode="External"/><Relationship Id="rId64" Type="http://schemas.openxmlformats.org/officeDocument/2006/relationships/hyperlink" Target="https://www.eesc.europa.eu/es/our-work/opinions-information-reports/opinions/aligning-circular-economy-and-bioeconomy-eu-and-national-level" TargetMode="External"/><Relationship Id="rId69" Type="http://schemas.openxmlformats.org/officeDocument/2006/relationships/hyperlink" Target="mailto:Ioannis.Diamantopoulos@eesc.europa.eu" TargetMode="External"/><Relationship Id="rId77"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mailto:Veronika.Kadlecova@eesc.europa.eu" TargetMode="External"/><Relationship Id="rId72" Type="http://schemas.openxmlformats.org/officeDocument/2006/relationships/hyperlink" Target="https://www.eesc.europa.eu/es/our-work/opinions-information-reports/opinions/industry-50-how-make-it-happen" TargetMode="External"/><Relationship Id="rId80" Type="http://schemas.openxmlformats.org/officeDocument/2006/relationships/fontTable" Target="fontTable.xml"/><Relationship Id="rId85" Type="http://schemas.openxmlformats.org/officeDocument/2006/relationships/customXml" Target="../customXml/item4.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s/our-work/opinions-information-reports/opinions/enhancing-fiscal-transparency-through-participatory-budgeting-eu" TargetMode="External"/><Relationship Id="rId33" Type="http://schemas.openxmlformats.org/officeDocument/2006/relationships/hyperlink" Target="mailto:Bartek.Bednarowicz@eesc.europa.eu" TargetMode="External"/><Relationship Id="rId38" Type="http://schemas.openxmlformats.org/officeDocument/2006/relationships/hyperlink" Target="https://www.eesc.europa.eu/es/our-work/opinions-information-reports/opinions/fostering-opportunities-and-managing-risks-new-technologies-public-services-organisation-work-and-more-equal-and" TargetMode="External"/><Relationship Id="rId46" Type="http://schemas.openxmlformats.org/officeDocument/2006/relationships/hyperlink" Target="https://www.eesc.europa.eu/es/our-work/opinions-information-reports/opinions/report-competition-policy-2023" TargetMode="External"/><Relationship Id="rId59" Type="http://schemas.openxmlformats.org/officeDocument/2006/relationships/hyperlink" Target="mailto:Nicolas.Stenger@eesc.europa.eu" TargetMode="External"/><Relationship Id="rId67" Type="http://schemas.openxmlformats.org/officeDocument/2006/relationships/hyperlink" Target="mailto:Sabrina.Tesoka@eesc.europa.eu" TargetMode="External"/><Relationship Id="rId20" Type="http://schemas.openxmlformats.org/officeDocument/2006/relationships/footer" Target="footer3.xml"/><Relationship Id="rId41" Type="http://schemas.openxmlformats.org/officeDocument/2006/relationships/hyperlink" Target="mailto:Bartek.Bednarowicz@eesc.europa.eu" TargetMode="External"/><Relationship Id="rId54" Type="http://schemas.openxmlformats.org/officeDocument/2006/relationships/hyperlink" Target="https://www.eesc.europa.eu/es/our-work/opinions-information-reports/information-reports/final-evaluation-consumer-programme-2014-2020" TargetMode="External"/><Relationship Id="rId62" Type="http://schemas.openxmlformats.org/officeDocument/2006/relationships/hyperlink" Target="https://www.eesc.europa.eu/es/our-work/opinions-information-reports/opinions/fostering-sustainable-and-resilient-food-systems-times-growing-crises" TargetMode="External"/><Relationship Id="rId70" Type="http://schemas.openxmlformats.org/officeDocument/2006/relationships/hyperlink" Target="https://www.eesc.europa.eu/es/our-work/opinions-information-reports/opinions/waste-plants-resource-plants" TargetMode="External"/><Relationship Id="rId75" Type="http://schemas.openxmlformats.org/officeDocument/2006/relationships/header" Target="header5.xml"/><Relationship Id="rId83" Type="http://schemas.openxmlformats.org/officeDocument/2006/relationships/customXml" Target="../customXml/item2.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s/our-work/opinions-information-reports/opinions/additional-considerations-annual-sustainable-growth-survey-2024" TargetMode="External"/><Relationship Id="rId28" Type="http://schemas.openxmlformats.org/officeDocument/2006/relationships/hyperlink" Target="mailto:Anna.Pantazi@eesc.europa.eu" TargetMode="External"/><Relationship Id="rId36" Type="http://schemas.openxmlformats.org/officeDocument/2006/relationships/hyperlink" Target="https://www.eesc.europa.eu/es/our-work/opinions-information-reports/opinions/leaving-no-one-behind-european-commitment-tackling-rare-diseases" TargetMode="External"/><Relationship Id="rId49" Type="http://schemas.openxmlformats.org/officeDocument/2006/relationships/hyperlink" Target="mailto:Annalisa.Tessarolo@eesc.europa.eu" TargetMode="External"/><Relationship Id="rId57" Type="http://schemas.openxmlformats.org/officeDocument/2006/relationships/hyperlink" Target="mailto:annalisa.tessarolo@eesc.europa.eu"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es/our-work/opinions-information-reports/opinions/radioactive-waste-management-civil-society-perspective" TargetMode="External"/><Relationship Id="rId52" Type="http://schemas.openxmlformats.org/officeDocument/2006/relationships/hyperlink" Target="https://www.eesc.europa.eu/es/our-work/opinions-information-reports/information-reports/evaluation-digital-europe-programme" TargetMode="External"/><Relationship Id="rId60" Type="http://schemas.openxmlformats.org/officeDocument/2006/relationships/hyperlink" Target="https://www.eesc.europa.eu/es/our-work/opinions-information-reports/opinions/provisions-relating-date-application" TargetMode="External"/><Relationship Id="rId65" Type="http://schemas.openxmlformats.org/officeDocument/2006/relationships/hyperlink" Target="mailto:Caroline.Verhelst@eesc.europa.eu" TargetMode="External"/><Relationship Id="rId73" Type="http://schemas.openxmlformats.org/officeDocument/2006/relationships/hyperlink" Target="mailto:Laia.TomasVinardell@eesc.europa.eu" TargetMode="External"/><Relationship Id="rId78" Type="http://schemas.openxmlformats.org/officeDocument/2006/relationships/header" Target="header6.xml"/><Relationship Id="rId81" Type="http://schemas.openxmlformats.org/officeDocument/2006/relationships/theme" Target="theme/theme1.xml"/><Relationship Id="rId9" Type="http://schemas.openxmlformats.org/officeDocument/2006/relationships/webSettings" Target="webSettings.xml"/><Relationship Id="rId13" Type="http://schemas.openxmlformats.org/officeDocument/2006/relationships/hyperlink" Target="https://www.eesc.europa.eu/es/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Ana.Dumitrache@eesc.europa.eu" TargetMode="External"/><Relationship Id="rId34" Type="http://schemas.openxmlformats.org/officeDocument/2006/relationships/hyperlink" Target="https://www.eesc.europa.eu/es/our-work/opinions-information-reports/opinions/devising-european-flagship-initiative-health" TargetMode="External"/><Relationship Id="rId50" Type="http://schemas.openxmlformats.org/officeDocument/2006/relationships/hyperlink" Target="https://www.eesc.europa.eu/es/our-work/opinions-information-reports/opinions/general-purpose-ai-way-forward-after-ai-act" TargetMode="External"/><Relationship Id="rId55" Type="http://schemas.openxmlformats.org/officeDocument/2006/relationships/hyperlink" Target="mailto:Radoslava.Stefankova@eesc.europa.eu" TargetMode="External"/><Relationship Id="rId76" Type="http://schemas.openxmlformats.org/officeDocument/2006/relationships/footer" Target="footer4.xml"/><Relationship Id="rId7" Type="http://schemas.openxmlformats.org/officeDocument/2006/relationships/styles" Target="styles.xml"/><Relationship Id="rId71" Type="http://schemas.openxmlformats.org/officeDocument/2006/relationships/hyperlink" Target="mailto:Marie-Laurence.Drillon@eesc.europa.eu" TargetMode="External"/><Relationship Id="rId29" Type="http://schemas.openxmlformats.org/officeDocument/2006/relationships/hyperlink" Target="https://www.eesc.europa.eu/es/our-work/opinions-information-reports/opinions/ensuring-needs-based-work-life-balance-all-how-adequate-flexible-working-conditions-can-support-intergener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es/our-work/opinions-information-reports/opinions/minimising-risk-deforestation-and-forest-degradation-associated-products-placed-eu-market" TargetMode="External"/><Relationship Id="rId2" Type="http://schemas.openxmlformats.org/officeDocument/2006/relationships/hyperlink" Target="https://www.eesc.europa.eu/es/our-work/opinions-information-reports/opinions/deforestation-amazon-rainforest-impact-climate-change-and-global-environment-consequences-companies-workers-and" TargetMode="External"/><Relationship Id="rId1" Type="http://schemas.openxmlformats.org/officeDocument/2006/relationships/hyperlink" Target="https://eur-lex.europa.eu/eli/C/2023/883/oj?locale=es" TargetMode="External"/><Relationship Id="rId4" Type="http://schemas.openxmlformats.org/officeDocument/2006/relationships/hyperlink" Target="https://eur-lex.europa.eu/legal-content/ES/TXT/HTML/?uri=OJ:C:2022:275: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F7M6YNZUATRX-2090047846-4847</_dlc_DocId>
    <_dlc_DocIdUrl xmlns="59ace41b-6786-4ce3-be71-52c27066c6ef">
      <Url>http://dm/eesc/2024/_layouts/15/DocIdRedir.aspx?ID=F7M6YNZUATRX-2090047846-4847</Url>
      <Description>F7M6YNZUATRX-2090047846-4847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Fernandez Riego Maria Gabriela</DisplayName>
        <AccountId>1517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5C750-576A-4375-B1F5-AAE1E3878DB3}"/>
</file>

<file path=customXml/itemProps2.xml><?xml version="1.0" encoding="utf-8"?>
<ds:datastoreItem xmlns:ds="http://schemas.openxmlformats.org/officeDocument/2006/customXml" ds:itemID="{BEEE19F1-4053-4E41-8C4A-BCF1192DC4D4}"/>
</file>

<file path=customXml/itemProps3.xml><?xml version="1.0" encoding="utf-8"?>
<ds:datastoreItem xmlns:ds="http://schemas.openxmlformats.org/officeDocument/2006/customXml" ds:itemID="{73A7700D-917B-4E80-A209-ADF30FC80A93}"/>
</file>

<file path=customXml/itemProps4.xml><?xml version="1.0" encoding="utf-8"?>
<ds:datastoreItem xmlns:ds="http://schemas.openxmlformats.org/officeDocument/2006/customXml" ds:itemID="{9A6C51DC-888E-4A0F-9F9F-5CAD5EDE70D1}"/>
</file>

<file path=docProps/app.xml><?xml version="1.0" encoding="utf-8"?>
<Properties xmlns="http://schemas.openxmlformats.org/officeDocument/2006/extended-properties" xmlns:vt="http://schemas.openxmlformats.org/officeDocument/2006/docPropsVTypes">
  <Template>Normal.dotm</Template>
  <TotalTime>0</TotalTime>
  <Pages>28</Pages>
  <Words>10060</Words>
  <Characters>57344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67270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dictámenes- 591. Pleno - octubre de 2024</dc:title>
  <dc:subject>TCD</dc:subject>
  <dc:creator>Nieddu Emma</dc:creator>
  <cp:keywords>EESC-2024-03425-00-00-TCD-TRA-EN</cp:keywords>
  <dc:description>Rapporteur:  - Original language: EN - Date of document: 18/11/2024 - Date of meeting: 30/04/2024 14:30 - External documents:  - Administrator: MME TAMASAUSKIENE Julija</dc:description>
  <cp:lastModifiedBy>Fernandez Riego Maria Gabriela</cp:lastModifiedBy>
  <cp:revision>51</cp:revision>
  <dcterms:created xsi:type="dcterms:W3CDTF">2024-11-15T08:24:00Z</dcterms:created>
  <dcterms:modified xsi:type="dcterms:W3CDTF">2024-11-18T09:17:00Z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ce109cc1-dd02-499c-9ce8-4e71e5c9c2ca</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EN|f2175f21-25d7-44a3-96da-d6a61b075e1b;FR|d2afafd3-4c81-4f60-8f52-ee33f2f54ff3</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24;#ES|e7a6b05b-ae16-40c8-add9-68b64b03aeba</vt:lpwstr>
  </property>
  <property fmtid="{D5CDD505-2E9C-101B-9397-08002B2CF9AE}" pid="38" name="_docset_NoMedatataSyncRequired">
    <vt:lpwstr>False</vt:lpwstr>
  </property>
</Properties>
</file>