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B16931" w14:paraId="4982DD4D" w14:textId="6FE8FD66">
      <w:pPr>
        <w:jc w:val="center"/>
      </w:pPr>
      <w:r>
        <w:rPr>
          <w:noProof/>
        </w:rPr>
        <w:drawing>
          <wp:inline distT="0" distB="0" distL="0" distR="0" wp14:anchorId="213AE756" wp14:editId="4533D115">
            <wp:extent cx="1792605" cy="1239520"/>
            <wp:effectExtent l="0" t="0" r="0" b="0"/>
            <wp:docPr id="1" name="Picture 1" title="EESCLogo_DE"/>
            <wp:cNvGraphicFramePr/>
            <a:graphic xmlns:a="http://schemas.openxmlformats.org/drawingml/2006/main">
              <a:graphicData uri="http://schemas.openxmlformats.org/drawingml/2006/picture">
                <pic:pic xmlns:pic="http://schemas.openxmlformats.org/drawingml/2006/picture">
                  <pic:nvPicPr>
                    <pic:cNvPr id="1" name="Picture 1" title="EESCLogo_D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584E2C09"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DE</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6DEC9623">
      <w:pPr>
        <w:jc w:val="right"/>
      </w:pPr>
      <w:r>
        <w:t>Brüssel, den 2. Dezember 2024</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F324F7" w14:paraId="4982DD59" w14:textId="77777777">
        <w:tc>
          <w:tcPr>
            <w:tcW w:w="9289" w:type="dxa"/>
            <w:tcBorders>
              <w:bottom w:val="double" w:color="auto" w:sz="4" w:space="0"/>
            </w:tcBorders>
          </w:tcPr>
          <w:p w:rsidR="003066BE" w:rsidP="00F324F7" w:rsidRDefault="00FF111E" w14:paraId="4982DD53" w14:textId="6EB57300">
            <w:pPr>
              <w:snapToGrid w:val="0"/>
              <w:jc w:val="center"/>
              <w:rPr>
                <w:b/>
                <w:sz w:val="32"/>
                <w:szCs w:val="32"/>
              </w:rPr>
            </w:pPr>
            <w:r>
              <w:rPr>
                <w:b/>
                <w:sz w:val="32"/>
              </w:rPr>
              <w:t>591. PLENARTAGUNG</w:t>
            </w:r>
          </w:p>
          <w:p w:rsidR="003066BE" w:rsidP="00F324F7" w:rsidRDefault="003066BE" w14:paraId="4982DD54" w14:textId="77777777">
            <w:pPr>
              <w:snapToGrid w:val="0"/>
              <w:jc w:val="center"/>
              <w:rPr>
                <w:b/>
                <w:sz w:val="32"/>
                <w:szCs w:val="32"/>
              </w:rPr>
            </w:pPr>
          </w:p>
          <w:p w:rsidR="003066BE" w:rsidP="00F324F7" w:rsidRDefault="00FF111E" w14:paraId="4982DD55" w14:textId="0BF54A06">
            <w:pPr>
              <w:snapToGrid w:val="0"/>
              <w:jc w:val="center"/>
              <w:rPr>
                <w:b/>
                <w:sz w:val="32"/>
                <w:szCs w:val="32"/>
              </w:rPr>
            </w:pPr>
            <w:r>
              <w:rPr>
                <w:b/>
                <w:sz w:val="32"/>
              </w:rPr>
              <w:t>23./24. Oktober 2024</w:t>
            </w:r>
          </w:p>
          <w:p w:rsidR="003066BE" w:rsidP="00F324F7" w:rsidRDefault="003066BE" w14:paraId="4982DD56" w14:textId="77777777">
            <w:pPr>
              <w:snapToGrid w:val="0"/>
              <w:jc w:val="center"/>
              <w:rPr>
                <w:b/>
                <w:sz w:val="32"/>
                <w:szCs w:val="32"/>
              </w:rPr>
            </w:pPr>
          </w:p>
          <w:p w:rsidRPr="0081153B" w:rsidR="004D7AC0" w:rsidP="00F324F7" w:rsidRDefault="00754027" w14:paraId="4982DD57" w14:textId="5A35E792">
            <w:pPr>
              <w:snapToGrid w:val="0"/>
              <w:jc w:val="center"/>
              <w:rPr>
                <w:rFonts w:eastAsia="MS Mincho"/>
                <w:b/>
                <w:sz w:val="32"/>
                <w:szCs w:val="32"/>
              </w:rPr>
            </w:pPr>
            <w:r>
              <w:rPr>
                <w:b/>
                <w:sz w:val="32"/>
              </w:rPr>
              <w:t>ZUSAMMENFASSUNG DER VERABSCHIEDETEN STELLUNGNAHMEN, ENTSCHLIEẞUNGEN UND INFORMATIONS-/BEWERTUNGSBERICHTE</w:t>
            </w:r>
          </w:p>
          <w:p w:rsidR="004D7AC0" w:rsidP="00F324F7" w:rsidRDefault="004D7AC0" w14:paraId="4982DD58" w14:textId="77777777">
            <w:pPr>
              <w:snapToGrid w:val="0"/>
            </w:pPr>
          </w:p>
        </w:tc>
      </w:tr>
      <w:tr w:rsidR="004D7AC0" w:rsidTr="00F324F7"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F324F7" w:rsidRDefault="004D7AC0" w14:paraId="4982DD5A" w14:textId="123BA926">
            <w:pPr>
              <w:snapToGrid w:val="0"/>
              <w:jc w:val="center"/>
            </w:pPr>
            <w:r>
              <w:t>Dieses Dokument kann in allen Amtssprachen der Europäischen Union auf dem EWSA-Internetportal abgerufen werden:</w:t>
            </w:r>
            <w:r>
              <w:br/>
            </w:r>
            <w:r>
              <w:br/>
            </w:r>
            <w:hyperlink w:history="1" r:id="rId13">
              <w:r>
                <w:rPr>
                  <w:rStyle w:val="Hyperlink"/>
                </w:rPr>
                <w:t>https://www.eesc.europa.eu/de/our-work/opinions-information-reports/plenary-session-summaries</w:t>
              </w:r>
            </w:hyperlink>
          </w:p>
          <w:p w:rsidRPr="0081153B" w:rsidR="004D7AC0" w:rsidP="00F324F7" w:rsidRDefault="004D7AC0" w14:paraId="4982DD5C" w14:textId="77777777">
            <w:pPr>
              <w:snapToGrid w:val="0"/>
              <w:jc w:val="center"/>
              <w:rPr>
                <w:rFonts w:eastAsia="SimSun"/>
              </w:rPr>
            </w:pPr>
          </w:p>
          <w:p w:rsidRPr="00044561" w:rsidR="004D7AC0" w:rsidP="00F324F7" w:rsidRDefault="004D7AC0" w14:paraId="4982DD5D" w14:textId="15D4DB11">
            <w:pPr>
              <w:snapToGrid w:val="0"/>
              <w:jc w:val="center"/>
            </w:pPr>
            <w:r>
              <w:t>Die aufgeführten Stellungnahmen können online über die Suchmaschine des EWSA abgerufen werden:</w:t>
            </w:r>
            <w:r>
              <w:br/>
            </w:r>
            <w:r>
              <w:br/>
            </w:r>
            <w:hyperlink w:history="1" r:id="rId14">
              <w:r>
                <w:rPr>
                  <w:rStyle w:val="Hyperlink"/>
                </w:rPr>
                <w:t>https://dmsearch.eesc.europa.eu/search/opinion</w:t>
              </w:r>
            </w:hyperlink>
          </w:p>
          <w:p w:rsidRPr="00044561" w:rsidR="004D7AC0" w:rsidP="00F324F7"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347517">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Inhalt:</w:t>
      </w:r>
    </w:p>
    <w:sdt>
      <w:sdtPr>
        <w:rPr>
          <w:rFonts w:ascii="Times New Roman" w:hAnsi="Times New Roman" w:eastAsia="Times New Roman" w:cs="Times New Roman"/>
          <w:b w:val="0"/>
          <w:color w:val="auto"/>
          <w:sz w:val="22"/>
          <w:szCs w:val="22"/>
        </w:rPr>
        <w:id w:val="-17007477"/>
        <w:docPartObj>
          <w:docPartGallery w:val="Table of Contents"/>
          <w:docPartUnique/>
        </w:docPartObj>
      </w:sdtPr>
      <w:sdtEndPr>
        <w:rPr>
          <w:bCs/>
          <w:noProof/>
        </w:rPr>
      </w:sdtEndPr>
      <w:sdtContent>
        <w:p w:rsidRPr="00A81AFE" w:rsidR="004D7AC0" w:rsidP="000F216A" w:rsidRDefault="004D7AC0" w14:paraId="4982DD64" w14:textId="77777777">
          <w:pPr>
            <w:pStyle w:val="TOCHeading"/>
            <w:keepNext w:val="0"/>
            <w:keepLines w:val="0"/>
            <w:pageBreakBefore w:val="0"/>
          </w:pPr>
        </w:p>
        <w:p w:rsidR="00536180" w:rsidP="00536180" w:rsidRDefault="007E03C9" w14:paraId="2410E8E3" w14:textId="00EB74AD">
          <w:pPr>
            <w:pStyle w:val="TOC1"/>
            <w:tabs>
              <w:tab w:val="left" w:pos="440"/>
              <w:tab w:val="right" w:leader="dot" w:pos="9488"/>
            </w:tabs>
            <w:ind w:left="440" w:hanging="440"/>
            <w:rPr>
              <w:rFonts w:asciiTheme="minorHAnsi" w:hAnsiTheme="minorHAnsi" w:eastAsiaTheme="minorEastAsia" w:cstheme="minorBidi"/>
              <w:noProof/>
              <w:lang w:val="en-US"/>
            </w:rPr>
          </w:pPr>
          <w:r>
            <w:rPr>
              <w:b/>
            </w:rPr>
            <w:fldChar w:fldCharType="begin"/>
          </w:r>
          <w:r>
            <w:rPr>
              <w:b/>
            </w:rPr>
            <w:instrText xml:space="preserve"> TOC \o "1-1" \h \z \u </w:instrText>
          </w:r>
          <w:r>
            <w:rPr>
              <w:b/>
            </w:rPr>
            <w:fldChar w:fldCharType="separate"/>
          </w:r>
          <w:hyperlink w:history="1" w:anchor="_Toc182920361">
            <w:r w:rsidRPr="000775A1" w:rsidR="00536180">
              <w:rPr>
                <w:rStyle w:val="Hyperlink"/>
                <w:noProof/>
              </w:rPr>
              <w:t>1.</w:t>
            </w:r>
            <w:r w:rsidR="00536180">
              <w:rPr>
                <w:rFonts w:asciiTheme="minorHAnsi" w:hAnsiTheme="minorHAnsi" w:eastAsiaTheme="minorEastAsia" w:cstheme="minorBidi"/>
                <w:noProof/>
                <w:lang w:val="en-US"/>
              </w:rPr>
              <w:tab/>
            </w:r>
            <w:r w:rsidRPr="000775A1" w:rsidR="00536180">
              <w:rPr>
                <w:rStyle w:val="Hyperlink"/>
                <w:noProof/>
              </w:rPr>
              <w:t>WIRTSCHAFTS- UND WÄHRUNGSUNION, WIRTSCHAFTLICHER UND SOZIALER ZUSAMMENHALT</w:t>
            </w:r>
            <w:r w:rsidR="00536180">
              <w:rPr>
                <w:noProof/>
                <w:webHidden/>
              </w:rPr>
              <w:tab/>
            </w:r>
            <w:r w:rsidR="00536180">
              <w:rPr>
                <w:noProof/>
                <w:webHidden/>
              </w:rPr>
              <w:fldChar w:fldCharType="begin"/>
            </w:r>
            <w:r w:rsidR="00536180">
              <w:rPr>
                <w:noProof/>
                <w:webHidden/>
              </w:rPr>
              <w:instrText xml:space="preserve"> PAGEREF _Toc182920361 \h </w:instrText>
            </w:r>
            <w:r w:rsidR="00536180">
              <w:rPr>
                <w:noProof/>
                <w:webHidden/>
              </w:rPr>
            </w:r>
            <w:r w:rsidR="00536180">
              <w:rPr>
                <w:noProof/>
                <w:webHidden/>
              </w:rPr>
              <w:fldChar w:fldCharType="separate"/>
            </w:r>
            <w:r w:rsidR="000013C5">
              <w:rPr>
                <w:noProof/>
                <w:webHidden/>
              </w:rPr>
              <w:t>3</w:t>
            </w:r>
            <w:r w:rsidR="00536180">
              <w:rPr>
                <w:noProof/>
                <w:webHidden/>
              </w:rPr>
              <w:fldChar w:fldCharType="end"/>
            </w:r>
          </w:hyperlink>
        </w:p>
        <w:p w:rsidR="00536180" w:rsidRDefault="00536180" w14:paraId="37C30350" w14:textId="4EC505EB">
          <w:pPr>
            <w:pStyle w:val="TOC1"/>
            <w:tabs>
              <w:tab w:val="left" w:pos="440"/>
              <w:tab w:val="right" w:leader="dot" w:pos="9488"/>
            </w:tabs>
            <w:rPr>
              <w:rFonts w:asciiTheme="minorHAnsi" w:hAnsiTheme="minorHAnsi" w:eastAsiaTheme="minorEastAsia" w:cstheme="minorBidi"/>
              <w:noProof/>
              <w:lang w:val="en-US"/>
            </w:rPr>
          </w:pPr>
          <w:hyperlink w:history="1" w:anchor="_Toc182920362">
            <w:r w:rsidRPr="000775A1">
              <w:rPr>
                <w:rStyle w:val="Hyperlink"/>
                <w:noProof/>
              </w:rPr>
              <w:t>2.</w:t>
            </w:r>
            <w:r>
              <w:rPr>
                <w:rFonts w:asciiTheme="minorHAnsi" w:hAnsiTheme="minorHAnsi" w:eastAsiaTheme="minorEastAsia" w:cstheme="minorBidi"/>
                <w:noProof/>
                <w:lang w:val="en-US"/>
              </w:rPr>
              <w:tab/>
            </w:r>
            <w:r w:rsidRPr="000775A1">
              <w:rPr>
                <w:rStyle w:val="Hyperlink"/>
                <w:noProof/>
              </w:rPr>
              <w:t>BESCHÄFTIGUNG, SOZIALFRAGEN, UNIONSBÜRGERSCHAFT</w:t>
            </w:r>
            <w:r>
              <w:rPr>
                <w:noProof/>
                <w:webHidden/>
              </w:rPr>
              <w:tab/>
            </w:r>
            <w:r>
              <w:rPr>
                <w:noProof/>
                <w:webHidden/>
              </w:rPr>
              <w:fldChar w:fldCharType="begin"/>
            </w:r>
            <w:r>
              <w:rPr>
                <w:noProof/>
                <w:webHidden/>
              </w:rPr>
              <w:instrText xml:space="preserve"> PAGEREF _Toc182920362 \h </w:instrText>
            </w:r>
            <w:r>
              <w:rPr>
                <w:noProof/>
                <w:webHidden/>
              </w:rPr>
            </w:r>
            <w:r>
              <w:rPr>
                <w:noProof/>
                <w:webHidden/>
              </w:rPr>
              <w:fldChar w:fldCharType="separate"/>
            </w:r>
            <w:r w:rsidR="000013C5">
              <w:rPr>
                <w:noProof/>
                <w:webHidden/>
              </w:rPr>
              <w:t>9</w:t>
            </w:r>
            <w:r>
              <w:rPr>
                <w:noProof/>
                <w:webHidden/>
              </w:rPr>
              <w:fldChar w:fldCharType="end"/>
            </w:r>
          </w:hyperlink>
        </w:p>
        <w:p w:rsidR="00536180" w:rsidRDefault="00536180" w14:paraId="4F62EC67" w14:textId="26E03E60">
          <w:pPr>
            <w:pStyle w:val="TOC1"/>
            <w:tabs>
              <w:tab w:val="left" w:pos="440"/>
              <w:tab w:val="right" w:leader="dot" w:pos="9488"/>
            </w:tabs>
            <w:rPr>
              <w:rFonts w:asciiTheme="minorHAnsi" w:hAnsiTheme="minorHAnsi" w:eastAsiaTheme="minorEastAsia" w:cstheme="minorBidi"/>
              <w:noProof/>
              <w:lang w:val="en-US"/>
            </w:rPr>
          </w:pPr>
          <w:hyperlink w:history="1" w:anchor="_Toc182920363">
            <w:r w:rsidRPr="000775A1">
              <w:rPr>
                <w:rStyle w:val="Hyperlink"/>
                <w:noProof/>
              </w:rPr>
              <w:t>3.</w:t>
            </w:r>
            <w:r>
              <w:rPr>
                <w:rFonts w:asciiTheme="minorHAnsi" w:hAnsiTheme="minorHAnsi" w:eastAsiaTheme="minorEastAsia" w:cstheme="minorBidi"/>
                <w:noProof/>
                <w:lang w:val="en-US"/>
              </w:rPr>
              <w:tab/>
            </w:r>
            <w:r w:rsidRPr="000775A1">
              <w:rPr>
                <w:rStyle w:val="Hyperlink"/>
                <w:noProof/>
              </w:rPr>
              <w:t>VERKEHR, ENERGIE, INFRASTRUKTUREN, INFORMATIONSGESELLSCHAFT</w:t>
            </w:r>
            <w:r>
              <w:rPr>
                <w:noProof/>
                <w:webHidden/>
              </w:rPr>
              <w:tab/>
            </w:r>
            <w:r>
              <w:rPr>
                <w:noProof/>
                <w:webHidden/>
              </w:rPr>
              <w:fldChar w:fldCharType="begin"/>
            </w:r>
            <w:r>
              <w:rPr>
                <w:noProof/>
                <w:webHidden/>
              </w:rPr>
              <w:instrText xml:space="preserve"> PAGEREF _Toc182920363 \h </w:instrText>
            </w:r>
            <w:r>
              <w:rPr>
                <w:noProof/>
                <w:webHidden/>
              </w:rPr>
            </w:r>
            <w:r>
              <w:rPr>
                <w:noProof/>
                <w:webHidden/>
              </w:rPr>
              <w:fldChar w:fldCharType="separate"/>
            </w:r>
            <w:r w:rsidR="000013C5">
              <w:rPr>
                <w:noProof/>
                <w:webHidden/>
              </w:rPr>
              <w:t>15</w:t>
            </w:r>
            <w:r>
              <w:rPr>
                <w:noProof/>
                <w:webHidden/>
              </w:rPr>
              <w:fldChar w:fldCharType="end"/>
            </w:r>
          </w:hyperlink>
        </w:p>
        <w:p w:rsidR="00536180" w:rsidRDefault="00536180" w14:paraId="21140B2E" w14:textId="5441BE5C">
          <w:pPr>
            <w:pStyle w:val="TOC1"/>
            <w:tabs>
              <w:tab w:val="left" w:pos="440"/>
              <w:tab w:val="right" w:leader="dot" w:pos="9488"/>
            </w:tabs>
            <w:rPr>
              <w:rFonts w:asciiTheme="minorHAnsi" w:hAnsiTheme="minorHAnsi" w:eastAsiaTheme="minorEastAsia" w:cstheme="minorBidi"/>
              <w:noProof/>
              <w:lang w:val="en-US"/>
            </w:rPr>
          </w:pPr>
          <w:hyperlink w:history="1" w:anchor="_Toc182920364">
            <w:r w:rsidRPr="000775A1">
              <w:rPr>
                <w:rStyle w:val="Hyperlink"/>
                <w:noProof/>
              </w:rPr>
              <w:t>4.</w:t>
            </w:r>
            <w:r>
              <w:rPr>
                <w:rFonts w:asciiTheme="minorHAnsi" w:hAnsiTheme="minorHAnsi" w:eastAsiaTheme="minorEastAsia" w:cstheme="minorBidi"/>
                <w:noProof/>
                <w:lang w:val="en-US"/>
              </w:rPr>
              <w:tab/>
            </w:r>
            <w:r w:rsidRPr="000775A1">
              <w:rPr>
                <w:rStyle w:val="Hyperlink"/>
                <w:noProof/>
              </w:rPr>
              <w:t>BINNENMARKT, PRODUKTION, VERBRAUCH</w:t>
            </w:r>
            <w:r>
              <w:rPr>
                <w:noProof/>
                <w:webHidden/>
              </w:rPr>
              <w:tab/>
            </w:r>
            <w:r>
              <w:rPr>
                <w:noProof/>
                <w:webHidden/>
              </w:rPr>
              <w:fldChar w:fldCharType="begin"/>
            </w:r>
            <w:r>
              <w:rPr>
                <w:noProof/>
                <w:webHidden/>
              </w:rPr>
              <w:instrText xml:space="preserve"> PAGEREF _Toc182920364 \h </w:instrText>
            </w:r>
            <w:r>
              <w:rPr>
                <w:noProof/>
                <w:webHidden/>
              </w:rPr>
            </w:r>
            <w:r>
              <w:rPr>
                <w:noProof/>
                <w:webHidden/>
              </w:rPr>
              <w:fldChar w:fldCharType="separate"/>
            </w:r>
            <w:r w:rsidR="000013C5">
              <w:rPr>
                <w:noProof/>
                <w:webHidden/>
              </w:rPr>
              <w:t>17</w:t>
            </w:r>
            <w:r>
              <w:rPr>
                <w:noProof/>
                <w:webHidden/>
              </w:rPr>
              <w:fldChar w:fldCharType="end"/>
            </w:r>
          </w:hyperlink>
        </w:p>
        <w:p w:rsidR="00536180" w:rsidRDefault="00536180" w14:paraId="18FD9C6F" w14:textId="5BAEF771">
          <w:pPr>
            <w:pStyle w:val="TOC1"/>
            <w:tabs>
              <w:tab w:val="left" w:pos="440"/>
              <w:tab w:val="right" w:leader="dot" w:pos="9488"/>
            </w:tabs>
            <w:rPr>
              <w:rFonts w:asciiTheme="minorHAnsi" w:hAnsiTheme="minorHAnsi" w:eastAsiaTheme="minorEastAsia" w:cstheme="minorBidi"/>
              <w:noProof/>
              <w:lang w:val="en-US"/>
            </w:rPr>
          </w:pPr>
          <w:hyperlink w:history="1" w:anchor="_Toc182920365">
            <w:r w:rsidRPr="000775A1">
              <w:rPr>
                <w:rStyle w:val="Hyperlink"/>
                <w:noProof/>
              </w:rPr>
              <w:t>5.</w:t>
            </w:r>
            <w:r>
              <w:rPr>
                <w:rFonts w:asciiTheme="minorHAnsi" w:hAnsiTheme="minorHAnsi" w:eastAsiaTheme="minorEastAsia" w:cstheme="minorBidi"/>
                <w:noProof/>
                <w:lang w:val="en-US"/>
              </w:rPr>
              <w:tab/>
            </w:r>
            <w:r w:rsidRPr="000775A1">
              <w:rPr>
                <w:rStyle w:val="Hyperlink"/>
                <w:noProof/>
              </w:rPr>
              <w:t>LANDWIRTSCHAFT, LÄNDLICHE ENTWICKLUNG, UMWELT</w:t>
            </w:r>
            <w:r>
              <w:rPr>
                <w:noProof/>
                <w:webHidden/>
              </w:rPr>
              <w:tab/>
            </w:r>
            <w:r>
              <w:rPr>
                <w:noProof/>
                <w:webHidden/>
              </w:rPr>
              <w:fldChar w:fldCharType="begin"/>
            </w:r>
            <w:r>
              <w:rPr>
                <w:noProof/>
                <w:webHidden/>
              </w:rPr>
              <w:instrText xml:space="preserve"> PAGEREF _Toc182920365 \h </w:instrText>
            </w:r>
            <w:r>
              <w:rPr>
                <w:noProof/>
                <w:webHidden/>
              </w:rPr>
            </w:r>
            <w:r>
              <w:rPr>
                <w:noProof/>
                <w:webHidden/>
              </w:rPr>
              <w:fldChar w:fldCharType="separate"/>
            </w:r>
            <w:r w:rsidR="000013C5">
              <w:rPr>
                <w:noProof/>
                <w:webHidden/>
              </w:rPr>
              <w:t>23</w:t>
            </w:r>
            <w:r>
              <w:rPr>
                <w:noProof/>
                <w:webHidden/>
              </w:rPr>
              <w:fldChar w:fldCharType="end"/>
            </w:r>
          </w:hyperlink>
        </w:p>
        <w:p w:rsidR="00536180" w:rsidRDefault="00536180" w14:paraId="5467150E" w14:textId="52A510EA">
          <w:pPr>
            <w:pStyle w:val="TOC1"/>
            <w:tabs>
              <w:tab w:val="left" w:pos="440"/>
              <w:tab w:val="right" w:leader="dot" w:pos="9488"/>
            </w:tabs>
            <w:rPr>
              <w:rFonts w:asciiTheme="minorHAnsi" w:hAnsiTheme="minorHAnsi" w:eastAsiaTheme="minorEastAsia" w:cstheme="minorBidi"/>
              <w:noProof/>
              <w:lang w:val="en-US"/>
            </w:rPr>
          </w:pPr>
          <w:hyperlink w:history="1" w:anchor="_Toc182920366">
            <w:r w:rsidRPr="000775A1">
              <w:rPr>
                <w:rStyle w:val="Hyperlink"/>
                <w:noProof/>
              </w:rPr>
              <w:t>6.</w:t>
            </w:r>
            <w:r>
              <w:rPr>
                <w:rFonts w:asciiTheme="minorHAnsi" w:hAnsiTheme="minorHAnsi" w:eastAsiaTheme="minorEastAsia" w:cstheme="minorBidi"/>
                <w:noProof/>
                <w:lang w:val="en-US"/>
              </w:rPr>
              <w:tab/>
            </w:r>
            <w:r w:rsidRPr="000775A1">
              <w:rPr>
                <w:rStyle w:val="Hyperlink"/>
                <w:noProof/>
              </w:rPr>
              <w:t>AUẞENBEZIEHUNGEN</w:t>
            </w:r>
            <w:r>
              <w:rPr>
                <w:noProof/>
                <w:webHidden/>
              </w:rPr>
              <w:tab/>
            </w:r>
            <w:r>
              <w:rPr>
                <w:noProof/>
                <w:webHidden/>
              </w:rPr>
              <w:fldChar w:fldCharType="begin"/>
            </w:r>
            <w:r>
              <w:rPr>
                <w:noProof/>
                <w:webHidden/>
              </w:rPr>
              <w:instrText xml:space="preserve"> PAGEREF _Toc182920366 \h </w:instrText>
            </w:r>
            <w:r>
              <w:rPr>
                <w:noProof/>
                <w:webHidden/>
              </w:rPr>
            </w:r>
            <w:r>
              <w:rPr>
                <w:noProof/>
                <w:webHidden/>
              </w:rPr>
              <w:fldChar w:fldCharType="separate"/>
            </w:r>
            <w:r w:rsidR="000013C5">
              <w:rPr>
                <w:noProof/>
                <w:webHidden/>
              </w:rPr>
              <w:t>28</w:t>
            </w:r>
            <w:r>
              <w:rPr>
                <w:noProof/>
                <w:webHidden/>
              </w:rPr>
              <w:fldChar w:fldCharType="end"/>
            </w:r>
          </w:hyperlink>
        </w:p>
        <w:p w:rsidR="00536180" w:rsidRDefault="00536180" w14:paraId="119FA5E9" w14:textId="47CF331C">
          <w:pPr>
            <w:pStyle w:val="TOC1"/>
            <w:tabs>
              <w:tab w:val="left" w:pos="440"/>
              <w:tab w:val="right" w:leader="dot" w:pos="9488"/>
            </w:tabs>
            <w:rPr>
              <w:rFonts w:asciiTheme="minorHAnsi" w:hAnsiTheme="minorHAnsi" w:eastAsiaTheme="minorEastAsia" w:cstheme="minorBidi"/>
              <w:noProof/>
              <w:lang w:val="en-US"/>
            </w:rPr>
          </w:pPr>
          <w:hyperlink w:history="1" w:anchor="_Toc182920367">
            <w:r w:rsidRPr="000775A1">
              <w:rPr>
                <w:rStyle w:val="Hyperlink"/>
                <w:noProof/>
              </w:rPr>
              <w:t>7.</w:t>
            </w:r>
            <w:r>
              <w:rPr>
                <w:rFonts w:asciiTheme="minorHAnsi" w:hAnsiTheme="minorHAnsi" w:eastAsiaTheme="minorEastAsia" w:cstheme="minorBidi"/>
                <w:noProof/>
                <w:lang w:val="en-US"/>
              </w:rPr>
              <w:tab/>
            </w:r>
            <w:r w:rsidRPr="000775A1">
              <w:rPr>
                <w:rStyle w:val="Hyperlink"/>
                <w:noProof/>
              </w:rPr>
              <w:t>BERATENDE KOMMISSION FÜR DEN INDUSTRIELLEN WANDEL</w:t>
            </w:r>
            <w:r>
              <w:rPr>
                <w:noProof/>
                <w:webHidden/>
              </w:rPr>
              <w:tab/>
            </w:r>
            <w:r>
              <w:rPr>
                <w:noProof/>
                <w:webHidden/>
              </w:rPr>
              <w:fldChar w:fldCharType="begin"/>
            </w:r>
            <w:r>
              <w:rPr>
                <w:noProof/>
                <w:webHidden/>
              </w:rPr>
              <w:instrText xml:space="preserve"> PAGEREF _Toc182920367 \h </w:instrText>
            </w:r>
            <w:r>
              <w:rPr>
                <w:noProof/>
                <w:webHidden/>
              </w:rPr>
            </w:r>
            <w:r>
              <w:rPr>
                <w:noProof/>
                <w:webHidden/>
              </w:rPr>
              <w:fldChar w:fldCharType="separate"/>
            </w:r>
            <w:r w:rsidR="000013C5">
              <w:rPr>
                <w:noProof/>
                <w:webHidden/>
              </w:rPr>
              <w:t>29</w:t>
            </w:r>
            <w:r>
              <w:rPr>
                <w:noProof/>
                <w:webHidden/>
              </w:rPr>
              <w:fldChar w:fldCharType="end"/>
            </w:r>
          </w:hyperlink>
        </w:p>
        <w:p w:rsidR="004D7AC0" w:rsidRDefault="007E03C9" w14:paraId="4982DD6A" w14:textId="34AC9DBB">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4D7AC0" w:rsidRDefault="004D7AC0" w14:paraId="4982DD6D" w14:textId="77777777">
      <w:pPr>
        <w:pStyle w:val="Heading1"/>
      </w:pPr>
      <w:bookmarkStart w:name="_Toc182920361" w:id="0"/>
      <w:r>
        <w:lastRenderedPageBreak/>
        <w:t>WIRTSCHAFTS- UND WÄHRUNGSUNION, WIRTSCHAFTLICHER UND SOZIALER ZUSAMMENHALT</w:t>
      </w:r>
      <w:bookmarkEnd w:id="0"/>
    </w:p>
    <w:p w:rsidR="004D7AC0" w:rsidP="004D7AC0" w:rsidRDefault="004D7AC0" w14:paraId="4982DD6E" w14:textId="14987209"/>
    <w:p w:rsidRPr="000F216A" w:rsidR="007E03C9" w:rsidP="000F216A" w:rsidRDefault="00486D53" w14:paraId="375B8EA6" w14:textId="25BE3727">
      <w:pPr>
        <w:pStyle w:val="ListParagraph"/>
        <w:numPr>
          <w:ilvl w:val="0"/>
          <w:numId w:val="65"/>
        </w:numPr>
        <w:ind w:left="567" w:hanging="567"/>
        <w:rPr>
          <w:b/>
          <w:bCs/>
          <w:i/>
          <w:iCs/>
          <w:sz w:val="28"/>
          <w:szCs w:val="28"/>
        </w:rPr>
      </w:pPr>
      <w:hyperlink w:history="1" r:id="rId21">
        <w:r w:rsidR="007E03C9">
          <w:rPr>
            <w:rStyle w:val="Hyperlink"/>
            <w:b/>
            <w:i/>
            <w:sz w:val="28"/>
          </w:rPr>
          <w:t>Ergänzende Überlegungen zur Wirtschaftspolitik des Euro-Währungsgebiets 2024</w:t>
        </w:r>
      </w:hyperlink>
    </w:p>
    <w:p w:rsidRPr="00536180" w:rsidR="00FD7CAC" w:rsidP="000F216A" w:rsidRDefault="00FD7CAC" w14:paraId="7705FD55" w14:textId="77777777">
      <w:pPr>
        <w:rPr>
          <w:rFonts w:eastAsia="Calibri"/>
          <w:lang w:val="en-GB"/>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7088"/>
      </w:tblGrid>
      <w:tr w:rsidRPr="00536180" w:rsidR="00FD7CAC" w:rsidTr="00F324F7" w14:paraId="5CA452C6" w14:textId="77777777">
        <w:tc>
          <w:tcPr>
            <w:tcW w:w="1701" w:type="dxa"/>
          </w:tcPr>
          <w:p w:rsidRPr="00536180" w:rsidR="00FD7CAC" w:rsidP="000F216A" w:rsidRDefault="00FD7CAC" w14:paraId="3BD4932A" w14:textId="77777777">
            <w:pPr>
              <w:tabs>
                <w:tab w:val="center" w:pos="284"/>
              </w:tabs>
              <w:spacing w:line="259" w:lineRule="auto"/>
              <w:ind w:left="266" w:hanging="266"/>
              <w:jc w:val="left"/>
              <w:rPr>
                <w:rFonts w:eastAsia="Calibri"/>
                <w:b/>
                <w:sz w:val="22"/>
                <w:szCs w:val="22"/>
              </w:rPr>
            </w:pPr>
            <w:r w:rsidRPr="00536180">
              <w:rPr>
                <w:b/>
                <w:sz w:val="22"/>
                <w:szCs w:val="22"/>
              </w:rPr>
              <w:t>Berichterstatter</w:t>
            </w:r>
          </w:p>
        </w:tc>
        <w:tc>
          <w:tcPr>
            <w:tcW w:w="7088" w:type="dxa"/>
          </w:tcPr>
          <w:p w:rsidRPr="00536180" w:rsidR="00FD7CAC" w:rsidP="000F216A" w:rsidRDefault="00FD7CAC" w14:paraId="651E7611" w14:textId="7A6C1BB9">
            <w:pPr>
              <w:tabs>
                <w:tab w:val="center" w:pos="284"/>
              </w:tabs>
              <w:spacing w:line="259" w:lineRule="auto"/>
              <w:ind w:left="266" w:hanging="266"/>
              <w:jc w:val="left"/>
              <w:rPr>
                <w:rFonts w:eastAsia="Calibri"/>
                <w:sz w:val="22"/>
                <w:szCs w:val="22"/>
              </w:rPr>
            </w:pPr>
            <w:r w:rsidRPr="00536180">
              <w:rPr>
                <w:sz w:val="22"/>
                <w:szCs w:val="22"/>
              </w:rPr>
              <w:t>Petru Sorin DANDEA (Gruppe Arbeitnehmer – RO)</w:t>
            </w:r>
          </w:p>
        </w:tc>
      </w:tr>
      <w:tr w:rsidRPr="00536180" w:rsidR="00FD7CAC" w:rsidTr="00F324F7" w14:paraId="0830647B" w14:textId="77777777">
        <w:tc>
          <w:tcPr>
            <w:tcW w:w="8789" w:type="dxa"/>
            <w:gridSpan w:val="2"/>
          </w:tcPr>
          <w:p w:rsidRPr="00536180" w:rsidR="00FD7CAC" w:rsidP="000F216A" w:rsidRDefault="00FD7CAC" w14:paraId="270865A6" w14:textId="77777777">
            <w:pPr>
              <w:tabs>
                <w:tab w:val="center" w:pos="284"/>
              </w:tabs>
              <w:spacing w:line="160" w:lineRule="exact"/>
              <w:ind w:left="266" w:hanging="266"/>
              <w:jc w:val="left"/>
              <w:rPr>
                <w:rFonts w:eastAsia="Calibri"/>
                <w:sz w:val="22"/>
                <w:szCs w:val="22"/>
                <w:lang w:val="en-GB"/>
              </w:rPr>
            </w:pPr>
          </w:p>
        </w:tc>
      </w:tr>
      <w:tr w:rsidRPr="00536180" w:rsidR="00FD7CAC" w:rsidTr="00F324F7" w14:paraId="38CB5947" w14:textId="77777777">
        <w:tc>
          <w:tcPr>
            <w:tcW w:w="1701" w:type="dxa"/>
          </w:tcPr>
          <w:p w:rsidRPr="00536180" w:rsidR="00FD7CAC" w:rsidP="000F216A" w:rsidRDefault="00FD7CAC" w14:paraId="438B67A0" w14:textId="77777777">
            <w:pPr>
              <w:tabs>
                <w:tab w:val="center" w:pos="284"/>
              </w:tabs>
              <w:spacing w:line="259" w:lineRule="auto"/>
              <w:ind w:left="266" w:hanging="266"/>
              <w:jc w:val="left"/>
              <w:rPr>
                <w:rFonts w:eastAsia="Calibri"/>
                <w:b/>
                <w:sz w:val="22"/>
                <w:szCs w:val="22"/>
              </w:rPr>
            </w:pPr>
            <w:r w:rsidRPr="00536180">
              <w:rPr>
                <w:b/>
                <w:sz w:val="22"/>
                <w:szCs w:val="22"/>
              </w:rPr>
              <w:t xml:space="preserve">Referenzdokumente </w:t>
            </w:r>
          </w:p>
        </w:tc>
        <w:tc>
          <w:tcPr>
            <w:tcW w:w="7088" w:type="dxa"/>
          </w:tcPr>
          <w:p w:rsidRPr="00536180" w:rsidR="00FF6D64" w:rsidP="00946677" w:rsidRDefault="00FD7CAC" w14:paraId="3A9E20D9" w14:textId="77777777">
            <w:pPr>
              <w:tabs>
                <w:tab w:val="center" w:pos="284"/>
              </w:tabs>
              <w:spacing w:line="259" w:lineRule="auto"/>
              <w:jc w:val="left"/>
              <w:rPr>
                <w:rFonts w:eastAsia="Calibri"/>
                <w:sz w:val="22"/>
                <w:szCs w:val="22"/>
              </w:rPr>
            </w:pPr>
            <w:r w:rsidRPr="00536180">
              <w:rPr>
                <w:sz w:val="22"/>
                <w:szCs w:val="22"/>
              </w:rPr>
              <w:t>Initiativstellungnahme</w:t>
            </w:r>
          </w:p>
          <w:p w:rsidRPr="00536180" w:rsidR="00FD7CAC" w:rsidP="000F216A" w:rsidRDefault="00FD7CAC" w14:paraId="56132DA8" w14:textId="20707EAC">
            <w:pPr>
              <w:tabs>
                <w:tab w:val="center" w:pos="284"/>
              </w:tabs>
              <w:spacing w:line="259" w:lineRule="auto"/>
              <w:jc w:val="left"/>
              <w:rPr>
                <w:rFonts w:eastAsia="Calibri"/>
                <w:sz w:val="22"/>
                <w:szCs w:val="22"/>
              </w:rPr>
            </w:pPr>
            <w:r w:rsidRPr="00536180">
              <w:rPr>
                <w:sz w:val="22"/>
                <w:szCs w:val="22"/>
              </w:rPr>
              <w:t>EESC-2024-01524-00-00-AC</w:t>
            </w:r>
          </w:p>
        </w:tc>
      </w:tr>
    </w:tbl>
    <w:p w:rsidRPr="00946677" w:rsidR="00FD7CAC" w:rsidP="000F216A" w:rsidRDefault="00FD7CAC" w14:paraId="6C2CCB10" w14:textId="77777777">
      <w:pPr>
        <w:keepNext/>
        <w:keepLines/>
        <w:tabs>
          <w:tab w:val="center" w:pos="284"/>
        </w:tabs>
        <w:spacing w:line="259" w:lineRule="auto"/>
        <w:ind w:left="266" w:hanging="266"/>
        <w:jc w:val="left"/>
        <w:rPr>
          <w:rFonts w:eastAsia="Calibri"/>
          <w:b/>
          <w:lang w:val="en-GB"/>
        </w:rPr>
      </w:pPr>
    </w:p>
    <w:p w:rsidR="00FD7CAC" w:rsidP="000F216A" w:rsidRDefault="00FD7CAC" w14:paraId="0D770F97" w14:textId="676387CC">
      <w:pPr>
        <w:keepNext/>
        <w:keepLines/>
        <w:tabs>
          <w:tab w:val="center" w:pos="284"/>
        </w:tabs>
        <w:spacing w:line="259" w:lineRule="auto"/>
        <w:ind w:left="266" w:hanging="266"/>
        <w:jc w:val="left"/>
        <w:rPr>
          <w:rFonts w:eastAsia="Calibri"/>
          <w:b/>
        </w:rPr>
      </w:pPr>
      <w:r>
        <w:rPr>
          <w:b/>
        </w:rPr>
        <w:t>Kernaussagen</w:t>
      </w:r>
    </w:p>
    <w:p w:rsidR="00946677" w:rsidP="000F216A" w:rsidRDefault="00946677" w14:paraId="0F8B659E" w14:textId="77777777">
      <w:pPr>
        <w:spacing w:line="259" w:lineRule="auto"/>
        <w:rPr>
          <w:rFonts w:eastAsia="Calibri"/>
          <w:lang w:val="en-GB"/>
        </w:rPr>
      </w:pPr>
    </w:p>
    <w:p w:rsidR="00FD7CAC" w:rsidP="00536180" w:rsidRDefault="00FD7CAC" w14:paraId="2B9DC130" w14:textId="58B1502A">
      <w:pPr>
        <w:spacing w:line="259" w:lineRule="auto"/>
      </w:pPr>
      <w:r>
        <w:t xml:space="preserve">Der EWSA </w:t>
      </w:r>
    </w:p>
    <w:p w:rsidR="00536180" w:rsidP="00536180" w:rsidRDefault="00536180" w14:paraId="255D461C" w14:textId="77777777">
      <w:pPr>
        <w:spacing w:line="259" w:lineRule="auto"/>
        <w:rPr>
          <w:rFonts w:eastAsia="Calibri"/>
        </w:rPr>
      </w:pPr>
    </w:p>
    <w:p w:rsidR="00946677" w:rsidP="00536180" w:rsidRDefault="00FD7CAC" w14:paraId="2E84422A" w14:textId="16B846B5">
      <w:pPr>
        <w:numPr>
          <w:ilvl w:val="0"/>
          <w:numId w:val="28"/>
        </w:numPr>
        <w:spacing w:line="276" w:lineRule="auto"/>
        <w:ind w:left="567" w:hanging="567"/>
        <w:outlineLvl w:val="1"/>
      </w:pPr>
      <w:r>
        <w:t xml:space="preserve">ist der Auffassung, dass eine stärkere haushaltspolitische Koordinierung zwischen den Mitgliedstaaten des Euro-Währungsgebiets von entscheidender Bedeutung ist, um eine echte Aufwärtskonvergenz, Stabilität und Resilienz zu gewährleisten. Dies könnte eine engere Koordinierung der nationalen Haushaltspolitiken sowie Diskussionen über die Möglichkeit gemeinsamer haushaltspolitischer Instrumente umfassen. In diesem Zusammenhang ist der EWSA der Ansicht, dass </w:t>
      </w:r>
      <w:proofErr w:type="spellStart"/>
      <w:r>
        <w:t>NextGenerationEU</w:t>
      </w:r>
      <w:proofErr w:type="spellEnd"/>
      <w:r>
        <w:t xml:space="preserve"> seine Bedeutung unter Beweis gestellt hat, und empfiehlt, im künftigen MFR ähnliche Instrumente vorzusehen. Darüber hinaus fordert der EWSA die nationale und die EU-Ebene nachdrücklich auf, die Haushaltspolitik auf Nachhaltigkeit auszurichten und haushaltspolitischen Spielraum für künftige Schocks zu schaffen;</w:t>
      </w:r>
    </w:p>
    <w:p w:rsidRPr="00946677" w:rsidR="00FD7CAC" w:rsidP="00536180" w:rsidRDefault="00FD7CAC" w14:paraId="1FBCE494" w14:textId="5A529E00">
      <w:pPr>
        <w:numPr>
          <w:ilvl w:val="0"/>
          <w:numId w:val="28"/>
        </w:numPr>
        <w:spacing w:line="276" w:lineRule="auto"/>
        <w:ind w:left="567" w:hanging="567"/>
        <w:outlineLvl w:val="1"/>
      </w:pPr>
      <w:r>
        <w:t>hält die Vollendung der Kapitalmarktunion für eine Priorität. Aufgrund der geringen Dimensionen und der Fragmentierung der Kapitalmärkte in der EU konzentrieren sich Investoren zunehmend auf andere globale Märkte, insbesondere auf die Vereinigten Staaten. Dabei werden die Stabilität der Finanzmärkte und ein umfassender Verbraucherschutz jedoch von entscheidender Bedeutung sein;</w:t>
      </w:r>
    </w:p>
    <w:p w:rsidRPr="00946677" w:rsidR="00FD7CAC" w:rsidP="00536180" w:rsidRDefault="00FD7CAC" w14:paraId="2C99D7A3" w14:textId="77777777">
      <w:pPr>
        <w:numPr>
          <w:ilvl w:val="0"/>
          <w:numId w:val="28"/>
        </w:numPr>
        <w:spacing w:line="276" w:lineRule="auto"/>
        <w:ind w:left="567" w:hanging="567"/>
        <w:outlineLvl w:val="1"/>
      </w:pPr>
      <w:r>
        <w:t xml:space="preserve">sieht die Vollendung der Bankenunion als eine Priorität der Amtszeit der neuen Europäischen Kommission an, da aufgrund der Unterschiede bei der Regulierung und Praxis des Bankensektors in den verschiedenen Mitgliedstaaten der Finanzmarkt fragmentiert ist und die Finanzmittel nicht wirksam mobilisiert werden können, insbesondere wenn es um die Finanzierung wichtiger Infrastrukturprojekte auf europäischer Ebene geht; </w:t>
      </w:r>
    </w:p>
    <w:p w:rsidRPr="00946677" w:rsidR="00FD7CAC" w:rsidP="00536180" w:rsidRDefault="00FD7CAC" w14:paraId="24F241D6" w14:textId="77777777">
      <w:pPr>
        <w:numPr>
          <w:ilvl w:val="0"/>
          <w:numId w:val="28"/>
        </w:numPr>
        <w:spacing w:line="276" w:lineRule="auto"/>
        <w:ind w:left="567" w:hanging="567"/>
        <w:outlineLvl w:val="1"/>
      </w:pPr>
      <w:r>
        <w:t>ist der Auffassung, dass ein Maßnahmenplan entwickelt werden sollte, um schneller echte Konvergenz zu erreichen. Die Kohäsionspolitik sollte weiterhin im Mittelpunkt des mehrjährigen Finanzrahmens (MFR) stehen;</w:t>
      </w:r>
    </w:p>
    <w:p w:rsidRPr="00946677" w:rsidR="00FD7CAC" w:rsidP="00536180" w:rsidRDefault="00FD7CAC" w14:paraId="7CD47C5D" w14:textId="77777777">
      <w:pPr>
        <w:numPr>
          <w:ilvl w:val="0"/>
          <w:numId w:val="28"/>
        </w:numPr>
        <w:spacing w:line="276" w:lineRule="auto"/>
        <w:ind w:left="567" w:hanging="567"/>
        <w:outlineLvl w:val="1"/>
      </w:pPr>
      <w:r>
        <w:t>vertritt die Ansicht, dass die EU den Wettbewerbsvorteil, den der Binnenmarkt bietet, maximieren muss. Er unterstützt die Initiative der Europäischen Kommission, die Berichtspflichten um 25 % zu senken, da sie eines der Haupthindernisse für nachhaltiges Wirtschaftswachstum sind. Der Bürokratieabbau und die Vereinfachung der Verwaltungsverfahren würden die europäische Wirtschaft beleben und effizienter und wirksamer machen. Dies darf jedoch weder die Sozial- und Umweltstandards noch die Arbeitnehmer- und Verbraucherrechte beeinträchtigen;</w:t>
      </w:r>
    </w:p>
    <w:p w:rsidRPr="00946677" w:rsidR="00FD7CAC" w:rsidP="00536180" w:rsidRDefault="00FD7CAC" w14:paraId="7EB402E1" w14:textId="77777777">
      <w:pPr>
        <w:numPr>
          <w:ilvl w:val="0"/>
          <w:numId w:val="28"/>
        </w:numPr>
        <w:spacing w:line="276" w:lineRule="auto"/>
        <w:ind w:left="567" w:hanging="567"/>
        <w:outlineLvl w:val="1"/>
      </w:pPr>
      <w:r>
        <w:t>hält einen neuen Ansatz für die Beschlussfassung für dringend geboten, da einer der größten Mängel des Euro-Währungsgebiets das Fehlen eines glaubwürdigen Beschlussfassungsprozesses ist;</w:t>
      </w:r>
    </w:p>
    <w:p w:rsidRPr="00946677" w:rsidR="00FD7CAC" w:rsidP="00536180" w:rsidRDefault="00FD7CAC" w14:paraId="5ADF5EC2" w14:textId="77777777">
      <w:pPr>
        <w:numPr>
          <w:ilvl w:val="0"/>
          <w:numId w:val="28"/>
        </w:numPr>
        <w:spacing w:line="276" w:lineRule="auto"/>
        <w:ind w:left="567" w:hanging="567"/>
        <w:outlineLvl w:val="1"/>
      </w:pPr>
      <w:r>
        <w:t xml:space="preserve">hält es für notwendig, dass die EU im Zuge der Dekarbonisierung den Elektrizitätsbinnenmarkt vollendet. Dafür ist die vollständige Vernetzung auf europäischer Ebene unerlässlich. Dies wird auch </w:t>
      </w:r>
      <w:r>
        <w:lastRenderedPageBreak/>
        <w:t>dazu beitragen, die Energiepreise zu senken, die Inflation zu bekämpfen und EU-Unternehmen bei der Steigerung ihrer Wettbewerbsfähigkeit zu unterstützen;</w:t>
      </w:r>
    </w:p>
    <w:p w:rsidRPr="00946677" w:rsidR="00FD7CAC" w:rsidP="00536180" w:rsidRDefault="00FD7CAC" w14:paraId="46431D68" w14:textId="77777777">
      <w:pPr>
        <w:numPr>
          <w:ilvl w:val="0"/>
          <w:numId w:val="28"/>
        </w:numPr>
        <w:spacing w:line="276" w:lineRule="auto"/>
        <w:ind w:left="567" w:hanging="567"/>
        <w:outlineLvl w:val="1"/>
      </w:pPr>
      <w:r>
        <w:t>ist der Auffassung, dass eine umfassende politische Agenda für das Euro-Währungsgebiet im Jahr 2024 kurzfristige Erfordernisse wie die wirtschaftliche Erholung mit langfristigen Prioritäten wie Investitionen, Nachhaltigkeit, Innovation und sozialer Inklusion in Einklang bringen sollte.</w:t>
      </w:r>
    </w:p>
    <w:p w:rsidRPr="00536180" w:rsidR="00FD7CAC" w:rsidP="00FD7CAC" w:rsidRDefault="00FD7CAC" w14:paraId="17CBEBF6" w14:textId="77777777">
      <w:pPr>
        <w:ind w:left="567"/>
        <w:contextualSpacing/>
        <w:rPr>
          <w:lang w:val="en-GB"/>
        </w:rPr>
      </w:pPr>
    </w:p>
    <w:tbl>
      <w:tblPr>
        <w:tblStyle w:val="TableGrid1"/>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36180" w:rsidR="00FD7CAC" w:rsidTr="00F324F7" w14:paraId="59115C70" w14:textId="77777777">
        <w:tc>
          <w:tcPr>
            <w:tcW w:w="1418" w:type="dxa"/>
          </w:tcPr>
          <w:p w:rsidRPr="00536180" w:rsidR="00FD7CAC" w:rsidP="000F216A" w:rsidRDefault="00FD7CAC" w14:paraId="0527F34B" w14:textId="77777777">
            <w:pPr>
              <w:spacing w:line="259" w:lineRule="auto"/>
              <w:jc w:val="left"/>
              <w:rPr>
                <w:rFonts w:eastAsia="Calibri"/>
                <w:i/>
                <w:sz w:val="22"/>
                <w:szCs w:val="22"/>
              </w:rPr>
            </w:pPr>
            <w:r w:rsidRPr="00536180">
              <w:rPr>
                <w:b/>
                <w:i/>
                <w:sz w:val="22"/>
                <w:szCs w:val="22"/>
              </w:rPr>
              <w:t>Kontakt</w:t>
            </w:r>
          </w:p>
        </w:tc>
        <w:tc>
          <w:tcPr>
            <w:tcW w:w="5670" w:type="dxa"/>
          </w:tcPr>
          <w:p w:rsidRPr="00536180" w:rsidR="00FD7CAC" w:rsidP="000F216A" w:rsidRDefault="00FD7CAC" w14:paraId="68AD3D30" w14:textId="77777777">
            <w:pPr>
              <w:spacing w:line="259" w:lineRule="auto"/>
              <w:jc w:val="left"/>
              <w:rPr>
                <w:rFonts w:eastAsia="Calibri"/>
                <w:b/>
                <w:bCs/>
                <w:i/>
                <w:iCs/>
                <w:sz w:val="22"/>
                <w:szCs w:val="22"/>
              </w:rPr>
            </w:pPr>
            <w:r w:rsidRPr="00536180">
              <w:rPr>
                <w:i/>
                <w:sz w:val="22"/>
                <w:szCs w:val="22"/>
              </w:rPr>
              <w:t xml:space="preserve">Krisztina </w:t>
            </w:r>
            <w:proofErr w:type="spellStart"/>
            <w:r w:rsidRPr="00536180">
              <w:rPr>
                <w:i/>
                <w:sz w:val="22"/>
                <w:szCs w:val="22"/>
              </w:rPr>
              <w:t>Perlaky</w:t>
            </w:r>
            <w:proofErr w:type="spellEnd"/>
            <w:r w:rsidRPr="00536180">
              <w:rPr>
                <w:i/>
                <w:sz w:val="22"/>
                <w:szCs w:val="22"/>
              </w:rPr>
              <w:t xml:space="preserve">-Tóth </w:t>
            </w:r>
          </w:p>
        </w:tc>
      </w:tr>
      <w:tr w:rsidRPr="00536180" w:rsidR="00FD7CAC" w:rsidTr="00F324F7" w14:paraId="56A7A5AB" w14:textId="77777777">
        <w:tc>
          <w:tcPr>
            <w:tcW w:w="1418" w:type="dxa"/>
          </w:tcPr>
          <w:p w:rsidRPr="00536180" w:rsidR="00FD7CAC" w:rsidP="000F216A" w:rsidRDefault="00FD7CAC" w14:paraId="0A141426" w14:textId="77777777">
            <w:pPr>
              <w:spacing w:line="259" w:lineRule="auto"/>
              <w:jc w:val="left"/>
              <w:rPr>
                <w:rFonts w:eastAsia="Calibri"/>
                <w:i/>
                <w:sz w:val="22"/>
                <w:szCs w:val="22"/>
              </w:rPr>
            </w:pPr>
            <w:r w:rsidRPr="00536180">
              <w:rPr>
                <w:i/>
                <w:sz w:val="22"/>
                <w:szCs w:val="22"/>
              </w:rPr>
              <w:t>Tel.</w:t>
            </w:r>
          </w:p>
        </w:tc>
        <w:tc>
          <w:tcPr>
            <w:tcW w:w="5670" w:type="dxa"/>
          </w:tcPr>
          <w:p w:rsidRPr="00536180" w:rsidR="00FD7CAC" w:rsidP="000F216A" w:rsidRDefault="00FD7CAC" w14:paraId="3F55B904" w14:textId="77777777">
            <w:pPr>
              <w:spacing w:line="259" w:lineRule="auto"/>
              <w:jc w:val="left"/>
              <w:rPr>
                <w:rFonts w:eastAsia="Calibri"/>
                <w:i/>
                <w:iCs/>
                <w:sz w:val="22"/>
                <w:szCs w:val="22"/>
              </w:rPr>
            </w:pPr>
            <w:r w:rsidRPr="00536180">
              <w:rPr>
                <w:i/>
                <w:sz w:val="22"/>
                <w:szCs w:val="22"/>
              </w:rPr>
              <w:t>+32 25469740</w:t>
            </w:r>
          </w:p>
        </w:tc>
      </w:tr>
      <w:tr w:rsidRPr="00536180" w:rsidR="00FD7CAC" w:rsidTr="00F324F7" w14:paraId="4950261E" w14:textId="77777777">
        <w:trPr>
          <w:trHeight w:val="118"/>
        </w:trPr>
        <w:tc>
          <w:tcPr>
            <w:tcW w:w="1418" w:type="dxa"/>
          </w:tcPr>
          <w:p w:rsidRPr="00536180" w:rsidR="00FD7CAC" w:rsidP="000F216A" w:rsidRDefault="00FD7CAC" w14:paraId="788B7B71" w14:textId="77777777">
            <w:pPr>
              <w:spacing w:line="259" w:lineRule="auto"/>
              <w:jc w:val="left"/>
              <w:rPr>
                <w:rFonts w:eastAsia="Calibri"/>
                <w:i/>
                <w:sz w:val="22"/>
                <w:szCs w:val="22"/>
              </w:rPr>
            </w:pPr>
            <w:r w:rsidRPr="00536180">
              <w:rPr>
                <w:i/>
                <w:sz w:val="22"/>
                <w:szCs w:val="22"/>
              </w:rPr>
              <w:t>E-Mail</w:t>
            </w:r>
          </w:p>
        </w:tc>
        <w:tc>
          <w:tcPr>
            <w:tcW w:w="5670" w:type="dxa"/>
          </w:tcPr>
          <w:p w:rsidRPr="00536180" w:rsidR="00FD7CAC" w:rsidP="000F216A" w:rsidRDefault="00486D53" w14:paraId="1A0B9497" w14:textId="0D569CD3">
            <w:pPr>
              <w:spacing w:line="259" w:lineRule="auto"/>
              <w:jc w:val="left"/>
              <w:rPr>
                <w:rFonts w:eastAsia="Calibri"/>
                <w:sz w:val="22"/>
                <w:szCs w:val="22"/>
              </w:rPr>
            </w:pPr>
            <w:hyperlink w:history="1" r:id="rId22">
              <w:r w:rsidRPr="00536180" w:rsidR="00FD7CAC">
                <w:rPr>
                  <w:color w:val="0000FF"/>
                  <w:sz w:val="22"/>
                  <w:szCs w:val="22"/>
                  <w:u w:val="single"/>
                </w:rPr>
                <w:t>Krisztina.PerlakyToth@eesc.europa.eu</w:t>
              </w:r>
            </w:hyperlink>
          </w:p>
        </w:tc>
      </w:tr>
    </w:tbl>
    <w:p w:rsidR="00FD7CAC" w:rsidRDefault="00FD7CAC" w14:paraId="4982DD96" w14:textId="46955619">
      <w:pPr>
        <w:spacing w:after="160" w:line="259" w:lineRule="auto"/>
        <w:jc w:val="left"/>
      </w:pPr>
      <w:r>
        <w:br w:type="page"/>
      </w:r>
    </w:p>
    <w:p w:rsidRPr="00FD7CAC" w:rsidR="00FD7CAC" w:rsidP="0015600B" w:rsidRDefault="00486D53" w14:paraId="34C0045E" w14:textId="367D4667">
      <w:pPr>
        <w:widowControl w:val="0"/>
        <w:numPr>
          <w:ilvl w:val="0"/>
          <w:numId w:val="7"/>
        </w:numPr>
        <w:overflowPunct w:val="0"/>
        <w:autoSpaceDE w:val="0"/>
        <w:autoSpaceDN w:val="0"/>
        <w:adjustRightInd w:val="0"/>
        <w:spacing w:after="200" w:line="276" w:lineRule="auto"/>
        <w:ind w:left="0" w:hanging="426"/>
        <w:contextualSpacing/>
        <w:jc w:val="center"/>
        <w:textAlignment w:val="baseline"/>
        <w:rPr>
          <w:bCs/>
          <w:iCs/>
        </w:rPr>
      </w:pPr>
      <w:hyperlink w:history="1" r:id="rId23">
        <w:r w:rsidR="00276FC9">
          <w:rPr>
            <w:b/>
            <w:i/>
            <w:color w:val="0000FF"/>
            <w:sz w:val="28"/>
            <w:u w:val="single"/>
          </w:rPr>
          <w:t>Ergänzende Überlegungen zum Jahresbericht zum nachhaltigen Wachstum 2024</w:t>
        </w:r>
      </w:hyperlink>
      <w:r w:rsidR="00276FC9">
        <w:rPr>
          <w:b/>
          <w:i/>
          <w:sz w:val="28"/>
        </w:rPr>
        <w:t xml:space="preserve"> </w:t>
      </w:r>
    </w:p>
    <w:p w:rsidRPr="00FD7CAC" w:rsidR="00FD7CAC" w:rsidP="00FD7CAC" w:rsidRDefault="00FD7CAC" w14:paraId="457455C0" w14:textId="77777777">
      <w:pPr>
        <w:widowControl w:val="0"/>
        <w:overflowPunct w:val="0"/>
        <w:autoSpaceDE w:val="0"/>
        <w:autoSpaceDN w:val="0"/>
        <w:adjustRightInd w:val="0"/>
        <w:ind w:left="266"/>
        <w:textAlignment w:val="baseline"/>
        <w:rPr>
          <w:b/>
          <w:lang w:val="en-GB"/>
        </w:rPr>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2"/>
        <w:gridCol w:w="7604"/>
      </w:tblGrid>
      <w:tr w:rsidRPr="00536180" w:rsidR="00FD7CAC" w:rsidTr="00536180" w14:paraId="72745103" w14:textId="77777777">
        <w:tc>
          <w:tcPr>
            <w:tcW w:w="2002" w:type="dxa"/>
          </w:tcPr>
          <w:p w:rsidRPr="00536180" w:rsidR="00FD7CAC" w:rsidP="00FD7CAC" w:rsidRDefault="00FD7CAC" w14:paraId="1B0A8B28" w14:textId="77777777">
            <w:pPr>
              <w:overflowPunct w:val="0"/>
              <w:autoSpaceDE w:val="0"/>
              <w:autoSpaceDN w:val="0"/>
              <w:adjustRightInd w:val="0"/>
              <w:ind w:left="176" w:hanging="284"/>
              <w:textAlignment w:val="baseline"/>
              <w:rPr>
                <w:b/>
                <w:sz w:val="22"/>
                <w:szCs w:val="22"/>
              </w:rPr>
            </w:pPr>
            <w:r w:rsidRPr="00536180">
              <w:rPr>
                <w:b/>
                <w:sz w:val="22"/>
                <w:szCs w:val="22"/>
              </w:rPr>
              <w:t>Berichterstatterin</w:t>
            </w:r>
          </w:p>
        </w:tc>
        <w:tc>
          <w:tcPr>
            <w:tcW w:w="7604" w:type="dxa"/>
          </w:tcPr>
          <w:p w:rsidRPr="00536180" w:rsidR="00FD7CAC" w:rsidP="00FD7CAC" w:rsidRDefault="00FD7CAC" w14:paraId="7E89404A" w14:textId="77777777">
            <w:pPr>
              <w:tabs>
                <w:tab w:val="center" w:pos="284"/>
              </w:tabs>
              <w:overflowPunct w:val="0"/>
              <w:autoSpaceDE w:val="0"/>
              <w:autoSpaceDN w:val="0"/>
              <w:adjustRightInd w:val="0"/>
              <w:textAlignment w:val="baseline"/>
              <w:rPr>
                <w:sz w:val="22"/>
                <w:szCs w:val="22"/>
              </w:rPr>
            </w:pPr>
            <w:r w:rsidRPr="00536180">
              <w:rPr>
                <w:sz w:val="22"/>
                <w:szCs w:val="22"/>
              </w:rPr>
              <w:t>Elena-Alexandra CALISTRU (Gruppe Organisationen der Zivilgesellschaft – RO)</w:t>
            </w:r>
          </w:p>
        </w:tc>
      </w:tr>
      <w:tr w:rsidRPr="00536180" w:rsidR="00FD7CAC" w:rsidTr="00536180" w14:paraId="1AA069D3" w14:textId="77777777">
        <w:tc>
          <w:tcPr>
            <w:tcW w:w="9606" w:type="dxa"/>
            <w:gridSpan w:val="2"/>
          </w:tcPr>
          <w:p w:rsidRPr="00536180" w:rsidR="00FD7CAC" w:rsidP="00FD7CAC" w:rsidRDefault="00FD7CAC" w14:paraId="7354E349" w14:textId="77777777">
            <w:pPr>
              <w:tabs>
                <w:tab w:val="center" w:pos="284"/>
              </w:tabs>
              <w:overflowPunct w:val="0"/>
              <w:autoSpaceDE w:val="0"/>
              <w:autoSpaceDN w:val="0"/>
              <w:adjustRightInd w:val="0"/>
              <w:spacing w:line="160" w:lineRule="exact"/>
              <w:ind w:left="266" w:hanging="266"/>
              <w:textAlignment w:val="baseline"/>
              <w:rPr>
                <w:sz w:val="22"/>
                <w:szCs w:val="22"/>
                <w:lang w:val="en-GB"/>
              </w:rPr>
            </w:pPr>
          </w:p>
        </w:tc>
      </w:tr>
      <w:tr w:rsidRPr="00536180" w:rsidR="00FD7CAC" w:rsidTr="00536180" w14:paraId="2071F9C9" w14:textId="77777777">
        <w:tc>
          <w:tcPr>
            <w:tcW w:w="2002" w:type="dxa"/>
            <w:vMerge w:val="restart"/>
          </w:tcPr>
          <w:p w:rsidRPr="00536180" w:rsidR="00FD7CAC" w:rsidP="00FD7CAC" w:rsidRDefault="00FD7CAC" w14:paraId="17087256" w14:textId="77777777">
            <w:pPr>
              <w:tabs>
                <w:tab w:val="center" w:pos="284"/>
              </w:tabs>
              <w:overflowPunct w:val="0"/>
              <w:autoSpaceDE w:val="0"/>
              <w:autoSpaceDN w:val="0"/>
              <w:adjustRightInd w:val="0"/>
              <w:ind w:left="266" w:hanging="374"/>
              <w:textAlignment w:val="baseline"/>
              <w:rPr>
                <w:b/>
                <w:sz w:val="22"/>
                <w:szCs w:val="22"/>
              </w:rPr>
            </w:pPr>
            <w:r w:rsidRPr="00536180">
              <w:rPr>
                <w:b/>
                <w:sz w:val="22"/>
                <w:szCs w:val="22"/>
              </w:rPr>
              <w:t>Referenzdokumente</w:t>
            </w:r>
          </w:p>
        </w:tc>
        <w:tc>
          <w:tcPr>
            <w:tcW w:w="7604" w:type="dxa"/>
          </w:tcPr>
          <w:p w:rsidRPr="00536180" w:rsidR="003E0D5C" w:rsidP="00FD7CAC" w:rsidRDefault="00FD7CAC" w14:paraId="37B12DD5" w14:textId="7F029D2E">
            <w:pPr>
              <w:tabs>
                <w:tab w:val="center" w:pos="284"/>
              </w:tabs>
              <w:overflowPunct w:val="0"/>
              <w:autoSpaceDE w:val="0"/>
              <w:autoSpaceDN w:val="0"/>
              <w:adjustRightInd w:val="0"/>
              <w:textAlignment w:val="baseline"/>
              <w:rPr>
                <w:sz w:val="22"/>
                <w:szCs w:val="22"/>
              </w:rPr>
            </w:pPr>
            <w:r w:rsidRPr="00536180">
              <w:rPr>
                <w:sz w:val="22"/>
                <w:szCs w:val="22"/>
              </w:rPr>
              <w:t xml:space="preserve">Initiativstellungnahme </w:t>
            </w:r>
          </w:p>
          <w:p w:rsidRPr="00536180" w:rsidR="00FD7CAC" w:rsidP="00FD7CAC" w:rsidRDefault="00FD7CAC" w14:paraId="3A1706F0" w14:textId="2254DDA8">
            <w:pPr>
              <w:tabs>
                <w:tab w:val="center" w:pos="284"/>
              </w:tabs>
              <w:overflowPunct w:val="0"/>
              <w:autoSpaceDE w:val="0"/>
              <w:autoSpaceDN w:val="0"/>
              <w:adjustRightInd w:val="0"/>
              <w:textAlignment w:val="baseline"/>
              <w:rPr>
                <w:sz w:val="22"/>
                <w:szCs w:val="22"/>
                <w:highlight w:val="yellow"/>
              </w:rPr>
            </w:pPr>
            <w:r w:rsidRPr="00536180">
              <w:rPr>
                <w:sz w:val="22"/>
                <w:szCs w:val="22"/>
              </w:rPr>
              <w:t>EESC-2024-01462-00-00-AC</w:t>
            </w:r>
          </w:p>
        </w:tc>
      </w:tr>
      <w:tr w:rsidRPr="00FD7CAC" w:rsidR="00FD7CAC" w:rsidTr="00536180" w14:paraId="278BC08C" w14:textId="77777777">
        <w:tc>
          <w:tcPr>
            <w:tcW w:w="2002" w:type="dxa"/>
            <w:vMerge/>
          </w:tcPr>
          <w:p w:rsidRPr="00FD7CAC" w:rsidR="00FD7CAC" w:rsidP="00FD7CAC" w:rsidRDefault="00FD7CAC" w14:paraId="4F884A44" w14:textId="77777777">
            <w:pPr>
              <w:tabs>
                <w:tab w:val="center" w:pos="284"/>
              </w:tabs>
              <w:overflowPunct w:val="0"/>
              <w:autoSpaceDE w:val="0"/>
              <w:autoSpaceDN w:val="0"/>
              <w:adjustRightInd w:val="0"/>
              <w:ind w:left="266" w:hanging="266"/>
              <w:textAlignment w:val="baseline"/>
              <w:rPr>
                <w:b/>
                <w:lang w:val="en-GB"/>
              </w:rPr>
            </w:pPr>
          </w:p>
        </w:tc>
        <w:tc>
          <w:tcPr>
            <w:tcW w:w="7604" w:type="dxa"/>
          </w:tcPr>
          <w:p w:rsidRPr="00FD7CAC" w:rsidR="00FD7CAC" w:rsidP="00FD7CAC" w:rsidRDefault="00FD7CAC" w14:paraId="3A960006" w14:textId="77777777">
            <w:pPr>
              <w:tabs>
                <w:tab w:val="center" w:pos="284"/>
              </w:tabs>
              <w:overflowPunct w:val="0"/>
              <w:autoSpaceDE w:val="0"/>
              <w:autoSpaceDN w:val="0"/>
              <w:adjustRightInd w:val="0"/>
              <w:ind w:left="266" w:hanging="266"/>
              <w:textAlignment w:val="baseline"/>
              <w:rPr>
                <w:highlight w:val="yellow"/>
                <w:lang w:val="en-GB"/>
              </w:rPr>
            </w:pPr>
          </w:p>
        </w:tc>
      </w:tr>
    </w:tbl>
    <w:p w:rsidRPr="00FD7CAC" w:rsidR="00FD7CAC" w:rsidP="00FD7CAC" w:rsidRDefault="00FD7CAC" w14:paraId="37667095"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FD7CAC" w:rsidR="00FD7CAC" w:rsidP="00FD7CAC" w:rsidRDefault="00FD7CAC" w14:paraId="6FF9E708" w14:textId="77777777">
      <w:pPr>
        <w:keepNext/>
        <w:keepLines/>
        <w:tabs>
          <w:tab w:val="center" w:pos="284"/>
        </w:tabs>
        <w:overflowPunct w:val="0"/>
        <w:autoSpaceDE w:val="0"/>
        <w:autoSpaceDN w:val="0"/>
        <w:adjustRightInd w:val="0"/>
        <w:ind w:left="266" w:hanging="266"/>
        <w:textAlignment w:val="baseline"/>
        <w:rPr>
          <w:b/>
          <w:lang w:val="en-GB"/>
        </w:rPr>
      </w:pPr>
    </w:p>
    <w:p w:rsidR="00FD7CAC" w:rsidP="00FD7CAC" w:rsidRDefault="00FD7CAC" w14:paraId="6121151E" w14:textId="056DFE5C">
      <w:pPr>
        <w:overflowPunct w:val="0"/>
        <w:autoSpaceDE w:val="0"/>
        <w:autoSpaceDN w:val="0"/>
        <w:adjustRightInd w:val="0"/>
        <w:ind w:left="425" w:hanging="425"/>
        <w:textAlignment w:val="baseline"/>
      </w:pPr>
      <w:r>
        <w:t>Der EWSA</w:t>
      </w:r>
    </w:p>
    <w:p w:rsidRPr="00FD7CAC" w:rsidR="00536180" w:rsidP="00FD7CAC" w:rsidRDefault="00536180" w14:paraId="67C3B389" w14:textId="77777777">
      <w:pPr>
        <w:overflowPunct w:val="0"/>
        <w:autoSpaceDE w:val="0"/>
        <w:autoSpaceDN w:val="0"/>
        <w:adjustRightInd w:val="0"/>
        <w:ind w:left="425" w:hanging="425"/>
        <w:textAlignment w:val="baseline"/>
        <w:rPr>
          <w:szCs w:val="20"/>
        </w:rPr>
      </w:pPr>
    </w:p>
    <w:p w:rsidRPr="00FD7CAC" w:rsidR="00FD7CAC" w:rsidP="00014EF0" w:rsidRDefault="00FD7CAC" w14:paraId="4D33F970" w14:textId="77777777">
      <w:pPr>
        <w:numPr>
          <w:ilvl w:val="0"/>
          <w:numId w:val="31"/>
        </w:numPr>
        <w:overflowPunct w:val="0"/>
        <w:autoSpaceDE w:val="0"/>
        <w:autoSpaceDN w:val="0"/>
        <w:adjustRightInd w:val="0"/>
        <w:spacing w:after="200"/>
        <w:contextualSpacing/>
        <w:textAlignment w:val="baseline"/>
      </w:pPr>
      <w:r>
        <w:t>fordert die rasche Umsetzung der Vorschläge für einen Clean Deal für die Industrie und einen Europäischen Fonds für Wettbewerbsfähigkeit, um mit diesen Initiativen sowohl das Wirtschaftswachstum als auch die Umweltziele zu unterstützen;</w:t>
      </w:r>
    </w:p>
    <w:p w:rsidRPr="00FD7CAC" w:rsidR="00FD7CAC" w:rsidP="00014EF0" w:rsidRDefault="00FD7CAC" w14:paraId="5DF519D9" w14:textId="77777777">
      <w:pPr>
        <w:numPr>
          <w:ilvl w:val="0"/>
          <w:numId w:val="31"/>
        </w:numPr>
        <w:overflowPunct w:val="0"/>
        <w:autoSpaceDE w:val="0"/>
        <w:autoSpaceDN w:val="0"/>
        <w:adjustRightInd w:val="0"/>
        <w:spacing w:after="200"/>
        <w:contextualSpacing/>
        <w:textAlignment w:val="baseline"/>
      </w:pPr>
      <w:r>
        <w:t xml:space="preserve">empfiehlt, eine Verlängerung der Laufzeit der Aufbau- und </w:t>
      </w:r>
      <w:proofErr w:type="spellStart"/>
      <w:r>
        <w:t>Resilienzfazilität</w:t>
      </w:r>
      <w:proofErr w:type="spellEnd"/>
      <w:r>
        <w:t xml:space="preserve"> zu erwägen und die technische Unterstützung zu verstärken, um sicherzustellen, dass die Mittel vollständig ausgeschöpft werden und damit nachhaltiges Wachstum optimal gefördert wird;</w:t>
      </w:r>
    </w:p>
    <w:p w:rsidRPr="00FD7CAC" w:rsidR="00FD7CAC" w:rsidP="00014EF0" w:rsidRDefault="00FD7CAC" w14:paraId="1EED83B5" w14:textId="77777777">
      <w:pPr>
        <w:numPr>
          <w:ilvl w:val="0"/>
          <w:numId w:val="31"/>
        </w:numPr>
        <w:overflowPunct w:val="0"/>
        <w:autoSpaceDE w:val="0"/>
        <w:autoSpaceDN w:val="0"/>
        <w:adjustRightInd w:val="0"/>
        <w:spacing w:after="200"/>
        <w:contextualSpacing/>
        <w:textAlignment w:val="baseline"/>
      </w:pPr>
      <w:r>
        <w:t xml:space="preserve">fordert eine sorgfältige Abwägung zwischen Defizitabbau und Aufrechterhaltung der Investitionskapazität. Dies gilt vor allem für Bereiche wie den grünen und den digitalen Wandel, die für langfristiges Wachstum von entscheidender Bedeutung sind; </w:t>
      </w:r>
    </w:p>
    <w:p w:rsidRPr="00FD7CAC" w:rsidR="00FD7CAC" w:rsidP="00014EF0" w:rsidRDefault="00FD7CAC" w14:paraId="18E2837C" w14:textId="77777777">
      <w:pPr>
        <w:numPr>
          <w:ilvl w:val="0"/>
          <w:numId w:val="31"/>
        </w:numPr>
        <w:overflowPunct w:val="0"/>
        <w:autoSpaceDE w:val="0"/>
        <w:autoSpaceDN w:val="0"/>
        <w:adjustRightInd w:val="0"/>
        <w:spacing w:after="200"/>
        <w:contextualSpacing/>
        <w:textAlignment w:val="baseline"/>
      </w:pPr>
      <w:r>
        <w:t>drängt auf eine umfassende Strategie zur Bewältigung der Herausforderungen auf dem Arbeitsmarkt, einschließlich des Missverhältnisses zwischen Qualifikationsangebot und -nachfrage sowie des demografischen Wandels. Dies sollte gezielte Maßnahmen zur Aktivierung von Nichterwerbspersonen und zur Verbesserung der Bildungssysteme umfassen, um den Einzelnen besser auf den künftigen Bedarf der Arbeitsmärkte vorzubereiten;</w:t>
      </w:r>
    </w:p>
    <w:p w:rsidRPr="00FD7CAC" w:rsidR="00FD7CAC" w:rsidP="00014EF0" w:rsidRDefault="00FD7CAC" w14:paraId="44DADF86" w14:textId="77777777">
      <w:pPr>
        <w:numPr>
          <w:ilvl w:val="0"/>
          <w:numId w:val="31"/>
        </w:numPr>
        <w:overflowPunct w:val="0"/>
        <w:autoSpaceDE w:val="0"/>
        <w:autoSpaceDN w:val="0"/>
        <w:adjustRightInd w:val="0"/>
        <w:spacing w:after="200"/>
        <w:contextualSpacing/>
        <w:textAlignment w:val="baseline"/>
      </w:pPr>
      <w:r>
        <w:t>plädiert für die Einbeziehung der Interessenträger, um sicherzustellen, dass diese Initiativen Unternehmen aller Größenordnungen zugutekommen und die allgemeine wirtschaftliche Resilienz gestärkt wird;</w:t>
      </w:r>
    </w:p>
    <w:p w:rsidRPr="00FD7CAC" w:rsidR="00FD7CAC" w:rsidP="00014EF0" w:rsidRDefault="00FD7CAC" w14:paraId="1BBDE95B" w14:textId="77777777">
      <w:pPr>
        <w:numPr>
          <w:ilvl w:val="0"/>
          <w:numId w:val="31"/>
        </w:numPr>
        <w:overflowPunct w:val="0"/>
        <w:autoSpaceDE w:val="0"/>
        <w:autoSpaceDN w:val="0"/>
        <w:adjustRightInd w:val="0"/>
        <w:spacing w:after="200"/>
        <w:contextualSpacing/>
        <w:textAlignment w:val="baseline"/>
      </w:pPr>
      <w:r>
        <w:t xml:space="preserve">fordert weitere Investitionen in saubere Technologien und kritische Rohstoffe, die mit Maßnahmen zur Unterstützung der weltweiten Zusammenarbeit und zur Verhinderung von schädlichem Protektionismus einhergehen; </w:t>
      </w:r>
    </w:p>
    <w:p w:rsidRPr="00FD7CAC" w:rsidR="00FD7CAC" w:rsidP="00014EF0" w:rsidRDefault="00FD7CAC" w14:paraId="5FADFB15" w14:textId="77777777">
      <w:pPr>
        <w:numPr>
          <w:ilvl w:val="0"/>
          <w:numId w:val="31"/>
        </w:numPr>
        <w:overflowPunct w:val="0"/>
        <w:autoSpaceDE w:val="0"/>
        <w:autoSpaceDN w:val="0"/>
        <w:adjustRightInd w:val="0"/>
        <w:spacing w:after="200"/>
        <w:contextualSpacing/>
        <w:textAlignment w:val="baseline"/>
      </w:pPr>
      <w:r>
        <w:t>empfiehlt, alle wichtigen wirtschaftlichen Initiativen durch entschlossene Sozial- und Umweltschutzmaßnahmen zu ergänzen;</w:t>
      </w:r>
    </w:p>
    <w:p w:rsidRPr="00FD7CAC" w:rsidR="00FD7CAC" w:rsidP="00014EF0" w:rsidRDefault="00FD7CAC" w14:paraId="30864938" w14:textId="77777777">
      <w:pPr>
        <w:numPr>
          <w:ilvl w:val="0"/>
          <w:numId w:val="31"/>
        </w:numPr>
        <w:overflowPunct w:val="0"/>
        <w:autoSpaceDE w:val="0"/>
        <w:autoSpaceDN w:val="0"/>
        <w:adjustRightInd w:val="0"/>
        <w:spacing w:after="200"/>
        <w:contextualSpacing/>
        <w:textAlignment w:val="baseline"/>
      </w:pPr>
      <w:r>
        <w:t xml:space="preserve">legt nahe, das Europäische Semester als Ausgangsbasis zur Stärkung der Legitimität und Wirksamkeit der EU-Wachstumsstrategien entschieden zu stärken. Gleichzeitig ist sicherzustellen, dass diese Strategien die ganze Legislaturperiode über integrativ bleiben und den Bedürfnissen der Bürger entsprechen. </w:t>
      </w:r>
    </w:p>
    <w:p w:rsidRPr="00FD7CAC" w:rsidR="00FD7CAC" w:rsidP="00FD7CAC" w:rsidRDefault="00FD7CAC" w14:paraId="2AB3B519" w14:textId="77777777">
      <w:pPr>
        <w:overflowPunct w:val="0"/>
        <w:autoSpaceDE w:val="0"/>
        <w:autoSpaceDN w:val="0"/>
        <w:adjustRightInd w:val="0"/>
        <w:textAlignment w:val="baseline"/>
        <w:rPr>
          <w:szCs w:val="20"/>
          <w:lang w:val="en-GB"/>
        </w:rPr>
      </w:pPr>
    </w:p>
    <w:tbl>
      <w:tblPr>
        <w:tblStyle w:val="TableGrid2"/>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tblGrid>
      <w:tr w:rsidRPr="00536180" w:rsidR="00FD7CAC" w:rsidTr="00F324F7" w14:paraId="5E252ACC" w14:textId="77777777">
        <w:tc>
          <w:tcPr>
            <w:tcW w:w="1173" w:type="dxa"/>
          </w:tcPr>
          <w:p w:rsidRPr="00536180" w:rsidR="00FD7CAC" w:rsidP="00FD7CAC" w:rsidRDefault="00FD7CAC" w14:paraId="57E067B2" w14:textId="77777777">
            <w:pPr>
              <w:overflowPunct w:val="0"/>
              <w:autoSpaceDE w:val="0"/>
              <w:autoSpaceDN w:val="0"/>
              <w:adjustRightInd w:val="0"/>
              <w:textAlignment w:val="baseline"/>
              <w:rPr>
                <w:i/>
                <w:sz w:val="22"/>
                <w:szCs w:val="22"/>
              </w:rPr>
            </w:pPr>
            <w:r w:rsidRPr="00536180">
              <w:rPr>
                <w:b/>
                <w:i/>
                <w:sz w:val="22"/>
                <w:szCs w:val="22"/>
              </w:rPr>
              <w:t>Kontakt</w:t>
            </w:r>
          </w:p>
        </w:tc>
        <w:tc>
          <w:tcPr>
            <w:tcW w:w="4518" w:type="dxa"/>
          </w:tcPr>
          <w:p w:rsidRPr="00536180" w:rsidR="00FD7CAC" w:rsidP="00FD7CAC" w:rsidRDefault="00FD7CAC" w14:paraId="56F7091B" w14:textId="77777777">
            <w:pPr>
              <w:overflowPunct w:val="0"/>
              <w:autoSpaceDE w:val="0"/>
              <w:autoSpaceDN w:val="0"/>
              <w:adjustRightInd w:val="0"/>
              <w:textAlignment w:val="baseline"/>
              <w:rPr>
                <w:i/>
                <w:iCs/>
                <w:sz w:val="22"/>
                <w:szCs w:val="22"/>
              </w:rPr>
            </w:pPr>
            <w:r w:rsidRPr="00536180">
              <w:rPr>
                <w:i/>
                <w:sz w:val="22"/>
                <w:szCs w:val="22"/>
              </w:rPr>
              <w:t xml:space="preserve">Anna </w:t>
            </w:r>
            <w:proofErr w:type="spellStart"/>
            <w:r w:rsidRPr="00536180">
              <w:rPr>
                <w:i/>
                <w:sz w:val="22"/>
                <w:szCs w:val="22"/>
              </w:rPr>
              <w:t>Pantazi</w:t>
            </w:r>
            <w:proofErr w:type="spellEnd"/>
          </w:p>
        </w:tc>
      </w:tr>
      <w:tr w:rsidRPr="00536180" w:rsidR="00FD7CAC" w:rsidTr="00F324F7" w14:paraId="2BA36140" w14:textId="77777777">
        <w:tc>
          <w:tcPr>
            <w:tcW w:w="1173" w:type="dxa"/>
          </w:tcPr>
          <w:p w:rsidRPr="00536180" w:rsidR="00FD7CAC" w:rsidP="00FD7CAC" w:rsidRDefault="00FD7CAC" w14:paraId="52E7B3B8" w14:textId="77777777">
            <w:pPr>
              <w:overflowPunct w:val="0"/>
              <w:autoSpaceDE w:val="0"/>
              <w:autoSpaceDN w:val="0"/>
              <w:adjustRightInd w:val="0"/>
              <w:textAlignment w:val="baseline"/>
              <w:rPr>
                <w:i/>
                <w:sz w:val="22"/>
                <w:szCs w:val="22"/>
              </w:rPr>
            </w:pPr>
            <w:r w:rsidRPr="00536180">
              <w:rPr>
                <w:i/>
                <w:sz w:val="22"/>
                <w:szCs w:val="22"/>
              </w:rPr>
              <w:t>Tel.</w:t>
            </w:r>
          </w:p>
        </w:tc>
        <w:tc>
          <w:tcPr>
            <w:tcW w:w="4518" w:type="dxa"/>
          </w:tcPr>
          <w:p w:rsidRPr="00536180" w:rsidR="00FD7CAC" w:rsidP="00FD7CAC" w:rsidRDefault="00FD7CAC" w14:paraId="1DE66AFE" w14:textId="77777777">
            <w:pPr>
              <w:overflowPunct w:val="0"/>
              <w:autoSpaceDE w:val="0"/>
              <w:autoSpaceDN w:val="0"/>
              <w:adjustRightInd w:val="0"/>
              <w:textAlignment w:val="baseline"/>
              <w:rPr>
                <w:i/>
                <w:iCs/>
                <w:sz w:val="22"/>
                <w:szCs w:val="22"/>
              </w:rPr>
            </w:pPr>
            <w:r w:rsidRPr="00536180">
              <w:rPr>
                <w:i/>
                <w:sz w:val="22"/>
                <w:szCs w:val="22"/>
              </w:rPr>
              <w:t>+32 25469231</w:t>
            </w:r>
          </w:p>
        </w:tc>
      </w:tr>
      <w:tr w:rsidRPr="00536180" w:rsidR="00FD7CAC" w:rsidTr="00F324F7" w14:paraId="768292C3" w14:textId="77777777">
        <w:tc>
          <w:tcPr>
            <w:tcW w:w="1173" w:type="dxa"/>
          </w:tcPr>
          <w:p w:rsidRPr="00536180" w:rsidR="00FD7CAC" w:rsidP="00FD7CAC" w:rsidRDefault="00FD7CAC" w14:paraId="35D698F6" w14:textId="77777777">
            <w:pPr>
              <w:overflowPunct w:val="0"/>
              <w:autoSpaceDE w:val="0"/>
              <w:autoSpaceDN w:val="0"/>
              <w:adjustRightInd w:val="0"/>
              <w:textAlignment w:val="baseline"/>
              <w:rPr>
                <w:i/>
                <w:sz w:val="22"/>
                <w:szCs w:val="22"/>
              </w:rPr>
            </w:pPr>
            <w:r w:rsidRPr="00536180">
              <w:rPr>
                <w:i/>
                <w:sz w:val="22"/>
                <w:szCs w:val="22"/>
              </w:rPr>
              <w:t>E-Mail</w:t>
            </w:r>
          </w:p>
        </w:tc>
        <w:tc>
          <w:tcPr>
            <w:tcW w:w="4518" w:type="dxa"/>
          </w:tcPr>
          <w:p w:rsidRPr="00536180" w:rsidR="00FD7CAC" w:rsidP="00FD7CAC" w:rsidRDefault="00486D53" w14:paraId="04B6DE80" w14:textId="5FB1850F">
            <w:pPr>
              <w:overflowPunct w:val="0"/>
              <w:autoSpaceDE w:val="0"/>
              <w:autoSpaceDN w:val="0"/>
              <w:adjustRightInd w:val="0"/>
              <w:textAlignment w:val="baseline"/>
              <w:rPr>
                <w:i/>
                <w:iCs/>
                <w:sz w:val="22"/>
                <w:szCs w:val="22"/>
              </w:rPr>
            </w:pPr>
            <w:hyperlink w:history="1" r:id="rId24">
              <w:r w:rsidRPr="00536180" w:rsidR="007E03C9">
                <w:rPr>
                  <w:color w:val="0000FF"/>
                  <w:sz w:val="22"/>
                  <w:szCs w:val="22"/>
                  <w:u w:val="single"/>
                </w:rPr>
                <w:t>Anna.Pantazi@eesc.europa.eu</w:t>
              </w:r>
            </w:hyperlink>
            <w:r w:rsidRPr="00536180" w:rsidR="007E03C9">
              <w:rPr>
                <w:sz w:val="22"/>
                <w:szCs w:val="22"/>
              </w:rPr>
              <w:t xml:space="preserve"> </w:t>
            </w:r>
          </w:p>
        </w:tc>
      </w:tr>
    </w:tbl>
    <w:p w:rsidR="004D7AC0" w:rsidP="004D7AC0" w:rsidRDefault="004D7AC0" w14:paraId="6A14DD10" w14:textId="77777777">
      <w:pPr>
        <w:pStyle w:val="ListParagraph"/>
        <w:ind w:left="0"/>
      </w:pPr>
    </w:p>
    <w:p w:rsidR="007E5D7C" w:rsidRDefault="007E5D7C" w14:paraId="4982DD97" w14:textId="11F79B7B">
      <w:pPr>
        <w:spacing w:after="160" w:line="259" w:lineRule="auto"/>
        <w:jc w:val="left"/>
      </w:pPr>
      <w:r>
        <w:br w:type="page"/>
      </w:r>
    </w:p>
    <w:p w:rsidRPr="000F216A" w:rsidR="007E5D7C" w:rsidP="007E5D7C" w:rsidRDefault="00486D53" w14:paraId="5EDF9573" w14:textId="2CC837E5">
      <w:pPr>
        <w:widowControl w:val="0"/>
        <w:numPr>
          <w:ilvl w:val="0"/>
          <w:numId w:val="8"/>
        </w:numPr>
        <w:overflowPunct w:val="0"/>
        <w:autoSpaceDE w:val="0"/>
        <w:autoSpaceDN w:val="0"/>
        <w:adjustRightInd w:val="0"/>
        <w:spacing w:after="120"/>
        <w:ind w:hanging="567"/>
        <w:textAlignment w:val="baseline"/>
        <w:rPr>
          <w:b/>
          <w:i/>
          <w:iCs/>
          <w:sz w:val="28"/>
          <w:szCs w:val="28"/>
        </w:rPr>
      </w:pPr>
      <w:hyperlink w:history="1" r:id="rId25">
        <w:r w:rsidR="00276FC9">
          <w:rPr>
            <w:b/>
            <w:i/>
            <w:color w:val="0000FF"/>
            <w:sz w:val="28"/>
            <w:u w:val="single"/>
          </w:rPr>
          <w:t>Mehr finanzpolitische Transparenz durch partizipative Haushaltsplanung in der EU</w:t>
        </w:r>
      </w:hyperlink>
    </w:p>
    <w:p w:rsidRPr="000F216A" w:rsidR="00594F3A" w:rsidP="000F216A" w:rsidRDefault="00594F3A" w14:paraId="7ABD711F" w14:textId="77777777"/>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7496"/>
      </w:tblGrid>
      <w:tr w:rsidRPr="00536180" w:rsidR="00347517" w:rsidTr="00536180" w14:paraId="6F3F6C33" w14:textId="77777777">
        <w:tc>
          <w:tcPr>
            <w:tcW w:w="2110" w:type="dxa"/>
          </w:tcPr>
          <w:p w:rsidRPr="00536180" w:rsidR="00347517" w:rsidP="006961A3" w:rsidRDefault="00347517" w14:paraId="65A5CF3F" w14:textId="77777777">
            <w:pPr>
              <w:tabs>
                <w:tab w:val="center" w:pos="284"/>
              </w:tabs>
              <w:spacing w:line="259" w:lineRule="auto"/>
              <w:ind w:left="266" w:hanging="266"/>
              <w:jc w:val="left"/>
              <w:rPr>
                <w:rFonts w:eastAsia="Calibri"/>
                <w:b/>
                <w:sz w:val="22"/>
                <w:szCs w:val="22"/>
              </w:rPr>
            </w:pPr>
            <w:r w:rsidRPr="00536180">
              <w:rPr>
                <w:b/>
                <w:sz w:val="22"/>
                <w:szCs w:val="22"/>
              </w:rPr>
              <w:t>Berichterstatterin</w:t>
            </w:r>
          </w:p>
        </w:tc>
        <w:tc>
          <w:tcPr>
            <w:tcW w:w="7496" w:type="dxa"/>
          </w:tcPr>
          <w:p w:rsidRPr="00536180" w:rsidR="00347517" w:rsidP="006961A3" w:rsidRDefault="00347517" w14:paraId="250C9867" w14:textId="019193DE">
            <w:pPr>
              <w:tabs>
                <w:tab w:val="center" w:pos="284"/>
              </w:tabs>
              <w:spacing w:line="259" w:lineRule="auto"/>
              <w:ind w:left="266" w:hanging="266"/>
              <w:jc w:val="left"/>
              <w:rPr>
                <w:rFonts w:eastAsia="Calibri"/>
                <w:sz w:val="22"/>
                <w:szCs w:val="22"/>
              </w:rPr>
            </w:pPr>
            <w:r w:rsidRPr="00536180">
              <w:rPr>
                <w:sz w:val="22"/>
                <w:szCs w:val="22"/>
              </w:rPr>
              <w:t>Elena-Alexandra CALISTRU (Gruppe Organisationen der Zivilgesellschaft – RO)</w:t>
            </w:r>
          </w:p>
        </w:tc>
      </w:tr>
      <w:tr w:rsidRPr="00536180" w:rsidR="00347517" w:rsidTr="00536180" w14:paraId="4012887E" w14:textId="77777777">
        <w:tc>
          <w:tcPr>
            <w:tcW w:w="9606" w:type="dxa"/>
            <w:gridSpan w:val="2"/>
          </w:tcPr>
          <w:p w:rsidRPr="00536180" w:rsidR="00347517" w:rsidP="006961A3" w:rsidRDefault="00347517" w14:paraId="6F26D6FD" w14:textId="77777777">
            <w:pPr>
              <w:tabs>
                <w:tab w:val="center" w:pos="284"/>
              </w:tabs>
              <w:spacing w:line="160" w:lineRule="exact"/>
              <w:ind w:left="266" w:hanging="266"/>
              <w:jc w:val="left"/>
              <w:rPr>
                <w:rFonts w:eastAsia="Calibri"/>
                <w:sz w:val="22"/>
                <w:szCs w:val="22"/>
                <w:lang w:val="en-GB"/>
              </w:rPr>
            </w:pPr>
          </w:p>
        </w:tc>
      </w:tr>
      <w:tr w:rsidRPr="00536180" w:rsidR="00347517" w:rsidTr="00536180" w14:paraId="517C83DC" w14:textId="77777777">
        <w:tc>
          <w:tcPr>
            <w:tcW w:w="2110" w:type="dxa"/>
          </w:tcPr>
          <w:p w:rsidRPr="00536180" w:rsidR="00347517" w:rsidP="006961A3" w:rsidRDefault="00347517" w14:paraId="220B28DC" w14:textId="77777777">
            <w:pPr>
              <w:tabs>
                <w:tab w:val="center" w:pos="284"/>
              </w:tabs>
              <w:spacing w:line="259" w:lineRule="auto"/>
              <w:ind w:left="266" w:hanging="266"/>
              <w:jc w:val="left"/>
              <w:rPr>
                <w:rFonts w:eastAsia="Calibri"/>
                <w:b/>
                <w:sz w:val="22"/>
                <w:szCs w:val="22"/>
              </w:rPr>
            </w:pPr>
            <w:r w:rsidRPr="00536180">
              <w:rPr>
                <w:b/>
                <w:sz w:val="22"/>
                <w:szCs w:val="22"/>
              </w:rPr>
              <w:t xml:space="preserve">Referenzdokumente </w:t>
            </w:r>
          </w:p>
        </w:tc>
        <w:tc>
          <w:tcPr>
            <w:tcW w:w="7496" w:type="dxa"/>
          </w:tcPr>
          <w:p w:rsidRPr="00536180" w:rsidR="00347517" w:rsidP="006961A3" w:rsidRDefault="00347517" w14:paraId="212B46A8" w14:textId="77777777">
            <w:pPr>
              <w:tabs>
                <w:tab w:val="center" w:pos="284"/>
              </w:tabs>
              <w:spacing w:line="259" w:lineRule="auto"/>
              <w:jc w:val="left"/>
              <w:rPr>
                <w:rFonts w:eastAsia="Calibri"/>
                <w:sz w:val="22"/>
                <w:szCs w:val="22"/>
              </w:rPr>
            </w:pPr>
            <w:r w:rsidRPr="00536180">
              <w:rPr>
                <w:sz w:val="22"/>
                <w:szCs w:val="22"/>
              </w:rPr>
              <w:t>Initiativstellungnahme</w:t>
            </w:r>
          </w:p>
          <w:p w:rsidRPr="00536180" w:rsidR="00347517" w:rsidP="006961A3" w:rsidRDefault="00347517" w14:paraId="1442607E" w14:textId="4BE4AF9B">
            <w:pPr>
              <w:tabs>
                <w:tab w:val="center" w:pos="284"/>
              </w:tabs>
              <w:spacing w:line="259" w:lineRule="auto"/>
              <w:jc w:val="left"/>
              <w:rPr>
                <w:rFonts w:eastAsia="Calibri"/>
                <w:sz w:val="22"/>
                <w:szCs w:val="22"/>
              </w:rPr>
            </w:pPr>
            <w:r w:rsidRPr="00536180">
              <w:rPr>
                <w:sz w:val="22"/>
                <w:szCs w:val="22"/>
              </w:rPr>
              <w:t>EESC-2024-00571-00-00-AC</w:t>
            </w:r>
          </w:p>
        </w:tc>
      </w:tr>
    </w:tbl>
    <w:p w:rsidRPr="007E5D7C" w:rsidR="007E5D7C" w:rsidP="007E5D7C" w:rsidRDefault="007E5D7C" w14:paraId="6C943817"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Pr="007E5D7C" w:rsidR="007E5D7C" w:rsidP="007E5D7C" w:rsidRDefault="007E5D7C" w14:paraId="0D38B163" w14:textId="77777777">
      <w:pPr>
        <w:keepNext/>
        <w:keepLines/>
        <w:tabs>
          <w:tab w:val="center" w:pos="284"/>
        </w:tabs>
        <w:overflowPunct w:val="0"/>
        <w:autoSpaceDE w:val="0"/>
        <w:autoSpaceDN w:val="0"/>
        <w:adjustRightInd w:val="0"/>
        <w:spacing w:line="240" w:lineRule="auto"/>
        <w:ind w:left="266" w:hanging="266"/>
        <w:textAlignment w:val="baseline"/>
        <w:rPr>
          <w:b/>
        </w:rPr>
      </w:pPr>
      <w:r>
        <w:rPr>
          <w:b/>
        </w:rPr>
        <w:t>Kernaussagen</w:t>
      </w:r>
    </w:p>
    <w:p w:rsidRPr="007E5D7C" w:rsidR="007E5D7C" w:rsidP="007E5D7C" w:rsidRDefault="007E5D7C" w14:paraId="52F9CD26" w14:textId="77777777">
      <w:pPr>
        <w:keepNext/>
        <w:keepLines/>
        <w:tabs>
          <w:tab w:val="center" w:pos="284"/>
        </w:tabs>
        <w:overflowPunct w:val="0"/>
        <w:autoSpaceDE w:val="0"/>
        <w:autoSpaceDN w:val="0"/>
        <w:adjustRightInd w:val="0"/>
        <w:spacing w:line="240" w:lineRule="auto"/>
        <w:ind w:left="266" w:hanging="266"/>
        <w:textAlignment w:val="baseline"/>
        <w:rPr>
          <w:b/>
          <w:sz w:val="16"/>
          <w:szCs w:val="16"/>
          <w:lang w:val="en-GB"/>
        </w:rPr>
      </w:pPr>
    </w:p>
    <w:p w:rsidR="007E5D7C" w:rsidP="007E5D7C" w:rsidRDefault="007E5D7C" w14:paraId="54400EC2" w14:textId="09EE57FE">
      <w:pPr>
        <w:overflowPunct w:val="0"/>
        <w:autoSpaceDE w:val="0"/>
        <w:autoSpaceDN w:val="0"/>
        <w:adjustRightInd w:val="0"/>
        <w:spacing w:line="240" w:lineRule="auto"/>
        <w:textAlignment w:val="baseline"/>
        <w:rPr>
          <w:bCs/>
          <w:iCs/>
        </w:rPr>
      </w:pPr>
      <w:r>
        <w:t>Der EWSA</w:t>
      </w:r>
    </w:p>
    <w:p w:rsidRPr="007E5D7C" w:rsidR="002D2388" w:rsidP="007E5D7C" w:rsidRDefault="002D2388" w14:paraId="17B254DD" w14:textId="77777777">
      <w:pPr>
        <w:overflowPunct w:val="0"/>
        <w:autoSpaceDE w:val="0"/>
        <w:autoSpaceDN w:val="0"/>
        <w:adjustRightInd w:val="0"/>
        <w:spacing w:line="240" w:lineRule="auto"/>
        <w:textAlignment w:val="baseline"/>
        <w:rPr>
          <w:bCs/>
          <w:iCs/>
          <w:lang w:val="en-GB"/>
        </w:rPr>
      </w:pPr>
    </w:p>
    <w:p w:rsidRPr="007E5D7C" w:rsidR="007E5D7C" w:rsidP="00536180" w:rsidRDefault="007E5D7C" w14:paraId="38830E28" w14:textId="77777777">
      <w:pPr>
        <w:numPr>
          <w:ilvl w:val="0"/>
          <w:numId w:val="29"/>
        </w:numPr>
        <w:overflowPunct w:val="0"/>
        <w:autoSpaceDE w:val="0"/>
        <w:autoSpaceDN w:val="0"/>
        <w:adjustRightInd w:val="0"/>
        <w:spacing w:after="200" w:line="276" w:lineRule="auto"/>
        <w:ind w:left="635" w:hanging="567"/>
        <w:contextualSpacing/>
        <w:textAlignment w:val="baseline"/>
        <w:rPr>
          <w:bCs/>
          <w:iCs/>
        </w:rPr>
      </w:pPr>
      <w:r>
        <w:t>hält finanzpolitische Transparenz und partizipative Haushaltsplanung für entscheidend, um die demokratischen Prozesse in der EU und das Vertrauen in die EU-Institutionen zu stärken;</w:t>
      </w:r>
    </w:p>
    <w:p w:rsidRPr="007E5D7C" w:rsidR="007E5D7C" w:rsidP="00536180" w:rsidRDefault="007E5D7C" w14:paraId="16C2DAAB" w14:textId="77777777">
      <w:pPr>
        <w:numPr>
          <w:ilvl w:val="0"/>
          <w:numId w:val="29"/>
        </w:numPr>
        <w:overflowPunct w:val="0"/>
        <w:autoSpaceDE w:val="0"/>
        <w:autoSpaceDN w:val="0"/>
        <w:adjustRightInd w:val="0"/>
        <w:spacing w:after="200" w:line="276" w:lineRule="auto"/>
        <w:ind w:left="635" w:hanging="567"/>
        <w:contextualSpacing/>
        <w:textAlignment w:val="baseline"/>
        <w:rPr>
          <w:bCs/>
          <w:iCs/>
        </w:rPr>
      </w:pPr>
      <w:r>
        <w:t>sieht noch erheblichen Spielraum für Verbesserung und Standardisierung in den Mitgliedstaaten;</w:t>
      </w:r>
    </w:p>
    <w:p w:rsidRPr="007E5D7C" w:rsidR="007E5D7C" w:rsidP="00536180" w:rsidRDefault="007E5D7C" w14:paraId="4C4B8632" w14:textId="77777777">
      <w:pPr>
        <w:numPr>
          <w:ilvl w:val="0"/>
          <w:numId w:val="29"/>
        </w:numPr>
        <w:overflowPunct w:val="0"/>
        <w:autoSpaceDE w:val="0"/>
        <w:autoSpaceDN w:val="0"/>
        <w:adjustRightInd w:val="0"/>
        <w:spacing w:after="200" w:line="276" w:lineRule="auto"/>
        <w:ind w:left="635" w:hanging="567"/>
        <w:contextualSpacing/>
        <w:textAlignment w:val="baseline"/>
        <w:rPr>
          <w:bCs/>
          <w:iCs/>
        </w:rPr>
      </w:pPr>
      <w:r>
        <w:t xml:space="preserve">ist der Ansicht, dass die EU für alle aus dem mehrjährigen Finanzrahmen (MFR) finanzierten Programme einen gemeinsamen Rahmen für finanzpolitische Transparenz schaffen sollte. Dieser sollte: </w:t>
      </w:r>
    </w:p>
    <w:p w:rsidRPr="007E5D7C" w:rsidR="007E5D7C" w:rsidP="00014EF0" w:rsidRDefault="007E5D7C" w14:paraId="08680F39" w14:textId="77777777">
      <w:pPr>
        <w:numPr>
          <w:ilvl w:val="1"/>
          <w:numId w:val="26"/>
        </w:numPr>
        <w:overflowPunct w:val="0"/>
        <w:autoSpaceDE w:val="0"/>
        <w:autoSpaceDN w:val="0"/>
        <w:adjustRightInd w:val="0"/>
        <w:spacing w:after="200" w:line="276" w:lineRule="auto"/>
        <w:ind w:left="1060" w:hanging="425"/>
        <w:contextualSpacing/>
        <w:textAlignment w:val="baseline"/>
        <w:rPr>
          <w:bCs/>
          <w:iCs/>
        </w:rPr>
      </w:pPr>
      <w:r>
        <w:t xml:space="preserve">klare Standards und Leitlinien für die finanzpolitische Transparenz enthalten; </w:t>
      </w:r>
    </w:p>
    <w:p w:rsidRPr="007E5D7C" w:rsidR="007E5D7C" w:rsidP="00014EF0" w:rsidRDefault="007E5D7C" w14:paraId="1B1CB621" w14:textId="77777777">
      <w:pPr>
        <w:numPr>
          <w:ilvl w:val="1"/>
          <w:numId w:val="26"/>
        </w:numPr>
        <w:overflowPunct w:val="0"/>
        <w:autoSpaceDE w:val="0"/>
        <w:autoSpaceDN w:val="0"/>
        <w:adjustRightInd w:val="0"/>
        <w:spacing w:after="200" w:line="276" w:lineRule="auto"/>
        <w:ind w:left="1060" w:hanging="425"/>
        <w:contextualSpacing/>
        <w:textAlignment w:val="baseline"/>
        <w:rPr>
          <w:bCs/>
          <w:iCs/>
        </w:rPr>
      </w:pPr>
      <w:r>
        <w:t xml:space="preserve">den Schwerpunkt auf Mechanismen und bewährte Verfahren legen, statt neue Vorschriften einzuführen; </w:t>
      </w:r>
    </w:p>
    <w:p w:rsidRPr="007E5D7C" w:rsidR="007E5D7C" w:rsidP="00014EF0" w:rsidRDefault="007E5D7C" w14:paraId="3783E136" w14:textId="77777777">
      <w:pPr>
        <w:numPr>
          <w:ilvl w:val="1"/>
          <w:numId w:val="26"/>
        </w:numPr>
        <w:overflowPunct w:val="0"/>
        <w:autoSpaceDE w:val="0"/>
        <w:autoSpaceDN w:val="0"/>
        <w:adjustRightInd w:val="0"/>
        <w:spacing w:after="200" w:line="276" w:lineRule="auto"/>
        <w:ind w:left="1060" w:hanging="425"/>
        <w:contextualSpacing/>
        <w:textAlignment w:val="baseline"/>
        <w:rPr>
          <w:bCs/>
          <w:iCs/>
        </w:rPr>
      </w:pPr>
      <w:r>
        <w:t>eine kohärente Berichterstattung sowie den Zugang zu Haushaltsinformationen gewährleisten;</w:t>
      </w:r>
    </w:p>
    <w:p w:rsidRPr="007E5D7C" w:rsidR="007E5D7C" w:rsidP="00536180" w:rsidRDefault="007E5D7C" w14:paraId="5963AA8F" w14:textId="77777777">
      <w:pPr>
        <w:numPr>
          <w:ilvl w:val="0"/>
          <w:numId w:val="30"/>
        </w:numPr>
        <w:overflowPunct w:val="0"/>
        <w:autoSpaceDE w:val="0"/>
        <w:autoSpaceDN w:val="0"/>
        <w:adjustRightInd w:val="0"/>
        <w:spacing w:after="200" w:line="276" w:lineRule="auto"/>
        <w:ind w:left="635" w:hanging="567"/>
        <w:contextualSpacing/>
        <w:textAlignment w:val="baseline"/>
        <w:rPr>
          <w:bCs/>
          <w:iCs/>
        </w:rPr>
      </w:pPr>
      <w:r>
        <w:t>fordert die EU auf, die Mitgliedstaaten dazu anzuhalten und dabei zu unterstützen, hochwertige Datensätze über ihre Haushalte und die Verwendung von EU-Mitteln zu veröffentlichen;</w:t>
      </w:r>
    </w:p>
    <w:p w:rsidRPr="007E5D7C" w:rsidR="007E5D7C" w:rsidP="00536180" w:rsidRDefault="007E5D7C" w14:paraId="5F9316E6" w14:textId="5FDC9277">
      <w:pPr>
        <w:numPr>
          <w:ilvl w:val="0"/>
          <w:numId w:val="30"/>
        </w:numPr>
        <w:overflowPunct w:val="0"/>
        <w:autoSpaceDE w:val="0"/>
        <w:autoSpaceDN w:val="0"/>
        <w:adjustRightInd w:val="0"/>
        <w:spacing w:after="200" w:line="276" w:lineRule="auto"/>
        <w:ind w:left="635" w:hanging="567"/>
        <w:contextualSpacing/>
        <w:textAlignment w:val="baseline"/>
        <w:rPr>
          <w:bCs/>
          <w:iCs/>
        </w:rPr>
      </w:pPr>
      <w:r>
        <w:t>ist der Ansicht, die EU sollte Initiativen zur partizipativen Haushaltsplanung fördern und unterstützen, insbesondere auf lokaler und regionaler Ebene, wo sie sich als besonders wirksam erwiesen haben. Dazu gehören: a) die Bereitstellung von Leitlinien und Ressourcen für die Durchführung; b) die Förderung des Austauschs von Wissen und bewährten Verfahren und c) gegebenenfalls die Berücksichtigung partizipativer Elemente in den Haushaltsverfahren auf EU</w:t>
      </w:r>
      <w:r w:rsidR="00014EF0">
        <w:noBreakHyphen/>
      </w:r>
      <w:r>
        <w:t>Ebene durch die Einbeziehung der organisierten Zivilgesellschaft, z. B. bei Finanzierungsbeschlüssen im Rahmen der Kohäsionspolitik;</w:t>
      </w:r>
    </w:p>
    <w:p w:rsidRPr="007E5D7C" w:rsidR="007E5D7C" w:rsidP="00536180" w:rsidRDefault="007E5D7C" w14:paraId="28E2656D" w14:textId="77777777">
      <w:pPr>
        <w:numPr>
          <w:ilvl w:val="0"/>
          <w:numId w:val="30"/>
        </w:numPr>
        <w:overflowPunct w:val="0"/>
        <w:autoSpaceDE w:val="0"/>
        <w:autoSpaceDN w:val="0"/>
        <w:adjustRightInd w:val="0"/>
        <w:spacing w:after="200" w:line="276" w:lineRule="auto"/>
        <w:ind w:left="635" w:hanging="567"/>
        <w:contextualSpacing/>
        <w:textAlignment w:val="baseline"/>
        <w:rPr>
          <w:bCs/>
          <w:iCs/>
        </w:rPr>
      </w:pPr>
      <w:r>
        <w:t>empfiehlt der EU, digitale Plattformen zu entwickeln und deren Nutzung zu fördern, um die finanzpolitische Transparenz und die Bürgerbeteiligung zu verbessern;</w:t>
      </w:r>
    </w:p>
    <w:p w:rsidRPr="007E5D7C" w:rsidR="007E5D7C" w:rsidP="00536180" w:rsidRDefault="007E5D7C" w14:paraId="1059C158" w14:textId="77777777">
      <w:pPr>
        <w:numPr>
          <w:ilvl w:val="0"/>
          <w:numId w:val="30"/>
        </w:numPr>
        <w:overflowPunct w:val="0"/>
        <w:autoSpaceDE w:val="0"/>
        <w:autoSpaceDN w:val="0"/>
        <w:adjustRightInd w:val="0"/>
        <w:spacing w:after="200" w:line="276" w:lineRule="auto"/>
        <w:ind w:left="635" w:hanging="567"/>
        <w:contextualSpacing/>
        <w:textAlignment w:val="baseline"/>
        <w:rPr>
          <w:bCs/>
          <w:iCs/>
        </w:rPr>
      </w:pPr>
      <w:r>
        <w:t>unterstreicht die Bedeutung des Europäischen Rechnungshofes (</w:t>
      </w:r>
      <w:proofErr w:type="spellStart"/>
      <w:r>
        <w:t>EuRH</w:t>
      </w:r>
      <w:proofErr w:type="spellEnd"/>
      <w:r>
        <w:t>) bei der Förderung der finanzpolitischen Transparenz und empfiehlt, seine Rolle zu stärken;</w:t>
      </w:r>
    </w:p>
    <w:p w:rsidRPr="007E5D7C" w:rsidR="007E5D7C" w:rsidP="00536180" w:rsidRDefault="007E5D7C" w14:paraId="5E5B1007" w14:textId="77777777">
      <w:pPr>
        <w:numPr>
          <w:ilvl w:val="0"/>
          <w:numId w:val="30"/>
        </w:numPr>
        <w:overflowPunct w:val="0"/>
        <w:autoSpaceDE w:val="0"/>
        <w:autoSpaceDN w:val="0"/>
        <w:adjustRightInd w:val="0"/>
        <w:spacing w:after="200" w:line="276" w:lineRule="auto"/>
        <w:ind w:left="635" w:hanging="567"/>
        <w:contextualSpacing/>
        <w:textAlignment w:val="baseline"/>
        <w:rPr>
          <w:bCs/>
          <w:iCs/>
        </w:rPr>
      </w:pPr>
      <w:r>
        <w:t>betont, wie wichtig es ist, vorrangig auf eine stärkere Sensibilisierung und ein stärkeres Engagement der Öffentlichkeit für Haushaltsfragen hinzuwirken. Dabei geht es um: a) umfassende Bildungs- und Sensibilisierungskampagnen; b) die Durchführung von Schulungs- und Kapazitätsaufbauprogrammen für öffentliche Bedienstete und Organisationen der Zivilgesellschaft und c) die aktive Einbindung junger Menschen und künftiger Führungskräfte;</w:t>
      </w:r>
    </w:p>
    <w:p w:rsidRPr="007E5D7C" w:rsidR="007E5D7C" w:rsidP="00536180" w:rsidRDefault="007E5D7C" w14:paraId="6682CC2F" w14:textId="77777777">
      <w:pPr>
        <w:numPr>
          <w:ilvl w:val="0"/>
          <w:numId w:val="30"/>
        </w:numPr>
        <w:overflowPunct w:val="0"/>
        <w:autoSpaceDE w:val="0"/>
        <w:autoSpaceDN w:val="0"/>
        <w:adjustRightInd w:val="0"/>
        <w:spacing w:after="200" w:line="276" w:lineRule="auto"/>
        <w:ind w:left="635" w:hanging="567"/>
        <w:contextualSpacing/>
        <w:textAlignment w:val="baseline"/>
        <w:rPr>
          <w:bCs/>
          <w:iCs/>
        </w:rPr>
      </w:pPr>
      <w:r>
        <w:t>möchte sicherstellen, dass Initiativen zur finanzpolitischen Transparenz und zur partizipativen Haushaltsplanung wichtige Ziele der EU unterstützen und mit ihnen in Einklang stehen;</w:t>
      </w:r>
    </w:p>
    <w:p w:rsidRPr="007E5D7C" w:rsidR="007E5D7C" w:rsidP="00536180" w:rsidRDefault="007E5D7C" w14:paraId="42E019A4" w14:textId="77777777">
      <w:pPr>
        <w:numPr>
          <w:ilvl w:val="0"/>
          <w:numId w:val="30"/>
        </w:numPr>
        <w:overflowPunct w:val="0"/>
        <w:autoSpaceDE w:val="0"/>
        <w:autoSpaceDN w:val="0"/>
        <w:adjustRightInd w:val="0"/>
        <w:spacing w:after="200" w:line="276" w:lineRule="auto"/>
        <w:ind w:left="635" w:hanging="567"/>
        <w:contextualSpacing/>
        <w:textAlignment w:val="baseline"/>
        <w:rPr>
          <w:bCs/>
          <w:iCs/>
        </w:rPr>
      </w:pPr>
      <w:r>
        <w:t>regt eine stärkere Zusammenarbeit und einen besseren Wissensaustausch über finanzpolitische Transparenz und partizipative Haushaltsplanung in den EU-Mitgliedstaaten an;</w:t>
      </w:r>
    </w:p>
    <w:p w:rsidR="007E5D7C" w:rsidP="00536180" w:rsidRDefault="007E5D7C" w14:paraId="2A447801" w14:textId="3AEE87CB">
      <w:pPr>
        <w:numPr>
          <w:ilvl w:val="0"/>
          <w:numId w:val="30"/>
        </w:numPr>
        <w:overflowPunct w:val="0"/>
        <w:autoSpaceDE w:val="0"/>
        <w:autoSpaceDN w:val="0"/>
        <w:adjustRightInd w:val="0"/>
        <w:spacing w:after="200" w:line="276" w:lineRule="auto"/>
        <w:ind w:left="635" w:hanging="567"/>
        <w:contextualSpacing/>
        <w:textAlignment w:val="baseline"/>
        <w:rPr>
          <w:bCs/>
          <w:iCs/>
        </w:rPr>
      </w:pPr>
      <w:r>
        <w:t>ist der Ansicht, dass finanzpolitische Transparenz und partizipative Haushaltsplanung dazu beitragen werden, das Vertrauen der Öffentlichkeit zu stärken, die öffentlichen Ressourcen wirksamer zu nutzen und die demokratischen Prozesse im Rahmen der repräsentativen Demokratie zu stärken.</w:t>
      </w:r>
    </w:p>
    <w:p w:rsidRPr="007E5D7C" w:rsidR="007E5D7C" w:rsidP="00E62A2C" w:rsidRDefault="007E5D7C" w14:paraId="6BDC3C47" w14:textId="77777777">
      <w:pPr>
        <w:overflowPunct w:val="0"/>
        <w:autoSpaceDE w:val="0"/>
        <w:autoSpaceDN w:val="0"/>
        <w:adjustRightInd w:val="0"/>
        <w:spacing w:after="200" w:line="276" w:lineRule="auto"/>
        <w:ind w:hanging="360"/>
        <w:contextualSpacing/>
        <w:textAlignment w:val="baseline"/>
        <w:rPr>
          <w:bCs/>
          <w:iCs/>
          <w:lang w:val="en-GB"/>
        </w:rPr>
      </w:pPr>
    </w:p>
    <w:tbl>
      <w:tblPr>
        <w:tblStyle w:val="TableGrid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36180" w:rsidR="007E5D7C" w:rsidTr="00F324F7" w14:paraId="6728D381" w14:textId="77777777">
        <w:tc>
          <w:tcPr>
            <w:tcW w:w="1418" w:type="dxa"/>
          </w:tcPr>
          <w:p w:rsidRPr="00536180" w:rsidR="007E5D7C" w:rsidP="007E5D7C" w:rsidRDefault="007E5D7C" w14:paraId="1FBC8686" w14:textId="77777777">
            <w:pPr>
              <w:overflowPunct w:val="0"/>
              <w:autoSpaceDE w:val="0"/>
              <w:autoSpaceDN w:val="0"/>
              <w:adjustRightInd w:val="0"/>
              <w:spacing w:line="240" w:lineRule="auto"/>
              <w:textAlignment w:val="baseline"/>
              <w:rPr>
                <w:i/>
                <w:sz w:val="22"/>
                <w:szCs w:val="22"/>
              </w:rPr>
            </w:pPr>
            <w:r w:rsidRPr="00536180">
              <w:rPr>
                <w:b/>
                <w:i/>
                <w:sz w:val="22"/>
                <w:szCs w:val="22"/>
              </w:rPr>
              <w:t>Kontakt</w:t>
            </w:r>
          </w:p>
        </w:tc>
        <w:tc>
          <w:tcPr>
            <w:tcW w:w="5670" w:type="dxa"/>
          </w:tcPr>
          <w:p w:rsidRPr="00536180" w:rsidR="007E5D7C" w:rsidP="007E5D7C" w:rsidRDefault="007E5D7C" w14:paraId="1E817316" w14:textId="0588BC9F">
            <w:pPr>
              <w:overflowPunct w:val="0"/>
              <w:autoSpaceDE w:val="0"/>
              <w:autoSpaceDN w:val="0"/>
              <w:adjustRightInd w:val="0"/>
              <w:spacing w:line="240" w:lineRule="auto"/>
              <w:textAlignment w:val="baseline"/>
              <w:rPr>
                <w:i/>
                <w:sz w:val="22"/>
                <w:szCs w:val="22"/>
              </w:rPr>
            </w:pPr>
            <w:r w:rsidRPr="00536180">
              <w:rPr>
                <w:i/>
                <w:sz w:val="22"/>
                <w:szCs w:val="22"/>
              </w:rPr>
              <w:t xml:space="preserve">Gerald </w:t>
            </w:r>
            <w:proofErr w:type="spellStart"/>
            <w:r w:rsidRPr="00536180">
              <w:rPr>
                <w:i/>
                <w:sz w:val="22"/>
                <w:szCs w:val="22"/>
              </w:rPr>
              <w:t>Klec</w:t>
            </w:r>
            <w:proofErr w:type="spellEnd"/>
          </w:p>
        </w:tc>
      </w:tr>
      <w:tr w:rsidRPr="00536180" w:rsidR="007E5D7C" w:rsidTr="00F324F7" w14:paraId="27CD5F3A" w14:textId="77777777">
        <w:tc>
          <w:tcPr>
            <w:tcW w:w="1418" w:type="dxa"/>
          </w:tcPr>
          <w:p w:rsidRPr="00536180" w:rsidR="007E5D7C" w:rsidP="007E5D7C" w:rsidRDefault="007E5D7C" w14:paraId="2446E4C4" w14:textId="77777777">
            <w:pPr>
              <w:overflowPunct w:val="0"/>
              <w:autoSpaceDE w:val="0"/>
              <w:autoSpaceDN w:val="0"/>
              <w:adjustRightInd w:val="0"/>
              <w:spacing w:line="240" w:lineRule="auto"/>
              <w:textAlignment w:val="baseline"/>
              <w:rPr>
                <w:i/>
                <w:sz w:val="22"/>
                <w:szCs w:val="22"/>
              </w:rPr>
            </w:pPr>
            <w:r w:rsidRPr="00536180">
              <w:rPr>
                <w:i/>
                <w:sz w:val="22"/>
                <w:szCs w:val="22"/>
              </w:rPr>
              <w:t>Tel.</w:t>
            </w:r>
          </w:p>
        </w:tc>
        <w:tc>
          <w:tcPr>
            <w:tcW w:w="5670" w:type="dxa"/>
          </w:tcPr>
          <w:p w:rsidRPr="00536180" w:rsidR="007E5D7C" w:rsidP="007E5D7C" w:rsidRDefault="007E5D7C" w14:paraId="4EC2F211" w14:textId="77777777">
            <w:pPr>
              <w:overflowPunct w:val="0"/>
              <w:autoSpaceDE w:val="0"/>
              <w:autoSpaceDN w:val="0"/>
              <w:adjustRightInd w:val="0"/>
              <w:spacing w:line="240" w:lineRule="auto"/>
              <w:textAlignment w:val="baseline"/>
              <w:rPr>
                <w:i/>
                <w:sz w:val="22"/>
                <w:szCs w:val="22"/>
              </w:rPr>
            </w:pPr>
            <w:r w:rsidRPr="00536180">
              <w:rPr>
                <w:i/>
                <w:sz w:val="22"/>
                <w:szCs w:val="22"/>
              </w:rPr>
              <w:t>+32 25469909</w:t>
            </w:r>
          </w:p>
        </w:tc>
      </w:tr>
      <w:tr w:rsidRPr="00536180" w:rsidR="007E5D7C" w:rsidTr="00F324F7" w14:paraId="448284D7" w14:textId="77777777">
        <w:tc>
          <w:tcPr>
            <w:tcW w:w="1418" w:type="dxa"/>
          </w:tcPr>
          <w:p w:rsidRPr="00536180" w:rsidR="007E5D7C" w:rsidP="007E5D7C" w:rsidRDefault="00E62A2C" w14:paraId="0CCB00E0" w14:textId="18151912">
            <w:pPr>
              <w:overflowPunct w:val="0"/>
              <w:autoSpaceDE w:val="0"/>
              <w:autoSpaceDN w:val="0"/>
              <w:adjustRightInd w:val="0"/>
              <w:spacing w:line="240" w:lineRule="auto"/>
              <w:textAlignment w:val="baseline"/>
              <w:rPr>
                <w:i/>
                <w:sz w:val="22"/>
                <w:szCs w:val="22"/>
              </w:rPr>
            </w:pPr>
            <w:r w:rsidRPr="00536180">
              <w:rPr>
                <w:i/>
                <w:sz w:val="22"/>
                <w:szCs w:val="22"/>
              </w:rPr>
              <w:t>E-Mail</w:t>
            </w:r>
          </w:p>
        </w:tc>
        <w:tc>
          <w:tcPr>
            <w:tcW w:w="5670" w:type="dxa"/>
          </w:tcPr>
          <w:p w:rsidRPr="00536180" w:rsidR="007E5D7C" w:rsidP="007E5D7C" w:rsidRDefault="00486D53" w14:paraId="62ED4BD1" w14:textId="1D3DA3A1">
            <w:pPr>
              <w:overflowPunct w:val="0"/>
              <w:autoSpaceDE w:val="0"/>
              <w:autoSpaceDN w:val="0"/>
              <w:adjustRightInd w:val="0"/>
              <w:spacing w:line="240" w:lineRule="auto"/>
              <w:textAlignment w:val="baseline"/>
              <w:rPr>
                <w:i/>
                <w:sz w:val="22"/>
                <w:szCs w:val="22"/>
              </w:rPr>
            </w:pPr>
            <w:hyperlink w:history="1" r:id="rId26">
              <w:r w:rsidRPr="00536180" w:rsidR="007E03C9">
                <w:rPr>
                  <w:color w:val="0000FF"/>
                  <w:sz w:val="22"/>
                  <w:szCs w:val="22"/>
                  <w:u w:val="single"/>
                </w:rPr>
                <w:t>Gerald.Klec@eesc.europa.eu</w:t>
              </w:r>
            </w:hyperlink>
          </w:p>
        </w:tc>
      </w:tr>
    </w:tbl>
    <w:p w:rsidR="004D7AC0" w:rsidP="004D7AC0" w:rsidRDefault="004D7AC0" w14:paraId="63148430" w14:textId="77777777">
      <w:pPr>
        <w:pStyle w:val="ListParagraph"/>
        <w:ind w:left="0"/>
      </w:pPr>
    </w:p>
    <w:p w:rsidR="00347517" w:rsidRDefault="00347517" w14:paraId="50DF60B5" w14:textId="529F97AB">
      <w:pPr>
        <w:spacing w:after="160" w:line="259" w:lineRule="auto"/>
        <w:jc w:val="left"/>
      </w:pPr>
      <w:r>
        <w:br w:type="page"/>
      </w:r>
    </w:p>
    <w:p w:rsidRPr="0015600B" w:rsidR="00C97DBC" w:rsidP="00014EF0" w:rsidRDefault="00486D53" w14:paraId="267E3E02" w14:textId="56340864">
      <w:pPr>
        <w:pStyle w:val="ListParagraph"/>
        <w:numPr>
          <w:ilvl w:val="0"/>
          <w:numId w:val="63"/>
        </w:numPr>
        <w:spacing w:line="259" w:lineRule="auto"/>
        <w:ind w:left="709" w:hanging="709"/>
        <w:jc w:val="left"/>
        <w:rPr>
          <w:rFonts w:ascii="Calibri" w:hAnsi="Calibri"/>
          <w:b/>
          <w:bCs/>
          <w:i/>
          <w:iCs/>
          <w:sz w:val="28"/>
          <w:szCs w:val="28"/>
        </w:rPr>
      </w:pPr>
      <w:hyperlink w:history="1" r:id="rId27">
        <w:r w:rsidR="00C97DBC">
          <w:rPr>
            <w:b/>
            <w:i/>
            <w:color w:val="0000FF"/>
            <w:sz w:val="28"/>
            <w:u w:val="single"/>
          </w:rPr>
          <w:t>Wirtschaftliche Auswirkungen des Klimawandels</w:t>
        </w:r>
      </w:hyperlink>
    </w:p>
    <w:p w:rsidRPr="00014EF0" w:rsidR="00C97DBC" w:rsidP="00C97DBC" w:rsidRDefault="00C97DBC" w14:paraId="541DA2E6" w14:textId="29EC644F">
      <w:pPr>
        <w:widowControl w:val="0"/>
        <w:overflowPunct w:val="0"/>
        <w:autoSpaceDE w:val="0"/>
        <w:autoSpaceDN w:val="0"/>
        <w:adjustRightInd w:val="0"/>
        <w:ind w:left="266"/>
        <w:textAlignment w:val="baseline"/>
        <w:rPr>
          <w:b/>
          <w:sz w:val="14"/>
          <w:szCs w:val="14"/>
          <w:lang w:val="en-GB"/>
        </w:rPr>
      </w:pPr>
    </w:p>
    <w:tbl>
      <w:tblPr>
        <w:tblStyle w:val="TableGrid2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2"/>
        <w:gridCol w:w="7088"/>
      </w:tblGrid>
      <w:tr w:rsidRPr="00536180" w:rsidR="00C97DBC" w:rsidTr="00F324F7" w14:paraId="07A17847" w14:textId="77777777">
        <w:tc>
          <w:tcPr>
            <w:tcW w:w="1701" w:type="dxa"/>
          </w:tcPr>
          <w:p w:rsidRPr="00536180" w:rsidR="00C97DBC" w:rsidP="00C97DBC" w:rsidRDefault="00C97DBC" w14:paraId="0FFF3909" w14:textId="77777777">
            <w:pPr>
              <w:overflowPunct w:val="0"/>
              <w:autoSpaceDE w:val="0"/>
              <w:autoSpaceDN w:val="0"/>
              <w:adjustRightInd w:val="0"/>
              <w:ind w:left="176" w:hanging="284"/>
              <w:textAlignment w:val="baseline"/>
              <w:rPr>
                <w:b/>
                <w:sz w:val="22"/>
                <w:szCs w:val="22"/>
              </w:rPr>
            </w:pPr>
            <w:r w:rsidRPr="00536180">
              <w:rPr>
                <w:b/>
                <w:sz w:val="22"/>
                <w:szCs w:val="22"/>
              </w:rPr>
              <w:t>Berichterstatter</w:t>
            </w:r>
          </w:p>
        </w:tc>
        <w:tc>
          <w:tcPr>
            <w:tcW w:w="7088" w:type="dxa"/>
          </w:tcPr>
          <w:p w:rsidRPr="00536180" w:rsidR="00C97DBC" w:rsidP="00C97DBC" w:rsidRDefault="00C97DBC" w14:paraId="4D3BBBD3" w14:textId="6A64DC58">
            <w:pPr>
              <w:tabs>
                <w:tab w:val="center" w:pos="284"/>
              </w:tabs>
              <w:overflowPunct w:val="0"/>
              <w:autoSpaceDE w:val="0"/>
              <w:autoSpaceDN w:val="0"/>
              <w:adjustRightInd w:val="0"/>
              <w:textAlignment w:val="baseline"/>
              <w:rPr>
                <w:sz w:val="22"/>
                <w:szCs w:val="22"/>
              </w:rPr>
            </w:pPr>
            <w:r w:rsidRPr="00536180">
              <w:rPr>
                <w:sz w:val="22"/>
                <w:szCs w:val="22"/>
              </w:rPr>
              <w:t xml:space="preserve">Juraj </w:t>
            </w:r>
            <w:proofErr w:type="spellStart"/>
            <w:r w:rsidRPr="00536180">
              <w:rPr>
                <w:sz w:val="22"/>
                <w:szCs w:val="22"/>
              </w:rPr>
              <w:t>Sipko</w:t>
            </w:r>
            <w:proofErr w:type="spellEnd"/>
            <w:r w:rsidRPr="00536180">
              <w:rPr>
                <w:sz w:val="22"/>
                <w:szCs w:val="22"/>
              </w:rPr>
              <w:t xml:space="preserve"> (Gruppe Organisationen der Zivilgesellschaft – SK)</w:t>
            </w:r>
          </w:p>
        </w:tc>
      </w:tr>
      <w:tr w:rsidRPr="00014EF0" w:rsidR="00C97DBC" w:rsidTr="00014EF0" w14:paraId="27957C50" w14:textId="77777777">
        <w:trPr>
          <w:trHeight w:val="80"/>
        </w:trPr>
        <w:tc>
          <w:tcPr>
            <w:tcW w:w="8789" w:type="dxa"/>
            <w:gridSpan w:val="2"/>
          </w:tcPr>
          <w:p w:rsidRPr="00014EF0" w:rsidR="00C97DBC" w:rsidP="00C97DBC" w:rsidRDefault="00C97DBC" w14:paraId="5890017A" w14:textId="77777777">
            <w:pPr>
              <w:tabs>
                <w:tab w:val="center" w:pos="284"/>
              </w:tabs>
              <w:overflowPunct w:val="0"/>
              <w:autoSpaceDE w:val="0"/>
              <w:autoSpaceDN w:val="0"/>
              <w:adjustRightInd w:val="0"/>
              <w:spacing w:line="160" w:lineRule="exact"/>
              <w:ind w:left="266" w:hanging="266"/>
              <w:textAlignment w:val="baseline"/>
              <w:rPr>
                <w:sz w:val="12"/>
                <w:szCs w:val="12"/>
                <w:lang w:val="en-GB"/>
              </w:rPr>
            </w:pPr>
          </w:p>
        </w:tc>
      </w:tr>
      <w:tr w:rsidRPr="00536180" w:rsidR="00C97DBC" w:rsidTr="00F324F7" w14:paraId="24E7D7B3" w14:textId="77777777">
        <w:tc>
          <w:tcPr>
            <w:tcW w:w="1701" w:type="dxa"/>
          </w:tcPr>
          <w:p w:rsidRPr="00536180" w:rsidR="00C97DBC" w:rsidP="00C97DBC" w:rsidRDefault="00C97DBC" w14:paraId="2CCEDE7B" w14:textId="77777777">
            <w:pPr>
              <w:tabs>
                <w:tab w:val="center" w:pos="284"/>
              </w:tabs>
              <w:overflowPunct w:val="0"/>
              <w:autoSpaceDE w:val="0"/>
              <w:autoSpaceDN w:val="0"/>
              <w:adjustRightInd w:val="0"/>
              <w:ind w:left="266" w:hanging="374"/>
              <w:textAlignment w:val="baseline"/>
              <w:rPr>
                <w:b/>
                <w:sz w:val="22"/>
                <w:szCs w:val="22"/>
              </w:rPr>
            </w:pPr>
            <w:r w:rsidRPr="00536180">
              <w:rPr>
                <w:b/>
                <w:sz w:val="22"/>
                <w:szCs w:val="22"/>
              </w:rPr>
              <w:t>Referenzdokumente</w:t>
            </w:r>
          </w:p>
        </w:tc>
        <w:tc>
          <w:tcPr>
            <w:tcW w:w="7088" w:type="dxa"/>
          </w:tcPr>
          <w:p w:rsidRPr="00536180" w:rsidR="00194D13" w:rsidP="00C97DBC" w:rsidRDefault="00C97DBC" w14:paraId="2A2DF2C8" w14:textId="77777777">
            <w:pPr>
              <w:tabs>
                <w:tab w:val="center" w:pos="284"/>
              </w:tabs>
              <w:overflowPunct w:val="0"/>
              <w:autoSpaceDE w:val="0"/>
              <w:autoSpaceDN w:val="0"/>
              <w:adjustRightInd w:val="0"/>
              <w:textAlignment w:val="baseline"/>
              <w:rPr>
                <w:sz w:val="22"/>
                <w:szCs w:val="22"/>
              </w:rPr>
            </w:pPr>
            <w:r w:rsidRPr="00536180">
              <w:rPr>
                <w:sz w:val="22"/>
                <w:szCs w:val="22"/>
              </w:rPr>
              <w:t>Initiativstellungnahme</w:t>
            </w:r>
          </w:p>
          <w:p w:rsidRPr="00536180" w:rsidR="00C97DBC" w:rsidP="00C97DBC" w:rsidRDefault="00C97DBC" w14:paraId="1739F139" w14:textId="3A660E63">
            <w:pPr>
              <w:tabs>
                <w:tab w:val="center" w:pos="284"/>
              </w:tabs>
              <w:overflowPunct w:val="0"/>
              <w:autoSpaceDE w:val="0"/>
              <w:autoSpaceDN w:val="0"/>
              <w:adjustRightInd w:val="0"/>
              <w:textAlignment w:val="baseline"/>
              <w:rPr>
                <w:sz w:val="22"/>
                <w:szCs w:val="22"/>
                <w:highlight w:val="yellow"/>
              </w:rPr>
            </w:pPr>
            <w:r w:rsidRPr="00536180">
              <w:rPr>
                <w:sz w:val="22"/>
                <w:szCs w:val="22"/>
              </w:rPr>
              <w:t>EESC-2024-00701-00-00-AC</w:t>
            </w:r>
          </w:p>
        </w:tc>
      </w:tr>
    </w:tbl>
    <w:p w:rsidRPr="00014EF0" w:rsidR="00194D13" w:rsidP="00C97DBC" w:rsidRDefault="00194D13" w14:paraId="246DAB3B" w14:textId="77777777">
      <w:pPr>
        <w:keepNext/>
        <w:keepLines/>
        <w:tabs>
          <w:tab w:val="center" w:pos="284"/>
        </w:tabs>
        <w:overflowPunct w:val="0"/>
        <w:autoSpaceDE w:val="0"/>
        <w:autoSpaceDN w:val="0"/>
        <w:adjustRightInd w:val="0"/>
        <w:ind w:left="266" w:hanging="266"/>
        <w:textAlignment w:val="baseline"/>
        <w:rPr>
          <w:b/>
          <w:sz w:val="14"/>
          <w:szCs w:val="14"/>
          <w:lang w:val="en-GB"/>
        </w:rPr>
      </w:pPr>
    </w:p>
    <w:p w:rsidRPr="00C97DBC" w:rsidR="00C97DBC" w:rsidP="00C97DBC" w:rsidRDefault="00C97DBC" w14:paraId="6D4AA625" w14:textId="4DCBF472">
      <w:pPr>
        <w:keepNext/>
        <w:keepLines/>
        <w:tabs>
          <w:tab w:val="center" w:pos="284"/>
        </w:tabs>
        <w:overflowPunct w:val="0"/>
        <w:autoSpaceDE w:val="0"/>
        <w:autoSpaceDN w:val="0"/>
        <w:adjustRightInd w:val="0"/>
        <w:ind w:left="266" w:hanging="266"/>
        <w:textAlignment w:val="baseline"/>
        <w:rPr>
          <w:b/>
        </w:rPr>
      </w:pPr>
      <w:r>
        <w:rPr>
          <w:b/>
        </w:rPr>
        <w:t>Kernaussagen</w:t>
      </w:r>
    </w:p>
    <w:p w:rsidRPr="00014EF0" w:rsidR="00C97DBC" w:rsidP="00C97DBC" w:rsidRDefault="00C97DBC" w14:paraId="63D4DB84" w14:textId="77777777">
      <w:pPr>
        <w:keepNext/>
        <w:keepLines/>
        <w:tabs>
          <w:tab w:val="center" w:pos="284"/>
        </w:tabs>
        <w:overflowPunct w:val="0"/>
        <w:autoSpaceDE w:val="0"/>
        <w:autoSpaceDN w:val="0"/>
        <w:adjustRightInd w:val="0"/>
        <w:ind w:left="266" w:hanging="266"/>
        <w:textAlignment w:val="baseline"/>
        <w:rPr>
          <w:b/>
          <w:sz w:val="14"/>
          <w:szCs w:val="14"/>
          <w:lang w:val="en-GB"/>
        </w:rPr>
      </w:pPr>
    </w:p>
    <w:p w:rsidRPr="00C97DBC" w:rsidR="00C97DBC" w:rsidP="00C97DBC" w:rsidRDefault="00C97DBC" w14:paraId="77F63D61" w14:textId="77777777">
      <w:pPr>
        <w:overflowPunct w:val="0"/>
        <w:autoSpaceDE w:val="0"/>
        <w:autoSpaceDN w:val="0"/>
        <w:adjustRightInd w:val="0"/>
        <w:ind w:left="425" w:hanging="425"/>
        <w:textAlignment w:val="baseline"/>
        <w:rPr>
          <w:szCs w:val="20"/>
        </w:rPr>
      </w:pPr>
      <w:r>
        <w:t>Der EWSA</w:t>
      </w:r>
    </w:p>
    <w:p w:rsidRPr="00C97DBC" w:rsidR="00C97DBC" w:rsidP="00536180" w:rsidRDefault="00C97DBC" w14:paraId="3C9D97B1" w14:textId="77777777">
      <w:pPr>
        <w:numPr>
          <w:ilvl w:val="0"/>
          <w:numId w:val="34"/>
        </w:numPr>
        <w:overflowPunct w:val="0"/>
        <w:autoSpaceDE w:val="0"/>
        <w:autoSpaceDN w:val="0"/>
        <w:adjustRightInd w:val="0"/>
        <w:spacing w:after="200" w:line="276" w:lineRule="auto"/>
        <w:ind w:left="635" w:hanging="567"/>
        <w:contextualSpacing/>
        <w:textAlignment w:val="baseline"/>
      </w:pPr>
      <w:r>
        <w:t>weist darauf hin, dass der Klimawandel in erster Linie menschengemacht ist, und betont, dass in der Natur alles miteinander verbunden ist. Wenn die Natur im Gleichgewicht ist, sind die Voraussetzungen für ein gutes Wirtschaftswachstum und eine gesunde Bevölkerung gegeben. Es bedarf einer langfristigen Strategie, um die Gesundheit der Bevölkerung vor den Folgen unvorhergesehener Klimaänderungen zu schützen;</w:t>
      </w:r>
    </w:p>
    <w:p w:rsidRPr="00C97DBC" w:rsidR="00C97DBC" w:rsidP="00536180" w:rsidRDefault="00C97DBC" w14:paraId="04D1390C" w14:textId="77777777">
      <w:pPr>
        <w:numPr>
          <w:ilvl w:val="0"/>
          <w:numId w:val="34"/>
        </w:numPr>
        <w:overflowPunct w:val="0"/>
        <w:autoSpaceDE w:val="0"/>
        <w:autoSpaceDN w:val="0"/>
        <w:adjustRightInd w:val="0"/>
        <w:spacing w:after="200" w:line="276" w:lineRule="auto"/>
        <w:ind w:left="635" w:hanging="567"/>
        <w:contextualSpacing/>
        <w:textAlignment w:val="baseline"/>
      </w:pPr>
      <w:r>
        <w:t>sieht im Klimawandel eine existenzielle Bedrohung für die wirtschaftliche und soziale Entwicklung in den Ländern der EU. Es muss mit äußerst negativen Auswirkungen auf die makro- und mikroökonomische Entwicklung, auf die Unternehmen, die finanzielle und soziale Stabilität, die Infrastruktur und die menschliche Gesundheit gerechnet werden;</w:t>
      </w:r>
    </w:p>
    <w:p w:rsidRPr="00C97DBC" w:rsidR="00C97DBC" w:rsidP="00536180" w:rsidRDefault="00C97DBC" w14:paraId="6986295E" w14:textId="77777777">
      <w:pPr>
        <w:numPr>
          <w:ilvl w:val="0"/>
          <w:numId w:val="34"/>
        </w:numPr>
        <w:overflowPunct w:val="0"/>
        <w:autoSpaceDE w:val="0"/>
        <w:autoSpaceDN w:val="0"/>
        <w:adjustRightInd w:val="0"/>
        <w:spacing w:after="200" w:line="276" w:lineRule="auto"/>
        <w:ind w:left="635" w:hanging="567"/>
        <w:contextualSpacing/>
        <w:textAlignment w:val="baseline"/>
      </w:pPr>
      <w:r>
        <w:t xml:space="preserve">betont, dass unverzüglich alle notwendigen Maßnahmen zur Verringerung der Emissionen (Mitigation) und zur Anpassung an neue Bedingungen (Adaption) ergriffen und umgesetzt werden müssen. Dies schließt die Einführung einer </w:t>
      </w:r>
      <w:proofErr w:type="spellStart"/>
      <w:r>
        <w:t>Emissionsbepreisung</w:t>
      </w:r>
      <w:proofErr w:type="spellEnd"/>
      <w:r>
        <w:t xml:space="preserve"> und einer CO</w:t>
      </w:r>
      <w:r>
        <w:rPr>
          <w:vertAlign w:val="subscript"/>
        </w:rPr>
        <w:t>2</w:t>
      </w:r>
      <w:r>
        <w:t>-Steuer im Einklang mit der jüngsten Empfehlung der Europäischen Kommission ein;</w:t>
      </w:r>
    </w:p>
    <w:p w:rsidRPr="00C97DBC" w:rsidR="00C97DBC" w:rsidP="00536180" w:rsidRDefault="00C97DBC" w14:paraId="5AEDFB33" w14:textId="77777777">
      <w:pPr>
        <w:numPr>
          <w:ilvl w:val="0"/>
          <w:numId w:val="34"/>
        </w:numPr>
        <w:overflowPunct w:val="0"/>
        <w:autoSpaceDE w:val="0"/>
        <w:autoSpaceDN w:val="0"/>
        <w:adjustRightInd w:val="0"/>
        <w:spacing w:after="200" w:line="276" w:lineRule="auto"/>
        <w:ind w:left="635" w:hanging="567"/>
        <w:contextualSpacing/>
        <w:textAlignment w:val="baseline"/>
      </w:pPr>
      <w:r>
        <w:t>betrachtet Investitionen im Zusammenhang mit dem Klimawandel als einmalige wirtschaftliche Chance, um das enorme Innovations- und Entwicklungspotenzial in den EU-Ländern zu unterstützen und auszuschöpfen;</w:t>
      </w:r>
    </w:p>
    <w:p w:rsidRPr="00C97DBC" w:rsidR="00C97DBC" w:rsidP="00536180" w:rsidRDefault="00C97DBC" w14:paraId="76CABD9F" w14:textId="77777777">
      <w:pPr>
        <w:numPr>
          <w:ilvl w:val="0"/>
          <w:numId w:val="34"/>
        </w:numPr>
        <w:overflowPunct w:val="0"/>
        <w:autoSpaceDE w:val="0"/>
        <w:autoSpaceDN w:val="0"/>
        <w:adjustRightInd w:val="0"/>
        <w:spacing w:after="200" w:line="276" w:lineRule="auto"/>
        <w:ind w:left="635" w:hanging="567"/>
        <w:contextualSpacing/>
        <w:textAlignment w:val="baseline"/>
      </w:pPr>
      <w:r>
        <w:t>unterstreicht, dass es nicht nur darauf ankommt, das erhebliche Wachstumspotenzial auszuschöpfen. Die wirtschaftliche Reaktion auf den Klimawandel sollte langfristig nicht zuletzt auch zu Kosteneinsparungen führen, damit Wirtschaft und Gesellschaft funktionieren können;</w:t>
      </w:r>
    </w:p>
    <w:p w:rsidRPr="00C97DBC" w:rsidR="00C97DBC" w:rsidP="00536180" w:rsidRDefault="00C97DBC" w14:paraId="5AD984C1" w14:textId="77777777">
      <w:pPr>
        <w:numPr>
          <w:ilvl w:val="0"/>
          <w:numId w:val="34"/>
        </w:numPr>
        <w:overflowPunct w:val="0"/>
        <w:autoSpaceDE w:val="0"/>
        <w:autoSpaceDN w:val="0"/>
        <w:adjustRightInd w:val="0"/>
        <w:spacing w:after="200" w:line="276" w:lineRule="auto"/>
        <w:ind w:left="635" w:hanging="567"/>
        <w:contextualSpacing/>
        <w:textAlignment w:val="baseline"/>
      </w:pPr>
      <w:r>
        <w:t>ist sich bewusst, dass uns die Antwort auf den Klimawandel in puncto Investitionen, Steuern und Finanzen viel abverlangen wird;</w:t>
      </w:r>
    </w:p>
    <w:p w:rsidRPr="00C97DBC" w:rsidR="00C97DBC" w:rsidP="00536180" w:rsidRDefault="00C97DBC" w14:paraId="65C6D406" w14:textId="77777777">
      <w:pPr>
        <w:numPr>
          <w:ilvl w:val="0"/>
          <w:numId w:val="34"/>
        </w:numPr>
        <w:overflowPunct w:val="0"/>
        <w:autoSpaceDE w:val="0"/>
        <w:autoSpaceDN w:val="0"/>
        <w:adjustRightInd w:val="0"/>
        <w:spacing w:after="200" w:line="276" w:lineRule="auto"/>
        <w:ind w:left="635" w:hanging="567"/>
        <w:contextualSpacing/>
        <w:textAlignment w:val="baseline"/>
      </w:pPr>
      <w:r>
        <w:t>ist sich der Tatsache bewusst, dass eine unzureichende Reaktion oder ein Handlungsversäumnis in Bezug auf die durch den Klimawandel verursachten Probleme mit enormen Risiken verbunden ist. Das Wirtschaftswachstum könnte beeinträchtigt werden, und auch ein sozialer Rückschlag ist nicht auszuschließen;</w:t>
      </w:r>
    </w:p>
    <w:p w:rsidRPr="00C97DBC" w:rsidR="00C97DBC" w:rsidP="00536180" w:rsidRDefault="00C97DBC" w14:paraId="17C0EA4F" w14:textId="77777777">
      <w:pPr>
        <w:numPr>
          <w:ilvl w:val="0"/>
          <w:numId w:val="34"/>
        </w:numPr>
        <w:overflowPunct w:val="0"/>
        <w:autoSpaceDE w:val="0"/>
        <w:autoSpaceDN w:val="0"/>
        <w:adjustRightInd w:val="0"/>
        <w:spacing w:after="200" w:line="276" w:lineRule="auto"/>
        <w:ind w:left="635" w:hanging="567"/>
        <w:contextualSpacing/>
        <w:textAlignment w:val="baseline"/>
      </w:pPr>
      <w:r>
        <w:t>hält es für äußerst wichtig, bei der Reaktion auf den Klimawandel die Bedeutung des Faktors „Mensch“ im weitesten Sinne nicht zu unterschätzen;</w:t>
      </w:r>
    </w:p>
    <w:p w:rsidRPr="00C97DBC" w:rsidR="00C97DBC" w:rsidP="00536180" w:rsidRDefault="00C97DBC" w14:paraId="5EE9A367" w14:textId="77777777">
      <w:pPr>
        <w:numPr>
          <w:ilvl w:val="0"/>
          <w:numId w:val="34"/>
        </w:numPr>
        <w:overflowPunct w:val="0"/>
        <w:autoSpaceDE w:val="0"/>
        <w:autoSpaceDN w:val="0"/>
        <w:adjustRightInd w:val="0"/>
        <w:spacing w:after="200" w:line="276" w:lineRule="auto"/>
        <w:ind w:left="635" w:hanging="567"/>
        <w:contextualSpacing/>
        <w:textAlignment w:val="baseline"/>
      </w:pPr>
      <w:r>
        <w:t>betont, dass Maßnahmen ergriffen und umgesetzt werden sollten, um die Auswirkungen des Klimawandels auf die wirtschaftliche und soziale Entwicklung in den EU-Ländern systematisch zu analysieren, zu bewerten und zu prognostizieren;</w:t>
      </w:r>
    </w:p>
    <w:p w:rsidR="00C97DBC" w:rsidP="00536180" w:rsidRDefault="00C97DBC" w14:paraId="442E83EE" w14:textId="551A2E66">
      <w:pPr>
        <w:numPr>
          <w:ilvl w:val="0"/>
          <w:numId w:val="34"/>
        </w:numPr>
        <w:overflowPunct w:val="0"/>
        <w:autoSpaceDE w:val="0"/>
        <w:autoSpaceDN w:val="0"/>
        <w:adjustRightInd w:val="0"/>
        <w:spacing w:after="200" w:line="276" w:lineRule="auto"/>
        <w:ind w:left="635" w:hanging="567"/>
        <w:contextualSpacing/>
        <w:textAlignment w:val="baseline"/>
      </w:pPr>
      <w:r>
        <w:t>ist der Auffassung, dass alle Maßnahmen international koordiniert und abgestimmt werden müssen und unterstützt nachdrücklich die Bemühungen der EU, der Bekämpfung des Klimawandels höchste Priorität einzuräumen. Dies erfordert ein gemeinsames Engagement auf nationaler, subnationaler, europäischer und globaler Ebene, und zwar in allen Bereichen wie Wirtschaft und Soziales und mit klaren, genau definierten Rollen und Zuständigkeiten auf allen Ebenen des Entscheidungsprozesses.</w:t>
      </w:r>
    </w:p>
    <w:p w:rsidRPr="00014EF0" w:rsidR="004109EE" w:rsidP="000F216A" w:rsidRDefault="004109EE" w14:paraId="6872DC30" w14:textId="77777777">
      <w:pPr>
        <w:overflowPunct w:val="0"/>
        <w:autoSpaceDE w:val="0"/>
        <w:autoSpaceDN w:val="0"/>
        <w:adjustRightInd w:val="0"/>
        <w:spacing w:after="200" w:line="276" w:lineRule="auto"/>
        <w:ind w:left="284" w:hanging="284"/>
        <w:contextualSpacing/>
        <w:textAlignment w:val="baseline"/>
        <w:rPr>
          <w:sz w:val="8"/>
          <w:szCs w:val="8"/>
          <w:lang w:val="en-GB" w:eastAsia="zh-CN"/>
        </w:rPr>
      </w:pPr>
    </w:p>
    <w:tbl>
      <w:tblPr>
        <w:tblStyle w:val="TableGrid23"/>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tblGrid>
      <w:tr w:rsidRPr="00536180" w:rsidR="00C97DBC" w:rsidTr="00F324F7" w14:paraId="6F4AA6D2" w14:textId="77777777">
        <w:tc>
          <w:tcPr>
            <w:tcW w:w="1173" w:type="dxa"/>
          </w:tcPr>
          <w:p w:rsidRPr="00536180" w:rsidR="00C97DBC" w:rsidP="00C97DBC" w:rsidRDefault="00C97DBC" w14:paraId="47880F50" w14:textId="77777777">
            <w:pPr>
              <w:overflowPunct w:val="0"/>
              <w:autoSpaceDE w:val="0"/>
              <w:autoSpaceDN w:val="0"/>
              <w:adjustRightInd w:val="0"/>
              <w:textAlignment w:val="baseline"/>
              <w:rPr>
                <w:bCs/>
                <w:i/>
                <w:sz w:val="22"/>
                <w:szCs w:val="22"/>
              </w:rPr>
            </w:pPr>
            <w:r w:rsidRPr="00536180">
              <w:rPr>
                <w:i/>
                <w:sz w:val="22"/>
                <w:szCs w:val="22"/>
              </w:rPr>
              <w:t>Kontakt</w:t>
            </w:r>
          </w:p>
        </w:tc>
        <w:tc>
          <w:tcPr>
            <w:tcW w:w="4518" w:type="dxa"/>
          </w:tcPr>
          <w:p w:rsidRPr="00536180" w:rsidR="00C97DBC" w:rsidP="00C97DBC" w:rsidRDefault="00C97DBC" w14:paraId="49C03F56" w14:textId="77777777">
            <w:pPr>
              <w:overflowPunct w:val="0"/>
              <w:autoSpaceDE w:val="0"/>
              <w:autoSpaceDN w:val="0"/>
              <w:adjustRightInd w:val="0"/>
              <w:textAlignment w:val="baseline"/>
              <w:rPr>
                <w:bCs/>
                <w:i/>
                <w:iCs/>
                <w:sz w:val="22"/>
                <w:szCs w:val="22"/>
              </w:rPr>
            </w:pPr>
            <w:r w:rsidRPr="00536180">
              <w:rPr>
                <w:i/>
                <w:sz w:val="22"/>
                <w:szCs w:val="22"/>
              </w:rPr>
              <w:t xml:space="preserve">Anna </w:t>
            </w:r>
            <w:proofErr w:type="spellStart"/>
            <w:r w:rsidRPr="00536180">
              <w:rPr>
                <w:i/>
                <w:sz w:val="22"/>
                <w:szCs w:val="22"/>
              </w:rPr>
              <w:t>Pantazi</w:t>
            </w:r>
            <w:proofErr w:type="spellEnd"/>
          </w:p>
        </w:tc>
      </w:tr>
      <w:tr w:rsidRPr="00536180" w:rsidR="00C97DBC" w:rsidTr="00F324F7" w14:paraId="65D5F642" w14:textId="77777777">
        <w:tc>
          <w:tcPr>
            <w:tcW w:w="1173" w:type="dxa"/>
          </w:tcPr>
          <w:p w:rsidRPr="00536180" w:rsidR="00C97DBC" w:rsidP="00C97DBC" w:rsidRDefault="00C97DBC" w14:paraId="1DEECBAA" w14:textId="77777777">
            <w:pPr>
              <w:overflowPunct w:val="0"/>
              <w:autoSpaceDE w:val="0"/>
              <w:autoSpaceDN w:val="0"/>
              <w:adjustRightInd w:val="0"/>
              <w:textAlignment w:val="baseline"/>
              <w:rPr>
                <w:i/>
                <w:sz w:val="22"/>
                <w:szCs w:val="22"/>
              </w:rPr>
            </w:pPr>
            <w:r w:rsidRPr="00536180">
              <w:rPr>
                <w:i/>
                <w:sz w:val="22"/>
                <w:szCs w:val="22"/>
              </w:rPr>
              <w:t>Tel.</w:t>
            </w:r>
          </w:p>
        </w:tc>
        <w:tc>
          <w:tcPr>
            <w:tcW w:w="4518" w:type="dxa"/>
          </w:tcPr>
          <w:p w:rsidRPr="00536180" w:rsidR="00C97DBC" w:rsidP="00C97DBC" w:rsidRDefault="00C97DBC" w14:paraId="6D07F885" w14:textId="77777777">
            <w:pPr>
              <w:overflowPunct w:val="0"/>
              <w:autoSpaceDE w:val="0"/>
              <w:autoSpaceDN w:val="0"/>
              <w:adjustRightInd w:val="0"/>
              <w:textAlignment w:val="baseline"/>
              <w:rPr>
                <w:i/>
                <w:iCs/>
                <w:sz w:val="22"/>
                <w:szCs w:val="22"/>
              </w:rPr>
            </w:pPr>
            <w:r w:rsidRPr="00536180">
              <w:rPr>
                <w:i/>
                <w:sz w:val="22"/>
                <w:szCs w:val="22"/>
              </w:rPr>
              <w:t>+32 25469231</w:t>
            </w:r>
          </w:p>
        </w:tc>
      </w:tr>
      <w:tr w:rsidRPr="00536180" w:rsidR="00C97DBC" w:rsidTr="00F324F7" w14:paraId="34EF1BFB" w14:textId="77777777">
        <w:tc>
          <w:tcPr>
            <w:tcW w:w="1173" w:type="dxa"/>
          </w:tcPr>
          <w:p w:rsidRPr="00536180" w:rsidR="00C97DBC" w:rsidP="00C97DBC" w:rsidRDefault="00C97DBC" w14:paraId="5C552A33" w14:textId="77777777">
            <w:pPr>
              <w:overflowPunct w:val="0"/>
              <w:autoSpaceDE w:val="0"/>
              <w:autoSpaceDN w:val="0"/>
              <w:adjustRightInd w:val="0"/>
              <w:textAlignment w:val="baseline"/>
              <w:rPr>
                <w:i/>
                <w:sz w:val="22"/>
                <w:szCs w:val="22"/>
              </w:rPr>
            </w:pPr>
            <w:r w:rsidRPr="00536180">
              <w:rPr>
                <w:i/>
                <w:sz w:val="22"/>
                <w:szCs w:val="22"/>
              </w:rPr>
              <w:t>E-Mail</w:t>
            </w:r>
          </w:p>
        </w:tc>
        <w:tc>
          <w:tcPr>
            <w:tcW w:w="4518" w:type="dxa"/>
          </w:tcPr>
          <w:p w:rsidRPr="00536180" w:rsidR="00C97DBC" w:rsidP="00C97DBC" w:rsidRDefault="00486D53" w14:paraId="4A40D9C4" w14:textId="06636C15">
            <w:pPr>
              <w:overflowPunct w:val="0"/>
              <w:autoSpaceDE w:val="0"/>
              <w:autoSpaceDN w:val="0"/>
              <w:adjustRightInd w:val="0"/>
              <w:textAlignment w:val="baseline"/>
              <w:rPr>
                <w:i/>
                <w:iCs/>
                <w:sz w:val="22"/>
                <w:szCs w:val="22"/>
              </w:rPr>
            </w:pPr>
            <w:hyperlink w:history="1" r:id="rId28">
              <w:r w:rsidRPr="00536180" w:rsidR="007E03C9">
                <w:rPr>
                  <w:color w:val="0000FF"/>
                  <w:sz w:val="22"/>
                  <w:szCs w:val="22"/>
                  <w:u w:val="single"/>
                </w:rPr>
                <w:t>Anna.Pantazi@eesc.europa.eu</w:t>
              </w:r>
            </w:hyperlink>
            <w:r w:rsidRPr="00536180" w:rsidR="007E03C9">
              <w:rPr>
                <w:sz w:val="22"/>
                <w:szCs w:val="22"/>
              </w:rPr>
              <w:t xml:space="preserve"> </w:t>
            </w:r>
          </w:p>
        </w:tc>
      </w:tr>
    </w:tbl>
    <w:p w:rsidRPr="00014EF0" w:rsidR="007E03C9" w:rsidRDefault="007E03C9" w14:paraId="04688C39" w14:textId="77777777">
      <w:pPr>
        <w:spacing w:after="160" w:line="259" w:lineRule="auto"/>
        <w:jc w:val="left"/>
        <w:rPr>
          <w:sz w:val="2"/>
          <w:szCs w:val="2"/>
        </w:rPr>
      </w:pPr>
      <w:r w:rsidRPr="00014EF0">
        <w:rPr>
          <w:sz w:val="2"/>
          <w:szCs w:val="2"/>
        </w:rPr>
        <w:br w:type="page"/>
      </w:r>
    </w:p>
    <w:p w:rsidR="00594F3A" w:rsidP="000F216A" w:rsidRDefault="007E03C9" w14:paraId="35C5919D" w14:textId="1B96BB34">
      <w:pPr>
        <w:pStyle w:val="Heading1"/>
      </w:pPr>
      <w:bookmarkStart w:name="_Toc182920362" w:id="1"/>
      <w:r>
        <w:lastRenderedPageBreak/>
        <w:t>BESCHÄFTIGUNG, SOZIALFRAGEN, UNIONSBÜRGERSCHAFT</w:t>
      </w:r>
      <w:bookmarkEnd w:id="1"/>
    </w:p>
    <w:p w:rsidRPr="00DB536C" w:rsidR="004D7AC0" w:rsidP="00DB536C" w:rsidRDefault="004D7AC0" w14:paraId="4982DD9A" w14:textId="0E453DF9">
      <w:pPr>
        <w:spacing w:line="240" w:lineRule="auto"/>
        <w:rPr>
          <w:sz w:val="18"/>
          <w:szCs w:val="18"/>
        </w:rPr>
      </w:pPr>
    </w:p>
    <w:p w:rsidRPr="000F216A" w:rsidR="00167D22" w:rsidP="00DB536C" w:rsidRDefault="00486D53" w14:paraId="3837C091" w14:textId="2F36152E">
      <w:pPr>
        <w:pStyle w:val="ListParagraph"/>
        <w:numPr>
          <w:ilvl w:val="0"/>
          <w:numId w:val="63"/>
        </w:numPr>
        <w:spacing w:line="259" w:lineRule="auto"/>
        <w:ind w:left="709" w:hanging="709"/>
        <w:jc w:val="left"/>
        <w:rPr>
          <w:b/>
          <w:bCs/>
          <w:i/>
          <w:iCs/>
          <w:color w:val="0000FF"/>
          <w:sz w:val="28"/>
          <w:szCs w:val="28"/>
          <w:u w:val="single"/>
        </w:rPr>
      </w:pPr>
      <w:hyperlink w:history="1" r:id="rId29">
        <w:r w:rsidR="00594F3A">
          <w:rPr>
            <w:rStyle w:val="Hyperlink"/>
            <w:b/>
            <w:i/>
            <w:sz w:val="28"/>
          </w:rPr>
          <w:t>Eine bedürfnisorientierte Vereinbarkeit von Berufs- und Privatleben für alle: Stärkung der Solidarität zwischen den Generationen und der Teilhabe von Frauen durch angemessen flexible Arbeitsbedingungen</w:t>
        </w:r>
      </w:hyperlink>
    </w:p>
    <w:p w:rsidRPr="00DB536C" w:rsidR="00167D22" w:rsidP="00DB536C" w:rsidRDefault="00167D22" w14:paraId="4DE343CE" w14:textId="77777777">
      <w:pPr>
        <w:tabs>
          <w:tab w:val="center" w:pos="284"/>
        </w:tabs>
        <w:spacing w:line="240" w:lineRule="auto"/>
        <w:ind w:left="266" w:hanging="266"/>
        <w:rPr>
          <w:b/>
          <w:sz w:val="18"/>
          <w:szCs w:val="18"/>
        </w:rPr>
      </w:pPr>
    </w:p>
    <w:tbl>
      <w:tblPr>
        <w:tblStyle w:val="TableGrid"/>
        <w:tblW w:w="9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6"/>
        <w:gridCol w:w="6980"/>
      </w:tblGrid>
      <w:tr w:rsidRPr="00536180" w:rsidR="00167D22" w:rsidTr="00014EF0" w14:paraId="6EF724F5" w14:textId="77777777">
        <w:tc>
          <w:tcPr>
            <w:tcW w:w="2376" w:type="dxa"/>
          </w:tcPr>
          <w:p w:rsidRPr="00536180" w:rsidR="00167D22" w:rsidP="00F324F7" w:rsidRDefault="00167D22" w14:paraId="22AD1A77" w14:textId="77777777">
            <w:pPr>
              <w:tabs>
                <w:tab w:val="center" w:pos="284"/>
              </w:tabs>
              <w:ind w:left="266" w:hanging="266"/>
              <w:rPr>
                <w:b/>
              </w:rPr>
            </w:pPr>
            <w:r w:rsidRPr="00536180">
              <w:rPr>
                <w:b/>
              </w:rPr>
              <w:t>Berichterstatterin</w:t>
            </w:r>
          </w:p>
        </w:tc>
        <w:tc>
          <w:tcPr>
            <w:tcW w:w="6980" w:type="dxa"/>
          </w:tcPr>
          <w:p w:rsidRPr="00536180" w:rsidR="00167D22" w:rsidP="00F324F7" w:rsidRDefault="00167D22" w14:paraId="65DD1EE5" w14:textId="14C1BE1F">
            <w:pPr>
              <w:tabs>
                <w:tab w:val="center" w:pos="284"/>
              </w:tabs>
              <w:ind w:left="266" w:hanging="266"/>
            </w:pPr>
            <w:r w:rsidRPr="00536180">
              <w:t>Kinga JOÓ (Gruppe Organisationen der Zivilgesellschaft – HU)</w:t>
            </w:r>
          </w:p>
        </w:tc>
      </w:tr>
      <w:tr w:rsidRPr="00536180" w:rsidR="00167D22" w:rsidTr="00014EF0" w14:paraId="5D3226B1" w14:textId="77777777">
        <w:tc>
          <w:tcPr>
            <w:tcW w:w="2376" w:type="dxa"/>
          </w:tcPr>
          <w:p w:rsidRPr="00536180" w:rsidR="00167D22" w:rsidP="00F324F7" w:rsidRDefault="00167D22" w14:paraId="1A51CF2E" w14:textId="77777777">
            <w:pPr>
              <w:tabs>
                <w:tab w:val="center" w:pos="284"/>
              </w:tabs>
              <w:ind w:left="266" w:hanging="266"/>
              <w:rPr>
                <w:b/>
              </w:rPr>
            </w:pPr>
            <w:r w:rsidRPr="00536180">
              <w:rPr>
                <w:b/>
              </w:rPr>
              <w:t>Ko-Berichterstatterin</w:t>
            </w:r>
          </w:p>
        </w:tc>
        <w:tc>
          <w:tcPr>
            <w:tcW w:w="6980" w:type="dxa"/>
          </w:tcPr>
          <w:p w:rsidRPr="00536180" w:rsidR="00167D22" w:rsidP="00F324F7" w:rsidRDefault="00167D22" w14:paraId="4F85DB12" w14:textId="67A76FE5">
            <w:pPr>
              <w:tabs>
                <w:tab w:val="center" w:pos="284"/>
              </w:tabs>
              <w:ind w:left="266" w:hanging="266"/>
            </w:pPr>
            <w:r w:rsidRPr="00536180">
              <w:t xml:space="preserve">Erika KOLLER (Gruppe Arbeitnehmer – HU) </w:t>
            </w:r>
          </w:p>
        </w:tc>
      </w:tr>
      <w:tr w:rsidRPr="00536180" w:rsidR="00167D22" w:rsidTr="000F216A" w14:paraId="5E4A1E86" w14:textId="77777777">
        <w:tc>
          <w:tcPr>
            <w:tcW w:w="9356" w:type="dxa"/>
            <w:gridSpan w:val="2"/>
          </w:tcPr>
          <w:p w:rsidRPr="00536180" w:rsidR="00167D22" w:rsidP="00F324F7" w:rsidRDefault="00167D22" w14:paraId="68033661" w14:textId="77777777">
            <w:pPr>
              <w:tabs>
                <w:tab w:val="center" w:pos="284"/>
              </w:tabs>
              <w:spacing w:line="160" w:lineRule="exact"/>
              <w:ind w:left="266" w:hanging="266"/>
            </w:pPr>
          </w:p>
        </w:tc>
      </w:tr>
      <w:tr w:rsidRPr="00536180" w:rsidR="00167D22" w:rsidTr="00014EF0" w14:paraId="621A00AD" w14:textId="77777777">
        <w:tc>
          <w:tcPr>
            <w:tcW w:w="2376" w:type="dxa"/>
            <w:vMerge w:val="restart"/>
          </w:tcPr>
          <w:p w:rsidRPr="00536180" w:rsidR="00167D22" w:rsidP="00F324F7" w:rsidRDefault="00167D22" w14:paraId="5C81DB1C" w14:textId="77777777">
            <w:pPr>
              <w:tabs>
                <w:tab w:val="center" w:pos="284"/>
              </w:tabs>
              <w:ind w:left="266" w:hanging="266"/>
              <w:rPr>
                <w:b/>
              </w:rPr>
            </w:pPr>
            <w:r w:rsidRPr="00536180">
              <w:rPr>
                <w:b/>
              </w:rPr>
              <w:t xml:space="preserve">Referenzdokument </w:t>
            </w:r>
          </w:p>
        </w:tc>
        <w:tc>
          <w:tcPr>
            <w:tcW w:w="6980" w:type="dxa"/>
          </w:tcPr>
          <w:p w:rsidRPr="00536180" w:rsidR="00167D22" w:rsidP="00CA38F2" w:rsidRDefault="00167D22" w14:paraId="7CBFB89B" w14:textId="4E2F313B">
            <w:pPr>
              <w:tabs>
                <w:tab w:val="center" w:pos="40"/>
              </w:tabs>
              <w:ind w:right="-246"/>
            </w:pPr>
            <w:r w:rsidRPr="00536180">
              <w:t>Sondierungsstellungnahme auf Ersuchen des ungarischen Ratsvorsitzes der EU</w:t>
            </w:r>
          </w:p>
        </w:tc>
      </w:tr>
      <w:tr w:rsidRPr="00536180" w:rsidR="00167D22" w:rsidTr="00014EF0" w14:paraId="6272C9CA" w14:textId="77777777">
        <w:tc>
          <w:tcPr>
            <w:tcW w:w="2376" w:type="dxa"/>
            <w:vMerge/>
          </w:tcPr>
          <w:p w:rsidRPr="00536180" w:rsidR="00167D22" w:rsidP="00F324F7" w:rsidRDefault="00167D22" w14:paraId="1A98DC1E" w14:textId="77777777">
            <w:pPr>
              <w:tabs>
                <w:tab w:val="center" w:pos="284"/>
              </w:tabs>
              <w:ind w:left="266" w:hanging="266"/>
              <w:rPr>
                <w:b/>
              </w:rPr>
            </w:pPr>
          </w:p>
        </w:tc>
        <w:tc>
          <w:tcPr>
            <w:tcW w:w="6980" w:type="dxa"/>
          </w:tcPr>
          <w:p w:rsidRPr="00536180" w:rsidR="00167D22" w:rsidP="00F324F7" w:rsidRDefault="00167D22" w14:paraId="75413A9F" w14:textId="03807BBB">
            <w:pPr>
              <w:tabs>
                <w:tab w:val="center" w:pos="284"/>
              </w:tabs>
              <w:ind w:left="266" w:hanging="266"/>
            </w:pPr>
            <w:r w:rsidRPr="00536180">
              <w:t>EESC-2024-01783-00-00-AC</w:t>
            </w:r>
          </w:p>
        </w:tc>
      </w:tr>
    </w:tbl>
    <w:p w:rsidRPr="00DB536C" w:rsidR="00167D22" w:rsidP="00DB536C" w:rsidRDefault="00167D22" w14:paraId="68B4371A" w14:textId="77777777">
      <w:pPr>
        <w:tabs>
          <w:tab w:val="center" w:pos="284"/>
        </w:tabs>
        <w:spacing w:line="240" w:lineRule="auto"/>
        <w:ind w:left="266" w:hanging="266"/>
        <w:rPr>
          <w:sz w:val="18"/>
          <w:szCs w:val="18"/>
        </w:rPr>
      </w:pPr>
    </w:p>
    <w:p w:rsidRPr="00B4456F" w:rsidR="00167D22" w:rsidP="00167D22" w:rsidRDefault="00167D22" w14:paraId="64B2CFC9" w14:textId="77777777">
      <w:pPr>
        <w:keepNext/>
        <w:keepLines/>
        <w:tabs>
          <w:tab w:val="center" w:pos="284"/>
        </w:tabs>
        <w:ind w:left="266" w:hanging="266"/>
        <w:rPr>
          <w:b/>
        </w:rPr>
      </w:pPr>
      <w:r>
        <w:rPr>
          <w:b/>
        </w:rPr>
        <w:t>Kernaussagen</w:t>
      </w:r>
    </w:p>
    <w:p w:rsidRPr="00DB536C" w:rsidR="00167D22" w:rsidP="00DB536C" w:rsidRDefault="00167D22" w14:paraId="3ADA4F13" w14:textId="77777777">
      <w:pPr>
        <w:keepNext/>
        <w:keepLines/>
        <w:tabs>
          <w:tab w:val="center" w:pos="284"/>
        </w:tabs>
        <w:spacing w:line="240" w:lineRule="auto"/>
        <w:ind w:left="266" w:hanging="266"/>
        <w:rPr>
          <w:b/>
          <w:sz w:val="18"/>
          <w:szCs w:val="18"/>
        </w:rPr>
      </w:pPr>
    </w:p>
    <w:p w:rsidRPr="00C94060" w:rsidR="00167D22" w:rsidP="00167D22" w:rsidRDefault="00167D22" w14:paraId="64186BCF" w14:textId="77777777">
      <w:pPr>
        <w:rPr>
          <w:bCs/>
          <w:iCs/>
        </w:rPr>
      </w:pPr>
      <w:r>
        <w:t>Der EWSA</w:t>
      </w:r>
    </w:p>
    <w:p w:rsidRPr="00C94060" w:rsidR="00167D22" w:rsidP="00536180" w:rsidRDefault="00167D22" w14:paraId="17ECD139" w14:textId="77777777">
      <w:pPr>
        <w:numPr>
          <w:ilvl w:val="0"/>
          <w:numId w:val="35"/>
        </w:numPr>
        <w:overflowPunct w:val="0"/>
        <w:autoSpaceDE w:val="0"/>
        <w:autoSpaceDN w:val="0"/>
        <w:adjustRightInd w:val="0"/>
        <w:spacing w:after="200" w:line="276" w:lineRule="auto"/>
        <w:ind w:left="635" w:hanging="567"/>
        <w:contextualSpacing/>
        <w:textAlignment w:val="baseline"/>
        <w:rPr>
          <w:rFonts w:eastAsia="Calibri"/>
          <w:color w:val="000000" w:themeColor="text1"/>
        </w:rPr>
      </w:pPr>
      <w:r>
        <w:rPr>
          <w:color w:val="000000" w:themeColor="text1"/>
        </w:rPr>
        <w:t>betont, dass die Strategien für die Vereinbarkeit von Beruf und Privatleben im Hinblick auf die Überarbeitung der Richtlinie (EU) 2019/1158 zur Vereinbarkeit von Beruf und Privatleben für Eltern und pflegende Angehörige dringend und unter Berücksichtigung der sich wandelnden demografischen Entwicklung, neuer Arbeitsformen, flexibler Arbeitsregelungen und des steigenden Betreuungsbedarfs angepasst werden müssen;</w:t>
      </w:r>
    </w:p>
    <w:p w:rsidRPr="00C94060" w:rsidR="00167D22" w:rsidP="00536180" w:rsidRDefault="00167D22" w14:paraId="73233632" w14:textId="77777777">
      <w:pPr>
        <w:numPr>
          <w:ilvl w:val="0"/>
          <w:numId w:val="35"/>
        </w:numPr>
        <w:overflowPunct w:val="0"/>
        <w:autoSpaceDE w:val="0"/>
        <w:autoSpaceDN w:val="0"/>
        <w:adjustRightInd w:val="0"/>
        <w:spacing w:after="200" w:line="276" w:lineRule="auto"/>
        <w:ind w:left="635" w:hanging="567"/>
        <w:contextualSpacing/>
        <w:textAlignment w:val="baseline"/>
        <w:rPr>
          <w:rFonts w:eastAsia="Calibri"/>
          <w:color w:val="000000" w:themeColor="text1"/>
        </w:rPr>
      </w:pPr>
      <w:r>
        <w:rPr>
          <w:color w:val="000000" w:themeColor="text1"/>
        </w:rPr>
        <w:t>weist darauf hin, dass mit Blick auf die alternde Bevölkerung mehr Ressourcen für Pflege- und Betreuungsdienste benötigt werden, und empfiehlt dem Rat, die Kommission aufzufordern, ein Instrumentarium für Pflege und Betreuung mit Indikatoren für Langzeitpflege zu entwickeln;</w:t>
      </w:r>
    </w:p>
    <w:p w:rsidRPr="00C94060" w:rsidR="00167D22" w:rsidP="00536180" w:rsidRDefault="00167D22" w14:paraId="28E308BD" w14:textId="77777777">
      <w:pPr>
        <w:numPr>
          <w:ilvl w:val="0"/>
          <w:numId w:val="35"/>
        </w:numPr>
        <w:overflowPunct w:val="0"/>
        <w:autoSpaceDE w:val="0"/>
        <w:autoSpaceDN w:val="0"/>
        <w:adjustRightInd w:val="0"/>
        <w:spacing w:after="200" w:line="276" w:lineRule="auto"/>
        <w:ind w:left="635" w:hanging="567"/>
        <w:contextualSpacing/>
        <w:textAlignment w:val="baseline"/>
        <w:rPr>
          <w:rFonts w:eastAsia="Calibri"/>
          <w:color w:val="000000" w:themeColor="text1"/>
        </w:rPr>
      </w:pPr>
      <w:r>
        <w:rPr>
          <w:color w:val="000000" w:themeColor="text1"/>
        </w:rPr>
        <w:t>betont, dass mittels bedürfnisorientierter Maßnahmen erschwingliche, zugängliche und hochwertige Dienstleistungen bereitgestellt werden sollten, die Arbeitnehmern, Familien, Unternehmen und Behörden zugutekommen;</w:t>
      </w:r>
    </w:p>
    <w:p w:rsidRPr="00C94060" w:rsidR="00167D22" w:rsidP="00536180" w:rsidRDefault="00167D22" w14:paraId="28D2F5C8" w14:textId="77777777">
      <w:pPr>
        <w:numPr>
          <w:ilvl w:val="0"/>
          <w:numId w:val="35"/>
        </w:numPr>
        <w:overflowPunct w:val="0"/>
        <w:autoSpaceDE w:val="0"/>
        <w:autoSpaceDN w:val="0"/>
        <w:adjustRightInd w:val="0"/>
        <w:spacing w:after="200" w:line="276" w:lineRule="auto"/>
        <w:ind w:left="635" w:hanging="567"/>
        <w:contextualSpacing/>
        <w:textAlignment w:val="baseline"/>
        <w:rPr>
          <w:rFonts w:eastAsia="Calibri"/>
          <w:color w:val="000000" w:themeColor="text1"/>
        </w:rPr>
      </w:pPr>
      <w:r>
        <w:rPr>
          <w:color w:val="000000" w:themeColor="text1"/>
        </w:rPr>
        <w:t>stellt fest, dass Frauen trotz gewisser Fortschritte nach wie vor den Großteil der unbezahlten Betreuungs- und Pflegearbeit leisten, was zur „Feminisierung der Armut“ beiträgt, da Frauen ihre Berufstätigkeit aufgeben bzw. ihre Arbeitszeit verkürzen, um Angehörige oder Kinder zu betreuen. Daher sollte die Unterstützung der Betreuungs- und Pflegearbeit und der finanziellen Sicherheit von Familien und Arbeitnehmern als Investition zum Nutzen der Gesellschaft und der Wirtschaft und nicht als Ausgabe betrachtet werden;</w:t>
      </w:r>
    </w:p>
    <w:p w:rsidR="00167D22" w:rsidP="00536180" w:rsidRDefault="00167D22" w14:paraId="402BB932" w14:textId="77777777">
      <w:pPr>
        <w:numPr>
          <w:ilvl w:val="0"/>
          <w:numId w:val="35"/>
        </w:numPr>
        <w:overflowPunct w:val="0"/>
        <w:autoSpaceDE w:val="0"/>
        <w:autoSpaceDN w:val="0"/>
        <w:adjustRightInd w:val="0"/>
        <w:spacing w:after="200" w:line="276" w:lineRule="auto"/>
        <w:ind w:left="635" w:hanging="567"/>
        <w:contextualSpacing/>
        <w:textAlignment w:val="baseline"/>
        <w:rPr>
          <w:rFonts w:eastAsia="Calibri"/>
          <w:color w:val="000000" w:themeColor="text1"/>
        </w:rPr>
      </w:pPr>
      <w:r>
        <w:rPr>
          <w:color w:val="000000" w:themeColor="text1"/>
        </w:rPr>
        <w:t>schlägt vor, dass die Kommission die Maßnahmen zur Vereinbarkeit von Beruf und Privatleben in EU-Unternehmen hinsichtlich Vorteile, Herausforderungen und Auswirkungen auf die Wettbewerbsfähigkeit sowie bewährte Verfahren, auch in KMU, bewertet, wobei auch das Potenzial der generationenübergreifenden Zusammenarbeit am Arbeitsplatz berücksichtigt werden sollte;</w:t>
      </w:r>
    </w:p>
    <w:p w:rsidR="00167D22" w:rsidP="00536180" w:rsidRDefault="00167D22" w14:paraId="686C8E33" w14:textId="77777777">
      <w:pPr>
        <w:numPr>
          <w:ilvl w:val="0"/>
          <w:numId w:val="35"/>
        </w:numPr>
        <w:overflowPunct w:val="0"/>
        <w:autoSpaceDE w:val="0"/>
        <w:autoSpaceDN w:val="0"/>
        <w:adjustRightInd w:val="0"/>
        <w:spacing w:after="200" w:line="276" w:lineRule="auto"/>
        <w:ind w:left="635" w:hanging="567"/>
        <w:contextualSpacing/>
        <w:textAlignment w:val="baseline"/>
        <w:rPr>
          <w:rFonts w:eastAsia="Calibri"/>
          <w:color w:val="000000" w:themeColor="text1"/>
        </w:rPr>
      </w:pPr>
      <w:r>
        <w:rPr>
          <w:color w:val="000000" w:themeColor="text1"/>
        </w:rPr>
        <w:t>betont, dass es im Nachgang zur COVID-19-Pandemie darauf ankommt, die in diesem Zusammenhang ergriffenen beschäftigungsbezogenen Maßnahmen einschließlich flexibler Arbeitsregelungen zu prüfen, zu bewerten und ggf. zu aktualisieren sowie in den Prozess zur Überarbeitung der Richtlinie (EU) 2019/1158 zur Vereinbarkeit von Beruf und Privatleben für Eltern und pflegende Angehörige einzubeziehen;</w:t>
      </w:r>
    </w:p>
    <w:p w:rsidRPr="003F5DFC" w:rsidR="00167D22" w:rsidP="00536180" w:rsidRDefault="00167D22" w14:paraId="27982EF8" w14:textId="77777777">
      <w:pPr>
        <w:numPr>
          <w:ilvl w:val="0"/>
          <w:numId w:val="35"/>
        </w:numPr>
        <w:overflowPunct w:val="0"/>
        <w:autoSpaceDE w:val="0"/>
        <w:autoSpaceDN w:val="0"/>
        <w:adjustRightInd w:val="0"/>
        <w:spacing w:after="200" w:line="276" w:lineRule="auto"/>
        <w:ind w:left="635" w:hanging="567"/>
        <w:contextualSpacing/>
        <w:textAlignment w:val="baseline"/>
        <w:rPr>
          <w:rFonts w:eastAsia="Calibri"/>
          <w:color w:val="000000" w:themeColor="text1"/>
        </w:rPr>
      </w:pPr>
      <w:r>
        <w:rPr>
          <w:color w:val="000000" w:themeColor="text1"/>
        </w:rPr>
        <w:t>hebt hervor, dass der soziale Dialog von entscheidender Bedeutung ist, um eine angemessene Vereinbarkeit von Beruf und Privatleben mit Unterstützung durch zivilgesellschaftliche Organisationen zu erreichen.</w:t>
      </w:r>
    </w:p>
    <w:p w:rsidRPr="00DB536C" w:rsidR="00167D22" w:rsidP="00DB536C" w:rsidRDefault="00167D22" w14:paraId="144E9DEA" w14:textId="77777777">
      <w:pPr>
        <w:widowControl w:val="0"/>
        <w:spacing w:line="240" w:lineRule="auto"/>
        <w:ind w:left="284" w:hanging="284"/>
        <w:rPr>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528"/>
      </w:tblGrid>
      <w:tr w:rsidRPr="00536180" w:rsidR="00167D22" w:rsidTr="00F324F7" w14:paraId="5F79696F" w14:textId="77777777">
        <w:tc>
          <w:tcPr>
            <w:tcW w:w="1418" w:type="dxa"/>
          </w:tcPr>
          <w:p w:rsidRPr="00536180" w:rsidR="00167D22" w:rsidP="00F324F7" w:rsidRDefault="00167D22" w14:paraId="270CC7DE" w14:textId="77777777">
            <w:pPr>
              <w:spacing w:line="240" w:lineRule="auto"/>
              <w:rPr>
                <w:i/>
              </w:rPr>
            </w:pPr>
            <w:r w:rsidRPr="00536180">
              <w:rPr>
                <w:b/>
                <w:i/>
              </w:rPr>
              <w:t>Kontakt</w:t>
            </w:r>
          </w:p>
        </w:tc>
        <w:tc>
          <w:tcPr>
            <w:tcW w:w="5528" w:type="dxa"/>
          </w:tcPr>
          <w:p w:rsidRPr="00536180" w:rsidR="00167D22" w:rsidP="00F324F7" w:rsidRDefault="00167D22" w14:paraId="305C496B" w14:textId="1770E294">
            <w:pPr>
              <w:spacing w:line="240" w:lineRule="auto"/>
              <w:rPr>
                <w:i/>
              </w:rPr>
            </w:pPr>
            <w:r w:rsidRPr="00536180">
              <w:rPr>
                <w:i/>
              </w:rPr>
              <w:t xml:space="preserve">Gabriela </w:t>
            </w:r>
            <w:proofErr w:type="spellStart"/>
            <w:r w:rsidRPr="00536180">
              <w:rPr>
                <w:i/>
              </w:rPr>
              <w:t>Grasu</w:t>
            </w:r>
            <w:proofErr w:type="spellEnd"/>
            <w:r w:rsidRPr="00536180">
              <w:rPr>
                <w:i/>
              </w:rPr>
              <w:t xml:space="preserve"> &amp; Bartek </w:t>
            </w:r>
            <w:proofErr w:type="spellStart"/>
            <w:r w:rsidRPr="00536180">
              <w:rPr>
                <w:i/>
              </w:rPr>
              <w:t>Bednarowicz</w:t>
            </w:r>
            <w:proofErr w:type="spellEnd"/>
          </w:p>
        </w:tc>
      </w:tr>
      <w:tr w:rsidRPr="00536180" w:rsidR="00167D22" w:rsidTr="00F324F7" w14:paraId="5B6FA6D1" w14:textId="77777777">
        <w:tc>
          <w:tcPr>
            <w:tcW w:w="1418" w:type="dxa"/>
          </w:tcPr>
          <w:p w:rsidRPr="00536180" w:rsidR="00167D22" w:rsidP="00F324F7" w:rsidRDefault="00167D22" w14:paraId="4FCE9FD0" w14:textId="77777777">
            <w:pPr>
              <w:spacing w:line="240" w:lineRule="auto"/>
              <w:rPr>
                <w:i/>
              </w:rPr>
            </w:pPr>
            <w:r w:rsidRPr="00536180">
              <w:rPr>
                <w:i/>
              </w:rPr>
              <w:t>Tel.</w:t>
            </w:r>
          </w:p>
        </w:tc>
        <w:tc>
          <w:tcPr>
            <w:tcW w:w="5528" w:type="dxa"/>
          </w:tcPr>
          <w:p w:rsidRPr="00536180" w:rsidR="00167D22" w:rsidP="00F324F7" w:rsidRDefault="00167D22" w14:paraId="44D5DC42" w14:textId="77777777">
            <w:pPr>
              <w:spacing w:line="240" w:lineRule="auto"/>
              <w:rPr>
                <w:i/>
              </w:rPr>
            </w:pPr>
            <w:r w:rsidRPr="00536180">
              <w:rPr>
                <w:i/>
              </w:rPr>
              <w:t>+32 25469162 bzw. +32 25469229</w:t>
            </w:r>
          </w:p>
        </w:tc>
      </w:tr>
      <w:tr w:rsidRPr="00536180" w:rsidR="00167D22" w:rsidTr="00F324F7" w14:paraId="1B5D4C93" w14:textId="77777777">
        <w:tc>
          <w:tcPr>
            <w:tcW w:w="1418" w:type="dxa"/>
          </w:tcPr>
          <w:p w:rsidRPr="00536180" w:rsidR="00167D22" w:rsidP="00F324F7" w:rsidRDefault="00B6772C" w14:paraId="655F8DC5" w14:textId="7317597F">
            <w:pPr>
              <w:spacing w:line="240" w:lineRule="auto"/>
              <w:rPr>
                <w:i/>
              </w:rPr>
            </w:pPr>
            <w:r w:rsidRPr="00536180">
              <w:rPr>
                <w:i/>
              </w:rPr>
              <w:t>E-Mail:</w:t>
            </w:r>
          </w:p>
        </w:tc>
        <w:tc>
          <w:tcPr>
            <w:tcW w:w="5528" w:type="dxa"/>
          </w:tcPr>
          <w:p w:rsidRPr="00536180" w:rsidR="00347517" w:rsidP="00F324F7" w:rsidRDefault="00486D53" w14:paraId="04C6E02C" w14:textId="48D75E5A">
            <w:pPr>
              <w:spacing w:line="240" w:lineRule="auto"/>
            </w:pPr>
            <w:hyperlink w:history="1" r:id="rId30">
              <w:r w:rsidRPr="00536180" w:rsidR="00347517">
                <w:rPr>
                  <w:rStyle w:val="Hyperlink"/>
                </w:rPr>
                <w:t>Gabriela.Grasu@eesc.europa.eu</w:t>
              </w:r>
            </w:hyperlink>
          </w:p>
          <w:p w:rsidRPr="00536180" w:rsidR="00167D22" w:rsidP="00F324F7" w:rsidRDefault="00486D53" w14:paraId="1DCEA359" w14:textId="35E5BC26">
            <w:pPr>
              <w:spacing w:line="240" w:lineRule="auto"/>
              <w:rPr>
                <w:i/>
                <w:iCs/>
              </w:rPr>
            </w:pPr>
            <w:hyperlink w:history="1" r:id="rId31">
              <w:r w:rsidRPr="00536180" w:rsidR="00347517">
                <w:rPr>
                  <w:rStyle w:val="Hyperlink"/>
                </w:rPr>
                <w:t>Bartek.Bednarowicz@eesc.europa.eu</w:t>
              </w:r>
            </w:hyperlink>
          </w:p>
        </w:tc>
      </w:tr>
    </w:tbl>
    <w:p w:rsidRPr="00DB536C" w:rsidR="00EB109D" w:rsidP="00DB536C" w:rsidRDefault="00EB109D" w14:paraId="4982DD9C" w14:textId="31EF1D5A">
      <w:pPr>
        <w:spacing w:after="160" w:line="240" w:lineRule="auto"/>
        <w:jc w:val="left"/>
        <w:rPr>
          <w:sz w:val="2"/>
          <w:szCs w:val="2"/>
        </w:rPr>
      </w:pPr>
      <w:r w:rsidRPr="00DB536C">
        <w:rPr>
          <w:sz w:val="2"/>
          <w:szCs w:val="2"/>
        </w:rPr>
        <w:br w:type="page"/>
      </w:r>
    </w:p>
    <w:p w:rsidRPr="009B15D0" w:rsidR="009B15D0" w:rsidP="009B15D0" w:rsidRDefault="002912D2" w14:paraId="4BD5DE20" w14:textId="1E3E04B8">
      <w:pPr>
        <w:widowControl w:val="0"/>
        <w:numPr>
          <w:ilvl w:val="0"/>
          <w:numId w:val="9"/>
        </w:numPr>
        <w:overflowPunct w:val="0"/>
        <w:autoSpaceDE w:val="0"/>
        <w:autoSpaceDN w:val="0"/>
        <w:adjustRightInd w:val="0"/>
        <w:ind w:left="567" w:hanging="567"/>
        <w:textAlignment w:val="baseline"/>
        <w:rPr>
          <w:b/>
          <w:color w:val="0000FF"/>
          <w:u w:val="single"/>
        </w:rPr>
      </w:pPr>
      <w:r>
        <w:rPr>
          <w:b/>
          <w:i/>
          <w:color w:val="0000FF"/>
          <w:sz w:val="28"/>
          <w:u w:val="single"/>
        </w:rPr>
        <w:lastRenderedPageBreak/>
        <w:t>Leitlinien für beschäftigungspolitische Maßnahmen der Mitgliedstaaten</w:t>
      </w:r>
    </w:p>
    <w:p w:rsidRPr="000F216A" w:rsidR="009B15D0" w:rsidP="000F216A" w:rsidRDefault="009B15D0" w14:paraId="66B75ABF" w14:textId="77777777"/>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7354"/>
      </w:tblGrid>
      <w:tr w:rsidRPr="00536180" w:rsidR="009B15D0" w:rsidTr="00DB536C" w14:paraId="43D78729" w14:textId="77777777">
        <w:tc>
          <w:tcPr>
            <w:tcW w:w="2110" w:type="dxa"/>
          </w:tcPr>
          <w:p w:rsidRPr="00536180" w:rsidR="009B15D0" w:rsidP="009B15D0" w:rsidRDefault="009B15D0" w14:paraId="23214B86" w14:textId="77777777">
            <w:pPr>
              <w:tabs>
                <w:tab w:val="center" w:pos="284"/>
              </w:tabs>
              <w:overflowPunct w:val="0"/>
              <w:autoSpaceDE w:val="0"/>
              <w:autoSpaceDN w:val="0"/>
              <w:adjustRightInd w:val="0"/>
              <w:ind w:left="567" w:hanging="567"/>
              <w:textAlignment w:val="baseline"/>
              <w:rPr>
                <w:b/>
                <w:sz w:val="22"/>
                <w:szCs w:val="22"/>
              </w:rPr>
            </w:pPr>
            <w:r w:rsidRPr="00536180">
              <w:rPr>
                <w:b/>
                <w:sz w:val="22"/>
                <w:szCs w:val="22"/>
              </w:rPr>
              <w:t>Berichterstatter</w:t>
            </w:r>
          </w:p>
          <w:p w:rsidRPr="00536180" w:rsidR="009B15D0" w:rsidP="009B15D0" w:rsidRDefault="009B15D0" w14:paraId="4F5B0A01" w14:textId="77777777">
            <w:pPr>
              <w:tabs>
                <w:tab w:val="center" w:pos="284"/>
              </w:tabs>
              <w:overflowPunct w:val="0"/>
              <w:autoSpaceDE w:val="0"/>
              <w:autoSpaceDN w:val="0"/>
              <w:adjustRightInd w:val="0"/>
              <w:ind w:left="567" w:hanging="567"/>
              <w:textAlignment w:val="baseline"/>
              <w:rPr>
                <w:b/>
                <w:sz w:val="22"/>
                <w:szCs w:val="22"/>
              </w:rPr>
            </w:pPr>
          </w:p>
        </w:tc>
        <w:tc>
          <w:tcPr>
            <w:tcW w:w="7354" w:type="dxa"/>
          </w:tcPr>
          <w:p w:rsidRPr="00536180" w:rsidR="009B15D0" w:rsidP="009B15D0" w:rsidRDefault="009B15D0" w14:paraId="729B9649" w14:textId="77777777">
            <w:pPr>
              <w:overflowPunct w:val="0"/>
              <w:autoSpaceDE w:val="0"/>
              <w:autoSpaceDN w:val="0"/>
              <w:adjustRightInd w:val="0"/>
              <w:textAlignment w:val="baseline"/>
              <w:rPr>
                <w:sz w:val="22"/>
                <w:szCs w:val="22"/>
              </w:rPr>
            </w:pPr>
            <w:r w:rsidRPr="00536180">
              <w:rPr>
                <w:sz w:val="22"/>
                <w:szCs w:val="22"/>
              </w:rPr>
              <w:t>Giovanni MARCANTONIO (Gruppe Organisationen der Zivilgesellschaft – IT)</w:t>
            </w:r>
          </w:p>
          <w:p w:rsidRPr="00536180" w:rsidR="009B15D0" w:rsidP="009B15D0" w:rsidRDefault="009B15D0" w14:paraId="55E16B20" w14:textId="77777777">
            <w:pPr>
              <w:tabs>
                <w:tab w:val="center" w:pos="284"/>
              </w:tabs>
              <w:overflowPunct w:val="0"/>
              <w:autoSpaceDE w:val="0"/>
              <w:autoSpaceDN w:val="0"/>
              <w:adjustRightInd w:val="0"/>
              <w:ind w:left="567" w:hanging="567"/>
              <w:textAlignment w:val="baseline"/>
              <w:rPr>
                <w:sz w:val="22"/>
                <w:szCs w:val="22"/>
              </w:rPr>
            </w:pPr>
          </w:p>
        </w:tc>
      </w:tr>
      <w:tr w:rsidRPr="00536180" w:rsidR="009B15D0" w:rsidTr="00DB536C" w14:paraId="41B01139" w14:textId="77777777">
        <w:tc>
          <w:tcPr>
            <w:tcW w:w="2110" w:type="dxa"/>
          </w:tcPr>
          <w:p w:rsidRPr="00536180" w:rsidR="009B15D0" w:rsidP="009B15D0" w:rsidRDefault="009B15D0" w14:paraId="3E69163F" w14:textId="77777777">
            <w:pPr>
              <w:tabs>
                <w:tab w:val="center" w:pos="284"/>
              </w:tabs>
              <w:overflowPunct w:val="0"/>
              <w:autoSpaceDE w:val="0"/>
              <w:autoSpaceDN w:val="0"/>
              <w:adjustRightInd w:val="0"/>
              <w:ind w:left="567" w:hanging="567"/>
              <w:textAlignment w:val="baseline"/>
              <w:rPr>
                <w:b/>
                <w:sz w:val="22"/>
                <w:szCs w:val="22"/>
              </w:rPr>
            </w:pPr>
            <w:r w:rsidRPr="00536180">
              <w:rPr>
                <w:b/>
                <w:sz w:val="22"/>
                <w:szCs w:val="22"/>
              </w:rPr>
              <w:t>Referenzdokumente</w:t>
            </w:r>
          </w:p>
        </w:tc>
        <w:tc>
          <w:tcPr>
            <w:tcW w:w="7354" w:type="dxa"/>
          </w:tcPr>
          <w:p w:rsidRPr="00536180" w:rsidR="00EB109D" w:rsidP="009B15D0" w:rsidRDefault="00EB109D" w14:paraId="35F64810" w14:textId="2AF83E58">
            <w:pPr>
              <w:tabs>
                <w:tab w:val="center" w:pos="284"/>
              </w:tabs>
              <w:overflowPunct w:val="0"/>
              <w:autoSpaceDE w:val="0"/>
              <w:autoSpaceDN w:val="0"/>
              <w:adjustRightInd w:val="0"/>
              <w:ind w:left="567" w:hanging="567"/>
              <w:textAlignment w:val="baseline"/>
              <w:rPr>
                <w:sz w:val="22"/>
                <w:szCs w:val="22"/>
              </w:rPr>
            </w:pPr>
            <w:r w:rsidRPr="00536180">
              <w:rPr>
                <w:sz w:val="22"/>
                <w:szCs w:val="22"/>
              </w:rPr>
              <w:t>COM(2024) 599 final</w:t>
            </w:r>
          </w:p>
          <w:p w:rsidRPr="00536180" w:rsidR="009B15D0" w:rsidP="009B15D0" w:rsidRDefault="009B15D0" w14:paraId="60874D5F" w14:textId="3FBFA3A8">
            <w:pPr>
              <w:tabs>
                <w:tab w:val="center" w:pos="284"/>
              </w:tabs>
              <w:overflowPunct w:val="0"/>
              <w:autoSpaceDE w:val="0"/>
              <w:autoSpaceDN w:val="0"/>
              <w:adjustRightInd w:val="0"/>
              <w:ind w:left="567" w:hanging="567"/>
              <w:textAlignment w:val="baseline"/>
              <w:rPr>
                <w:sz w:val="22"/>
                <w:szCs w:val="22"/>
              </w:rPr>
            </w:pPr>
            <w:r w:rsidRPr="00536180">
              <w:rPr>
                <w:sz w:val="22"/>
                <w:szCs w:val="22"/>
              </w:rPr>
              <w:t>EESC-2024-02310-00-00-AC</w:t>
            </w:r>
          </w:p>
        </w:tc>
      </w:tr>
    </w:tbl>
    <w:p w:rsidR="00DB536C" w:rsidP="009B15D0" w:rsidRDefault="00DB536C" w14:paraId="5AB7E648" w14:textId="77777777">
      <w:pPr>
        <w:keepNext/>
        <w:keepLines/>
        <w:tabs>
          <w:tab w:val="center" w:pos="284"/>
        </w:tabs>
        <w:overflowPunct w:val="0"/>
        <w:autoSpaceDE w:val="0"/>
        <w:autoSpaceDN w:val="0"/>
        <w:adjustRightInd w:val="0"/>
        <w:ind w:left="266" w:hanging="266"/>
        <w:textAlignment w:val="baseline"/>
        <w:rPr>
          <w:b/>
        </w:rPr>
      </w:pPr>
    </w:p>
    <w:p w:rsidRPr="009B15D0" w:rsidR="009B15D0" w:rsidP="009B15D0" w:rsidRDefault="009B15D0" w14:paraId="45331566" w14:textId="7ED20933">
      <w:pPr>
        <w:keepNext/>
        <w:keepLines/>
        <w:tabs>
          <w:tab w:val="center" w:pos="284"/>
        </w:tabs>
        <w:overflowPunct w:val="0"/>
        <w:autoSpaceDE w:val="0"/>
        <w:autoSpaceDN w:val="0"/>
        <w:adjustRightInd w:val="0"/>
        <w:ind w:left="266" w:hanging="266"/>
        <w:textAlignment w:val="baseline"/>
        <w:rPr>
          <w:b/>
        </w:rPr>
      </w:pPr>
      <w:r>
        <w:rPr>
          <w:b/>
        </w:rPr>
        <w:t>Kernaussagen</w:t>
      </w:r>
    </w:p>
    <w:p w:rsidRPr="009B15D0" w:rsidR="009B15D0" w:rsidP="009B15D0" w:rsidRDefault="009B15D0" w14:paraId="53C8CBFC" w14:textId="77777777">
      <w:pPr>
        <w:overflowPunct w:val="0"/>
        <w:autoSpaceDE w:val="0"/>
        <w:autoSpaceDN w:val="0"/>
        <w:adjustRightInd w:val="0"/>
        <w:textAlignment w:val="baseline"/>
        <w:rPr>
          <w:szCs w:val="20"/>
          <w:lang w:val="en-GB"/>
        </w:rPr>
      </w:pPr>
    </w:p>
    <w:p w:rsidR="009B15D0" w:rsidP="009B15D0" w:rsidRDefault="009B15D0" w14:paraId="59466BE5" w14:textId="5C0A42A1">
      <w:pPr>
        <w:overflowPunct w:val="0"/>
        <w:autoSpaceDE w:val="0"/>
        <w:autoSpaceDN w:val="0"/>
        <w:adjustRightInd w:val="0"/>
        <w:textAlignment w:val="baseline"/>
      </w:pPr>
      <w:r>
        <w:t>Der EWSA</w:t>
      </w:r>
    </w:p>
    <w:p w:rsidRPr="009B15D0" w:rsidR="00DB536C" w:rsidP="009B15D0" w:rsidRDefault="00DB536C" w14:paraId="10AAF89A" w14:textId="77777777">
      <w:pPr>
        <w:overflowPunct w:val="0"/>
        <w:autoSpaceDE w:val="0"/>
        <w:autoSpaceDN w:val="0"/>
        <w:adjustRightInd w:val="0"/>
        <w:textAlignment w:val="baseline"/>
        <w:rPr>
          <w:szCs w:val="20"/>
        </w:rPr>
      </w:pPr>
    </w:p>
    <w:p w:rsidRPr="009B15D0" w:rsidR="009B15D0" w:rsidP="00536180" w:rsidRDefault="009B15D0" w14:paraId="7DA618DD" w14:textId="77777777">
      <w:pPr>
        <w:numPr>
          <w:ilvl w:val="0"/>
          <w:numId w:val="36"/>
        </w:numPr>
        <w:overflowPunct w:val="0"/>
        <w:autoSpaceDE w:val="0"/>
        <w:autoSpaceDN w:val="0"/>
        <w:adjustRightInd w:val="0"/>
        <w:spacing w:after="200" w:line="276" w:lineRule="auto"/>
        <w:ind w:left="635" w:hanging="567"/>
        <w:contextualSpacing/>
        <w:textAlignment w:val="baseline"/>
      </w:pPr>
      <w:r>
        <w:t>begrüßt den Vorschlag für aktualisierte Leitlinien für beschäftigungspolitische Maßnahmen zur Förderung einer wettbewerbsfähigen und nachhaltigen Wirtschaft, welche die neuen Bedürfnisse des Arbeitsmarktes widerspiegelt;</w:t>
      </w:r>
    </w:p>
    <w:p w:rsidRPr="009B15D0" w:rsidR="009B15D0" w:rsidP="00536180" w:rsidRDefault="009B15D0" w14:paraId="6814CCF8" w14:textId="77777777">
      <w:pPr>
        <w:numPr>
          <w:ilvl w:val="0"/>
          <w:numId w:val="36"/>
        </w:numPr>
        <w:overflowPunct w:val="0"/>
        <w:autoSpaceDE w:val="0"/>
        <w:autoSpaceDN w:val="0"/>
        <w:adjustRightInd w:val="0"/>
        <w:spacing w:after="200" w:line="276" w:lineRule="auto"/>
        <w:ind w:left="635" w:hanging="567"/>
        <w:contextualSpacing/>
        <w:textAlignment w:val="baseline"/>
      </w:pPr>
      <w:r>
        <w:t>weist auf die Bedeutung einer Aufwärtskonvergenz und Verstärkung der Rolle des Europäischen Semesters hinsichtlich koordinierter wirtschaftspolitischer Maßnahmen hin;</w:t>
      </w:r>
    </w:p>
    <w:p w:rsidRPr="009B15D0" w:rsidR="009B15D0" w:rsidP="00536180" w:rsidRDefault="009B15D0" w14:paraId="01083B83" w14:textId="77777777">
      <w:pPr>
        <w:numPr>
          <w:ilvl w:val="0"/>
          <w:numId w:val="36"/>
        </w:numPr>
        <w:overflowPunct w:val="0"/>
        <w:autoSpaceDE w:val="0"/>
        <w:autoSpaceDN w:val="0"/>
        <w:adjustRightInd w:val="0"/>
        <w:spacing w:after="200" w:line="276" w:lineRule="auto"/>
        <w:ind w:left="635" w:hanging="567"/>
        <w:contextualSpacing/>
        <w:textAlignment w:val="baseline"/>
      </w:pPr>
      <w:r>
        <w:t>betont, dass die Rolle der Sozialpartner durch sozialen Dialog und Tarifverhandlungen gestärkt und die Zivilgesellschaft in beschäftigungspolitische Reformen und Politikgestaltung eingebunden werden muss;</w:t>
      </w:r>
    </w:p>
    <w:p w:rsidRPr="009B15D0" w:rsidR="009B15D0" w:rsidP="00536180" w:rsidRDefault="009B15D0" w14:paraId="33DFB5E8" w14:textId="77777777">
      <w:pPr>
        <w:numPr>
          <w:ilvl w:val="0"/>
          <w:numId w:val="36"/>
        </w:numPr>
        <w:overflowPunct w:val="0"/>
        <w:autoSpaceDE w:val="0"/>
        <w:autoSpaceDN w:val="0"/>
        <w:adjustRightInd w:val="0"/>
        <w:spacing w:after="200" w:line="276" w:lineRule="auto"/>
        <w:ind w:left="635" w:hanging="567"/>
        <w:contextualSpacing/>
        <w:textAlignment w:val="baseline"/>
      </w:pPr>
      <w:r>
        <w:t>weist darauf hin, dass das Arbeitskräfteangebot unbedingt erhöht und der Zugang zu Beschäftigung und hochwertigen Arbeitsplätzen verbessert werden muss, um die aus dem Personalmangel resultierenden Herausforderungen für Unternehmen zu bewältigen;</w:t>
      </w:r>
    </w:p>
    <w:p w:rsidRPr="009B15D0" w:rsidR="009B15D0" w:rsidP="00536180" w:rsidRDefault="009B15D0" w14:paraId="28524A4B" w14:textId="77777777">
      <w:pPr>
        <w:numPr>
          <w:ilvl w:val="0"/>
          <w:numId w:val="36"/>
        </w:numPr>
        <w:overflowPunct w:val="0"/>
        <w:autoSpaceDE w:val="0"/>
        <w:autoSpaceDN w:val="0"/>
        <w:adjustRightInd w:val="0"/>
        <w:spacing w:after="200" w:line="276" w:lineRule="auto"/>
        <w:ind w:left="635" w:hanging="567"/>
        <w:contextualSpacing/>
        <w:textAlignment w:val="baseline"/>
      </w:pPr>
      <w:r>
        <w:t>unterstützt die Forderung der Kommission nach stärkeren integrationspolitischen Maßnahmen, um Chancengleichheit beim Zugang zu Beschäftigung und bei der Karriereentwicklung zu fördern;</w:t>
      </w:r>
    </w:p>
    <w:p w:rsidRPr="009B15D0" w:rsidR="009B15D0" w:rsidP="00536180" w:rsidRDefault="009B15D0" w14:paraId="77F8E962" w14:textId="77777777">
      <w:pPr>
        <w:numPr>
          <w:ilvl w:val="0"/>
          <w:numId w:val="36"/>
        </w:numPr>
        <w:overflowPunct w:val="0"/>
        <w:autoSpaceDE w:val="0"/>
        <w:autoSpaceDN w:val="0"/>
        <w:adjustRightInd w:val="0"/>
        <w:spacing w:after="200" w:line="276" w:lineRule="auto"/>
        <w:ind w:left="635" w:hanging="567"/>
        <w:contextualSpacing/>
        <w:textAlignment w:val="baseline"/>
      </w:pPr>
      <w:r>
        <w:t>betont, wie wichtig es ist, die Kompetenzen für den grünen und den digitalen Wandel zu stärken und das Recht auf hochwertiges lebenslanges Lernen zu garantieren;</w:t>
      </w:r>
    </w:p>
    <w:p w:rsidRPr="009B15D0" w:rsidR="009B15D0" w:rsidP="00536180" w:rsidRDefault="009B15D0" w14:paraId="231E5DC3" w14:textId="77777777">
      <w:pPr>
        <w:numPr>
          <w:ilvl w:val="0"/>
          <w:numId w:val="36"/>
        </w:numPr>
        <w:overflowPunct w:val="0"/>
        <w:autoSpaceDE w:val="0"/>
        <w:autoSpaceDN w:val="0"/>
        <w:adjustRightInd w:val="0"/>
        <w:spacing w:after="200" w:line="276" w:lineRule="auto"/>
        <w:ind w:left="635" w:hanging="567"/>
        <w:contextualSpacing/>
        <w:textAlignment w:val="baseline"/>
      </w:pPr>
      <w:r>
        <w:t>weist darauf hin, dass unter Achtung der nationalen Gepflogenheiten und der Autonomie der Sozialpartner dringend für faire und angemessene Löhne im Einklang mit der Produktivität und Wettbewerbsfähigkeit gesorgt werden muss;</w:t>
      </w:r>
    </w:p>
    <w:p w:rsidRPr="009B15D0" w:rsidR="009B15D0" w:rsidP="00536180" w:rsidRDefault="009B15D0" w14:paraId="5EFFB52A" w14:textId="77777777">
      <w:pPr>
        <w:numPr>
          <w:ilvl w:val="0"/>
          <w:numId w:val="36"/>
        </w:numPr>
        <w:overflowPunct w:val="0"/>
        <w:autoSpaceDE w:val="0"/>
        <w:autoSpaceDN w:val="0"/>
        <w:adjustRightInd w:val="0"/>
        <w:spacing w:after="200" w:line="276" w:lineRule="auto"/>
        <w:ind w:left="635" w:hanging="567"/>
        <w:contextualSpacing/>
        <w:textAlignment w:val="baseline"/>
      </w:pPr>
      <w:r>
        <w:t>fordert zudem einen ethisch und sozial nachhaltigen Einsatz von KI am Arbeitsplatz, bei dem die Auswirkungen auf die Arbeitsplätze und Arbeitsorganisation hinsichtlich der Chancen und möglichen Risiken bewertet werden;</w:t>
      </w:r>
    </w:p>
    <w:p w:rsidRPr="009B15D0" w:rsidR="009B15D0" w:rsidP="00536180" w:rsidRDefault="009B15D0" w14:paraId="12D5F65C" w14:textId="77777777">
      <w:pPr>
        <w:numPr>
          <w:ilvl w:val="0"/>
          <w:numId w:val="36"/>
        </w:numPr>
        <w:overflowPunct w:val="0"/>
        <w:autoSpaceDE w:val="0"/>
        <w:autoSpaceDN w:val="0"/>
        <w:adjustRightInd w:val="0"/>
        <w:spacing w:after="200" w:line="276" w:lineRule="auto"/>
        <w:ind w:left="635" w:hanging="567"/>
        <w:contextualSpacing/>
        <w:textAlignment w:val="baseline"/>
      </w:pPr>
      <w:r>
        <w:t>unterstreicht, dass der Sozialschutz durch die Anpassung der Steuer- und Sozialleistungssysteme und die Überwachung der Umverteilungseffekte modernisiert werden muss, um alle Arbeitnehmer unabhängig von ihrer Beschäftigungsform zu erfassen;</w:t>
      </w:r>
    </w:p>
    <w:p w:rsidRPr="009B15D0" w:rsidR="009B15D0" w:rsidP="00536180" w:rsidRDefault="009B15D0" w14:paraId="3558E2B1" w14:textId="77777777">
      <w:pPr>
        <w:numPr>
          <w:ilvl w:val="0"/>
          <w:numId w:val="36"/>
        </w:numPr>
        <w:overflowPunct w:val="0"/>
        <w:autoSpaceDE w:val="0"/>
        <w:autoSpaceDN w:val="0"/>
        <w:adjustRightInd w:val="0"/>
        <w:spacing w:after="200" w:line="276" w:lineRule="auto"/>
        <w:ind w:left="635" w:hanging="567"/>
        <w:contextualSpacing/>
        <w:textAlignment w:val="baseline"/>
      </w:pPr>
      <w:r>
        <w:t>ruft zur Weiterentwicklung von Strategien für erschwinglichem Wohnraum, zur Verhinderung der Obdachlosigkeit und zur effektiven Nutzung der EU-Fonds auf;</w:t>
      </w:r>
    </w:p>
    <w:p w:rsidRPr="009B15D0" w:rsidR="009B15D0" w:rsidP="00536180" w:rsidRDefault="009B15D0" w14:paraId="2DFD6DC7" w14:textId="77777777">
      <w:pPr>
        <w:numPr>
          <w:ilvl w:val="0"/>
          <w:numId w:val="36"/>
        </w:numPr>
        <w:overflowPunct w:val="0"/>
        <w:autoSpaceDE w:val="0"/>
        <w:autoSpaceDN w:val="0"/>
        <w:adjustRightInd w:val="0"/>
        <w:spacing w:after="200" w:line="276" w:lineRule="auto"/>
        <w:ind w:left="635" w:hanging="567"/>
        <w:contextualSpacing/>
        <w:textAlignment w:val="baseline"/>
      </w:pPr>
      <w:r>
        <w:t>fordert wirksamere Maßnahmen zur Bekämpfung irregulärer Beschäftigung, Förderung hochwertiger Arbeit, Verbesserung der Gesundheit und Sicherheit am Arbeitsplatz sowie gegen den Anstieg von informeller Beschäftigung und prekären Arbeitsbedingungen.</w:t>
      </w:r>
    </w:p>
    <w:p w:rsidRPr="009B15D0" w:rsidR="009B15D0" w:rsidP="008441EB" w:rsidRDefault="009B15D0" w14:paraId="6E693E16" w14:textId="77777777">
      <w:pPr>
        <w:overflowPunct w:val="0"/>
        <w:autoSpaceDE w:val="0"/>
        <w:autoSpaceDN w:val="0"/>
        <w:adjustRightInd w:val="0"/>
        <w:ind w:left="284" w:hanging="284"/>
        <w:textAlignment w:val="baseline"/>
        <w:rPr>
          <w:szCs w:val="20"/>
          <w:lang w:val="en-G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4493"/>
      </w:tblGrid>
      <w:tr w:rsidRPr="00536180" w:rsidR="009B15D0" w:rsidTr="00F324F7" w14:paraId="193EB235" w14:textId="77777777">
        <w:tc>
          <w:tcPr>
            <w:tcW w:w="1210" w:type="dxa"/>
          </w:tcPr>
          <w:p w:rsidRPr="00536180" w:rsidR="009B15D0" w:rsidP="009B15D0" w:rsidRDefault="009B15D0" w14:paraId="567FC72E" w14:textId="77777777">
            <w:pPr>
              <w:overflowPunct w:val="0"/>
              <w:autoSpaceDE w:val="0"/>
              <w:autoSpaceDN w:val="0"/>
              <w:adjustRightInd w:val="0"/>
              <w:spacing w:line="240" w:lineRule="auto"/>
              <w:textAlignment w:val="baseline"/>
              <w:rPr>
                <w:i/>
                <w:sz w:val="22"/>
                <w:szCs w:val="22"/>
              </w:rPr>
            </w:pPr>
            <w:r w:rsidRPr="00536180">
              <w:rPr>
                <w:b/>
                <w:i/>
                <w:sz w:val="22"/>
                <w:szCs w:val="22"/>
              </w:rPr>
              <w:t>Kontakt</w:t>
            </w:r>
          </w:p>
        </w:tc>
        <w:tc>
          <w:tcPr>
            <w:tcW w:w="4493" w:type="dxa"/>
          </w:tcPr>
          <w:p w:rsidRPr="00536180" w:rsidR="009B15D0" w:rsidP="009B15D0" w:rsidRDefault="009B15D0" w14:paraId="7F090CD8" w14:textId="77777777">
            <w:pPr>
              <w:overflowPunct w:val="0"/>
              <w:autoSpaceDE w:val="0"/>
              <w:autoSpaceDN w:val="0"/>
              <w:adjustRightInd w:val="0"/>
              <w:spacing w:line="240" w:lineRule="auto"/>
              <w:ind w:hanging="12"/>
              <w:textAlignment w:val="baseline"/>
              <w:rPr>
                <w:i/>
                <w:sz w:val="22"/>
                <w:szCs w:val="22"/>
              </w:rPr>
            </w:pPr>
            <w:r w:rsidRPr="00536180">
              <w:rPr>
                <w:i/>
                <w:sz w:val="22"/>
                <w:szCs w:val="22"/>
              </w:rPr>
              <w:t xml:space="preserve">Bartek </w:t>
            </w:r>
            <w:proofErr w:type="spellStart"/>
            <w:r w:rsidRPr="00536180">
              <w:rPr>
                <w:i/>
                <w:sz w:val="22"/>
                <w:szCs w:val="22"/>
              </w:rPr>
              <w:t>Bednarowicz</w:t>
            </w:r>
            <w:proofErr w:type="spellEnd"/>
          </w:p>
        </w:tc>
      </w:tr>
      <w:tr w:rsidRPr="00536180" w:rsidR="009B15D0" w:rsidTr="00F324F7" w14:paraId="29DEADD4" w14:textId="77777777">
        <w:tc>
          <w:tcPr>
            <w:tcW w:w="1210" w:type="dxa"/>
          </w:tcPr>
          <w:p w:rsidRPr="00536180" w:rsidR="009B15D0" w:rsidP="009B15D0" w:rsidRDefault="009B15D0" w14:paraId="154758EC" w14:textId="77777777">
            <w:pPr>
              <w:overflowPunct w:val="0"/>
              <w:autoSpaceDE w:val="0"/>
              <w:autoSpaceDN w:val="0"/>
              <w:adjustRightInd w:val="0"/>
              <w:spacing w:line="240" w:lineRule="auto"/>
              <w:textAlignment w:val="baseline"/>
              <w:rPr>
                <w:i/>
                <w:sz w:val="22"/>
                <w:szCs w:val="22"/>
              </w:rPr>
            </w:pPr>
            <w:r w:rsidRPr="00536180">
              <w:rPr>
                <w:i/>
                <w:sz w:val="22"/>
                <w:szCs w:val="22"/>
              </w:rPr>
              <w:t>Tel.</w:t>
            </w:r>
          </w:p>
        </w:tc>
        <w:tc>
          <w:tcPr>
            <w:tcW w:w="4493" w:type="dxa"/>
          </w:tcPr>
          <w:p w:rsidRPr="00536180" w:rsidR="009B15D0" w:rsidP="009B15D0" w:rsidRDefault="009B15D0" w14:paraId="6D2B1C04" w14:textId="77777777">
            <w:pPr>
              <w:overflowPunct w:val="0"/>
              <w:autoSpaceDE w:val="0"/>
              <w:autoSpaceDN w:val="0"/>
              <w:adjustRightInd w:val="0"/>
              <w:spacing w:line="240" w:lineRule="auto"/>
              <w:textAlignment w:val="baseline"/>
              <w:rPr>
                <w:i/>
                <w:sz w:val="22"/>
                <w:szCs w:val="22"/>
              </w:rPr>
            </w:pPr>
            <w:r w:rsidRPr="00536180">
              <w:rPr>
                <w:i/>
                <w:sz w:val="22"/>
                <w:szCs w:val="22"/>
              </w:rPr>
              <w:t>+32 25469229</w:t>
            </w:r>
          </w:p>
        </w:tc>
      </w:tr>
      <w:tr w:rsidRPr="00536180" w:rsidR="009B15D0" w:rsidTr="00F324F7" w14:paraId="50E5214B" w14:textId="77777777">
        <w:tc>
          <w:tcPr>
            <w:tcW w:w="1210" w:type="dxa"/>
          </w:tcPr>
          <w:p w:rsidRPr="00536180" w:rsidR="009B15D0" w:rsidP="009B15D0" w:rsidRDefault="009B15D0" w14:paraId="5EBF78E7" w14:textId="77777777">
            <w:pPr>
              <w:overflowPunct w:val="0"/>
              <w:autoSpaceDE w:val="0"/>
              <w:autoSpaceDN w:val="0"/>
              <w:adjustRightInd w:val="0"/>
              <w:spacing w:line="240" w:lineRule="auto"/>
              <w:textAlignment w:val="baseline"/>
              <w:rPr>
                <w:i/>
                <w:sz w:val="22"/>
                <w:szCs w:val="22"/>
              </w:rPr>
            </w:pPr>
            <w:r w:rsidRPr="00536180">
              <w:rPr>
                <w:i/>
                <w:sz w:val="22"/>
                <w:szCs w:val="22"/>
              </w:rPr>
              <w:t>E-Mail</w:t>
            </w:r>
          </w:p>
        </w:tc>
        <w:tc>
          <w:tcPr>
            <w:tcW w:w="4493" w:type="dxa"/>
          </w:tcPr>
          <w:p w:rsidRPr="00536180" w:rsidR="009B15D0" w:rsidP="009B15D0" w:rsidRDefault="00486D53" w14:paraId="728E1C6B" w14:textId="2F460D55">
            <w:pPr>
              <w:overflowPunct w:val="0"/>
              <w:autoSpaceDE w:val="0"/>
              <w:autoSpaceDN w:val="0"/>
              <w:adjustRightInd w:val="0"/>
              <w:spacing w:line="240" w:lineRule="auto"/>
              <w:textAlignment w:val="baseline"/>
              <w:rPr>
                <w:i/>
                <w:sz w:val="22"/>
                <w:szCs w:val="22"/>
              </w:rPr>
            </w:pPr>
            <w:hyperlink w:history="1" r:id="rId32">
              <w:r w:rsidRPr="00536180" w:rsidR="007E03C9">
                <w:rPr>
                  <w:i/>
                  <w:color w:val="0000FF"/>
                  <w:sz w:val="22"/>
                  <w:szCs w:val="22"/>
                  <w:u w:val="single"/>
                </w:rPr>
                <w:t>Bartek.Bednarowicz@eesc.europa.eu</w:t>
              </w:r>
            </w:hyperlink>
          </w:p>
        </w:tc>
      </w:tr>
    </w:tbl>
    <w:p w:rsidR="00C46CDD" w:rsidP="004D7AC0" w:rsidRDefault="00C46CDD" w14:paraId="7343DA24" w14:textId="77777777">
      <w:pPr>
        <w:spacing w:after="160" w:line="259" w:lineRule="auto"/>
        <w:jc w:val="left"/>
      </w:pPr>
    </w:p>
    <w:p w:rsidR="00C46CDD" w:rsidRDefault="00C46CDD" w14:paraId="661423E8" w14:textId="77777777">
      <w:pPr>
        <w:spacing w:after="160" w:line="259" w:lineRule="auto"/>
        <w:jc w:val="left"/>
      </w:pPr>
      <w:r>
        <w:br w:type="page"/>
      </w:r>
    </w:p>
    <w:p w:rsidRPr="00C46CDD" w:rsidR="00C46CDD" w:rsidP="00C46CDD" w:rsidRDefault="00486D53" w14:paraId="33E4F420" w14:textId="4C47CC4D">
      <w:pPr>
        <w:widowControl w:val="0"/>
        <w:numPr>
          <w:ilvl w:val="0"/>
          <w:numId w:val="8"/>
        </w:numPr>
        <w:overflowPunct w:val="0"/>
        <w:autoSpaceDE w:val="0"/>
        <w:autoSpaceDN w:val="0"/>
        <w:adjustRightInd w:val="0"/>
        <w:ind w:hanging="567"/>
        <w:textAlignment w:val="baseline"/>
        <w:rPr>
          <w:sz w:val="24"/>
          <w:szCs w:val="24"/>
        </w:rPr>
      </w:pPr>
      <w:hyperlink w:history="1" r:id="rId33">
        <w:r w:rsidR="00276FC9">
          <w:rPr>
            <w:b/>
            <w:i/>
            <w:color w:val="0000FF"/>
            <w:sz w:val="28"/>
            <w:u w:val="single"/>
          </w:rPr>
          <w:t>Eine europäische Leitinitiative für Gesundheit</w:t>
        </w:r>
      </w:hyperlink>
      <w:r w:rsidR="00276FC9">
        <w:rPr>
          <w:b/>
          <w:i/>
          <w:sz w:val="28"/>
        </w:rPr>
        <w:t xml:space="preserve"> </w:t>
      </w:r>
    </w:p>
    <w:p w:rsidRPr="000F216A" w:rsidR="00C46CDD" w:rsidP="000F216A" w:rsidRDefault="00C46CDD" w14:paraId="71763E5F" w14:textId="77777777"/>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3"/>
        <w:gridCol w:w="7451"/>
      </w:tblGrid>
      <w:tr w:rsidRPr="00536180" w:rsidR="00C46CDD" w:rsidTr="00DB536C" w14:paraId="2FDE04A8" w14:textId="77777777">
        <w:tc>
          <w:tcPr>
            <w:tcW w:w="2013" w:type="dxa"/>
          </w:tcPr>
          <w:p w:rsidRPr="00536180" w:rsidR="00C46CDD" w:rsidP="00C46CDD" w:rsidRDefault="00C46CDD" w14:paraId="6043BF0A"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Berichterstatter</w:t>
            </w:r>
          </w:p>
        </w:tc>
        <w:tc>
          <w:tcPr>
            <w:tcW w:w="7451" w:type="dxa"/>
          </w:tcPr>
          <w:p w:rsidRPr="00536180" w:rsidR="00C46CDD" w:rsidP="00C46CDD" w:rsidRDefault="00C46CDD" w14:paraId="2204DEA4" w14:textId="79758E6B">
            <w:pPr>
              <w:tabs>
                <w:tab w:val="center" w:pos="284"/>
              </w:tabs>
              <w:overflowPunct w:val="0"/>
              <w:autoSpaceDE w:val="0"/>
              <w:autoSpaceDN w:val="0"/>
              <w:adjustRightInd w:val="0"/>
              <w:ind w:left="266" w:hanging="266"/>
              <w:textAlignment w:val="baseline"/>
              <w:rPr>
                <w:sz w:val="22"/>
                <w:szCs w:val="22"/>
              </w:rPr>
            </w:pPr>
            <w:r w:rsidRPr="00536180">
              <w:rPr>
                <w:sz w:val="22"/>
                <w:szCs w:val="22"/>
              </w:rPr>
              <w:t>Alain COHEUR (Gruppe Organisationen der Zivilgesellschaft – BE)</w:t>
            </w:r>
          </w:p>
        </w:tc>
      </w:tr>
      <w:tr w:rsidRPr="00536180" w:rsidR="00C46CDD" w:rsidTr="00DB536C" w14:paraId="172D4E6D" w14:textId="77777777">
        <w:tc>
          <w:tcPr>
            <w:tcW w:w="9464" w:type="dxa"/>
            <w:gridSpan w:val="2"/>
          </w:tcPr>
          <w:p w:rsidRPr="00536180" w:rsidR="00C46CDD" w:rsidP="00C46CDD" w:rsidRDefault="00C46CDD" w14:paraId="73657B04" w14:textId="77777777">
            <w:pPr>
              <w:tabs>
                <w:tab w:val="center" w:pos="284"/>
              </w:tabs>
              <w:overflowPunct w:val="0"/>
              <w:autoSpaceDE w:val="0"/>
              <w:autoSpaceDN w:val="0"/>
              <w:adjustRightInd w:val="0"/>
              <w:spacing w:line="160" w:lineRule="exact"/>
              <w:ind w:left="266" w:hanging="266"/>
              <w:textAlignment w:val="baseline"/>
              <w:rPr>
                <w:sz w:val="22"/>
                <w:szCs w:val="22"/>
                <w:lang w:val="en-GB"/>
              </w:rPr>
            </w:pPr>
          </w:p>
        </w:tc>
      </w:tr>
      <w:tr w:rsidRPr="00536180" w:rsidR="00C46CDD" w:rsidTr="00DB536C" w14:paraId="6B3F067E" w14:textId="77777777">
        <w:tc>
          <w:tcPr>
            <w:tcW w:w="2013" w:type="dxa"/>
            <w:vMerge w:val="restart"/>
          </w:tcPr>
          <w:p w:rsidRPr="00536180" w:rsidR="00C46CDD" w:rsidP="00C46CDD" w:rsidRDefault="00C46CDD" w14:paraId="40267CBF"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 xml:space="preserve">Referenzdokument </w:t>
            </w:r>
          </w:p>
        </w:tc>
        <w:tc>
          <w:tcPr>
            <w:tcW w:w="7451" w:type="dxa"/>
          </w:tcPr>
          <w:p w:rsidRPr="00536180" w:rsidR="00C46CDD" w:rsidP="00C46CDD" w:rsidRDefault="00C46CDD" w14:paraId="1F8C7A5D"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Initiativstellungnahme</w:t>
            </w:r>
          </w:p>
        </w:tc>
      </w:tr>
      <w:tr w:rsidRPr="00C46CDD" w:rsidR="00C46CDD" w:rsidTr="00DB536C" w14:paraId="5ECD6C9E" w14:textId="77777777">
        <w:tc>
          <w:tcPr>
            <w:tcW w:w="2013" w:type="dxa"/>
            <w:vMerge/>
          </w:tcPr>
          <w:p w:rsidRPr="00C46CDD" w:rsidR="00C46CDD" w:rsidP="00C46CDD" w:rsidRDefault="00C46CDD" w14:paraId="6BE8FF44" w14:textId="77777777">
            <w:pPr>
              <w:tabs>
                <w:tab w:val="center" w:pos="284"/>
              </w:tabs>
              <w:overflowPunct w:val="0"/>
              <w:autoSpaceDE w:val="0"/>
              <w:autoSpaceDN w:val="0"/>
              <w:adjustRightInd w:val="0"/>
              <w:ind w:left="266" w:hanging="266"/>
              <w:textAlignment w:val="baseline"/>
              <w:rPr>
                <w:b/>
                <w:lang w:val="en-GB"/>
              </w:rPr>
            </w:pPr>
          </w:p>
        </w:tc>
        <w:tc>
          <w:tcPr>
            <w:tcW w:w="7451" w:type="dxa"/>
          </w:tcPr>
          <w:p w:rsidRPr="00536180" w:rsidR="00C46CDD" w:rsidP="00C46CDD" w:rsidRDefault="00C46CDD" w14:paraId="6495B854"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EESC-2024-02124-00-00-AC</w:t>
            </w:r>
          </w:p>
        </w:tc>
      </w:tr>
    </w:tbl>
    <w:p w:rsidRPr="00C46CDD" w:rsidR="00C46CDD" w:rsidP="00C46CDD" w:rsidRDefault="00C46CDD" w14:paraId="09CCDE24" w14:textId="0D4DAD3C">
      <w:pPr>
        <w:tabs>
          <w:tab w:val="center" w:pos="284"/>
        </w:tabs>
        <w:overflowPunct w:val="0"/>
        <w:autoSpaceDE w:val="0"/>
        <w:autoSpaceDN w:val="0"/>
        <w:adjustRightInd w:val="0"/>
        <w:ind w:left="266" w:hanging="266"/>
        <w:textAlignment w:val="baseline"/>
        <w:rPr>
          <w:lang w:val="en-GB"/>
        </w:rPr>
      </w:pPr>
    </w:p>
    <w:p w:rsidRPr="00C46CDD" w:rsidR="00C46CDD" w:rsidP="00C46CDD" w:rsidRDefault="00C46CDD" w14:paraId="1372BE68"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C46CDD" w:rsidR="00C46CDD" w:rsidP="00C46CDD" w:rsidRDefault="00C46CDD" w14:paraId="33FF5F84" w14:textId="77777777">
      <w:pPr>
        <w:keepNext/>
        <w:keepLines/>
        <w:tabs>
          <w:tab w:val="center" w:pos="284"/>
        </w:tabs>
        <w:overflowPunct w:val="0"/>
        <w:autoSpaceDE w:val="0"/>
        <w:autoSpaceDN w:val="0"/>
        <w:adjustRightInd w:val="0"/>
        <w:ind w:left="266" w:hanging="266"/>
        <w:textAlignment w:val="baseline"/>
        <w:rPr>
          <w:b/>
          <w:lang w:val="en-GB"/>
        </w:rPr>
      </w:pPr>
    </w:p>
    <w:p w:rsidRPr="00C46CDD" w:rsidR="00C46CDD" w:rsidP="00C46CDD" w:rsidRDefault="00C46CDD" w14:paraId="67002C95" w14:textId="77777777">
      <w:pPr>
        <w:overflowPunct w:val="0"/>
        <w:autoSpaceDE w:val="0"/>
        <w:autoSpaceDN w:val="0"/>
        <w:adjustRightInd w:val="0"/>
        <w:textAlignment w:val="baseline"/>
        <w:rPr>
          <w:bCs/>
          <w:iCs/>
        </w:rPr>
      </w:pPr>
      <w:r>
        <w:t>Der EWSA</w:t>
      </w:r>
    </w:p>
    <w:p w:rsidRPr="00C46CDD" w:rsidR="00C46CDD" w:rsidP="00C46CDD" w:rsidRDefault="00C46CDD" w14:paraId="0CBB43F9" w14:textId="77777777">
      <w:pPr>
        <w:overflowPunct w:val="0"/>
        <w:autoSpaceDE w:val="0"/>
        <w:autoSpaceDN w:val="0"/>
        <w:adjustRightInd w:val="0"/>
        <w:textAlignment w:val="baseline"/>
        <w:rPr>
          <w:bCs/>
          <w:iCs/>
          <w:lang w:val="en-GB"/>
        </w:rPr>
      </w:pPr>
    </w:p>
    <w:p w:rsidRPr="00C46CDD" w:rsidR="00C46CDD" w:rsidP="00536180" w:rsidRDefault="00C46CDD" w14:paraId="072B53E5" w14:textId="77777777">
      <w:pPr>
        <w:numPr>
          <w:ilvl w:val="0"/>
          <w:numId w:val="37"/>
        </w:numPr>
        <w:overflowPunct w:val="0"/>
        <w:autoSpaceDE w:val="0"/>
        <w:autoSpaceDN w:val="0"/>
        <w:adjustRightInd w:val="0"/>
        <w:spacing w:after="200" w:line="276" w:lineRule="auto"/>
        <w:ind w:left="635" w:hanging="567"/>
        <w:contextualSpacing/>
        <w:textAlignment w:val="baseline"/>
      </w:pPr>
      <w:r>
        <w:t xml:space="preserve">fordert eine europäische Leitinitiative für Gesundheit, die auf den Grundsätzen der Universalität, Qualität, Zugänglichkeit, Solidarität und </w:t>
      </w:r>
      <w:proofErr w:type="spellStart"/>
      <w:r>
        <w:t>Inklusivität</w:t>
      </w:r>
      <w:proofErr w:type="spellEnd"/>
      <w:r>
        <w:t xml:space="preserve"> beruht; </w:t>
      </w:r>
    </w:p>
    <w:p w:rsidRPr="00C46CDD" w:rsidR="00C46CDD" w:rsidP="00536180" w:rsidRDefault="00C46CDD" w14:paraId="243E20A8" w14:textId="77777777">
      <w:pPr>
        <w:numPr>
          <w:ilvl w:val="0"/>
          <w:numId w:val="37"/>
        </w:numPr>
        <w:overflowPunct w:val="0"/>
        <w:autoSpaceDE w:val="0"/>
        <w:autoSpaceDN w:val="0"/>
        <w:adjustRightInd w:val="0"/>
        <w:spacing w:after="200" w:line="276" w:lineRule="auto"/>
        <w:ind w:left="635" w:hanging="567"/>
        <w:contextualSpacing/>
        <w:textAlignment w:val="baseline"/>
        <w:rPr>
          <w:szCs w:val="20"/>
        </w:rPr>
      </w:pPr>
      <w:r>
        <w:t>hat die strategischen Säulen dieses Fahrplans definiert, die folgende Maßnahmen umfassen:</w:t>
      </w:r>
    </w:p>
    <w:p w:rsidRPr="00C46CDD" w:rsidR="00C46CDD" w:rsidP="00536180" w:rsidRDefault="00C46CDD" w14:paraId="4A084735" w14:textId="77777777">
      <w:pPr>
        <w:numPr>
          <w:ilvl w:val="2"/>
          <w:numId w:val="11"/>
        </w:numPr>
        <w:overflowPunct w:val="0"/>
        <w:autoSpaceDE w:val="0"/>
        <w:autoSpaceDN w:val="0"/>
        <w:adjustRightInd w:val="0"/>
        <w:ind w:left="918" w:hanging="283"/>
        <w:textAlignment w:val="baseline"/>
        <w:outlineLvl w:val="2"/>
        <w:rPr>
          <w:szCs w:val="20"/>
        </w:rPr>
      </w:pPr>
      <w:r>
        <w:t xml:space="preserve">Schaffung einer europäischen Pflege- und Gesundheitsgarantie, </w:t>
      </w:r>
    </w:p>
    <w:p w:rsidRPr="00C46CDD" w:rsidR="00C46CDD" w:rsidP="00536180" w:rsidRDefault="00C46CDD" w14:paraId="3AA0A049" w14:textId="77777777">
      <w:pPr>
        <w:numPr>
          <w:ilvl w:val="2"/>
          <w:numId w:val="11"/>
        </w:numPr>
        <w:overflowPunct w:val="0"/>
        <w:autoSpaceDE w:val="0"/>
        <w:autoSpaceDN w:val="0"/>
        <w:adjustRightInd w:val="0"/>
        <w:ind w:left="918" w:hanging="283"/>
        <w:textAlignment w:val="baseline"/>
        <w:outlineLvl w:val="2"/>
        <w:rPr>
          <w:szCs w:val="20"/>
        </w:rPr>
      </w:pPr>
      <w:r>
        <w:t>Umsetzung des integrierten Konzepts „Eine Gesundheit“,</w:t>
      </w:r>
    </w:p>
    <w:p w:rsidRPr="00C46CDD" w:rsidR="00C46CDD" w:rsidP="00536180" w:rsidRDefault="00C46CDD" w14:paraId="3F31D6CD" w14:textId="77777777">
      <w:pPr>
        <w:numPr>
          <w:ilvl w:val="2"/>
          <w:numId w:val="11"/>
        </w:numPr>
        <w:overflowPunct w:val="0"/>
        <w:autoSpaceDE w:val="0"/>
        <w:autoSpaceDN w:val="0"/>
        <w:adjustRightInd w:val="0"/>
        <w:ind w:left="918" w:hanging="283"/>
        <w:textAlignment w:val="baseline"/>
        <w:outlineLvl w:val="2"/>
        <w:rPr>
          <w:szCs w:val="20"/>
        </w:rPr>
      </w:pPr>
      <w:r>
        <w:t>Nutzung der Möglichkeiten der Digitalisierung und der künstlichen Intelligenz (KI) zur Modernisierung der Gesundheitssysteme,</w:t>
      </w:r>
    </w:p>
    <w:p w:rsidRPr="00C46CDD" w:rsidR="00C46CDD" w:rsidP="00536180" w:rsidRDefault="00C46CDD" w14:paraId="760A5ED8" w14:textId="77777777">
      <w:pPr>
        <w:numPr>
          <w:ilvl w:val="2"/>
          <w:numId w:val="11"/>
        </w:numPr>
        <w:overflowPunct w:val="0"/>
        <w:autoSpaceDE w:val="0"/>
        <w:autoSpaceDN w:val="0"/>
        <w:adjustRightInd w:val="0"/>
        <w:ind w:left="918" w:hanging="283"/>
        <w:textAlignment w:val="baseline"/>
        <w:outlineLvl w:val="2"/>
        <w:rPr>
          <w:szCs w:val="20"/>
        </w:rPr>
      </w:pPr>
      <w:r>
        <w:t>Aufrechterhaltung europäischer Finanzinstrumente zur Unterstützung nationaler Gesundheitsinitiativen und -finanzierungen,</w:t>
      </w:r>
    </w:p>
    <w:p w:rsidRPr="00C46CDD" w:rsidR="00C46CDD" w:rsidP="00536180" w:rsidRDefault="00C46CDD" w14:paraId="06E585A6" w14:textId="77777777">
      <w:pPr>
        <w:numPr>
          <w:ilvl w:val="2"/>
          <w:numId w:val="11"/>
        </w:numPr>
        <w:overflowPunct w:val="0"/>
        <w:autoSpaceDE w:val="0"/>
        <w:autoSpaceDN w:val="0"/>
        <w:adjustRightInd w:val="0"/>
        <w:ind w:left="918" w:hanging="283"/>
        <w:textAlignment w:val="baseline"/>
        <w:outlineLvl w:val="2"/>
        <w:rPr>
          <w:szCs w:val="20"/>
        </w:rPr>
      </w:pPr>
      <w:r>
        <w:t xml:space="preserve">Vorrang für Sozial- und Gesundheitsinvestitionen, </w:t>
      </w:r>
    </w:p>
    <w:p w:rsidRPr="00C46CDD" w:rsidR="00C46CDD" w:rsidP="00536180" w:rsidRDefault="00C46CDD" w14:paraId="2E44EA7A" w14:textId="77777777">
      <w:pPr>
        <w:numPr>
          <w:ilvl w:val="2"/>
          <w:numId w:val="11"/>
        </w:numPr>
        <w:overflowPunct w:val="0"/>
        <w:autoSpaceDE w:val="0"/>
        <w:autoSpaceDN w:val="0"/>
        <w:adjustRightInd w:val="0"/>
        <w:ind w:left="918" w:hanging="283"/>
        <w:textAlignment w:val="baseline"/>
        <w:outlineLvl w:val="2"/>
        <w:rPr>
          <w:szCs w:val="20"/>
        </w:rPr>
      </w:pPr>
      <w:r>
        <w:t xml:space="preserve">Förderung eines integrierten Anzeigers für sozioökonomische, gesundheitsbezogene und ökologische Reformen im Hinblick auf eine Strategie für „mehr als Wachstum“, </w:t>
      </w:r>
    </w:p>
    <w:p w:rsidRPr="00C46CDD" w:rsidR="00C46CDD" w:rsidP="00536180" w:rsidRDefault="00C46CDD" w14:paraId="24E41480" w14:textId="77777777">
      <w:pPr>
        <w:numPr>
          <w:ilvl w:val="2"/>
          <w:numId w:val="11"/>
        </w:numPr>
        <w:overflowPunct w:val="0"/>
        <w:autoSpaceDE w:val="0"/>
        <w:autoSpaceDN w:val="0"/>
        <w:adjustRightInd w:val="0"/>
        <w:ind w:left="918" w:hanging="283"/>
        <w:textAlignment w:val="baseline"/>
        <w:outlineLvl w:val="2"/>
        <w:rPr>
          <w:szCs w:val="20"/>
        </w:rPr>
      </w:pPr>
      <w:r>
        <w:t xml:space="preserve">Erarbeitung eines Plans für gezielte Investitionen zur Stärkung der Kapazitäten und Aufwertung der Pflegeberufe sowie Wertschätzung der Fachkräfte im Gesundheitswesen, </w:t>
      </w:r>
    </w:p>
    <w:p w:rsidRPr="00C46CDD" w:rsidR="00C46CDD" w:rsidP="00536180" w:rsidRDefault="00C46CDD" w14:paraId="5CF34598" w14:textId="77777777">
      <w:pPr>
        <w:numPr>
          <w:ilvl w:val="2"/>
          <w:numId w:val="11"/>
        </w:numPr>
        <w:overflowPunct w:val="0"/>
        <w:autoSpaceDE w:val="0"/>
        <w:autoSpaceDN w:val="0"/>
        <w:adjustRightInd w:val="0"/>
        <w:ind w:left="918" w:hanging="283"/>
        <w:textAlignment w:val="baseline"/>
        <w:outlineLvl w:val="2"/>
        <w:rPr>
          <w:szCs w:val="20"/>
        </w:rPr>
      </w:pPr>
      <w:r>
        <w:t xml:space="preserve">konkrete Zusammenarbeit zwischen der EU und der WHO Europa, um Pflege- und Betreuungspersonal, einschließlich der Beschäftigten in der Krankenpflege, zu halten, anzuziehen und zu begleiten, </w:t>
      </w:r>
    </w:p>
    <w:p w:rsidRPr="00C46CDD" w:rsidR="00C46CDD" w:rsidP="00536180" w:rsidRDefault="00C46CDD" w14:paraId="7BC1C2EA" w14:textId="77777777">
      <w:pPr>
        <w:numPr>
          <w:ilvl w:val="2"/>
          <w:numId w:val="11"/>
        </w:numPr>
        <w:overflowPunct w:val="0"/>
        <w:autoSpaceDE w:val="0"/>
        <w:autoSpaceDN w:val="0"/>
        <w:adjustRightInd w:val="0"/>
        <w:ind w:left="918" w:hanging="283"/>
        <w:textAlignment w:val="baseline"/>
        <w:outlineLvl w:val="2"/>
        <w:rPr>
          <w:szCs w:val="20"/>
        </w:rPr>
      </w:pPr>
      <w:r>
        <w:t>Verbesserung des Gesundheitsschutzes und der Sicherheit am Arbeitsplatz,</w:t>
      </w:r>
    </w:p>
    <w:p w:rsidRPr="00C46CDD" w:rsidR="00C46CDD" w:rsidP="00536180" w:rsidRDefault="00C46CDD" w14:paraId="535F7E06" w14:textId="77777777">
      <w:pPr>
        <w:numPr>
          <w:ilvl w:val="2"/>
          <w:numId w:val="11"/>
        </w:numPr>
        <w:overflowPunct w:val="0"/>
        <w:autoSpaceDE w:val="0"/>
        <w:autoSpaceDN w:val="0"/>
        <w:adjustRightInd w:val="0"/>
        <w:ind w:left="918" w:hanging="283"/>
        <w:textAlignment w:val="baseline"/>
        <w:outlineLvl w:val="2"/>
        <w:rPr>
          <w:szCs w:val="20"/>
        </w:rPr>
      </w:pPr>
      <w:r>
        <w:t>Umsetzung sowohl eines EU-Aktionsplans als auch nationaler Pläne für seltene Krankheiten, Aufnahme der Gesundheitsdiplomatie als Instrument der „Soft Power“</w:t>
      </w:r>
      <w:r w:rsidRPr="00C46CDD">
        <w:rPr>
          <w:szCs w:val="20"/>
          <w:lang w:val="en-GB"/>
        </w:rPr>
        <w:footnoteReference w:id="1"/>
      </w:r>
      <w:r>
        <w:t xml:space="preserve"> in die Außenpolitik der EU; </w:t>
      </w:r>
    </w:p>
    <w:p w:rsidRPr="00C46CDD" w:rsidR="00C46CDD" w:rsidP="00536180" w:rsidRDefault="00C46CDD" w14:paraId="11727F21" w14:textId="77777777">
      <w:pPr>
        <w:numPr>
          <w:ilvl w:val="0"/>
          <w:numId w:val="38"/>
        </w:numPr>
        <w:overflowPunct w:val="0"/>
        <w:autoSpaceDE w:val="0"/>
        <w:autoSpaceDN w:val="0"/>
        <w:adjustRightInd w:val="0"/>
        <w:spacing w:after="200" w:line="276" w:lineRule="auto"/>
        <w:ind w:left="635" w:hanging="567"/>
        <w:contextualSpacing/>
        <w:textAlignment w:val="baseline"/>
        <w:rPr>
          <w:szCs w:val="20"/>
        </w:rPr>
      </w:pPr>
      <w:r>
        <w:t>fordert eine stärker institutionalisierte Einbeziehung der Zivilgesellschaft in die Festlegung, Bewertung und Überwachung der gesundheitspolitischen Prioritäten.</w:t>
      </w:r>
    </w:p>
    <w:p w:rsidRPr="00C46CDD" w:rsidR="00C46CDD" w:rsidP="00C46CDD" w:rsidRDefault="00C46CDD" w14:paraId="7083CB62" w14:textId="77777777">
      <w:pPr>
        <w:widowControl w:val="0"/>
        <w:overflowPunct w:val="0"/>
        <w:autoSpaceDE w:val="0"/>
        <w:autoSpaceDN w:val="0"/>
        <w:adjustRightInd w:val="0"/>
        <w:ind w:left="709"/>
        <w:textAlignment w:val="baseline"/>
        <w:rPr>
          <w:szCs w:val="20"/>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07"/>
      </w:tblGrid>
      <w:tr w:rsidRPr="00536180" w:rsidR="00594F3A" w:rsidTr="000F216A" w14:paraId="64BA1221" w14:textId="77777777">
        <w:tc>
          <w:tcPr>
            <w:tcW w:w="1985" w:type="dxa"/>
          </w:tcPr>
          <w:p w:rsidRPr="00536180" w:rsidR="00594F3A" w:rsidP="00C46CDD" w:rsidRDefault="00594F3A" w14:paraId="0B1E69DD" w14:textId="77777777">
            <w:pPr>
              <w:overflowPunct w:val="0"/>
              <w:autoSpaceDE w:val="0"/>
              <w:autoSpaceDN w:val="0"/>
              <w:adjustRightInd w:val="0"/>
              <w:spacing w:line="240" w:lineRule="auto"/>
              <w:textAlignment w:val="baseline"/>
              <w:rPr>
                <w:i/>
                <w:sz w:val="22"/>
                <w:szCs w:val="22"/>
              </w:rPr>
            </w:pPr>
            <w:r w:rsidRPr="00536180">
              <w:rPr>
                <w:b/>
                <w:i/>
                <w:sz w:val="22"/>
                <w:szCs w:val="22"/>
              </w:rPr>
              <w:t>Kontakt</w:t>
            </w:r>
          </w:p>
        </w:tc>
        <w:tc>
          <w:tcPr>
            <w:tcW w:w="4507" w:type="dxa"/>
          </w:tcPr>
          <w:p w:rsidRPr="00536180" w:rsidR="00594F3A" w:rsidP="00C46CDD" w:rsidRDefault="00594F3A" w14:paraId="4C1535B4" w14:textId="0C2CBA0F">
            <w:pPr>
              <w:overflowPunct w:val="0"/>
              <w:autoSpaceDE w:val="0"/>
              <w:autoSpaceDN w:val="0"/>
              <w:adjustRightInd w:val="0"/>
              <w:spacing w:line="240" w:lineRule="auto"/>
              <w:textAlignment w:val="baseline"/>
              <w:rPr>
                <w:i/>
                <w:sz w:val="22"/>
                <w:szCs w:val="22"/>
              </w:rPr>
            </w:pPr>
            <w:r w:rsidRPr="00536180">
              <w:rPr>
                <w:i/>
                <w:sz w:val="22"/>
                <w:szCs w:val="22"/>
              </w:rPr>
              <w:t xml:space="preserve">Valeria </w:t>
            </w:r>
            <w:proofErr w:type="spellStart"/>
            <w:r w:rsidRPr="00536180">
              <w:rPr>
                <w:i/>
                <w:sz w:val="22"/>
                <w:szCs w:val="22"/>
              </w:rPr>
              <w:t>Atzori</w:t>
            </w:r>
            <w:proofErr w:type="spellEnd"/>
          </w:p>
        </w:tc>
      </w:tr>
      <w:tr w:rsidRPr="00536180" w:rsidR="00594F3A" w:rsidTr="000F216A" w14:paraId="2DAB0189" w14:textId="77777777">
        <w:tc>
          <w:tcPr>
            <w:tcW w:w="1985" w:type="dxa"/>
          </w:tcPr>
          <w:p w:rsidRPr="00536180" w:rsidR="00594F3A" w:rsidP="00C46CDD" w:rsidRDefault="00594F3A" w14:paraId="515670BA" w14:textId="77777777">
            <w:pPr>
              <w:overflowPunct w:val="0"/>
              <w:autoSpaceDE w:val="0"/>
              <w:autoSpaceDN w:val="0"/>
              <w:adjustRightInd w:val="0"/>
              <w:spacing w:line="240" w:lineRule="auto"/>
              <w:textAlignment w:val="baseline"/>
              <w:rPr>
                <w:i/>
                <w:sz w:val="22"/>
                <w:szCs w:val="22"/>
              </w:rPr>
            </w:pPr>
            <w:r w:rsidRPr="00536180">
              <w:rPr>
                <w:i/>
                <w:sz w:val="22"/>
                <w:szCs w:val="22"/>
              </w:rPr>
              <w:t>Tel.:</w:t>
            </w:r>
          </w:p>
        </w:tc>
        <w:tc>
          <w:tcPr>
            <w:tcW w:w="4507" w:type="dxa"/>
          </w:tcPr>
          <w:p w:rsidRPr="00536180" w:rsidR="00594F3A" w:rsidP="00C46CDD" w:rsidRDefault="00594F3A" w14:paraId="41E5F313" w14:textId="77777777">
            <w:pPr>
              <w:overflowPunct w:val="0"/>
              <w:autoSpaceDE w:val="0"/>
              <w:autoSpaceDN w:val="0"/>
              <w:adjustRightInd w:val="0"/>
              <w:spacing w:line="240" w:lineRule="auto"/>
              <w:textAlignment w:val="baseline"/>
              <w:rPr>
                <w:i/>
                <w:sz w:val="22"/>
                <w:szCs w:val="22"/>
              </w:rPr>
            </w:pPr>
            <w:r w:rsidRPr="00536180">
              <w:rPr>
                <w:i/>
                <w:sz w:val="22"/>
                <w:szCs w:val="22"/>
              </w:rPr>
              <w:t>+32 25468774</w:t>
            </w:r>
          </w:p>
        </w:tc>
      </w:tr>
      <w:tr w:rsidRPr="00536180" w:rsidR="00594F3A" w:rsidTr="000F216A" w14:paraId="4B7D2331" w14:textId="77777777">
        <w:tc>
          <w:tcPr>
            <w:tcW w:w="1985" w:type="dxa"/>
          </w:tcPr>
          <w:p w:rsidRPr="00536180" w:rsidR="00594F3A" w:rsidP="00C46CDD" w:rsidRDefault="00594F3A" w14:paraId="1466B240" w14:textId="1471B953">
            <w:pPr>
              <w:overflowPunct w:val="0"/>
              <w:autoSpaceDE w:val="0"/>
              <w:autoSpaceDN w:val="0"/>
              <w:adjustRightInd w:val="0"/>
              <w:spacing w:line="240" w:lineRule="auto"/>
              <w:textAlignment w:val="baseline"/>
              <w:rPr>
                <w:i/>
                <w:sz w:val="22"/>
                <w:szCs w:val="22"/>
              </w:rPr>
            </w:pPr>
            <w:r w:rsidRPr="00536180">
              <w:rPr>
                <w:i/>
                <w:sz w:val="22"/>
                <w:szCs w:val="22"/>
              </w:rPr>
              <w:t>E-Mail:</w:t>
            </w:r>
          </w:p>
        </w:tc>
        <w:tc>
          <w:tcPr>
            <w:tcW w:w="4507" w:type="dxa"/>
          </w:tcPr>
          <w:p w:rsidRPr="00536180" w:rsidR="00594F3A" w:rsidP="00C46CDD" w:rsidRDefault="00486D53" w14:paraId="643B2166" w14:textId="45AD95E8">
            <w:pPr>
              <w:overflowPunct w:val="0"/>
              <w:autoSpaceDE w:val="0"/>
              <w:autoSpaceDN w:val="0"/>
              <w:adjustRightInd w:val="0"/>
              <w:spacing w:line="240" w:lineRule="auto"/>
              <w:textAlignment w:val="baseline"/>
              <w:rPr>
                <w:i/>
                <w:iCs/>
                <w:sz w:val="22"/>
                <w:szCs w:val="22"/>
              </w:rPr>
            </w:pPr>
            <w:hyperlink w:history="1" r:id="rId34">
              <w:r w:rsidRPr="00536180" w:rsidR="00594F3A">
                <w:rPr>
                  <w:i/>
                  <w:color w:val="0000FF"/>
                  <w:sz w:val="22"/>
                  <w:szCs w:val="22"/>
                  <w:u w:val="single"/>
                </w:rPr>
                <w:t>Valeria.Atzori@eesc.europa.eu</w:t>
              </w:r>
            </w:hyperlink>
          </w:p>
        </w:tc>
      </w:tr>
    </w:tbl>
    <w:p w:rsidR="00C46CDD" w:rsidP="004D7AC0" w:rsidRDefault="00C46CDD" w14:paraId="2D851726" w14:textId="77777777">
      <w:pPr>
        <w:spacing w:after="160" w:line="259" w:lineRule="auto"/>
        <w:jc w:val="left"/>
      </w:pPr>
    </w:p>
    <w:p w:rsidR="00C46CDD" w:rsidRDefault="00C46CDD" w14:paraId="58744B54" w14:textId="77777777">
      <w:pPr>
        <w:spacing w:after="160" w:line="259" w:lineRule="auto"/>
        <w:jc w:val="left"/>
      </w:pPr>
      <w:r>
        <w:br w:type="page"/>
      </w:r>
    </w:p>
    <w:p w:rsidRPr="00450A40" w:rsidR="00450A40" w:rsidP="00450A40" w:rsidRDefault="00486D53" w14:paraId="758FA460" w14:textId="69DF6C42">
      <w:pPr>
        <w:widowControl w:val="0"/>
        <w:numPr>
          <w:ilvl w:val="0"/>
          <w:numId w:val="8"/>
        </w:numPr>
        <w:overflowPunct w:val="0"/>
        <w:autoSpaceDE w:val="0"/>
        <w:autoSpaceDN w:val="0"/>
        <w:adjustRightInd w:val="0"/>
        <w:ind w:hanging="567"/>
        <w:textAlignment w:val="baseline"/>
        <w:rPr>
          <w:sz w:val="24"/>
          <w:szCs w:val="24"/>
        </w:rPr>
      </w:pPr>
      <w:hyperlink w:history="1" r:id="rId35">
        <w:r w:rsidR="00276FC9">
          <w:rPr>
            <w:b/>
            <w:i/>
            <w:color w:val="0000FF"/>
            <w:sz w:val="28"/>
            <w:u w:val="single"/>
          </w:rPr>
          <w:t>Niemanden zurücklassen – Verpflichtung der EU zur Bekämpfung seltener Krankheiten</w:t>
        </w:r>
      </w:hyperlink>
    </w:p>
    <w:p w:rsidRPr="00450A40" w:rsidR="00450A40" w:rsidP="00450A40" w:rsidRDefault="00450A40" w14:paraId="22A2005F" w14:textId="77777777">
      <w:pPr>
        <w:tabs>
          <w:tab w:val="center" w:pos="284"/>
        </w:tabs>
        <w:overflowPunct w:val="0"/>
        <w:autoSpaceDE w:val="0"/>
        <w:autoSpaceDN w:val="0"/>
        <w:adjustRightInd w:val="0"/>
        <w:ind w:left="266" w:hanging="266"/>
        <w:textAlignment w:val="baseline"/>
        <w:rPr>
          <w:b/>
          <w:lang w:val="en-GB"/>
        </w:rPr>
      </w:pPr>
    </w:p>
    <w:tbl>
      <w:tblPr>
        <w:tblStyle w:val="TableGrid2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3"/>
        <w:gridCol w:w="7451"/>
      </w:tblGrid>
      <w:tr w:rsidRPr="00536180" w:rsidR="00450A40" w:rsidTr="00DB536C" w14:paraId="2917F207" w14:textId="77777777">
        <w:tc>
          <w:tcPr>
            <w:tcW w:w="2013" w:type="dxa"/>
          </w:tcPr>
          <w:p w:rsidRPr="00536180" w:rsidR="00450A40" w:rsidP="00450A40" w:rsidRDefault="00450A40" w14:paraId="3BF4FBFA"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Berichterstatterin</w:t>
            </w:r>
          </w:p>
        </w:tc>
        <w:tc>
          <w:tcPr>
            <w:tcW w:w="7451" w:type="dxa"/>
          </w:tcPr>
          <w:p w:rsidRPr="00536180" w:rsidR="00450A40" w:rsidP="00450A40" w:rsidRDefault="00450A40" w14:paraId="407379E4" w14:textId="7BCF5FA2">
            <w:pPr>
              <w:tabs>
                <w:tab w:val="center" w:pos="284"/>
              </w:tabs>
              <w:overflowPunct w:val="0"/>
              <w:autoSpaceDE w:val="0"/>
              <w:autoSpaceDN w:val="0"/>
              <w:adjustRightInd w:val="0"/>
              <w:ind w:left="266" w:hanging="266"/>
              <w:textAlignment w:val="baseline"/>
              <w:rPr>
                <w:sz w:val="22"/>
                <w:szCs w:val="22"/>
              </w:rPr>
            </w:pPr>
            <w:proofErr w:type="spellStart"/>
            <w:r w:rsidRPr="00536180">
              <w:rPr>
                <w:sz w:val="22"/>
                <w:szCs w:val="22"/>
              </w:rPr>
              <w:t>Ágnes</w:t>
            </w:r>
            <w:proofErr w:type="spellEnd"/>
            <w:r w:rsidRPr="00536180">
              <w:rPr>
                <w:sz w:val="22"/>
                <w:szCs w:val="22"/>
              </w:rPr>
              <w:t xml:space="preserve"> CSER (Gruppe Organisationen der Zivilgesellschaft – HU)</w:t>
            </w:r>
          </w:p>
        </w:tc>
      </w:tr>
      <w:tr w:rsidRPr="00536180" w:rsidR="00450A40" w:rsidTr="00DB536C" w14:paraId="7A81A249" w14:textId="77777777">
        <w:tc>
          <w:tcPr>
            <w:tcW w:w="9464" w:type="dxa"/>
            <w:gridSpan w:val="2"/>
          </w:tcPr>
          <w:p w:rsidRPr="00536180" w:rsidR="00450A40" w:rsidP="00450A40" w:rsidRDefault="00450A40" w14:paraId="16ACB3FD" w14:textId="77777777">
            <w:pPr>
              <w:tabs>
                <w:tab w:val="center" w:pos="284"/>
              </w:tabs>
              <w:overflowPunct w:val="0"/>
              <w:autoSpaceDE w:val="0"/>
              <w:autoSpaceDN w:val="0"/>
              <w:adjustRightInd w:val="0"/>
              <w:spacing w:line="160" w:lineRule="exact"/>
              <w:ind w:left="266" w:hanging="266"/>
              <w:textAlignment w:val="baseline"/>
              <w:rPr>
                <w:sz w:val="22"/>
                <w:szCs w:val="22"/>
                <w:lang w:val="en-GB"/>
              </w:rPr>
            </w:pPr>
          </w:p>
        </w:tc>
      </w:tr>
      <w:tr w:rsidRPr="00536180" w:rsidR="00450A40" w:rsidTr="00DB536C" w14:paraId="4868C399" w14:textId="77777777">
        <w:tc>
          <w:tcPr>
            <w:tcW w:w="2013" w:type="dxa"/>
            <w:vMerge w:val="restart"/>
          </w:tcPr>
          <w:p w:rsidRPr="00536180" w:rsidR="00450A40" w:rsidP="00450A40" w:rsidRDefault="00450A40" w14:paraId="5A3BBF42"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 xml:space="preserve">Referenzdokument </w:t>
            </w:r>
          </w:p>
        </w:tc>
        <w:tc>
          <w:tcPr>
            <w:tcW w:w="7451" w:type="dxa"/>
          </w:tcPr>
          <w:p w:rsidRPr="00536180" w:rsidR="00450A40" w:rsidP="00450A40" w:rsidRDefault="00450A40" w14:paraId="412520D1"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Initiativstellungnahme</w:t>
            </w:r>
          </w:p>
        </w:tc>
      </w:tr>
      <w:tr w:rsidRPr="00536180" w:rsidR="00450A40" w:rsidTr="00DB536C" w14:paraId="5A783053" w14:textId="77777777">
        <w:tc>
          <w:tcPr>
            <w:tcW w:w="2013" w:type="dxa"/>
            <w:vMerge/>
          </w:tcPr>
          <w:p w:rsidRPr="00536180" w:rsidR="00450A40" w:rsidP="00450A40" w:rsidRDefault="00450A40" w14:paraId="76249DF8" w14:textId="77777777">
            <w:pPr>
              <w:tabs>
                <w:tab w:val="center" w:pos="284"/>
              </w:tabs>
              <w:overflowPunct w:val="0"/>
              <w:autoSpaceDE w:val="0"/>
              <w:autoSpaceDN w:val="0"/>
              <w:adjustRightInd w:val="0"/>
              <w:ind w:left="266" w:hanging="266"/>
              <w:textAlignment w:val="baseline"/>
              <w:rPr>
                <w:b/>
                <w:sz w:val="22"/>
                <w:szCs w:val="22"/>
                <w:lang w:val="en-GB"/>
              </w:rPr>
            </w:pPr>
          </w:p>
        </w:tc>
        <w:tc>
          <w:tcPr>
            <w:tcW w:w="7451" w:type="dxa"/>
          </w:tcPr>
          <w:p w:rsidRPr="00536180" w:rsidR="00450A40" w:rsidP="00450A40" w:rsidRDefault="00450A40" w14:paraId="75CD27AE"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EESC-2024-02112-00-00-AC</w:t>
            </w:r>
          </w:p>
        </w:tc>
      </w:tr>
    </w:tbl>
    <w:p w:rsidRPr="00450A40" w:rsidR="00450A40" w:rsidP="00450A40" w:rsidRDefault="00450A40" w14:paraId="4FE2D291" w14:textId="77777777">
      <w:pPr>
        <w:tabs>
          <w:tab w:val="center" w:pos="284"/>
        </w:tabs>
        <w:overflowPunct w:val="0"/>
        <w:autoSpaceDE w:val="0"/>
        <w:autoSpaceDN w:val="0"/>
        <w:adjustRightInd w:val="0"/>
        <w:ind w:left="266" w:hanging="266"/>
        <w:textAlignment w:val="baseline"/>
        <w:rPr>
          <w:lang w:val="en-GB"/>
        </w:rPr>
      </w:pPr>
    </w:p>
    <w:p w:rsidRPr="00450A40" w:rsidR="00450A40" w:rsidP="00450A40" w:rsidRDefault="00450A40" w14:paraId="4BB4EC87"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450A40" w:rsidR="00450A40" w:rsidP="00450A40" w:rsidRDefault="00450A40" w14:paraId="76E2C770" w14:textId="77777777">
      <w:pPr>
        <w:keepNext/>
        <w:keepLines/>
        <w:tabs>
          <w:tab w:val="center" w:pos="284"/>
        </w:tabs>
        <w:overflowPunct w:val="0"/>
        <w:autoSpaceDE w:val="0"/>
        <w:autoSpaceDN w:val="0"/>
        <w:adjustRightInd w:val="0"/>
        <w:ind w:left="266" w:hanging="266"/>
        <w:textAlignment w:val="baseline"/>
        <w:rPr>
          <w:b/>
          <w:lang w:val="en-GB"/>
        </w:rPr>
      </w:pPr>
    </w:p>
    <w:p w:rsidRPr="00450A40" w:rsidR="00450A40" w:rsidP="00450A40" w:rsidRDefault="00450A40" w14:paraId="750A1011" w14:textId="77777777">
      <w:pPr>
        <w:overflowPunct w:val="0"/>
        <w:autoSpaceDE w:val="0"/>
        <w:autoSpaceDN w:val="0"/>
        <w:adjustRightInd w:val="0"/>
        <w:textAlignment w:val="baseline"/>
        <w:rPr>
          <w:bCs/>
          <w:iCs/>
        </w:rPr>
      </w:pPr>
      <w:r>
        <w:t xml:space="preserve">Der EWSA </w:t>
      </w:r>
    </w:p>
    <w:p w:rsidRPr="00450A40" w:rsidR="00450A40" w:rsidP="00450A40" w:rsidRDefault="00450A40" w14:paraId="1E174A19" w14:textId="77777777">
      <w:pPr>
        <w:overflowPunct w:val="0"/>
        <w:autoSpaceDE w:val="0"/>
        <w:autoSpaceDN w:val="0"/>
        <w:adjustRightInd w:val="0"/>
        <w:textAlignment w:val="baseline"/>
        <w:rPr>
          <w:bCs/>
          <w:iCs/>
          <w:lang w:val="en-GB"/>
        </w:rPr>
      </w:pPr>
    </w:p>
    <w:p w:rsidRPr="00450A40" w:rsidR="00450A40" w:rsidP="00536180" w:rsidRDefault="00450A40" w14:paraId="7E826689" w14:textId="77777777">
      <w:pPr>
        <w:numPr>
          <w:ilvl w:val="0"/>
          <w:numId w:val="39"/>
        </w:numPr>
        <w:overflowPunct w:val="0"/>
        <w:autoSpaceDE w:val="0"/>
        <w:autoSpaceDN w:val="0"/>
        <w:adjustRightInd w:val="0"/>
        <w:spacing w:line="276" w:lineRule="auto"/>
        <w:ind w:left="567" w:hanging="567"/>
        <w:textAlignment w:val="baseline"/>
        <w:outlineLvl w:val="1"/>
        <w:rPr>
          <w:szCs w:val="20"/>
        </w:rPr>
      </w:pPr>
      <w:r>
        <w:t>fordert die Kommission auf,</w:t>
      </w:r>
    </w:p>
    <w:p w:rsidRPr="00450A40" w:rsidR="00450A40" w:rsidP="00536180" w:rsidRDefault="00450A40" w14:paraId="6BA4A495" w14:textId="77777777">
      <w:pPr>
        <w:numPr>
          <w:ilvl w:val="0"/>
          <w:numId w:val="14"/>
        </w:numPr>
        <w:tabs>
          <w:tab w:val="left" w:pos="1185"/>
        </w:tabs>
        <w:overflowPunct w:val="0"/>
        <w:autoSpaceDE w:val="0"/>
        <w:autoSpaceDN w:val="0"/>
        <w:adjustRightInd w:val="0"/>
        <w:ind w:left="850" w:hanging="283"/>
        <w:contextualSpacing/>
        <w:textAlignment w:val="baseline"/>
        <w:outlineLvl w:val="1"/>
      </w:pPr>
      <w:r>
        <w:t>einen umfassenden europäischen Aktionsplan zu seltenen Krankheiten mit SMART-Zielen aufzusetzen, die bis 2030 erreicht werden können, damit Patienten mit seltenen Krankheiten innerhalb eines Jahres eine Diagnose erhalten,</w:t>
      </w:r>
    </w:p>
    <w:p w:rsidRPr="00450A40" w:rsidR="00450A40" w:rsidP="00536180" w:rsidRDefault="00450A40" w14:paraId="264ACA10" w14:textId="77777777">
      <w:pPr>
        <w:numPr>
          <w:ilvl w:val="0"/>
          <w:numId w:val="14"/>
        </w:numPr>
        <w:overflowPunct w:val="0"/>
        <w:autoSpaceDE w:val="0"/>
        <w:autoSpaceDN w:val="0"/>
        <w:adjustRightInd w:val="0"/>
        <w:ind w:left="850" w:hanging="283"/>
        <w:contextualSpacing/>
        <w:textAlignment w:val="baseline"/>
        <w:outlineLvl w:val="1"/>
      </w:pPr>
      <w:r>
        <w:t>eine Lenkungsgruppe für den Europäischen Aktionsplan für seltene Krankheiten einzusetzen, die sich aus Fachleuten aus den Mitgliedstaaten sowie Mitgliedern von EURORDIS und des EWSA zusammensetzt, um Abstimmung und Zusammenarbeit sowie die Begleitung und Überwachung des Aktionsplans sicherzustellen,</w:t>
      </w:r>
    </w:p>
    <w:p w:rsidRPr="00450A40" w:rsidR="00450A40" w:rsidP="00536180" w:rsidRDefault="00450A40" w14:paraId="1E368AE0" w14:textId="77777777">
      <w:pPr>
        <w:numPr>
          <w:ilvl w:val="0"/>
          <w:numId w:val="14"/>
        </w:numPr>
        <w:overflowPunct w:val="0"/>
        <w:autoSpaceDE w:val="0"/>
        <w:autoSpaceDN w:val="0"/>
        <w:adjustRightInd w:val="0"/>
        <w:ind w:left="850" w:hanging="283"/>
        <w:contextualSpacing/>
        <w:textAlignment w:val="baseline"/>
        <w:outlineLvl w:val="1"/>
      </w:pPr>
      <w:r>
        <w:t>sich dafür einzusetzen, dass mit Mitgliedstaaten Vereinbarungen über den Inhalt, die Aktualisierung, die Anwendung und die Überwachung der nationalen Pläne für seltene Krankheiten geschlossen werden,</w:t>
      </w:r>
    </w:p>
    <w:p w:rsidRPr="00450A40" w:rsidR="00450A40" w:rsidP="00536180" w:rsidRDefault="00450A40" w14:paraId="2D7A7CA8" w14:textId="77777777">
      <w:pPr>
        <w:numPr>
          <w:ilvl w:val="0"/>
          <w:numId w:val="14"/>
        </w:numPr>
        <w:overflowPunct w:val="0"/>
        <w:autoSpaceDE w:val="0"/>
        <w:autoSpaceDN w:val="0"/>
        <w:adjustRightInd w:val="0"/>
        <w:ind w:left="850" w:hanging="283"/>
        <w:contextualSpacing/>
        <w:textAlignment w:val="baseline"/>
        <w:outlineLvl w:val="1"/>
      </w:pPr>
      <w:r>
        <w:t>für die Finanzierung und die praktische Umsetzbarkeit des Aktionsplans zu sorgen sowie im mehrjährigen Finanzrahmen 2028–2035 die nötigen Haushaltsmittel für die Gesundheitsversorgung vorzusehen;</w:t>
      </w:r>
    </w:p>
    <w:p w:rsidRPr="00450A40" w:rsidR="00450A40" w:rsidP="00536180" w:rsidRDefault="00450A40" w14:paraId="4F0D053C" w14:textId="77777777">
      <w:pPr>
        <w:numPr>
          <w:ilvl w:val="0"/>
          <w:numId w:val="40"/>
        </w:numPr>
        <w:overflowPunct w:val="0"/>
        <w:autoSpaceDE w:val="0"/>
        <w:autoSpaceDN w:val="0"/>
        <w:adjustRightInd w:val="0"/>
        <w:spacing w:line="276" w:lineRule="auto"/>
        <w:ind w:left="567" w:hanging="567"/>
        <w:textAlignment w:val="baseline"/>
        <w:outlineLvl w:val="1"/>
        <w:rPr>
          <w:bCs/>
          <w:iCs/>
        </w:rPr>
      </w:pPr>
      <w:r>
        <w:t>schlägt vor, im EU-Aktionsplan für seltene Krankheiten nicht nur gemeinsame, messbare Zielsetzungen zu verankern, die zur Festlegung und Umsetzung nationaler Pläne und Strategien für seltene Krankheiten beitragen, den Mitgliedstaaten entsprechende Anstöße geben und die Zusammenarbeit auf EU-Ebene weiter vorantreiben, sondern auch gezielte Anreizmechanismen zur Förderung von Forschung und Innovation, insbesondere in den Bereichen fortschrittliche Diagnostik, Präzisionsmedizin und Gentherapie, darin aufzunehmen;</w:t>
      </w:r>
    </w:p>
    <w:p w:rsidRPr="00450A40" w:rsidR="00450A40" w:rsidP="00536180" w:rsidRDefault="00450A40" w14:paraId="418E9E39" w14:textId="77777777">
      <w:pPr>
        <w:numPr>
          <w:ilvl w:val="0"/>
          <w:numId w:val="40"/>
        </w:numPr>
        <w:overflowPunct w:val="0"/>
        <w:autoSpaceDE w:val="0"/>
        <w:autoSpaceDN w:val="0"/>
        <w:adjustRightInd w:val="0"/>
        <w:spacing w:line="276" w:lineRule="auto"/>
        <w:ind w:left="567" w:hanging="567"/>
        <w:textAlignment w:val="baseline"/>
        <w:outlineLvl w:val="1"/>
        <w:rPr>
          <w:bCs/>
          <w:iCs/>
        </w:rPr>
      </w:pPr>
      <w:r>
        <w:t>fordert im Interesse einer besseren Erkennung seltener Krankheiten gesonderte Aus- und Weiterbildungsangebote nicht nur für Angehörige der Gesundheitsberufe, sondern auch für Sozialarbeiter und andere Beschäftigte des Sozialwesens, damit sie Patienten mit seltenen Krankheiten besser betreuen können.</w:t>
      </w:r>
    </w:p>
    <w:p w:rsidRPr="00536180" w:rsidR="00450A40" w:rsidP="00450A40" w:rsidRDefault="00450A40" w14:paraId="699F5299" w14:textId="77777777">
      <w:pPr>
        <w:widowControl w:val="0"/>
        <w:overflowPunct w:val="0"/>
        <w:autoSpaceDE w:val="0"/>
        <w:autoSpaceDN w:val="0"/>
        <w:adjustRightInd w:val="0"/>
        <w:ind w:left="709"/>
        <w:textAlignment w:val="baseline"/>
        <w:rPr>
          <w:lang w:val="en-GB"/>
        </w:rPr>
      </w:pPr>
    </w:p>
    <w:tbl>
      <w:tblPr>
        <w:tblStyle w:val="TableGrid2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07"/>
      </w:tblGrid>
      <w:tr w:rsidRPr="00536180" w:rsidR="00347517" w:rsidTr="000F216A" w14:paraId="6BAB6B77" w14:textId="77777777">
        <w:tc>
          <w:tcPr>
            <w:tcW w:w="1985" w:type="dxa"/>
          </w:tcPr>
          <w:p w:rsidRPr="00536180" w:rsidR="00347517" w:rsidP="00450A40" w:rsidRDefault="00347517" w14:paraId="2030A07C" w14:textId="77777777">
            <w:pPr>
              <w:overflowPunct w:val="0"/>
              <w:autoSpaceDE w:val="0"/>
              <w:autoSpaceDN w:val="0"/>
              <w:adjustRightInd w:val="0"/>
              <w:spacing w:line="240" w:lineRule="auto"/>
              <w:textAlignment w:val="baseline"/>
              <w:rPr>
                <w:i/>
                <w:sz w:val="22"/>
                <w:szCs w:val="22"/>
              </w:rPr>
            </w:pPr>
            <w:r w:rsidRPr="00536180">
              <w:rPr>
                <w:b/>
                <w:i/>
                <w:sz w:val="22"/>
                <w:szCs w:val="22"/>
              </w:rPr>
              <w:t>Kontakt</w:t>
            </w:r>
          </w:p>
        </w:tc>
        <w:tc>
          <w:tcPr>
            <w:tcW w:w="4507" w:type="dxa"/>
          </w:tcPr>
          <w:p w:rsidRPr="00536180" w:rsidR="00347517" w:rsidP="00450A40" w:rsidRDefault="00347517" w14:paraId="28309AB2" w14:textId="6056F1FD">
            <w:pPr>
              <w:overflowPunct w:val="0"/>
              <w:autoSpaceDE w:val="0"/>
              <w:autoSpaceDN w:val="0"/>
              <w:adjustRightInd w:val="0"/>
              <w:spacing w:line="240" w:lineRule="auto"/>
              <w:textAlignment w:val="baseline"/>
              <w:rPr>
                <w:i/>
                <w:sz w:val="22"/>
                <w:szCs w:val="22"/>
              </w:rPr>
            </w:pPr>
            <w:r w:rsidRPr="00536180">
              <w:rPr>
                <w:i/>
                <w:sz w:val="22"/>
                <w:szCs w:val="22"/>
              </w:rPr>
              <w:t xml:space="preserve">Valeria </w:t>
            </w:r>
            <w:proofErr w:type="spellStart"/>
            <w:r w:rsidRPr="00536180">
              <w:rPr>
                <w:i/>
                <w:sz w:val="22"/>
                <w:szCs w:val="22"/>
              </w:rPr>
              <w:t>Atzori</w:t>
            </w:r>
            <w:proofErr w:type="spellEnd"/>
          </w:p>
        </w:tc>
      </w:tr>
      <w:tr w:rsidRPr="00536180" w:rsidR="00347517" w:rsidTr="000F216A" w14:paraId="6C1B34F5" w14:textId="77777777">
        <w:tc>
          <w:tcPr>
            <w:tcW w:w="1985" w:type="dxa"/>
          </w:tcPr>
          <w:p w:rsidRPr="00536180" w:rsidR="00347517" w:rsidP="00450A40" w:rsidRDefault="00347517" w14:paraId="2A46950A" w14:textId="77777777">
            <w:pPr>
              <w:overflowPunct w:val="0"/>
              <w:autoSpaceDE w:val="0"/>
              <w:autoSpaceDN w:val="0"/>
              <w:adjustRightInd w:val="0"/>
              <w:spacing w:line="240" w:lineRule="auto"/>
              <w:textAlignment w:val="baseline"/>
              <w:rPr>
                <w:i/>
                <w:sz w:val="22"/>
                <w:szCs w:val="22"/>
              </w:rPr>
            </w:pPr>
            <w:r w:rsidRPr="00536180">
              <w:rPr>
                <w:i/>
                <w:sz w:val="22"/>
                <w:szCs w:val="22"/>
              </w:rPr>
              <w:t>Tel.:</w:t>
            </w:r>
          </w:p>
        </w:tc>
        <w:tc>
          <w:tcPr>
            <w:tcW w:w="4507" w:type="dxa"/>
          </w:tcPr>
          <w:p w:rsidRPr="00536180" w:rsidR="00347517" w:rsidP="00450A40" w:rsidRDefault="00347517" w14:paraId="071FDAD8" w14:textId="77777777">
            <w:pPr>
              <w:overflowPunct w:val="0"/>
              <w:autoSpaceDE w:val="0"/>
              <w:autoSpaceDN w:val="0"/>
              <w:adjustRightInd w:val="0"/>
              <w:spacing w:line="240" w:lineRule="auto"/>
              <w:textAlignment w:val="baseline"/>
              <w:rPr>
                <w:i/>
                <w:sz w:val="22"/>
                <w:szCs w:val="22"/>
              </w:rPr>
            </w:pPr>
            <w:r w:rsidRPr="00536180">
              <w:rPr>
                <w:i/>
                <w:sz w:val="22"/>
                <w:szCs w:val="22"/>
              </w:rPr>
              <w:t>+32 25468774</w:t>
            </w:r>
          </w:p>
        </w:tc>
      </w:tr>
      <w:tr w:rsidRPr="00536180" w:rsidR="00347517" w:rsidTr="000F216A" w14:paraId="3114971F" w14:textId="77777777">
        <w:tc>
          <w:tcPr>
            <w:tcW w:w="1985" w:type="dxa"/>
          </w:tcPr>
          <w:p w:rsidRPr="00536180" w:rsidR="00347517" w:rsidP="00450A40" w:rsidRDefault="00347517" w14:paraId="6ACB8673" w14:textId="5D94D3DE">
            <w:pPr>
              <w:overflowPunct w:val="0"/>
              <w:autoSpaceDE w:val="0"/>
              <w:autoSpaceDN w:val="0"/>
              <w:adjustRightInd w:val="0"/>
              <w:spacing w:line="240" w:lineRule="auto"/>
              <w:textAlignment w:val="baseline"/>
              <w:rPr>
                <w:i/>
                <w:sz w:val="22"/>
                <w:szCs w:val="22"/>
              </w:rPr>
            </w:pPr>
            <w:r w:rsidRPr="00536180">
              <w:rPr>
                <w:i/>
                <w:sz w:val="22"/>
                <w:szCs w:val="22"/>
              </w:rPr>
              <w:t>E-Mail:</w:t>
            </w:r>
          </w:p>
        </w:tc>
        <w:tc>
          <w:tcPr>
            <w:tcW w:w="4507" w:type="dxa"/>
          </w:tcPr>
          <w:p w:rsidRPr="00536180" w:rsidR="00347517" w:rsidP="00450A40" w:rsidRDefault="00486D53" w14:paraId="04A7B698" w14:textId="1572EA8C">
            <w:pPr>
              <w:overflowPunct w:val="0"/>
              <w:autoSpaceDE w:val="0"/>
              <w:autoSpaceDN w:val="0"/>
              <w:adjustRightInd w:val="0"/>
              <w:spacing w:line="240" w:lineRule="auto"/>
              <w:textAlignment w:val="baseline"/>
              <w:rPr>
                <w:i/>
                <w:iCs/>
                <w:sz w:val="22"/>
                <w:szCs w:val="22"/>
              </w:rPr>
            </w:pPr>
            <w:hyperlink w:history="1" r:id="rId36">
              <w:r w:rsidRPr="00536180" w:rsidR="00347517">
                <w:rPr>
                  <w:i/>
                  <w:color w:val="0000FF"/>
                  <w:sz w:val="22"/>
                  <w:szCs w:val="22"/>
                  <w:u w:val="single"/>
                </w:rPr>
                <w:t>Valeria.Atzori@eesc.europa.eu</w:t>
              </w:r>
            </w:hyperlink>
          </w:p>
        </w:tc>
      </w:tr>
    </w:tbl>
    <w:p w:rsidR="00C050AC" w:rsidRDefault="00C050AC" w14:paraId="1F383D03" w14:textId="77777777">
      <w:pPr>
        <w:spacing w:after="160" w:line="259" w:lineRule="auto"/>
        <w:jc w:val="left"/>
      </w:pPr>
      <w:r>
        <w:br w:type="page"/>
      </w:r>
    </w:p>
    <w:p w:rsidR="007E03C9" w:rsidP="00C050AC" w:rsidRDefault="00486D53" w14:paraId="628FA2D3" w14:textId="749CB833">
      <w:pPr>
        <w:widowControl w:val="0"/>
        <w:numPr>
          <w:ilvl w:val="0"/>
          <w:numId w:val="8"/>
        </w:numPr>
        <w:overflowPunct w:val="0"/>
        <w:autoSpaceDE w:val="0"/>
        <w:autoSpaceDN w:val="0"/>
        <w:adjustRightInd w:val="0"/>
        <w:ind w:hanging="567"/>
        <w:textAlignment w:val="baseline"/>
        <w:rPr>
          <w:b/>
          <w:bCs/>
          <w:i/>
          <w:iCs/>
          <w:color w:val="0000FF"/>
          <w:sz w:val="28"/>
          <w:szCs w:val="28"/>
          <w:u w:val="single"/>
        </w:rPr>
      </w:pPr>
      <w:hyperlink w:history="1" r:id="rId37">
        <w:r w:rsidR="007E03C9">
          <w:rPr>
            <w:rStyle w:val="Hyperlink"/>
            <w:b/>
            <w:i/>
            <w:sz w:val="28"/>
          </w:rPr>
          <w:t>Zukunftsperspektiven und Risikomanagement im Bereich der neuen Technologien für öffentliche Dienste, Arbeitsorganisation und gerechtere und inklusivere Gesellschaften</w:t>
        </w:r>
      </w:hyperlink>
    </w:p>
    <w:p w:rsidRPr="00C050AC" w:rsidR="00C050AC" w:rsidP="00C050AC" w:rsidRDefault="00C050AC" w14:paraId="44151FC8" w14:textId="77777777">
      <w:pPr>
        <w:tabs>
          <w:tab w:val="center" w:pos="284"/>
        </w:tabs>
        <w:overflowPunct w:val="0"/>
        <w:autoSpaceDE w:val="0"/>
        <w:autoSpaceDN w:val="0"/>
        <w:adjustRightInd w:val="0"/>
        <w:ind w:left="266" w:hanging="266"/>
        <w:textAlignment w:val="baseline"/>
        <w:rPr>
          <w:b/>
          <w:lang w:val="en-GB"/>
        </w:rPr>
      </w:pPr>
    </w:p>
    <w:tbl>
      <w:tblPr>
        <w:tblStyle w:val="TableGrid6"/>
        <w:tblW w:w="494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7478"/>
      </w:tblGrid>
      <w:tr w:rsidRPr="00536180" w:rsidR="00C050AC" w:rsidTr="00DB536C" w14:paraId="5A85262E" w14:textId="77777777">
        <w:tc>
          <w:tcPr>
            <w:tcW w:w="1107" w:type="pct"/>
          </w:tcPr>
          <w:p w:rsidRPr="00536180" w:rsidR="00C050AC" w:rsidP="00C050AC" w:rsidRDefault="00C050AC" w14:paraId="79711890"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Berichterstatterin</w:t>
            </w:r>
          </w:p>
        </w:tc>
        <w:tc>
          <w:tcPr>
            <w:tcW w:w="3893" w:type="pct"/>
          </w:tcPr>
          <w:p w:rsidRPr="00536180" w:rsidR="00C050AC" w:rsidP="00C050AC" w:rsidRDefault="00C050AC" w14:paraId="02C85583" w14:textId="51A09897">
            <w:pPr>
              <w:tabs>
                <w:tab w:val="center" w:pos="284"/>
              </w:tabs>
              <w:overflowPunct w:val="0"/>
              <w:autoSpaceDE w:val="0"/>
              <w:autoSpaceDN w:val="0"/>
              <w:adjustRightInd w:val="0"/>
              <w:ind w:left="266" w:hanging="266"/>
              <w:textAlignment w:val="baseline"/>
              <w:rPr>
                <w:sz w:val="22"/>
                <w:szCs w:val="22"/>
              </w:rPr>
            </w:pPr>
            <w:r w:rsidRPr="00536180">
              <w:rPr>
                <w:sz w:val="22"/>
                <w:szCs w:val="22"/>
              </w:rPr>
              <w:t>Giulia BARBUCCI (Gruppe Arbeitnehmer – IT)</w:t>
            </w:r>
          </w:p>
        </w:tc>
      </w:tr>
      <w:tr w:rsidRPr="00536180" w:rsidR="00C050AC" w:rsidTr="00DB536C" w14:paraId="51479F3E" w14:textId="77777777">
        <w:tc>
          <w:tcPr>
            <w:tcW w:w="1107" w:type="pct"/>
          </w:tcPr>
          <w:p w:rsidRPr="00536180" w:rsidR="00C050AC" w:rsidP="00C050AC" w:rsidRDefault="00C050AC" w14:paraId="41169744"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Ko-Berichterstatter</w:t>
            </w:r>
          </w:p>
        </w:tc>
        <w:tc>
          <w:tcPr>
            <w:tcW w:w="3893" w:type="pct"/>
          </w:tcPr>
          <w:p w:rsidRPr="00536180" w:rsidR="00C050AC" w:rsidP="00C050AC" w:rsidRDefault="00C050AC" w14:paraId="1AB5F368" w14:textId="190ABB64">
            <w:pPr>
              <w:tabs>
                <w:tab w:val="center" w:pos="284"/>
              </w:tabs>
              <w:overflowPunct w:val="0"/>
              <w:autoSpaceDE w:val="0"/>
              <w:autoSpaceDN w:val="0"/>
              <w:adjustRightInd w:val="0"/>
              <w:ind w:left="266" w:hanging="266"/>
              <w:textAlignment w:val="baseline"/>
              <w:rPr>
                <w:sz w:val="22"/>
                <w:szCs w:val="22"/>
              </w:rPr>
            </w:pPr>
            <w:r w:rsidRPr="00536180">
              <w:rPr>
                <w:sz w:val="22"/>
                <w:szCs w:val="22"/>
              </w:rPr>
              <w:t>Giovanni MARCANTONIO (Gruppe Organisationen der Zivilgesellschaft – IT)</w:t>
            </w:r>
          </w:p>
        </w:tc>
      </w:tr>
      <w:tr w:rsidRPr="00536180" w:rsidR="00C050AC" w:rsidTr="00DB536C" w14:paraId="0EC644D5" w14:textId="77777777">
        <w:tc>
          <w:tcPr>
            <w:tcW w:w="5000" w:type="pct"/>
            <w:gridSpan w:val="2"/>
          </w:tcPr>
          <w:p w:rsidRPr="00536180" w:rsidR="00C050AC" w:rsidP="00C050AC" w:rsidRDefault="00C050AC" w14:paraId="43B4EBC9"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36180" w:rsidR="00C050AC" w:rsidTr="00DB536C" w14:paraId="094D3F66" w14:textId="77777777">
        <w:tc>
          <w:tcPr>
            <w:tcW w:w="1107" w:type="pct"/>
            <w:vMerge w:val="restart"/>
          </w:tcPr>
          <w:p w:rsidRPr="00536180" w:rsidR="00C050AC" w:rsidP="00C050AC" w:rsidRDefault="00C050AC" w14:paraId="674B4571"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Referenzdokumente</w:t>
            </w:r>
          </w:p>
        </w:tc>
        <w:tc>
          <w:tcPr>
            <w:tcW w:w="3893" w:type="pct"/>
          </w:tcPr>
          <w:p w:rsidRPr="00536180" w:rsidR="00F5655E" w:rsidP="00C050AC" w:rsidRDefault="00F5655E" w14:paraId="43316479" w14:textId="2644CA5E">
            <w:pPr>
              <w:tabs>
                <w:tab w:val="center" w:pos="284"/>
              </w:tabs>
              <w:overflowPunct w:val="0"/>
              <w:autoSpaceDE w:val="0"/>
              <w:autoSpaceDN w:val="0"/>
              <w:adjustRightInd w:val="0"/>
              <w:ind w:left="266" w:hanging="266"/>
              <w:textAlignment w:val="baseline"/>
              <w:rPr>
                <w:sz w:val="22"/>
                <w:szCs w:val="22"/>
              </w:rPr>
            </w:pPr>
            <w:r w:rsidRPr="00536180">
              <w:rPr>
                <w:sz w:val="22"/>
                <w:szCs w:val="22"/>
              </w:rPr>
              <w:t>Sondierungsstellungnahme auf Ersuchen der Europäischen Kommission</w:t>
            </w:r>
          </w:p>
          <w:p w:rsidRPr="00536180" w:rsidR="00C050AC" w:rsidP="00C050AC" w:rsidRDefault="00C050AC" w14:paraId="4DB3E461" w14:textId="4BC39955">
            <w:pPr>
              <w:tabs>
                <w:tab w:val="center" w:pos="284"/>
              </w:tabs>
              <w:overflowPunct w:val="0"/>
              <w:autoSpaceDE w:val="0"/>
              <w:autoSpaceDN w:val="0"/>
              <w:adjustRightInd w:val="0"/>
              <w:ind w:left="266" w:hanging="266"/>
              <w:textAlignment w:val="baseline"/>
              <w:rPr>
                <w:sz w:val="22"/>
                <w:szCs w:val="22"/>
              </w:rPr>
            </w:pPr>
            <w:r w:rsidRPr="00536180">
              <w:rPr>
                <w:sz w:val="22"/>
                <w:szCs w:val="22"/>
              </w:rPr>
              <w:t>EESC-2024-01482-00-00-AC</w:t>
            </w:r>
          </w:p>
        </w:tc>
      </w:tr>
      <w:tr w:rsidRPr="00536180" w:rsidR="00C050AC" w:rsidTr="00DB536C" w14:paraId="1B49B580" w14:textId="77777777">
        <w:tc>
          <w:tcPr>
            <w:tcW w:w="1107" w:type="pct"/>
            <w:vMerge/>
          </w:tcPr>
          <w:p w:rsidRPr="00536180" w:rsidR="00C050AC" w:rsidP="00C050AC" w:rsidRDefault="00C050AC" w14:paraId="7385DD94" w14:textId="77777777">
            <w:pPr>
              <w:tabs>
                <w:tab w:val="center" w:pos="284"/>
              </w:tabs>
              <w:overflowPunct w:val="0"/>
              <w:autoSpaceDE w:val="0"/>
              <w:autoSpaceDN w:val="0"/>
              <w:adjustRightInd w:val="0"/>
              <w:ind w:left="266" w:hanging="266"/>
              <w:textAlignment w:val="baseline"/>
              <w:rPr>
                <w:b/>
                <w:sz w:val="22"/>
                <w:szCs w:val="22"/>
              </w:rPr>
            </w:pPr>
          </w:p>
        </w:tc>
        <w:tc>
          <w:tcPr>
            <w:tcW w:w="3893" w:type="pct"/>
          </w:tcPr>
          <w:p w:rsidRPr="00536180" w:rsidR="00C050AC" w:rsidP="00C050AC" w:rsidRDefault="00C050AC" w14:paraId="71927970" w14:textId="77777777">
            <w:pPr>
              <w:tabs>
                <w:tab w:val="center" w:pos="284"/>
              </w:tabs>
              <w:overflowPunct w:val="0"/>
              <w:autoSpaceDE w:val="0"/>
              <w:autoSpaceDN w:val="0"/>
              <w:adjustRightInd w:val="0"/>
              <w:ind w:left="266" w:hanging="266"/>
              <w:textAlignment w:val="baseline"/>
              <w:rPr>
                <w:sz w:val="22"/>
                <w:szCs w:val="22"/>
              </w:rPr>
            </w:pPr>
          </w:p>
        </w:tc>
      </w:tr>
    </w:tbl>
    <w:p w:rsidRPr="00C050AC" w:rsidR="00C050AC" w:rsidP="00C050AC" w:rsidRDefault="00C050AC" w14:paraId="75C4B40E"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C050AC" w:rsidR="00C050AC" w:rsidP="00C050AC" w:rsidRDefault="00C050AC" w14:paraId="163C8502" w14:textId="77777777">
      <w:pPr>
        <w:keepNext/>
        <w:keepLines/>
        <w:tabs>
          <w:tab w:val="center" w:pos="284"/>
        </w:tabs>
        <w:overflowPunct w:val="0"/>
        <w:autoSpaceDE w:val="0"/>
        <w:autoSpaceDN w:val="0"/>
        <w:adjustRightInd w:val="0"/>
        <w:ind w:left="266" w:hanging="266"/>
        <w:textAlignment w:val="baseline"/>
        <w:rPr>
          <w:b/>
          <w:lang w:val="en-GB"/>
        </w:rPr>
      </w:pPr>
    </w:p>
    <w:p w:rsidRPr="00C050AC" w:rsidR="00C050AC" w:rsidP="00C050AC" w:rsidRDefault="00C050AC" w14:paraId="2AC76463" w14:textId="77777777">
      <w:pPr>
        <w:overflowPunct w:val="0"/>
        <w:autoSpaceDE w:val="0"/>
        <w:autoSpaceDN w:val="0"/>
        <w:adjustRightInd w:val="0"/>
        <w:textAlignment w:val="baseline"/>
        <w:rPr>
          <w:szCs w:val="20"/>
        </w:rPr>
      </w:pPr>
      <w:r>
        <w:t xml:space="preserve">In der Stellungnahme wird zunächst klargestellt, dass unter „öffentlichen Dienstleistungen“ darin die Tätigkeiten oder Dienstleistungen zu verstehen sind, die von den Behörden der Mitgliedstaaten auf nationaler, regionaler oder lokaler Ebene als von allgemeinem Interesse eingestuft werden. </w:t>
      </w:r>
    </w:p>
    <w:p w:rsidRPr="00C050AC" w:rsidR="00C050AC" w:rsidP="00C050AC" w:rsidRDefault="00C050AC" w14:paraId="3E62E875" w14:textId="77777777">
      <w:pPr>
        <w:overflowPunct w:val="0"/>
        <w:autoSpaceDE w:val="0"/>
        <w:autoSpaceDN w:val="0"/>
        <w:adjustRightInd w:val="0"/>
        <w:textAlignment w:val="baseline"/>
        <w:rPr>
          <w:szCs w:val="20"/>
          <w:lang w:val="en-GB"/>
        </w:rPr>
      </w:pPr>
    </w:p>
    <w:p w:rsidRPr="00C050AC" w:rsidR="00C050AC" w:rsidP="00C050AC" w:rsidRDefault="00C050AC" w14:paraId="737C96B5" w14:textId="77777777">
      <w:pPr>
        <w:overflowPunct w:val="0"/>
        <w:autoSpaceDE w:val="0"/>
        <w:autoSpaceDN w:val="0"/>
        <w:adjustRightInd w:val="0"/>
        <w:textAlignment w:val="baseline"/>
        <w:rPr>
          <w:szCs w:val="20"/>
        </w:rPr>
      </w:pPr>
      <w:r>
        <w:t>Anschließend wird in der Stellungnahme Folgendes festgestellt:</w:t>
      </w:r>
    </w:p>
    <w:p w:rsidRPr="00C050AC" w:rsidR="00C050AC" w:rsidP="00536180" w:rsidRDefault="00C050AC" w14:paraId="0DAEA587" w14:textId="77777777">
      <w:pPr>
        <w:numPr>
          <w:ilvl w:val="0"/>
          <w:numId w:val="41"/>
        </w:numPr>
        <w:overflowPunct w:val="0"/>
        <w:autoSpaceDE w:val="0"/>
        <w:autoSpaceDN w:val="0"/>
        <w:adjustRightInd w:val="0"/>
        <w:spacing w:after="160" w:line="259" w:lineRule="auto"/>
        <w:ind w:left="567" w:hanging="567"/>
        <w:contextualSpacing/>
        <w:textAlignment w:val="baseline"/>
      </w:pPr>
      <w:r>
        <w:t xml:space="preserve">Digitalisierung und künstliche Intelligenz (KI) könnten das Erbringen öffentlicher Dienstleistungen revolutionieren und bieten innovative Lösungen, um den Bedürfnissen der Menschen effizienter und schneller gerecht zu werden. </w:t>
      </w:r>
    </w:p>
    <w:p w:rsidRPr="00C050AC" w:rsidR="00C050AC" w:rsidP="00536180" w:rsidRDefault="00C050AC" w14:paraId="0010E49E" w14:textId="77777777">
      <w:pPr>
        <w:numPr>
          <w:ilvl w:val="0"/>
          <w:numId w:val="41"/>
        </w:numPr>
        <w:overflowPunct w:val="0"/>
        <w:autoSpaceDE w:val="0"/>
        <w:autoSpaceDN w:val="0"/>
        <w:adjustRightInd w:val="0"/>
        <w:spacing w:after="160" w:line="259" w:lineRule="auto"/>
        <w:ind w:left="567" w:hanging="567"/>
        <w:contextualSpacing/>
        <w:textAlignment w:val="baseline"/>
      </w:pPr>
      <w:r>
        <w:t xml:space="preserve">KI kann diese Dienste insbesondere den schutzbedürftigsten Menschen in der Gesellschaft leichter zugänglich machen. </w:t>
      </w:r>
    </w:p>
    <w:p w:rsidRPr="00C050AC" w:rsidR="00C050AC" w:rsidP="00536180" w:rsidRDefault="00C050AC" w14:paraId="231F3A32" w14:textId="77777777">
      <w:pPr>
        <w:numPr>
          <w:ilvl w:val="0"/>
          <w:numId w:val="41"/>
        </w:numPr>
        <w:overflowPunct w:val="0"/>
        <w:autoSpaceDE w:val="0"/>
        <w:autoSpaceDN w:val="0"/>
        <w:adjustRightInd w:val="0"/>
        <w:spacing w:after="160" w:line="259" w:lineRule="auto"/>
        <w:ind w:left="567" w:hanging="567"/>
        <w:contextualSpacing/>
        <w:textAlignment w:val="baseline"/>
      </w:pPr>
      <w:r>
        <w:t xml:space="preserve">Die Automatisierung komplexer und repetitiver Prozesse könnte die Effizienz steigern und gleichzeitig die individuelle Arbeitsbelastung verringern. </w:t>
      </w:r>
    </w:p>
    <w:p w:rsidRPr="00C050AC" w:rsidR="00C050AC" w:rsidP="00536180" w:rsidRDefault="00C050AC" w14:paraId="00085DDF" w14:textId="77777777">
      <w:pPr>
        <w:numPr>
          <w:ilvl w:val="0"/>
          <w:numId w:val="41"/>
        </w:numPr>
        <w:overflowPunct w:val="0"/>
        <w:autoSpaceDE w:val="0"/>
        <w:autoSpaceDN w:val="0"/>
        <w:adjustRightInd w:val="0"/>
        <w:spacing w:after="160" w:line="259" w:lineRule="auto"/>
        <w:ind w:left="567" w:hanging="567"/>
        <w:contextualSpacing/>
        <w:textAlignment w:val="baseline"/>
      </w:pPr>
      <w:r>
        <w:t xml:space="preserve">Beim Einsatz prädiktiver und generativer KI-Algorithmen ist jedoch Vorsicht geboten, beispielsweise um KI-Bias zu verhindern. Es gilt sicherzustellen, dass die verwendeten Systeme fair und transparent sind und die Rechte aller beteiligten Akteure schützen. </w:t>
      </w:r>
    </w:p>
    <w:p w:rsidRPr="00C050AC" w:rsidR="00C050AC" w:rsidP="00536180" w:rsidRDefault="00C050AC" w14:paraId="5C05DC9F" w14:textId="77777777">
      <w:pPr>
        <w:numPr>
          <w:ilvl w:val="0"/>
          <w:numId w:val="41"/>
        </w:numPr>
        <w:overflowPunct w:val="0"/>
        <w:autoSpaceDE w:val="0"/>
        <w:autoSpaceDN w:val="0"/>
        <w:adjustRightInd w:val="0"/>
        <w:spacing w:after="160" w:line="259" w:lineRule="auto"/>
        <w:ind w:left="567" w:hanging="567"/>
        <w:contextualSpacing/>
        <w:textAlignment w:val="baseline"/>
      </w:pPr>
      <w:r>
        <w:t>Der EWSA empfiehlt Transparenz bei den Entscheidungsprozessen in Bezug auf die Entwicklung von Algorithmen sowie bei der Anwendung dieser Technologien, auch um den Grundsatz „human-in-</w:t>
      </w:r>
      <w:proofErr w:type="spellStart"/>
      <w:r>
        <w:t>command</w:t>
      </w:r>
      <w:proofErr w:type="spellEnd"/>
      <w:r>
        <w:t xml:space="preserve">“ (der Mensch behält die Kontrolle) zu gewährleisten. Es sollte bedacht werden, dass diese Dienstleistungen von Menschen erbracht werden, und zwar in deren eigenem Tempo, ihrer Zeit und entsprechend ihren Voraussetzungen. </w:t>
      </w:r>
    </w:p>
    <w:p w:rsidRPr="00C050AC" w:rsidR="00C050AC" w:rsidP="00536180" w:rsidRDefault="00C050AC" w14:paraId="67EDAAD5" w14:textId="77777777">
      <w:pPr>
        <w:numPr>
          <w:ilvl w:val="0"/>
          <w:numId w:val="41"/>
        </w:numPr>
        <w:overflowPunct w:val="0"/>
        <w:autoSpaceDE w:val="0"/>
        <w:autoSpaceDN w:val="0"/>
        <w:adjustRightInd w:val="0"/>
        <w:spacing w:after="160" w:line="259" w:lineRule="auto"/>
        <w:ind w:left="567" w:hanging="567"/>
        <w:contextualSpacing/>
        <w:textAlignment w:val="baseline"/>
      </w:pPr>
      <w:r>
        <w:t xml:space="preserve">Öffentliche Dienste müssen in Cybersicherheitsinstrumente investieren, um Angriffe und andere Datenkriminalität zu verhindern. </w:t>
      </w:r>
    </w:p>
    <w:p w:rsidRPr="00C050AC" w:rsidR="00C050AC" w:rsidP="00536180" w:rsidRDefault="00C050AC" w14:paraId="23BFAA83" w14:textId="765FF833">
      <w:pPr>
        <w:numPr>
          <w:ilvl w:val="0"/>
          <w:numId w:val="41"/>
        </w:numPr>
        <w:overflowPunct w:val="0"/>
        <w:autoSpaceDE w:val="0"/>
        <w:autoSpaceDN w:val="0"/>
        <w:adjustRightInd w:val="0"/>
        <w:spacing w:after="160" w:line="259" w:lineRule="auto"/>
        <w:ind w:left="567" w:hanging="567"/>
        <w:contextualSpacing/>
        <w:textAlignment w:val="baseline"/>
      </w:pPr>
      <w:r>
        <w:t>Öffentlich-rechtliche Dienstherren müssen ihre Beschäftigten über den Einsatz von KI</w:t>
      </w:r>
      <w:r w:rsidR="00DB536C">
        <w:noBreakHyphen/>
      </w:r>
      <w:r>
        <w:t xml:space="preserve">Monitoringsystemen aufklären. Informationen sind für die Schaffung von Vertrauen von entscheidender Bedeutung. </w:t>
      </w:r>
    </w:p>
    <w:p w:rsidRPr="00C050AC" w:rsidR="00C050AC" w:rsidP="00536180" w:rsidRDefault="00C050AC" w14:paraId="0AFD241B" w14:textId="77777777">
      <w:pPr>
        <w:numPr>
          <w:ilvl w:val="0"/>
          <w:numId w:val="41"/>
        </w:numPr>
        <w:overflowPunct w:val="0"/>
        <w:autoSpaceDE w:val="0"/>
        <w:autoSpaceDN w:val="0"/>
        <w:adjustRightInd w:val="0"/>
        <w:spacing w:after="160" w:line="259" w:lineRule="auto"/>
        <w:ind w:left="567" w:hanging="567"/>
        <w:contextualSpacing/>
        <w:textAlignment w:val="baseline"/>
      </w:pPr>
      <w:r>
        <w:t xml:space="preserve">Der Einsatz von KI in öffentlichen Diensten sollte auch mit umfassenden Schulungs- und Weiterbildungsprogrammen einhergehen. </w:t>
      </w:r>
    </w:p>
    <w:p w:rsidRPr="00C050AC" w:rsidR="00C050AC" w:rsidP="00536180" w:rsidRDefault="00C050AC" w14:paraId="2C5EE259" w14:textId="77777777">
      <w:pPr>
        <w:widowControl w:val="0"/>
        <w:numPr>
          <w:ilvl w:val="0"/>
          <w:numId w:val="41"/>
        </w:numPr>
        <w:overflowPunct w:val="0"/>
        <w:autoSpaceDE w:val="0"/>
        <w:autoSpaceDN w:val="0"/>
        <w:adjustRightInd w:val="0"/>
        <w:spacing w:after="160" w:line="259" w:lineRule="auto"/>
        <w:ind w:left="567" w:hanging="567"/>
        <w:contextualSpacing/>
        <w:textAlignment w:val="baseline"/>
        <w:rPr>
          <w:rFonts w:ascii="Calibri" w:hAnsi="Calibri"/>
        </w:rPr>
      </w:pPr>
      <w:r>
        <w:t>Der soziale Dialog und Kollektivverhandlungen spielen bei der Förderung des Einsatzes künstlicher Intelligenz eine entscheidende Rolle. Darüber hinaus ist ein Dialog mit einschlägigen Interessenträgern der Zivilgesellschaft erforderlich, um eine inklusive und nachhaltige Nutzung von KI im öffentlichen Dienst sicherzustellen.</w:t>
      </w:r>
    </w:p>
    <w:p w:rsidRPr="00C050AC" w:rsidR="00C050AC" w:rsidP="00C050AC" w:rsidRDefault="00C050AC" w14:paraId="4F1E2F32" w14:textId="77777777">
      <w:pPr>
        <w:widowControl w:val="0"/>
        <w:spacing w:after="160" w:line="259" w:lineRule="auto"/>
        <w:ind w:left="709"/>
        <w:contextualSpacing/>
        <w:jc w:val="left"/>
        <w:rPr>
          <w:rFonts w:ascii="Calibri" w:hAnsi="Calibri"/>
          <w:lang w:val="en-GB" w:eastAsia="zh-CN"/>
        </w:rPr>
      </w:pPr>
    </w:p>
    <w:tbl>
      <w:tblPr>
        <w:tblStyle w:val="TableGrid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6"/>
        <w:gridCol w:w="5305"/>
      </w:tblGrid>
      <w:tr w:rsidRPr="00536180" w:rsidR="00C050AC" w:rsidTr="00DB536C" w14:paraId="1AAA4577" w14:textId="77777777">
        <w:tc>
          <w:tcPr>
            <w:tcW w:w="1117" w:type="pct"/>
          </w:tcPr>
          <w:p w:rsidRPr="00536180" w:rsidR="00C050AC" w:rsidP="00C050AC" w:rsidRDefault="00C050AC" w14:paraId="54057A36" w14:textId="77777777">
            <w:pPr>
              <w:overflowPunct w:val="0"/>
              <w:autoSpaceDE w:val="0"/>
              <w:autoSpaceDN w:val="0"/>
              <w:adjustRightInd w:val="0"/>
              <w:spacing w:line="240" w:lineRule="auto"/>
              <w:textAlignment w:val="baseline"/>
              <w:rPr>
                <w:i/>
                <w:sz w:val="22"/>
                <w:szCs w:val="22"/>
              </w:rPr>
            </w:pPr>
            <w:r w:rsidRPr="00536180">
              <w:rPr>
                <w:b/>
                <w:i/>
                <w:sz w:val="22"/>
                <w:szCs w:val="22"/>
              </w:rPr>
              <w:t>Kontakt</w:t>
            </w:r>
          </w:p>
        </w:tc>
        <w:tc>
          <w:tcPr>
            <w:tcW w:w="3883" w:type="pct"/>
          </w:tcPr>
          <w:p w:rsidRPr="00536180" w:rsidR="00C050AC" w:rsidP="00C050AC" w:rsidRDefault="00C050AC" w14:paraId="712E5CC7" w14:textId="77777777">
            <w:pPr>
              <w:overflowPunct w:val="0"/>
              <w:autoSpaceDE w:val="0"/>
              <w:autoSpaceDN w:val="0"/>
              <w:adjustRightInd w:val="0"/>
              <w:spacing w:line="240" w:lineRule="auto"/>
              <w:textAlignment w:val="baseline"/>
              <w:rPr>
                <w:i/>
                <w:sz w:val="22"/>
                <w:szCs w:val="22"/>
              </w:rPr>
            </w:pPr>
            <w:r w:rsidRPr="00536180">
              <w:rPr>
                <w:i/>
                <w:sz w:val="22"/>
                <w:szCs w:val="22"/>
              </w:rPr>
              <w:t xml:space="preserve">Ana </w:t>
            </w:r>
            <w:proofErr w:type="spellStart"/>
            <w:r w:rsidRPr="00536180">
              <w:rPr>
                <w:i/>
                <w:sz w:val="22"/>
                <w:szCs w:val="22"/>
              </w:rPr>
              <w:t>Dumitrache</w:t>
            </w:r>
            <w:proofErr w:type="spellEnd"/>
          </w:p>
        </w:tc>
      </w:tr>
      <w:tr w:rsidRPr="00536180" w:rsidR="00C050AC" w:rsidTr="00DB536C" w14:paraId="05B9CEF1" w14:textId="77777777">
        <w:tc>
          <w:tcPr>
            <w:tcW w:w="1117" w:type="pct"/>
          </w:tcPr>
          <w:p w:rsidRPr="00536180" w:rsidR="00C050AC" w:rsidP="00C050AC" w:rsidRDefault="00C050AC" w14:paraId="1137B3C9" w14:textId="77777777">
            <w:pPr>
              <w:overflowPunct w:val="0"/>
              <w:autoSpaceDE w:val="0"/>
              <w:autoSpaceDN w:val="0"/>
              <w:adjustRightInd w:val="0"/>
              <w:spacing w:line="240" w:lineRule="auto"/>
              <w:textAlignment w:val="baseline"/>
              <w:rPr>
                <w:i/>
                <w:sz w:val="22"/>
                <w:szCs w:val="22"/>
              </w:rPr>
            </w:pPr>
            <w:r w:rsidRPr="00536180">
              <w:rPr>
                <w:i/>
                <w:sz w:val="22"/>
                <w:szCs w:val="22"/>
              </w:rPr>
              <w:t>Tel.</w:t>
            </w:r>
          </w:p>
        </w:tc>
        <w:tc>
          <w:tcPr>
            <w:tcW w:w="3883" w:type="pct"/>
          </w:tcPr>
          <w:p w:rsidRPr="00536180" w:rsidR="00C050AC" w:rsidP="00C050AC" w:rsidRDefault="00C050AC" w14:paraId="20F8D96C" w14:textId="77777777">
            <w:pPr>
              <w:overflowPunct w:val="0"/>
              <w:autoSpaceDE w:val="0"/>
              <w:autoSpaceDN w:val="0"/>
              <w:adjustRightInd w:val="0"/>
              <w:spacing w:line="240" w:lineRule="auto"/>
              <w:textAlignment w:val="baseline"/>
              <w:rPr>
                <w:i/>
                <w:sz w:val="22"/>
                <w:szCs w:val="22"/>
              </w:rPr>
            </w:pPr>
            <w:r w:rsidRPr="00536180">
              <w:rPr>
                <w:i/>
                <w:sz w:val="22"/>
                <w:szCs w:val="22"/>
              </w:rPr>
              <w:t>+32 25468131</w:t>
            </w:r>
          </w:p>
        </w:tc>
      </w:tr>
      <w:tr w:rsidRPr="00536180" w:rsidR="00C050AC" w:rsidTr="00DB536C" w14:paraId="7BBF2102" w14:textId="77777777">
        <w:tc>
          <w:tcPr>
            <w:tcW w:w="1117" w:type="pct"/>
          </w:tcPr>
          <w:p w:rsidRPr="00536180" w:rsidR="00C050AC" w:rsidP="00C050AC" w:rsidRDefault="00F5655E" w14:paraId="4444AAB3" w14:textId="29DE3FF3">
            <w:pPr>
              <w:overflowPunct w:val="0"/>
              <w:autoSpaceDE w:val="0"/>
              <w:autoSpaceDN w:val="0"/>
              <w:adjustRightInd w:val="0"/>
              <w:spacing w:line="240" w:lineRule="auto"/>
              <w:textAlignment w:val="baseline"/>
              <w:rPr>
                <w:i/>
                <w:sz w:val="22"/>
                <w:szCs w:val="22"/>
              </w:rPr>
            </w:pPr>
            <w:r w:rsidRPr="00536180">
              <w:rPr>
                <w:i/>
                <w:sz w:val="22"/>
                <w:szCs w:val="22"/>
              </w:rPr>
              <w:t>E-Mail</w:t>
            </w:r>
          </w:p>
        </w:tc>
        <w:tc>
          <w:tcPr>
            <w:tcW w:w="3883" w:type="pct"/>
          </w:tcPr>
          <w:p w:rsidRPr="00536180" w:rsidR="00C050AC" w:rsidP="00C050AC" w:rsidRDefault="00486D53" w14:paraId="195562E1" w14:textId="3B537756">
            <w:pPr>
              <w:overflowPunct w:val="0"/>
              <w:autoSpaceDE w:val="0"/>
              <w:autoSpaceDN w:val="0"/>
              <w:adjustRightInd w:val="0"/>
              <w:spacing w:line="240" w:lineRule="auto"/>
              <w:textAlignment w:val="baseline"/>
              <w:rPr>
                <w:i/>
                <w:sz w:val="22"/>
                <w:szCs w:val="22"/>
              </w:rPr>
            </w:pPr>
            <w:hyperlink w:history="1" r:id="rId38">
              <w:r w:rsidRPr="00536180" w:rsidR="007E03C9">
                <w:rPr>
                  <w:i/>
                  <w:color w:val="0000FF"/>
                  <w:sz w:val="22"/>
                  <w:szCs w:val="22"/>
                  <w:u w:val="single"/>
                </w:rPr>
                <w:t>Ana.Dumitrache@eesc.europa.eu</w:t>
              </w:r>
            </w:hyperlink>
            <w:r w:rsidRPr="00536180" w:rsidR="007E03C9">
              <w:rPr>
                <w:i/>
                <w:sz w:val="22"/>
                <w:szCs w:val="22"/>
              </w:rPr>
              <w:t xml:space="preserve"> </w:t>
            </w:r>
          </w:p>
        </w:tc>
      </w:tr>
    </w:tbl>
    <w:p w:rsidR="00C050AC" w:rsidRDefault="00C050AC" w14:paraId="0570E731" w14:textId="77777777">
      <w:pPr>
        <w:spacing w:after="160" w:line="259" w:lineRule="auto"/>
        <w:jc w:val="left"/>
      </w:pPr>
      <w:r>
        <w:br w:type="page"/>
      </w:r>
    </w:p>
    <w:p w:rsidRPr="00B80A16" w:rsidR="00B80A16" w:rsidP="00B80A16" w:rsidRDefault="00486D53" w14:paraId="6B0D0961" w14:textId="4E482099">
      <w:pPr>
        <w:widowControl w:val="0"/>
        <w:numPr>
          <w:ilvl w:val="0"/>
          <w:numId w:val="8"/>
        </w:numPr>
        <w:overflowPunct w:val="0"/>
        <w:autoSpaceDE w:val="0"/>
        <w:autoSpaceDN w:val="0"/>
        <w:adjustRightInd w:val="0"/>
        <w:ind w:hanging="567"/>
        <w:textAlignment w:val="baseline"/>
        <w:rPr>
          <w:sz w:val="24"/>
          <w:szCs w:val="24"/>
        </w:rPr>
      </w:pPr>
      <w:hyperlink w:history="1" r:id="rId39">
        <w:r w:rsidR="00276FC9">
          <w:rPr>
            <w:b/>
            <w:i/>
            <w:color w:val="0000FF"/>
            <w:sz w:val="28"/>
            <w:u w:val="single"/>
          </w:rPr>
          <w:t>Ungleichgewichte beim Sozialschutz im Allgemeinen und für neue Formen der Arbeit und atypische Beschäftigung im Besonderen</w:t>
        </w:r>
      </w:hyperlink>
    </w:p>
    <w:p w:rsidRPr="00B80A16" w:rsidR="00B80A16" w:rsidP="00B80A16" w:rsidRDefault="00B80A16" w14:paraId="6E2DC96B" w14:textId="77777777">
      <w:pPr>
        <w:tabs>
          <w:tab w:val="center" w:pos="284"/>
        </w:tabs>
        <w:overflowPunct w:val="0"/>
        <w:autoSpaceDE w:val="0"/>
        <w:autoSpaceDN w:val="0"/>
        <w:adjustRightInd w:val="0"/>
        <w:ind w:left="266" w:hanging="266"/>
        <w:textAlignment w:val="baseline"/>
        <w:rPr>
          <w:b/>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3"/>
        <w:gridCol w:w="7479"/>
      </w:tblGrid>
      <w:tr w:rsidRPr="00536180" w:rsidR="00B80A16" w:rsidTr="00F324F7" w14:paraId="5C876E2A" w14:textId="77777777">
        <w:tc>
          <w:tcPr>
            <w:tcW w:w="1701" w:type="dxa"/>
          </w:tcPr>
          <w:p w:rsidRPr="00536180" w:rsidR="00B80A16" w:rsidP="00B80A16" w:rsidRDefault="00B80A16" w14:paraId="6D94FF63"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Berichterstatterin</w:t>
            </w:r>
          </w:p>
        </w:tc>
        <w:tc>
          <w:tcPr>
            <w:tcW w:w="7479" w:type="dxa"/>
          </w:tcPr>
          <w:p w:rsidRPr="00536180" w:rsidR="00B80A16" w:rsidP="00B80A16" w:rsidRDefault="00B80A16" w14:paraId="08165A00" w14:textId="401766D2">
            <w:pPr>
              <w:tabs>
                <w:tab w:val="center" w:pos="0"/>
              </w:tabs>
              <w:overflowPunct w:val="0"/>
              <w:autoSpaceDE w:val="0"/>
              <w:autoSpaceDN w:val="0"/>
              <w:adjustRightInd w:val="0"/>
              <w:ind w:left="1" w:hanging="1"/>
              <w:textAlignment w:val="baseline"/>
              <w:rPr>
                <w:sz w:val="22"/>
                <w:szCs w:val="22"/>
              </w:rPr>
            </w:pPr>
            <w:r w:rsidRPr="00536180">
              <w:rPr>
                <w:sz w:val="22"/>
                <w:szCs w:val="22"/>
              </w:rPr>
              <w:t>María del Carmen BARRERA CHAMORRO (Gruppe Arbeitnehmer – ES)</w:t>
            </w:r>
          </w:p>
        </w:tc>
      </w:tr>
      <w:tr w:rsidRPr="00536180" w:rsidR="00B80A16" w:rsidTr="00F324F7" w14:paraId="01FC46FC" w14:textId="77777777">
        <w:tc>
          <w:tcPr>
            <w:tcW w:w="9180" w:type="dxa"/>
            <w:gridSpan w:val="2"/>
          </w:tcPr>
          <w:p w:rsidRPr="00536180" w:rsidR="00B80A16" w:rsidP="00B80A16" w:rsidRDefault="00B80A16" w14:paraId="529A3BFD" w14:textId="77777777">
            <w:pPr>
              <w:tabs>
                <w:tab w:val="center" w:pos="284"/>
              </w:tabs>
              <w:overflowPunct w:val="0"/>
              <w:autoSpaceDE w:val="0"/>
              <w:autoSpaceDN w:val="0"/>
              <w:adjustRightInd w:val="0"/>
              <w:spacing w:line="160" w:lineRule="exact"/>
              <w:ind w:left="266" w:hanging="266"/>
              <w:textAlignment w:val="baseline"/>
              <w:rPr>
                <w:sz w:val="22"/>
                <w:szCs w:val="22"/>
                <w:lang w:val="en-GB"/>
              </w:rPr>
            </w:pPr>
          </w:p>
        </w:tc>
      </w:tr>
      <w:tr w:rsidRPr="00536180" w:rsidR="00B80A16" w:rsidTr="00F324F7" w14:paraId="367CE71A" w14:textId="77777777">
        <w:tc>
          <w:tcPr>
            <w:tcW w:w="1701" w:type="dxa"/>
            <w:vMerge w:val="restart"/>
          </w:tcPr>
          <w:p w:rsidRPr="00536180" w:rsidR="00B80A16" w:rsidP="00B80A16" w:rsidRDefault="00B80A16" w14:paraId="463BDE81"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Referenzdokument</w:t>
            </w:r>
          </w:p>
        </w:tc>
        <w:tc>
          <w:tcPr>
            <w:tcW w:w="7479" w:type="dxa"/>
          </w:tcPr>
          <w:p w:rsidRPr="00536180" w:rsidR="00B80A16" w:rsidP="00B80A16" w:rsidRDefault="00B80A16" w14:paraId="01D3D41C"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Initiativstellungnahme</w:t>
            </w:r>
          </w:p>
        </w:tc>
      </w:tr>
      <w:tr w:rsidRPr="00536180" w:rsidR="00B80A16" w:rsidTr="00F324F7" w14:paraId="6C494D65" w14:textId="77777777">
        <w:tc>
          <w:tcPr>
            <w:tcW w:w="1701" w:type="dxa"/>
            <w:vMerge/>
          </w:tcPr>
          <w:p w:rsidRPr="00536180" w:rsidR="00B80A16" w:rsidP="00B80A16" w:rsidRDefault="00B80A16" w14:paraId="70BA9B60" w14:textId="77777777">
            <w:pPr>
              <w:tabs>
                <w:tab w:val="center" w:pos="284"/>
              </w:tabs>
              <w:overflowPunct w:val="0"/>
              <w:autoSpaceDE w:val="0"/>
              <w:autoSpaceDN w:val="0"/>
              <w:adjustRightInd w:val="0"/>
              <w:ind w:left="266" w:hanging="266"/>
              <w:textAlignment w:val="baseline"/>
              <w:rPr>
                <w:b/>
                <w:sz w:val="22"/>
                <w:szCs w:val="22"/>
                <w:lang w:val="en-GB"/>
              </w:rPr>
            </w:pPr>
          </w:p>
        </w:tc>
        <w:tc>
          <w:tcPr>
            <w:tcW w:w="7479" w:type="dxa"/>
          </w:tcPr>
          <w:p w:rsidRPr="00536180" w:rsidR="00B80A16" w:rsidP="00B80A16" w:rsidRDefault="00B80A16" w14:paraId="41E794EE" w14:textId="5CD06CF0">
            <w:pPr>
              <w:tabs>
                <w:tab w:val="center" w:pos="284"/>
              </w:tabs>
              <w:overflowPunct w:val="0"/>
              <w:autoSpaceDE w:val="0"/>
              <w:autoSpaceDN w:val="0"/>
              <w:adjustRightInd w:val="0"/>
              <w:ind w:left="266" w:hanging="266"/>
              <w:textAlignment w:val="baseline"/>
              <w:rPr>
                <w:sz w:val="22"/>
                <w:szCs w:val="22"/>
              </w:rPr>
            </w:pPr>
            <w:r w:rsidRPr="00536180">
              <w:rPr>
                <w:sz w:val="22"/>
                <w:szCs w:val="22"/>
              </w:rPr>
              <w:t>EESC-2024-01141-00-00-AC</w:t>
            </w:r>
          </w:p>
        </w:tc>
      </w:tr>
    </w:tbl>
    <w:p w:rsidRPr="00B80A16" w:rsidR="00B80A16" w:rsidP="00B80A16" w:rsidRDefault="00B80A16" w14:paraId="532AFAD9" w14:textId="77777777">
      <w:pPr>
        <w:tabs>
          <w:tab w:val="center" w:pos="284"/>
        </w:tabs>
        <w:overflowPunct w:val="0"/>
        <w:autoSpaceDE w:val="0"/>
        <w:autoSpaceDN w:val="0"/>
        <w:adjustRightInd w:val="0"/>
        <w:ind w:left="266" w:hanging="266"/>
        <w:textAlignment w:val="baseline"/>
        <w:rPr>
          <w:lang w:val="en-GB"/>
        </w:rPr>
      </w:pPr>
    </w:p>
    <w:p w:rsidRPr="00B80A16" w:rsidR="00B80A16" w:rsidP="00B80A16" w:rsidRDefault="00B80A16" w14:paraId="32E64B0C" w14:textId="42F02D8C">
      <w:pPr>
        <w:keepNext/>
        <w:keepLines/>
        <w:tabs>
          <w:tab w:val="center" w:pos="284"/>
        </w:tabs>
        <w:overflowPunct w:val="0"/>
        <w:autoSpaceDE w:val="0"/>
        <w:autoSpaceDN w:val="0"/>
        <w:adjustRightInd w:val="0"/>
        <w:ind w:left="266" w:hanging="266"/>
        <w:textAlignment w:val="baseline"/>
        <w:rPr>
          <w:b/>
        </w:rPr>
      </w:pPr>
      <w:r>
        <w:rPr>
          <w:b/>
        </w:rPr>
        <w:t>Kernaussagen</w:t>
      </w:r>
    </w:p>
    <w:p w:rsidRPr="00B80A16" w:rsidR="00B80A16" w:rsidP="00B80A16" w:rsidRDefault="00B80A16" w14:paraId="47D9DAA2" w14:textId="77777777">
      <w:pPr>
        <w:keepNext/>
        <w:keepLines/>
        <w:tabs>
          <w:tab w:val="center" w:pos="284"/>
        </w:tabs>
        <w:overflowPunct w:val="0"/>
        <w:autoSpaceDE w:val="0"/>
        <w:autoSpaceDN w:val="0"/>
        <w:adjustRightInd w:val="0"/>
        <w:ind w:left="266" w:hanging="266"/>
        <w:textAlignment w:val="baseline"/>
        <w:rPr>
          <w:b/>
          <w:lang w:val="en-GB"/>
        </w:rPr>
      </w:pPr>
    </w:p>
    <w:p w:rsidR="00B80A16" w:rsidP="00B80A16" w:rsidRDefault="00B80A16" w14:paraId="0BA55970" w14:textId="75B7E0E3">
      <w:pPr>
        <w:overflowPunct w:val="0"/>
        <w:autoSpaceDE w:val="0"/>
        <w:autoSpaceDN w:val="0"/>
        <w:adjustRightInd w:val="0"/>
        <w:textAlignment w:val="baseline"/>
      </w:pPr>
      <w:r>
        <w:t>Der EWSA</w:t>
      </w:r>
    </w:p>
    <w:p w:rsidRPr="00B80A16" w:rsidR="00DB536C" w:rsidP="00B80A16" w:rsidRDefault="00DB536C" w14:paraId="2A3B5A2E" w14:textId="77777777">
      <w:pPr>
        <w:overflowPunct w:val="0"/>
        <w:autoSpaceDE w:val="0"/>
        <w:autoSpaceDN w:val="0"/>
        <w:adjustRightInd w:val="0"/>
        <w:textAlignment w:val="baseline"/>
        <w:rPr>
          <w:bCs/>
          <w:iCs/>
        </w:rPr>
      </w:pPr>
    </w:p>
    <w:p w:rsidRPr="00B80A16" w:rsidR="00B80A16" w:rsidP="00536180" w:rsidRDefault="00B80A16" w14:paraId="6164D655" w14:textId="77777777">
      <w:pPr>
        <w:numPr>
          <w:ilvl w:val="0"/>
          <w:numId w:val="42"/>
        </w:numPr>
        <w:overflowPunct w:val="0"/>
        <w:autoSpaceDE w:val="0"/>
        <w:autoSpaceDN w:val="0"/>
        <w:adjustRightInd w:val="0"/>
        <w:ind w:left="567" w:hanging="567"/>
        <w:textAlignment w:val="baseline"/>
        <w:outlineLvl w:val="1"/>
        <w:rPr>
          <w:szCs w:val="20"/>
        </w:rPr>
      </w:pPr>
      <w:r>
        <w:t>stellt fest, dass die EU und die Mitgliedstaaten gehalten sind, neben der Förderung eines hohen Beschäftigungsniveaus und der Verbesserung der Lebens- und Arbeitsbedingungen einen angemessenen Sozialschutz, einschließlich des Schutzes Selbstständiger zu vergleichbaren Bedingungen, anzustreben;</w:t>
      </w:r>
    </w:p>
    <w:p w:rsidRPr="00B80A16" w:rsidR="00B80A16" w:rsidP="00536180" w:rsidRDefault="00B80A16" w14:paraId="747F6101" w14:textId="77777777">
      <w:pPr>
        <w:numPr>
          <w:ilvl w:val="0"/>
          <w:numId w:val="42"/>
        </w:numPr>
        <w:overflowPunct w:val="0"/>
        <w:autoSpaceDE w:val="0"/>
        <w:autoSpaceDN w:val="0"/>
        <w:adjustRightInd w:val="0"/>
        <w:ind w:left="567" w:hanging="567"/>
        <w:textAlignment w:val="baseline"/>
        <w:outlineLvl w:val="1"/>
        <w:rPr>
          <w:szCs w:val="20"/>
        </w:rPr>
      </w:pPr>
      <w:r>
        <w:t>fordert die EU und die Mitgliedstaaten auf, im Rahmen ihrer jeweiligen Zuständigkeiten und im Einklang mit den nationalen Verfahren die Sozialschutzsysteme so anzupassen, dass sie atypische Arbeit abdecken und ausreichende Leistungen gewährleisten, damit alle Arbeitnehmer eine gute Arbeit und ein würdiges Leben haben;</w:t>
      </w:r>
    </w:p>
    <w:p w:rsidRPr="00B80A16" w:rsidR="00B80A16" w:rsidP="00536180" w:rsidRDefault="00B80A16" w14:paraId="55B9534E" w14:textId="77777777">
      <w:pPr>
        <w:numPr>
          <w:ilvl w:val="0"/>
          <w:numId w:val="42"/>
        </w:numPr>
        <w:overflowPunct w:val="0"/>
        <w:autoSpaceDE w:val="0"/>
        <w:autoSpaceDN w:val="0"/>
        <w:adjustRightInd w:val="0"/>
        <w:ind w:left="567" w:hanging="567"/>
        <w:textAlignment w:val="baseline"/>
        <w:outlineLvl w:val="1"/>
        <w:rPr>
          <w:szCs w:val="20"/>
        </w:rPr>
      </w:pPr>
      <w:r>
        <w:t>fordert die Mitgliedstaaten auf, den Schwerpunkt des Sozialschutzes von ausschließlich den Arbeitnehmern auf alle Europäerinnen und Europäer zu verlagern, indem sie arbeitsunfähigen Menschen ein Mindesteinkommen bieten und gleichzeitig die Wiedereingliederung von Erwerbsfähigen in den Arbeitsmarkt fördern;</w:t>
      </w:r>
    </w:p>
    <w:p w:rsidRPr="00B80A16" w:rsidR="00B80A16" w:rsidP="00536180" w:rsidRDefault="00B80A16" w14:paraId="41BDBF90" w14:textId="77777777">
      <w:pPr>
        <w:numPr>
          <w:ilvl w:val="0"/>
          <w:numId w:val="42"/>
        </w:numPr>
        <w:overflowPunct w:val="0"/>
        <w:autoSpaceDE w:val="0"/>
        <w:autoSpaceDN w:val="0"/>
        <w:adjustRightInd w:val="0"/>
        <w:ind w:left="567" w:hanging="567"/>
        <w:textAlignment w:val="baseline"/>
        <w:outlineLvl w:val="1"/>
        <w:rPr>
          <w:szCs w:val="20"/>
        </w:rPr>
      </w:pPr>
      <w:r>
        <w:t>fordert die Mitgliedstaaten nachdrücklich auf, die Finanzierungsquellen der Sozialschutzsysteme zu überprüfen, um deren finanzielle Tragfähigkeit sicherzustellen, ohne die Schaffung von Arbeitsplätzen zu gefährden. Die EU kann die Mitgliedstaaten bei diesen Bemühungen unterstützen, indem sie den Erfahrungsaustausch im Zusammenhang mit der Überprüfung bzw. Reform der nationalen Sozialschutzsysteme erleichtert;</w:t>
      </w:r>
    </w:p>
    <w:p w:rsidRPr="00B80A16" w:rsidR="00B80A16" w:rsidP="00536180" w:rsidRDefault="00B80A16" w14:paraId="276AC431" w14:textId="77777777">
      <w:pPr>
        <w:numPr>
          <w:ilvl w:val="0"/>
          <w:numId w:val="42"/>
        </w:numPr>
        <w:overflowPunct w:val="0"/>
        <w:autoSpaceDE w:val="0"/>
        <w:autoSpaceDN w:val="0"/>
        <w:adjustRightInd w:val="0"/>
        <w:ind w:left="567" w:hanging="567"/>
        <w:textAlignment w:val="baseline"/>
        <w:outlineLvl w:val="1"/>
        <w:rPr>
          <w:szCs w:val="20"/>
        </w:rPr>
      </w:pPr>
      <w:r>
        <w:t>erkennt an, dass die Anpassung der Sozialschutzsysteme zwar in erster Linie in die Zuständigkeit der Mitgliedstaaten fällt, die EU diese jedoch dabei unterstützen muss, Lücken im Sozialschutz für atypisch Beschäftigte zu schließen, ohne die Flexibilität zu beeinträchtigen, die solche Beschäftigungsverhältnisse Arbeitgebern wie Arbeitnehmern bieten;</w:t>
      </w:r>
    </w:p>
    <w:p w:rsidRPr="00B80A16" w:rsidR="00B80A16" w:rsidP="00536180" w:rsidRDefault="00B80A16" w14:paraId="45F54D37" w14:textId="77777777">
      <w:pPr>
        <w:numPr>
          <w:ilvl w:val="0"/>
          <w:numId w:val="42"/>
        </w:numPr>
        <w:overflowPunct w:val="0"/>
        <w:autoSpaceDE w:val="0"/>
        <w:autoSpaceDN w:val="0"/>
        <w:adjustRightInd w:val="0"/>
        <w:ind w:left="567" w:hanging="567"/>
        <w:textAlignment w:val="baseline"/>
        <w:outlineLvl w:val="1"/>
        <w:rPr>
          <w:szCs w:val="20"/>
        </w:rPr>
      </w:pPr>
      <w:r>
        <w:t>ruft die Kommission auf, die Richtlinie 79/7/EG zu überarbeiten und erforderlichenfalls Reformen vorzuschlagen, um, auch durch den sozialen Dialog auf nationaler Ebene, Lücken im Sozialschutz wirksam zu schließen;</w:t>
      </w:r>
    </w:p>
    <w:p w:rsidRPr="00B80A16" w:rsidR="00B80A16" w:rsidP="00536180" w:rsidRDefault="00B80A16" w14:paraId="6EA00068" w14:textId="77777777">
      <w:pPr>
        <w:numPr>
          <w:ilvl w:val="0"/>
          <w:numId w:val="42"/>
        </w:numPr>
        <w:overflowPunct w:val="0"/>
        <w:autoSpaceDE w:val="0"/>
        <w:autoSpaceDN w:val="0"/>
        <w:adjustRightInd w:val="0"/>
        <w:ind w:left="567" w:hanging="567"/>
        <w:textAlignment w:val="baseline"/>
        <w:outlineLvl w:val="1"/>
        <w:rPr>
          <w:szCs w:val="20"/>
        </w:rPr>
      </w:pPr>
      <w:r>
        <w:t>spricht sich für den Erfahrungsaustausch zwischen den Mitgliedstaaten aus, um bewährte Verfahren auszutauschen, und ersucht die Kommission, gegenseitiges Lernen unter Einbeziehung der nationalen Sozialpartner und des EWSA zu fördern.</w:t>
      </w:r>
    </w:p>
    <w:p w:rsidRPr="00B80A16" w:rsidR="00B80A16" w:rsidP="00B80A16" w:rsidRDefault="00B80A16" w14:paraId="0B3C9649" w14:textId="77777777">
      <w:pPr>
        <w:widowControl w:val="0"/>
        <w:overflowPunct w:val="0"/>
        <w:autoSpaceDE w:val="0"/>
        <w:autoSpaceDN w:val="0"/>
        <w:adjustRightInd w:val="0"/>
        <w:ind w:left="709"/>
        <w:textAlignment w:val="baseline"/>
        <w:rPr>
          <w:szCs w:val="20"/>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36180" w:rsidR="00B80A16" w:rsidTr="00F324F7" w14:paraId="4DB4B439" w14:textId="77777777">
        <w:tc>
          <w:tcPr>
            <w:tcW w:w="1418" w:type="dxa"/>
          </w:tcPr>
          <w:p w:rsidRPr="00536180" w:rsidR="00B80A16" w:rsidP="00B80A16" w:rsidRDefault="00B80A16" w14:paraId="2E5E35C7" w14:textId="77777777">
            <w:pPr>
              <w:overflowPunct w:val="0"/>
              <w:autoSpaceDE w:val="0"/>
              <w:autoSpaceDN w:val="0"/>
              <w:adjustRightInd w:val="0"/>
              <w:spacing w:line="240" w:lineRule="auto"/>
              <w:textAlignment w:val="baseline"/>
              <w:rPr>
                <w:i/>
                <w:sz w:val="22"/>
                <w:szCs w:val="22"/>
              </w:rPr>
            </w:pPr>
            <w:r w:rsidRPr="00536180">
              <w:rPr>
                <w:b/>
                <w:i/>
                <w:sz w:val="22"/>
                <w:szCs w:val="22"/>
              </w:rPr>
              <w:t>Kontakt</w:t>
            </w:r>
          </w:p>
        </w:tc>
        <w:tc>
          <w:tcPr>
            <w:tcW w:w="5670" w:type="dxa"/>
          </w:tcPr>
          <w:p w:rsidRPr="00536180" w:rsidR="00B80A16" w:rsidP="00B80A16" w:rsidRDefault="00B80A16" w14:paraId="6F41E32A" w14:textId="77777777">
            <w:pPr>
              <w:overflowPunct w:val="0"/>
              <w:autoSpaceDE w:val="0"/>
              <w:autoSpaceDN w:val="0"/>
              <w:adjustRightInd w:val="0"/>
              <w:spacing w:line="240" w:lineRule="auto"/>
              <w:textAlignment w:val="baseline"/>
              <w:rPr>
                <w:i/>
                <w:sz w:val="22"/>
                <w:szCs w:val="22"/>
              </w:rPr>
            </w:pPr>
            <w:r w:rsidRPr="00536180">
              <w:rPr>
                <w:i/>
                <w:sz w:val="22"/>
                <w:szCs w:val="22"/>
              </w:rPr>
              <w:t xml:space="preserve">Bartek </w:t>
            </w:r>
            <w:proofErr w:type="spellStart"/>
            <w:r w:rsidRPr="00536180">
              <w:rPr>
                <w:i/>
                <w:sz w:val="22"/>
                <w:szCs w:val="22"/>
              </w:rPr>
              <w:t>Bednarowicz</w:t>
            </w:r>
            <w:proofErr w:type="spellEnd"/>
          </w:p>
        </w:tc>
      </w:tr>
      <w:tr w:rsidRPr="00536180" w:rsidR="00B80A16" w:rsidTr="00F324F7" w14:paraId="5D861B45" w14:textId="77777777">
        <w:tc>
          <w:tcPr>
            <w:tcW w:w="1418" w:type="dxa"/>
          </w:tcPr>
          <w:p w:rsidRPr="00536180" w:rsidR="00B80A16" w:rsidP="00B80A16" w:rsidRDefault="00B80A16" w14:paraId="2872D330" w14:textId="77777777">
            <w:pPr>
              <w:overflowPunct w:val="0"/>
              <w:autoSpaceDE w:val="0"/>
              <w:autoSpaceDN w:val="0"/>
              <w:adjustRightInd w:val="0"/>
              <w:spacing w:line="240" w:lineRule="auto"/>
              <w:textAlignment w:val="baseline"/>
              <w:rPr>
                <w:i/>
                <w:sz w:val="22"/>
                <w:szCs w:val="22"/>
              </w:rPr>
            </w:pPr>
            <w:r w:rsidRPr="00536180">
              <w:rPr>
                <w:i/>
                <w:sz w:val="22"/>
                <w:szCs w:val="22"/>
              </w:rPr>
              <w:t>Tel.</w:t>
            </w:r>
          </w:p>
        </w:tc>
        <w:tc>
          <w:tcPr>
            <w:tcW w:w="5670" w:type="dxa"/>
          </w:tcPr>
          <w:p w:rsidRPr="00536180" w:rsidR="00B80A16" w:rsidP="00B80A16" w:rsidRDefault="00B80A16" w14:paraId="581CA22A" w14:textId="77777777">
            <w:pPr>
              <w:overflowPunct w:val="0"/>
              <w:autoSpaceDE w:val="0"/>
              <w:autoSpaceDN w:val="0"/>
              <w:adjustRightInd w:val="0"/>
              <w:spacing w:line="240" w:lineRule="auto"/>
              <w:textAlignment w:val="baseline"/>
              <w:rPr>
                <w:i/>
                <w:sz w:val="22"/>
                <w:szCs w:val="22"/>
              </w:rPr>
            </w:pPr>
            <w:r w:rsidRPr="00536180">
              <w:rPr>
                <w:i/>
                <w:sz w:val="22"/>
                <w:szCs w:val="22"/>
              </w:rPr>
              <w:t>+32 25469229</w:t>
            </w:r>
          </w:p>
        </w:tc>
      </w:tr>
      <w:tr w:rsidRPr="00536180" w:rsidR="00B80A16" w:rsidTr="00F324F7" w14:paraId="1EC78B68" w14:textId="77777777">
        <w:tc>
          <w:tcPr>
            <w:tcW w:w="1418" w:type="dxa"/>
          </w:tcPr>
          <w:p w:rsidRPr="00536180" w:rsidR="00B80A16" w:rsidP="00B80A16" w:rsidRDefault="001B6628" w14:paraId="7CD10320" w14:textId="13101F17">
            <w:pPr>
              <w:overflowPunct w:val="0"/>
              <w:autoSpaceDE w:val="0"/>
              <w:autoSpaceDN w:val="0"/>
              <w:adjustRightInd w:val="0"/>
              <w:spacing w:line="240" w:lineRule="auto"/>
              <w:textAlignment w:val="baseline"/>
              <w:rPr>
                <w:i/>
                <w:sz w:val="22"/>
                <w:szCs w:val="22"/>
              </w:rPr>
            </w:pPr>
            <w:r w:rsidRPr="00536180">
              <w:rPr>
                <w:i/>
                <w:sz w:val="22"/>
                <w:szCs w:val="22"/>
              </w:rPr>
              <w:t>E-Mail</w:t>
            </w:r>
          </w:p>
        </w:tc>
        <w:tc>
          <w:tcPr>
            <w:tcW w:w="5670" w:type="dxa"/>
          </w:tcPr>
          <w:p w:rsidRPr="00536180" w:rsidR="00B80A16" w:rsidP="00B80A16" w:rsidRDefault="00486D53" w14:paraId="7971D364" w14:textId="4031A271">
            <w:pPr>
              <w:overflowPunct w:val="0"/>
              <w:autoSpaceDE w:val="0"/>
              <w:autoSpaceDN w:val="0"/>
              <w:adjustRightInd w:val="0"/>
              <w:spacing w:line="240" w:lineRule="auto"/>
              <w:textAlignment w:val="baseline"/>
              <w:rPr>
                <w:i/>
                <w:iCs/>
                <w:sz w:val="22"/>
                <w:szCs w:val="22"/>
              </w:rPr>
            </w:pPr>
            <w:hyperlink w:history="1" r:id="rId40">
              <w:r w:rsidRPr="00536180" w:rsidR="007E03C9">
                <w:rPr>
                  <w:i/>
                  <w:color w:val="0000FF"/>
                  <w:sz w:val="22"/>
                  <w:szCs w:val="22"/>
                  <w:u w:val="single"/>
                </w:rPr>
                <w:t>Bartek.Bednarowicz@eesc.europa.eu</w:t>
              </w:r>
            </w:hyperlink>
          </w:p>
        </w:tc>
      </w:tr>
    </w:tbl>
    <w:p w:rsidR="004D7AC0" w:rsidP="004D7AC0" w:rsidRDefault="004D7AC0" w14:paraId="4982DDC5" w14:textId="28ACBA39">
      <w:pPr>
        <w:spacing w:after="160" w:line="259" w:lineRule="auto"/>
        <w:jc w:val="left"/>
      </w:pPr>
      <w:r>
        <w:br w:type="page"/>
      </w:r>
    </w:p>
    <w:p w:rsidR="004D7AC0" w:rsidRDefault="004D7AC0" w14:paraId="4982DDC6" w14:textId="77777777">
      <w:pPr>
        <w:pStyle w:val="Heading1"/>
      </w:pPr>
      <w:bookmarkStart w:name="_Toc24617160" w:id="2"/>
      <w:bookmarkStart w:name="_Toc75527082" w:id="3"/>
      <w:bookmarkStart w:name="_Toc182920363" w:id="4"/>
      <w:r>
        <w:lastRenderedPageBreak/>
        <w:t>VERKEHR, ENERGIE, INFRASTRUKTUREN, INFORMATIONSGESELLSCHAFT</w:t>
      </w:r>
      <w:bookmarkEnd w:id="2"/>
      <w:bookmarkEnd w:id="3"/>
      <w:bookmarkEnd w:id="4"/>
    </w:p>
    <w:p w:rsidR="004D7AC0" w:rsidP="004D7AC0" w:rsidRDefault="004D7AC0" w14:paraId="4982DDC7" w14:textId="77777777"/>
    <w:p w:rsidRPr="002C78FD" w:rsidR="006C457C" w:rsidP="006C457C" w:rsidRDefault="00486D53" w14:paraId="3A8057E4" w14:textId="6C8576EA">
      <w:pPr>
        <w:widowControl w:val="0"/>
        <w:numPr>
          <w:ilvl w:val="0"/>
          <w:numId w:val="8"/>
        </w:numPr>
        <w:overflowPunct w:val="0"/>
        <w:autoSpaceDE w:val="0"/>
        <w:autoSpaceDN w:val="0"/>
        <w:adjustRightInd w:val="0"/>
        <w:ind w:left="266" w:hanging="266"/>
        <w:textAlignment w:val="baseline"/>
        <w:rPr>
          <w:b/>
          <w:u w:val="single"/>
        </w:rPr>
      </w:pPr>
      <w:hyperlink w:history="1" r:id="rId41">
        <w:r w:rsidR="00276FC9">
          <w:rPr>
            <w:rStyle w:val="Hyperlink"/>
            <w:b/>
            <w:i/>
            <w:sz w:val="28"/>
          </w:rPr>
          <w:t>Potenzial der Geothermie für den ökologischen Wandel</w:t>
        </w:r>
      </w:hyperlink>
    </w:p>
    <w:p w:rsidRPr="00347517" w:rsidR="006C457C" w:rsidP="000F216A" w:rsidRDefault="006C457C" w14:paraId="0E7EAD09"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7496"/>
      </w:tblGrid>
      <w:tr w:rsidRPr="00536180" w:rsidR="006C457C" w:rsidTr="00DB536C" w14:paraId="47DEF071" w14:textId="77777777">
        <w:tc>
          <w:tcPr>
            <w:tcW w:w="2110" w:type="dxa"/>
          </w:tcPr>
          <w:p w:rsidRPr="00536180" w:rsidR="006C457C" w:rsidP="00F324F7" w:rsidRDefault="006C457C" w14:paraId="2CC0FA94" w14:textId="77777777">
            <w:pPr>
              <w:tabs>
                <w:tab w:val="center" w:pos="284"/>
              </w:tabs>
              <w:ind w:left="266" w:hanging="266"/>
              <w:rPr>
                <w:b/>
              </w:rPr>
            </w:pPr>
            <w:r w:rsidRPr="00536180">
              <w:rPr>
                <w:b/>
              </w:rPr>
              <w:t xml:space="preserve">Berichterstatter </w:t>
            </w:r>
          </w:p>
        </w:tc>
        <w:tc>
          <w:tcPr>
            <w:tcW w:w="7496" w:type="dxa"/>
          </w:tcPr>
          <w:p w:rsidRPr="00536180" w:rsidR="006C457C" w:rsidP="00F324F7" w:rsidRDefault="006C457C" w14:paraId="0259BE1C" w14:textId="53BF9BAA">
            <w:pPr>
              <w:tabs>
                <w:tab w:val="center" w:pos="284"/>
              </w:tabs>
              <w:ind w:left="266" w:hanging="266"/>
            </w:pPr>
            <w:r w:rsidRPr="00536180">
              <w:t>Zsolt KÜKEDI (Gruppe Organisationen der Zivilgesellschaft – Ungarn)</w:t>
            </w:r>
          </w:p>
        </w:tc>
      </w:tr>
      <w:tr w:rsidRPr="00536180" w:rsidR="006C457C" w:rsidTr="00DB536C" w14:paraId="3DFA0B1E" w14:textId="77777777">
        <w:tc>
          <w:tcPr>
            <w:tcW w:w="2110" w:type="dxa"/>
          </w:tcPr>
          <w:p w:rsidRPr="00536180" w:rsidR="006C457C" w:rsidP="00F324F7" w:rsidRDefault="006C457C" w14:paraId="4EBB08B4" w14:textId="77777777">
            <w:pPr>
              <w:tabs>
                <w:tab w:val="center" w:pos="284"/>
              </w:tabs>
              <w:ind w:left="266" w:hanging="266"/>
              <w:rPr>
                <w:b/>
              </w:rPr>
            </w:pPr>
            <w:r w:rsidRPr="00536180">
              <w:rPr>
                <w:b/>
              </w:rPr>
              <w:t>Ko-Berichterstatter</w:t>
            </w:r>
          </w:p>
        </w:tc>
        <w:tc>
          <w:tcPr>
            <w:tcW w:w="7496" w:type="dxa"/>
          </w:tcPr>
          <w:p w:rsidRPr="00536180" w:rsidR="006C457C" w:rsidP="00F324F7" w:rsidRDefault="006C457C" w14:paraId="7849B036" w14:textId="77777777">
            <w:pPr>
              <w:tabs>
                <w:tab w:val="center" w:pos="284"/>
              </w:tabs>
              <w:ind w:left="266" w:hanging="266"/>
            </w:pPr>
            <w:r w:rsidRPr="00536180">
              <w:t>Thomas KATTNIG (Gruppe Arbeitnehmer – AT)</w:t>
            </w:r>
          </w:p>
        </w:tc>
      </w:tr>
      <w:tr w:rsidRPr="00536180" w:rsidR="006C457C" w:rsidTr="00DB536C" w14:paraId="7AB5CDD0" w14:textId="77777777">
        <w:tc>
          <w:tcPr>
            <w:tcW w:w="9606" w:type="dxa"/>
            <w:gridSpan w:val="2"/>
          </w:tcPr>
          <w:p w:rsidRPr="00536180" w:rsidR="006C457C" w:rsidP="00F324F7" w:rsidRDefault="006C457C" w14:paraId="3C894F59" w14:textId="77777777">
            <w:pPr>
              <w:tabs>
                <w:tab w:val="center" w:pos="284"/>
              </w:tabs>
              <w:spacing w:line="160" w:lineRule="exact"/>
              <w:ind w:left="266" w:hanging="266"/>
            </w:pPr>
          </w:p>
        </w:tc>
      </w:tr>
      <w:tr w:rsidRPr="00536180" w:rsidR="006C457C" w:rsidTr="00DB536C" w14:paraId="25F01F59" w14:textId="77777777">
        <w:tc>
          <w:tcPr>
            <w:tcW w:w="2110" w:type="dxa"/>
            <w:vMerge w:val="restart"/>
          </w:tcPr>
          <w:p w:rsidRPr="00536180" w:rsidR="006C457C" w:rsidP="00F324F7" w:rsidRDefault="006C457C" w14:paraId="2BA5A584" w14:textId="77777777">
            <w:pPr>
              <w:tabs>
                <w:tab w:val="center" w:pos="284"/>
              </w:tabs>
              <w:ind w:left="266" w:hanging="266"/>
              <w:rPr>
                <w:b/>
              </w:rPr>
            </w:pPr>
            <w:r w:rsidRPr="00536180">
              <w:rPr>
                <w:b/>
              </w:rPr>
              <w:t>Referenzdokumente</w:t>
            </w:r>
          </w:p>
        </w:tc>
        <w:tc>
          <w:tcPr>
            <w:tcW w:w="7496" w:type="dxa"/>
          </w:tcPr>
          <w:p w:rsidRPr="00536180" w:rsidR="006C457C" w:rsidP="00F324F7" w:rsidRDefault="006C457C" w14:paraId="0CCB83A9" w14:textId="77777777">
            <w:pPr>
              <w:tabs>
                <w:tab w:val="center" w:pos="284"/>
              </w:tabs>
              <w:ind w:left="266" w:hanging="266"/>
            </w:pPr>
            <w:r w:rsidRPr="00536180">
              <w:t>Initiativstellungnahme</w:t>
            </w:r>
          </w:p>
          <w:p w:rsidRPr="00536180" w:rsidR="006C457C" w:rsidP="00F324F7" w:rsidRDefault="006C457C" w14:paraId="7686A18A" w14:textId="77777777">
            <w:pPr>
              <w:tabs>
                <w:tab w:val="center" w:pos="284"/>
              </w:tabs>
              <w:ind w:left="266" w:hanging="266"/>
            </w:pPr>
            <w:r w:rsidRPr="00536180">
              <w:t>EESC-2024-02690-00-00-AC</w:t>
            </w:r>
          </w:p>
        </w:tc>
      </w:tr>
      <w:tr w:rsidRPr="00A6689B" w:rsidR="006C457C" w:rsidTr="00DB536C" w14:paraId="542F8DBA" w14:textId="77777777">
        <w:tc>
          <w:tcPr>
            <w:tcW w:w="2110" w:type="dxa"/>
            <w:vMerge/>
          </w:tcPr>
          <w:p w:rsidRPr="00A6689B" w:rsidR="006C457C" w:rsidP="00F324F7" w:rsidRDefault="006C457C" w14:paraId="07EF68AF" w14:textId="77777777">
            <w:pPr>
              <w:tabs>
                <w:tab w:val="center" w:pos="284"/>
              </w:tabs>
              <w:ind w:left="266" w:hanging="266"/>
              <w:rPr>
                <w:b/>
              </w:rPr>
            </w:pPr>
          </w:p>
        </w:tc>
        <w:tc>
          <w:tcPr>
            <w:tcW w:w="7496" w:type="dxa"/>
          </w:tcPr>
          <w:p w:rsidRPr="00A6689B" w:rsidR="006C457C" w:rsidP="00F324F7" w:rsidRDefault="006C457C" w14:paraId="068FC2C4" w14:textId="77777777">
            <w:pPr>
              <w:tabs>
                <w:tab w:val="center" w:pos="284"/>
              </w:tabs>
              <w:ind w:left="266" w:hanging="266"/>
            </w:pPr>
          </w:p>
        </w:tc>
      </w:tr>
    </w:tbl>
    <w:p w:rsidRPr="00A6689B" w:rsidR="006C457C" w:rsidP="006C457C" w:rsidRDefault="006C457C" w14:paraId="3F5CFF13" w14:textId="77777777">
      <w:pPr>
        <w:tabs>
          <w:tab w:val="center" w:pos="284"/>
        </w:tabs>
        <w:ind w:left="266" w:hanging="266"/>
      </w:pPr>
    </w:p>
    <w:p w:rsidRPr="00A6689B" w:rsidR="006C457C" w:rsidP="006C457C" w:rsidRDefault="006C457C" w14:paraId="6DB241F5" w14:textId="77777777">
      <w:pPr>
        <w:keepNext/>
        <w:keepLines/>
        <w:tabs>
          <w:tab w:val="center" w:pos="284"/>
        </w:tabs>
        <w:ind w:left="266" w:hanging="266"/>
        <w:rPr>
          <w:b/>
        </w:rPr>
      </w:pPr>
      <w:r>
        <w:rPr>
          <w:b/>
        </w:rPr>
        <w:t>Kernaussagen</w:t>
      </w:r>
    </w:p>
    <w:p w:rsidRPr="00A6689B" w:rsidR="006C457C" w:rsidP="006C457C" w:rsidRDefault="006C457C" w14:paraId="6A994DD6" w14:textId="77777777">
      <w:pPr>
        <w:keepNext/>
        <w:keepLines/>
        <w:tabs>
          <w:tab w:val="center" w:pos="284"/>
        </w:tabs>
        <w:ind w:left="266" w:hanging="266"/>
        <w:rPr>
          <w:b/>
        </w:rPr>
      </w:pPr>
    </w:p>
    <w:p w:rsidRPr="00A6689B" w:rsidR="006C457C" w:rsidP="006C457C" w:rsidRDefault="006C457C" w14:paraId="164BF212" w14:textId="77777777">
      <w:pPr>
        <w:rPr>
          <w:bCs/>
          <w:iCs/>
        </w:rPr>
      </w:pPr>
      <w:r>
        <w:t>Der EWSA</w:t>
      </w:r>
    </w:p>
    <w:p w:rsidRPr="00A6689B" w:rsidR="006C457C" w:rsidP="006C457C" w:rsidRDefault="006C457C" w14:paraId="7A926285" w14:textId="77777777">
      <w:pPr>
        <w:rPr>
          <w:bCs/>
          <w:iCs/>
        </w:rPr>
      </w:pPr>
    </w:p>
    <w:p w:rsidRPr="00250CD0" w:rsidR="006C457C" w:rsidP="00536180" w:rsidRDefault="006C457C" w14:paraId="5CDA7B2E" w14:textId="77777777">
      <w:pPr>
        <w:numPr>
          <w:ilvl w:val="0"/>
          <w:numId w:val="43"/>
        </w:numPr>
        <w:overflowPunct w:val="0"/>
        <w:autoSpaceDE w:val="0"/>
        <w:autoSpaceDN w:val="0"/>
        <w:adjustRightInd w:val="0"/>
        <w:ind w:left="567" w:hanging="567"/>
        <w:textAlignment w:val="baseline"/>
        <w:outlineLvl w:val="1"/>
        <w:rPr>
          <w:bCs/>
          <w:iCs/>
        </w:rPr>
      </w:pPr>
      <w:r>
        <w:t>betont, dass die geothermische Energieerzeugung mit extrem geringen Treibhausgasemissionen verbunden ist und somit in Europa zur Verringerung der Abhängigkeit von fossilen Brennstoffen beitragen und der Dekarbonisierung dienen kann, wodurch ein wesentlicher Beitrag dazu geleistet wird, dass die EU ihr bis 2050 angestrebtes Ziel der Klimaneutralität erreicht;</w:t>
      </w:r>
    </w:p>
    <w:p w:rsidRPr="00A6689B" w:rsidR="006C457C" w:rsidP="00536180" w:rsidRDefault="006C457C" w14:paraId="44B47F15" w14:textId="77777777">
      <w:pPr>
        <w:numPr>
          <w:ilvl w:val="0"/>
          <w:numId w:val="43"/>
        </w:numPr>
        <w:overflowPunct w:val="0"/>
        <w:autoSpaceDE w:val="0"/>
        <w:autoSpaceDN w:val="0"/>
        <w:adjustRightInd w:val="0"/>
        <w:ind w:left="567" w:hanging="567"/>
        <w:textAlignment w:val="baseline"/>
        <w:outlineLvl w:val="1"/>
      </w:pPr>
      <w:r>
        <w:t>hebt hervor, dass das Potenzial der Geothermie in Europa bisher weitgehend unerschlossen ist, und fordert daher die Kommission auf, zur Erschließung des Potenzials der Geothermie eine allgemeine europäische Strategie für den Ausbau der Geothermie zu erarbeiten;</w:t>
      </w:r>
    </w:p>
    <w:p w:rsidRPr="00EE75BE" w:rsidR="006C457C" w:rsidP="00536180" w:rsidRDefault="006C457C" w14:paraId="5B7C2DA2" w14:textId="77777777">
      <w:pPr>
        <w:numPr>
          <w:ilvl w:val="0"/>
          <w:numId w:val="43"/>
        </w:numPr>
        <w:overflowPunct w:val="0"/>
        <w:autoSpaceDE w:val="0"/>
        <w:autoSpaceDN w:val="0"/>
        <w:adjustRightInd w:val="0"/>
        <w:ind w:left="567" w:hanging="567"/>
        <w:textAlignment w:val="baseline"/>
        <w:outlineLvl w:val="1"/>
        <w:rPr>
          <w:rFonts w:asciiTheme="minorHAnsi" w:hAnsiTheme="minorHAnsi"/>
        </w:rPr>
      </w:pPr>
      <w:r>
        <w:t xml:space="preserve">vertritt die Ansicht, dass Investitionen in Geothermiekraftwerke ohne Eingreifen der Mitgliedstaaten nicht funktionieren werden: Um Erstinvestoren zu gewinnen und die Erstinvestitionsrisiken zu senken, sind öffentliche Mittel und Anreize erforderlich. Durch Änderungen der Energiepolitik oder </w:t>
      </w:r>
      <w:r>
        <w:noBreakHyphen/>
      </w:r>
      <w:proofErr w:type="spellStart"/>
      <w:r>
        <w:t>finanzierung</w:t>
      </w:r>
      <w:proofErr w:type="spellEnd"/>
      <w:r>
        <w:t xml:space="preserve"> können </w:t>
      </w:r>
      <w:proofErr w:type="spellStart"/>
      <w:r>
        <w:t>Geothermieprojekte</w:t>
      </w:r>
      <w:proofErr w:type="spellEnd"/>
      <w:r>
        <w:t xml:space="preserve"> wirtschaftlich attraktiver werden.</w:t>
      </w:r>
    </w:p>
    <w:p w:rsidRPr="000624A9" w:rsidR="006C457C" w:rsidP="006C457C" w:rsidRDefault="006C457C" w14:paraId="45EF73FF"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6C457C" w:rsidTr="00F324F7" w14:paraId="692814A5" w14:textId="77777777">
        <w:tc>
          <w:tcPr>
            <w:tcW w:w="1418" w:type="dxa"/>
          </w:tcPr>
          <w:p w:rsidRPr="00A6689B" w:rsidR="006C457C" w:rsidP="00F324F7" w:rsidRDefault="006C457C" w14:paraId="0E41D6CE" w14:textId="77777777">
            <w:pPr>
              <w:spacing w:line="240" w:lineRule="auto"/>
              <w:rPr>
                <w:i/>
              </w:rPr>
            </w:pPr>
            <w:r>
              <w:rPr>
                <w:b/>
                <w:i/>
              </w:rPr>
              <w:t>Kontakt</w:t>
            </w:r>
          </w:p>
        </w:tc>
        <w:tc>
          <w:tcPr>
            <w:tcW w:w="5670" w:type="dxa"/>
          </w:tcPr>
          <w:p w:rsidRPr="00A6689B" w:rsidR="006C457C" w:rsidP="00F324F7" w:rsidRDefault="006C457C" w14:paraId="0EDA5629" w14:textId="77777777">
            <w:pPr>
              <w:spacing w:line="240" w:lineRule="auto"/>
              <w:rPr>
                <w:i/>
              </w:rPr>
            </w:pPr>
            <w:r>
              <w:rPr>
                <w:i/>
              </w:rPr>
              <w:t>António Ribeiro Pereira</w:t>
            </w:r>
          </w:p>
        </w:tc>
      </w:tr>
      <w:tr w:rsidRPr="00A6689B" w:rsidR="006C457C" w:rsidTr="00F324F7" w14:paraId="4DE1AECB" w14:textId="77777777">
        <w:tc>
          <w:tcPr>
            <w:tcW w:w="1418" w:type="dxa"/>
          </w:tcPr>
          <w:p w:rsidRPr="00A6689B" w:rsidR="006C457C" w:rsidP="00F324F7" w:rsidRDefault="006C457C" w14:paraId="41ACEF29" w14:textId="77777777">
            <w:pPr>
              <w:spacing w:line="240" w:lineRule="auto"/>
              <w:rPr>
                <w:i/>
              </w:rPr>
            </w:pPr>
            <w:r>
              <w:rPr>
                <w:i/>
              </w:rPr>
              <w:t>Tel.</w:t>
            </w:r>
          </w:p>
        </w:tc>
        <w:tc>
          <w:tcPr>
            <w:tcW w:w="5670" w:type="dxa"/>
          </w:tcPr>
          <w:p w:rsidRPr="00A6689B" w:rsidR="006C457C" w:rsidP="00F324F7" w:rsidRDefault="006C457C" w14:paraId="225FBCFB" w14:textId="77777777">
            <w:pPr>
              <w:spacing w:line="240" w:lineRule="auto"/>
              <w:rPr>
                <w:i/>
              </w:rPr>
            </w:pPr>
            <w:r>
              <w:rPr>
                <w:i/>
              </w:rPr>
              <w:t>+32 25469363</w:t>
            </w:r>
          </w:p>
        </w:tc>
      </w:tr>
      <w:tr w:rsidRPr="00A6689B" w:rsidR="006C457C" w:rsidTr="00F324F7" w14:paraId="476823F8" w14:textId="77777777">
        <w:tc>
          <w:tcPr>
            <w:tcW w:w="1418" w:type="dxa"/>
          </w:tcPr>
          <w:p w:rsidRPr="00A6689B" w:rsidR="006C457C" w:rsidP="00F324F7" w:rsidRDefault="006C172C" w14:paraId="65FB71C4" w14:textId="572FECBD">
            <w:pPr>
              <w:spacing w:line="240" w:lineRule="auto"/>
              <w:rPr>
                <w:i/>
              </w:rPr>
            </w:pPr>
            <w:r>
              <w:rPr>
                <w:i/>
              </w:rPr>
              <w:t>E-Mail</w:t>
            </w:r>
          </w:p>
        </w:tc>
        <w:tc>
          <w:tcPr>
            <w:tcW w:w="5670" w:type="dxa"/>
          </w:tcPr>
          <w:p w:rsidRPr="00A6689B" w:rsidR="006C457C" w:rsidP="00F324F7" w:rsidRDefault="00486D53" w14:paraId="7A486C1A" w14:textId="499C1E00">
            <w:pPr>
              <w:spacing w:line="240" w:lineRule="auto"/>
              <w:rPr>
                <w:i/>
              </w:rPr>
            </w:pPr>
            <w:hyperlink w:history="1" r:id="rId42">
              <w:r w:rsidR="00276FC9">
                <w:rPr>
                  <w:rStyle w:val="Hyperlink"/>
                  <w:i/>
                </w:rPr>
                <w:t>Antonio.RibeiroPereira@eesc.europa.eu</w:t>
              </w:r>
            </w:hyperlink>
          </w:p>
        </w:tc>
      </w:tr>
    </w:tbl>
    <w:p w:rsidRPr="006C457C" w:rsidR="004D7AC0" w:rsidP="006C457C" w:rsidRDefault="004D7AC0" w14:paraId="4982DDC8" w14:textId="77777777">
      <w:pPr>
        <w:ind w:left="710"/>
        <w:rPr>
          <w:b/>
          <w:i/>
          <w:sz w:val="28"/>
          <w:szCs w:val="28"/>
        </w:rPr>
      </w:pPr>
    </w:p>
    <w:p w:rsidR="00392AA4" w:rsidRDefault="00392AA4" w14:paraId="4982DDC9" w14:textId="0AAA6F9A">
      <w:pPr>
        <w:spacing w:after="160" w:line="259" w:lineRule="auto"/>
        <w:jc w:val="left"/>
      </w:pPr>
      <w:r>
        <w:br w:type="page"/>
      </w:r>
    </w:p>
    <w:p w:rsidRPr="00392AA4" w:rsidR="00392AA4" w:rsidP="00392AA4" w:rsidRDefault="00486D53" w14:paraId="16CA7AC7" w14:textId="6499E0B4">
      <w:pPr>
        <w:widowControl w:val="0"/>
        <w:numPr>
          <w:ilvl w:val="0"/>
          <w:numId w:val="8"/>
        </w:numPr>
        <w:overflowPunct w:val="0"/>
        <w:autoSpaceDE w:val="0"/>
        <w:autoSpaceDN w:val="0"/>
        <w:adjustRightInd w:val="0"/>
        <w:ind w:left="266" w:hanging="266"/>
        <w:textAlignment w:val="baseline"/>
        <w:rPr>
          <w:b/>
          <w:u w:val="single"/>
        </w:rPr>
      </w:pPr>
      <w:hyperlink w:history="1" r:id="rId43">
        <w:r w:rsidR="00276FC9">
          <w:rPr>
            <w:b/>
            <w:i/>
            <w:color w:val="0000FF"/>
            <w:sz w:val="28"/>
            <w:u w:val="single"/>
          </w:rPr>
          <w:t>Entsorgung radioaktiver Abfälle – Perspektive der Zivilgesellschaft</w:t>
        </w:r>
      </w:hyperlink>
    </w:p>
    <w:p w:rsidRPr="000F216A" w:rsidR="00392AA4" w:rsidP="000F216A" w:rsidRDefault="00392AA4" w14:paraId="31972488" w14:textId="77777777"/>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7354"/>
      </w:tblGrid>
      <w:tr w:rsidRPr="00536180" w:rsidR="00392AA4" w:rsidTr="00DB536C" w14:paraId="72A1E6A4" w14:textId="77777777">
        <w:tc>
          <w:tcPr>
            <w:tcW w:w="2110" w:type="dxa"/>
          </w:tcPr>
          <w:p w:rsidRPr="00536180" w:rsidR="00392AA4" w:rsidP="00392AA4" w:rsidRDefault="00392AA4" w14:paraId="0E613FF7"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 xml:space="preserve">Berichterstatterin </w:t>
            </w:r>
          </w:p>
        </w:tc>
        <w:tc>
          <w:tcPr>
            <w:tcW w:w="7354" w:type="dxa"/>
          </w:tcPr>
          <w:p w:rsidRPr="00536180" w:rsidR="00392AA4" w:rsidP="00392AA4" w:rsidRDefault="00392AA4" w14:paraId="43DF8FF1"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Alena MASTANTUONO (Gruppe Arbeitgeber – CZ)</w:t>
            </w:r>
          </w:p>
        </w:tc>
      </w:tr>
      <w:tr w:rsidRPr="00536180" w:rsidR="00392AA4" w:rsidTr="00DB536C" w14:paraId="4DF9456A" w14:textId="77777777">
        <w:tc>
          <w:tcPr>
            <w:tcW w:w="2110" w:type="dxa"/>
          </w:tcPr>
          <w:p w:rsidRPr="00536180" w:rsidR="00392AA4" w:rsidP="00392AA4" w:rsidRDefault="00392AA4" w14:paraId="481A1677"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Ko-Berichterstatter</w:t>
            </w:r>
          </w:p>
        </w:tc>
        <w:tc>
          <w:tcPr>
            <w:tcW w:w="7354" w:type="dxa"/>
          </w:tcPr>
          <w:p w:rsidRPr="00536180" w:rsidR="00392AA4" w:rsidP="00392AA4" w:rsidRDefault="00392AA4" w14:paraId="2BDCBADC"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Christophe QUAREZ (Gruppe Arbeitnehmer – FR)</w:t>
            </w:r>
          </w:p>
        </w:tc>
      </w:tr>
      <w:tr w:rsidRPr="00536180" w:rsidR="00392AA4" w:rsidTr="00DB536C" w14:paraId="75625242" w14:textId="77777777">
        <w:tc>
          <w:tcPr>
            <w:tcW w:w="9464" w:type="dxa"/>
            <w:gridSpan w:val="2"/>
          </w:tcPr>
          <w:p w:rsidRPr="00536180" w:rsidR="00392AA4" w:rsidP="00392AA4" w:rsidRDefault="00392AA4" w14:paraId="6EE8D5E3"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36180" w:rsidR="00392AA4" w:rsidTr="00DB536C" w14:paraId="58FDA19F" w14:textId="77777777">
        <w:tc>
          <w:tcPr>
            <w:tcW w:w="2110" w:type="dxa"/>
          </w:tcPr>
          <w:p w:rsidRPr="00536180" w:rsidR="00392AA4" w:rsidP="00392AA4" w:rsidRDefault="00392AA4" w14:paraId="57FAA44A"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Referenzdokumente</w:t>
            </w:r>
          </w:p>
        </w:tc>
        <w:tc>
          <w:tcPr>
            <w:tcW w:w="7354" w:type="dxa"/>
          </w:tcPr>
          <w:p w:rsidRPr="00536180" w:rsidR="00392AA4" w:rsidP="00392AA4" w:rsidRDefault="00392AA4" w14:paraId="457D7D87"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Initiativstellungnahme</w:t>
            </w:r>
          </w:p>
          <w:p w:rsidRPr="00536180" w:rsidR="00392AA4" w:rsidP="00392AA4" w:rsidRDefault="00392AA4" w14:paraId="7A458B4A"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EESC-2024-02352-00-00-AC</w:t>
            </w:r>
          </w:p>
        </w:tc>
      </w:tr>
    </w:tbl>
    <w:p w:rsidR="00DB536C" w:rsidP="00392AA4" w:rsidRDefault="00DB536C" w14:paraId="57CFC88E" w14:textId="77777777">
      <w:pPr>
        <w:keepNext/>
        <w:keepLines/>
        <w:tabs>
          <w:tab w:val="center" w:pos="284"/>
        </w:tabs>
        <w:overflowPunct w:val="0"/>
        <w:autoSpaceDE w:val="0"/>
        <w:autoSpaceDN w:val="0"/>
        <w:adjustRightInd w:val="0"/>
        <w:ind w:left="266" w:hanging="266"/>
        <w:textAlignment w:val="baseline"/>
        <w:rPr>
          <w:b/>
        </w:rPr>
      </w:pPr>
    </w:p>
    <w:p w:rsidRPr="00392AA4" w:rsidR="00392AA4" w:rsidP="00392AA4" w:rsidRDefault="00392AA4" w14:paraId="2C8C8FB0" w14:textId="40AA140B">
      <w:pPr>
        <w:keepNext/>
        <w:keepLines/>
        <w:tabs>
          <w:tab w:val="center" w:pos="284"/>
        </w:tabs>
        <w:overflowPunct w:val="0"/>
        <w:autoSpaceDE w:val="0"/>
        <w:autoSpaceDN w:val="0"/>
        <w:adjustRightInd w:val="0"/>
        <w:ind w:left="266" w:hanging="266"/>
        <w:textAlignment w:val="baseline"/>
        <w:rPr>
          <w:b/>
        </w:rPr>
      </w:pPr>
      <w:r>
        <w:rPr>
          <w:b/>
        </w:rPr>
        <w:t>Kernaussagen</w:t>
      </w:r>
    </w:p>
    <w:p w:rsidRPr="00392AA4" w:rsidR="00392AA4" w:rsidP="00392AA4" w:rsidRDefault="00392AA4" w14:paraId="27712656" w14:textId="77777777">
      <w:pPr>
        <w:keepNext/>
        <w:keepLines/>
        <w:tabs>
          <w:tab w:val="center" w:pos="284"/>
        </w:tabs>
        <w:overflowPunct w:val="0"/>
        <w:autoSpaceDE w:val="0"/>
        <w:autoSpaceDN w:val="0"/>
        <w:adjustRightInd w:val="0"/>
        <w:ind w:left="266" w:hanging="266"/>
        <w:textAlignment w:val="baseline"/>
        <w:rPr>
          <w:b/>
          <w:lang w:val="en-GB"/>
        </w:rPr>
      </w:pPr>
    </w:p>
    <w:p w:rsidRPr="00392AA4" w:rsidR="00392AA4" w:rsidP="00392AA4" w:rsidRDefault="00392AA4" w14:paraId="3AD86B16" w14:textId="77777777">
      <w:pPr>
        <w:overflowPunct w:val="0"/>
        <w:autoSpaceDE w:val="0"/>
        <w:autoSpaceDN w:val="0"/>
        <w:adjustRightInd w:val="0"/>
        <w:textAlignment w:val="baseline"/>
        <w:rPr>
          <w:bCs/>
          <w:iCs/>
        </w:rPr>
      </w:pPr>
      <w:r>
        <w:t>Der EWSA</w:t>
      </w:r>
    </w:p>
    <w:p w:rsidRPr="00392AA4" w:rsidR="00392AA4" w:rsidP="00392AA4" w:rsidRDefault="00392AA4" w14:paraId="1B910D87" w14:textId="77777777">
      <w:pPr>
        <w:overflowPunct w:val="0"/>
        <w:autoSpaceDE w:val="0"/>
        <w:autoSpaceDN w:val="0"/>
        <w:adjustRightInd w:val="0"/>
        <w:textAlignment w:val="baseline"/>
        <w:rPr>
          <w:bCs/>
          <w:iCs/>
          <w:lang w:val="en-GB"/>
        </w:rPr>
      </w:pPr>
    </w:p>
    <w:p w:rsidRPr="00392AA4" w:rsidR="00392AA4" w:rsidP="00536180" w:rsidRDefault="00392AA4" w14:paraId="26C0A20D" w14:textId="77777777">
      <w:pPr>
        <w:numPr>
          <w:ilvl w:val="0"/>
          <w:numId w:val="44"/>
        </w:numPr>
        <w:overflowPunct w:val="0"/>
        <w:autoSpaceDE w:val="0"/>
        <w:autoSpaceDN w:val="0"/>
        <w:adjustRightInd w:val="0"/>
        <w:ind w:left="567" w:hanging="567"/>
        <w:textAlignment w:val="baseline"/>
        <w:outlineLvl w:val="1"/>
        <w:rPr>
          <w:szCs w:val="20"/>
        </w:rPr>
      </w:pPr>
      <w:r>
        <w:t>betont, dass die Mitgliedstaaten mit Blick auf die Zivilgesellschaft in allen Bereichen der Entsorgung radioaktiver Abfälle ein inklusives Engagement, Offenheit und Transparenz erleichtern sollten – sowohl dort, wo bereits Lagerstätten vorhanden sind, als auch dort, wo ein potenzielles Interesse an der Erschließung entsprechender Lagerstätten besteht. Verfügbare Finanzmittel sollten eingesetzt werden, um zivilgesellschaftliche Gruppen und insbesondere die in der Nähe kerntechnischer Anlagen lebende lokale Bevölkerung besser in die Lage zu versetzen, sich unabhängig an Projekten und Studien zur Bewertung der Beteiligungsverfahren und der Transparenz bei der Entsorgung radioaktiver Abfälle zu beteiligen;</w:t>
      </w:r>
    </w:p>
    <w:p w:rsidRPr="00392AA4" w:rsidR="00392AA4" w:rsidP="00536180" w:rsidRDefault="00392AA4" w14:paraId="4715946E" w14:textId="77777777">
      <w:pPr>
        <w:numPr>
          <w:ilvl w:val="0"/>
          <w:numId w:val="44"/>
        </w:numPr>
        <w:overflowPunct w:val="0"/>
        <w:autoSpaceDE w:val="0"/>
        <w:autoSpaceDN w:val="0"/>
        <w:adjustRightInd w:val="0"/>
        <w:ind w:left="567" w:hanging="567"/>
        <w:textAlignment w:val="baseline"/>
        <w:outlineLvl w:val="1"/>
        <w:rPr>
          <w:szCs w:val="20"/>
        </w:rPr>
      </w:pPr>
      <w:r>
        <w:t>fordert die Mitgliedstaaten auf, ihrer Verantwortung in vollem Umfang gerecht zu werden, damit die Entsorgung radioaktiver Abfälle, unabhängig von deren Art, Abklingzeiten und Gefahrengrad, keine Belastung für künftige Generationen darstellt. Die Entwicklung gemeinsamer Lösungen, bspw. multinationale Endlager für die Entsorgung der Abfälle, könnte für einige EU-Mitgliedstaaten von Interesse sein, insbesondere für Länder, in denen die Menge radioaktiver Abfälle gering oder mittelgroß ist;</w:t>
      </w:r>
    </w:p>
    <w:p w:rsidRPr="00392AA4" w:rsidR="00392AA4" w:rsidP="00536180" w:rsidRDefault="00392AA4" w14:paraId="21EC1349" w14:textId="77777777">
      <w:pPr>
        <w:numPr>
          <w:ilvl w:val="0"/>
          <w:numId w:val="44"/>
        </w:numPr>
        <w:overflowPunct w:val="0"/>
        <w:autoSpaceDE w:val="0"/>
        <w:autoSpaceDN w:val="0"/>
        <w:adjustRightInd w:val="0"/>
        <w:ind w:left="567" w:hanging="567"/>
        <w:textAlignment w:val="baseline"/>
        <w:outlineLvl w:val="1"/>
        <w:rPr>
          <w:szCs w:val="20"/>
        </w:rPr>
      </w:pPr>
      <w:r>
        <w:t>ruft die EU-Mitgliedstaaten dazu auf, Anstrengungen zu unternehmen, damit möglichst geringe Mengen zu entsorgender Abfälle anfallen, und Strategien der Kreislaufwirtschaft dahingehend anzuwenden, dass die Entstehung radioaktiver Abfälle auf ein Minimum begrenzt wird, wo immer dies möglich ist;</w:t>
      </w:r>
    </w:p>
    <w:p w:rsidRPr="00392AA4" w:rsidR="00392AA4" w:rsidP="00536180" w:rsidRDefault="00392AA4" w14:paraId="78AC8A65" w14:textId="77777777">
      <w:pPr>
        <w:numPr>
          <w:ilvl w:val="0"/>
          <w:numId w:val="44"/>
        </w:numPr>
        <w:overflowPunct w:val="0"/>
        <w:autoSpaceDE w:val="0"/>
        <w:autoSpaceDN w:val="0"/>
        <w:adjustRightInd w:val="0"/>
        <w:ind w:left="567" w:hanging="567"/>
        <w:textAlignment w:val="baseline"/>
        <w:outlineLvl w:val="1"/>
        <w:rPr>
          <w:szCs w:val="20"/>
        </w:rPr>
      </w:pPr>
      <w:r>
        <w:t xml:space="preserve"> stellt fest, dass die EU-Richtlinie über die Entsorgung abgebrannter Brennelemente und radioaktiver Abfälle in den Mitgliedstaaten uneinheitlich angewandt wird. Dies führt dazu, dass zu wenig vergleichbare Daten zur Verfügung stehen; fordert die Mitgliedstaaten auf, bei der Überwachung und Berichterstattung über die bei der Umsetzung der Richtlinie erzielten Fortschritte verstärkt auf zentrale Leistungsindikatoren (KPI) zurückgreifen;</w:t>
      </w:r>
    </w:p>
    <w:p w:rsidRPr="00392AA4" w:rsidR="00392AA4" w:rsidP="00536180" w:rsidRDefault="00392AA4" w14:paraId="0E462B59" w14:textId="77777777">
      <w:pPr>
        <w:numPr>
          <w:ilvl w:val="0"/>
          <w:numId w:val="44"/>
        </w:numPr>
        <w:overflowPunct w:val="0"/>
        <w:autoSpaceDE w:val="0"/>
        <w:autoSpaceDN w:val="0"/>
        <w:adjustRightInd w:val="0"/>
        <w:ind w:left="567" w:hanging="567"/>
        <w:textAlignment w:val="baseline"/>
        <w:outlineLvl w:val="1"/>
        <w:rPr>
          <w:szCs w:val="20"/>
        </w:rPr>
      </w:pPr>
      <w:r>
        <w:t>plädiert dafür, die Aus- und Weiterbildung von Fachkräften und Wissenschaftlern im Bereich der Entsorgung radioaktiver Abfälle zu unterstützen, und empfiehlt „soziotechnische Konzepte“ für radioaktive Abfälle.</w:t>
      </w:r>
    </w:p>
    <w:p w:rsidRPr="00392AA4" w:rsidR="00392AA4" w:rsidP="00392AA4" w:rsidRDefault="00392AA4" w14:paraId="34F9A31D" w14:textId="77777777">
      <w:pPr>
        <w:widowControl w:val="0"/>
        <w:overflowPunct w:val="0"/>
        <w:autoSpaceDE w:val="0"/>
        <w:autoSpaceDN w:val="0"/>
        <w:adjustRightInd w:val="0"/>
        <w:ind w:left="709"/>
        <w:textAlignment w:val="baseline"/>
        <w:rPr>
          <w:szCs w:val="20"/>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36180" w:rsidR="00392AA4" w:rsidTr="00F324F7" w14:paraId="46E4703C" w14:textId="77777777">
        <w:tc>
          <w:tcPr>
            <w:tcW w:w="1418" w:type="dxa"/>
          </w:tcPr>
          <w:p w:rsidRPr="00536180" w:rsidR="00392AA4" w:rsidP="00392AA4" w:rsidRDefault="00392AA4" w14:paraId="67F368B3" w14:textId="77777777">
            <w:pPr>
              <w:overflowPunct w:val="0"/>
              <w:autoSpaceDE w:val="0"/>
              <w:autoSpaceDN w:val="0"/>
              <w:adjustRightInd w:val="0"/>
              <w:spacing w:line="240" w:lineRule="auto"/>
              <w:textAlignment w:val="baseline"/>
              <w:rPr>
                <w:i/>
                <w:sz w:val="22"/>
                <w:szCs w:val="22"/>
              </w:rPr>
            </w:pPr>
            <w:r w:rsidRPr="00536180">
              <w:rPr>
                <w:b/>
                <w:i/>
                <w:sz w:val="22"/>
                <w:szCs w:val="22"/>
              </w:rPr>
              <w:t>Kontakt</w:t>
            </w:r>
          </w:p>
        </w:tc>
        <w:tc>
          <w:tcPr>
            <w:tcW w:w="5670" w:type="dxa"/>
          </w:tcPr>
          <w:p w:rsidRPr="00536180" w:rsidR="00392AA4" w:rsidP="00392AA4" w:rsidRDefault="00392AA4" w14:paraId="00047AB7" w14:textId="77777777">
            <w:pPr>
              <w:overflowPunct w:val="0"/>
              <w:autoSpaceDE w:val="0"/>
              <w:autoSpaceDN w:val="0"/>
              <w:adjustRightInd w:val="0"/>
              <w:spacing w:line="240" w:lineRule="auto"/>
              <w:textAlignment w:val="baseline"/>
              <w:rPr>
                <w:i/>
                <w:sz w:val="22"/>
                <w:szCs w:val="22"/>
              </w:rPr>
            </w:pPr>
            <w:r w:rsidRPr="00536180">
              <w:rPr>
                <w:i/>
                <w:sz w:val="22"/>
                <w:szCs w:val="22"/>
              </w:rPr>
              <w:t xml:space="preserve">Albert </w:t>
            </w:r>
            <w:proofErr w:type="spellStart"/>
            <w:r w:rsidRPr="00536180">
              <w:rPr>
                <w:i/>
                <w:sz w:val="22"/>
                <w:szCs w:val="22"/>
              </w:rPr>
              <w:t>Precup</w:t>
            </w:r>
            <w:proofErr w:type="spellEnd"/>
          </w:p>
        </w:tc>
      </w:tr>
      <w:tr w:rsidRPr="00536180" w:rsidR="00392AA4" w:rsidTr="00F324F7" w14:paraId="50D270CC" w14:textId="77777777">
        <w:tc>
          <w:tcPr>
            <w:tcW w:w="1418" w:type="dxa"/>
          </w:tcPr>
          <w:p w:rsidRPr="00536180" w:rsidR="00392AA4" w:rsidP="00392AA4" w:rsidRDefault="00392AA4" w14:paraId="44B278A7" w14:textId="77777777">
            <w:pPr>
              <w:overflowPunct w:val="0"/>
              <w:autoSpaceDE w:val="0"/>
              <w:autoSpaceDN w:val="0"/>
              <w:adjustRightInd w:val="0"/>
              <w:spacing w:line="240" w:lineRule="auto"/>
              <w:textAlignment w:val="baseline"/>
              <w:rPr>
                <w:i/>
                <w:sz w:val="22"/>
                <w:szCs w:val="22"/>
              </w:rPr>
            </w:pPr>
            <w:r w:rsidRPr="00536180">
              <w:rPr>
                <w:i/>
                <w:sz w:val="22"/>
                <w:szCs w:val="22"/>
              </w:rPr>
              <w:t>Tel.</w:t>
            </w:r>
          </w:p>
        </w:tc>
        <w:tc>
          <w:tcPr>
            <w:tcW w:w="5670" w:type="dxa"/>
          </w:tcPr>
          <w:p w:rsidRPr="00536180" w:rsidR="00392AA4" w:rsidP="00392AA4" w:rsidRDefault="00392AA4" w14:paraId="0DCB719E" w14:textId="77777777">
            <w:pPr>
              <w:overflowPunct w:val="0"/>
              <w:autoSpaceDE w:val="0"/>
              <w:autoSpaceDN w:val="0"/>
              <w:adjustRightInd w:val="0"/>
              <w:spacing w:line="240" w:lineRule="auto"/>
              <w:textAlignment w:val="baseline"/>
              <w:rPr>
                <w:i/>
                <w:sz w:val="22"/>
                <w:szCs w:val="22"/>
              </w:rPr>
            </w:pPr>
            <w:r w:rsidRPr="00536180">
              <w:rPr>
                <w:i/>
                <w:sz w:val="22"/>
                <w:szCs w:val="22"/>
              </w:rPr>
              <w:t>+32 25469326</w:t>
            </w:r>
          </w:p>
        </w:tc>
      </w:tr>
      <w:tr w:rsidRPr="00536180" w:rsidR="00392AA4" w:rsidTr="00F324F7" w14:paraId="606098E2" w14:textId="77777777">
        <w:tc>
          <w:tcPr>
            <w:tcW w:w="1418" w:type="dxa"/>
          </w:tcPr>
          <w:p w:rsidRPr="00536180" w:rsidR="00392AA4" w:rsidP="00392AA4" w:rsidRDefault="0078435A" w14:paraId="343E1701" w14:textId="7E4E559E">
            <w:pPr>
              <w:overflowPunct w:val="0"/>
              <w:autoSpaceDE w:val="0"/>
              <w:autoSpaceDN w:val="0"/>
              <w:adjustRightInd w:val="0"/>
              <w:spacing w:line="240" w:lineRule="auto"/>
              <w:textAlignment w:val="baseline"/>
              <w:rPr>
                <w:i/>
                <w:sz w:val="22"/>
                <w:szCs w:val="22"/>
              </w:rPr>
            </w:pPr>
            <w:r w:rsidRPr="00536180">
              <w:rPr>
                <w:i/>
                <w:sz w:val="22"/>
                <w:szCs w:val="22"/>
              </w:rPr>
              <w:t>E-Mail</w:t>
            </w:r>
          </w:p>
        </w:tc>
        <w:tc>
          <w:tcPr>
            <w:tcW w:w="5670" w:type="dxa"/>
          </w:tcPr>
          <w:p w:rsidRPr="00536180" w:rsidR="00392AA4" w:rsidP="00392AA4" w:rsidRDefault="00486D53" w14:paraId="4D05537C" w14:textId="48095E4B">
            <w:pPr>
              <w:overflowPunct w:val="0"/>
              <w:autoSpaceDE w:val="0"/>
              <w:autoSpaceDN w:val="0"/>
              <w:adjustRightInd w:val="0"/>
              <w:spacing w:line="240" w:lineRule="auto"/>
              <w:textAlignment w:val="baseline"/>
              <w:rPr>
                <w:i/>
                <w:sz w:val="22"/>
                <w:szCs w:val="22"/>
              </w:rPr>
            </w:pPr>
            <w:hyperlink w:history="1" r:id="rId44">
              <w:r w:rsidRPr="00536180" w:rsidR="007E03C9">
                <w:rPr>
                  <w:rStyle w:val="Hyperlink"/>
                  <w:sz w:val="22"/>
                  <w:szCs w:val="22"/>
                </w:rPr>
                <w:t>Albert.Precup@eesc.europa.eu</w:t>
              </w:r>
            </w:hyperlink>
          </w:p>
        </w:tc>
      </w:tr>
    </w:tbl>
    <w:p w:rsidR="004D7AC0" w:rsidP="004D7AC0" w:rsidRDefault="004D7AC0" w14:paraId="47881A0C" w14:textId="77777777">
      <w:pPr>
        <w:pStyle w:val="ListParagraph"/>
        <w:ind w:left="567"/>
      </w:pPr>
    </w:p>
    <w:p w:rsidR="004D7AC0" w:rsidP="004D7AC0" w:rsidRDefault="004D7AC0" w14:paraId="4982DDF0" w14:textId="77777777">
      <w:pPr>
        <w:pStyle w:val="ListParagraph"/>
        <w:ind w:left="0"/>
      </w:pPr>
    </w:p>
    <w:p w:rsidR="004D7AC0" w:rsidP="004D7AC0" w:rsidRDefault="004D7AC0" w14:paraId="4982DDF1" w14:textId="77777777">
      <w:pPr>
        <w:pStyle w:val="ListParagraph"/>
        <w:ind w:left="0"/>
      </w:pPr>
    </w:p>
    <w:p w:rsidR="004D7AC0" w:rsidP="004D7AC0" w:rsidRDefault="004D7AC0" w14:paraId="4982DDF2" w14:textId="77777777">
      <w:pPr>
        <w:spacing w:after="160" w:line="259" w:lineRule="auto"/>
        <w:jc w:val="left"/>
      </w:pPr>
      <w:r>
        <w:br w:type="page"/>
      </w:r>
    </w:p>
    <w:p w:rsidR="004D7AC0" w:rsidRDefault="004D7AC0" w14:paraId="4982DDF3" w14:textId="77777777">
      <w:pPr>
        <w:pStyle w:val="Heading1"/>
      </w:pPr>
      <w:bookmarkStart w:name="_Toc75527083" w:id="5"/>
      <w:bookmarkStart w:name="_Toc182920364" w:id="6"/>
      <w:r>
        <w:lastRenderedPageBreak/>
        <w:t>BINNENMARKT, PRODUKTION, VERBRAUCH</w:t>
      </w:r>
      <w:bookmarkEnd w:id="5"/>
      <w:bookmarkEnd w:id="6"/>
    </w:p>
    <w:p w:rsidR="004D7AC0" w:rsidP="004D7AC0" w:rsidRDefault="004D7AC0" w14:paraId="4982DDF4" w14:textId="77777777"/>
    <w:p w:rsidRPr="00DB536C" w:rsidR="007A5F00" w:rsidP="007A5F00" w:rsidRDefault="00486D53" w14:paraId="6D1B960A" w14:textId="594DD244">
      <w:pPr>
        <w:widowControl w:val="0"/>
        <w:numPr>
          <w:ilvl w:val="0"/>
          <w:numId w:val="8"/>
        </w:numPr>
        <w:overflowPunct w:val="0"/>
        <w:autoSpaceDE w:val="0"/>
        <w:autoSpaceDN w:val="0"/>
        <w:adjustRightInd w:val="0"/>
        <w:ind w:left="266" w:hanging="266"/>
        <w:textAlignment w:val="baseline"/>
        <w:rPr>
          <w:rStyle w:val="Hyperlink"/>
          <w:b/>
          <w:color w:val="auto"/>
          <w:u w:val="none"/>
        </w:rPr>
      </w:pPr>
      <w:hyperlink w:tgtFrame="_blank" w:history="1" r:id="rId45">
        <w:r w:rsidR="00276FC9">
          <w:rPr>
            <w:rStyle w:val="Hyperlink"/>
            <w:b/>
            <w:i/>
            <w:sz w:val="28"/>
          </w:rPr>
          <w:t>Bericht über die Wettbewerbspolitik 2023</w:t>
        </w:r>
      </w:hyperlink>
    </w:p>
    <w:p w:rsidRPr="005E4210" w:rsidR="00DB536C" w:rsidP="00DB536C" w:rsidRDefault="00DB536C" w14:paraId="19885D03" w14:textId="77777777">
      <w:pPr>
        <w:widowControl w:val="0"/>
        <w:overflowPunct w:val="0"/>
        <w:autoSpaceDE w:val="0"/>
        <w:autoSpaceDN w:val="0"/>
        <w:adjustRightInd w:val="0"/>
        <w:ind w:left="266"/>
        <w:textAlignment w:val="baseline"/>
        <w:rPr>
          <w:b/>
        </w:rPr>
      </w:pPr>
    </w:p>
    <w:tbl>
      <w:tblPr>
        <w:tblStyle w:val="TableGrid"/>
        <w:tblW w:w="494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7478"/>
      </w:tblGrid>
      <w:tr w:rsidRPr="00536180" w:rsidR="007A5F00" w:rsidTr="00DB536C" w14:paraId="4E67491F" w14:textId="77777777">
        <w:tc>
          <w:tcPr>
            <w:tcW w:w="1107" w:type="pct"/>
          </w:tcPr>
          <w:p w:rsidRPr="00536180" w:rsidR="007A5F00" w:rsidP="00F324F7" w:rsidRDefault="007A5F00" w14:paraId="065627A7" w14:textId="77777777">
            <w:pPr>
              <w:tabs>
                <w:tab w:val="center" w:pos="284"/>
              </w:tabs>
              <w:ind w:left="266" w:hanging="266"/>
              <w:rPr>
                <w:b/>
              </w:rPr>
            </w:pPr>
            <w:r w:rsidRPr="00536180">
              <w:rPr>
                <w:b/>
              </w:rPr>
              <w:t>Berichterstatter</w:t>
            </w:r>
          </w:p>
        </w:tc>
        <w:tc>
          <w:tcPr>
            <w:tcW w:w="3893" w:type="pct"/>
          </w:tcPr>
          <w:p w:rsidRPr="00536180" w:rsidR="007A5F00" w:rsidP="00F324F7" w:rsidRDefault="007A5F00" w14:paraId="3D430017" w14:textId="38D73651">
            <w:pPr>
              <w:tabs>
                <w:tab w:val="center" w:pos="284"/>
              </w:tabs>
              <w:ind w:left="266" w:hanging="266"/>
            </w:pPr>
            <w:r w:rsidRPr="00536180">
              <w:t xml:space="preserve">Giuseppe GUERINI (Gruppe Organisationen der Zivilgesellschaft – IT) </w:t>
            </w:r>
          </w:p>
        </w:tc>
      </w:tr>
      <w:tr w:rsidRPr="00536180" w:rsidR="007A5F00" w:rsidTr="00DB536C" w14:paraId="5237549D" w14:textId="77777777">
        <w:tc>
          <w:tcPr>
            <w:tcW w:w="5000" w:type="pct"/>
            <w:gridSpan w:val="2"/>
          </w:tcPr>
          <w:p w:rsidRPr="00536180" w:rsidR="007A5F00" w:rsidP="00F324F7" w:rsidRDefault="007A5F00" w14:paraId="6B6D1123" w14:textId="77777777">
            <w:pPr>
              <w:tabs>
                <w:tab w:val="center" w:pos="284"/>
              </w:tabs>
              <w:spacing w:line="160" w:lineRule="exact"/>
              <w:ind w:left="266" w:hanging="266"/>
            </w:pPr>
          </w:p>
        </w:tc>
      </w:tr>
      <w:tr w:rsidRPr="00536180" w:rsidR="007A5F00" w:rsidTr="00DB536C" w14:paraId="328D8021" w14:textId="77777777">
        <w:tc>
          <w:tcPr>
            <w:tcW w:w="1107" w:type="pct"/>
            <w:vMerge w:val="restart"/>
          </w:tcPr>
          <w:p w:rsidRPr="00536180" w:rsidR="007A5F00" w:rsidP="00F324F7" w:rsidRDefault="007A5F00" w14:paraId="2FB5F044" w14:textId="77777777">
            <w:pPr>
              <w:tabs>
                <w:tab w:val="center" w:pos="284"/>
              </w:tabs>
              <w:ind w:left="266" w:hanging="266"/>
              <w:rPr>
                <w:b/>
              </w:rPr>
            </w:pPr>
            <w:r w:rsidRPr="00536180">
              <w:rPr>
                <w:b/>
              </w:rPr>
              <w:t>Referenzdokumente</w:t>
            </w:r>
          </w:p>
        </w:tc>
        <w:tc>
          <w:tcPr>
            <w:tcW w:w="3893" w:type="pct"/>
          </w:tcPr>
          <w:p w:rsidRPr="00536180" w:rsidR="007A5F00" w:rsidP="00F324F7" w:rsidRDefault="007A5F00" w14:paraId="71CF2363" w14:textId="77777777">
            <w:pPr>
              <w:tabs>
                <w:tab w:val="center" w:pos="284"/>
              </w:tabs>
              <w:ind w:left="266" w:hanging="266"/>
            </w:pPr>
            <w:r w:rsidRPr="00536180">
              <w:t>COM(2024) 115 final</w:t>
            </w:r>
          </w:p>
        </w:tc>
      </w:tr>
      <w:tr w:rsidRPr="00536180" w:rsidR="007A5F00" w:rsidTr="00DB536C" w14:paraId="78137C0C" w14:textId="77777777">
        <w:tc>
          <w:tcPr>
            <w:tcW w:w="1107" w:type="pct"/>
            <w:vMerge/>
          </w:tcPr>
          <w:p w:rsidRPr="00536180" w:rsidR="007A5F00" w:rsidP="00F324F7" w:rsidRDefault="007A5F00" w14:paraId="797952DE" w14:textId="77777777">
            <w:pPr>
              <w:tabs>
                <w:tab w:val="center" w:pos="284"/>
              </w:tabs>
              <w:ind w:left="266" w:hanging="266"/>
              <w:rPr>
                <w:b/>
              </w:rPr>
            </w:pPr>
          </w:p>
        </w:tc>
        <w:tc>
          <w:tcPr>
            <w:tcW w:w="3893" w:type="pct"/>
          </w:tcPr>
          <w:p w:rsidRPr="00536180" w:rsidR="007A5F00" w:rsidP="00F324F7" w:rsidRDefault="007A5F00" w14:paraId="3E6D0988" w14:textId="77777777">
            <w:pPr>
              <w:tabs>
                <w:tab w:val="center" w:pos="284"/>
              </w:tabs>
              <w:ind w:left="266" w:hanging="266"/>
            </w:pPr>
            <w:r w:rsidRPr="00536180">
              <w:t>EESC-2024-01290-00-00-AC</w:t>
            </w:r>
          </w:p>
        </w:tc>
      </w:tr>
    </w:tbl>
    <w:p w:rsidRPr="00A6689B" w:rsidR="007A5F00" w:rsidP="007A5F00" w:rsidRDefault="007A5F00" w14:paraId="1E8AC9CE" w14:textId="77777777">
      <w:pPr>
        <w:tabs>
          <w:tab w:val="center" w:pos="284"/>
        </w:tabs>
        <w:ind w:left="266" w:hanging="266"/>
      </w:pPr>
    </w:p>
    <w:p w:rsidRPr="00A6689B" w:rsidR="007A5F00" w:rsidP="007A5F00" w:rsidRDefault="007A5F00" w14:paraId="4D6C979C" w14:textId="77777777">
      <w:pPr>
        <w:keepNext/>
        <w:keepLines/>
        <w:tabs>
          <w:tab w:val="center" w:pos="284"/>
        </w:tabs>
        <w:ind w:left="266" w:hanging="266"/>
        <w:rPr>
          <w:b/>
        </w:rPr>
      </w:pPr>
      <w:r>
        <w:rPr>
          <w:b/>
        </w:rPr>
        <w:t>Kernaussagen</w:t>
      </w:r>
    </w:p>
    <w:p w:rsidRPr="00A6689B" w:rsidR="007A5F00" w:rsidP="007A5F00" w:rsidRDefault="007A5F00" w14:paraId="5A012937" w14:textId="77777777">
      <w:pPr>
        <w:keepNext/>
        <w:keepLines/>
        <w:tabs>
          <w:tab w:val="center" w:pos="284"/>
        </w:tabs>
        <w:ind w:left="266" w:hanging="266"/>
        <w:rPr>
          <w:b/>
        </w:rPr>
      </w:pPr>
    </w:p>
    <w:p w:rsidRPr="00A6689B" w:rsidR="007A5F00" w:rsidP="007A5F00" w:rsidRDefault="007A5F00" w14:paraId="7997123F" w14:textId="77777777">
      <w:pPr>
        <w:rPr>
          <w:bCs/>
          <w:iCs/>
        </w:rPr>
      </w:pPr>
      <w:r>
        <w:t>Der EWSA</w:t>
      </w:r>
    </w:p>
    <w:p w:rsidRPr="00A6689B" w:rsidR="007A5F00" w:rsidP="007A5F00" w:rsidRDefault="007A5F00" w14:paraId="33A3F0FA" w14:textId="77777777">
      <w:pPr>
        <w:rPr>
          <w:bCs/>
          <w:iCs/>
        </w:rPr>
      </w:pPr>
    </w:p>
    <w:p w:rsidRPr="002766BA" w:rsidR="007A5F00" w:rsidP="00536180" w:rsidRDefault="007A5F00" w14:paraId="3360647D" w14:textId="77777777">
      <w:pPr>
        <w:numPr>
          <w:ilvl w:val="0"/>
          <w:numId w:val="45"/>
        </w:numPr>
        <w:overflowPunct w:val="0"/>
        <w:autoSpaceDE w:val="0"/>
        <w:autoSpaceDN w:val="0"/>
        <w:adjustRightInd w:val="0"/>
        <w:ind w:left="567" w:hanging="567"/>
        <w:textAlignment w:val="baseline"/>
        <w:outlineLvl w:val="1"/>
        <w:rPr>
          <w:bCs/>
          <w:iCs/>
        </w:rPr>
      </w:pPr>
      <w:r>
        <w:t xml:space="preserve">ist der Auffassung, dass der derzeitige </w:t>
      </w:r>
      <w:r>
        <w:rPr>
          <w:b/>
        </w:rPr>
        <w:t>befristete Rahmen zur Krisenbewältigung und zur Gestaltung des Wandels</w:t>
      </w:r>
      <w:r>
        <w:t xml:space="preserve"> (</w:t>
      </w:r>
      <w:proofErr w:type="spellStart"/>
      <w:r>
        <w:rPr>
          <w:i/>
          <w:iCs/>
        </w:rPr>
        <w:t>Temporary</w:t>
      </w:r>
      <w:proofErr w:type="spellEnd"/>
      <w:r>
        <w:rPr>
          <w:i/>
          <w:iCs/>
        </w:rPr>
        <w:t xml:space="preserve"> Crisis and Transition Framework</w:t>
      </w:r>
      <w:r>
        <w:t xml:space="preserve">, TCTF) gründlich bewertet werden sollte. Es gilt zu entscheiden, ob es sinnvoll ist, ihn – wie derzeit vorgesehen – </w:t>
      </w:r>
      <w:r>
        <w:rPr>
          <w:b/>
        </w:rPr>
        <w:t>im Jahr 2025 auslaufen zu lassen, oder ob nicht vielmehr einige Elemente, die sich für den ökologischen Wandel als vorteilhaft erwiesen haben, in die regulären Vorschriften für staatliche Beihilfen aufgenommen werden sollten, insbesondere verfahrenstechnische Verbesserungen</w:t>
      </w:r>
      <w:r>
        <w:t>;</w:t>
      </w:r>
    </w:p>
    <w:p w:rsidRPr="00A6689B" w:rsidR="007A5F00" w:rsidP="00536180" w:rsidRDefault="007A5F00" w14:paraId="13FBD5B2" w14:textId="77777777">
      <w:pPr>
        <w:numPr>
          <w:ilvl w:val="0"/>
          <w:numId w:val="45"/>
        </w:numPr>
        <w:overflowPunct w:val="0"/>
        <w:autoSpaceDE w:val="0"/>
        <w:autoSpaceDN w:val="0"/>
        <w:adjustRightInd w:val="0"/>
        <w:ind w:left="567" w:hanging="567"/>
        <w:textAlignment w:val="baseline"/>
        <w:outlineLvl w:val="1"/>
        <w:rPr>
          <w:bCs/>
          <w:iCs/>
        </w:rPr>
      </w:pPr>
      <w:r>
        <w:t xml:space="preserve">fordert Überlegungen zu einem wichtigen Abschnitt im von </w:t>
      </w:r>
      <w:r>
        <w:rPr>
          <w:b/>
        </w:rPr>
        <w:t xml:space="preserve">Enrico Letta erstellten Bericht „Much More </w:t>
      </w:r>
      <w:proofErr w:type="spellStart"/>
      <w:r>
        <w:rPr>
          <w:b/>
        </w:rPr>
        <w:t>Than</w:t>
      </w:r>
      <w:proofErr w:type="spellEnd"/>
      <w:r>
        <w:rPr>
          <w:b/>
        </w:rPr>
        <w:t xml:space="preserve"> a Market“</w:t>
      </w:r>
      <w:r>
        <w:t xml:space="preserve"> über die Notwendigkeit, rasch gezielte öffentliche Unterstützung für die Industrie auf nationaler Ebene zu mobilisieren, um ein Marktversagen unter Wahrung der Verhältnismäßigkeit zu vermeiden und eine Fragmentierung des Binnenmarkts zu verhindern. Eine Möglichkeit, dieses Dilemma zu überwinden, könnte darin bestehen, ein Gleichgewicht zwischen </w:t>
      </w:r>
      <w:r>
        <w:rPr>
          <w:b/>
        </w:rPr>
        <w:t>einer strengeren Anwendung staatlicher Beihilfen auf nationaler Ebene und der schrittweisen Ausweitung der finanziellen Unterstützung auf EU-Ebene</w:t>
      </w:r>
      <w:r>
        <w:t xml:space="preserve"> zu finden. Insbesondere käme ein </w:t>
      </w:r>
      <w:r>
        <w:rPr>
          <w:b/>
        </w:rPr>
        <w:t>Beitragsmechanismus bei staatlichen Beihilfen</w:t>
      </w:r>
      <w:r>
        <w:t xml:space="preserve"> in Frage, mit dem die Mitgliedstaaten dazu verpflichtet werden, einen Teil ihrer nationalen Mittel für die Finanzierung europaweiter Initiativen und Investitionen bereitzustellen;</w:t>
      </w:r>
    </w:p>
    <w:p w:rsidR="007A5F00" w:rsidP="00536180" w:rsidRDefault="007A5F00" w14:paraId="3F41CFAD" w14:textId="77777777">
      <w:pPr>
        <w:numPr>
          <w:ilvl w:val="0"/>
          <w:numId w:val="45"/>
        </w:numPr>
        <w:overflowPunct w:val="0"/>
        <w:autoSpaceDE w:val="0"/>
        <w:autoSpaceDN w:val="0"/>
        <w:adjustRightInd w:val="0"/>
        <w:ind w:left="567" w:hanging="567"/>
        <w:textAlignment w:val="baseline"/>
        <w:outlineLvl w:val="1"/>
        <w:rPr>
          <w:bCs/>
          <w:iCs/>
        </w:rPr>
      </w:pPr>
      <w:r>
        <w:t xml:space="preserve">betont, dass der </w:t>
      </w:r>
      <w:r>
        <w:rPr>
          <w:b/>
        </w:rPr>
        <w:t>Zugang der sozialwirtschaftlichen Akteure zu Finanzmitteln während ihres gesamten Tätigkeitszyklus erleichtert werden</w:t>
      </w:r>
      <w:r>
        <w:t xml:space="preserve"> muss. Zu diesem Zweck könnten die Allgemeine Gruppenfreistellungsverordnung (AGVO) für staatliche Beihilfen an Sozialunternehmen angepasst und die Vorschriften über Beihilfen an Sozialunternehmen mit Blick auf die Einstellung benachteiligter Arbeitnehmer neu bewertet werden;</w:t>
      </w:r>
    </w:p>
    <w:p w:rsidR="007A5F00" w:rsidP="00536180" w:rsidRDefault="007A5F00" w14:paraId="5AC8FAA9" w14:textId="77777777">
      <w:pPr>
        <w:numPr>
          <w:ilvl w:val="0"/>
          <w:numId w:val="45"/>
        </w:numPr>
        <w:overflowPunct w:val="0"/>
        <w:autoSpaceDE w:val="0"/>
        <w:autoSpaceDN w:val="0"/>
        <w:adjustRightInd w:val="0"/>
        <w:ind w:left="567" w:hanging="567"/>
        <w:textAlignment w:val="baseline"/>
        <w:outlineLvl w:val="1"/>
      </w:pPr>
      <w:r>
        <w:t xml:space="preserve">hält den Gedanken einer möglichen </w:t>
      </w:r>
      <w:r>
        <w:rPr>
          <w:b/>
        </w:rPr>
        <w:t>künftigen Einrichtung eines gesamteuropäischen Souveränitätsfonds für staatliche Beihilfen</w:t>
      </w:r>
      <w:r>
        <w:t>, wie er im Letta-Bericht vorgeschlagen wird, für sehr interessant. Dieser Fonds könnte sich sowohl für die Wahrung des sozialen Zusammenhalts als auch für das reibungslose Funktionieren des Binnenmarkts als nützlich erweisen.</w:t>
      </w:r>
    </w:p>
    <w:p w:rsidRPr="000624A9" w:rsidR="007A5F00" w:rsidP="007A5F00" w:rsidRDefault="007A5F00" w14:paraId="51DAE8A4"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536180" w:rsidR="007A5F00" w:rsidTr="00F324F7" w14:paraId="70269681" w14:textId="77777777">
        <w:tc>
          <w:tcPr>
            <w:tcW w:w="1556" w:type="pct"/>
          </w:tcPr>
          <w:p w:rsidRPr="00536180" w:rsidR="007A5F00" w:rsidP="00F324F7" w:rsidRDefault="007A5F00" w14:paraId="561BAED3" w14:textId="77777777">
            <w:pPr>
              <w:spacing w:line="240" w:lineRule="auto"/>
              <w:rPr>
                <w:i/>
              </w:rPr>
            </w:pPr>
            <w:r w:rsidRPr="00536180">
              <w:rPr>
                <w:b/>
                <w:i/>
              </w:rPr>
              <w:t>Kontakt</w:t>
            </w:r>
          </w:p>
        </w:tc>
        <w:tc>
          <w:tcPr>
            <w:tcW w:w="3444" w:type="pct"/>
          </w:tcPr>
          <w:p w:rsidRPr="00536180" w:rsidR="007A5F00" w:rsidP="00F324F7" w:rsidRDefault="007A5F00" w14:paraId="7F0EA6EC" w14:textId="77777777">
            <w:pPr>
              <w:spacing w:line="240" w:lineRule="auto"/>
              <w:rPr>
                <w:i/>
              </w:rPr>
            </w:pPr>
            <w:r w:rsidRPr="00536180">
              <w:rPr>
                <w:i/>
              </w:rPr>
              <w:t xml:space="preserve">Silvia </w:t>
            </w:r>
            <w:proofErr w:type="spellStart"/>
            <w:r w:rsidRPr="00536180">
              <w:rPr>
                <w:i/>
              </w:rPr>
              <w:t>Staffa</w:t>
            </w:r>
            <w:proofErr w:type="spellEnd"/>
          </w:p>
        </w:tc>
      </w:tr>
      <w:tr w:rsidRPr="00536180" w:rsidR="007A5F00" w:rsidTr="00F324F7" w14:paraId="7319C70E" w14:textId="77777777">
        <w:tc>
          <w:tcPr>
            <w:tcW w:w="1556" w:type="pct"/>
          </w:tcPr>
          <w:p w:rsidRPr="00536180" w:rsidR="007A5F00" w:rsidP="00F324F7" w:rsidRDefault="007A5F00" w14:paraId="1368CCED" w14:textId="77777777">
            <w:pPr>
              <w:spacing w:line="240" w:lineRule="auto"/>
              <w:rPr>
                <w:i/>
              </w:rPr>
            </w:pPr>
            <w:r w:rsidRPr="00536180">
              <w:rPr>
                <w:i/>
              </w:rPr>
              <w:t>Tel.</w:t>
            </w:r>
          </w:p>
        </w:tc>
        <w:tc>
          <w:tcPr>
            <w:tcW w:w="3444" w:type="pct"/>
          </w:tcPr>
          <w:p w:rsidRPr="00536180" w:rsidR="007A5F00" w:rsidP="00F324F7" w:rsidRDefault="007A5F00" w14:paraId="368A4F87" w14:textId="77777777">
            <w:pPr>
              <w:spacing w:line="240" w:lineRule="auto"/>
              <w:rPr>
                <w:i/>
              </w:rPr>
            </w:pPr>
            <w:r w:rsidRPr="00536180">
              <w:rPr>
                <w:i/>
              </w:rPr>
              <w:t>+32 25468244</w:t>
            </w:r>
          </w:p>
        </w:tc>
      </w:tr>
      <w:tr w:rsidRPr="00536180" w:rsidR="007A5F00" w:rsidTr="00F324F7" w14:paraId="6CD820A7" w14:textId="77777777">
        <w:tc>
          <w:tcPr>
            <w:tcW w:w="1556" w:type="pct"/>
          </w:tcPr>
          <w:p w:rsidRPr="00536180" w:rsidR="007A5F00" w:rsidP="00F324F7" w:rsidRDefault="003451B0" w14:paraId="3EF65C32" w14:textId="12516F21">
            <w:pPr>
              <w:spacing w:line="240" w:lineRule="auto"/>
              <w:rPr>
                <w:i/>
              </w:rPr>
            </w:pPr>
            <w:r w:rsidRPr="00536180">
              <w:rPr>
                <w:i/>
              </w:rPr>
              <w:t>E-Mail</w:t>
            </w:r>
          </w:p>
        </w:tc>
        <w:tc>
          <w:tcPr>
            <w:tcW w:w="3444" w:type="pct"/>
          </w:tcPr>
          <w:p w:rsidRPr="00536180" w:rsidR="007A5F00" w:rsidP="00F324F7" w:rsidRDefault="00486D53" w14:paraId="0C3BCA9A" w14:textId="21BC0983">
            <w:pPr>
              <w:spacing w:line="240" w:lineRule="auto"/>
              <w:rPr>
                <w:i/>
              </w:rPr>
            </w:pPr>
            <w:hyperlink w:history="1" r:id="rId46">
              <w:r w:rsidRPr="00536180" w:rsidR="00276FC9">
                <w:rPr>
                  <w:rStyle w:val="Hyperlink"/>
                  <w:i/>
                </w:rPr>
                <w:t>Silvia.Staffa@eesc.europa.eu</w:t>
              </w:r>
            </w:hyperlink>
          </w:p>
        </w:tc>
      </w:tr>
    </w:tbl>
    <w:p w:rsidR="002F20BE" w:rsidP="002F20BE" w:rsidRDefault="002F20BE" w14:paraId="4982DDF5" w14:textId="36EBFD4F">
      <w:pPr>
        <w:ind w:left="710"/>
        <w:rPr>
          <w:b/>
          <w:i/>
          <w:sz w:val="28"/>
          <w:szCs w:val="28"/>
        </w:rPr>
      </w:pPr>
    </w:p>
    <w:p w:rsidR="002F20BE" w:rsidRDefault="002F20BE" w14:paraId="1661963F" w14:textId="77777777">
      <w:pPr>
        <w:spacing w:after="160" w:line="259" w:lineRule="auto"/>
        <w:jc w:val="left"/>
        <w:rPr>
          <w:b/>
          <w:i/>
          <w:sz w:val="28"/>
          <w:szCs w:val="28"/>
        </w:rPr>
      </w:pPr>
      <w:r>
        <w:br w:type="page"/>
      </w:r>
    </w:p>
    <w:p w:rsidRPr="00926B4A" w:rsidR="00926B4A" w:rsidP="00926B4A" w:rsidRDefault="00486D53" w14:paraId="337B37D9" w14:textId="5920FCE2">
      <w:pPr>
        <w:widowControl w:val="0"/>
        <w:numPr>
          <w:ilvl w:val="0"/>
          <w:numId w:val="8"/>
        </w:numPr>
        <w:overflowPunct w:val="0"/>
        <w:autoSpaceDE w:val="0"/>
        <w:autoSpaceDN w:val="0"/>
        <w:adjustRightInd w:val="0"/>
        <w:ind w:hanging="567"/>
        <w:textAlignment w:val="baseline"/>
        <w:rPr>
          <w:sz w:val="20"/>
          <w:szCs w:val="20"/>
        </w:rPr>
      </w:pPr>
      <w:hyperlink w:history="1" r:id="rId47">
        <w:r w:rsidR="00276FC9">
          <w:rPr>
            <w:b/>
            <w:i/>
            <w:color w:val="0000FF"/>
            <w:sz w:val="28"/>
            <w:u w:val="single"/>
          </w:rPr>
          <w:t>Vergabe öffentlicher Aufträge/Unternehmen der Sozialwirtschaft</w:t>
        </w:r>
      </w:hyperlink>
    </w:p>
    <w:p w:rsidRPr="000F216A" w:rsidR="00926B4A" w:rsidP="000F216A" w:rsidRDefault="00926B4A" w14:paraId="191A5062" w14:textId="77777777"/>
    <w:tbl>
      <w:tblPr>
        <w:tblStyle w:val="TableGrid9"/>
        <w:tblW w:w="494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7478"/>
      </w:tblGrid>
      <w:tr w:rsidRPr="00536180" w:rsidR="00926B4A" w:rsidTr="00DB536C" w14:paraId="01FAE0D8" w14:textId="77777777">
        <w:trPr>
          <w:trHeight w:val="406"/>
        </w:trPr>
        <w:tc>
          <w:tcPr>
            <w:tcW w:w="1107" w:type="pct"/>
          </w:tcPr>
          <w:p w:rsidRPr="00536180" w:rsidR="00926B4A" w:rsidP="00926B4A" w:rsidRDefault="00926B4A" w14:paraId="218A7D32"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Berichterstatter</w:t>
            </w:r>
          </w:p>
          <w:p w:rsidRPr="00536180" w:rsidR="00926B4A" w:rsidP="00926B4A" w:rsidRDefault="00926B4A" w14:paraId="58F1A67A"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Ko-Berichterstatter</w:t>
            </w:r>
          </w:p>
        </w:tc>
        <w:tc>
          <w:tcPr>
            <w:tcW w:w="3893" w:type="pct"/>
          </w:tcPr>
          <w:p w:rsidRPr="00536180" w:rsidR="00926B4A" w:rsidP="00926B4A" w:rsidRDefault="00926B4A" w14:paraId="498C82D1" w14:textId="61925745">
            <w:pPr>
              <w:tabs>
                <w:tab w:val="center" w:pos="0"/>
              </w:tabs>
              <w:overflowPunct w:val="0"/>
              <w:autoSpaceDE w:val="0"/>
              <w:autoSpaceDN w:val="0"/>
              <w:adjustRightInd w:val="0"/>
              <w:ind w:left="266" w:hanging="266"/>
              <w:textAlignment w:val="baseline"/>
              <w:rPr>
                <w:sz w:val="22"/>
                <w:szCs w:val="22"/>
              </w:rPr>
            </w:pPr>
            <w:r w:rsidRPr="00536180">
              <w:rPr>
                <w:sz w:val="22"/>
                <w:szCs w:val="22"/>
              </w:rPr>
              <w:t>Ferdinand WYCKMANS (Gruppe Arbeitnehmer – BE)</w:t>
            </w:r>
          </w:p>
          <w:p w:rsidRPr="00536180" w:rsidR="00926B4A" w:rsidP="00926B4A" w:rsidRDefault="00926B4A" w14:paraId="496CBFB3" w14:textId="462AE4DB">
            <w:pPr>
              <w:tabs>
                <w:tab w:val="center" w:pos="0"/>
              </w:tabs>
              <w:overflowPunct w:val="0"/>
              <w:autoSpaceDE w:val="0"/>
              <w:autoSpaceDN w:val="0"/>
              <w:adjustRightInd w:val="0"/>
              <w:ind w:left="266" w:hanging="266"/>
              <w:textAlignment w:val="baseline"/>
              <w:rPr>
                <w:sz w:val="22"/>
                <w:szCs w:val="22"/>
              </w:rPr>
            </w:pPr>
            <w:r w:rsidRPr="00536180">
              <w:rPr>
                <w:sz w:val="22"/>
                <w:szCs w:val="22"/>
              </w:rPr>
              <w:t>Alain COHEUR (Gruppe Organisationen der Zivilgesellschaft – BE)</w:t>
            </w:r>
          </w:p>
          <w:p w:rsidRPr="00536180" w:rsidR="00643F95" w:rsidP="00926B4A" w:rsidRDefault="00643F95" w14:paraId="2E83665E" w14:textId="77777777">
            <w:pPr>
              <w:tabs>
                <w:tab w:val="center" w:pos="0"/>
              </w:tabs>
              <w:overflowPunct w:val="0"/>
              <w:autoSpaceDE w:val="0"/>
              <w:autoSpaceDN w:val="0"/>
              <w:adjustRightInd w:val="0"/>
              <w:ind w:left="266" w:hanging="266"/>
              <w:textAlignment w:val="baseline"/>
              <w:rPr>
                <w:sz w:val="22"/>
                <w:szCs w:val="22"/>
                <w:lang w:val="en-GB"/>
              </w:rPr>
            </w:pPr>
          </w:p>
        </w:tc>
      </w:tr>
      <w:tr w:rsidRPr="00536180" w:rsidR="00926B4A" w:rsidTr="00DB536C" w14:paraId="2199AB02" w14:textId="77777777">
        <w:tc>
          <w:tcPr>
            <w:tcW w:w="1107" w:type="pct"/>
          </w:tcPr>
          <w:p w:rsidRPr="00536180" w:rsidR="00926B4A" w:rsidP="00926B4A" w:rsidRDefault="00926B4A" w14:paraId="109076E5"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Referenzdokumente</w:t>
            </w:r>
          </w:p>
        </w:tc>
        <w:tc>
          <w:tcPr>
            <w:tcW w:w="3893" w:type="pct"/>
          </w:tcPr>
          <w:p w:rsidRPr="00536180" w:rsidR="00926B4A" w:rsidP="00926B4A" w:rsidRDefault="00926B4A" w14:paraId="112DDA0E"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Initiativstellungnahme</w:t>
            </w:r>
          </w:p>
          <w:p w:rsidRPr="00536180" w:rsidR="00926B4A" w:rsidP="00926B4A" w:rsidRDefault="00926B4A" w14:paraId="271311AC"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EESC-2024-00655-00-00-AC</w:t>
            </w:r>
          </w:p>
        </w:tc>
      </w:tr>
    </w:tbl>
    <w:p w:rsidRPr="00926B4A" w:rsidR="00926B4A" w:rsidP="00926B4A" w:rsidRDefault="00926B4A" w14:paraId="1F42360F" w14:textId="77777777">
      <w:pPr>
        <w:keepNext/>
        <w:keepLines/>
        <w:tabs>
          <w:tab w:val="center" w:pos="284"/>
        </w:tabs>
        <w:overflowPunct w:val="0"/>
        <w:autoSpaceDE w:val="0"/>
        <w:autoSpaceDN w:val="0"/>
        <w:adjustRightInd w:val="0"/>
        <w:ind w:left="266" w:hanging="266"/>
        <w:textAlignment w:val="baseline"/>
        <w:rPr>
          <w:b/>
          <w:lang w:val="en-GB"/>
        </w:rPr>
      </w:pPr>
    </w:p>
    <w:p w:rsidRPr="00926B4A" w:rsidR="00926B4A" w:rsidP="00926B4A" w:rsidRDefault="00926B4A" w14:paraId="4A20981E"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926B4A" w:rsidR="00926B4A" w:rsidP="00926B4A" w:rsidRDefault="00926B4A" w14:paraId="5F78995A" w14:textId="77777777">
      <w:pPr>
        <w:keepNext/>
        <w:keepLines/>
        <w:tabs>
          <w:tab w:val="center" w:pos="284"/>
        </w:tabs>
        <w:overflowPunct w:val="0"/>
        <w:autoSpaceDE w:val="0"/>
        <w:autoSpaceDN w:val="0"/>
        <w:adjustRightInd w:val="0"/>
        <w:ind w:left="266" w:hanging="266"/>
        <w:textAlignment w:val="baseline"/>
        <w:rPr>
          <w:bCs/>
          <w:lang w:val="en-GB"/>
        </w:rPr>
      </w:pPr>
    </w:p>
    <w:p w:rsidR="00926B4A" w:rsidP="00926B4A" w:rsidRDefault="00926B4A" w14:paraId="30A00576" w14:textId="77777777">
      <w:pPr>
        <w:overflowPunct w:val="0"/>
        <w:autoSpaceDE w:val="0"/>
        <w:autoSpaceDN w:val="0"/>
        <w:adjustRightInd w:val="0"/>
        <w:textAlignment w:val="baseline"/>
        <w:rPr>
          <w:bCs/>
          <w:iCs/>
        </w:rPr>
      </w:pPr>
      <w:r>
        <w:t>Der EWSA</w:t>
      </w:r>
    </w:p>
    <w:p w:rsidRPr="00926B4A" w:rsidR="00646F72" w:rsidP="00926B4A" w:rsidRDefault="00646F72" w14:paraId="14429487" w14:textId="77777777">
      <w:pPr>
        <w:overflowPunct w:val="0"/>
        <w:autoSpaceDE w:val="0"/>
        <w:autoSpaceDN w:val="0"/>
        <w:adjustRightInd w:val="0"/>
        <w:textAlignment w:val="baseline"/>
        <w:rPr>
          <w:bCs/>
          <w:iCs/>
          <w:lang w:val="en-GB"/>
        </w:rPr>
      </w:pPr>
    </w:p>
    <w:p w:rsidRPr="00926B4A" w:rsidR="00926B4A" w:rsidP="00536180" w:rsidRDefault="00926B4A" w14:paraId="05FE4BB3" w14:textId="77777777">
      <w:pPr>
        <w:numPr>
          <w:ilvl w:val="0"/>
          <w:numId w:val="46"/>
        </w:numPr>
        <w:overflowPunct w:val="0"/>
        <w:autoSpaceDE w:val="0"/>
        <w:autoSpaceDN w:val="0"/>
        <w:adjustRightInd w:val="0"/>
        <w:ind w:left="567" w:hanging="567"/>
        <w:textAlignment w:val="baseline"/>
        <w:outlineLvl w:val="1"/>
        <w:rPr>
          <w:bCs/>
          <w:iCs/>
        </w:rPr>
      </w:pPr>
      <w:r>
        <w:t>weist darauf hin, dass der Zugang zu öffentlichen Aufträgen für Unternehmen der Sozialwirtschaft von entscheidender Bedeutung ist, und betont, wie wichtig es ist, innovative Kriterien mit einem echten, nicht marktbestimmten Wert festzulegen;</w:t>
      </w:r>
    </w:p>
    <w:p w:rsidRPr="00926B4A" w:rsidR="00926B4A" w:rsidP="00536180" w:rsidRDefault="00926B4A" w14:paraId="07AABE9D" w14:textId="77777777">
      <w:pPr>
        <w:numPr>
          <w:ilvl w:val="0"/>
          <w:numId w:val="46"/>
        </w:numPr>
        <w:overflowPunct w:val="0"/>
        <w:autoSpaceDE w:val="0"/>
        <w:autoSpaceDN w:val="0"/>
        <w:adjustRightInd w:val="0"/>
        <w:ind w:left="567" w:hanging="567"/>
        <w:textAlignment w:val="baseline"/>
        <w:outlineLvl w:val="1"/>
        <w:rPr>
          <w:bCs/>
          <w:iCs/>
        </w:rPr>
      </w:pPr>
      <w:r>
        <w:t>befürwortet Initiativen wie „</w:t>
      </w:r>
      <w:proofErr w:type="spellStart"/>
      <w:r>
        <w:t>Buying</w:t>
      </w:r>
      <w:proofErr w:type="spellEnd"/>
      <w:r>
        <w:t xml:space="preserve"> </w:t>
      </w:r>
      <w:proofErr w:type="spellStart"/>
      <w:r>
        <w:t>for</w:t>
      </w:r>
      <w:proofErr w:type="spellEnd"/>
      <w:r>
        <w:t xml:space="preserve"> </w:t>
      </w:r>
      <w:proofErr w:type="spellStart"/>
      <w:r>
        <w:t>Social</w:t>
      </w:r>
      <w:proofErr w:type="spellEnd"/>
      <w:r>
        <w:t xml:space="preserve"> Impact“ und „</w:t>
      </w:r>
      <w:proofErr w:type="spellStart"/>
      <w:r>
        <w:t>We</w:t>
      </w:r>
      <w:proofErr w:type="spellEnd"/>
      <w:r>
        <w:t xml:space="preserve"> Buy </w:t>
      </w:r>
      <w:proofErr w:type="spellStart"/>
      <w:r>
        <w:t>Social</w:t>
      </w:r>
      <w:proofErr w:type="spellEnd"/>
      <w:r>
        <w:t xml:space="preserve"> EU“, die über den Wissensaustausch hinaus das gegenseitige Verständnis zwischen Behörden und Akteuren der Sozialwirtschaft und der Lokalwirtschaft verbessern, und fordert die Umsetzung des Fahrplans von Lüttich für die Sozialwirtschaft;</w:t>
      </w:r>
    </w:p>
    <w:p w:rsidRPr="00926B4A" w:rsidR="00926B4A" w:rsidP="00536180" w:rsidRDefault="00926B4A" w14:paraId="3C5F436F" w14:textId="77777777">
      <w:pPr>
        <w:numPr>
          <w:ilvl w:val="0"/>
          <w:numId w:val="46"/>
        </w:numPr>
        <w:overflowPunct w:val="0"/>
        <w:autoSpaceDE w:val="0"/>
        <w:autoSpaceDN w:val="0"/>
        <w:adjustRightInd w:val="0"/>
        <w:ind w:left="567" w:hanging="567"/>
        <w:textAlignment w:val="baseline"/>
        <w:outlineLvl w:val="1"/>
        <w:rPr>
          <w:bCs/>
          <w:iCs/>
        </w:rPr>
      </w:pPr>
      <w:r>
        <w:t>ruft die Mitgliedstaaten und die verschiedenen Regierungsebenen auf, alle Maßnahmen und Aktionen der Empfehlung zu Rahmenbedingungen für die Sozialwirtschaft umzusetzen, um sozialwirtschaftlichen Einrichtungen den Marktzugang zu erleichtern, z. B. durch die Festlegung verhältnismäßiger und inklusiver Auswahlkriterien oder durch die Aufteilung der Aufträge in Lose;</w:t>
      </w:r>
    </w:p>
    <w:p w:rsidRPr="00926B4A" w:rsidR="00926B4A" w:rsidP="00536180" w:rsidRDefault="00926B4A" w14:paraId="2DAACE38" w14:textId="77777777">
      <w:pPr>
        <w:numPr>
          <w:ilvl w:val="0"/>
          <w:numId w:val="46"/>
        </w:numPr>
        <w:overflowPunct w:val="0"/>
        <w:autoSpaceDE w:val="0"/>
        <w:autoSpaceDN w:val="0"/>
        <w:adjustRightInd w:val="0"/>
        <w:ind w:left="567" w:hanging="567"/>
        <w:textAlignment w:val="baseline"/>
        <w:outlineLvl w:val="1"/>
        <w:rPr>
          <w:bCs/>
          <w:iCs/>
        </w:rPr>
      </w:pPr>
      <w:r>
        <w:t>fordert die Kommission nachdrücklich auf, den kürzlich vom Rat geforderten EU-weiten strategischen Aktionsplan für die Vergabe öffentlicher Aufträge so bald wie möglich auf den Weg zu bringen und im Hinblick auf die Wirksamkeit der Maßnahmen ein System zur Überwachung der Umsetzung zu entwickeln;</w:t>
      </w:r>
    </w:p>
    <w:p w:rsidRPr="00926B4A" w:rsidR="00926B4A" w:rsidP="00536180" w:rsidRDefault="00926B4A" w14:paraId="0CB60C78" w14:textId="77777777">
      <w:pPr>
        <w:numPr>
          <w:ilvl w:val="0"/>
          <w:numId w:val="46"/>
        </w:numPr>
        <w:overflowPunct w:val="0"/>
        <w:autoSpaceDE w:val="0"/>
        <w:autoSpaceDN w:val="0"/>
        <w:adjustRightInd w:val="0"/>
        <w:ind w:left="567" w:hanging="567"/>
        <w:textAlignment w:val="baseline"/>
        <w:outlineLvl w:val="1"/>
        <w:rPr>
          <w:bCs/>
          <w:iCs/>
        </w:rPr>
      </w:pPr>
      <w:r>
        <w:t>fordert eine umfassende Bewertung und Überarbeitung des EU-Rahmens für die Vergabe öffentlicher Aufträge in der neuen Legislaturperiode;</w:t>
      </w:r>
    </w:p>
    <w:p w:rsidRPr="00926B4A" w:rsidR="00926B4A" w:rsidP="00536180" w:rsidRDefault="00926B4A" w14:paraId="3F090E11" w14:textId="77777777">
      <w:pPr>
        <w:numPr>
          <w:ilvl w:val="0"/>
          <w:numId w:val="46"/>
        </w:numPr>
        <w:overflowPunct w:val="0"/>
        <w:autoSpaceDE w:val="0"/>
        <w:autoSpaceDN w:val="0"/>
        <w:adjustRightInd w:val="0"/>
        <w:ind w:left="567" w:hanging="567"/>
        <w:textAlignment w:val="baseline"/>
        <w:outlineLvl w:val="1"/>
        <w:rPr>
          <w:bCs/>
          <w:iCs/>
        </w:rPr>
      </w:pPr>
      <w:r>
        <w:t>fordert die öffentlichen Auftraggeber in der EU auf, vorherige Marktkonsultationen, vorbehaltene Aufträge und die Aufteilung in Lose besser zu nutzen;</w:t>
      </w:r>
    </w:p>
    <w:p w:rsidR="00926B4A" w:rsidP="00536180" w:rsidRDefault="00926B4A" w14:paraId="596D7E09" w14:textId="77777777">
      <w:pPr>
        <w:numPr>
          <w:ilvl w:val="0"/>
          <w:numId w:val="46"/>
        </w:numPr>
        <w:overflowPunct w:val="0"/>
        <w:autoSpaceDE w:val="0"/>
        <w:autoSpaceDN w:val="0"/>
        <w:adjustRightInd w:val="0"/>
        <w:ind w:left="567" w:hanging="567"/>
        <w:textAlignment w:val="baseline"/>
        <w:outlineLvl w:val="1"/>
        <w:rPr>
          <w:bCs/>
          <w:iCs/>
        </w:rPr>
      </w:pPr>
      <w:r>
        <w:t>fordert die Kommission auf, im EU-Gateway für die Sozialwirtschaft eine spezifische Rubrik für die sozial verantwortliche Vergabe öffentlicher Aufträge einzurichten, um den Austausch von Wissen und bewährten Verfahren zu fördern.</w:t>
      </w:r>
    </w:p>
    <w:p w:rsidRPr="00926B4A" w:rsidR="00643F95" w:rsidP="00536180" w:rsidRDefault="00643F95" w14:paraId="1F7FE8CC" w14:textId="77777777">
      <w:pPr>
        <w:overflowPunct w:val="0"/>
        <w:autoSpaceDE w:val="0"/>
        <w:autoSpaceDN w:val="0"/>
        <w:adjustRightInd w:val="0"/>
        <w:ind w:left="567" w:hanging="567"/>
        <w:textAlignment w:val="baseline"/>
        <w:outlineLvl w:val="1"/>
        <w:rPr>
          <w:bCs/>
          <w:iCs/>
          <w:lang w:val="en-GB"/>
        </w:rPr>
      </w:pPr>
    </w:p>
    <w:tbl>
      <w:tblPr>
        <w:tblStyle w:val="TableGrid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7"/>
        <w:gridCol w:w="5384"/>
      </w:tblGrid>
      <w:tr w:rsidRPr="00536180" w:rsidR="00926B4A" w:rsidTr="00F324F7" w14:paraId="5E8C3D27" w14:textId="77777777">
        <w:tc>
          <w:tcPr>
            <w:tcW w:w="1059" w:type="pct"/>
          </w:tcPr>
          <w:p w:rsidRPr="00536180" w:rsidR="00926B4A" w:rsidP="00926B4A" w:rsidRDefault="00926B4A" w14:paraId="588913A2" w14:textId="77777777">
            <w:pPr>
              <w:overflowPunct w:val="0"/>
              <w:autoSpaceDE w:val="0"/>
              <w:autoSpaceDN w:val="0"/>
              <w:adjustRightInd w:val="0"/>
              <w:spacing w:line="240" w:lineRule="auto"/>
              <w:textAlignment w:val="baseline"/>
              <w:rPr>
                <w:i/>
                <w:sz w:val="22"/>
                <w:szCs w:val="22"/>
              </w:rPr>
            </w:pPr>
            <w:r w:rsidRPr="00536180">
              <w:rPr>
                <w:b/>
                <w:i/>
                <w:sz w:val="22"/>
                <w:szCs w:val="22"/>
              </w:rPr>
              <w:t>Kontakt</w:t>
            </w:r>
          </w:p>
        </w:tc>
        <w:tc>
          <w:tcPr>
            <w:tcW w:w="3941" w:type="pct"/>
          </w:tcPr>
          <w:p w:rsidRPr="00536180" w:rsidR="00926B4A" w:rsidP="00926B4A" w:rsidRDefault="00926B4A" w14:paraId="1DC30B11" w14:textId="77777777">
            <w:pPr>
              <w:overflowPunct w:val="0"/>
              <w:autoSpaceDE w:val="0"/>
              <w:autoSpaceDN w:val="0"/>
              <w:adjustRightInd w:val="0"/>
              <w:spacing w:line="240" w:lineRule="auto"/>
              <w:textAlignment w:val="baseline"/>
              <w:rPr>
                <w:i/>
                <w:sz w:val="22"/>
                <w:szCs w:val="22"/>
              </w:rPr>
            </w:pPr>
            <w:r w:rsidRPr="00536180">
              <w:rPr>
                <w:i/>
                <w:sz w:val="22"/>
                <w:szCs w:val="22"/>
              </w:rPr>
              <w:t xml:space="preserve">Annalisa </w:t>
            </w:r>
            <w:proofErr w:type="spellStart"/>
            <w:r w:rsidRPr="00536180">
              <w:rPr>
                <w:i/>
                <w:sz w:val="22"/>
                <w:szCs w:val="22"/>
              </w:rPr>
              <w:t>Tessarolo</w:t>
            </w:r>
            <w:proofErr w:type="spellEnd"/>
          </w:p>
        </w:tc>
      </w:tr>
      <w:tr w:rsidRPr="00536180" w:rsidR="00926B4A" w:rsidTr="00F324F7" w14:paraId="758BA8CE" w14:textId="77777777">
        <w:tc>
          <w:tcPr>
            <w:tcW w:w="1059" w:type="pct"/>
          </w:tcPr>
          <w:p w:rsidRPr="00536180" w:rsidR="00926B4A" w:rsidP="00926B4A" w:rsidRDefault="00926B4A" w14:paraId="4512E0ED" w14:textId="77777777">
            <w:pPr>
              <w:overflowPunct w:val="0"/>
              <w:autoSpaceDE w:val="0"/>
              <w:autoSpaceDN w:val="0"/>
              <w:adjustRightInd w:val="0"/>
              <w:spacing w:line="240" w:lineRule="auto"/>
              <w:textAlignment w:val="baseline"/>
              <w:rPr>
                <w:i/>
                <w:sz w:val="22"/>
                <w:szCs w:val="22"/>
              </w:rPr>
            </w:pPr>
            <w:r w:rsidRPr="00536180">
              <w:rPr>
                <w:i/>
                <w:sz w:val="22"/>
                <w:szCs w:val="22"/>
              </w:rPr>
              <w:t>Tel.</w:t>
            </w:r>
          </w:p>
        </w:tc>
        <w:tc>
          <w:tcPr>
            <w:tcW w:w="3941" w:type="pct"/>
          </w:tcPr>
          <w:p w:rsidRPr="00536180" w:rsidR="00926B4A" w:rsidP="00926B4A" w:rsidRDefault="00926B4A" w14:paraId="004BC330" w14:textId="77777777">
            <w:pPr>
              <w:overflowPunct w:val="0"/>
              <w:autoSpaceDE w:val="0"/>
              <w:autoSpaceDN w:val="0"/>
              <w:adjustRightInd w:val="0"/>
              <w:spacing w:line="240" w:lineRule="auto"/>
              <w:textAlignment w:val="baseline"/>
              <w:rPr>
                <w:i/>
                <w:sz w:val="22"/>
                <w:szCs w:val="22"/>
              </w:rPr>
            </w:pPr>
            <w:r w:rsidRPr="00536180">
              <w:rPr>
                <w:i/>
                <w:sz w:val="22"/>
                <w:szCs w:val="22"/>
              </w:rPr>
              <w:t>+ 32 25469732</w:t>
            </w:r>
          </w:p>
        </w:tc>
      </w:tr>
      <w:tr w:rsidRPr="00536180" w:rsidR="00926B4A" w:rsidTr="00F324F7" w14:paraId="5FBB9A81" w14:textId="77777777">
        <w:tc>
          <w:tcPr>
            <w:tcW w:w="1059" w:type="pct"/>
          </w:tcPr>
          <w:p w:rsidRPr="00536180" w:rsidR="00926B4A" w:rsidP="00926B4A" w:rsidRDefault="00926B4A" w14:paraId="09D7D2AA" w14:textId="77777777">
            <w:pPr>
              <w:overflowPunct w:val="0"/>
              <w:autoSpaceDE w:val="0"/>
              <w:autoSpaceDN w:val="0"/>
              <w:adjustRightInd w:val="0"/>
              <w:spacing w:line="240" w:lineRule="auto"/>
              <w:textAlignment w:val="baseline"/>
              <w:rPr>
                <w:i/>
                <w:sz w:val="22"/>
                <w:szCs w:val="22"/>
              </w:rPr>
            </w:pPr>
            <w:r w:rsidRPr="00536180">
              <w:rPr>
                <w:i/>
                <w:sz w:val="22"/>
                <w:szCs w:val="22"/>
              </w:rPr>
              <w:t>E-Mail</w:t>
            </w:r>
          </w:p>
        </w:tc>
        <w:tc>
          <w:tcPr>
            <w:tcW w:w="3941" w:type="pct"/>
          </w:tcPr>
          <w:p w:rsidRPr="00536180" w:rsidR="00926B4A" w:rsidP="00926B4A" w:rsidRDefault="00486D53" w14:paraId="37B96DF1" w14:textId="4AB9B892">
            <w:pPr>
              <w:overflowPunct w:val="0"/>
              <w:autoSpaceDE w:val="0"/>
              <w:autoSpaceDN w:val="0"/>
              <w:adjustRightInd w:val="0"/>
              <w:spacing w:line="240" w:lineRule="auto"/>
              <w:textAlignment w:val="baseline"/>
              <w:rPr>
                <w:i/>
                <w:iCs/>
                <w:sz w:val="22"/>
                <w:szCs w:val="22"/>
              </w:rPr>
            </w:pPr>
            <w:hyperlink w:history="1" r:id="rId48">
              <w:r w:rsidRPr="00536180" w:rsidR="007E03C9">
                <w:rPr>
                  <w:i/>
                  <w:color w:val="0000FF"/>
                  <w:sz w:val="22"/>
                  <w:szCs w:val="22"/>
                  <w:u w:val="single"/>
                </w:rPr>
                <w:t>Annalisa.Tessarolo@eesc.europa.eu</w:t>
              </w:r>
            </w:hyperlink>
          </w:p>
        </w:tc>
      </w:tr>
    </w:tbl>
    <w:p w:rsidRPr="00DB536C" w:rsidR="00135714" w:rsidP="002F20BE" w:rsidRDefault="00135714" w14:paraId="5049B685" w14:textId="0667D56C">
      <w:pPr>
        <w:ind w:left="710"/>
        <w:rPr>
          <w:b/>
          <w:i/>
        </w:rPr>
      </w:pPr>
    </w:p>
    <w:p w:rsidRPr="00DB536C" w:rsidR="00135714" w:rsidRDefault="00135714" w14:paraId="587338EB" w14:textId="77777777">
      <w:pPr>
        <w:spacing w:after="160" w:line="259" w:lineRule="auto"/>
        <w:jc w:val="left"/>
        <w:rPr>
          <w:b/>
          <w:i/>
        </w:rPr>
      </w:pPr>
      <w:r w:rsidRPr="00DB536C">
        <w:br w:type="page"/>
      </w:r>
    </w:p>
    <w:p w:rsidRPr="000F216A" w:rsidR="00135714" w:rsidP="00135714" w:rsidRDefault="00486D53" w14:paraId="6BBE666E" w14:textId="5ECCCACD">
      <w:pPr>
        <w:widowControl w:val="0"/>
        <w:numPr>
          <w:ilvl w:val="0"/>
          <w:numId w:val="8"/>
        </w:numPr>
        <w:overflowPunct w:val="0"/>
        <w:autoSpaceDE w:val="0"/>
        <w:autoSpaceDN w:val="0"/>
        <w:adjustRightInd w:val="0"/>
        <w:ind w:left="266" w:hanging="266"/>
        <w:textAlignment w:val="baseline"/>
        <w:rPr>
          <w:b/>
        </w:rPr>
      </w:pPr>
      <w:hyperlink w:history="1" r:id="rId49">
        <w:r w:rsidR="00135714">
          <w:rPr>
            <w:b/>
            <w:i/>
            <w:color w:val="0000FF"/>
            <w:sz w:val="28"/>
            <w:u w:val="single"/>
          </w:rPr>
          <w:t>Künstliche Intelligenz – weitere Schritte</w:t>
        </w:r>
      </w:hyperlink>
    </w:p>
    <w:p w:rsidRPr="000F216A" w:rsidR="00347517" w:rsidP="000F216A" w:rsidRDefault="00347517" w14:paraId="07B6F676" w14:textId="77777777"/>
    <w:tbl>
      <w:tblPr>
        <w:tblStyle w:val="TableGrid10"/>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536180" w:rsidR="00135714" w:rsidTr="00F324F7" w14:paraId="75D61B6C" w14:textId="77777777">
        <w:tc>
          <w:tcPr>
            <w:tcW w:w="1148" w:type="pct"/>
          </w:tcPr>
          <w:p w:rsidRPr="00536180" w:rsidR="00135714" w:rsidP="00135714" w:rsidRDefault="00135714" w14:paraId="1462BF92"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Berichterstatterin</w:t>
            </w:r>
          </w:p>
        </w:tc>
        <w:tc>
          <w:tcPr>
            <w:tcW w:w="3852" w:type="pct"/>
          </w:tcPr>
          <w:p w:rsidRPr="00536180" w:rsidR="00135714" w:rsidP="00700337" w:rsidRDefault="00135714" w14:paraId="03447F59" w14:textId="718D04B8">
            <w:pPr>
              <w:tabs>
                <w:tab w:val="center" w:pos="284"/>
              </w:tabs>
              <w:overflowPunct w:val="0"/>
              <w:autoSpaceDE w:val="0"/>
              <w:autoSpaceDN w:val="0"/>
              <w:adjustRightInd w:val="0"/>
              <w:ind w:left="266" w:right="-264" w:hanging="266"/>
              <w:textAlignment w:val="baseline"/>
              <w:rPr>
                <w:sz w:val="22"/>
                <w:szCs w:val="22"/>
              </w:rPr>
            </w:pPr>
            <w:r w:rsidRPr="00536180">
              <w:rPr>
                <w:sz w:val="22"/>
                <w:szCs w:val="22"/>
              </w:rPr>
              <w:t>Sandra PARTHIE (Gruppe Arbeitgeber – DE)</w:t>
            </w:r>
          </w:p>
        </w:tc>
      </w:tr>
      <w:tr w:rsidRPr="00536180" w:rsidR="00135714" w:rsidTr="00F324F7" w14:paraId="03B3AED9" w14:textId="77777777">
        <w:tc>
          <w:tcPr>
            <w:tcW w:w="5000" w:type="pct"/>
            <w:gridSpan w:val="2"/>
          </w:tcPr>
          <w:p w:rsidRPr="00536180" w:rsidR="00135714" w:rsidP="00135714" w:rsidRDefault="00135714" w14:paraId="31E6F0E1" w14:textId="77777777">
            <w:pPr>
              <w:tabs>
                <w:tab w:val="center" w:pos="284"/>
              </w:tabs>
              <w:overflowPunct w:val="0"/>
              <w:autoSpaceDE w:val="0"/>
              <w:autoSpaceDN w:val="0"/>
              <w:adjustRightInd w:val="0"/>
              <w:spacing w:line="160" w:lineRule="exact"/>
              <w:ind w:left="266" w:hanging="266"/>
              <w:textAlignment w:val="baseline"/>
              <w:rPr>
                <w:sz w:val="22"/>
                <w:szCs w:val="22"/>
                <w:lang w:val="fr-BE"/>
              </w:rPr>
            </w:pPr>
          </w:p>
        </w:tc>
      </w:tr>
      <w:tr w:rsidRPr="00536180" w:rsidR="00135714" w:rsidTr="00F324F7" w14:paraId="5C659247" w14:textId="77777777">
        <w:tc>
          <w:tcPr>
            <w:tcW w:w="1148" w:type="pct"/>
            <w:vMerge w:val="restart"/>
          </w:tcPr>
          <w:p w:rsidRPr="00536180" w:rsidR="00135714" w:rsidP="00135714" w:rsidRDefault="00135714" w14:paraId="1F477CC5"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Referenzdokumente</w:t>
            </w:r>
          </w:p>
        </w:tc>
        <w:tc>
          <w:tcPr>
            <w:tcW w:w="3852" w:type="pct"/>
          </w:tcPr>
          <w:p w:rsidRPr="00536180" w:rsidR="00135714" w:rsidP="000F216A" w:rsidRDefault="00135714" w14:paraId="1C6150CD" w14:textId="1D07FD71">
            <w:pPr>
              <w:tabs>
                <w:tab w:val="center" w:pos="284"/>
              </w:tabs>
              <w:overflowPunct w:val="0"/>
              <w:autoSpaceDE w:val="0"/>
              <w:autoSpaceDN w:val="0"/>
              <w:adjustRightInd w:val="0"/>
              <w:ind w:left="266" w:hanging="266"/>
              <w:textAlignment w:val="baseline"/>
              <w:rPr>
                <w:sz w:val="22"/>
                <w:szCs w:val="22"/>
              </w:rPr>
            </w:pPr>
            <w:r w:rsidRPr="00536180">
              <w:rPr>
                <w:sz w:val="22"/>
                <w:szCs w:val="22"/>
              </w:rPr>
              <w:t xml:space="preserve">Sondierungsstellungnahme auf Ersuchen der Europäischen Kommission </w:t>
            </w:r>
          </w:p>
        </w:tc>
      </w:tr>
      <w:tr w:rsidRPr="00536180" w:rsidR="00135714" w:rsidTr="00F324F7" w14:paraId="511CDBC5" w14:textId="77777777">
        <w:tc>
          <w:tcPr>
            <w:tcW w:w="1148" w:type="pct"/>
            <w:vMerge/>
          </w:tcPr>
          <w:p w:rsidRPr="00536180" w:rsidR="00135714" w:rsidP="00135714" w:rsidRDefault="00135714" w14:paraId="3FA98469" w14:textId="77777777">
            <w:pPr>
              <w:tabs>
                <w:tab w:val="center" w:pos="284"/>
              </w:tabs>
              <w:overflowPunct w:val="0"/>
              <w:autoSpaceDE w:val="0"/>
              <w:autoSpaceDN w:val="0"/>
              <w:adjustRightInd w:val="0"/>
              <w:ind w:left="266" w:hanging="266"/>
              <w:textAlignment w:val="baseline"/>
              <w:rPr>
                <w:b/>
                <w:sz w:val="22"/>
                <w:szCs w:val="22"/>
              </w:rPr>
            </w:pPr>
          </w:p>
        </w:tc>
        <w:tc>
          <w:tcPr>
            <w:tcW w:w="3852" w:type="pct"/>
          </w:tcPr>
          <w:p w:rsidRPr="00536180" w:rsidR="00135714" w:rsidP="00135714" w:rsidRDefault="00135714" w14:paraId="65498915"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EESC-2024-00602-00-00-AC</w:t>
            </w:r>
          </w:p>
        </w:tc>
      </w:tr>
    </w:tbl>
    <w:p w:rsidRPr="00135714" w:rsidR="00135714" w:rsidP="00135714" w:rsidRDefault="00135714" w14:paraId="5B27F90B" w14:textId="77777777">
      <w:pPr>
        <w:tabs>
          <w:tab w:val="center" w:pos="284"/>
        </w:tabs>
        <w:overflowPunct w:val="0"/>
        <w:autoSpaceDE w:val="0"/>
        <w:autoSpaceDN w:val="0"/>
        <w:adjustRightInd w:val="0"/>
        <w:ind w:left="266" w:hanging="266"/>
        <w:textAlignment w:val="baseline"/>
        <w:rPr>
          <w:lang w:val="en-GB"/>
        </w:rPr>
      </w:pPr>
    </w:p>
    <w:p w:rsidRPr="00135714" w:rsidR="00135714" w:rsidP="00135714" w:rsidRDefault="00135714" w14:paraId="278A0B17"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135714" w:rsidR="00135714" w:rsidP="00135714" w:rsidRDefault="00135714" w14:paraId="75D84100" w14:textId="77777777">
      <w:pPr>
        <w:keepNext/>
        <w:keepLines/>
        <w:tabs>
          <w:tab w:val="center" w:pos="284"/>
        </w:tabs>
        <w:overflowPunct w:val="0"/>
        <w:autoSpaceDE w:val="0"/>
        <w:autoSpaceDN w:val="0"/>
        <w:adjustRightInd w:val="0"/>
        <w:ind w:left="266" w:hanging="266"/>
        <w:textAlignment w:val="baseline"/>
        <w:rPr>
          <w:b/>
          <w:lang w:val="en-GB"/>
        </w:rPr>
      </w:pPr>
    </w:p>
    <w:p w:rsidRPr="00135714" w:rsidR="00135714" w:rsidP="00135714" w:rsidRDefault="00135714" w14:paraId="0442A06E" w14:textId="77777777">
      <w:pPr>
        <w:overflowPunct w:val="0"/>
        <w:autoSpaceDE w:val="0"/>
        <w:autoSpaceDN w:val="0"/>
        <w:adjustRightInd w:val="0"/>
        <w:textAlignment w:val="baseline"/>
        <w:rPr>
          <w:bCs/>
          <w:iCs/>
        </w:rPr>
      </w:pPr>
      <w:r>
        <w:t>Der EWSA</w:t>
      </w:r>
    </w:p>
    <w:p w:rsidRPr="00135714" w:rsidR="00135714" w:rsidP="00135714" w:rsidRDefault="00135714" w14:paraId="0B114028" w14:textId="77777777">
      <w:pPr>
        <w:overflowPunct w:val="0"/>
        <w:autoSpaceDE w:val="0"/>
        <w:autoSpaceDN w:val="0"/>
        <w:adjustRightInd w:val="0"/>
        <w:textAlignment w:val="baseline"/>
        <w:rPr>
          <w:bCs/>
          <w:iCs/>
          <w:lang w:val="en-GB"/>
        </w:rPr>
      </w:pPr>
    </w:p>
    <w:p w:rsidRPr="00135714" w:rsidR="00135714" w:rsidP="00536180" w:rsidRDefault="00135714" w14:paraId="2FD6E7BE" w14:textId="77777777">
      <w:pPr>
        <w:numPr>
          <w:ilvl w:val="0"/>
          <w:numId w:val="47"/>
        </w:numPr>
        <w:overflowPunct w:val="0"/>
        <w:autoSpaceDE w:val="0"/>
        <w:autoSpaceDN w:val="0"/>
        <w:adjustRightInd w:val="0"/>
        <w:ind w:left="567" w:hanging="567"/>
        <w:textAlignment w:val="baseline"/>
        <w:outlineLvl w:val="1"/>
        <w:rPr>
          <w:rFonts w:ascii="Calibri" w:hAnsi="Calibri"/>
        </w:rPr>
      </w:pPr>
      <w:r>
        <w:t>ist der Auffassung, dass Europa in sichere Konnektivität, widerstandsfähige Backbone-Infrastruktur und eine resiliente Lieferkette investieren muss, um bei künstlicher Intelligenz mit allgemeinem Verwendungszweck wettbewerbsfähig zu sein und zu gewährleisten, dass generative künstliche Intelligenz (KI) für europäische Akteure genutzt werden kann und auf europäischen Werten und dem Bedarf in Europa beruht;</w:t>
      </w:r>
    </w:p>
    <w:p w:rsidRPr="00135714" w:rsidR="00135714" w:rsidP="00536180" w:rsidRDefault="00135714" w14:paraId="62853A1D" w14:textId="77777777">
      <w:pPr>
        <w:numPr>
          <w:ilvl w:val="0"/>
          <w:numId w:val="47"/>
        </w:numPr>
        <w:overflowPunct w:val="0"/>
        <w:autoSpaceDE w:val="0"/>
        <w:autoSpaceDN w:val="0"/>
        <w:adjustRightInd w:val="0"/>
        <w:ind w:left="567" w:hanging="567"/>
        <w:textAlignment w:val="baseline"/>
        <w:outlineLvl w:val="1"/>
        <w:rPr>
          <w:bCs/>
          <w:iCs/>
        </w:rPr>
      </w:pPr>
      <w:r>
        <w:t>empfiehlt, Dialoge mit den Interessenträgern einschließlich der Sozialpartner über die Praxisleitfäden am Arbeitsplatz sowie die Arbeitnehmerrechte im Zusammenhang mit KI mit allgemeinem Verwendungszweck zu führen;</w:t>
      </w:r>
    </w:p>
    <w:p w:rsidRPr="00135714" w:rsidR="00135714" w:rsidP="00536180" w:rsidRDefault="00135714" w14:paraId="2C135F6D" w14:textId="0484CEBE">
      <w:pPr>
        <w:numPr>
          <w:ilvl w:val="0"/>
          <w:numId w:val="47"/>
        </w:numPr>
        <w:overflowPunct w:val="0"/>
        <w:autoSpaceDE w:val="0"/>
        <w:autoSpaceDN w:val="0"/>
        <w:adjustRightInd w:val="0"/>
        <w:ind w:left="567" w:hanging="567"/>
        <w:textAlignment w:val="baseline"/>
        <w:outlineLvl w:val="1"/>
        <w:rPr>
          <w:rFonts w:ascii="Calibri" w:hAnsi="Calibri"/>
        </w:rPr>
      </w:pPr>
      <w:r>
        <w:t>betont, dass es zur Vermeidung einer Marktkonzentration mit einer dominanten Stellung großer, oft nichteuropäischer Unternehmen aus dem Digitalbereich sowie zur Unterstützung der EU</w:t>
      </w:r>
      <w:r w:rsidR="00DB536C">
        <w:noBreakHyphen/>
      </w:r>
      <w:r>
        <w:t>Wertschöpfungsketten und der Wertschöpfung im Bereich der KI koordinierter europäischer und nationaler Investitionen in Innovationen sowie des Einsatzes der Instrumente der Wettbewerbspolitik bedarf;</w:t>
      </w:r>
    </w:p>
    <w:p w:rsidRPr="00135714" w:rsidR="00135714" w:rsidP="00536180" w:rsidRDefault="00135714" w14:paraId="7E4099DB" w14:textId="52708A85">
      <w:pPr>
        <w:numPr>
          <w:ilvl w:val="0"/>
          <w:numId w:val="47"/>
        </w:numPr>
        <w:overflowPunct w:val="0"/>
        <w:autoSpaceDE w:val="0"/>
        <w:autoSpaceDN w:val="0"/>
        <w:adjustRightInd w:val="0"/>
        <w:ind w:left="567" w:hanging="567"/>
        <w:textAlignment w:val="baseline"/>
        <w:outlineLvl w:val="1"/>
        <w:rPr>
          <w:bCs/>
          <w:iCs/>
        </w:rPr>
      </w:pPr>
      <w:r>
        <w:t>erwartet, dass den Nutzern, Entwicklern und sonstigen KI-Akteuren mit den Praxisleitfäden zum KI</w:t>
      </w:r>
      <w:r w:rsidR="00DB536C">
        <w:noBreakHyphen/>
      </w:r>
      <w:proofErr w:type="spellStart"/>
      <w:r>
        <w:t>esetz</w:t>
      </w:r>
      <w:proofErr w:type="spellEnd"/>
      <w:r>
        <w:t xml:space="preserve"> Leitlinien für die Anwendung der Verordnung und weiterer Instrumente an die Hand gegeben werden, die den Unternehmen die Einhaltung der Vorschriften erleichtern;</w:t>
      </w:r>
    </w:p>
    <w:p w:rsidRPr="00135714" w:rsidR="00135714" w:rsidP="00536180" w:rsidRDefault="00135714" w14:paraId="0F5B6EC8" w14:textId="77777777">
      <w:pPr>
        <w:numPr>
          <w:ilvl w:val="0"/>
          <w:numId w:val="47"/>
        </w:numPr>
        <w:overflowPunct w:val="0"/>
        <w:autoSpaceDE w:val="0"/>
        <w:autoSpaceDN w:val="0"/>
        <w:adjustRightInd w:val="0"/>
        <w:ind w:left="567" w:hanging="567"/>
        <w:textAlignment w:val="baseline"/>
        <w:outlineLvl w:val="1"/>
        <w:rPr>
          <w:bCs/>
          <w:iCs/>
        </w:rPr>
      </w:pPr>
      <w:r>
        <w:t>hebt hervor, dass das Europäische Büro für Künstliche Intelligenz und die nationalen Behörden über die erforderlichen Ressourcen verfügen müssen, um die Rechtsvorschriften zu überwachen, zu bewerten und durchzusetzen und dabei die Einhaltung und den Schutz der Verbraucherrechte zu gewährleisten;</w:t>
      </w:r>
    </w:p>
    <w:p w:rsidRPr="00135714" w:rsidR="00135714" w:rsidP="00536180" w:rsidRDefault="00135714" w14:paraId="41B5AAD3" w14:textId="77777777">
      <w:pPr>
        <w:numPr>
          <w:ilvl w:val="0"/>
          <w:numId w:val="47"/>
        </w:numPr>
        <w:overflowPunct w:val="0"/>
        <w:autoSpaceDE w:val="0"/>
        <w:autoSpaceDN w:val="0"/>
        <w:adjustRightInd w:val="0"/>
        <w:ind w:left="567" w:hanging="567"/>
        <w:textAlignment w:val="baseline"/>
        <w:outlineLvl w:val="1"/>
        <w:rPr>
          <w:bCs/>
          <w:iCs/>
        </w:rPr>
      </w:pPr>
      <w:r>
        <w:t>ist sich der Bedenken bewusst, die die unterschiedlichen Ersteller von Inhalten derzeit in Bezug auf den Einsatz generativer KI haben, und betont, dass unbedingt dafür gesorgt werden muss, dass die Vorschriften über Patentierbarkeit, Urheberrecht und geistiges Eigentum bei der Entwicklung von KI eingehalten werden;</w:t>
      </w:r>
    </w:p>
    <w:p w:rsidRPr="00135714" w:rsidR="00135714" w:rsidP="00536180" w:rsidRDefault="00135714" w14:paraId="71673505" w14:textId="77777777">
      <w:pPr>
        <w:numPr>
          <w:ilvl w:val="0"/>
          <w:numId w:val="47"/>
        </w:numPr>
        <w:overflowPunct w:val="0"/>
        <w:autoSpaceDE w:val="0"/>
        <w:autoSpaceDN w:val="0"/>
        <w:adjustRightInd w:val="0"/>
        <w:ind w:left="567" w:hanging="567"/>
        <w:textAlignment w:val="baseline"/>
        <w:outlineLvl w:val="1"/>
        <w:rPr>
          <w:bCs/>
          <w:iCs/>
        </w:rPr>
      </w:pPr>
      <w:r>
        <w:t>bekräftigt, dass KI die Energie- und Ressourceneffizienz steigern kann, indem sie Prozesse optimiert und Lösungen zur Verringerung des Materialverbrauchs bereitstellt, dass sie aber auch Auswirkungen auf die Umwelt und den Energieverbrauch zeitigen kann, die genau gemessen und berücksichtigt werden müssen.</w:t>
      </w:r>
    </w:p>
    <w:p w:rsidRPr="00135714" w:rsidR="00135714" w:rsidP="00135714" w:rsidRDefault="00135714" w14:paraId="1F69EEE3" w14:textId="77777777">
      <w:pPr>
        <w:widowControl w:val="0"/>
        <w:overflowPunct w:val="0"/>
        <w:autoSpaceDE w:val="0"/>
        <w:autoSpaceDN w:val="0"/>
        <w:adjustRightInd w:val="0"/>
        <w:ind w:left="709"/>
        <w:textAlignment w:val="baseline"/>
        <w:rPr>
          <w:szCs w:val="20"/>
          <w:lang w:val="en-GB"/>
        </w:rPr>
      </w:pPr>
    </w:p>
    <w:tbl>
      <w:tblPr>
        <w:tblStyle w:val="TableGrid1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536180" w:rsidR="00135714" w:rsidTr="00F324F7" w14:paraId="274CC185" w14:textId="77777777">
        <w:tc>
          <w:tcPr>
            <w:tcW w:w="1556" w:type="pct"/>
          </w:tcPr>
          <w:p w:rsidRPr="00536180" w:rsidR="00135714" w:rsidP="00135714" w:rsidRDefault="00135714" w14:paraId="3DFE4DDC" w14:textId="77777777">
            <w:pPr>
              <w:overflowPunct w:val="0"/>
              <w:autoSpaceDE w:val="0"/>
              <w:autoSpaceDN w:val="0"/>
              <w:adjustRightInd w:val="0"/>
              <w:spacing w:line="240" w:lineRule="auto"/>
              <w:textAlignment w:val="baseline"/>
              <w:rPr>
                <w:i/>
                <w:sz w:val="22"/>
                <w:szCs w:val="22"/>
              </w:rPr>
            </w:pPr>
            <w:r w:rsidRPr="00536180">
              <w:rPr>
                <w:b/>
                <w:i/>
                <w:sz w:val="22"/>
                <w:szCs w:val="22"/>
              </w:rPr>
              <w:t>Kontakt</w:t>
            </w:r>
          </w:p>
        </w:tc>
        <w:tc>
          <w:tcPr>
            <w:tcW w:w="3444" w:type="pct"/>
          </w:tcPr>
          <w:p w:rsidRPr="00536180" w:rsidR="00135714" w:rsidP="00135714" w:rsidRDefault="00135714" w14:paraId="5FFDD121" w14:textId="77777777">
            <w:pPr>
              <w:overflowPunct w:val="0"/>
              <w:autoSpaceDE w:val="0"/>
              <w:autoSpaceDN w:val="0"/>
              <w:adjustRightInd w:val="0"/>
              <w:spacing w:line="240" w:lineRule="auto"/>
              <w:textAlignment w:val="baseline"/>
              <w:rPr>
                <w:i/>
                <w:sz w:val="22"/>
                <w:szCs w:val="22"/>
              </w:rPr>
            </w:pPr>
            <w:r w:rsidRPr="00536180">
              <w:rPr>
                <w:i/>
                <w:sz w:val="22"/>
                <w:szCs w:val="22"/>
              </w:rPr>
              <w:t xml:space="preserve">Veronika </w:t>
            </w:r>
            <w:proofErr w:type="spellStart"/>
            <w:r w:rsidRPr="00536180">
              <w:rPr>
                <w:i/>
                <w:sz w:val="22"/>
                <w:szCs w:val="22"/>
              </w:rPr>
              <w:t>Kadlecova</w:t>
            </w:r>
            <w:proofErr w:type="spellEnd"/>
          </w:p>
        </w:tc>
      </w:tr>
      <w:tr w:rsidRPr="00536180" w:rsidR="00135714" w:rsidTr="00F324F7" w14:paraId="5062CF43" w14:textId="77777777">
        <w:tc>
          <w:tcPr>
            <w:tcW w:w="1556" w:type="pct"/>
          </w:tcPr>
          <w:p w:rsidRPr="00536180" w:rsidR="00135714" w:rsidP="00135714" w:rsidRDefault="00135714" w14:paraId="46A8DFB0" w14:textId="77777777">
            <w:pPr>
              <w:overflowPunct w:val="0"/>
              <w:autoSpaceDE w:val="0"/>
              <w:autoSpaceDN w:val="0"/>
              <w:adjustRightInd w:val="0"/>
              <w:spacing w:line="240" w:lineRule="auto"/>
              <w:textAlignment w:val="baseline"/>
              <w:rPr>
                <w:i/>
                <w:sz w:val="22"/>
                <w:szCs w:val="22"/>
              </w:rPr>
            </w:pPr>
            <w:r w:rsidRPr="00536180">
              <w:rPr>
                <w:i/>
                <w:sz w:val="22"/>
                <w:szCs w:val="22"/>
              </w:rPr>
              <w:t>Tel.</w:t>
            </w:r>
          </w:p>
        </w:tc>
        <w:tc>
          <w:tcPr>
            <w:tcW w:w="3444" w:type="pct"/>
          </w:tcPr>
          <w:p w:rsidRPr="00536180" w:rsidR="00135714" w:rsidP="00135714" w:rsidRDefault="00135714" w14:paraId="579A2AA5" w14:textId="77777777">
            <w:pPr>
              <w:overflowPunct w:val="0"/>
              <w:autoSpaceDE w:val="0"/>
              <w:autoSpaceDN w:val="0"/>
              <w:adjustRightInd w:val="0"/>
              <w:spacing w:line="240" w:lineRule="auto"/>
              <w:textAlignment w:val="baseline"/>
              <w:rPr>
                <w:i/>
                <w:sz w:val="22"/>
                <w:szCs w:val="22"/>
              </w:rPr>
            </w:pPr>
            <w:r w:rsidRPr="00536180">
              <w:rPr>
                <w:i/>
                <w:sz w:val="22"/>
                <w:szCs w:val="22"/>
              </w:rPr>
              <w:t>+32 25469113</w:t>
            </w:r>
          </w:p>
        </w:tc>
      </w:tr>
      <w:tr w:rsidRPr="00536180" w:rsidR="00135714" w:rsidTr="00F324F7" w14:paraId="2164DD9F" w14:textId="77777777">
        <w:tc>
          <w:tcPr>
            <w:tcW w:w="1556" w:type="pct"/>
          </w:tcPr>
          <w:p w:rsidRPr="00536180" w:rsidR="00135714" w:rsidP="00135714" w:rsidRDefault="00700337" w14:paraId="79B61694" w14:textId="56929BB6">
            <w:pPr>
              <w:overflowPunct w:val="0"/>
              <w:autoSpaceDE w:val="0"/>
              <w:autoSpaceDN w:val="0"/>
              <w:adjustRightInd w:val="0"/>
              <w:spacing w:line="240" w:lineRule="auto"/>
              <w:textAlignment w:val="baseline"/>
              <w:rPr>
                <w:i/>
                <w:sz w:val="22"/>
                <w:szCs w:val="22"/>
              </w:rPr>
            </w:pPr>
            <w:r w:rsidRPr="00536180">
              <w:rPr>
                <w:i/>
                <w:sz w:val="22"/>
                <w:szCs w:val="22"/>
              </w:rPr>
              <w:t>E-Mail</w:t>
            </w:r>
          </w:p>
        </w:tc>
        <w:tc>
          <w:tcPr>
            <w:tcW w:w="3444" w:type="pct"/>
          </w:tcPr>
          <w:p w:rsidRPr="00536180" w:rsidR="00135714" w:rsidP="00DB536C" w:rsidRDefault="00486D53" w14:paraId="14086705" w14:textId="427EFADD">
            <w:pPr>
              <w:overflowPunct w:val="0"/>
              <w:autoSpaceDE w:val="0"/>
              <w:autoSpaceDN w:val="0"/>
              <w:adjustRightInd w:val="0"/>
              <w:spacing w:line="240" w:lineRule="auto"/>
              <w:textAlignment w:val="baseline"/>
              <w:rPr>
                <w:i/>
                <w:sz w:val="22"/>
                <w:szCs w:val="22"/>
              </w:rPr>
            </w:pPr>
            <w:hyperlink w:history="1" r:id="rId50">
              <w:r w:rsidRPr="00536180" w:rsidR="007E03C9">
                <w:rPr>
                  <w:i/>
                  <w:color w:val="0000FF"/>
                  <w:sz w:val="22"/>
                  <w:szCs w:val="22"/>
                  <w:u w:val="single"/>
                </w:rPr>
                <w:t>Veronika.Kadlecova@eesc.europa.eu</w:t>
              </w:r>
            </w:hyperlink>
          </w:p>
        </w:tc>
      </w:tr>
    </w:tbl>
    <w:p w:rsidRPr="00DB536C" w:rsidR="00CA1A9B" w:rsidP="002F20BE" w:rsidRDefault="00CA1A9B" w14:paraId="139997F9" w14:textId="7614419F">
      <w:pPr>
        <w:ind w:left="710"/>
        <w:rPr>
          <w:b/>
          <w:i/>
        </w:rPr>
      </w:pPr>
    </w:p>
    <w:p w:rsidRPr="00DB536C" w:rsidR="00CA1A9B" w:rsidRDefault="00CA1A9B" w14:paraId="02266FFE" w14:textId="77777777">
      <w:pPr>
        <w:spacing w:after="160" w:line="259" w:lineRule="auto"/>
        <w:jc w:val="left"/>
        <w:rPr>
          <w:b/>
          <w:i/>
        </w:rPr>
      </w:pPr>
      <w:r w:rsidRPr="00DB536C">
        <w:br w:type="page"/>
      </w:r>
    </w:p>
    <w:p w:rsidRPr="000F216A" w:rsidR="00CA1A9B" w:rsidP="00CA1A9B" w:rsidRDefault="00486D53" w14:paraId="1EE31E4A" w14:textId="48091D41">
      <w:pPr>
        <w:widowControl w:val="0"/>
        <w:numPr>
          <w:ilvl w:val="0"/>
          <w:numId w:val="8"/>
        </w:numPr>
        <w:overflowPunct w:val="0"/>
        <w:autoSpaceDE w:val="0"/>
        <w:autoSpaceDN w:val="0"/>
        <w:adjustRightInd w:val="0"/>
        <w:ind w:left="266" w:hanging="266"/>
        <w:textAlignment w:val="baseline"/>
        <w:rPr>
          <w:b/>
        </w:rPr>
      </w:pPr>
      <w:hyperlink w:history="1" r:id="rId51">
        <w:r w:rsidR="00276FC9">
          <w:rPr>
            <w:b/>
            <w:i/>
            <w:color w:val="0000FF"/>
            <w:sz w:val="28"/>
            <w:u w:val="single"/>
          </w:rPr>
          <w:t>Programm „Digitales Europa“</w:t>
        </w:r>
      </w:hyperlink>
    </w:p>
    <w:p w:rsidRPr="000F216A" w:rsidR="00347517" w:rsidP="000F216A" w:rsidRDefault="00347517" w14:paraId="21E9992E" w14:textId="77777777"/>
    <w:tbl>
      <w:tblPr>
        <w:tblStyle w:val="TableGrid11"/>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536180" w:rsidR="00CA1A9B" w:rsidTr="00F324F7" w14:paraId="32B97B6A" w14:textId="77777777">
        <w:tc>
          <w:tcPr>
            <w:tcW w:w="1148" w:type="pct"/>
          </w:tcPr>
          <w:p w:rsidRPr="00536180" w:rsidR="00CA1A9B" w:rsidP="00CA1A9B" w:rsidRDefault="00CA1A9B" w14:paraId="4CCE6D17"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Berichterstatterin</w:t>
            </w:r>
          </w:p>
        </w:tc>
        <w:tc>
          <w:tcPr>
            <w:tcW w:w="3852" w:type="pct"/>
          </w:tcPr>
          <w:p w:rsidRPr="00536180" w:rsidR="00CA1A9B" w:rsidP="00CA1A9B" w:rsidRDefault="00CA1A9B" w14:paraId="63363C70" w14:textId="20B41909">
            <w:pPr>
              <w:tabs>
                <w:tab w:val="center" w:pos="284"/>
              </w:tabs>
              <w:overflowPunct w:val="0"/>
              <w:autoSpaceDE w:val="0"/>
              <w:autoSpaceDN w:val="0"/>
              <w:adjustRightInd w:val="0"/>
              <w:ind w:left="266" w:hanging="266"/>
              <w:textAlignment w:val="baseline"/>
              <w:rPr>
                <w:sz w:val="22"/>
                <w:szCs w:val="22"/>
              </w:rPr>
            </w:pPr>
            <w:proofErr w:type="spellStart"/>
            <w:r w:rsidRPr="00536180">
              <w:rPr>
                <w:sz w:val="22"/>
                <w:szCs w:val="22"/>
              </w:rPr>
              <w:t>Katrīna</w:t>
            </w:r>
            <w:proofErr w:type="spellEnd"/>
            <w:r w:rsidRPr="00536180">
              <w:rPr>
                <w:sz w:val="22"/>
                <w:szCs w:val="22"/>
              </w:rPr>
              <w:t xml:space="preserve"> ZARIŅA (Gruppe Arbeitgeber – LV)</w:t>
            </w:r>
          </w:p>
        </w:tc>
      </w:tr>
      <w:tr w:rsidRPr="00536180" w:rsidR="00CA1A9B" w:rsidTr="00F324F7" w14:paraId="410E2510" w14:textId="77777777">
        <w:tc>
          <w:tcPr>
            <w:tcW w:w="5000" w:type="pct"/>
            <w:gridSpan w:val="2"/>
          </w:tcPr>
          <w:p w:rsidRPr="00536180" w:rsidR="00CA1A9B" w:rsidP="00CA1A9B" w:rsidRDefault="00CA1A9B" w14:paraId="10C06C79"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36180" w:rsidR="00CA1A9B" w:rsidTr="00F324F7" w14:paraId="0BA95FE5" w14:textId="77777777">
        <w:tc>
          <w:tcPr>
            <w:tcW w:w="1148" w:type="pct"/>
            <w:vMerge w:val="restart"/>
          </w:tcPr>
          <w:p w:rsidRPr="00536180" w:rsidR="00CA1A9B" w:rsidP="00CA1A9B" w:rsidRDefault="00CA1A9B" w14:paraId="56B0BF1D"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Referenzdokumente</w:t>
            </w:r>
          </w:p>
        </w:tc>
        <w:tc>
          <w:tcPr>
            <w:tcW w:w="3852" w:type="pct"/>
          </w:tcPr>
          <w:p w:rsidRPr="00536180" w:rsidR="00CA1A9B" w:rsidP="00CA1A9B" w:rsidRDefault="00CA1A9B" w14:paraId="55A08F61"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Bewertungsbericht</w:t>
            </w:r>
          </w:p>
        </w:tc>
      </w:tr>
      <w:tr w:rsidRPr="00536180" w:rsidR="00CA1A9B" w:rsidTr="00F324F7" w14:paraId="6E44948D" w14:textId="77777777">
        <w:tc>
          <w:tcPr>
            <w:tcW w:w="1148" w:type="pct"/>
            <w:vMerge/>
          </w:tcPr>
          <w:p w:rsidRPr="00536180" w:rsidR="00CA1A9B" w:rsidP="00CA1A9B" w:rsidRDefault="00CA1A9B" w14:paraId="7BD09DFE" w14:textId="77777777">
            <w:pPr>
              <w:tabs>
                <w:tab w:val="center" w:pos="284"/>
              </w:tabs>
              <w:overflowPunct w:val="0"/>
              <w:autoSpaceDE w:val="0"/>
              <w:autoSpaceDN w:val="0"/>
              <w:adjustRightInd w:val="0"/>
              <w:ind w:left="266" w:hanging="266"/>
              <w:textAlignment w:val="baseline"/>
              <w:rPr>
                <w:b/>
                <w:sz w:val="22"/>
                <w:szCs w:val="22"/>
              </w:rPr>
            </w:pPr>
          </w:p>
        </w:tc>
        <w:tc>
          <w:tcPr>
            <w:tcW w:w="3852" w:type="pct"/>
          </w:tcPr>
          <w:p w:rsidRPr="00536180" w:rsidR="00CA1A9B" w:rsidP="00CA1A9B" w:rsidRDefault="00CA1A9B" w14:paraId="0D4A1642"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EESC-2024-00492-00-00-RE</w:t>
            </w:r>
          </w:p>
        </w:tc>
      </w:tr>
    </w:tbl>
    <w:p w:rsidRPr="00536180" w:rsidR="00CA1A9B" w:rsidP="00CA1A9B" w:rsidRDefault="00CA1A9B" w14:paraId="5803D65D" w14:textId="77777777">
      <w:pPr>
        <w:tabs>
          <w:tab w:val="center" w:pos="284"/>
        </w:tabs>
        <w:overflowPunct w:val="0"/>
        <w:autoSpaceDE w:val="0"/>
        <w:autoSpaceDN w:val="0"/>
        <w:adjustRightInd w:val="0"/>
        <w:ind w:left="266" w:hanging="266"/>
        <w:textAlignment w:val="baseline"/>
        <w:rPr>
          <w:lang w:val="en-GB"/>
        </w:rPr>
      </w:pPr>
    </w:p>
    <w:p w:rsidRPr="00CA1A9B" w:rsidR="00CA1A9B" w:rsidP="00CA1A9B" w:rsidRDefault="00CA1A9B" w14:paraId="2643926A"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CA1A9B" w:rsidR="00CA1A9B" w:rsidP="00CA1A9B" w:rsidRDefault="00CA1A9B" w14:paraId="0954C42D" w14:textId="77777777">
      <w:pPr>
        <w:keepNext/>
        <w:keepLines/>
        <w:tabs>
          <w:tab w:val="center" w:pos="284"/>
        </w:tabs>
        <w:overflowPunct w:val="0"/>
        <w:autoSpaceDE w:val="0"/>
        <w:autoSpaceDN w:val="0"/>
        <w:adjustRightInd w:val="0"/>
        <w:ind w:left="266" w:hanging="266"/>
        <w:textAlignment w:val="baseline"/>
        <w:rPr>
          <w:b/>
          <w:lang w:val="en-GB"/>
        </w:rPr>
      </w:pPr>
    </w:p>
    <w:p w:rsidRPr="00CA1A9B" w:rsidR="00CA1A9B" w:rsidP="00CA1A9B" w:rsidRDefault="00CA1A9B" w14:paraId="13F6B9C2" w14:textId="77777777">
      <w:pPr>
        <w:overflowPunct w:val="0"/>
        <w:autoSpaceDE w:val="0"/>
        <w:autoSpaceDN w:val="0"/>
        <w:adjustRightInd w:val="0"/>
        <w:textAlignment w:val="baseline"/>
        <w:rPr>
          <w:bCs/>
          <w:iCs/>
        </w:rPr>
      </w:pPr>
      <w:r>
        <w:t>Der EWSA</w:t>
      </w:r>
    </w:p>
    <w:p w:rsidRPr="00CA1A9B" w:rsidR="00CA1A9B" w:rsidP="00CA1A9B" w:rsidRDefault="00CA1A9B" w14:paraId="7B40FEEC" w14:textId="77777777">
      <w:pPr>
        <w:overflowPunct w:val="0"/>
        <w:autoSpaceDE w:val="0"/>
        <w:autoSpaceDN w:val="0"/>
        <w:adjustRightInd w:val="0"/>
        <w:textAlignment w:val="baseline"/>
        <w:rPr>
          <w:bCs/>
          <w:iCs/>
          <w:lang w:val="en-GB"/>
        </w:rPr>
      </w:pPr>
    </w:p>
    <w:p w:rsidRPr="00CA1A9B" w:rsidR="00CA1A9B" w:rsidP="00536180" w:rsidRDefault="00CA1A9B" w14:paraId="07808D76" w14:textId="77777777">
      <w:pPr>
        <w:numPr>
          <w:ilvl w:val="0"/>
          <w:numId w:val="48"/>
        </w:numPr>
        <w:overflowPunct w:val="0"/>
        <w:autoSpaceDE w:val="0"/>
        <w:autoSpaceDN w:val="0"/>
        <w:adjustRightInd w:val="0"/>
        <w:ind w:left="567" w:hanging="567"/>
        <w:textAlignment w:val="baseline"/>
        <w:outlineLvl w:val="1"/>
        <w:rPr>
          <w:rFonts w:ascii="Calibri" w:hAnsi="Calibri"/>
          <w:bCs/>
          <w:iCs/>
        </w:rPr>
      </w:pPr>
      <w:r>
        <w:t>schlägt vor, dass die Europäische Kommission eine integrierte Kommunikationsstrategie entwickeln sollte, um die verschiedenen Interessenträger (Sozialpartner, KMU, Behörden, Bildungseinrichtungen, Zivilgesellschaft u. a.)für das Programm „Digitales Europa“ (DEP) zu sensibilisieren;</w:t>
      </w:r>
    </w:p>
    <w:p w:rsidRPr="00CA1A9B" w:rsidR="00CA1A9B" w:rsidP="00536180" w:rsidRDefault="00CA1A9B" w14:paraId="69BFA6BB" w14:textId="77777777">
      <w:pPr>
        <w:numPr>
          <w:ilvl w:val="0"/>
          <w:numId w:val="48"/>
        </w:numPr>
        <w:overflowPunct w:val="0"/>
        <w:autoSpaceDE w:val="0"/>
        <w:autoSpaceDN w:val="0"/>
        <w:adjustRightInd w:val="0"/>
        <w:ind w:left="567" w:hanging="567"/>
        <w:textAlignment w:val="baseline"/>
        <w:outlineLvl w:val="1"/>
        <w:rPr>
          <w:rFonts w:ascii="Calibri" w:hAnsi="Calibri"/>
          <w:bCs/>
          <w:iCs/>
        </w:rPr>
      </w:pPr>
      <w:r>
        <w:t xml:space="preserve">fordert die Europäische Kommission auf, die </w:t>
      </w:r>
      <w:proofErr w:type="spellStart"/>
      <w:r>
        <w:t>Kofinanzierungsmodelle</w:t>
      </w:r>
      <w:proofErr w:type="spellEnd"/>
      <w:r>
        <w:t xml:space="preserve"> im Rahmen des DEP zu überprüfen und zu verbessern. Es gilt, den </w:t>
      </w:r>
      <w:proofErr w:type="spellStart"/>
      <w:r>
        <w:t>Kofinanzierungssatz</w:t>
      </w:r>
      <w:proofErr w:type="spellEnd"/>
      <w:r>
        <w:t xml:space="preserve"> auf mindestens 80 % zu erhöhen, um die finanzielle Belastung zu verringern und die </w:t>
      </w:r>
      <w:proofErr w:type="spellStart"/>
      <w:r>
        <w:t>Kofinanzierungsmodelle</w:t>
      </w:r>
      <w:proofErr w:type="spellEnd"/>
      <w:r>
        <w:t xml:space="preserve"> attraktiver und zugänglicher zu machen, insbesondere für KMU und andere kleinere Akteure;</w:t>
      </w:r>
    </w:p>
    <w:p w:rsidRPr="00CA1A9B" w:rsidR="00CA1A9B" w:rsidP="00536180" w:rsidRDefault="00CA1A9B" w14:paraId="786C3CFB" w14:textId="77777777">
      <w:pPr>
        <w:numPr>
          <w:ilvl w:val="0"/>
          <w:numId w:val="48"/>
        </w:numPr>
        <w:overflowPunct w:val="0"/>
        <w:autoSpaceDE w:val="0"/>
        <w:autoSpaceDN w:val="0"/>
        <w:adjustRightInd w:val="0"/>
        <w:ind w:left="567" w:hanging="567"/>
        <w:textAlignment w:val="baseline"/>
        <w:outlineLvl w:val="1"/>
        <w:rPr>
          <w:rFonts w:ascii="Calibri" w:hAnsi="Calibri"/>
          <w:bCs/>
          <w:iCs/>
        </w:rPr>
      </w:pPr>
      <w:r>
        <w:t>fordert die Kommission nachdrücklich auf, klare Mechanismen festzulegen, um die Ziele von DEP, Horizont Europa, dem Europäischen Fonds für regionale Entwicklung und anderen EU Programmen aufeinander abzustimmen. Zu diesem Zweck sollten klare Leitlinien für das Zusammenspiel der Mittel aus diesen Programmen aufgestellt werden, um die Wirkung von Projekten zu erhöhen und Überschneidungen zu vermeiden;</w:t>
      </w:r>
    </w:p>
    <w:p w:rsidRPr="00CA1A9B" w:rsidR="00CA1A9B" w:rsidP="00536180" w:rsidRDefault="00CA1A9B" w14:paraId="6B6C5C59" w14:textId="77777777">
      <w:pPr>
        <w:numPr>
          <w:ilvl w:val="0"/>
          <w:numId w:val="48"/>
        </w:numPr>
        <w:overflowPunct w:val="0"/>
        <w:autoSpaceDE w:val="0"/>
        <w:autoSpaceDN w:val="0"/>
        <w:adjustRightInd w:val="0"/>
        <w:ind w:left="567" w:hanging="567"/>
        <w:textAlignment w:val="baseline"/>
        <w:outlineLvl w:val="1"/>
        <w:rPr>
          <w:rFonts w:ascii="Calibri" w:hAnsi="Calibri"/>
          <w:bCs/>
          <w:iCs/>
        </w:rPr>
      </w:pPr>
      <w:r>
        <w:t>fordert den Abbau bürokratischer Hindernisse und klarere Leitlinien, um die Einhaltung der Vorschriften und das Verständnis der Antragsteller mithilfe eines wirksamen Überwachungs- und Bewertungssystems zu verbessern; fordert die Kommission nachdrücklich auf, gezielte Unterstützungsprogramme zur Bewältigung spezifischer Herausforderungen zu entwickeln, mit denen KMU beim Zugang zu DEP-Mitteln und deren Nutzung konfrontiert sind;</w:t>
      </w:r>
    </w:p>
    <w:p w:rsidRPr="00CA1A9B" w:rsidR="00CA1A9B" w:rsidP="00536180" w:rsidRDefault="00CA1A9B" w14:paraId="371FA337" w14:textId="77777777">
      <w:pPr>
        <w:numPr>
          <w:ilvl w:val="0"/>
          <w:numId w:val="48"/>
        </w:numPr>
        <w:overflowPunct w:val="0"/>
        <w:autoSpaceDE w:val="0"/>
        <w:autoSpaceDN w:val="0"/>
        <w:adjustRightInd w:val="0"/>
        <w:ind w:left="567" w:hanging="567"/>
        <w:textAlignment w:val="baseline"/>
        <w:outlineLvl w:val="1"/>
        <w:rPr>
          <w:rFonts w:ascii="Calibri" w:hAnsi="Calibri"/>
          <w:bCs/>
          <w:iCs/>
        </w:rPr>
      </w:pPr>
      <w:r>
        <w:t>empfiehlt der Kommission, das im Sommer 2024 auf den Weg gebrachte DEP-Dashboard aktiv zu fördern und einen umfassenden Rahmen für die Bewertung der Wirksamkeit und der Auswirkungen von Initiativen im Rahmen des DEP zu entwickeln. Dieser Rahmen sollte qualitative und quantitative Parameter und eine regelmäßige Prüfung der Übereinstimmung mit den übergeordneten politischen Zielen der EU und den sozioökonomischen Bedürfnissen der verschiedenen Regionen umfassen;</w:t>
      </w:r>
    </w:p>
    <w:p w:rsidRPr="00CA1A9B" w:rsidR="00CA1A9B" w:rsidP="00536180" w:rsidRDefault="00CA1A9B" w14:paraId="53C54993" w14:textId="77777777">
      <w:pPr>
        <w:numPr>
          <w:ilvl w:val="0"/>
          <w:numId w:val="48"/>
        </w:numPr>
        <w:overflowPunct w:val="0"/>
        <w:autoSpaceDE w:val="0"/>
        <w:autoSpaceDN w:val="0"/>
        <w:adjustRightInd w:val="0"/>
        <w:ind w:left="567" w:hanging="567"/>
        <w:textAlignment w:val="baseline"/>
        <w:outlineLvl w:val="1"/>
        <w:rPr>
          <w:rFonts w:ascii="Calibri" w:hAnsi="Calibri"/>
          <w:bCs/>
          <w:iCs/>
        </w:rPr>
      </w:pPr>
      <w:r>
        <w:t>fordert die aktive Unterstützung von Initiativen, in deren Rahmen der Anteil von Frauen im Tech-Bereich und in MINT-Berufen erhöht und Frauen über sektorübergreifende Karrieremöglichkeiten durch das Erlernen bzw. die Nutzung verschiedener neuer Technologien informiert werden.</w:t>
      </w:r>
    </w:p>
    <w:p w:rsidRPr="00CA1A9B" w:rsidR="00CA1A9B" w:rsidP="00CA1A9B" w:rsidRDefault="00CA1A9B" w14:paraId="52A46903" w14:textId="77777777">
      <w:pPr>
        <w:widowControl w:val="0"/>
        <w:overflowPunct w:val="0"/>
        <w:autoSpaceDE w:val="0"/>
        <w:autoSpaceDN w:val="0"/>
        <w:adjustRightInd w:val="0"/>
        <w:textAlignment w:val="baseline"/>
        <w:rPr>
          <w:szCs w:val="20"/>
          <w:lang w:val="en-GB"/>
        </w:rPr>
      </w:pPr>
    </w:p>
    <w:tbl>
      <w:tblPr>
        <w:tblStyle w:val="TableGrid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84"/>
        <w:gridCol w:w="5447"/>
      </w:tblGrid>
      <w:tr w:rsidRPr="00536180" w:rsidR="00CA1A9B" w:rsidTr="00DB536C" w14:paraId="0A654251" w14:textId="77777777">
        <w:tc>
          <w:tcPr>
            <w:tcW w:w="1013" w:type="pct"/>
          </w:tcPr>
          <w:p w:rsidRPr="00536180" w:rsidR="00CA1A9B" w:rsidP="00CA1A9B" w:rsidRDefault="00CA1A9B" w14:paraId="085D856A" w14:textId="77777777">
            <w:pPr>
              <w:overflowPunct w:val="0"/>
              <w:autoSpaceDE w:val="0"/>
              <w:autoSpaceDN w:val="0"/>
              <w:adjustRightInd w:val="0"/>
              <w:spacing w:line="240" w:lineRule="auto"/>
              <w:textAlignment w:val="baseline"/>
              <w:rPr>
                <w:i/>
                <w:sz w:val="22"/>
                <w:szCs w:val="22"/>
              </w:rPr>
            </w:pPr>
            <w:r w:rsidRPr="00536180">
              <w:rPr>
                <w:b/>
                <w:i/>
                <w:sz w:val="22"/>
                <w:szCs w:val="22"/>
              </w:rPr>
              <w:t>Kontakt</w:t>
            </w:r>
          </w:p>
        </w:tc>
        <w:tc>
          <w:tcPr>
            <w:tcW w:w="3987" w:type="pct"/>
          </w:tcPr>
          <w:p w:rsidRPr="00536180" w:rsidR="00CA1A9B" w:rsidP="00CA1A9B" w:rsidRDefault="00CA1A9B" w14:paraId="06D3E783" w14:textId="77777777">
            <w:pPr>
              <w:overflowPunct w:val="0"/>
              <w:autoSpaceDE w:val="0"/>
              <w:autoSpaceDN w:val="0"/>
              <w:adjustRightInd w:val="0"/>
              <w:spacing w:line="240" w:lineRule="auto"/>
              <w:textAlignment w:val="baseline"/>
              <w:rPr>
                <w:i/>
                <w:sz w:val="22"/>
                <w:szCs w:val="22"/>
              </w:rPr>
            </w:pPr>
            <w:r w:rsidRPr="00536180">
              <w:rPr>
                <w:i/>
                <w:sz w:val="22"/>
                <w:szCs w:val="22"/>
              </w:rPr>
              <w:t xml:space="preserve">Marco </w:t>
            </w:r>
            <w:proofErr w:type="spellStart"/>
            <w:r w:rsidRPr="00536180">
              <w:rPr>
                <w:i/>
                <w:sz w:val="22"/>
                <w:szCs w:val="22"/>
              </w:rPr>
              <w:t>Manfroni</w:t>
            </w:r>
            <w:proofErr w:type="spellEnd"/>
          </w:p>
        </w:tc>
      </w:tr>
      <w:tr w:rsidRPr="00536180" w:rsidR="00CA1A9B" w:rsidTr="00DB536C" w14:paraId="21292A04" w14:textId="77777777">
        <w:tc>
          <w:tcPr>
            <w:tcW w:w="1013" w:type="pct"/>
          </w:tcPr>
          <w:p w:rsidRPr="00536180" w:rsidR="00CA1A9B" w:rsidP="00CA1A9B" w:rsidRDefault="00CA1A9B" w14:paraId="69ADD9F7" w14:textId="77777777">
            <w:pPr>
              <w:overflowPunct w:val="0"/>
              <w:autoSpaceDE w:val="0"/>
              <w:autoSpaceDN w:val="0"/>
              <w:adjustRightInd w:val="0"/>
              <w:spacing w:line="240" w:lineRule="auto"/>
              <w:textAlignment w:val="baseline"/>
              <w:rPr>
                <w:i/>
                <w:sz w:val="22"/>
                <w:szCs w:val="22"/>
              </w:rPr>
            </w:pPr>
            <w:r w:rsidRPr="00536180">
              <w:rPr>
                <w:i/>
                <w:sz w:val="22"/>
                <w:szCs w:val="22"/>
              </w:rPr>
              <w:t>Tel.</w:t>
            </w:r>
          </w:p>
        </w:tc>
        <w:tc>
          <w:tcPr>
            <w:tcW w:w="3987" w:type="pct"/>
          </w:tcPr>
          <w:p w:rsidRPr="00536180" w:rsidR="00CA1A9B" w:rsidP="00CA1A9B" w:rsidRDefault="00CA1A9B" w14:paraId="4D8FCFF1" w14:textId="77777777">
            <w:pPr>
              <w:overflowPunct w:val="0"/>
              <w:autoSpaceDE w:val="0"/>
              <w:autoSpaceDN w:val="0"/>
              <w:adjustRightInd w:val="0"/>
              <w:spacing w:line="240" w:lineRule="auto"/>
              <w:textAlignment w:val="baseline"/>
              <w:rPr>
                <w:i/>
                <w:sz w:val="22"/>
                <w:szCs w:val="22"/>
              </w:rPr>
            </w:pPr>
            <w:r w:rsidRPr="00536180">
              <w:rPr>
                <w:i/>
                <w:sz w:val="22"/>
                <w:szCs w:val="22"/>
              </w:rPr>
              <w:t>+32 25469140</w:t>
            </w:r>
          </w:p>
        </w:tc>
      </w:tr>
      <w:tr w:rsidRPr="00536180" w:rsidR="00CA1A9B" w:rsidTr="00DB536C" w14:paraId="0059F17F" w14:textId="77777777">
        <w:tc>
          <w:tcPr>
            <w:tcW w:w="1013" w:type="pct"/>
          </w:tcPr>
          <w:p w:rsidRPr="00536180" w:rsidR="00CA1A9B" w:rsidP="00CA1A9B" w:rsidRDefault="00A73811" w14:paraId="433DB0A6" w14:textId="3831409E">
            <w:pPr>
              <w:overflowPunct w:val="0"/>
              <w:autoSpaceDE w:val="0"/>
              <w:autoSpaceDN w:val="0"/>
              <w:adjustRightInd w:val="0"/>
              <w:spacing w:line="240" w:lineRule="auto"/>
              <w:textAlignment w:val="baseline"/>
              <w:rPr>
                <w:i/>
                <w:sz w:val="22"/>
                <w:szCs w:val="22"/>
              </w:rPr>
            </w:pPr>
            <w:r w:rsidRPr="00536180">
              <w:rPr>
                <w:i/>
                <w:sz w:val="22"/>
                <w:szCs w:val="22"/>
              </w:rPr>
              <w:t>E-Mail</w:t>
            </w:r>
          </w:p>
        </w:tc>
        <w:tc>
          <w:tcPr>
            <w:tcW w:w="3987" w:type="pct"/>
          </w:tcPr>
          <w:p w:rsidRPr="00536180" w:rsidR="00CA1A9B" w:rsidP="00DB536C" w:rsidRDefault="00486D53" w14:paraId="35079E8A" w14:textId="55069667">
            <w:pPr>
              <w:overflowPunct w:val="0"/>
              <w:autoSpaceDE w:val="0"/>
              <w:autoSpaceDN w:val="0"/>
              <w:adjustRightInd w:val="0"/>
              <w:spacing w:line="240" w:lineRule="auto"/>
              <w:textAlignment w:val="baseline"/>
              <w:rPr>
                <w:i/>
                <w:sz w:val="22"/>
                <w:szCs w:val="22"/>
              </w:rPr>
            </w:pPr>
            <w:hyperlink w:history="1" r:id="rId52">
              <w:r w:rsidRPr="00536180" w:rsidR="007E03C9">
                <w:rPr>
                  <w:i/>
                  <w:color w:val="0000FF"/>
                  <w:sz w:val="22"/>
                  <w:szCs w:val="22"/>
                  <w:u w:val="single"/>
                </w:rPr>
                <w:t>Marco.Manfroni@eesc.europa.eu</w:t>
              </w:r>
            </w:hyperlink>
          </w:p>
        </w:tc>
      </w:tr>
    </w:tbl>
    <w:p w:rsidRPr="00DB536C" w:rsidR="007C49B3" w:rsidP="002F20BE" w:rsidRDefault="007C49B3" w14:paraId="151231FC" w14:textId="33F305B9">
      <w:pPr>
        <w:ind w:left="710"/>
        <w:rPr>
          <w:b/>
          <w:i/>
        </w:rPr>
      </w:pPr>
    </w:p>
    <w:p w:rsidRPr="00DB536C" w:rsidR="007C49B3" w:rsidRDefault="007C49B3" w14:paraId="0D2F5A16" w14:textId="77777777">
      <w:pPr>
        <w:spacing w:after="160" w:line="259" w:lineRule="auto"/>
        <w:jc w:val="left"/>
        <w:rPr>
          <w:b/>
          <w:i/>
        </w:rPr>
      </w:pPr>
      <w:r w:rsidRPr="00DB536C">
        <w:br w:type="page"/>
      </w:r>
    </w:p>
    <w:p w:rsidRPr="000F216A" w:rsidR="00A630EC" w:rsidP="0015600B" w:rsidRDefault="00486D53" w14:paraId="38CEC459" w14:textId="5488B8C6">
      <w:pPr>
        <w:widowControl w:val="0"/>
        <w:numPr>
          <w:ilvl w:val="0"/>
          <w:numId w:val="8"/>
        </w:numPr>
        <w:overflowPunct w:val="0"/>
        <w:autoSpaceDE w:val="0"/>
        <w:autoSpaceDN w:val="0"/>
        <w:adjustRightInd w:val="0"/>
        <w:ind w:left="426" w:hanging="426"/>
        <w:textAlignment w:val="baseline"/>
        <w:rPr>
          <w:b/>
        </w:rPr>
      </w:pPr>
      <w:hyperlink w:tgtFrame="_blank" w:history="1" r:id="rId53">
        <w:r w:rsidR="00276FC9">
          <w:rPr>
            <w:b/>
            <w:i/>
            <w:color w:val="0000FF"/>
            <w:sz w:val="28"/>
            <w:u w:val="single"/>
          </w:rPr>
          <w:t>„Abschlussbewertung des Verbraucherprogramms (2014–2020)“</w:t>
        </w:r>
      </w:hyperlink>
    </w:p>
    <w:p w:rsidRPr="000F216A" w:rsidR="00347517" w:rsidP="000F216A" w:rsidRDefault="00347517" w14:paraId="1A39B86B" w14:textId="77777777"/>
    <w:tbl>
      <w:tblPr>
        <w:tblStyle w:val="TableGrid12"/>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7133"/>
      </w:tblGrid>
      <w:tr w:rsidRPr="00536180" w:rsidR="00A630EC" w:rsidTr="00F324F7" w14:paraId="75842C48" w14:textId="77777777">
        <w:tc>
          <w:tcPr>
            <w:tcW w:w="1148" w:type="pct"/>
          </w:tcPr>
          <w:p w:rsidRPr="00536180" w:rsidR="00A630EC" w:rsidP="00A630EC" w:rsidRDefault="00A630EC" w14:paraId="537AE0E3"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Berichterstatter</w:t>
            </w:r>
          </w:p>
        </w:tc>
        <w:tc>
          <w:tcPr>
            <w:tcW w:w="3852" w:type="pct"/>
          </w:tcPr>
          <w:p w:rsidRPr="00536180" w:rsidR="00A630EC" w:rsidP="00A630EC" w:rsidRDefault="00A630EC" w14:paraId="56CF9B43" w14:textId="1C2579CB">
            <w:pPr>
              <w:tabs>
                <w:tab w:val="center" w:pos="284"/>
              </w:tabs>
              <w:overflowPunct w:val="0"/>
              <w:autoSpaceDE w:val="0"/>
              <w:autoSpaceDN w:val="0"/>
              <w:adjustRightInd w:val="0"/>
              <w:ind w:left="266" w:hanging="266"/>
              <w:textAlignment w:val="baseline"/>
              <w:rPr>
                <w:sz w:val="22"/>
                <w:szCs w:val="22"/>
              </w:rPr>
            </w:pPr>
            <w:r w:rsidRPr="00536180">
              <w:rPr>
                <w:sz w:val="22"/>
                <w:szCs w:val="22"/>
              </w:rPr>
              <w:t>João NABAIS (Gruppe Organisationen der Zivilgesellschaft – PT)</w:t>
            </w:r>
          </w:p>
        </w:tc>
      </w:tr>
      <w:tr w:rsidRPr="00536180" w:rsidR="00A630EC" w:rsidTr="00F324F7" w14:paraId="286DA434" w14:textId="77777777">
        <w:tc>
          <w:tcPr>
            <w:tcW w:w="5000" w:type="pct"/>
            <w:gridSpan w:val="2"/>
          </w:tcPr>
          <w:p w:rsidRPr="00536180" w:rsidR="00A630EC" w:rsidP="00A630EC" w:rsidRDefault="00A630EC" w14:paraId="6AA3C947"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36180" w:rsidR="00A630EC" w:rsidTr="00F324F7" w14:paraId="3771B39B" w14:textId="77777777">
        <w:tc>
          <w:tcPr>
            <w:tcW w:w="1148" w:type="pct"/>
            <w:vMerge w:val="restart"/>
          </w:tcPr>
          <w:p w:rsidRPr="00536180" w:rsidR="00A630EC" w:rsidP="00A630EC" w:rsidRDefault="00A630EC" w14:paraId="11411897"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Referenzdokumente</w:t>
            </w:r>
          </w:p>
        </w:tc>
        <w:tc>
          <w:tcPr>
            <w:tcW w:w="3852" w:type="pct"/>
          </w:tcPr>
          <w:p w:rsidRPr="00536180" w:rsidR="00A630EC" w:rsidP="00A630EC" w:rsidRDefault="00A630EC" w14:paraId="09590717"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Bewertungsbericht</w:t>
            </w:r>
          </w:p>
        </w:tc>
      </w:tr>
      <w:tr w:rsidRPr="00536180" w:rsidR="00A630EC" w:rsidTr="00F324F7" w14:paraId="7322AF43" w14:textId="77777777">
        <w:tc>
          <w:tcPr>
            <w:tcW w:w="1148" w:type="pct"/>
            <w:vMerge/>
          </w:tcPr>
          <w:p w:rsidRPr="00536180" w:rsidR="00A630EC" w:rsidP="00A630EC" w:rsidRDefault="00A630EC" w14:paraId="20040845" w14:textId="77777777">
            <w:pPr>
              <w:tabs>
                <w:tab w:val="center" w:pos="284"/>
              </w:tabs>
              <w:overflowPunct w:val="0"/>
              <w:autoSpaceDE w:val="0"/>
              <w:autoSpaceDN w:val="0"/>
              <w:adjustRightInd w:val="0"/>
              <w:ind w:left="266" w:hanging="266"/>
              <w:textAlignment w:val="baseline"/>
              <w:rPr>
                <w:b/>
                <w:sz w:val="22"/>
                <w:szCs w:val="22"/>
              </w:rPr>
            </w:pPr>
          </w:p>
        </w:tc>
        <w:tc>
          <w:tcPr>
            <w:tcW w:w="3852" w:type="pct"/>
          </w:tcPr>
          <w:p w:rsidRPr="00536180" w:rsidR="00A630EC" w:rsidP="00A630EC" w:rsidRDefault="00A630EC" w14:paraId="55BDF311"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EESC-2024-00627-00-00-RE</w:t>
            </w:r>
          </w:p>
        </w:tc>
      </w:tr>
    </w:tbl>
    <w:p w:rsidRPr="00A630EC" w:rsidR="00A630EC" w:rsidP="0015600B" w:rsidRDefault="00A630EC" w14:paraId="14AA8040" w14:textId="77777777">
      <w:pPr>
        <w:tabs>
          <w:tab w:val="center" w:pos="284"/>
        </w:tabs>
        <w:overflowPunct w:val="0"/>
        <w:autoSpaceDE w:val="0"/>
        <w:autoSpaceDN w:val="0"/>
        <w:adjustRightInd w:val="0"/>
        <w:ind w:left="266" w:hanging="124"/>
        <w:textAlignment w:val="baseline"/>
        <w:rPr>
          <w:lang w:val="en-GB"/>
        </w:rPr>
      </w:pPr>
    </w:p>
    <w:p w:rsidRPr="00A630EC" w:rsidR="00A630EC" w:rsidP="00A630EC" w:rsidRDefault="00A630EC" w14:paraId="6C06C1BB"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A630EC" w:rsidR="00A630EC" w:rsidP="00A630EC" w:rsidRDefault="00A630EC" w14:paraId="5A4322C3" w14:textId="77777777">
      <w:pPr>
        <w:keepNext/>
        <w:keepLines/>
        <w:tabs>
          <w:tab w:val="center" w:pos="284"/>
        </w:tabs>
        <w:overflowPunct w:val="0"/>
        <w:autoSpaceDE w:val="0"/>
        <w:autoSpaceDN w:val="0"/>
        <w:adjustRightInd w:val="0"/>
        <w:ind w:left="266" w:hanging="266"/>
        <w:textAlignment w:val="baseline"/>
        <w:rPr>
          <w:b/>
          <w:lang w:val="en-GB"/>
        </w:rPr>
      </w:pPr>
    </w:p>
    <w:p w:rsidRPr="00A630EC" w:rsidR="00A630EC" w:rsidP="00A630EC" w:rsidRDefault="00A630EC" w14:paraId="5C99682F" w14:textId="77777777">
      <w:pPr>
        <w:overflowPunct w:val="0"/>
        <w:autoSpaceDE w:val="0"/>
        <w:autoSpaceDN w:val="0"/>
        <w:adjustRightInd w:val="0"/>
        <w:textAlignment w:val="baseline"/>
        <w:rPr>
          <w:bCs/>
          <w:iCs/>
        </w:rPr>
      </w:pPr>
      <w:r>
        <w:t>Der EWSA</w:t>
      </w:r>
    </w:p>
    <w:p w:rsidRPr="00A630EC" w:rsidR="00A630EC" w:rsidP="00A630EC" w:rsidRDefault="00A630EC" w14:paraId="043EA8A5" w14:textId="77777777">
      <w:pPr>
        <w:overflowPunct w:val="0"/>
        <w:autoSpaceDE w:val="0"/>
        <w:autoSpaceDN w:val="0"/>
        <w:adjustRightInd w:val="0"/>
        <w:textAlignment w:val="baseline"/>
        <w:rPr>
          <w:bCs/>
          <w:iCs/>
          <w:lang w:val="en-GB"/>
        </w:rPr>
      </w:pPr>
    </w:p>
    <w:p w:rsidRPr="00A630EC" w:rsidR="00A630EC" w:rsidP="00536180" w:rsidRDefault="00A630EC" w14:paraId="72D8860C" w14:textId="77777777">
      <w:pPr>
        <w:numPr>
          <w:ilvl w:val="0"/>
          <w:numId w:val="49"/>
        </w:numPr>
        <w:overflowPunct w:val="0"/>
        <w:autoSpaceDE w:val="0"/>
        <w:autoSpaceDN w:val="0"/>
        <w:adjustRightInd w:val="0"/>
        <w:ind w:left="567" w:hanging="567"/>
        <w:textAlignment w:val="baseline"/>
        <w:outlineLvl w:val="1"/>
      </w:pPr>
      <w:r>
        <w:t>stellt fest, dass das Verbraucherprogramm dazu beigetragen hat, den Schutz und die Handlungskompetenz der Verbraucher in der EU zu verbessern. Angesichts seiner Ziele und seiner Laufzeit hätte die Mittelausstattung jedoch umfangreicher ausfallen müssen, ebenso wie die Liste der förderfähigen Maßnahmen und der potenziellen Begünstigten;</w:t>
      </w:r>
    </w:p>
    <w:p w:rsidRPr="00A630EC" w:rsidR="00A630EC" w:rsidP="00536180" w:rsidRDefault="00A630EC" w14:paraId="779B7ED4" w14:textId="77777777">
      <w:pPr>
        <w:numPr>
          <w:ilvl w:val="0"/>
          <w:numId w:val="49"/>
        </w:numPr>
        <w:overflowPunct w:val="0"/>
        <w:autoSpaceDE w:val="0"/>
        <w:autoSpaceDN w:val="0"/>
        <w:adjustRightInd w:val="0"/>
        <w:ind w:left="567" w:hanging="567"/>
        <w:textAlignment w:val="baseline"/>
        <w:outlineLvl w:val="1"/>
      </w:pPr>
      <w:r>
        <w:t>erkennt die erheblichen Anstrengungen an, die beim Zugang der Verbraucher zu Rechtsbehelfen unternommen wurden;</w:t>
      </w:r>
    </w:p>
    <w:p w:rsidRPr="00A630EC" w:rsidR="00A630EC" w:rsidP="00536180" w:rsidRDefault="00A630EC" w14:paraId="235D909D" w14:textId="77777777">
      <w:pPr>
        <w:numPr>
          <w:ilvl w:val="0"/>
          <w:numId w:val="49"/>
        </w:numPr>
        <w:overflowPunct w:val="0"/>
        <w:autoSpaceDE w:val="0"/>
        <w:autoSpaceDN w:val="0"/>
        <w:adjustRightInd w:val="0"/>
        <w:ind w:left="567" w:hanging="567"/>
        <w:textAlignment w:val="baseline"/>
        <w:outlineLvl w:val="1"/>
      </w:pPr>
      <w:r>
        <w:t>begrüßt, dass das System der Rechtsdurchsetzung heute kompakter, transparenter und zugänglicher ist, und betont, dass der Schwerpunkt weiter auf Kontrollnetzen wie dem CPC-Netz der Verbraucherschutzbehörden liegen sollte;</w:t>
      </w:r>
    </w:p>
    <w:p w:rsidRPr="00A630EC" w:rsidR="00A630EC" w:rsidP="00536180" w:rsidRDefault="00A630EC" w14:paraId="5781ABC7" w14:textId="77777777">
      <w:pPr>
        <w:numPr>
          <w:ilvl w:val="0"/>
          <w:numId w:val="49"/>
        </w:numPr>
        <w:overflowPunct w:val="0"/>
        <w:autoSpaceDE w:val="0"/>
        <w:autoSpaceDN w:val="0"/>
        <w:adjustRightInd w:val="0"/>
        <w:ind w:left="567" w:hanging="567"/>
        <w:textAlignment w:val="baseline"/>
        <w:outlineLvl w:val="1"/>
      </w:pPr>
      <w:r>
        <w:t>ist der Ansicht, dass im Rahmen der Mehrjahresprogramme Länder mit geringerem Besitzstand im Verbraucherschutz stärker unterstützt werden sollten;</w:t>
      </w:r>
    </w:p>
    <w:p w:rsidRPr="00A630EC" w:rsidR="00A630EC" w:rsidP="00536180" w:rsidRDefault="00A630EC" w14:paraId="24A7DBD8" w14:textId="77777777">
      <w:pPr>
        <w:numPr>
          <w:ilvl w:val="0"/>
          <w:numId w:val="49"/>
        </w:numPr>
        <w:overflowPunct w:val="0"/>
        <w:autoSpaceDE w:val="0"/>
        <w:autoSpaceDN w:val="0"/>
        <w:adjustRightInd w:val="0"/>
        <w:ind w:left="567" w:hanging="567"/>
        <w:textAlignment w:val="baseline"/>
        <w:outlineLvl w:val="1"/>
      </w:pPr>
      <w:r>
        <w:t>hält es für wesentlich, die Kapazitäten der Verbraucherverbände zu stärken, und fordert, die Verbraucherbildung in Schule und Ausbildung zu intensivieren, insbesondere in den Bereichen Finanzen und Digitales;</w:t>
      </w:r>
    </w:p>
    <w:p w:rsidRPr="00A630EC" w:rsidR="00A630EC" w:rsidP="00536180" w:rsidRDefault="00A630EC" w14:paraId="56A9AC2F" w14:textId="77777777">
      <w:pPr>
        <w:numPr>
          <w:ilvl w:val="0"/>
          <w:numId w:val="49"/>
        </w:numPr>
        <w:overflowPunct w:val="0"/>
        <w:autoSpaceDE w:val="0"/>
        <w:autoSpaceDN w:val="0"/>
        <w:adjustRightInd w:val="0"/>
        <w:ind w:left="567" w:hanging="567"/>
        <w:textAlignment w:val="baseline"/>
        <w:outlineLvl w:val="1"/>
      </w:pPr>
      <w:r>
        <w:t>empfiehlt, den besonderen Bedürfnissen bestimmter Verbrauchergruppen – Kinder und Jugendliche, ältere Menschen, Arbeitslose, Migranten und Menschen mit Behinderungen – größeres Augenmerk zu schenken;</w:t>
      </w:r>
    </w:p>
    <w:p w:rsidRPr="00A630EC" w:rsidR="00A630EC" w:rsidP="00536180" w:rsidRDefault="00A630EC" w14:paraId="463F6230" w14:textId="77777777">
      <w:pPr>
        <w:numPr>
          <w:ilvl w:val="0"/>
          <w:numId w:val="49"/>
        </w:numPr>
        <w:overflowPunct w:val="0"/>
        <w:autoSpaceDE w:val="0"/>
        <w:autoSpaceDN w:val="0"/>
        <w:adjustRightInd w:val="0"/>
        <w:ind w:left="567" w:hanging="567"/>
        <w:textAlignment w:val="baseline"/>
        <w:outlineLvl w:val="1"/>
      </w:pPr>
      <w:r>
        <w:t>hebt hervor, dass für ein besseres System für die Unterstützung der nationalen Behörden im Bereich der Produktsicherheit gesorgt werden sollte, insbesondere angesichts von Herausforderungen wie Internet der Dinge, Cybersicherheit und künstliche Intelligenz;</w:t>
      </w:r>
    </w:p>
    <w:p w:rsidRPr="00A630EC" w:rsidR="00A630EC" w:rsidP="00536180" w:rsidRDefault="00A630EC" w14:paraId="08A6A07C" w14:textId="77777777">
      <w:pPr>
        <w:numPr>
          <w:ilvl w:val="0"/>
          <w:numId w:val="49"/>
        </w:numPr>
        <w:overflowPunct w:val="0"/>
        <w:autoSpaceDE w:val="0"/>
        <w:autoSpaceDN w:val="0"/>
        <w:adjustRightInd w:val="0"/>
        <w:ind w:left="567" w:hanging="567"/>
        <w:textAlignment w:val="baseline"/>
        <w:outlineLvl w:val="1"/>
      </w:pPr>
      <w:r>
        <w:t>erachtet es als unbedingt erforderlich, die Verfahren zur Einbeziehung der Zivilgesellschaft zu vereinfachen, für eine transparente und zugängliche Kommunikation zu sorgen und sicherzustellen, dass die Konsultationen echte Möglichkeiten für die Zivilgesellschaft sind, konkrete, angemessene und neue Vorschläge vorzubringen;</w:t>
      </w:r>
    </w:p>
    <w:p w:rsidRPr="00A630EC" w:rsidR="00A630EC" w:rsidP="00536180" w:rsidRDefault="00A630EC" w14:paraId="7B676EBD" w14:textId="77777777">
      <w:pPr>
        <w:numPr>
          <w:ilvl w:val="0"/>
          <w:numId w:val="49"/>
        </w:numPr>
        <w:overflowPunct w:val="0"/>
        <w:autoSpaceDE w:val="0"/>
        <w:autoSpaceDN w:val="0"/>
        <w:adjustRightInd w:val="0"/>
        <w:ind w:left="567" w:hanging="567"/>
        <w:textAlignment w:val="baseline"/>
        <w:outlineLvl w:val="1"/>
      </w:pPr>
      <w:r>
        <w:t>hält es für wichtig, künftige Programme klarer, transparenter und weniger bürokratisch zu konzipieren und umzusetzen.</w:t>
      </w:r>
    </w:p>
    <w:p w:rsidRPr="00A630EC" w:rsidR="00A630EC" w:rsidP="00A630EC" w:rsidRDefault="00A630EC" w14:paraId="6CFEE115" w14:textId="77777777">
      <w:pPr>
        <w:widowControl w:val="0"/>
        <w:overflowPunct w:val="0"/>
        <w:autoSpaceDE w:val="0"/>
        <w:autoSpaceDN w:val="0"/>
        <w:adjustRightInd w:val="0"/>
        <w:ind w:left="709"/>
        <w:textAlignment w:val="baseline"/>
        <w:rPr>
          <w:szCs w:val="20"/>
          <w:lang w:val="en-GB"/>
        </w:rPr>
      </w:pPr>
    </w:p>
    <w:tbl>
      <w:tblPr>
        <w:tblStyle w:val="TableGrid1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536180" w:rsidR="00A630EC" w:rsidTr="00F324F7" w14:paraId="1A622280" w14:textId="77777777">
        <w:tc>
          <w:tcPr>
            <w:tcW w:w="1556" w:type="pct"/>
          </w:tcPr>
          <w:p w:rsidRPr="00536180" w:rsidR="00A630EC" w:rsidP="00A630EC" w:rsidRDefault="00A630EC" w14:paraId="090DD6EC" w14:textId="77777777">
            <w:pPr>
              <w:overflowPunct w:val="0"/>
              <w:autoSpaceDE w:val="0"/>
              <w:autoSpaceDN w:val="0"/>
              <w:adjustRightInd w:val="0"/>
              <w:spacing w:line="240" w:lineRule="auto"/>
              <w:textAlignment w:val="baseline"/>
              <w:rPr>
                <w:i/>
                <w:sz w:val="22"/>
                <w:szCs w:val="22"/>
              </w:rPr>
            </w:pPr>
            <w:r w:rsidRPr="00536180">
              <w:rPr>
                <w:b/>
                <w:i/>
                <w:sz w:val="22"/>
                <w:szCs w:val="22"/>
              </w:rPr>
              <w:t>Kontakt</w:t>
            </w:r>
          </w:p>
        </w:tc>
        <w:tc>
          <w:tcPr>
            <w:tcW w:w="3444" w:type="pct"/>
          </w:tcPr>
          <w:p w:rsidRPr="00536180" w:rsidR="00A630EC" w:rsidP="00A630EC" w:rsidRDefault="00A630EC" w14:paraId="72FACB9C" w14:textId="77777777">
            <w:pPr>
              <w:overflowPunct w:val="0"/>
              <w:autoSpaceDE w:val="0"/>
              <w:autoSpaceDN w:val="0"/>
              <w:adjustRightInd w:val="0"/>
              <w:spacing w:line="240" w:lineRule="auto"/>
              <w:textAlignment w:val="baseline"/>
              <w:rPr>
                <w:i/>
                <w:sz w:val="22"/>
                <w:szCs w:val="22"/>
              </w:rPr>
            </w:pPr>
            <w:proofErr w:type="spellStart"/>
            <w:r w:rsidRPr="00536180">
              <w:rPr>
                <w:i/>
                <w:sz w:val="22"/>
                <w:szCs w:val="22"/>
              </w:rPr>
              <w:t>Radoslava</w:t>
            </w:r>
            <w:proofErr w:type="spellEnd"/>
            <w:r w:rsidRPr="00536180">
              <w:rPr>
                <w:i/>
                <w:sz w:val="22"/>
                <w:szCs w:val="22"/>
              </w:rPr>
              <w:t xml:space="preserve"> </w:t>
            </w:r>
            <w:proofErr w:type="spellStart"/>
            <w:r w:rsidRPr="00536180">
              <w:rPr>
                <w:i/>
                <w:sz w:val="22"/>
                <w:szCs w:val="22"/>
              </w:rPr>
              <w:t>Stefankova</w:t>
            </w:r>
            <w:proofErr w:type="spellEnd"/>
          </w:p>
        </w:tc>
      </w:tr>
      <w:tr w:rsidRPr="00536180" w:rsidR="00A630EC" w:rsidTr="00F324F7" w14:paraId="189AA5DB" w14:textId="77777777">
        <w:tc>
          <w:tcPr>
            <w:tcW w:w="1556" w:type="pct"/>
          </w:tcPr>
          <w:p w:rsidRPr="00536180" w:rsidR="00A630EC" w:rsidP="00A630EC" w:rsidRDefault="00A630EC" w14:paraId="41D241AC" w14:textId="77777777">
            <w:pPr>
              <w:overflowPunct w:val="0"/>
              <w:autoSpaceDE w:val="0"/>
              <w:autoSpaceDN w:val="0"/>
              <w:adjustRightInd w:val="0"/>
              <w:spacing w:line="240" w:lineRule="auto"/>
              <w:textAlignment w:val="baseline"/>
              <w:rPr>
                <w:i/>
                <w:sz w:val="22"/>
                <w:szCs w:val="22"/>
              </w:rPr>
            </w:pPr>
            <w:r w:rsidRPr="00536180">
              <w:rPr>
                <w:i/>
                <w:sz w:val="22"/>
                <w:szCs w:val="22"/>
              </w:rPr>
              <w:t>Tel.</w:t>
            </w:r>
          </w:p>
        </w:tc>
        <w:tc>
          <w:tcPr>
            <w:tcW w:w="3444" w:type="pct"/>
          </w:tcPr>
          <w:p w:rsidRPr="00536180" w:rsidR="00A630EC" w:rsidP="00A630EC" w:rsidRDefault="00A630EC" w14:paraId="3A2E2DAA" w14:textId="77777777">
            <w:pPr>
              <w:overflowPunct w:val="0"/>
              <w:autoSpaceDE w:val="0"/>
              <w:autoSpaceDN w:val="0"/>
              <w:adjustRightInd w:val="0"/>
              <w:spacing w:line="240" w:lineRule="auto"/>
              <w:textAlignment w:val="baseline"/>
              <w:rPr>
                <w:i/>
                <w:sz w:val="22"/>
                <w:szCs w:val="22"/>
              </w:rPr>
            </w:pPr>
            <w:r w:rsidRPr="00536180">
              <w:rPr>
                <w:i/>
                <w:sz w:val="22"/>
                <w:szCs w:val="22"/>
              </w:rPr>
              <w:t>+32 25468188</w:t>
            </w:r>
          </w:p>
        </w:tc>
      </w:tr>
      <w:tr w:rsidRPr="00536180" w:rsidR="00A630EC" w:rsidTr="00F324F7" w14:paraId="6D50F069" w14:textId="77777777">
        <w:tc>
          <w:tcPr>
            <w:tcW w:w="1556" w:type="pct"/>
          </w:tcPr>
          <w:p w:rsidRPr="00536180" w:rsidR="00A630EC" w:rsidP="00A630EC" w:rsidRDefault="00B24195" w14:paraId="7FD986E4" w14:textId="64BE2FDE">
            <w:pPr>
              <w:overflowPunct w:val="0"/>
              <w:autoSpaceDE w:val="0"/>
              <w:autoSpaceDN w:val="0"/>
              <w:adjustRightInd w:val="0"/>
              <w:spacing w:line="240" w:lineRule="auto"/>
              <w:textAlignment w:val="baseline"/>
              <w:rPr>
                <w:i/>
                <w:sz w:val="22"/>
                <w:szCs w:val="22"/>
              </w:rPr>
            </w:pPr>
            <w:r w:rsidRPr="00536180">
              <w:rPr>
                <w:i/>
                <w:sz w:val="22"/>
                <w:szCs w:val="22"/>
              </w:rPr>
              <w:t>E-Mail</w:t>
            </w:r>
          </w:p>
        </w:tc>
        <w:tc>
          <w:tcPr>
            <w:tcW w:w="3444" w:type="pct"/>
          </w:tcPr>
          <w:p w:rsidRPr="00536180" w:rsidR="00A630EC" w:rsidP="00A630EC" w:rsidRDefault="00486D53" w14:paraId="5718CBD8" w14:textId="1636A5F7">
            <w:pPr>
              <w:overflowPunct w:val="0"/>
              <w:autoSpaceDE w:val="0"/>
              <w:autoSpaceDN w:val="0"/>
              <w:adjustRightInd w:val="0"/>
              <w:spacing w:line="240" w:lineRule="auto"/>
              <w:textAlignment w:val="baseline"/>
              <w:rPr>
                <w:i/>
                <w:sz w:val="22"/>
                <w:szCs w:val="22"/>
              </w:rPr>
            </w:pPr>
            <w:hyperlink w:history="1" r:id="rId54">
              <w:r w:rsidRPr="00536180" w:rsidR="007E03C9">
                <w:rPr>
                  <w:i/>
                  <w:color w:val="0000FF"/>
                  <w:sz w:val="22"/>
                  <w:szCs w:val="22"/>
                  <w:u w:val="single"/>
                </w:rPr>
                <w:t>Radoslava.Stefankova@eesc.europa.eu</w:t>
              </w:r>
            </w:hyperlink>
          </w:p>
        </w:tc>
      </w:tr>
    </w:tbl>
    <w:p w:rsidRPr="00DB536C" w:rsidR="00991DA2" w:rsidP="002F20BE" w:rsidRDefault="00991DA2" w14:paraId="13DD82E3" w14:textId="5FE82F37">
      <w:pPr>
        <w:ind w:left="710"/>
        <w:rPr>
          <w:b/>
          <w:i/>
          <w:sz w:val="20"/>
          <w:szCs w:val="20"/>
        </w:rPr>
      </w:pPr>
    </w:p>
    <w:p w:rsidRPr="00DB536C" w:rsidR="00991DA2" w:rsidRDefault="00991DA2" w14:paraId="69682B44" w14:textId="77777777">
      <w:pPr>
        <w:spacing w:after="160" w:line="259" w:lineRule="auto"/>
        <w:jc w:val="left"/>
        <w:rPr>
          <w:b/>
          <w:i/>
          <w:sz w:val="20"/>
          <w:szCs w:val="20"/>
        </w:rPr>
      </w:pPr>
      <w:r w:rsidRPr="00DB536C">
        <w:rPr>
          <w:sz w:val="16"/>
          <w:szCs w:val="16"/>
        </w:rPr>
        <w:br w:type="page"/>
      </w:r>
    </w:p>
    <w:p w:rsidRPr="00991DA2" w:rsidR="00991DA2" w:rsidP="00991DA2" w:rsidRDefault="00486D53" w14:paraId="72ED4EF3" w14:textId="6F3F50A8">
      <w:pPr>
        <w:widowControl w:val="0"/>
        <w:numPr>
          <w:ilvl w:val="0"/>
          <w:numId w:val="8"/>
        </w:numPr>
        <w:overflowPunct w:val="0"/>
        <w:autoSpaceDE w:val="0"/>
        <w:autoSpaceDN w:val="0"/>
        <w:adjustRightInd w:val="0"/>
        <w:ind w:hanging="567"/>
        <w:textAlignment w:val="baseline"/>
        <w:rPr>
          <w:sz w:val="20"/>
          <w:szCs w:val="20"/>
        </w:rPr>
      </w:pPr>
      <w:hyperlink w:tgtFrame="_blank" w:history="1" r:id="rId55">
        <w:r w:rsidR="00276FC9">
          <w:rPr>
            <w:b/>
            <w:i/>
            <w:color w:val="0000FF"/>
            <w:sz w:val="28"/>
            <w:u w:val="single"/>
          </w:rPr>
          <w:t>Bekämpfung von Nachahmungen</w:t>
        </w:r>
      </w:hyperlink>
    </w:p>
    <w:p w:rsidRPr="000F216A" w:rsidR="00991DA2" w:rsidP="000F216A" w:rsidRDefault="00991DA2" w14:paraId="14FAB47E" w14:textId="77777777"/>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7496"/>
      </w:tblGrid>
      <w:tr w:rsidRPr="00536180" w:rsidR="00991DA2" w:rsidTr="00DB536C" w14:paraId="6D685F99" w14:textId="77777777">
        <w:tc>
          <w:tcPr>
            <w:tcW w:w="2110" w:type="dxa"/>
          </w:tcPr>
          <w:p w:rsidRPr="00536180" w:rsidR="00991DA2" w:rsidP="00991DA2" w:rsidRDefault="00991DA2" w14:paraId="70EB151F"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Berichterstatter</w:t>
            </w:r>
          </w:p>
        </w:tc>
        <w:tc>
          <w:tcPr>
            <w:tcW w:w="7496" w:type="dxa"/>
          </w:tcPr>
          <w:p w:rsidRPr="00536180" w:rsidR="00991DA2" w:rsidP="00991DA2" w:rsidRDefault="00991DA2" w14:paraId="05962DD1" w14:textId="6B062448">
            <w:pPr>
              <w:tabs>
                <w:tab w:val="center" w:pos="284"/>
              </w:tabs>
              <w:overflowPunct w:val="0"/>
              <w:autoSpaceDE w:val="0"/>
              <w:autoSpaceDN w:val="0"/>
              <w:adjustRightInd w:val="0"/>
              <w:ind w:left="266" w:hanging="266"/>
              <w:textAlignment w:val="baseline"/>
              <w:rPr>
                <w:sz w:val="22"/>
                <w:szCs w:val="22"/>
              </w:rPr>
            </w:pPr>
            <w:r w:rsidRPr="00536180">
              <w:rPr>
                <w:sz w:val="22"/>
                <w:szCs w:val="22"/>
              </w:rPr>
              <w:t>Bruno CHOIX (Gruppe Arbeitgeber – FR)</w:t>
            </w:r>
          </w:p>
        </w:tc>
      </w:tr>
      <w:tr w:rsidRPr="00536180" w:rsidR="00991DA2" w:rsidTr="00DB536C" w14:paraId="20B85526" w14:textId="77777777">
        <w:tc>
          <w:tcPr>
            <w:tcW w:w="9606" w:type="dxa"/>
            <w:gridSpan w:val="2"/>
          </w:tcPr>
          <w:p w:rsidRPr="00536180" w:rsidR="00991DA2" w:rsidP="00991DA2" w:rsidRDefault="00991DA2" w14:paraId="58286505"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36180" w:rsidR="00991DA2" w:rsidTr="00DB536C" w14:paraId="2A4DCD45" w14:textId="77777777">
        <w:tc>
          <w:tcPr>
            <w:tcW w:w="2110" w:type="dxa"/>
            <w:vMerge w:val="restart"/>
          </w:tcPr>
          <w:p w:rsidRPr="00536180" w:rsidR="00991DA2" w:rsidP="00991DA2" w:rsidRDefault="00991DA2" w14:paraId="5AA74E99"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Referenzdokumente</w:t>
            </w:r>
          </w:p>
        </w:tc>
        <w:tc>
          <w:tcPr>
            <w:tcW w:w="7496" w:type="dxa"/>
          </w:tcPr>
          <w:p w:rsidRPr="00536180" w:rsidR="00991DA2" w:rsidP="00991DA2" w:rsidRDefault="00991DA2" w14:paraId="5F7F1B79"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C(2024) 1739 final</w:t>
            </w:r>
          </w:p>
        </w:tc>
      </w:tr>
      <w:tr w:rsidRPr="00536180" w:rsidR="00991DA2" w:rsidTr="00DB536C" w14:paraId="131BE847" w14:textId="77777777">
        <w:tc>
          <w:tcPr>
            <w:tcW w:w="2110" w:type="dxa"/>
            <w:vMerge/>
          </w:tcPr>
          <w:p w:rsidRPr="00536180" w:rsidR="00991DA2" w:rsidP="00991DA2" w:rsidRDefault="00991DA2" w14:paraId="05C8A184" w14:textId="77777777">
            <w:pPr>
              <w:tabs>
                <w:tab w:val="center" w:pos="284"/>
              </w:tabs>
              <w:overflowPunct w:val="0"/>
              <w:autoSpaceDE w:val="0"/>
              <w:autoSpaceDN w:val="0"/>
              <w:adjustRightInd w:val="0"/>
              <w:ind w:left="266" w:hanging="266"/>
              <w:textAlignment w:val="baseline"/>
              <w:rPr>
                <w:b/>
                <w:sz w:val="22"/>
                <w:szCs w:val="22"/>
              </w:rPr>
            </w:pPr>
          </w:p>
        </w:tc>
        <w:tc>
          <w:tcPr>
            <w:tcW w:w="7496" w:type="dxa"/>
          </w:tcPr>
          <w:p w:rsidRPr="00536180" w:rsidR="00991DA2" w:rsidP="00991DA2" w:rsidRDefault="00991DA2" w14:paraId="7CE9096F" w14:textId="65AAC3AF">
            <w:pPr>
              <w:tabs>
                <w:tab w:val="center" w:pos="284"/>
              </w:tabs>
              <w:overflowPunct w:val="0"/>
              <w:autoSpaceDE w:val="0"/>
              <w:autoSpaceDN w:val="0"/>
              <w:adjustRightInd w:val="0"/>
              <w:ind w:left="266" w:hanging="266"/>
              <w:textAlignment w:val="baseline"/>
              <w:rPr>
                <w:sz w:val="22"/>
                <w:szCs w:val="22"/>
              </w:rPr>
            </w:pPr>
            <w:r w:rsidRPr="00536180">
              <w:rPr>
                <w:sz w:val="22"/>
                <w:szCs w:val="22"/>
              </w:rPr>
              <w:t>EESC-2024-01676-00-00-AC</w:t>
            </w:r>
          </w:p>
        </w:tc>
      </w:tr>
    </w:tbl>
    <w:p w:rsidRPr="00991DA2" w:rsidR="00991DA2" w:rsidP="00991DA2" w:rsidRDefault="00991DA2" w14:paraId="30AAB67F" w14:textId="77777777">
      <w:pPr>
        <w:tabs>
          <w:tab w:val="center" w:pos="284"/>
        </w:tabs>
        <w:overflowPunct w:val="0"/>
        <w:autoSpaceDE w:val="0"/>
        <w:autoSpaceDN w:val="0"/>
        <w:adjustRightInd w:val="0"/>
        <w:ind w:left="266" w:hanging="266"/>
        <w:textAlignment w:val="baseline"/>
        <w:rPr>
          <w:lang w:val="en-GB"/>
        </w:rPr>
      </w:pPr>
    </w:p>
    <w:p w:rsidRPr="00991DA2" w:rsidR="00991DA2" w:rsidP="00991DA2" w:rsidRDefault="00991DA2" w14:paraId="202803A6"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991DA2" w:rsidR="00991DA2" w:rsidP="00991DA2" w:rsidRDefault="00991DA2" w14:paraId="3A20C528" w14:textId="77777777">
      <w:pPr>
        <w:keepNext/>
        <w:keepLines/>
        <w:tabs>
          <w:tab w:val="center" w:pos="284"/>
        </w:tabs>
        <w:overflowPunct w:val="0"/>
        <w:autoSpaceDE w:val="0"/>
        <w:autoSpaceDN w:val="0"/>
        <w:adjustRightInd w:val="0"/>
        <w:ind w:left="266" w:hanging="266"/>
        <w:textAlignment w:val="baseline"/>
        <w:rPr>
          <w:b/>
          <w:lang w:val="en-GB"/>
        </w:rPr>
      </w:pPr>
    </w:p>
    <w:p w:rsidR="00991DA2" w:rsidP="00DB536C" w:rsidRDefault="00991DA2" w14:paraId="16385ECF" w14:textId="03A5577A">
      <w:pPr>
        <w:overflowPunct w:val="0"/>
        <w:autoSpaceDE w:val="0"/>
        <w:autoSpaceDN w:val="0"/>
        <w:adjustRightInd w:val="0"/>
        <w:textAlignment w:val="baseline"/>
      </w:pPr>
      <w:r>
        <w:t>Der EWSA</w:t>
      </w:r>
    </w:p>
    <w:p w:rsidRPr="00991DA2" w:rsidR="00DB536C" w:rsidP="00DB536C" w:rsidRDefault="00DB536C" w14:paraId="791991FF" w14:textId="77777777">
      <w:pPr>
        <w:overflowPunct w:val="0"/>
        <w:autoSpaceDE w:val="0"/>
        <w:autoSpaceDN w:val="0"/>
        <w:adjustRightInd w:val="0"/>
        <w:textAlignment w:val="baseline"/>
        <w:rPr>
          <w:bCs/>
          <w:iCs/>
        </w:rPr>
      </w:pPr>
    </w:p>
    <w:p w:rsidRPr="009B29D4" w:rsidR="00991DA2" w:rsidP="00DB536C" w:rsidRDefault="00991DA2" w14:paraId="0B99E56C" w14:textId="77777777">
      <w:pPr>
        <w:numPr>
          <w:ilvl w:val="0"/>
          <w:numId w:val="49"/>
        </w:numPr>
        <w:overflowPunct w:val="0"/>
        <w:autoSpaceDE w:val="0"/>
        <w:autoSpaceDN w:val="0"/>
        <w:adjustRightInd w:val="0"/>
        <w:ind w:left="567" w:hanging="567"/>
        <w:textAlignment w:val="baseline"/>
        <w:outlineLvl w:val="1"/>
        <w:rPr>
          <w:bCs/>
          <w:iCs/>
        </w:rPr>
      </w:pPr>
      <w:r>
        <w:t>ist der Ansicht, dass die Unterstützung von KMU weiter verstärkt werden kann, indem Schadenersatz/Entschädigungen im Falle von Verletzungsklagen erhöht werden. Mitgliedstaaten, die dies nicht tun, sollte empfohlen werden, in ihren nationalen Rechtsvorschriften einen Schadenersatz „mit Strafwirkung“ anzuerkennen;</w:t>
      </w:r>
    </w:p>
    <w:p w:rsidRPr="009B29D4" w:rsidR="00991DA2" w:rsidP="00DB536C" w:rsidRDefault="00991DA2" w14:paraId="2A0318E2" w14:textId="77777777">
      <w:pPr>
        <w:numPr>
          <w:ilvl w:val="0"/>
          <w:numId w:val="49"/>
        </w:numPr>
        <w:overflowPunct w:val="0"/>
        <w:autoSpaceDE w:val="0"/>
        <w:autoSpaceDN w:val="0"/>
        <w:adjustRightInd w:val="0"/>
        <w:ind w:left="567" w:hanging="567"/>
        <w:textAlignment w:val="baseline"/>
        <w:outlineLvl w:val="1"/>
        <w:rPr>
          <w:bCs/>
          <w:iCs/>
        </w:rPr>
      </w:pPr>
      <w:r>
        <w:t>weist darauf hin, dass mehr Erfahrungsberichte von Unternehmern zusammengetragen werden sollten, denen es gelungen ist, Nachahmungen durch gewerbliche Schutzrechte zu bekämpfen;</w:t>
      </w:r>
    </w:p>
    <w:p w:rsidRPr="009B29D4" w:rsidR="00991DA2" w:rsidP="00DB536C" w:rsidRDefault="00991DA2" w14:paraId="53DE55DD" w14:textId="77777777">
      <w:pPr>
        <w:numPr>
          <w:ilvl w:val="0"/>
          <w:numId w:val="49"/>
        </w:numPr>
        <w:overflowPunct w:val="0"/>
        <w:autoSpaceDE w:val="0"/>
        <w:autoSpaceDN w:val="0"/>
        <w:adjustRightInd w:val="0"/>
        <w:ind w:left="567" w:hanging="567"/>
        <w:textAlignment w:val="baseline"/>
        <w:outlineLvl w:val="1"/>
        <w:rPr>
          <w:bCs/>
          <w:iCs/>
        </w:rPr>
      </w:pPr>
      <w:r>
        <w:t>hält eine Versicherung gegen Nachahmung auf europäischer Ebene für sinnvoll und ist der Auffassung, dass sich die Mitgliedstaaten mit der Frage der Bewertung der Vermögenswerte auseinandersetzen sollten;</w:t>
      </w:r>
    </w:p>
    <w:p w:rsidRPr="009B29D4" w:rsidR="00991DA2" w:rsidP="00DB536C" w:rsidRDefault="00991DA2" w14:paraId="1390EF3B" w14:textId="77777777">
      <w:pPr>
        <w:numPr>
          <w:ilvl w:val="0"/>
          <w:numId w:val="49"/>
        </w:numPr>
        <w:overflowPunct w:val="0"/>
        <w:autoSpaceDE w:val="0"/>
        <w:autoSpaceDN w:val="0"/>
        <w:adjustRightInd w:val="0"/>
        <w:ind w:left="567" w:hanging="567"/>
        <w:textAlignment w:val="baseline"/>
        <w:outlineLvl w:val="1"/>
        <w:rPr>
          <w:bCs/>
          <w:iCs/>
        </w:rPr>
      </w:pPr>
      <w:r>
        <w:t>fordert einfachere, schnellere und effizientere Verfahren für die Meldung und Entfernung von Werbeanzeigen für Nachahmungen im Internet und wird überwachen, ob sich die im Gesetz über digitale Dienste vorgesehenen Verpflichtungen tatsächlich auf den Rückgang des Angebots von nachgeahmten Waren im Internet auswirken;</w:t>
      </w:r>
    </w:p>
    <w:p w:rsidRPr="009B29D4" w:rsidR="00991DA2" w:rsidP="00DB536C" w:rsidRDefault="00991DA2" w14:paraId="3A366C25" w14:textId="77777777">
      <w:pPr>
        <w:numPr>
          <w:ilvl w:val="0"/>
          <w:numId w:val="49"/>
        </w:numPr>
        <w:overflowPunct w:val="0"/>
        <w:autoSpaceDE w:val="0"/>
        <w:autoSpaceDN w:val="0"/>
        <w:adjustRightInd w:val="0"/>
        <w:ind w:left="567" w:hanging="567"/>
        <w:textAlignment w:val="baseline"/>
        <w:outlineLvl w:val="1"/>
        <w:rPr>
          <w:bCs/>
          <w:iCs/>
        </w:rPr>
      </w:pPr>
      <w:r>
        <w:t>wird die Umsetzung der Empfehlungen des EU-Instrumentariums zur Bekämpfung von Nachahmungen überwachen;</w:t>
      </w:r>
    </w:p>
    <w:p w:rsidRPr="009B29D4" w:rsidR="00991DA2" w:rsidP="00DB536C" w:rsidRDefault="00991DA2" w14:paraId="54DFACBE" w14:textId="3101E014">
      <w:pPr>
        <w:numPr>
          <w:ilvl w:val="0"/>
          <w:numId w:val="49"/>
        </w:numPr>
        <w:overflowPunct w:val="0"/>
        <w:autoSpaceDE w:val="0"/>
        <w:autoSpaceDN w:val="0"/>
        <w:adjustRightInd w:val="0"/>
        <w:ind w:left="567" w:hanging="567"/>
        <w:textAlignment w:val="baseline"/>
        <w:outlineLvl w:val="1"/>
        <w:rPr>
          <w:bCs/>
          <w:iCs/>
        </w:rPr>
      </w:pPr>
      <w:r>
        <w:t>ist der Auffassung, dass Nachahmungen eine Priorität des Europäischen Amtes für Betrugsbekämpfung sowie von Europol sein sollten und auch zu den Prioritäten des EU</w:t>
      </w:r>
      <w:r w:rsidR="00DB536C">
        <w:noBreakHyphen/>
      </w:r>
      <w:r>
        <w:t>Politikzyklus (EMPACT) gehören müssen;</w:t>
      </w:r>
    </w:p>
    <w:p w:rsidRPr="009B29D4" w:rsidR="00991DA2" w:rsidP="00DB536C" w:rsidRDefault="00991DA2" w14:paraId="23F2E50B" w14:textId="77777777">
      <w:pPr>
        <w:numPr>
          <w:ilvl w:val="0"/>
          <w:numId w:val="49"/>
        </w:numPr>
        <w:overflowPunct w:val="0"/>
        <w:autoSpaceDE w:val="0"/>
        <w:autoSpaceDN w:val="0"/>
        <w:adjustRightInd w:val="0"/>
        <w:ind w:left="567" w:hanging="567"/>
        <w:textAlignment w:val="baseline"/>
        <w:outlineLvl w:val="1"/>
        <w:rPr>
          <w:bCs/>
          <w:iCs/>
        </w:rPr>
      </w:pPr>
      <w:r>
        <w:t xml:space="preserve">wird sehr sorgfältig prüfen, ob das Thema Nachahmung systematisch in die Handelsabkommen aufgenommen wird, die Europa mit seinen Partnern schließt; dies gilt auch für die Umsetzungsphase. </w:t>
      </w:r>
    </w:p>
    <w:p w:rsidRPr="00991DA2" w:rsidR="00991DA2" w:rsidP="00991DA2" w:rsidRDefault="00991DA2" w14:paraId="38499FAD" w14:textId="77777777">
      <w:pPr>
        <w:widowControl w:val="0"/>
        <w:overflowPunct w:val="0"/>
        <w:autoSpaceDE w:val="0"/>
        <w:autoSpaceDN w:val="0"/>
        <w:adjustRightInd w:val="0"/>
        <w:ind w:left="709"/>
        <w:textAlignment w:val="baseline"/>
        <w:rPr>
          <w:szCs w:val="20"/>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36180" w:rsidR="00991DA2" w:rsidTr="00F324F7" w14:paraId="56E32158" w14:textId="77777777">
        <w:tc>
          <w:tcPr>
            <w:tcW w:w="1418" w:type="dxa"/>
          </w:tcPr>
          <w:p w:rsidRPr="00536180" w:rsidR="00991DA2" w:rsidP="00991DA2" w:rsidRDefault="00991DA2" w14:paraId="7B7F9107" w14:textId="77777777">
            <w:pPr>
              <w:overflowPunct w:val="0"/>
              <w:autoSpaceDE w:val="0"/>
              <w:autoSpaceDN w:val="0"/>
              <w:adjustRightInd w:val="0"/>
              <w:spacing w:line="240" w:lineRule="auto"/>
              <w:textAlignment w:val="baseline"/>
              <w:rPr>
                <w:i/>
                <w:sz w:val="22"/>
                <w:szCs w:val="22"/>
              </w:rPr>
            </w:pPr>
            <w:r w:rsidRPr="00536180">
              <w:rPr>
                <w:b/>
                <w:i/>
                <w:sz w:val="22"/>
                <w:szCs w:val="22"/>
              </w:rPr>
              <w:t>Kontakt</w:t>
            </w:r>
          </w:p>
        </w:tc>
        <w:tc>
          <w:tcPr>
            <w:tcW w:w="5670" w:type="dxa"/>
          </w:tcPr>
          <w:p w:rsidRPr="00536180" w:rsidR="00991DA2" w:rsidP="00991DA2" w:rsidRDefault="00991DA2" w14:paraId="67EBA9EF" w14:textId="77777777">
            <w:pPr>
              <w:overflowPunct w:val="0"/>
              <w:autoSpaceDE w:val="0"/>
              <w:autoSpaceDN w:val="0"/>
              <w:adjustRightInd w:val="0"/>
              <w:spacing w:line="240" w:lineRule="auto"/>
              <w:textAlignment w:val="baseline"/>
              <w:rPr>
                <w:i/>
                <w:sz w:val="22"/>
                <w:szCs w:val="22"/>
              </w:rPr>
            </w:pPr>
            <w:r w:rsidRPr="00536180">
              <w:rPr>
                <w:i/>
                <w:sz w:val="22"/>
                <w:szCs w:val="22"/>
              </w:rPr>
              <w:t xml:space="preserve">Annalisa </w:t>
            </w:r>
            <w:proofErr w:type="spellStart"/>
            <w:r w:rsidRPr="00536180">
              <w:rPr>
                <w:i/>
                <w:sz w:val="22"/>
                <w:szCs w:val="22"/>
              </w:rPr>
              <w:t>Tessarolo</w:t>
            </w:r>
            <w:proofErr w:type="spellEnd"/>
          </w:p>
        </w:tc>
      </w:tr>
      <w:tr w:rsidRPr="00536180" w:rsidR="00991DA2" w:rsidTr="00F324F7" w14:paraId="585149C6" w14:textId="77777777">
        <w:tc>
          <w:tcPr>
            <w:tcW w:w="1418" w:type="dxa"/>
          </w:tcPr>
          <w:p w:rsidRPr="00536180" w:rsidR="00991DA2" w:rsidP="00991DA2" w:rsidRDefault="00991DA2" w14:paraId="62831FE8" w14:textId="77777777">
            <w:pPr>
              <w:overflowPunct w:val="0"/>
              <w:autoSpaceDE w:val="0"/>
              <w:autoSpaceDN w:val="0"/>
              <w:adjustRightInd w:val="0"/>
              <w:spacing w:line="240" w:lineRule="auto"/>
              <w:textAlignment w:val="baseline"/>
              <w:rPr>
                <w:i/>
                <w:sz w:val="22"/>
                <w:szCs w:val="22"/>
              </w:rPr>
            </w:pPr>
            <w:r w:rsidRPr="00536180">
              <w:rPr>
                <w:i/>
                <w:sz w:val="22"/>
                <w:szCs w:val="22"/>
              </w:rPr>
              <w:t>Tel.</w:t>
            </w:r>
          </w:p>
        </w:tc>
        <w:tc>
          <w:tcPr>
            <w:tcW w:w="5670" w:type="dxa"/>
          </w:tcPr>
          <w:p w:rsidRPr="00536180" w:rsidR="00991DA2" w:rsidP="00991DA2" w:rsidRDefault="00991DA2" w14:paraId="5B6BF98C" w14:textId="77777777">
            <w:pPr>
              <w:overflowPunct w:val="0"/>
              <w:autoSpaceDE w:val="0"/>
              <w:autoSpaceDN w:val="0"/>
              <w:adjustRightInd w:val="0"/>
              <w:spacing w:line="240" w:lineRule="auto"/>
              <w:textAlignment w:val="baseline"/>
              <w:rPr>
                <w:i/>
                <w:sz w:val="22"/>
                <w:szCs w:val="22"/>
              </w:rPr>
            </w:pPr>
            <w:r w:rsidRPr="00536180">
              <w:rPr>
                <w:i/>
                <w:sz w:val="22"/>
                <w:szCs w:val="22"/>
              </w:rPr>
              <w:t>+ 32 25469732</w:t>
            </w:r>
          </w:p>
        </w:tc>
      </w:tr>
      <w:tr w:rsidRPr="00536180" w:rsidR="00991DA2" w:rsidTr="00F324F7" w14:paraId="372CD44D" w14:textId="77777777">
        <w:tc>
          <w:tcPr>
            <w:tcW w:w="1418" w:type="dxa"/>
          </w:tcPr>
          <w:p w:rsidRPr="00536180" w:rsidR="00991DA2" w:rsidP="00991DA2" w:rsidRDefault="00B24195" w14:paraId="41880992" w14:textId="27E2ADE8">
            <w:pPr>
              <w:overflowPunct w:val="0"/>
              <w:autoSpaceDE w:val="0"/>
              <w:autoSpaceDN w:val="0"/>
              <w:adjustRightInd w:val="0"/>
              <w:spacing w:line="240" w:lineRule="auto"/>
              <w:textAlignment w:val="baseline"/>
              <w:rPr>
                <w:i/>
                <w:sz w:val="22"/>
                <w:szCs w:val="22"/>
              </w:rPr>
            </w:pPr>
            <w:r w:rsidRPr="00536180">
              <w:rPr>
                <w:i/>
                <w:sz w:val="22"/>
                <w:szCs w:val="22"/>
              </w:rPr>
              <w:t>E-Mail</w:t>
            </w:r>
          </w:p>
        </w:tc>
        <w:tc>
          <w:tcPr>
            <w:tcW w:w="5670" w:type="dxa"/>
          </w:tcPr>
          <w:p w:rsidRPr="00536180" w:rsidR="00991DA2" w:rsidP="00991DA2" w:rsidRDefault="00486D53" w14:paraId="1AE3FB4F" w14:textId="418DE4D9">
            <w:pPr>
              <w:overflowPunct w:val="0"/>
              <w:autoSpaceDE w:val="0"/>
              <w:autoSpaceDN w:val="0"/>
              <w:adjustRightInd w:val="0"/>
              <w:spacing w:line="240" w:lineRule="auto"/>
              <w:textAlignment w:val="baseline"/>
              <w:rPr>
                <w:i/>
                <w:iCs/>
                <w:sz w:val="22"/>
                <w:szCs w:val="22"/>
              </w:rPr>
            </w:pPr>
            <w:hyperlink w:history="1" r:id="rId56">
              <w:r w:rsidRPr="00536180" w:rsidR="007E03C9">
                <w:rPr>
                  <w:i/>
                  <w:color w:val="0000FF"/>
                  <w:sz w:val="22"/>
                  <w:szCs w:val="22"/>
                  <w:u w:val="single"/>
                </w:rPr>
                <w:t>Annalisa.Tessarolo@eesc.europa.eu</w:t>
              </w:r>
            </w:hyperlink>
          </w:p>
        </w:tc>
      </w:tr>
    </w:tbl>
    <w:p w:rsidR="0093748C" w:rsidP="002F20BE" w:rsidRDefault="0093748C" w14:paraId="33D3D03B" w14:textId="4C85114C">
      <w:pPr>
        <w:ind w:left="710"/>
        <w:rPr>
          <w:b/>
          <w:i/>
          <w:sz w:val="28"/>
          <w:szCs w:val="28"/>
        </w:rPr>
      </w:pPr>
    </w:p>
    <w:p w:rsidR="0093748C" w:rsidRDefault="0093748C" w14:paraId="27F572C4" w14:textId="77777777">
      <w:pPr>
        <w:spacing w:after="160" w:line="259" w:lineRule="auto"/>
        <w:jc w:val="left"/>
        <w:rPr>
          <w:b/>
          <w:i/>
          <w:sz w:val="28"/>
          <w:szCs w:val="28"/>
        </w:rPr>
      </w:pPr>
      <w:r>
        <w:br w:type="page"/>
      </w:r>
    </w:p>
    <w:p w:rsidR="004D7AC0" w:rsidP="000F216A" w:rsidRDefault="004D7AC0" w14:paraId="4982DE1F" w14:textId="77777777">
      <w:pPr>
        <w:pStyle w:val="Heading1"/>
        <w:pageBreakBefore w:val="0"/>
      </w:pPr>
      <w:bookmarkStart w:name="_Toc182554566" w:id="7"/>
      <w:bookmarkStart w:name="_Toc182554903" w:id="8"/>
      <w:bookmarkStart w:name="_Toc182555069" w:id="9"/>
      <w:bookmarkStart w:name="_Toc70322234" w:id="10"/>
      <w:bookmarkStart w:name="_Toc75527084" w:id="11"/>
      <w:bookmarkStart w:name="_Toc182920365" w:id="12"/>
      <w:bookmarkEnd w:id="7"/>
      <w:bookmarkEnd w:id="8"/>
      <w:bookmarkEnd w:id="9"/>
      <w:r>
        <w:lastRenderedPageBreak/>
        <w:t>LANDWIRTSCHAFT, LÄNDLICHE ENTWICKLUNG, UMWELT</w:t>
      </w:r>
      <w:bookmarkEnd w:id="10"/>
      <w:bookmarkEnd w:id="11"/>
      <w:bookmarkEnd w:id="12"/>
    </w:p>
    <w:p w:rsidR="004D7AC0" w:rsidP="004D7AC0" w:rsidRDefault="004D7AC0" w14:paraId="4982DE22" w14:textId="77777777">
      <w:pPr>
        <w:pStyle w:val="ListParagraph"/>
        <w:ind w:left="567"/>
      </w:pPr>
    </w:p>
    <w:p w:rsidRPr="00DB536C" w:rsidR="0093748C" w:rsidP="0093748C" w:rsidRDefault="00486D53" w14:paraId="060171AF" w14:textId="2FFE2A58">
      <w:pPr>
        <w:widowControl w:val="0"/>
        <w:numPr>
          <w:ilvl w:val="0"/>
          <w:numId w:val="8"/>
        </w:numPr>
        <w:overflowPunct w:val="0"/>
        <w:autoSpaceDE w:val="0"/>
        <w:autoSpaceDN w:val="0"/>
        <w:adjustRightInd w:val="0"/>
        <w:ind w:left="266" w:hanging="266"/>
        <w:textAlignment w:val="baseline"/>
        <w:rPr>
          <w:b/>
        </w:rPr>
      </w:pPr>
      <w:hyperlink w:history="1" r:id="rId57">
        <w:r w:rsidR="00276FC9">
          <w:rPr>
            <w:b/>
            <w:i/>
            <w:color w:val="0000FF"/>
            <w:sz w:val="28"/>
            <w:u w:val="single"/>
          </w:rPr>
          <w:t>Verlängerung der Gleichstellung bei der Einfuhr von forstlichem Vermehrungsgut</w:t>
        </w:r>
      </w:hyperlink>
      <w:r w:rsidR="00276FC9">
        <w:rPr>
          <w:b/>
          <w:i/>
          <w:sz w:val="28"/>
        </w:rPr>
        <w:t xml:space="preserve"> </w:t>
      </w:r>
    </w:p>
    <w:p w:rsidRPr="0093748C" w:rsidR="00DB536C" w:rsidP="00DB536C" w:rsidRDefault="00DB536C" w14:paraId="44AB4BF5" w14:textId="77777777">
      <w:pPr>
        <w:widowControl w:val="0"/>
        <w:overflowPunct w:val="0"/>
        <w:autoSpaceDE w:val="0"/>
        <w:autoSpaceDN w:val="0"/>
        <w:adjustRightInd w:val="0"/>
        <w:ind w:left="266"/>
        <w:textAlignment w:val="baseline"/>
        <w:rPr>
          <w:b/>
        </w:rPr>
      </w:pPr>
    </w:p>
    <w:tbl>
      <w:tblPr>
        <w:tblStyle w:val="TableGrid14"/>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5"/>
        <w:gridCol w:w="4554"/>
      </w:tblGrid>
      <w:tr w:rsidRPr="00536180" w:rsidR="0093748C" w:rsidTr="00F324F7" w14:paraId="746DC44C" w14:textId="77777777">
        <w:tc>
          <w:tcPr>
            <w:tcW w:w="1591" w:type="pct"/>
            <w:vMerge w:val="restart"/>
          </w:tcPr>
          <w:p w:rsidRPr="00536180" w:rsidR="0093748C" w:rsidP="0093748C" w:rsidRDefault="0093748C" w14:paraId="2BF87C5F"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Referenzdokumente</w:t>
            </w:r>
          </w:p>
        </w:tc>
        <w:tc>
          <w:tcPr>
            <w:tcW w:w="3409" w:type="pct"/>
          </w:tcPr>
          <w:p w:rsidRPr="00536180" w:rsidR="00A47A41" w:rsidP="0093748C" w:rsidRDefault="00A47A41" w14:paraId="28FE2D2B" w14:textId="1B275EA2">
            <w:pPr>
              <w:tabs>
                <w:tab w:val="center" w:pos="284"/>
              </w:tabs>
              <w:overflowPunct w:val="0"/>
              <w:autoSpaceDE w:val="0"/>
              <w:autoSpaceDN w:val="0"/>
              <w:adjustRightInd w:val="0"/>
              <w:ind w:left="266" w:hanging="266"/>
              <w:textAlignment w:val="baseline"/>
              <w:rPr>
                <w:sz w:val="22"/>
                <w:szCs w:val="22"/>
              </w:rPr>
            </w:pPr>
            <w:r w:rsidRPr="00536180">
              <w:rPr>
                <w:sz w:val="22"/>
                <w:szCs w:val="22"/>
              </w:rPr>
              <w:t>Stellungnahme der Kategorie C</w:t>
            </w:r>
          </w:p>
          <w:p w:rsidRPr="00536180" w:rsidR="0093748C" w:rsidP="0093748C" w:rsidRDefault="0093748C" w14:paraId="76C8122A" w14:textId="1671DB7E">
            <w:pPr>
              <w:tabs>
                <w:tab w:val="center" w:pos="284"/>
              </w:tabs>
              <w:overflowPunct w:val="0"/>
              <w:autoSpaceDE w:val="0"/>
              <w:autoSpaceDN w:val="0"/>
              <w:adjustRightInd w:val="0"/>
              <w:ind w:left="266" w:hanging="266"/>
              <w:textAlignment w:val="baseline"/>
              <w:rPr>
                <w:sz w:val="22"/>
                <w:szCs w:val="22"/>
              </w:rPr>
            </w:pPr>
            <w:r w:rsidRPr="00536180">
              <w:rPr>
                <w:sz w:val="22"/>
                <w:szCs w:val="22"/>
              </w:rPr>
              <w:t>COM(2024) 387 final</w:t>
            </w:r>
          </w:p>
        </w:tc>
      </w:tr>
      <w:tr w:rsidRPr="00536180" w:rsidR="0093748C" w:rsidTr="00F324F7" w14:paraId="4CA48C1F" w14:textId="77777777">
        <w:tc>
          <w:tcPr>
            <w:tcW w:w="1591" w:type="pct"/>
            <w:vMerge/>
          </w:tcPr>
          <w:p w:rsidRPr="00536180" w:rsidR="0093748C" w:rsidP="0093748C" w:rsidRDefault="0093748C" w14:paraId="32109F4E" w14:textId="77777777">
            <w:pPr>
              <w:tabs>
                <w:tab w:val="center" w:pos="284"/>
              </w:tabs>
              <w:overflowPunct w:val="0"/>
              <w:autoSpaceDE w:val="0"/>
              <w:autoSpaceDN w:val="0"/>
              <w:adjustRightInd w:val="0"/>
              <w:ind w:left="266" w:hanging="266"/>
              <w:textAlignment w:val="baseline"/>
              <w:rPr>
                <w:b/>
                <w:sz w:val="22"/>
                <w:szCs w:val="22"/>
                <w:lang w:val="pt-PT"/>
              </w:rPr>
            </w:pPr>
          </w:p>
        </w:tc>
        <w:tc>
          <w:tcPr>
            <w:tcW w:w="3409" w:type="pct"/>
          </w:tcPr>
          <w:p w:rsidRPr="00536180" w:rsidR="0093748C" w:rsidP="0093748C" w:rsidRDefault="0093748C" w14:paraId="42BC4B60"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EESC-2024-03464-00-00-AC</w:t>
            </w:r>
          </w:p>
        </w:tc>
      </w:tr>
    </w:tbl>
    <w:p w:rsidRPr="0093748C" w:rsidR="0093748C" w:rsidP="0093748C" w:rsidRDefault="0093748C" w14:paraId="5FA070D4" w14:textId="77777777">
      <w:pPr>
        <w:tabs>
          <w:tab w:val="center" w:pos="284"/>
        </w:tabs>
        <w:overflowPunct w:val="0"/>
        <w:autoSpaceDE w:val="0"/>
        <w:autoSpaceDN w:val="0"/>
        <w:adjustRightInd w:val="0"/>
        <w:ind w:left="266" w:hanging="266"/>
        <w:textAlignment w:val="baseline"/>
        <w:rPr>
          <w:lang w:val="en-GB"/>
        </w:rPr>
      </w:pPr>
    </w:p>
    <w:p w:rsidRPr="0093748C" w:rsidR="0093748C" w:rsidP="0093748C" w:rsidRDefault="0093748C" w14:paraId="2915609D"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93748C" w:rsidR="0093748C" w:rsidP="0093748C" w:rsidRDefault="0093748C" w14:paraId="34283A95" w14:textId="77777777">
      <w:pPr>
        <w:keepNext/>
        <w:keepLines/>
        <w:tabs>
          <w:tab w:val="center" w:pos="284"/>
        </w:tabs>
        <w:overflowPunct w:val="0"/>
        <w:autoSpaceDE w:val="0"/>
        <w:autoSpaceDN w:val="0"/>
        <w:adjustRightInd w:val="0"/>
        <w:ind w:left="266" w:hanging="266"/>
        <w:textAlignment w:val="baseline"/>
        <w:rPr>
          <w:b/>
          <w:lang w:val="en-GB"/>
        </w:rPr>
      </w:pPr>
    </w:p>
    <w:p w:rsidRPr="0093748C" w:rsidR="0093748C" w:rsidP="0093748C" w:rsidRDefault="0093748C" w14:paraId="065C2DEA" w14:textId="77777777">
      <w:pPr>
        <w:overflowPunct w:val="0"/>
        <w:autoSpaceDE w:val="0"/>
        <w:autoSpaceDN w:val="0"/>
        <w:adjustRightInd w:val="0"/>
        <w:textAlignment w:val="baseline"/>
        <w:rPr>
          <w:bCs/>
          <w:iCs/>
        </w:rPr>
      </w:pPr>
      <w:r>
        <w:t>Der EWSA</w:t>
      </w:r>
    </w:p>
    <w:p w:rsidRPr="0093748C" w:rsidR="0093748C" w:rsidP="0093748C" w:rsidRDefault="0093748C" w14:paraId="195A1DF0" w14:textId="77777777">
      <w:pPr>
        <w:overflowPunct w:val="0"/>
        <w:autoSpaceDE w:val="0"/>
        <w:autoSpaceDN w:val="0"/>
        <w:adjustRightInd w:val="0"/>
        <w:textAlignment w:val="baseline"/>
        <w:rPr>
          <w:bCs/>
          <w:iCs/>
          <w:lang w:val="en-GB"/>
        </w:rPr>
      </w:pPr>
    </w:p>
    <w:p w:rsidRPr="0093748C" w:rsidR="0093748C" w:rsidP="00536180" w:rsidRDefault="0093748C" w14:paraId="313B2EF2" w14:textId="77777777">
      <w:pPr>
        <w:numPr>
          <w:ilvl w:val="0"/>
          <w:numId w:val="52"/>
        </w:numPr>
        <w:overflowPunct w:val="0"/>
        <w:autoSpaceDE w:val="0"/>
        <w:autoSpaceDN w:val="0"/>
        <w:adjustRightInd w:val="0"/>
        <w:ind w:left="567" w:hanging="567"/>
        <w:textAlignment w:val="baseline"/>
        <w:outlineLvl w:val="1"/>
        <w:rPr>
          <w:bCs/>
          <w:iCs/>
        </w:rPr>
      </w:pPr>
      <w:r>
        <w:t>stimmt dem Inhalt des Vorschlags vorbehaltlos zu und hat keine Bemerkungen dazu vorzubringen.</w:t>
      </w:r>
    </w:p>
    <w:p w:rsidRPr="0093748C" w:rsidR="0093748C" w:rsidP="0093748C" w:rsidRDefault="0093748C" w14:paraId="6CF6903C" w14:textId="77777777">
      <w:pPr>
        <w:widowControl w:val="0"/>
        <w:overflowPunct w:val="0"/>
        <w:autoSpaceDE w:val="0"/>
        <w:autoSpaceDN w:val="0"/>
        <w:adjustRightInd w:val="0"/>
        <w:ind w:left="709"/>
        <w:textAlignment w:val="baseline"/>
        <w:rPr>
          <w:szCs w:val="20"/>
          <w:lang w:val="en-GB"/>
        </w:rPr>
      </w:pPr>
    </w:p>
    <w:tbl>
      <w:tblPr>
        <w:tblStyle w:val="TableGrid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536180" w:rsidR="0093748C" w:rsidTr="00F324F7" w14:paraId="61800A27" w14:textId="77777777">
        <w:tc>
          <w:tcPr>
            <w:tcW w:w="1556" w:type="pct"/>
          </w:tcPr>
          <w:p w:rsidRPr="00536180" w:rsidR="0093748C" w:rsidP="0093748C" w:rsidRDefault="0093748C" w14:paraId="4A085125" w14:textId="77777777">
            <w:pPr>
              <w:overflowPunct w:val="0"/>
              <w:autoSpaceDE w:val="0"/>
              <w:autoSpaceDN w:val="0"/>
              <w:adjustRightInd w:val="0"/>
              <w:spacing w:line="240" w:lineRule="auto"/>
              <w:textAlignment w:val="baseline"/>
              <w:rPr>
                <w:i/>
                <w:sz w:val="22"/>
                <w:szCs w:val="22"/>
              </w:rPr>
            </w:pPr>
            <w:r w:rsidRPr="00536180">
              <w:rPr>
                <w:b/>
                <w:i/>
                <w:sz w:val="22"/>
                <w:szCs w:val="22"/>
              </w:rPr>
              <w:t>Kontakt</w:t>
            </w:r>
          </w:p>
        </w:tc>
        <w:tc>
          <w:tcPr>
            <w:tcW w:w="3444" w:type="pct"/>
          </w:tcPr>
          <w:p w:rsidRPr="00536180" w:rsidR="0093748C" w:rsidP="0093748C" w:rsidRDefault="0093748C" w14:paraId="3C1DE251" w14:textId="77777777">
            <w:pPr>
              <w:overflowPunct w:val="0"/>
              <w:autoSpaceDE w:val="0"/>
              <w:autoSpaceDN w:val="0"/>
              <w:adjustRightInd w:val="0"/>
              <w:spacing w:line="240" w:lineRule="auto"/>
              <w:textAlignment w:val="baseline"/>
              <w:rPr>
                <w:i/>
                <w:sz w:val="22"/>
                <w:szCs w:val="22"/>
              </w:rPr>
            </w:pPr>
            <w:r w:rsidRPr="00536180">
              <w:rPr>
                <w:i/>
                <w:sz w:val="22"/>
                <w:szCs w:val="22"/>
              </w:rPr>
              <w:t>Nicolas Stenger</w:t>
            </w:r>
          </w:p>
        </w:tc>
      </w:tr>
      <w:tr w:rsidRPr="00536180" w:rsidR="0093748C" w:rsidTr="00F324F7" w14:paraId="6BBBFC71" w14:textId="77777777">
        <w:tc>
          <w:tcPr>
            <w:tcW w:w="1556" w:type="pct"/>
          </w:tcPr>
          <w:p w:rsidRPr="00536180" w:rsidR="0093748C" w:rsidP="0093748C" w:rsidRDefault="0093748C" w14:paraId="08125403" w14:textId="77777777">
            <w:pPr>
              <w:overflowPunct w:val="0"/>
              <w:autoSpaceDE w:val="0"/>
              <w:autoSpaceDN w:val="0"/>
              <w:adjustRightInd w:val="0"/>
              <w:spacing w:line="240" w:lineRule="auto"/>
              <w:textAlignment w:val="baseline"/>
              <w:rPr>
                <w:i/>
                <w:sz w:val="22"/>
                <w:szCs w:val="22"/>
              </w:rPr>
            </w:pPr>
            <w:r w:rsidRPr="00536180">
              <w:rPr>
                <w:i/>
                <w:sz w:val="22"/>
                <w:szCs w:val="22"/>
              </w:rPr>
              <w:t>Tel.</w:t>
            </w:r>
          </w:p>
        </w:tc>
        <w:tc>
          <w:tcPr>
            <w:tcW w:w="3444" w:type="pct"/>
          </w:tcPr>
          <w:p w:rsidRPr="00536180" w:rsidR="0093748C" w:rsidP="0093748C" w:rsidRDefault="0093748C" w14:paraId="422DA266" w14:textId="77777777">
            <w:pPr>
              <w:overflowPunct w:val="0"/>
              <w:autoSpaceDE w:val="0"/>
              <w:autoSpaceDN w:val="0"/>
              <w:adjustRightInd w:val="0"/>
              <w:spacing w:line="240" w:lineRule="auto"/>
              <w:textAlignment w:val="baseline"/>
              <w:rPr>
                <w:i/>
                <w:sz w:val="22"/>
                <w:szCs w:val="22"/>
              </w:rPr>
            </w:pPr>
            <w:r w:rsidRPr="00536180">
              <w:rPr>
                <w:i/>
                <w:sz w:val="22"/>
                <w:szCs w:val="22"/>
              </w:rPr>
              <w:t>+32 25468152</w:t>
            </w:r>
          </w:p>
        </w:tc>
      </w:tr>
      <w:tr w:rsidRPr="00536180" w:rsidR="0093748C" w:rsidTr="00F324F7" w14:paraId="676132DB" w14:textId="77777777">
        <w:tc>
          <w:tcPr>
            <w:tcW w:w="1556" w:type="pct"/>
          </w:tcPr>
          <w:p w:rsidRPr="00536180" w:rsidR="0093748C" w:rsidP="0093748C" w:rsidRDefault="00DC0660" w14:paraId="25D06FA4" w14:textId="6800538B">
            <w:pPr>
              <w:overflowPunct w:val="0"/>
              <w:autoSpaceDE w:val="0"/>
              <w:autoSpaceDN w:val="0"/>
              <w:adjustRightInd w:val="0"/>
              <w:spacing w:line="240" w:lineRule="auto"/>
              <w:textAlignment w:val="baseline"/>
              <w:rPr>
                <w:i/>
                <w:sz w:val="22"/>
                <w:szCs w:val="22"/>
              </w:rPr>
            </w:pPr>
            <w:r w:rsidRPr="00536180">
              <w:rPr>
                <w:i/>
                <w:sz w:val="22"/>
                <w:szCs w:val="22"/>
              </w:rPr>
              <w:t>E-Mail</w:t>
            </w:r>
          </w:p>
        </w:tc>
        <w:tc>
          <w:tcPr>
            <w:tcW w:w="3444" w:type="pct"/>
          </w:tcPr>
          <w:p w:rsidRPr="00536180" w:rsidR="0093748C" w:rsidP="0093748C" w:rsidRDefault="00486D53" w14:paraId="4857B255" w14:textId="0BF8A62B">
            <w:pPr>
              <w:overflowPunct w:val="0"/>
              <w:autoSpaceDE w:val="0"/>
              <w:autoSpaceDN w:val="0"/>
              <w:adjustRightInd w:val="0"/>
              <w:spacing w:line="240" w:lineRule="auto"/>
              <w:textAlignment w:val="baseline"/>
              <w:rPr>
                <w:i/>
                <w:sz w:val="22"/>
                <w:szCs w:val="22"/>
              </w:rPr>
            </w:pPr>
            <w:hyperlink w:history="1" r:id="rId58">
              <w:r w:rsidRPr="00536180" w:rsidR="007E03C9">
                <w:rPr>
                  <w:i/>
                  <w:color w:val="0000FF"/>
                  <w:sz w:val="22"/>
                  <w:szCs w:val="22"/>
                  <w:u w:val="single"/>
                </w:rPr>
                <w:t>Nicolas.Stenger@eesc.europa.eu</w:t>
              </w:r>
            </w:hyperlink>
          </w:p>
        </w:tc>
      </w:tr>
    </w:tbl>
    <w:p w:rsidR="0093748C" w:rsidRDefault="0093748C" w14:paraId="4982DE45" w14:textId="79408871">
      <w:pPr>
        <w:spacing w:after="160" w:line="259" w:lineRule="auto"/>
        <w:jc w:val="left"/>
      </w:pPr>
    </w:p>
    <w:p w:rsidR="0093748C" w:rsidRDefault="0093748C" w14:paraId="3BBF3E3A" w14:textId="77777777">
      <w:pPr>
        <w:spacing w:after="160" w:line="259" w:lineRule="auto"/>
        <w:jc w:val="left"/>
      </w:pPr>
      <w:r>
        <w:br w:type="page"/>
      </w:r>
    </w:p>
    <w:p w:rsidRPr="000F216A" w:rsidR="0093748C" w:rsidP="0093748C" w:rsidRDefault="00486D53" w14:paraId="55E4738D" w14:textId="4C0AAF60">
      <w:pPr>
        <w:widowControl w:val="0"/>
        <w:numPr>
          <w:ilvl w:val="0"/>
          <w:numId w:val="8"/>
        </w:numPr>
        <w:overflowPunct w:val="0"/>
        <w:autoSpaceDE w:val="0"/>
        <w:autoSpaceDN w:val="0"/>
        <w:adjustRightInd w:val="0"/>
        <w:ind w:left="266" w:hanging="266"/>
        <w:textAlignment w:val="baseline"/>
        <w:rPr>
          <w:b/>
        </w:rPr>
      </w:pPr>
      <w:hyperlink w:history="1" r:id="rId59">
        <w:r w:rsidR="00276FC9">
          <w:rPr>
            <w:b/>
            <w:i/>
            <w:color w:val="0000FF"/>
            <w:sz w:val="28"/>
            <w:u w:val="single"/>
          </w:rPr>
          <w:t>Entwaldungsverordnung: Bestimmungen zum Geltungsbeginn</w:t>
        </w:r>
      </w:hyperlink>
    </w:p>
    <w:p w:rsidRPr="000F216A" w:rsidR="00347517" w:rsidP="000F216A" w:rsidRDefault="00347517" w14:paraId="068F3918" w14:textId="77777777"/>
    <w:tbl>
      <w:tblPr>
        <w:tblStyle w:val="TableGrid15"/>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5"/>
        <w:gridCol w:w="4554"/>
      </w:tblGrid>
      <w:tr w:rsidRPr="00536180" w:rsidR="0093748C" w:rsidTr="00F324F7" w14:paraId="1E63D901" w14:textId="77777777">
        <w:tc>
          <w:tcPr>
            <w:tcW w:w="1591" w:type="pct"/>
            <w:vMerge w:val="restart"/>
          </w:tcPr>
          <w:p w:rsidRPr="00536180" w:rsidR="0093748C" w:rsidP="0093748C" w:rsidRDefault="0093748C" w14:paraId="1D8A895E"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Referenzdokumente</w:t>
            </w:r>
          </w:p>
        </w:tc>
        <w:tc>
          <w:tcPr>
            <w:tcW w:w="3409" w:type="pct"/>
          </w:tcPr>
          <w:p w:rsidRPr="00536180" w:rsidR="00DC0660" w:rsidP="0093748C" w:rsidRDefault="00DC0660" w14:paraId="2BC151E4" w14:textId="632BC673">
            <w:pPr>
              <w:tabs>
                <w:tab w:val="center" w:pos="284"/>
              </w:tabs>
              <w:overflowPunct w:val="0"/>
              <w:autoSpaceDE w:val="0"/>
              <w:autoSpaceDN w:val="0"/>
              <w:adjustRightInd w:val="0"/>
              <w:ind w:left="266" w:hanging="266"/>
              <w:textAlignment w:val="baseline"/>
              <w:rPr>
                <w:sz w:val="22"/>
                <w:szCs w:val="22"/>
              </w:rPr>
            </w:pPr>
            <w:r w:rsidRPr="00536180">
              <w:rPr>
                <w:sz w:val="22"/>
                <w:szCs w:val="22"/>
              </w:rPr>
              <w:t>Stellungnahme der Kategorie C</w:t>
            </w:r>
          </w:p>
          <w:p w:rsidRPr="00536180" w:rsidR="0093748C" w:rsidP="0093748C" w:rsidRDefault="0093748C" w14:paraId="66C493B8" w14:textId="340B2CC5">
            <w:pPr>
              <w:tabs>
                <w:tab w:val="center" w:pos="284"/>
              </w:tabs>
              <w:overflowPunct w:val="0"/>
              <w:autoSpaceDE w:val="0"/>
              <w:autoSpaceDN w:val="0"/>
              <w:adjustRightInd w:val="0"/>
              <w:ind w:left="266" w:hanging="266"/>
              <w:textAlignment w:val="baseline"/>
              <w:rPr>
                <w:sz w:val="22"/>
                <w:szCs w:val="22"/>
              </w:rPr>
            </w:pPr>
            <w:r w:rsidRPr="00536180">
              <w:rPr>
                <w:sz w:val="22"/>
                <w:szCs w:val="22"/>
              </w:rPr>
              <w:t>COM(2024) 452 final</w:t>
            </w:r>
          </w:p>
        </w:tc>
      </w:tr>
      <w:tr w:rsidRPr="00536180" w:rsidR="0093748C" w:rsidTr="00F324F7" w14:paraId="02E8546B" w14:textId="77777777">
        <w:tc>
          <w:tcPr>
            <w:tcW w:w="1591" w:type="pct"/>
            <w:vMerge/>
          </w:tcPr>
          <w:p w:rsidRPr="00536180" w:rsidR="0093748C" w:rsidP="0093748C" w:rsidRDefault="0093748C" w14:paraId="7788C910" w14:textId="77777777">
            <w:pPr>
              <w:tabs>
                <w:tab w:val="center" w:pos="284"/>
              </w:tabs>
              <w:overflowPunct w:val="0"/>
              <w:autoSpaceDE w:val="0"/>
              <w:autoSpaceDN w:val="0"/>
              <w:adjustRightInd w:val="0"/>
              <w:ind w:left="266" w:hanging="266"/>
              <w:textAlignment w:val="baseline"/>
              <w:rPr>
                <w:b/>
                <w:sz w:val="22"/>
                <w:szCs w:val="22"/>
                <w:lang w:val="pt-PT"/>
              </w:rPr>
            </w:pPr>
          </w:p>
        </w:tc>
        <w:tc>
          <w:tcPr>
            <w:tcW w:w="3409" w:type="pct"/>
          </w:tcPr>
          <w:p w:rsidRPr="00536180" w:rsidR="0093748C" w:rsidP="0093748C" w:rsidRDefault="0093748C" w14:paraId="55965283"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EESC-2024-03672-00-00-AC</w:t>
            </w:r>
          </w:p>
        </w:tc>
      </w:tr>
    </w:tbl>
    <w:p w:rsidRPr="0093748C" w:rsidR="0093748C" w:rsidP="0093748C" w:rsidRDefault="0093748C" w14:paraId="25FB44C5" w14:textId="77777777">
      <w:pPr>
        <w:tabs>
          <w:tab w:val="center" w:pos="284"/>
        </w:tabs>
        <w:overflowPunct w:val="0"/>
        <w:autoSpaceDE w:val="0"/>
        <w:autoSpaceDN w:val="0"/>
        <w:adjustRightInd w:val="0"/>
        <w:ind w:left="266" w:hanging="266"/>
        <w:textAlignment w:val="baseline"/>
        <w:rPr>
          <w:lang w:val="en-GB"/>
        </w:rPr>
      </w:pPr>
    </w:p>
    <w:p w:rsidRPr="0093748C" w:rsidR="0093748C" w:rsidP="0093748C" w:rsidRDefault="0093748C" w14:paraId="338A0061"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93748C" w:rsidR="0093748C" w:rsidP="0093748C" w:rsidRDefault="0093748C" w14:paraId="503D464E" w14:textId="77777777">
      <w:pPr>
        <w:keepNext/>
        <w:keepLines/>
        <w:tabs>
          <w:tab w:val="center" w:pos="284"/>
        </w:tabs>
        <w:overflowPunct w:val="0"/>
        <w:autoSpaceDE w:val="0"/>
        <w:autoSpaceDN w:val="0"/>
        <w:adjustRightInd w:val="0"/>
        <w:ind w:left="266" w:hanging="266"/>
        <w:textAlignment w:val="baseline"/>
        <w:rPr>
          <w:b/>
          <w:lang w:val="en-GB"/>
        </w:rPr>
      </w:pPr>
    </w:p>
    <w:p w:rsidRPr="0093748C" w:rsidR="0093748C" w:rsidP="0093748C" w:rsidRDefault="0093748C" w14:paraId="59BEF999" w14:textId="77777777">
      <w:pPr>
        <w:overflowPunct w:val="0"/>
        <w:autoSpaceDE w:val="0"/>
        <w:autoSpaceDN w:val="0"/>
        <w:adjustRightInd w:val="0"/>
        <w:textAlignment w:val="baseline"/>
        <w:rPr>
          <w:bCs/>
          <w:iCs/>
        </w:rPr>
      </w:pPr>
      <w:r>
        <w:t>Der EWSA</w:t>
      </w:r>
    </w:p>
    <w:p w:rsidRPr="0093748C" w:rsidR="0093748C" w:rsidP="0093748C" w:rsidRDefault="0093748C" w14:paraId="0E7A4591" w14:textId="77777777">
      <w:pPr>
        <w:overflowPunct w:val="0"/>
        <w:autoSpaceDE w:val="0"/>
        <w:autoSpaceDN w:val="0"/>
        <w:adjustRightInd w:val="0"/>
        <w:textAlignment w:val="baseline"/>
        <w:rPr>
          <w:bCs/>
          <w:iCs/>
          <w:lang w:val="en-GB"/>
        </w:rPr>
      </w:pPr>
    </w:p>
    <w:p w:rsidRPr="0093748C" w:rsidR="0093748C" w:rsidP="00536180" w:rsidRDefault="0093748C" w14:paraId="03CB7D22" w14:textId="77777777">
      <w:pPr>
        <w:numPr>
          <w:ilvl w:val="0"/>
          <w:numId w:val="53"/>
        </w:numPr>
        <w:overflowPunct w:val="0"/>
        <w:autoSpaceDE w:val="0"/>
        <w:autoSpaceDN w:val="0"/>
        <w:adjustRightInd w:val="0"/>
        <w:ind w:left="567" w:hanging="567"/>
        <w:textAlignment w:val="baseline"/>
        <w:outlineLvl w:val="1"/>
        <w:rPr>
          <w:bCs/>
          <w:iCs/>
        </w:rPr>
      </w:pPr>
      <w:r>
        <w:t>hat sich bereits in seinen Stellungnahmen EESC-2024-01183-00-00-AC-TRA vom 19. September 2024</w:t>
      </w:r>
      <w:r w:rsidRPr="0093748C">
        <w:rPr>
          <w:sz w:val="18"/>
          <w:szCs w:val="14"/>
          <w:vertAlign w:val="superscript"/>
          <w:lang w:val="en-GB"/>
        </w:rPr>
        <w:footnoteReference w:id="2"/>
      </w:r>
      <w:r>
        <w:rPr>
          <w:sz w:val="20"/>
        </w:rPr>
        <w:t xml:space="preserve"> </w:t>
      </w:r>
      <w:r>
        <w:t>und EESC-2021-05690-00-00-AC-TRA vom 23. Februar 2022</w:t>
      </w:r>
      <w:r w:rsidRPr="0093748C">
        <w:rPr>
          <w:sz w:val="18"/>
          <w:szCs w:val="14"/>
          <w:vertAlign w:val="superscript"/>
          <w:lang w:val="en-GB"/>
        </w:rPr>
        <w:footnoteReference w:id="3"/>
      </w:r>
      <w:r>
        <w:t xml:space="preserve"> zum Inhalt dieses Vorschlags geäußert und daher beschlossen, von der Erarbeitung einer neuen Stellungnahme abzusehen und auf den Standpunkt zu verweisen, den er in den vorgenannten Stellungnahmen vertreten hat.</w:t>
      </w:r>
    </w:p>
    <w:p w:rsidRPr="0093748C" w:rsidR="0093748C" w:rsidP="0093748C" w:rsidRDefault="0093748C" w14:paraId="0D270273" w14:textId="77777777">
      <w:pPr>
        <w:widowControl w:val="0"/>
        <w:overflowPunct w:val="0"/>
        <w:autoSpaceDE w:val="0"/>
        <w:autoSpaceDN w:val="0"/>
        <w:adjustRightInd w:val="0"/>
        <w:ind w:left="709"/>
        <w:textAlignment w:val="baseline"/>
        <w:rPr>
          <w:szCs w:val="20"/>
          <w:lang w:val="en-GB"/>
        </w:rPr>
      </w:pPr>
    </w:p>
    <w:tbl>
      <w:tblPr>
        <w:tblStyle w:val="TableGrid1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536180" w:rsidR="0093748C" w:rsidTr="00F324F7" w14:paraId="02DA41A4" w14:textId="77777777">
        <w:tc>
          <w:tcPr>
            <w:tcW w:w="1556" w:type="pct"/>
          </w:tcPr>
          <w:p w:rsidRPr="00536180" w:rsidR="0093748C" w:rsidP="0093748C" w:rsidRDefault="0093748C" w14:paraId="2C95B9E4" w14:textId="77777777">
            <w:pPr>
              <w:overflowPunct w:val="0"/>
              <w:autoSpaceDE w:val="0"/>
              <w:autoSpaceDN w:val="0"/>
              <w:adjustRightInd w:val="0"/>
              <w:spacing w:line="240" w:lineRule="auto"/>
              <w:textAlignment w:val="baseline"/>
              <w:rPr>
                <w:i/>
                <w:sz w:val="22"/>
                <w:szCs w:val="22"/>
              </w:rPr>
            </w:pPr>
            <w:r w:rsidRPr="00536180">
              <w:rPr>
                <w:b/>
                <w:i/>
                <w:sz w:val="22"/>
                <w:szCs w:val="22"/>
              </w:rPr>
              <w:t>Kontakt</w:t>
            </w:r>
          </w:p>
        </w:tc>
        <w:tc>
          <w:tcPr>
            <w:tcW w:w="3444" w:type="pct"/>
          </w:tcPr>
          <w:p w:rsidRPr="00536180" w:rsidR="0093748C" w:rsidP="0093748C" w:rsidRDefault="0093748C" w14:paraId="07091794" w14:textId="7154DA62">
            <w:pPr>
              <w:overflowPunct w:val="0"/>
              <w:autoSpaceDE w:val="0"/>
              <w:autoSpaceDN w:val="0"/>
              <w:adjustRightInd w:val="0"/>
              <w:spacing w:line="240" w:lineRule="auto"/>
              <w:textAlignment w:val="baseline"/>
              <w:rPr>
                <w:i/>
                <w:sz w:val="22"/>
                <w:szCs w:val="22"/>
              </w:rPr>
            </w:pPr>
            <w:r w:rsidRPr="00536180">
              <w:rPr>
                <w:i/>
                <w:sz w:val="22"/>
                <w:szCs w:val="22"/>
              </w:rPr>
              <w:t xml:space="preserve">Martine </w:t>
            </w:r>
            <w:proofErr w:type="spellStart"/>
            <w:r w:rsidRPr="00536180">
              <w:rPr>
                <w:i/>
                <w:sz w:val="22"/>
                <w:szCs w:val="22"/>
              </w:rPr>
              <w:t>Delanoy</w:t>
            </w:r>
            <w:proofErr w:type="spellEnd"/>
          </w:p>
        </w:tc>
      </w:tr>
      <w:tr w:rsidRPr="00536180" w:rsidR="0093748C" w:rsidTr="00F324F7" w14:paraId="60117E67" w14:textId="77777777">
        <w:tc>
          <w:tcPr>
            <w:tcW w:w="1556" w:type="pct"/>
          </w:tcPr>
          <w:p w:rsidRPr="00536180" w:rsidR="0093748C" w:rsidP="0093748C" w:rsidRDefault="0093748C" w14:paraId="0A14DEE3" w14:textId="77777777">
            <w:pPr>
              <w:overflowPunct w:val="0"/>
              <w:autoSpaceDE w:val="0"/>
              <w:autoSpaceDN w:val="0"/>
              <w:adjustRightInd w:val="0"/>
              <w:spacing w:line="240" w:lineRule="auto"/>
              <w:textAlignment w:val="baseline"/>
              <w:rPr>
                <w:i/>
                <w:sz w:val="22"/>
                <w:szCs w:val="22"/>
              </w:rPr>
            </w:pPr>
            <w:r w:rsidRPr="00536180">
              <w:rPr>
                <w:i/>
                <w:sz w:val="22"/>
                <w:szCs w:val="22"/>
              </w:rPr>
              <w:t>Tel.</w:t>
            </w:r>
          </w:p>
        </w:tc>
        <w:tc>
          <w:tcPr>
            <w:tcW w:w="3444" w:type="pct"/>
          </w:tcPr>
          <w:p w:rsidRPr="00536180" w:rsidR="0093748C" w:rsidP="0093748C" w:rsidRDefault="0093748C" w14:paraId="5DB767AF" w14:textId="77777777">
            <w:pPr>
              <w:overflowPunct w:val="0"/>
              <w:autoSpaceDE w:val="0"/>
              <w:autoSpaceDN w:val="0"/>
              <w:adjustRightInd w:val="0"/>
              <w:spacing w:line="240" w:lineRule="auto"/>
              <w:textAlignment w:val="baseline"/>
              <w:rPr>
                <w:i/>
                <w:sz w:val="22"/>
                <w:szCs w:val="22"/>
              </w:rPr>
            </w:pPr>
            <w:r w:rsidRPr="00536180">
              <w:rPr>
                <w:i/>
                <w:sz w:val="22"/>
                <w:szCs w:val="22"/>
              </w:rPr>
              <w:t>+32 25469</w:t>
            </w:r>
            <w:r w:rsidRPr="00536180">
              <w:rPr>
                <w:sz w:val="22"/>
                <w:szCs w:val="22"/>
              </w:rPr>
              <w:t>802</w:t>
            </w:r>
          </w:p>
        </w:tc>
      </w:tr>
      <w:tr w:rsidRPr="00536180" w:rsidR="0093748C" w:rsidTr="00F324F7" w14:paraId="10E191F0" w14:textId="77777777">
        <w:tc>
          <w:tcPr>
            <w:tcW w:w="1556" w:type="pct"/>
          </w:tcPr>
          <w:p w:rsidRPr="00536180" w:rsidR="0093748C" w:rsidP="0093748C" w:rsidRDefault="0093748C" w14:paraId="1A2B1E2C" w14:textId="77777777">
            <w:pPr>
              <w:overflowPunct w:val="0"/>
              <w:autoSpaceDE w:val="0"/>
              <w:autoSpaceDN w:val="0"/>
              <w:adjustRightInd w:val="0"/>
              <w:spacing w:line="240" w:lineRule="auto"/>
              <w:textAlignment w:val="baseline"/>
              <w:rPr>
                <w:i/>
                <w:sz w:val="22"/>
                <w:szCs w:val="22"/>
              </w:rPr>
            </w:pPr>
            <w:r w:rsidRPr="00536180">
              <w:rPr>
                <w:i/>
                <w:sz w:val="22"/>
                <w:szCs w:val="22"/>
              </w:rPr>
              <w:t>E-Mail</w:t>
            </w:r>
          </w:p>
        </w:tc>
        <w:tc>
          <w:tcPr>
            <w:tcW w:w="3444" w:type="pct"/>
          </w:tcPr>
          <w:p w:rsidRPr="00536180" w:rsidR="0093748C" w:rsidP="0093748C" w:rsidRDefault="00486D53" w14:paraId="03312EEB" w14:textId="1D22C28C">
            <w:pPr>
              <w:overflowPunct w:val="0"/>
              <w:autoSpaceDE w:val="0"/>
              <w:autoSpaceDN w:val="0"/>
              <w:adjustRightInd w:val="0"/>
              <w:spacing w:line="240" w:lineRule="auto"/>
              <w:textAlignment w:val="baseline"/>
              <w:rPr>
                <w:i/>
                <w:sz w:val="22"/>
                <w:szCs w:val="22"/>
              </w:rPr>
            </w:pPr>
            <w:hyperlink w:history="1" r:id="rId60">
              <w:r w:rsidRPr="00536180" w:rsidR="007E03C9">
                <w:rPr>
                  <w:i/>
                  <w:color w:val="0000FF"/>
                  <w:sz w:val="22"/>
                  <w:szCs w:val="22"/>
                  <w:u w:val="single"/>
                </w:rPr>
                <w:t>Martine.Delanoy@eesc.europa.eu</w:t>
              </w:r>
            </w:hyperlink>
          </w:p>
        </w:tc>
      </w:tr>
    </w:tbl>
    <w:p w:rsidRPr="00536180" w:rsidR="007F5784" w:rsidRDefault="007F5784" w14:paraId="1490274E" w14:textId="77777777">
      <w:pPr>
        <w:spacing w:after="160" w:line="259" w:lineRule="auto"/>
        <w:jc w:val="left"/>
      </w:pPr>
    </w:p>
    <w:p w:rsidR="00A5001B" w:rsidRDefault="00A5001B" w14:paraId="3932688C" w14:textId="77777777">
      <w:pPr>
        <w:spacing w:after="160" w:line="259" w:lineRule="auto"/>
        <w:jc w:val="left"/>
      </w:pPr>
      <w:r>
        <w:br w:type="page"/>
      </w:r>
    </w:p>
    <w:p w:rsidRPr="00A5001B" w:rsidR="00A5001B" w:rsidP="0015600B" w:rsidRDefault="00486D53" w14:paraId="0141D99C" w14:textId="50F6CED0">
      <w:pPr>
        <w:widowControl w:val="0"/>
        <w:numPr>
          <w:ilvl w:val="0"/>
          <w:numId w:val="20"/>
        </w:numPr>
        <w:overflowPunct w:val="0"/>
        <w:autoSpaceDE w:val="0"/>
        <w:autoSpaceDN w:val="0"/>
        <w:adjustRightInd w:val="0"/>
        <w:ind w:left="567" w:hanging="425"/>
        <w:textAlignment w:val="baseline"/>
        <w:rPr>
          <w:b/>
          <w:bCs/>
          <w:i/>
          <w:iCs/>
          <w:sz w:val="28"/>
          <w:szCs w:val="28"/>
        </w:rPr>
      </w:pPr>
      <w:hyperlink w:history="1" r:id="rId61">
        <w:r w:rsidR="00276FC9">
          <w:rPr>
            <w:b/>
            <w:i/>
            <w:color w:val="0000FF"/>
            <w:sz w:val="28"/>
            <w:u w:val="single"/>
          </w:rPr>
          <w:t>Förderung nachhaltiger und resilienter Lebensmittelsysteme in Zeiten zunehmender Krisen</w:t>
        </w:r>
      </w:hyperlink>
    </w:p>
    <w:p w:rsidRPr="000F216A" w:rsidR="00A5001B" w:rsidP="000F216A" w:rsidRDefault="00A5001B" w14:paraId="5645EA32" w14:textId="77777777">
      <w:pPr>
        <w:rPr>
          <w:sz w:val="18"/>
          <w:szCs w:val="18"/>
        </w:rPr>
      </w:pPr>
    </w:p>
    <w:tbl>
      <w:tblPr>
        <w:tblStyle w:val="TableGrid16"/>
        <w:tblW w:w="494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7495"/>
      </w:tblGrid>
      <w:tr w:rsidRPr="00536180" w:rsidR="00A5001B" w:rsidTr="00DB536C" w14:paraId="0016E694" w14:textId="77777777">
        <w:trPr>
          <w:trHeight w:val="543"/>
        </w:trPr>
        <w:tc>
          <w:tcPr>
            <w:tcW w:w="1098" w:type="pct"/>
          </w:tcPr>
          <w:p w:rsidRPr="00536180" w:rsidR="00A5001B" w:rsidP="00A5001B" w:rsidRDefault="00A5001B" w14:paraId="533666AB"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Berichterstatter</w:t>
            </w:r>
          </w:p>
        </w:tc>
        <w:tc>
          <w:tcPr>
            <w:tcW w:w="3902" w:type="pct"/>
          </w:tcPr>
          <w:p w:rsidRPr="00536180" w:rsidR="00A5001B" w:rsidP="00A5001B" w:rsidRDefault="00A5001B" w14:paraId="690D7FA4"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Joe HEALY (Gruppe Organisationen der Zivilgesellschaft – IE)</w:t>
            </w:r>
          </w:p>
          <w:p w:rsidRPr="00536180" w:rsidR="00A5001B" w:rsidP="00A5001B" w:rsidRDefault="00A5001B" w14:paraId="45E6A865"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Piroska KÁLLAY (Gruppe Arbeitnehmer – HU)</w:t>
            </w:r>
          </w:p>
          <w:p w:rsidRPr="00536180" w:rsidR="00A5001B" w:rsidRDefault="00A5001B" w14:paraId="1F544CE6" w14:textId="2768F2B5">
            <w:pPr>
              <w:tabs>
                <w:tab w:val="center" w:pos="284"/>
              </w:tabs>
              <w:overflowPunct w:val="0"/>
              <w:autoSpaceDE w:val="0"/>
              <w:autoSpaceDN w:val="0"/>
              <w:adjustRightInd w:val="0"/>
              <w:ind w:left="266" w:hanging="266"/>
              <w:textAlignment w:val="baseline"/>
              <w:rPr>
                <w:sz w:val="22"/>
                <w:szCs w:val="22"/>
              </w:rPr>
            </w:pPr>
            <w:r w:rsidRPr="00536180">
              <w:rPr>
                <w:sz w:val="22"/>
                <w:szCs w:val="22"/>
              </w:rPr>
              <w:t>Arnold PUECH D'ALISSAC (Gruppe Arbeitgeber – FR)</w:t>
            </w:r>
          </w:p>
        </w:tc>
      </w:tr>
      <w:tr w:rsidRPr="00536180" w:rsidR="00A5001B" w:rsidTr="00DB536C" w14:paraId="7A3551C6" w14:textId="77777777">
        <w:trPr>
          <w:trHeight w:val="275"/>
        </w:trPr>
        <w:tc>
          <w:tcPr>
            <w:tcW w:w="1098" w:type="pct"/>
          </w:tcPr>
          <w:p w:rsidRPr="00536180" w:rsidR="00A5001B" w:rsidP="00A5001B" w:rsidRDefault="00A5001B" w14:paraId="09987923"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Referenzdokumente</w:t>
            </w:r>
          </w:p>
        </w:tc>
        <w:tc>
          <w:tcPr>
            <w:tcW w:w="3902" w:type="pct"/>
          </w:tcPr>
          <w:p w:rsidRPr="00536180" w:rsidR="00DD46E6" w:rsidP="00DD46E6" w:rsidRDefault="00DD46E6" w14:paraId="12AE83AC" w14:textId="3AD7F101">
            <w:pPr>
              <w:tabs>
                <w:tab w:val="center" w:pos="284"/>
              </w:tabs>
              <w:overflowPunct w:val="0"/>
              <w:autoSpaceDE w:val="0"/>
              <w:autoSpaceDN w:val="0"/>
              <w:adjustRightInd w:val="0"/>
              <w:ind w:left="266" w:right="-112" w:hanging="266"/>
              <w:textAlignment w:val="baseline"/>
              <w:rPr>
                <w:sz w:val="22"/>
                <w:szCs w:val="22"/>
              </w:rPr>
            </w:pPr>
            <w:r w:rsidRPr="00536180">
              <w:rPr>
                <w:sz w:val="22"/>
                <w:szCs w:val="22"/>
              </w:rPr>
              <w:t>Sondierungsstellungnahme auf Ersuchen des ungarischen Ratsvorsitzes der EU</w:t>
            </w:r>
          </w:p>
          <w:p w:rsidRPr="00536180" w:rsidR="00A5001B" w:rsidP="00A5001B" w:rsidRDefault="00A5001B" w14:paraId="396BDE20" w14:textId="6A7B2E5D">
            <w:pPr>
              <w:tabs>
                <w:tab w:val="center" w:pos="284"/>
              </w:tabs>
              <w:overflowPunct w:val="0"/>
              <w:autoSpaceDE w:val="0"/>
              <w:autoSpaceDN w:val="0"/>
              <w:adjustRightInd w:val="0"/>
              <w:ind w:left="266" w:hanging="266"/>
              <w:textAlignment w:val="baseline"/>
              <w:rPr>
                <w:sz w:val="22"/>
                <w:szCs w:val="22"/>
              </w:rPr>
            </w:pPr>
            <w:r w:rsidRPr="00536180">
              <w:rPr>
                <w:sz w:val="22"/>
                <w:szCs w:val="22"/>
              </w:rPr>
              <w:t>EESC-2024-02010-00-00-AC</w:t>
            </w:r>
          </w:p>
        </w:tc>
      </w:tr>
    </w:tbl>
    <w:p w:rsidR="00DB536C" w:rsidP="00A5001B" w:rsidRDefault="00DB536C" w14:paraId="267CEE07" w14:textId="77777777">
      <w:pPr>
        <w:keepNext/>
        <w:keepLines/>
        <w:overflowPunct w:val="0"/>
        <w:autoSpaceDE w:val="0"/>
        <w:autoSpaceDN w:val="0"/>
        <w:adjustRightInd w:val="0"/>
        <w:ind w:left="266" w:hanging="266"/>
        <w:textAlignment w:val="baseline"/>
        <w:rPr>
          <w:b/>
        </w:rPr>
      </w:pPr>
    </w:p>
    <w:p w:rsidRPr="00A5001B" w:rsidR="00A5001B" w:rsidP="00A5001B" w:rsidRDefault="00A5001B" w14:paraId="65760287" w14:textId="27D80D24">
      <w:pPr>
        <w:keepNext/>
        <w:keepLines/>
        <w:overflowPunct w:val="0"/>
        <w:autoSpaceDE w:val="0"/>
        <w:autoSpaceDN w:val="0"/>
        <w:adjustRightInd w:val="0"/>
        <w:ind w:left="266" w:hanging="266"/>
        <w:textAlignment w:val="baseline"/>
        <w:rPr>
          <w:b/>
        </w:rPr>
      </w:pPr>
      <w:r>
        <w:rPr>
          <w:b/>
        </w:rPr>
        <w:t>Kernaussagen</w:t>
      </w:r>
    </w:p>
    <w:p w:rsidRPr="00DB536C" w:rsidR="00A5001B" w:rsidP="00A5001B" w:rsidRDefault="00A5001B" w14:paraId="7B4BD566" w14:textId="77777777">
      <w:pPr>
        <w:keepNext/>
        <w:keepLines/>
        <w:tabs>
          <w:tab w:val="center" w:pos="284"/>
        </w:tabs>
        <w:overflowPunct w:val="0"/>
        <w:autoSpaceDE w:val="0"/>
        <w:autoSpaceDN w:val="0"/>
        <w:adjustRightInd w:val="0"/>
        <w:ind w:left="266" w:hanging="266"/>
        <w:textAlignment w:val="baseline"/>
        <w:rPr>
          <w:b/>
          <w:lang w:val="en-GB"/>
        </w:rPr>
      </w:pPr>
    </w:p>
    <w:p w:rsidRPr="00DB536C" w:rsidR="00A5001B" w:rsidP="00A5001B" w:rsidRDefault="00A5001B" w14:paraId="27469A86" w14:textId="77777777">
      <w:pPr>
        <w:overflowPunct w:val="0"/>
        <w:autoSpaceDE w:val="0"/>
        <w:autoSpaceDN w:val="0"/>
        <w:adjustRightInd w:val="0"/>
        <w:textAlignment w:val="baseline"/>
        <w:rPr>
          <w:bCs/>
          <w:iCs/>
        </w:rPr>
      </w:pPr>
      <w:r w:rsidRPr="00DB536C">
        <w:t>Der EWSA</w:t>
      </w:r>
    </w:p>
    <w:p w:rsidRPr="00DB536C" w:rsidR="00A5001B" w:rsidP="00A5001B" w:rsidRDefault="00A5001B" w14:paraId="5AA2D2E1" w14:textId="77777777">
      <w:pPr>
        <w:overflowPunct w:val="0"/>
        <w:autoSpaceDE w:val="0"/>
        <w:autoSpaceDN w:val="0"/>
        <w:adjustRightInd w:val="0"/>
        <w:textAlignment w:val="baseline"/>
        <w:rPr>
          <w:bCs/>
          <w:iCs/>
          <w:lang w:val="en-GB"/>
        </w:rPr>
      </w:pPr>
    </w:p>
    <w:p w:rsidRPr="00A5001B" w:rsidR="00A5001B" w:rsidP="00536180" w:rsidRDefault="00A5001B" w14:paraId="3380F787" w14:textId="77777777">
      <w:pPr>
        <w:numPr>
          <w:ilvl w:val="0"/>
          <w:numId w:val="54"/>
        </w:numPr>
        <w:overflowPunct w:val="0"/>
        <w:autoSpaceDE w:val="0"/>
        <w:autoSpaceDN w:val="0"/>
        <w:adjustRightInd w:val="0"/>
        <w:ind w:left="567" w:hanging="567"/>
        <w:textAlignment w:val="baseline"/>
        <w:outlineLvl w:val="1"/>
        <w:rPr>
          <w:szCs w:val="20"/>
        </w:rPr>
      </w:pPr>
      <w:r>
        <w:t>ist der Auffassung, dass die Agrar-, Fischerei- und Lebensmittelpolitik der EU besser für die Anpassung an die anhaltenden Herausforderungen des jeweiligen Sektors gerüstet sein muss. Sie muss zudem wettbewerbsfähig, krisenfest, wirtschaftlich, ökologisch und sozial nachhaltig, erzeugerfreundlich und wissensbasiert sowie in der Lage sein, hochwertige Lebensmittel zu wettbewerbsfähigen Preisen zur Verfügung zu stellen und den Erzeugern ein stabiles und nachhaltiges Einkommen zu sichern;</w:t>
      </w:r>
    </w:p>
    <w:p w:rsidRPr="00A5001B" w:rsidR="00A5001B" w:rsidP="00536180" w:rsidRDefault="00A5001B" w14:paraId="75A4BE32" w14:textId="77777777">
      <w:pPr>
        <w:numPr>
          <w:ilvl w:val="0"/>
          <w:numId w:val="54"/>
        </w:numPr>
        <w:overflowPunct w:val="0"/>
        <w:autoSpaceDE w:val="0"/>
        <w:autoSpaceDN w:val="0"/>
        <w:adjustRightInd w:val="0"/>
        <w:ind w:left="567" w:hanging="567"/>
        <w:textAlignment w:val="baseline"/>
        <w:outlineLvl w:val="1"/>
        <w:rPr>
          <w:szCs w:val="20"/>
        </w:rPr>
      </w:pPr>
      <w:r>
        <w:t xml:space="preserve">schlägt in Bezug auf wirtschaftliche Instrumente, ökologische Nachhaltigkeit und soziale und gesellschaftliche Unterstützung konkret u. a. Folgendes vor: </w:t>
      </w:r>
    </w:p>
    <w:p w:rsidRPr="003D6908" w:rsidR="00A5001B" w:rsidP="00536180" w:rsidRDefault="00A5001B" w14:paraId="4C21814B" w14:textId="77777777">
      <w:pPr>
        <w:pStyle w:val="ListParagraph"/>
        <w:numPr>
          <w:ilvl w:val="0"/>
          <w:numId w:val="55"/>
        </w:numPr>
        <w:overflowPunct w:val="0"/>
        <w:autoSpaceDE w:val="0"/>
        <w:autoSpaceDN w:val="0"/>
        <w:adjustRightInd w:val="0"/>
        <w:ind w:left="850" w:hanging="283"/>
        <w:textAlignment w:val="baseline"/>
        <w:rPr>
          <w:szCs w:val="20"/>
        </w:rPr>
      </w:pPr>
      <w:r>
        <w:t xml:space="preserve">den Haushalt aufzustocken und in der EU eine angemessene Finanzierung für die politischen Erfordernisse und Ziele in den Bereichen Landwirtschaft, Fischerei und Lebensmittel bereitzustellen; </w:t>
      </w:r>
    </w:p>
    <w:p w:rsidRPr="003D6908" w:rsidR="00A5001B" w:rsidP="00536180" w:rsidRDefault="00A5001B" w14:paraId="3C6A0146" w14:textId="77777777">
      <w:pPr>
        <w:pStyle w:val="ListParagraph"/>
        <w:numPr>
          <w:ilvl w:val="0"/>
          <w:numId w:val="55"/>
        </w:numPr>
        <w:overflowPunct w:val="0"/>
        <w:autoSpaceDE w:val="0"/>
        <w:autoSpaceDN w:val="0"/>
        <w:adjustRightInd w:val="0"/>
        <w:ind w:left="850" w:hanging="283"/>
        <w:textAlignment w:val="baseline"/>
        <w:rPr>
          <w:szCs w:val="20"/>
        </w:rPr>
      </w:pPr>
      <w:r>
        <w:t>den Primärerzeugern ein faires und wirtschaftlich tragfähiges Einkommen zu sichern, z. B. indem Preisgarantien eingeführt und die Machtverhältnisse in der Lebensmittelkette reguliert werden sowie indem Instrumente und Mechanismen eingeführt werden, um die Methode zur Festsetzung der Erzeugerpreise zu ändern;</w:t>
      </w:r>
    </w:p>
    <w:p w:rsidRPr="003D6908" w:rsidR="00A5001B" w:rsidP="00536180" w:rsidRDefault="00A5001B" w14:paraId="49BFAAE7" w14:textId="77777777">
      <w:pPr>
        <w:pStyle w:val="ListParagraph"/>
        <w:numPr>
          <w:ilvl w:val="0"/>
          <w:numId w:val="55"/>
        </w:numPr>
        <w:overflowPunct w:val="0"/>
        <w:autoSpaceDE w:val="0"/>
        <w:autoSpaceDN w:val="0"/>
        <w:adjustRightInd w:val="0"/>
        <w:ind w:left="850" w:hanging="283"/>
        <w:textAlignment w:val="baseline"/>
        <w:rPr>
          <w:szCs w:val="20"/>
        </w:rPr>
      </w:pPr>
      <w:r>
        <w:t xml:space="preserve">ein EU-weites System öffentlicher Versicherungen gegen Naturkatastrophen mit hohen öffentlichen Investitionen zu erwägen und zu konzipieren; </w:t>
      </w:r>
    </w:p>
    <w:p w:rsidRPr="003D6908" w:rsidR="00A5001B" w:rsidP="00536180" w:rsidRDefault="00A5001B" w14:paraId="590C3CE7" w14:textId="77777777">
      <w:pPr>
        <w:pStyle w:val="ListParagraph"/>
        <w:numPr>
          <w:ilvl w:val="0"/>
          <w:numId w:val="55"/>
        </w:numPr>
        <w:overflowPunct w:val="0"/>
        <w:autoSpaceDE w:val="0"/>
        <w:autoSpaceDN w:val="0"/>
        <w:adjustRightInd w:val="0"/>
        <w:ind w:left="850" w:hanging="283"/>
        <w:textAlignment w:val="baseline"/>
        <w:rPr>
          <w:szCs w:val="20"/>
        </w:rPr>
      </w:pPr>
      <w:r>
        <w:t>in der gesamten Lebensmittelkette die Verwaltungsverfahren zu vereinfachen und Bürokratie abzubauen;</w:t>
      </w:r>
    </w:p>
    <w:p w:rsidRPr="003D6908" w:rsidR="00A5001B" w:rsidP="00536180" w:rsidRDefault="00A5001B" w14:paraId="458953B7" w14:textId="77777777">
      <w:pPr>
        <w:pStyle w:val="ListParagraph"/>
        <w:numPr>
          <w:ilvl w:val="0"/>
          <w:numId w:val="55"/>
        </w:numPr>
        <w:overflowPunct w:val="0"/>
        <w:autoSpaceDE w:val="0"/>
        <w:autoSpaceDN w:val="0"/>
        <w:adjustRightInd w:val="0"/>
        <w:ind w:left="850" w:hanging="283"/>
        <w:textAlignment w:val="baseline"/>
        <w:rPr>
          <w:szCs w:val="20"/>
        </w:rPr>
      </w:pPr>
      <w:r>
        <w:t xml:space="preserve">junge Menschen und Frauen durch Förderung des Generationswechsels sowie von Aus- und Fortbildung zu unterstützen; eine solidarische Landwirtschaft zu fördern und Genossenschaften und ähnliche Zusammenschlüsse stärker zu unterstützen; </w:t>
      </w:r>
    </w:p>
    <w:p w:rsidRPr="003D6908" w:rsidR="00A5001B" w:rsidP="00536180" w:rsidRDefault="00A5001B" w14:paraId="405D7F9A" w14:textId="77777777">
      <w:pPr>
        <w:pStyle w:val="ListParagraph"/>
        <w:numPr>
          <w:ilvl w:val="0"/>
          <w:numId w:val="55"/>
        </w:numPr>
        <w:overflowPunct w:val="0"/>
        <w:autoSpaceDE w:val="0"/>
        <w:autoSpaceDN w:val="0"/>
        <w:adjustRightInd w:val="0"/>
        <w:ind w:left="850" w:hanging="283"/>
        <w:textAlignment w:val="baseline"/>
        <w:rPr>
          <w:szCs w:val="20"/>
        </w:rPr>
      </w:pPr>
      <w:r>
        <w:t xml:space="preserve">die Bodengesundheit zu schützen und wiederherzustellen und durch Technologien zur Verringerung des Wasserverbrauchs, wie z. B. Präzisionsbewässerung, die Wassereffizienz zu erhöhen; </w:t>
      </w:r>
    </w:p>
    <w:p w:rsidRPr="003D6908" w:rsidR="00A5001B" w:rsidP="00536180" w:rsidRDefault="00A5001B" w14:paraId="5DF514E7" w14:textId="77777777">
      <w:pPr>
        <w:pStyle w:val="ListParagraph"/>
        <w:numPr>
          <w:ilvl w:val="0"/>
          <w:numId w:val="55"/>
        </w:numPr>
        <w:overflowPunct w:val="0"/>
        <w:autoSpaceDE w:val="0"/>
        <w:autoSpaceDN w:val="0"/>
        <w:adjustRightInd w:val="0"/>
        <w:ind w:left="850" w:hanging="283"/>
        <w:textAlignment w:val="baseline"/>
        <w:rPr>
          <w:szCs w:val="20"/>
        </w:rPr>
      </w:pPr>
      <w:r>
        <w:t>für die Kohlenstoffbindung zu belohnen und eine Verlagerung von CO</w:t>
      </w:r>
      <w:r>
        <w:rPr>
          <w:vertAlign w:val="subscript"/>
        </w:rPr>
        <w:t>2</w:t>
      </w:r>
      <w:r>
        <w:t xml:space="preserve">-Emissionen zu verhindern; </w:t>
      </w:r>
    </w:p>
    <w:p w:rsidRPr="003D6908" w:rsidR="00A5001B" w:rsidP="00536180" w:rsidRDefault="00A5001B" w14:paraId="1E2FD995" w14:textId="77777777">
      <w:pPr>
        <w:pStyle w:val="ListParagraph"/>
        <w:numPr>
          <w:ilvl w:val="0"/>
          <w:numId w:val="55"/>
        </w:numPr>
        <w:overflowPunct w:val="0"/>
        <w:autoSpaceDE w:val="0"/>
        <w:autoSpaceDN w:val="0"/>
        <w:adjustRightInd w:val="0"/>
        <w:ind w:left="850" w:hanging="283"/>
        <w:textAlignment w:val="baseline"/>
        <w:rPr>
          <w:szCs w:val="20"/>
        </w:rPr>
      </w:pPr>
      <w:r>
        <w:t>für eine wirksamere Durchsetzung der Vorschriften über unlautere Handelspraktiken sowie für eine einheitliche Anwendung auf europäischer Ebene zu sorgen und nicht kostendeckende Preise zu untersagen;</w:t>
      </w:r>
    </w:p>
    <w:p w:rsidRPr="003D6908" w:rsidR="00A5001B" w:rsidP="00536180" w:rsidRDefault="00A5001B" w14:paraId="2CBADFAE" w14:textId="77777777">
      <w:pPr>
        <w:pStyle w:val="ListParagraph"/>
        <w:numPr>
          <w:ilvl w:val="0"/>
          <w:numId w:val="55"/>
        </w:numPr>
        <w:overflowPunct w:val="0"/>
        <w:autoSpaceDE w:val="0"/>
        <w:autoSpaceDN w:val="0"/>
        <w:adjustRightInd w:val="0"/>
        <w:ind w:left="850" w:hanging="283"/>
        <w:textAlignment w:val="baseline"/>
        <w:rPr>
          <w:szCs w:val="20"/>
        </w:rPr>
      </w:pPr>
      <w:r>
        <w:t xml:space="preserve">die Ernährungssicherheit und die strategische Autonomie zu stärken, indem die Abhängigkeit von Einfuhren verringert wird; </w:t>
      </w:r>
    </w:p>
    <w:p w:rsidRPr="003D6908" w:rsidR="00A5001B" w:rsidP="00536180" w:rsidRDefault="00A5001B" w14:paraId="1823D2AE" w14:textId="77777777">
      <w:pPr>
        <w:pStyle w:val="ListParagraph"/>
        <w:numPr>
          <w:ilvl w:val="0"/>
          <w:numId w:val="55"/>
        </w:numPr>
        <w:overflowPunct w:val="0"/>
        <w:autoSpaceDE w:val="0"/>
        <w:autoSpaceDN w:val="0"/>
        <w:adjustRightInd w:val="0"/>
        <w:ind w:left="850" w:hanging="283"/>
        <w:textAlignment w:val="baseline"/>
        <w:rPr>
          <w:szCs w:val="20"/>
        </w:rPr>
      </w:pPr>
      <w:r>
        <w:lastRenderedPageBreak/>
        <w:t>die Handelsströme so zu regulieren, dass unnötige Marktstörungen vermieden werden, und ein digitales Zentrum für die Erhebung von Preis- und Kostendaten einzurichten, um die Lebensmittelversorgungskette transparenter zu gestalten;</w:t>
      </w:r>
    </w:p>
    <w:p w:rsidRPr="003D6908" w:rsidR="00A5001B" w:rsidP="00536180" w:rsidRDefault="00A5001B" w14:paraId="31562717" w14:textId="77777777">
      <w:pPr>
        <w:pStyle w:val="ListParagraph"/>
        <w:keepNext/>
        <w:keepLines/>
        <w:numPr>
          <w:ilvl w:val="0"/>
          <w:numId w:val="55"/>
        </w:numPr>
        <w:overflowPunct w:val="0"/>
        <w:autoSpaceDE w:val="0"/>
        <w:autoSpaceDN w:val="0"/>
        <w:adjustRightInd w:val="0"/>
        <w:ind w:left="850" w:hanging="283"/>
        <w:textAlignment w:val="baseline"/>
        <w:rPr>
          <w:szCs w:val="20"/>
        </w:rPr>
      </w:pPr>
      <w:r>
        <w:t>die Herkunft von Rohstoffen und verarbeiteten Erzeugnissen zu kennzeichnen, als Möglichkeit zur Förderung stabiler Beziehungen zwischen den Erzeugern und der Industrie sowie zur Information der Verbraucher;</w:t>
      </w:r>
    </w:p>
    <w:p w:rsidRPr="003D6908" w:rsidR="00A5001B" w:rsidP="00536180" w:rsidRDefault="00A5001B" w14:paraId="51267AF1" w14:textId="77777777">
      <w:pPr>
        <w:pStyle w:val="ListParagraph"/>
        <w:keepNext/>
        <w:keepLines/>
        <w:numPr>
          <w:ilvl w:val="0"/>
          <w:numId w:val="55"/>
        </w:numPr>
        <w:overflowPunct w:val="0"/>
        <w:autoSpaceDE w:val="0"/>
        <w:autoSpaceDN w:val="0"/>
        <w:adjustRightInd w:val="0"/>
        <w:ind w:left="850" w:hanging="283"/>
        <w:textAlignment w:val="baseline"/>
        <w:rPr>
          <w:szCs w:val="20"/>
        </w:rPr>
      </w:pPr>
      <w:r>
        <w:t>einen Europäischen Rat für Ernährungspolitik als Plattform zum Ausbau des Dialogs über Lebensmittelfragen einzurichten, in Anlehnung an den aus dem strategischen Dialog hervorgegangenen Vorschlag.</w:t>
      </w:r>
    </w:p>
    <w:p w:rsidRPr="000F216A" w:rsidR="00A5001B" w:rsidP="00A5001B" w:rsidRDefault="00A5001B" w14:paraId="6516BBAA" w14:textId="77777777">
      <w:pPr>
        <w:keepNext/>
        <w:keepLines/>
        <w:widowControl w:val="0"/>
        <w:overflowPunct w:val="0"/>
        <w:autoSpaceDE w:val="0"/>
        <w:autoSpaceDN w:val="0"/>
        <w:adjustRightInd w:val="0"/>
        <w:ind w:left="284" w:hanging="284"/>
        <w:textAlignment w:val="baseline"/>
        <w:rPr>
          <w:sz w:val="12"/>
          <w:szCs w:val="12"/>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6"/>
        <w:gridCol w:w="5305"/>
      </w:tblGrid>
      <w:tr w:rsidRPr="00536180" w:rsidR="00A5001B" w:rsidTr="00DB536C" w14:paraId="1776179E" w14:textId="77777777">
        <w:tc>
          <w:tcPr>
            <w:tcW w:w="1117" w:type="pct"/>
          </w:tcPr>
          <w:p w:rsidRPr="00536180" w:rsidR="00A5001B" w:rsidP="00A5001B" w:rsidRDefault="00A5001B" w14:paraId="342A49B7" w14:textId="77777777">
            <w:pPr>
              <w:overflowPunct w:val="0"/>
              <w:autoSpaceDE w:val="0"/>
              <w:autoSpaceDN w:val="0"/>
              <w:adjustRightInd w:val="0"/>
              <w:spacing w:line="240" w:lineRule="auto"/>
              <w:textAlignment w:val="baseline"/>
              <w:rPr>
                <w:i/>
                <w:sz w:val="22"/>
                <w:szCs w:val="22"/>
              </w:rPr>
            </w:pPr>
            <w:r w:rsidRPr="00536180">
              <w:rPr>
                <w:b/>
                <w:i/>
                <w:sz w:val="22"/>
                <w:szCs w:val="22"/>
              </w:rPr>
              <w:t>Kontakt</w:t>
            </w:r>
          </w:p>
        </w:tc>
        <w:tc>
          <w:tcPr>
            <w:tcW w:w="3883" w:type="pct"/>
          </w:tcPr>
          <w:p w:rsidRPr="00536180" w:rsidR="00A5001B" w:rsidP="00A5001B" w:rsidRDefault="00A5001B" w14:paraId="555ACCF8" w14:textId="5CF92EDB">
            <w:pPr>
              <w:overflowPunct w:val="0"/>
              <w:autoSpaceDE w:val="0"/>
              <w:autoSpaceDN w:val="0"/>
              <w:adjustRightInd w:val="0"/>
              <w:spacing w:line="240" w:lineRule="auto"/>
              <w:textAlignment w:val="baseline"/>
              <w:rPr>
                <w:i/>
                <w:sz w:val="22"/>
                <w:szCs w:val="22"/>
              </w:rPr>
            </w:pPr>
            <w:proofErr w:type="spellStart"/>
            <w:r w:rsidRPr="00536180">
              <w:rPr>
                <w:i/>
                <w:sz w:val="22"/>
                <w:szCs w:val="22"/>
              </w:rPr>
              <w:t>Myrto</w:t>
            </w:r>
            <w:proofErr w:type="spellEnd"/>
            <w:r w:rsidRPr="00536180">
              <w:rPr>
                <w:i/>
                <w:sz w:val="22"/>
                <w:szCs w:val="22"/>
              </w:rPr>
              <w:t xml:space="preserve"> </w:t>
            </w:r>
            <w:proofErr w:type="spellStart"/>
            <w:r w:rsidRPr="00536180">
              <w:rPr>
                <w:i/>
                <w:sz w:val="22"/>
                <w:szCs w:val="22"/>
              </w:rPr>
              <w:t>Kolyva</w:t>
            </w:r>
            <w:proofErr w:type="spellEnd"/>
          </w:p>
        </w:tc>
      </w:tr>
      <w:tr w:rsidRPr="00536180" w:rsidR="00A5001B" w:rsidTr="00DB536C" w14:paraId="2C54CCC3" w14:textId="77777777">
        <w:tc>
          <w:tcPr>
            <w:tcW w:w="1117" w:type="pct"/>
          </w:tcPr>
          <w:p w:rsidRPr="00536180" w:rsidR="00A5001B" w:rsidP="00A5001B" w:rsidRDefault="00A5001B" w14:paraId="2874D3DA" w14:textId="77777777">
            <w:pPr>
              <w:overflowPunct w:val="0"/>
              <w:autoSpaceDE w:val="0"/>
              <w:autoSpaceDN w:val="0"/>
              <w:adjustRightInd w:val="0"/>
              <w:spacing w:line="240" w:lineRule="auto"/>
              <w:textAlignment w:val="baseline"/>
              <w:rPr>
                <w:i/>
                <w:sz w:val="22"/>
                <w:szCs w:val="22"/>
              </w:rPr>
            </w:pPr>
            <w:r w:rsidRPr="00536180">
              <w:rPr>
                <w:i/>
                <w:sz w:val="22"/>
                <w:szCs w:val="22"/>
              </w:rPr>
              <w:t>Tel.</w:t>
            </w:r>
          </w:p>
        </w:tc>
        <w:tc>
          <w:tcPr>
            <w:tcW w:w="3883" w:type="pct"/>
          </w:tcPr>
          <w:p w:rsidRPr="00536180" w:rsidR="00A5001B" w:rsidP="00A5001B" w:rsidRDefault="00A5001B" w14:paraId="24F028AA" w14:textId="77777777">
            <w:pPr>
              <w:overflowPunct w:val="0"/>
              <w:autoSpaceDE w:val="0"/>
              <w:autoSpaceDN w:val="0"/>
              <w:adjustRightInd w:val="0"/>
              <w:spacing w:line="240" w:lineRule="auto"/>
              <w:textAlignment w:val="baseline"/>
              <w:rPr>
                <w:i/>
                <w:sz w:val="22"/>
                <w:szCs w:val="22"/>
              </w:rPr>
            </w:pPr>
            <w:r w:rsidRPr="00536180">
              <w:rPr>
                <w:i/>
                <w:sz w:val="22"/>
                <w:szCs w:val="22"/>
              </w:rPr>
              <w:t>+32 25468718</w:t>
            </w:r>
          </w:p>
        </w:tc>
      </w:tr>
      <w:tr w:rsidRPr="00536180" w:rsidR="00A5001B" w:rsidTr="00DB536C" w14:paraId="1D7A0571" w14:textId="77777777">
        <w:tc>
          <w:tcPr>
            <w:tcW w:w="1117" w:type="pct"/>
          </w:tcPr>
          <w:p w:rsidRPr="00536180" w:rsidR="00A5001B" w:rsidP="00A5001B" w:rsidRDefault="003D6908" w14:paraId="4C4027DC" w14:textId="0033C7E0">
            <w:pPr>
              <w:overflowPunct w:val="0"/>
              <w:autoSpaceDE w:val="0"/>
              <w:autoSpaceDN w:val="0"/>
              <w:adjustRightInd w:val="0"/>
              <w:spacing w:line="240" w:lineRule="auto"/>
              <w:textAlignment w:val="baseline"/>
              <w:rPr>
                <w:i/>
                <w:sz w:val="22"/>
                <w:szCs w:val="22"/>
              </w:rPr>
            </w:pPr>
            <w:r w:rsidRPr="00536180">
              <w:rPr>
                <w:i/>
                <w:sz w:val="22"/>
                <w:szCs w:val="22"/>
              </w:rPr>
              <w:t>E-Mail</w:t>
            </w:r>
          </w:p>
        </w:tc>
        <w:tc>
          <w:tcPr>
            <w:tcW w:w="3883" w:type="pct"/>
          </w:tcPr>
          <w:p w:rsidRPr="00536180" w:rsidR="00A5001B" w:rsidP="00A5001B" w:rsidRDefault="00486D53" w14:paraId="544606A7" w14:textId="3FD06458">
            <w:pPr>
              <w:overflowPunct w:val="0"/>
              <w:autoSpaceDE w:val="0"/>
              <w:autoSpaceDN w:val="0"/>
              <w:adjustRightInd w:val="0"/>
              <w:spacing w:line="240" w:lineRule="auto"/>
              <w:textAlignment w:val="baseline"/>
              <w:rPr>
                <w:i/>
                <w:sz w:val="22"/>
                <w:szCs w:val="22"/>
              </w:rPr>
            </w:pPr>
            <w:hyperlink w:history="1" r:id="rId62">
              <w:r w:rsidRPr="00536180" w:rsidR="007E03C9">
                <w:rPr>
                  <w:color w:val="0000FF"/>
                  <w:sz w:val="22"/>
                  <w:szCs w:val="22"/>
                  <w:u w:val="single"/>
                </w:rPr>
                <w:t>Myrto.Kolyva@eesc.europa.eu</w:t>
              </w:r>
            </w:hyperlink>
            <w:r w:rsidRPr="00536180" w:rsidR="007E03C9">
              <w:rPr>
                <w:sz w:val="22"/>
                <w:szCs w:val="22"/>
              </w:rPr>
              <w:t xml:space="preserve"> </w:t>
            </w:r>
          </w:p>
        </w:tc>
      </w:tr>
    </w:tbl>
    <w:p w:rsidR="00347517" w:rsidRDefault="00347517" w14:paraId="6D395A4D" w14:textId="77777777">
      <w:pPr>
        <w:spacing w:after="160" w:line="259" w:lineRule="auto"/>
        <w:jc w:val="left"/>
      </w:pPr>
      <w:r>
        <w:br w:type="page"/>
      </w:r>
    </w:p>
    <w:p w:rsidR="00347517" w:rsidP="000F216A" w:rsidRDefault="00486D53" w14:paraId="15E442EF" w14:textId="5D877FBD">
      <w:pPr>
        <w:widowControl w:val="0"/>
        <w:numPr>
          <w:ilvl w:val="0"/>
          <w:numId w:val="20"/>
        </w:numPr>
        <w:overflowPunct w:val="0"/>
        <w:autoSpaceDE w:val="0"/>
        <w:autoSpaceDN w:val="0"/>
        <w:adjustRightInd w:val="0"/>
        <w:ind w:left="567" w:hanging="425"/>
        <w:textAlignment w:val="baseline"/>
      </w:pPr>
      <w:hyperlink w:history="1" r:id="rId63">
        <w:r w:rsidR="00594F3A">
          <w:rPr>
            <w:rStyle w:val="Hyperlink"/>
            <w:b/>
            <w:i/>
            <w:sz w:val="28"/>
          </w:rPr>
          <w:t>Abstimmung der Kreislaufwirtschaft und der Bioökonomie auf europäischer und nationaler Ebene</w:t>
        </w:r>
      </w:hyperlink>
    </w:p>
    <w:p w:rsidRPr="00A5001B" w:rsidR="00A5001B" w:rsidP="000F216A" w:rsidRDefault="00A5001B" w14:paraId="3892321E" w14:textId="77777777">
      <w:pPr>
        <w:rPr>
          <w:bCs/>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3"/>
        <w:gridCol w:w="7593"/>
      </w:tblGrid>
      <w:tr w:rsidRPr="00536180" w:rsidR="00A5001B" w:rsidTr="00DB536C" w14:paraId="39323E95" w14:textId="77777777">
        <w:tc>
          <w:tcPr>
            <w:tcW w:w="2013" w:type="dxa"/>
          </w:tcPr>
          <w:p w:rsidRPr="00536180" w:rsidR="00A5001B" w:rsidP="00A5001B" w:rsidRDefault="00A5001B" w14:paraId="5B9986A2"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Berichterstatter</w:t>
            </w:r>
          </w:p>
        </w:tc>
        <w:tc>
          <w:tcPr>
            <w:tcW w:w="7593" w:type="dxa"/>
          </w:tcPr>
          <w:p w:rsidRPr="00536180" w:rsidR="00A5001B" w:rsidP="00A5001B" w:rsidRDefault="00A5001B" w14:paraId="2BCED79C" w14:textId="77777777">
            <w:pPr>
              <w:tabs>
                <w:tab w:val="center" w:pos="284"/>
              </w:tabs>
              <w:overflowPunct w:val="0"/>
              <w:autoSpaceDE w:val="0"/>
              <w:autoSpaceDN w:val="0"/>
              <w:adjustRightInd w:val="0"/>
              <w:ind w:left="266" w:hanging="266"/>
              <w:textAlignment w:val="baseline"/>
              <w:rPr>
                <w:b/>
                <w:bCs/>
                <w:sz w:val="22"/>
                <w:szCs w:val="22"/>
              </w:rPr>
            </w:pPr>
            <w:proofErr w:type="spellStart"/>
            <w:r w:rsidRPr="00536180">
              <w:rPr>
                <w:b/>
                <w:sz w:val="22"/>
                <w:szCs w:val="22"/>
              </w:rPr>
              <w:t>Cillian</w:t>
            </w:r>
            <w:proofErr w:type="spellEnd"/>
            <w:r w:rsidRPr="00536180">
              <w:rPr>
                <w:b/>
                <w:sz w:val="22"/>
                <w:szCs w:val="22"/>
              </w:rPr>
              <w:t xml:space="preserve"> LOHAN</w:t>
            </w:r>
            <w:r w:rsidRPr="00536180">
              <w:rPr>
                <w:sz w:val="22"/>
                <w:szCs w:val="22"/>
              </w:rPr>
              <w:t xml:space="preserve"> (Gruppe Organisationen der Zivilgesellschaft – IE)</w:t>
            </w:r>
          </w:p>
        </w:tc>
      </w:tr>
      <w:tr w:rsidRPr="00536180" w:rsidR="00A5001B" w:rsidTr="00DB536C" w14:paraId="730DD52F" w14:textId="77777777">
        <w:tc>
          <w:tcPr>
            <w:tcW w:w="9606" w:type="dxa"/>
            <w:gridSpan w:val="2"/>
          </w:tcPr>
          <w:p w:rsidRPr="00536180" w:rsidR="00A5001B" w:rsidP="00A5001B" w:rsidRDefault="00A5001B" w14:paraId="5797BBD6" w14:textId="77777777">
            <w:pPr>
              <w:tabs>
                <w:tab w:val="left" w:pos="2690"/>
              </w:tabs>
              <w:overflowPunct w:val="0"/>
              <w:autoSpaceDE w:val="0"/>
              <w:autoSpaceDN w:val="0"/>
              <w:adjustRightInd w:val="0"/>
              <w:spacing w:line="160" w:lineRule="exact"/>
              <w:ind w:left="266" w:hanging="266"/>
              <w:textAlignment w:val="baseline"/>
              <w:rPr>
                <w:sz w:val="22"/>
                <w:szCs w:val="22"/>
              </w:rPr>
            </w:pPr>
          </w:p>
        </w:tc>
      </w:tr>
      <w:tr w:rsidRPr="00536180" w:rsidR="00A5001B" w:rsidTr="00DB536C" w14:paraId="1F9519BB" w14:textId="77777777">
        <w:tc>
          <w:tcPr>
            <w:tcW w:w="2013" w:type="dxa"/>
          </w:tcPr>
          <w:p w:rsidRPr="00536180" w:rsidR="00A5001B" w:rsidP="00A5001B" w:rsidRDefault="00A5001B" w14:paraId="74B8611C"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Referenzdokument</w:t>
            </w:r>
          </w:p>
        </w:tc>
        <w:tc>
          <w:tcPr>
            <w:tcW w:w="7593" w:type="dxa"/>
          </w:tcPr>
          <w:p w:rsidRPr="00536180" w:rsidR="00145410" w:rsidP="00A5001B" w:rsidRDefault="00145410" w14:paraId="29A3A89E" w14:textId="2BB0FF87">
            <w:pPr>
              <w:tabs>
                <w:tab w:val="center" w:pos="284"/>
              </w:tabs>
              <w:overflowPunct w:val="0"/>
              <w:autoSpaceDE w:val="0"/>
              <w:autoSpaceDN w:val="0"/>
              <w:adjustRightInd w:val="0"/>
              <w:ind w:left="266" w:hanging="266"/>
              <w:textAlignment w:val="baseline"/>
              <w:rPr>
                <w:sz w:val="22"/>
                <w:szCs w:val="22"/>
              </w:rPr>
            </w:pPr>
            <w:r w:rsidRPr="00536180">
              <w:rPr>
                <w:sz w:val="22"/>
                <w:szCs w:val="22"/>
              </w:rPr>
              <w:t>Initiativstellungnahme</w:t>
            </w:r>
          </w:p>
          <w:p w:rsidRPr="00536180" w:rsidR="00A5001B" w:rsidP="00A5001B" w:rsidRDefault="00A5001B" w14:paraId="607264E2" w14:textId="02DC005A">
            <w:pPr>
              <w:tabs>
                <w:tab w:val="center" w:pos="284"/>
              </w:tabs>
              <w:overflowPunct w:val="0"/>
              <w:autoSpaceDE w:val="0"/>
              <w:autoSpaceDN w:val="0"/>
              <w:adjustRightInd w:val="0"/>
              <w:ind w:left="266" w:hanging="266"/>
              <w:textAlignment w:val="baseline"/>
              <w:rPr>
                <w:sz w:val="22"/>
                <w:szCs w:val="22"/>
              </w:rPr>
            </w:pPr>
            <w:r w:rsidRPr="00536180">
              <w:rPr>
                <w:sz w:val="22"/>
                <w:szCs w:val="22"/>
              </w:rPr>
              <w:t>EESC-2024-01377-00-00-AC</w:t>
            </w:r>
          </w:p>
        </w:tc>
      </w:tr>
    </w:tbl>
    <w:p w:rsidRPr="00A5001B" w:rsidR="00A5001B" w:rsidP="00A5001B" w:rsidRDefault="00A5001B" w14:paraId="3608D66D" w14:textId="77777777">
      <w:pPr>
        <w:keepNext/>
        <w:keepLines/>
        <w:tabs>
          <w:tab w:val="center" w:pos="284"/>
        </w:tabs>
        <w:overflowPunct w:val="0"/>
        <w:autoSpaceDE w:val="0"/>
        <w:autoSpaceDN w:val="0"/>
        <w:adjustRightInd w:val="0"/>
        <w:ind w:left="266" w:hanging="266"/>
        <w:textAlignment w:val="baseline"/>
        <w:rPr>
          <w:bCs/>
          <w:lang w:val="en-GB"/>
        </w:rPr>
      </w:pPr>
    </w:p>
    <w:p w:rsidRPr="00A5001B" w:rsidR="00A5001B" w:rsidP="00A5001B" w:rsidRDefault="00A5001B" w14:paraId="0C16F5FB"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Kernaussagen</w:t>
      </w:r>
    </w:p>
    <w:p w:rsidRPr="00A5001B" w:rsidR="00A5001B" w:rsidP="00A5001B" w:rsidRDefault="00A5001B" w14:paraId="67E7649D" w14:textId="77777777">
      <w:pPr>
        <w:keepNext/>
        <w:keepLines/>
        <w:tabs>
          <w:tab w:val="center" w:pos="284"/>
        </w:tabs>
        <w:overflowPunct w:val="0"/>
        <w:autoSpaceDE w:val="0"/>
        <w:autoSpaceDN w:val="0"/>
        <w:adjustRightInd w:val="0"/>
        <w:spacing w:line="276" w:lineRule="auto"/>
        <w:ind w:left="266" w:hanging="266"/>
        <w:textAlignment w:val="baseline"/>
        <w:rPr>
          <w:bCs/>
          <w:lang w:val="en-GB"/>
        </w:rPr>
      </w:pPr>
    </w:p>
    <w:p w:rsidRPr="00A5001B" w:rsidR="00A5001B" w:rsidP="00A5001B" w:rsidRDefault="00A5001B" w14:paraId="330BD159" w14:textId="77777777">
      <w:pPr>
        <w:overflowPunct w:val="0"/>
        <w:autoSpaceDE w:val="0"/>
        <w:autoSpaceDN w:val="0"/>
        <w:adjustRightInd w:val="0"/>
        <w:spacing w:line="240" w:lineRule="auto"/>
        <w:textAlignment w:val="baseline"/>
        <w:rPr>
          <w:bCs/>
          <w:iCs/>
        </w:rPr>
      </w:pPr>
      <w:r>
        <w:t>Der EWSA</w:t>
      </w:r>
    </w:p>
    <w:p w:rsidRPr="00A5001B" w:rsidR="00A5001B" w:rsidP="00A5001B" w:rsidRDefault="00A5001B" w14:paraId="676B15E7" w14:textId="77777777">
      <w:pPr>
        <w:overflowPunct w:val="0"/>
        <w:autoSpaceDE w:val="0"/>
        <w:autoSpaceDN w:val="0"/>
        <w:adjustRightInd w:val="0"/>
        <w:spacing w:line="240" w:lineRule="auto"/>
        <w:textAlignment w:val="baseline"/>
        <w:rPr>
          <w:bCs/>
          <w:iCs/>
          <w:lang w:val="en-GB"/>
        </w:rPr>
      </w:pPr>
    </w:p>
    <w:p w:rsidRPr="00901CA1" w:rsidR="00A5001B" w:rsidP="00536180" w:rsidRDefault="00A5001B" w14:paraId="12341F34" w14:textId="77777777">
      <w:pPr>
        <w:pStyle w:val="ListParagraph"/>
        <w:numPr>
          <w:ilvl w:val="0"/>
          <w:numId w:val="56"/>
        </w:numPr>
        <w:overflowPunct w:val="0"/>
        <w:autoSpaceDE w:val="0"/>
        <w:autoSpaceDN w:val="0"/>
        <w:adjustRightInd w:val="0"/>
        <w:ind w:left="567" w:hanging="567"/>
        <w:textAlignment w:val="baseline"/>
        <w:outlineLvl w:val="1"/>
        <w:rPr>
          <w:szCs w:val="20"/>
        </w:rPr>
      </w:pPr>
      <w:r>
        <w:t xml:space="preserve">betont, dass in Bezug auf den europäischen Grünen Deal, die Verpflichtungen zur nachhaltigen Entwicklung, die Kreislaufwirtschaft und umfassendere Klima- und Biodiversitätsziele </w:t>
      </w:r>
      <w:r>
        <w:rPr>
          <w:b/>
        </w:rPr>
        <w:t>Kohärenz</w:t>
      </w:r>
      <w:r>
        <w:t xml:space="preserve"> hergestellt werden muss. Eine </w:t>
      </w:r>
      <w:r>
        <w:rPr>
          <w:b/>
        </w:rPr>
        <w:t>solide Bioökonomie wird die Fortschritte bei der Kreislaufwirtschaft ergänzen und ein wettbewerbsfähiges Wachstum innerhalb der Belastungsgrenzen unseres Planeten</w:t>
      </w:r>
      <w:r>
        <w:t xml:space="preserve"> im Einklang mit der Nachhaltigkeit </w:t>
      </w:r>
      <w:r>
        <w:rPr>
          <w:b/>
        </w:rPr>
        <w:t>ermöglichen</w:t>
      </w:r>
      <w:r>
        <w:t>;</w:t>
      </w:r>
    </w:p>
    <w:p w:rsidRPr="00CA050B" w:rsidR="00A5001B" w:rsidP="00536180" w:rsidRDefault="00A5001B" w14:paraId="6568C9CA" w14:textId="77777777">
      <w:pPr>
        <w:pStyle w:val="ListParagraph"/>
        <w:numPr>
          <w:ilvl w:val="0"/>
          <w:numId w:val="56"/>
        </w:numPr>
        <w:overflowPunct w:val="0"/>
        <w:autoSpaceDE w:val="0"/>
        <w:autoSpaceDN w:val="0"/>
        <w:adjustRightInd w:val="0"/>
        <w:ind w:left="567" w:hanging="567"/>
        <w:textAlignment w:val="baseline"/>
        <w:outlineLvl w:val="1"/>
        <w:rPr>
          <w:szCs w:val="20"/>
        </w:rPr>
      </w:pPr>
      <w:r>
        <w:t xml:space="preserve">ist der Ansicht, dass die </w:t>
      </w:r>
      <w:r>
        <w:rPr>
          <w:b/>
        </w:rPr>
        <w:t>Chance für die EU, eine globale Führungsrolle zu übernehmen</w:t>
      </w:r>
      <w:r>
        <w:t xml:space="preserve">, mit einer sehr ambitionierten und kohärenten Bioökonomie-Strategie genutzt werden sollte. Es sollten möglichst viele gut bezahlte nachhaltige Arbeitsplätze, auch in ländlichen und abgelegenen Regionen, geschaffen werden. </w:t>
      </w:r>
      <w:r>
        <w:rPr>
          <w:b/>
        </w:rPr>
        <w:t>Die vorhandenen Technologien</w:t>
      </w:r>
      <w:r>
        <w:t xml:space="preserve"> können genutzt werden, um dringend benötigte Produkte und Dienstleistungen auf den Markt zu bringen und so </w:t>
      </w:r>
      <w:r>
        <w:rPr>
          <w:b/>
        </w:rPr>
        <w:t>Innovationen zu fördern</w:t>
      </w:r>
      <w:r>
        <w:t xml:space="preserve">, unterstützt durch ein </w:t>
      </w:r>
      <w:r>
        <w:rPr>
          <w:b/>
        </w:rPr>
        <w:t>starkes und miteinander verknüpftes Legislativpaket zur Kreislaufwirtschaft</w:t>
      </w:r>
      <w:r>
        <w:t>;</w:t>
      </w:r>
    </w:p>
    <w:p w:rsidRPr="00A5001B" w:rsidR="00A5001B" w:rsidP="00536180" w:rsidRDefault="00A5001B" w14:paraId="561DCCAF" w14:textId="77777777">
      <w:pPr>
        <w:numPr>
          <w:ilvl w:val="0"/>
          <w:numId w:val="56"/>
        </w:numPr>
        <w:overflowPunct w:val="0"/>
        <w:autoSpaceDE w:val="0"/>
        <w:autoSpaceDN w:val="0"/>
        <w:adjustRightInd w:val="0"/>
        <w:ind w:left="567" w:hanging="567"/>
        <w:textAlignment w:val="baseline"/>
        <w:outlineLvl w:val="1"/>
        <w:rPr>
          <w:szCs w:val="20"/>
        </w:rPr>
      </w:pPr>
      <w:r>
        <w:rPr>
          <w:b/>
        </w:rPr>
        <w:t>ist der Auffassung, dass die EU eine klare Definition der Bioökonomie braucht</w:t>
      </w:r>
      <w:r>
        <w:t>, um ihre Verbindung zur Kreislaufwirtschaft und ihr Potenzial als Instrument zur Verwirklichung der nachhaltigen Entwicklung ausdrücklich hervorzuheben.</w:t>
      </w:r>
    </w:p>
    <w:p w:rsidRPr="00A5001B" w:rsidR="00A5001B" w:rsidP="00A5001B" w:rsidRDefault="00A5001B" w14:paraId="1815FE51" w14:textId="77777777">
      <w:pPr>
        <w:overflowPunct w:val="0"/>
        <w:autoSpaceDE w:val="0"/>
        <w:autoSpaceDN w:val="0"/>
        <w:adjustRightInd w:val="0"/>
        <w:spacing w:line="240" w:lineRule="auto"/>
        <w:textAlignment w:val="baseline"/>
        <w:rPr>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536180" w:rsidR="00A5001B" w:rsidTr="00F324F7" w14:paraId="33441159" w14:textId="77777777">
        <w:tc>
          <w:tcPr>
            <w:tcW w:w="1634" w:type="dxa"/>
          </w:tcPr>
          <w:p w:rsidRPr="00536180" w:rsidR="00A5001B" w:rsidP="000F216A" w:rsidRDefault="00A5001B" w14:paraId="1ECA2A8A" w14:textId="77777777">
            <w:pPr>
              <w:overflowPunct w:val="0"/>
              <w:autoSpaceDE w:val="0"/>
              <w:autoSpaceDN w:val="0"/>
              <w:adjustRightInd w:val="0"/>
              <w:spacing w:line="240" w:lineRule="auto"/>
              <w:ind w:left="709" w:hanging="677"/>
              <w:textAlignment w:val="baseline"/>
              <w:rPr>
                <w:i/>
                <w:sz w:val="22"/>
                <w:szCs w:val="22"/>
              </w:rPr>
            </w:pPr>
            <w:r w:rsidRPr="00536180">
              <w:rPr>
                <w:b/>
                <w:i/>
                <w:sz w:val="22"/>
                <w:szCs w:val="22"/>
              </w:rPr>
              <w:t>Kontakt</w:t>
            </w:r>
          </w:p>
        </w:tc>
        <w:tc>
          <w:tcPr>
            <w:tcW w:w="5670" w:type="dxa"/>
          </w:tcPr>
          <w:p w:rsidRPr="00536180" w:rsidR="00A5001B" w:rsidP="000F216A" w:rsidRDefault="00A5001B" w14:paraId="4CCEC40D" w14:textId="49E23F27">
            <w:pPr>
              <w:overflowPunct w:val="0"/>
              <w:autoSpaceDE w:val="0"/>
              <w:autoSpaceDN w:val="0"/>
              <w:adjustRightInd w:val="0"/>
              <w:spacing w:line="240" w:lineRule="auto"/>
              <w:ind w:left="709" w:hanging="677"/>
              <w:textAlignment w:val="baseline"/>
              <w:rPr>
                <w:i/>
                <w:sz w:val="22"/>
                <w:szCs w:val="22"/>
              </w:rPr>
            </w:pPr>
            <w:r w:rsidRPr="00536180">
              <w:rPr>
                <w:sz w:val="22"/>
                <w:szCs w:val="22"/>
              </w:rPr>
              <w:t xml:space="preserve">Caroline </w:t>
            </w:r>
            <w:proofErr w:type="spellStart"/>
            <w:r w:rsidRPr="00536180">
              <w:rPr>
                <w:sz w:val="22"/>
                <w:szCs w:val="22"/>
              </w:rPr>
              <w:t>Verhelst</w:t>
            </w:r>
            <w:proofErr w:type="spellEnd"/>
          </w:p>
        </w:tc>
      </w:tr>
      <w:tr w:rsidRPr="00536180" w:rsidR="00A5001B" w:rsidTr="00F324F7" w14:paraId="1067EBD6" w14:textId="77777777">
        <w:tc>
          <w:tcPr>
            <w:tcW w:w="1634" w:type="dxa"/>
          </w:tcPr>
          <w:p w:rsidRPr="00536180" w:rsidR="00A5001B" w:rsidP="000F216A" w:rsidRDefault="00A5001B" w14:paraId="555A4904" w14:textId="77777777">
            <w:pPr>
              <w:overflowPunct w:val="0"/>
              <w:autoSpaceDE w:val="0"/>
              <w:autoSpaceDN w:val="0"/>
              <w:adjustRightInd w:val="0"/>
              <w:spacing w:line="240" w:lineRule="auto"/>
              <w:ind w:left="709" w:hanging="677"/>
              <w:textAlignment w:val="baseline"/>
              <w:rPr>
                <w:i/>
                <w:sz w:val="22"/>
                <w:szCs w:val="22"/>
              </w:rPr>
            </w:pPr>
            <w:r w:rsidRPr="00536180">
              <w:rPr>
                <w:i/>
                <w:sz w:val="22"/>
                <w:szCs w:val="22"/>
              </w:rPr>
              <w:t>Tel.</w:t>
            </w:r>
          </w:p>
        </w:tc>
        <w:tc>
          <w:tcPr>
            <w:tcW w:w="5670" w:type="dxa"/>
          </w:tcPr>
          <w:p w:rsidRPr="00536180" w:rsidR="00A5001B" w:rsidP="000F216A" w:rsidRDefault="00A5001B" w14:paraId="03AFF573" w14:textId="77777777">
            <w:pPr>
              <w:overflowPunct w:val="0"/>
              <w:autoSpaceDE w:val="0"/>
              <w:autoSpaceDN w:val="0"/>
              <w:adjustRightInd w:val="0"/>
              <w:spacing w:line="240" w:lineRule="auto"/>
              <w:ind w:left="709" w:hanging="677"/>
              <w:textAlignment w:val="baseline"/>
              <w:rPr>
                <w:i/>
                <w:iCs/>
                <w:sz w:val="22"/>
                <w:szCs w:val="22"/>
              </w:rPr>
            </w:pPr>
            <w:r w:rsidRPr="00536180">
              <w:rPr>
                <w:i/>
                <w:sz w:val="22"/>
                <w:szCs w:val="22"/>
              </w:rPr>
              <w:t>+32 25469497</w:t>
            </w:r>
          </w:p>
        </w:tc>
      </w:tr>
      <w:tr w:rsidRPr="00536180" w:rsidR="00A5001B" w:rsidTr="00F324F7" w14:paraId="2AE4390F" w14:textId="77777777">
        <w:tc>
          <w:tcPr>
            <w:tcW w:w="1634" w:type="dxa"/>
          </w:tcPr>
          <w:p w:rsidRPr="00536180" w:rsidR="00A5001B" w:rsidP="000F216A" w:rsidRDefault="00CA050B" w14:paraId="7DCF26E9" w14:textId="4D062FDF">
            <w:pPr>
              <w:overflowPunct w:val="0"/>
              <w:autoSpaceDE w:val="0"/>
              <w:autoSpaceDN w:val="0"/>
              <w:adjustRightInd w:val="0"/>
              <w:spacing w:line="240" w:lineRule="auto"/>
              <w:ind w:left="709" w:hanging="677"/>
              <w:textAlignment w:val="baseline"/>
              <w:rPr>
                <w:i/>
                <w:sz w:val="22"/>
                <w:szCs w:val="22"/>
              </w:rPr>
            </w:pPr>
            <w:r w:rsidRPr="00536180">
              <w:rPr>
                <w:i/>
                <w:sz w:val="22"/>
                <w:szCs w:val="22"/>
              </w:rPr>
              <w:t>E-Mail</w:t>
            </w:r>
          </w:p>
        </w:tc>
        <w:tc>
          <w:tcPr>
            <w:tcW w:w="5670" w:type="dxa"/>
          </w:tcPr>
          <w:p w:rsidRPr="00536180" w:rsidR="00A5001B" w:rsidP="000F216A" w:rsidRDefault="00486D53" w14:paraId="0F14C55D" w14:textId="5EFCBBCE">
            <w:pPr>
              <w:overflowPunct w:val="0"/>
              <w:autoSpaceDE w:val="0"/>
              <w:autoSpaceDN w:val="0"/>
              <w:adjustRightInd w:val="0"/>
              <w:spacing w:line="240" w:lineRule="auto"/>
              <w:ind w:left="709" w:hanging="677"/>
              <w:textAlignment w:val="baseline"/>
              <w:rPr>
                <w:i/>
                <w:iCs/>
                <w:color w:val="0000FF"/>
                <w:sz w:val="22"/>
                <w:szCs w:val="22"/>
                <w:u w:val="single"/>
              </w:rPr>
            </w:pPr>
            <w:hyperlink w:history="1" r:id="rId64">
              <w:r w:rsidRPr="00536180" w:rsidR="00A5001B">
                <w:rPr>
                  <w:i/>
                  <w:color w:val="0000FF"/>
                  <w:sz w:val="22"/>
                  <w:szCs w:val="22"/>
                  <w:u w:val="single"/>
                </w:rPr>
                <w:t>Caroline.Verhelst@eesc.europa.eu</w:t>
              </w:r>
            </w:hyperlink>
          </w:p>
        </w:tc>
      </w:tr>
    </w:tbl>
    <w:p w:rsidR="007F5784" w:rsidRDefault="007F5784" w14:paraId="715DB2BD" w14:textId="00DBF93C">
      <w:pPr>
        <w:spacing w:after="160" w:line="259" w:lineRule="auto"/>
        <w:jc w:val="left"/>
      </w:pPr>
      <w:r>
        <w:br w:type="page"/>
      </w:r>
    </w:p>
    <w:p w:rsidR="007F5784" w:rsidRDefault="007F5784" w14:paraId="14026A78" w14:textId="4FAE1588">
      <w:pPr>
        <w:pStyle w:val="Heading1"/>
      </w:pPr>
      <w:bookmarkStart w:name="_Toc182920366" w:id="13"/>
      <w:r>
        <w:lastRenderedPageBreak/>
        <w:t>AUẞENBEZIEHUNGEN</w:t>
      </w:r>
      <w:bookmarkEnd w:id="13"/>
    </w:p>
    <w:p w:rsidR="007F5784" w:rsidP="007F5784" w:rsidRDefault="007F5784" w14:paraId="3BBB3E68" w14:textId="77777777"/>
    <w:p w:rsidRPr="00634C99" w:rsidR="00634C99" w:rsidP="00634C99" w:rsidRDefault="00486D53" w14:paraId="0A85E2FE" w14:textId="74FB4ADC">
      <w:pPr>
        <w:widowControl w:val="0"/>
        <w:numPr>
          <w:ilvl w:val="0"/>
          <w:numId w:val="8"/>
        </w:numPr>
        <w:overflowPunct w:val="0"/>
        <w:autoSpaceDE w:val="0"/>
        <w:autoSpaceDN w:val="0"/>
        <w:adjustRightInd w:val="0"/>
        <w:ind w:hanging="567"/>
        <w:textAlignment w:val="baseline"/>
        <w:rPr>
          <w:b/>
          <w:bCs/>
          <w:i/>
          <w:iCs/>
          <w:sz w:val="28"/>
          <w:szCs w:val="28"/>
        </w:rPr>
      </w:pPr>
      <w:hyperlink w:history="1" r:id="rId65">
        <w:r w:rsidR="00276FC9">
          <w:rPr>
            <w:b/>
            <w:i/>
            <w:color w:val="0000FF"/>
            <w:sz w:val="28"/>
            <w:u w:val="single"/>
          </w:rPr>
          <w:t>Überarbeitung des Visa-Aussetzungsmechanismus</w:t>
        </w:r>
      </w:hyperlink>
    </w:p>
    <w:p w:rsidRPr="000F216A" w:rsidR="00634C99" w:rsidP="000F216A" w:rsidRDefault="00634C99" w14:paraId="4D61D043" w14:textId="77777777"/>
    <w:tbl>
      <w:tblPr>
        <w:tblStyle w:val="TableGrid18"/>
        <w:tblW w:w="97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7637"/>
      </w:tblGrid>
      <w:tr w:rsidRPr="00536180" w:rsidR="00634C99" w:rsidTr="00DB536C" w14:paraId="41EC2BDA" w14:textId="77777777">
        <w:tc>
          <w:tcPr>
            <w:tcW w:w="2110" w:type="dxa"/>
          </w:tcPr>
          <w:p w:rsidRPr="00536180" w:rsidR="00634C99" w:rsidP="00634C99" w:rsidRDefault="00634C99" w14:paraId="3C7F77B3"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Berichterstatter</w:t>
            </w:r>
          </w:p>
        </w:tc>
        <w:tc>
          <w:tcPr>
            <w:tcW w:w="7637" w:type="dxa"/>
          </w:tcPr>
          <w:p w:rsidRPr="00536180" w:rsidR="00634C99" w:rsidP="00634C99" w:rsidRDefault="00634C99" w14:paraId="011FF44F" w14:textId="6773C3F2">
            <w:pPr>
              <w:tabs>
                <w:tab w:val="center" w:pos="284"/>
              </w:tabs>
              <w:overflowPunct w:val="0"/>
              <w:autoSpaceDE w:val="0"/>
              <w:autoSpaceDN w:val="0"/>
              <w:adjustRightInd w:val="0"/>
              <w:ind w:left="266" w:hanging="266"/>
              <w:textAlignment w:val="baseline"/>
              <w:rPr>
                <w:sz w:val="22"/>
                <w:szCs w:val="22"/>
              </w:rPr>
            </w:pPr>
            <w:proofErr w:type="spellStart"/>
            <w:r w:rsidRPr="00536180">
              <w:rPr>
                <w:sz w:val="22"/>
                <w:szCs w:val="22"/>
              </w:rPr>
              <w:t>Ionuț</w:t>
            </w:r>
            <w:proofErr w:type="spellEnd"/>
            <w:r w:rsidRPr="00536180">
              <w:rPr>
                <w:sz w:val="22"/>
                <w:szCs w:val="22"/>
              </w:rPr>
              <w:t xml:space="preserve"> SIBIAN (Gruppe Organisationen der Zivilgesellschaft – RO)</w:t>
            </w:r>
          </w:p>
        </w:tc>
      </w:tr>
      <w:tr w:rsidRPr="00536180" w:rsidR="00634C99" w:rsidTr="00DB536C" w14:paraId="7068400F" w14:textId="77777777">
        <w:tc>
          <w:tcPr>
            <w:tcW w:w="9747" w:type="dxa"/>
            <w:gridSpan w:val="2"/>
          </w:tcPr>
          <w:p w:rsidRPr="00536180" w:rsidR="00634C99" w:rsidP="00634C99" w:rsidRDefault="00634C99" w14:paraId="1C5B2A08"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36180" w:rsidR="00634C99" w:rsidTr="00DB536C" w14:paraId="5AC15554" w14:textId="77777777">
        <w:tc>
          <w:tcPr>
            <w:tcW w:w="2110" w:type="dxa"/>
          </w:tcPr>
          <w:p w:rsidRPr="00536180" w:rsidR="00634C99" w:rsidP="00634C99" w:rsidRDefault="00634C99" w14:paraId="6A6E6067"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Referenzdokumente</w:t>
            </w:r>
          </w:p>
        </w:tc>
        <w:tc>
          <w:tcPr>
            <w:tcW w:w="7637" w:type="dxa"/>
          </w:tcPr>
          <w:p w:rsidRPr="00536180" w:rsidR="0017486C" w:rsidP="00634C99" w:rsidRDefault="0017486C" w14:paraId="10052AB7" w14:textId="1CBD42CB">
            <w:pPr>
              <w:tabs>
                <w:tab w:val="center" w:pos="284"/>
              </w:tabs>
              <w:overflowPunct w:val="0"/>
              <w:autoSpaceDE w:val="0"/>
              <w:autoSpaceDN w:val="0"/>
              <w:adjustRightInd w:val="0"/>
              <w:ind w:left="266" w:hanging="266"/>
              <w:textAlignment w:val="baseline"/>
              <w:rPr>
                <w:sz w:val="22"/>
                <w:szCs w:val="22"/>
              </w:rPr>
            </w:pPr>
            <w:r w:rsidRPr="00536180">
              <w:rPr>
                <w:sz w:val="22"/>
                <w:szCs w:val="22"/>
              </w:rPr>
              <w:t>Initiativstellungnahme</w:t>
            </w:r>
          </w:p>
          <w:p w:rsidRPr="00536180" w:rsidR="00634C99" w:rsidP="00634C99" w:rsidRDefault="00634C99" w14:paraId="2775516C" w14:textId="58F37CBC">
            <w:pPr>
              <w:tabs>
                <w:tab w:val="center" w:pos="284"/>
              </w:tabs>
              <w:overflowPunct w:val="0"/>
              <w:autoSpaceDE w:val="0"/>
              <w:autoSpaceDN w:val="0"/>
              <w:adjustRightInd w:val="0"/>
              <w:ind w:left="266" w:hanging="266"/>
              <w:textAlignment w:val="baseline"/>
              <w:rPr>
                <w:sz w:val="22"/>
                <w:szCs w:val="22"/>
              </w:rPr>
            </w:pPr>
            <w:r w:rsidRPr="00536180">
              <w:rPr>
                <w:sz w:val="22"/>
                <w:szCs w:val="22"/>
              </w:rPr>
              <w:t>EESC-2024-01460-00-00-AC</w:t>
            </w:r>
          </w:p>
        </w:tc>
      </w:tr>
    </w:tbl>
    <w:p w:rsidR="00DB536C" w:rsidP="00634C99" w:rsidRDefault="00DB536C" w14:paraId="4C4AE770" w14:textId="77777777">
      <w:pPr>
        <w:keepNext/>
        <w:keepLines/>
        <w:tabs>
          <w:tab w:val="center" w:pos="284"/>
        </w:tabs>
        <w:overflowPunct w:val="0"/>
        <w:autoSpaceDE w:val="0"/>
        <w:autoSpaceDN w:val="0"/>
        <w:adjustRightInd w:val="0"/>
        <w:ind w:left="266" w:hanging="266"/>
        <w:textAlignment w:val="baseline"/>
        <w:rPr>
          <w:b/>
        </w:rPr>
      </w:pPr>
    </w:p>
    <w:p w:rsidRPr="00634C99" w:rsidR="00634C99" w:rsidP="00634C99" w:rsidRDefault="00634C99" w14:paraId="5217B4F5" w14:textId="58303415">
      <w:pPr>
        <w:keepNext/>
        <w:keepLines/>
        <w:tabs>
          <w:tab w:val="center" w:pos="284"/>
        </w:tabs>
        <w:overflowPunct w:val="0"/>
        <w:autoSpaceDE w:val="0"/>
        <w:autoSpaceDN w:val="0"/>
        <w:adjustRightInd w:val="0"/>
        <w:ind w:left="266" w:hanging="266"/>
        <w:textAlignment w:val="baseline"/>
        <w:rPr>
          <w:b/>
        </w:rPr>
      </w:pPr>
      <w:r>
        <w:rPr>
          <w:b/>
        </w:rPr>
        <w:t xml:space="preserve">Kernaussagen </w:t>
      </w:r>
    </w:p>
    <w:p w:rsidRPr="00DB536C" w:rsidR="00634C99" w:rsidP="00634C99" w:rsidRDefault="00634C99" w14:paraId="7286027A" w14:textId="77777777">
      <w:pPr>
        <w:keepNext/>
        <w:keepLines/>
        <w:tabs>
          <w:tab w:val="center" w:pos="284"/>
        </w:tabs>
        <w:overflowPunct w:val="0"/>
        <w:autoSpaceDE w:val="0"/>
        <w:autoSpaceDN w:val="0"/>
        <w:adjustRightInd w:val="0"/>
        <w:ind w:left="266" w:hanging="266"/>
        <w:textAlignment w:val="baseline"/>
        <w:rPr>
          <w:b/>
          <w:lang w:val="en-GB"/>
        </w:rPr>
      </w:pPr>
    </w:p>
    <w:p w:rsidRPr="00DB536C" w:rsidR="00634C99" w:rsidP="00634C99" w:rsidRDefault="00634C99" w14:paraId="1A19FC9B" w14:textId="77777777">
      <w:pPr>
        <w:overflowPunct w:val="0"/>
        <w:autoSpaceDE w:val="0"/>
        <w:autoSpaceDN w:val="0"/>
        <w:adjustRightInd w:val="0"/>
        <w:textAlignment w:val="baseline"/>
        <w:rPr>
          <w:bCs/>
          <w:iCs/>
        </w:rPr>
      </w:pPr>
      <w:r w:rsidRPr="00DB536C">
        <w:t>Der EWSA</w:t>
      </w:r>
    </w:p>
    <w:p w:rsidRPr="00DB536C" w:rsidR="00634C99" w:rsidP="00634C99" w:rsidRDefault="00634C99" w14:paraId="71FC8A91" w14:textId="77777777">
      <w:pPr>
        <w:overflowPunct w:val="0"/>
        <w:autoSpaceDE w:val="0"/>
        <w:autoSpaceDN w:val="0"/>
        <w:adjustRightInd w:val="0"/>
        <w:textAlignment w:val="baseline"/>
        <w:rPr>
          <w:bCs/>
          <w:iCs/>
          <w:lang w:val="en-GB"/>
        </w:rPr>
      </w:pPr>
    </w:p>
    <w:p w:rsidRPr="00634C99" w:rsidR="00634C99" w:rsidP="00536180" w:rsidRDefault="00634C99" w14:paraId="005CC8BA" w14:textId="77777777">
      <w:pPr>
        <w:numPr>
          <w:ilvl w:val="0"/>
          <w:numId w:val="57"/>
        </w:numPr>
        <w:overflowPunct w:val="0"/>
        <w:autoSpaceDE w:val="0"/>
        <w:autoSpaceDN w:val="0"/>
        <w:adjustRightInd w:val="0"/>
        <w:ind w:left="567" w:hanging="567"/>
        <w:textAlignment w:val="baseline"/>
        <w:rPr>
          <w:bCs/>
          <w:iCs/>
        </w:rPr>
      </w:pPr>
      <w:r>
        <w:t>erkennt die Vorteile des visumfreien Reiseverkehrs für die Bürgerinnen und Bürger beider Seiten entsprechender Abkommen sowie die positiven Auswirkungen auf die weitere Stärkung der Beziehungen der EU zu ihren Partnern an. Die Visumpolitik der EU sollte ein Instrument bleiben, um persönliche Kontakte, Tourismus und Geschäftsbeziehungen zu erleichtern und dabei Sicherheitsrisiken für die EU zu verhindern;</w:t>
      </w:r>
    </w:p>
    <w:p w:rsidRPr="00634C99" w:rsidR="00634C99" w:rsidP="00536180" w:rsidRDefault="00634C99" w14:paraId="028D385A" w14:textId="77777777">
      <w:pPr>
        <w:numPr>
          <w:ilvl w:val="0"/>
          <w:numId w:val="57"/>
        </w:numPr>
        <w:overflowPunct w:val="0"/>
        <w:autoSpaceDE w:val="0"/>
        <w:autoSpaceDN w:val="0"/>
        <w:adjustRightInd w:val="0"/>
        <w:ind w:left="567" w:hanging="567"/>
        <w:textAlignment w:val="baseline"/>
        <w:rPr>
          <w:bCs/>
          <w:iCs/>
        </w:rPr>
      </w:pPr>
      <w:r>
        <w:t>nimmt zur Kenntnis, dass die jüngsten geopolitischen Ereignisse massive Auswirkungen auf die Sicherheit und die Außengrenzen der EU haben; schließt sich daher der Auffassung an, dass die EU künftig umfassend darauf vorbereitet sein sollte, rasch auf verschiedenste potenzielle Sicherheitsrisiken, einschließlich hybrider Bedrohungen, zu reagieren;</w:t>
      </w:r>
    </w:p>
    <w:p w:rsidRPr="00634C99" w:rsidR="00634C99" w:rsidP="00536180" w:rsidRDefault="00634C99" w14:paraId="7EB791AF" w14:textId="77777777">
      <w:pPr>
        <w:numPr>
          <w:ilvl w:val="0"/>
          <w:numId w:val="57"/>
        </w:numPr>
        <w:overflowPunct w:val="0"/>
        <w:autoSpaceDE w:val="0"/>
        <w:autoSpaceDN w:val="0"/>
        <w:adjustRightInd w:val="0"/>
        <w:ind w:left="567" w:hanging="567"/>
        <w:textAlignment w:val="baseline"/>
        <w:rPr>
          <w:bCs/>
          <w:iCs/>
        </w:rPr>
      </w:pPr>
      <w:r>
        <w:t>hält es für geboten, eindeutige Kriterien für die Auslösung des Mechanismus festzulegen und gleichzeitig sicherzustellen, dass diese Kriterien flexibel genug sind, um gegebenenfalls eine effiziente und rasche Anwendung zu ermöglichen;</w:t>
      </w:r>
    </w:p>
    <w:p w:rsidRPr="00634C99" w:rsidR="00634C99" w:rsidP="00536180" w:rsidRDefault="00634C99" w14:paraId="635CEF9B" w14:textId="77777777">
      <w:pPr>
        <w:numPr>
          <w:ilvl w:val="0"/>
          <w:numId w:val="57"/>
        </w:numPr>
        <w:overflowPunct w:val="0"/>
        <w:autoSpaceDE w:val="0"/>
        <w:autoSpaceDN w:val="0"/>
        <w:adjustRightInd w:val="0"/>
        <w:ind w:left="567" w:hanging="567"/>
        <w:textAlignment w:val="baseline"/>
        <w:rPr>
          <w:bCs/>
          <w:iCs/>
        </w:rPr>
      </w:pPr>
      <w:r>
        <w:t>empfiehlt der Kommission, bei einer Aussetzung der Befreiung von der Visumpflicht Notwendigkeit, Verhältnismäßigkeit und Folgen einzuschätzen. Dabei sollten die Außenbeziehungen der Union und ihrer Mitgliedstaaten zu dem betreffenden Drittland insgesamt, die Angemessenheit der Aussetzung zur Behebung der Lage und die Auswirkungen einer Aussetzung auf die Rechte der Staatsangehörigen des betreffenden Landes berücksichtigt werden;</w:t>
      </w:r>
    </w:p>
    <w:p w:rsidRPr="00634C99" w:rsidR="00634C99" w:rsidP="00536180" w:rsidRDefault="00634C99" w14:paraId="7F60EFD6" w14:textId="77777777">
      <w:pPr>
        <w:numPr>
          <w:ilvl w:val="0"/>
          <w:numId w:val="57"/>
        </w:numPr>
        <w:overflowPunct w:val="0"/>
        <w:autoSpaceDE w:val="0"/>
        <w:autoSpaceDN w:val="0"/>
        <w:adjustRightInd w:val="0"/>
        <w:ind w:left="567" w:hanging="567"/>
        <w:textAlignment w:val="baseline"/>
        <w:rPr>
          <w:bCs/>
          <w:iCs/>
        </w:rPr>
      </w:pPr>
      <w:r>
        <w:t>ist der Ansicht, dass den Mobilitätsbedürfnissen von Menschenrechtsaktivisten Rechnung getragen werden sollte, insbesondere wenn sich die Menschenrechtslage in dem betreffenden Drittland verschlechtert. Auch sollten potenzielle Risiken für ihre Arbeit und persönliche Sicherheit berücksichtigt werden, die durch eine Aktivierung des Aussetzungsmechanismus für das entsprechende Land entstehen könnten;</w:t>
      </w:r>
    </w:p>
    <w:p w:rsidRPr="00634C99" w:rsidR="00634C99" w:rsidP="00536180" w:rsidRDefault="00634C99" w14:paraId="44DDDF7A" w14:textId="77777777">
      <w:pPr>
        <w:numPr>
          <w:ilvl w:val="0"/>
          <w:numId w:val="57"/>
        </w:numPr>
        <w:overflowPunct w:val="0"/>
        <w:autoSpaceDE w:val="0"/>
        <w:autoSpaceDN w:val="0"/>
        <w:adjustRightInd w:val="0"/>
        <w:ind w:left="567" w:hanging="567"/>
        <w:textAlignment w:val="baseline"/>
        <w:rPr>
          <w:bCs/>
          <w:iCs/>
        </w:rPr>
      </w:pPr>
      <w:r>
        <w:t>ist der Ansicht, dass Staatsbürgerschaftsregelungen für Investoren in von der Visumpflicht befreiten Drittländern eine Gefahr für die öffentliche Ordnung und die innere Sicherheit der Mitgliedstaaten darstellen. Es sollte möglich sein, die Befreiung von der Visumpflicht für Drittländer auszusetzen, die sich für die Anwendung einer solchen Staatsbürgerschaftsregelung für Investoren entscheiden, nach der die Staatsbürgerschaft ohne echte Verbindung zu dem betreffenden Land verliehen wird.</w:t>
      </w:r>
    </w:p>
    <w:p w:rsidRPr="00536180" w:rsidR="00634C99" w:rsidP="00D15E7A" w:rsidRDefault="00634C99" w14:paraId="0ED3132E" w14:textId="77777777">
      <w:pPr>
        <w:widowControl w:val="0"/>
        <w:overflowPunct w:val="0"/>
        <w:autoSpaceDE w:val="0"/>
        <w:autoSpaceDN w:val="0"/>
        <w:adjustRightInd w:val="0"/>
        <w:ind w:left="426" w:hanging="426"/>
        <w:textAlignment w:val="baseline"/>
        <w:rPr>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36180" w:rsidR="00634C99" w:rsidTr="00F324F7" w14:paraId="0A94CCBE" w14:textId="77777777">
        <w:tc>
          <w:tcPr>
            <w:tcW w:w="1418" w:type="dxa"/>
          </w:tcPr>
          <w:p w:rsidRPr="00536180" w:rsidR="00634C99" w:rsidP="00634C99" w:rsidRDefault="00634C99" w14:paraId="5293869B" w14:textId="77777777">
            <w:pPr>
              <w:overflowPunct w:val="0"/>
              <w:autoSpaceDE w:val="0"/>
              <w:autoSpaceDN w:val="0"/>
              <w:adjustRightInd w:val="0"/>
              <w:spacing w:line="240" w:lineRule="auto"/>
              <w:textAlignment w:val="baseline"/>
              <w:rPr>
                <w:i/>
                <w:sz w:val="22"/>
                <w:szCs w:val="22"/>
              </w:rPr>
            </w:pPr>
            <w:r w:rsidRPr="00536180">
              <w:rPr>
                <w:b/>
                <w:i/>
                <w:sz w:val="22"/>
                <w:szCs w:val="22"/>
              </w:rPr>
              <w:t>Kontakt</w:t>
            </w:r>
          </w:p>
        </w:tc>
        <w:tc>
          <w:tcPr>
            <w:tcW w:w="5670" w:type="dxa"/>
          </w:tcPr>
          <w:p w:rsidRPr="00536180" w:rsidR="00634C99" w:rsidP="00634C99" w:rsidRDefault="00634C99" w14:paraId="009FB94F" w14:textId="77777777">
            <w:pPr>
              <w:overflowPunct w:val="0"/>
              <w:autoSpaceDE w:val="0"/>
              <w:autoSpaceDN w:val="0"/>
              <w:adjustRightInd w:val="0"/>
              <w:spacing w:line="240" w:lineRule="auto"/>
              <w:textAlignment w:val="baseline"/>
              <w:rPr>
                <w:i/>
                <w:sz w:val="22"/>
                <w:szCs w:val="22"/>
              </w:rPr>
            </w:pPr>
            <w:r w:rsidRPr="00536180">
              <w:rPr>
                <w:i/>
                <w:sz w:val="22"/>
                <w:szCs w:val="22"/>
              </w:rPr>
              <w:t xml:space="preserve">Sabrina </w:t>
            </w:r>
            <w:proofErr w:type="spellStart"/>
            <w:r w:rsidRPr="00536180">
              <w:rPr>
                <w:i/>
                <w:sz w:val="22"/>
                <w:szCs w:val="22"/>
              </w:rPr>
              <w:t>Tesoka</w:t>
            </w:r>
            <w:proofErr w:type="spellEnd"/>
          </w:p>
        </w:tc>
      </w:tr>
      <w:tr w:rsidRPr="00536180" w:rsidR="00634C99" w:rsidTr="00F324F7" w14:paraId="45351054" w14:textId="77777777">
        <w:tc>
          <w:tcPr>
            <w:tcW w:w="1418" w:type="dxa"/>
          </w:tcPr>
          <w:p w:rsidRPr="00536180" w:rsidR="00634C99" w:rsidP="00634C99" w:rsidRDefault="00634C99" w14:paraId="097F3B9E" w14:textId="77777777">
            <w:pPr>
              <w:overflowPunct w:val="0"/>
              <w:autoSpaceDE w:val="0"/>
              <w:autoSpaceDN w:val="0"/>
              <w:adjustRightInd w:val="0"/>
              <w:spacing w:line="240" w:lineRule="auto"/>
              <w:textAlignment w:val="baseline"/>
              <w:rPr>
                <w:i/>
                <w:sz w:val="22"/>
                <w:szCs w:val="22"/>
              </w:rPr>
            </w:pPr>
            <w:r w:rsidRPr="00536180">
              <w:rPr>
                <w:i/>
                <w:sz w:val="22"/>
                <w:szCs w:val="22"/>
              </w:rPr>
              <w:t>Tel.</w:t>
            </w:r>
          </w:p>
        </w:tc>
        <w:tc>
          <w:tcPr>
            <w:tcW w:w="5670" w:type="dxa"/>
          </w:tcPr>
          <w:p w:rsidRPr="00536180" w:rsidR="00634C99" w:rsidP="00634C99" w:rsidRDefault="00634C99" w14:paraId="711EC9EA" w14:textId="77777777">
            <w:pPr>
              <w:overflowPunct w:val="0"/>
              <w:autoSpaceDE w:val="0"/>
              <w:autoSpaceDN w:val="0"/>
              <w:adjustRightInd w:val="0"/>
              <w:spacing w:line="240" w:lineRule="auto"/>
              <w:textAlignment w:val="baseline"/>
              <w:rPr>
                <w:i/>
                <w:sz w:val="22"/>
                <w:szCs w:val="22"/>
              </w:rPr>
            </w:pPr>
            <w:r w:rsidRPr="00536180">
              <w:rPr>
                <w:i/>
                <w:sz w:val="22"/>
                <w:szCs w:val="22"/>
              </w:rPr>
              <w:t>+32 25469552</w:t>
            </w:r>
          </w:p>
        </w:tc>
      </w:tr>
      <w:tr w:rsidRPr="00536180" w:rsidR="00634C99" w:rsidTr="00F324F7" w14:paraId="6295E192" w14:textId="77777777">
        <w:tc>
          <w:tcPr>
            <w:tcW w:w="1418" w:type="dxa"/>
          </w:tcPr>
          <w:p w:rsidRPr="00536180" w:rsidR="00634C99" w:rsidP="00634C99" w:rsidRDefault="00634C99" w14:paraId="1FC0418E" w14:textId="77777777">
            <w:pPr>
              <w:overflowPunct w:val="0"/>
              <w:autoSpaceDE w:val="0"/>
              <w:autoSpaceDN w:val="0"/>
              <w:adjustRightInd w:val="0"/>
              <w:spacing w:line="240" w:lineRule="auto"/>
              <w:textAlignment w:val="baseline"/>
              <w:rPr>
                <w:i/>
                <w:sz w:val="22"/>
                <w:szCs w:val="22"/>
              </w:rPr>
            </w:pPr>
            <w:r w:rsidRPr="00536180">
              <w:rPr>
                <w:i/>
                <w:sz w:val="22"/>
                <w:szCs w:val="22"/>
              </w:rPr>
              <w:t>E-Mail</w:t>
            </w:r>
          </w:p>
        </w:tc>
        <w:tc>
          <w:tcPr>
            <w:tcW w:w="5670" w:type="dxa"/>
          </w:tcPr>
          <w:p w:rsidRPr="00536180" w:rsidR="00634C99" w:rsidP="00634C99" w:rsidRDefault="00486D53" w14:paraId="2D9FB2AA" w14:textId="27F01CD9">
            <w:pPr>
              <w:overflowPunct w:val="0"/>
              <w:autoSpaceDE w:val="0"/>
              <w:autoSpaceDN w:val="0"/>
              <w:adjustRightInd w:val="0"/>
              <w:spacing w:line="240" w:lineRule="auto"/>
              <w:textAlignment w:val="baseline"/>
              <w:rPr>
                <w:i/>
                <w:sz w:val="22"/>
                <w:szCs w:val="22"/>
              </w:rPr>
            </w:pPr>
            <w:hyperlink w:history="1" r:id="rId66">
              <w:r w:rsidRPr="00536180" w:rsidR="007E03C9">
                <w:rPr>
                  <w:i/>
                  <w:color w:val="0000FF"/>
                  <w:sz w:val="22"/>
                  <w:szCs w:val="22"/>
                  <w:u w:val="single"/>
                </w:rPr>
                <w:t>Sabrina.Tesoka@eesc.europa.eu</w:t>
              </w:r>
            </w:hyperlink>
          </w:p>
        </w:tc>
      </w:tr>
    </w:tbl>
    <w:p w:rsidR="006D2C8A" w:rsidRDefault="006D2C8A" w14:paraId="4464305F" w14:textId="35197EF9">
      <w:pPr>
        <w:spacing w:after="160" w:line="259" w:lineRule="auto"/>
        <w:jc w:val="left"/>
      </w:pPr>
      <w:r>
        <w:br w:type="page"/>
      </w:r>
    </w:p>
    <w:p w:rsidRPr="006D2C8A" w:rsidR="006D2C8A" w:rsidRDefault="006D2C8A" w14:paraId="528C73AA" w14:textId="46DE726B">
      <w:pPr>
        <w:pStyle w:val="Heading1"/>
      </w:pPr>
      <w:bookmarkStart w:name="_Toc182920367" w:id="14"/>
      <w:r>
        <w:lastRenderedPageBreak/>
        <w:t>BERATENDE KOMMISSION FÜR DEN INDUSTRIELLEN WANDEL</w:t>
      </w:r>
      <w:bookmarkEnd w:id="14"/>
    </w:p>
    <w:p w:rsidR="006D2C8A" w:rsidP="006D2C8A" w:rsidRDefault="006D2C8A" w14:paraId="713E272F" w14:textId="77777777"/>
    <w:p w:rsidRPr="00436222" w:rsidR="00436222" w:rsidP="00436222" w:rsidRDefault="00486D53" w14:paraId="4DA6BB04" w14:textId="76078C50">
      <w:pPr>
        <w:widowControl w:val="0"/>
        <w:numPr>
          <w:ilvl w:val="0"/>
          <w:numId w:val="8"/>
        </w:numPr>
        <w:overflowPunct w:val="0"/>
        <w:autoSpaceDE w:val="0"/>
        <w:autoSpaceDN w:val="0"/>
        <w:adjustRightInd w:val="0"/>
        <w:ind w:hanging="567"/>
        <w:textAlignment w:val="baseline"/>
        <w:rPr>
          <w:sz w:val="20"/>
          <w:szCs w:val="20"/>
        </w:rPr>
      </w:pPr>
      <w:hyperlink w:history="1" r:id="rId67">
        <w:r w:rsidR="00436222">
          <w:rPr>
            <w:b/>
            <w:i/>
            <w:color w:val="0000FF"/>
            <w:sz w:val="28"/>
            <w:u w:val="single"/>
          </w:rPr>
          <w:t>Die Energiewende-Dialoge – Bestandsaufnahme</w:t>
        </w:r>
      </w:hyperlink>
    </w:p>
    <w:p w:rsidRPr="000F216A" w:rsidR="00436222" w:rsidP="000F216A" w:rsidRDefault="00436222" w14:paraId="067FC0D5" w14:textId="77777777"/>
    <w:tbl>
      <w:tblPr>
        <w:tblStyle w:val="TableGrid19"/>
        <w:tblW w:w="494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7478"/>
      </w:tblGrid>
      <w:tr w:rsidRPr="00436222" w:rsidR="00436222" w:rsidTr="00DB536C" w14:paraId="2C068778" w14:textId="77777777">
        <w:tc>
          <w:tcPr>
            <w:tcW w:w="1107" w:type="pct"/>
          </w:tcPr>
          <w:p w:rsidRPr="00DB536C" w:rsidR="00436222" w:rsidP="00436222" w:rsidRDefault="00436222" w14:paraId="6E1552DD" w14:textId="77777777">
            <w:pPr>
              <w:tabs>
                <w:tab w:val="center" w:pos="284"/>
              </w:tabs>
              <w:overflowPunct w:val="0"/>
              <w:autoSpaceDE w:val="0"/>
              <w:autoSpaceDN w:val="0"/>
              <w:adjustRightInd w:val="0"/>
              <w:ind w:left="266" w:hanging="266"/>
              <w:textAlignment w:val="baseline"/>
              <w:rPr>
                <w:bCs/>
                <w:sz w:val="22"/>
                <w:szCs w:val="22"/>
              </w:rPr>
            </w:pPr>
            <w:r w:rsidRPr="00DB536C">
              <w:rPr>
                <w:b/>
                <w:sz w:val="22"/>
                <w:szCs w:val="22"/>
              </w:rPr>
              <w:t>Berichterstatter</w:t>
            </w:r>
          </w:p>
        </w:tc>
        <w:tc>
          <w:tcPr>
            <w:tcW w:w="3893" w:type="pct"/>
          </w:tcPr>
          <w:p w:rsidRPr="00DB536C" w:rsidR="00436222" w:rsidP="00436222" w:rsidRDefault="00436222" w14:paraId="4318DDEC" w14:textId="77777777">
            <w:pPr>
              <w:tabs>
                <w:tab w:val="center" w:pos="284"/>
              </w:tabs>
              <w:overflowPunct w:val="0"/>
              <w:autoSpaceDE w:val="0"/>
              <w:autoSpaceDN w:val="0"/>
              <w:adjustRightInd w:val="0"/>
              <w:ind w:left="266" w:hanging="266"/>
              <w:jc w:val="left"/>
              <w:textAlignment w:val="baseline"/>
              <w:rPr>
                <w:sz w:val="22"/>
                <w:szCs w:val="22"/>
              </w:rPr>
            </w:pPr>
            <w:r w:rsidRPr="00DB536C">
              <w:rPr>
                <w:sz w:val="22"/>
                <w:szCs w:val="22"/>
              </w:rPr>
              <w:t>Konstantinos DIAMANTOUROS (Gruppe Arbeitgeber – EL)</w:t>
            </w:r>
          </w:p>
        </w:tc>
      </w:tr>
      <w:tr w:rsidRPr="00536180" w:rsidR="00436222" w:rsidTr="00DB536C" w14:paraId="53566920" w14:textId="77777777">
        <w:tc>
          <w:tcPr>
            <w:tcW w:w="1107" w:type="pct"/>
          </w:tcPr>
          <w:p w:rsidRPr="00DB536C" w:rsidR="00436222" w:rsidP="00436222" w:rsidRDefault="00436222" w14:paraId="1187CD2E" w14:textId="77777777">
            <w:pPr>
              <w:tabs>
                <w:tab w:val="center" w:pos="284"/>
              </w:tabs>
              <w:overflowPunct w:val="0"/>
              <w:autoSpaceDE w:val="0"/>
              <w:autoSpaceDN w:val="0"/>
              <w:adjustRightInd w:val="0"/>
              <w:ind w:left="266" w:hanging="266"/>
              <w:textAlignment w:val="baseline"/>
              <w:rPr>
                <w:b/>
                <w:sz w:val="22"/>
                <w:szCs w:val="22"/>
              </w:rPr>
            </w:pPr>
            <w:r w:rsidRPr="00DB536C">
              <w:rPr>
                <w:b/>
                <w:sz w:val="22"/>
                <w:szCs w:val="22"/>
              </w:rPr>
              <w:t>Ko-Berichterstatter</w:t>
            </w:r>
          </w:p>
        </w:tc>
        <w:tc>
          <w:tcPr>
            <w:tcW w:w="3893" w:type="pct"/>
          </w:tcPr>
          <w:p w:rsidRPr="00DB536C" w:rsidR="00436222" w:rsidP="00436222" w:rsidRDefault="00436222" w14:paraId="21D7153C" w14:textId="77777777">
            <w:pPr>
              <w:tabs>
                <w:tab w:val="center" w:pos="284"/>
              </w:tabs>
              <w:overflowPunct w:val="0"/>
              <w:autoSpaceDE w:val="0"/>
              <w:autoSpaceDN w:val="0"/>
              <w:adjustRightInd w:val="0"/>
              <w:ind w:left="266" w:hanging="266"/>
              <w:textAlignment w:val="baseline"/>
              <w:rPr>
                <w:sz w:val="22"/>
                <w:szCs w:val="22"/>
              </w:rPr>
            </w:pPr>
            <w:r w:rsidRPr="00DB536C">
              <w:rPr>
                <w:sz w:val="22"/>
                <w:szCs w:val="22"/>
              </w:rPr>
              <w:t>John BRYAN (Kat. 3 – IE)</w:t>
            </w:r>
          </w:p>
        </w:tc>
      </w:tr>
      <w:tr w:rsidRPr="00536180" w:rsidR="00436222" w:rsidTr="00DB536C" w14:paraId="2176FC7D" w14:textId="77777777">
        <w:tc>
          <w:tcPr>
            <w:tcW w:w="5000" w:type="pct"/>
            <w:gridSpan w:val="2"/>
          </w:tcPr>
          <w:p w:rsidRPr="00536180" w:rsidR="00436222" w:rsidP="00436222" w:rsidRDefault="00436222" w14:paraId="350BD1A8"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36180" w:rsidR="00436222" w:rsidTr="00DB536C" w14:paraId="1C30E032" w14:textId="77777777">
        <w:tc>
          <w:tcPr>
            <w:tcW w:w="1107" w:type="pct"/>
          </w:tcPr>
          <w:p w:rsidRPr="00536180" w:rsidR="00436222" w:rsidP="00436222" w:rsidRDefault="00436222" w14:paraId="6CC114CF"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Referenzdokumente</w:t>
            </w:r>
          </w:p>
        </w:tc>
        <w:tc>
          <w:tcPr>
            <w:tcW w:w="3893" w:type="pct"/>
          </w:tcPr>
          <w:p w:rsidRPr="00536180" w:rsidR="00436222" w:rsidP="00436222" w:rsidRDefault="00436222" w14:paraId="46483B64"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COM(2024) 163 final</w:t>
            </w:r>
          </w:p>
          <w:p w:rsidRPr="00536180" w:rsidR="00436222" w:rsidP="00436222" w:rsidRDefault="00436222" w14:paraId="5C1B3E46"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EESC-2024-02431-00-00-AC</w:t>
            </w:r>
          </w:p>
        </w:tc>
      </w:tr>
    </w:tbl>
    <w:p w:rsidR="00DB536C" w:rsidP="00436222" w:rsidRDefault="00DB536C" w14:paraId="4846463A" w14:textId="77777777">
      <w:pPr>
        <w:keepNext/>
        <w:keepLines/>
        <w:tabs>
          <w:tab w:val="center" w:pos="284"/>
        </w:tabs>
        <w:overflowPunct w:val="0"/>
        <w:autoSpaceDE w:val="0"/>
        <w:autoSpaceDN w:val="0"/>
        <w:adjustRightInd w:val="0"/>
        <w:ind w:left="266" w:hanging="266"/>
        <w:textAlignment w:val="baseline"/>
        <w:rPr>
          <w:b/>
        </w:rPr>
      </w:pPr>
    </w:p>
    <w:p w:rsidRPr="00436222" w:rsidR="00436222" w:rsidP="00436222" w:rsidRDefault="00436222" w14:paraId="12E0866C" w14:textId="60917BC6">
      <w:pPr>
        <w:keepNext/>
        <w:keepLines/>
        <w:tabs>
          <w:tab w:val="center" w:pos="284"/>
        </w:tabs>
        <w:overflowPunct w:val="0"/>
        <w:autoSpaceDE w:val="0"/>
        <w:autoSpaceDN w:val="0"/>
        <w:adjustRightInd w:val="0"/>
        <w:ind w:left="266" w:hanging="266"/>
        <w:textAlignment w:val="baseline"/>
        <w:rPr>
          <w:b/>
        </w:rPr>
      </w:pPr>
      <w:r>
        <w:rPr>
          <w:b/>
        </w:rPr>
        <w:t>Kernaussagen</w:t>
      </w:r>
    </w:p>
    <w:p w:rsidRPr="00436222" w:rsidR="00436222" w:rsidP="00436222" w:rsidRDefault="00436222" w14:paraId="4A91AB3C" w14:textId="77777777">
      <w:pPr>
        <w:keepNext/>
        <w:keepLines/>
        <w:tabs>
          <w:tab w:val="center" w:pos="284"/>
        </w:tabs>
        <w:overflowPunct w:val="0"/>
        <w:autoSpaceDE w:val="0"/>
        <w:autoSpaceDN w:val="0"/>
        <w:adjustRightInd w:val="0"/>
        <w:ind w:left="266" w:hanging="266"/>
        <w:textAlignment w:val="baseline"/>
        <w:rPr>
          <w:b/>
          <w:lang w:val="en-GB"/>
        </w:rPr>
      </w:pPr>
    </w:p>
    <w:p w:rsidRPr="00436222" w:rsidR="00436222" w:rsidP="00436222" w:rsidRDefault="00436222" w14:paraId="5162FA02" w14:textId="77777777">
      <w:pPr>
        <w:overflowPunct w:val="0"/>
        <w:autoSpaceDE w:val="0"/>
        <w:autoSpaceDN w:val="0"/>
        <w:adjustRightInd w:val="0"/>
        <w:textAlignment w:val="baseline"/>
        <w:rPr>
          <w:bCs/>
          <w:iCs/>
        </w:rPr>
      </w:pPr>
      <w:r>
        <w:t>Der EWSA</w:t>
      </w:r>
    </w:p>
    <w:p w:rsidRPr="00436222" w:rsidR="00436222" w:rsidP="00436222" w:rsidRDefault="00436222" w14:paraId="5D1DF711" w14:textId="77777777">
      <w:pPr>
        <w:overflowPunct w:val="0"/>
        <w:autoSpaceDE w:val="0"/>
        <w:autoSpaceDN w:val="0"/>
        <w:adjustRightInd w:val="0"/>
        <w:textAlignment w:val="baseline"/>
        <w:rPr>
          <w:bCs/>
          <w:iCs/>
          <w:lang w:val="en-GB"/>
        </w:rPr>
      </w:pPr>
    </w:p>
    <w:p w:rsidRPr="00436222" w:rsidR="00436222" w:rsidP="00536180" w:rsidRDefault="00436222" w14:paraId="619C26EF" w14:textId="77777777">
      <w:pPr>
        <w:widowControl w:val="0"/>
        <w:numPr>
          <w:ilvl w:val="0"/>
          <w:numId w:val="58"/>
        </w:numPr>
        <w:overflowPunct w:val="0"/>
        <w:autoSpaceDE w:val="0"/>
        <w:autoSpaceDN w:val="0"/>
        <w:adjustRightInd w:val="0"/>
        <w:ind w:left="567" w:hanging="567"/>
        <w:textAlignment w:val="baseline"/>
        <w:rPr>
          <w:bCs/>
          <w:iCs/>
        </w:rPr>
      </w:pPr>
      <w:r>
        <w:t>hält einen neuen, weitaus mutigeren und ehrgeizigeren Ansatz sowie einen klaren Rahmen für die Umsetzung für erforderlich, um den europäischen Grünen Deal aus klimapolitischer und sozioökonomischer Sicht zum Erfolg zu bringen. Wir brauchen einen neuen Deal für die Wettbewerbsfähigkeit, um die Industrie und die Beschäftigung in der EU zu fördern und zu schützen;</w:t>
      </w:r>
    </w:p>
    <w:p w:rsidRPr="00436222" w:rsidR="00436222" w:rsidP="00536180" w:rsidRDefault="00436222" w14:paraId="3E8E7DE9" w14:textId="77777777">
      <w:pPr>
        <w:widowControl w:val="0"/>
        <w:numPr>
          <w:ilvl w:val="0"/>
          <w:numId w:val="58"/>
        </w:numPr>
        <w:overflowPunct w:val="0"/>
        <w:autoSpaceDE w:val="0"/>
        <w:autoSpaceDN w:val="0"/>
        <w:adjustRightInd w:val="0"/>
        <w:ind w:left="567" w:hanging="567"/>
        <w:textAlignment w:val="baseline"/>
        <w:rPr>
          <w:bCs/>
          <w:iCs/>
        </w:rPr>
      </w:pPr>
      <w:r>
        <w:t>ist der Ansicht, dass der neue Deal für Wettbewerbsfähigkeit Folgendes umfassen sollte:</w:t>
      </w:r>
    </w:p>
    <w:p w:rsidRPr="00AB39AA" w:rsidR="00436222" w:rsidP="00536180" w:rsidRDefault="00436222" w14:paraId="7B811A60" w14:textId="77777777">
      <w:pPr>
        <w:pStyle w:val="ListParagraph"/>
        <w:widowControl w:val="0"/>
        <w:numPr>
          <w:ilvl w:val="0"/>
          <w:numId w:val="59"/>
        </w:numPr>
        <w:overflowPunct w:val="0"/>
        <w:autoSpaceDE w:val="0"/>
        <w:autoSpaceDN w:val="0"/>
        <w:adjustRightInd w:val="0"/>
        <w:ind w:left="850" w:hanging="283"/>
        <w:textAlignment w:val="baseline"/>
        <w:rPr>
          <w:bCs/>
          <w:iCs/>
        </w:rPr>
      </w:pPr>
      <w:r>
        <w:t xml:space="preserve">deutlich kürzere Genehmigungsfristen (einschließlich Fristen für die Prüfung umweltbezogener Einwände vor Gericht); </w:t>
      </w:r>
    </w:p>
    <w:p w:rsidRPr="00AB39AA" w:rsidR="00436222" w:rsidP="00536180" w:rsidRDefault="00436222" w14:paraId="22DDC0B3" w14:textId="77777777">
      <w:pPr>
        <w:pStyle w:val="ListParagraph"/>
        <w:widowControl w:val="0"/>
        <w:numPr>
          <w:ilvl w:val="0"/>
          <w:numId w:val="59"/>
        </w:numPr>
        <w:overflowPunct w:val="0"/>
        <w:autoSpaceDE w:val="0"/>
        <w:autoSpaceDN w:val="0"/>
        <w:adjustRightInd w:val="0"/>
        <w:ind w:left="850" w:hanging="283"/>
        <w:textAlignment w:val="baseline"/>
        <w:rPr>
          <w:bCs/>
          <w:iCs/>
        </w:rPr>
      </w:pPr>
      <w:r>
        <w:t>einen genaueren Ansatz für die Messung der Fortschritte bei der Verwirklichung der Klimaziele, bei dem der CO</w:t>
      </w:r>
      <w:r>
        <w:rPr>
          <w:vertAlign w:val="subscript"/>
        </w:rPr>
        <w:t>2</w:t>
      </w:r>
      <w:r>
        <w:t>-Fußabdruck eingeführter Waren und nicht allein die Erzeugung von Emissionen in Europa berücksichtigt wird;</w:t>
      </w:r>
    </w:p>
    <w:p w:rsidRPr="00AB39AA" w:rsidR="00436222" w:rsidP="00536180" w:rsidRDefault="00436222" w14:paraId="30365531" w14:textId="77777777">
      <w:pPr>
        <w:pStyle w:val="ListParagraph"/>
        <w:widowControl w:val="0"/>
        <w:numPr>
          <w:ilvl w:val="0"/>
          <w:numId w:val="59"/>
        </w:numPr>
        <w:overflowPunct w:val="0"/>
        <w:autoSpaceDE w:val="0"/>
        <w:autoSpaceDN w:val="0"/>
        <w:adjustRightInd w:val="0"/>
        <w:ind w:left="850" w:hanging="283"/>
        <w:textAlignment w:val="baseline"/>
        <w:rPr>
          <w:bCs/>
          <w:iCs/>
        </w:rPr>
      </w:pPr>
      <w:r>
        <w:t>einen besseren Schutz vor der Verlagerung von CO</w:t>
      </w:r>
      <w:r>
        <w:rPr>
          <w:vertAlign w:val="subscript"/>
        </w:rPr>
        <w:t>2</w:t>
      </w:r>
      <w:r>
        <w:t>-Emissionen, um gleiche Wettbewerbsbedingungen für europäische Unternehmen zu wahren;</w:t>
      </w:r>
    </w:p>
    <w:p w:rsidRPr="00AB39AA" w:rsidR="00436222" w:rsidP="00536180" w:rsidRDefault="00436222" w14:paraId="2F6EFB30" w14:textId="77777777">
      <w:pPr>
        <w:pStyle w:val="ListParagraph"/>
        <w:widowControl w:val="0"/>
        <w:numPr>
          <w:ilvl w:val="0"/>
          <w:numId w:val="59"/>
        </w:numPr>
        <w:overflowPunct w:val="0"/>
        <w:autoSpaceDE w:val="0"/>
        <w:autoSpaceDN w:val="0"/>
        <w:adjustRightInd w:val="0"/>
        <w:ind w:left="850" w:hanging="283"/>
        <w:textAlignment w:val="baseline"/>
        <w:rPr>
          <w:bCs/>
          <w:iCs/>
        </w:rPr>
      </w:pPr>
      <w:r>
        <w:t>eine technologieneutrale Energiepolitik, die für mehr langfristige Stabilität sorgt, zu weltweit wettbewerbsfähigen Preisen führt und dem Erfordernis Rechnung trägt, dass während des Übergangs in stabile CO</w:t>
      </w:r>
      <w:r>
        <w:rPr>
          <w:vertAlign w:val="subscript"/>
        </w:rPr>
        <w:t>2</w:t>
      </w:r>
      <w:r>
        <w:t xml:space="preserve">-arme Energiequellen investiert werden muss; </w:t>
      </w:r>
    </w:p>
    <w:p w:rsidRPr="00AB39AA" w:rsidR="00436222" w:rsidP="00536180" w:rsidRDefault="00436222" w14:paraId="4FA737BA" w14:textId="77777777">
      <w:pPr>
        <w:pStyle w:val="ListParagraph"/>
        <w:widowControl w:val="0"/>
        <w:numPr>
          <w:ilvl w:val="0"/>
          <w:numId w:val="59"/>
        </w:numPr>
        <w:overflowPunct w:val="0"/>
        <w:autoSpaceDE w:val="0"/>
        <w:autoSpaceDN w:val="0"/>
        <w:adjustRightInd w:val="0"/>
        <w:ind w:left="850" w:hanging="283"/>
        <w:textAlignment w:val="baseline"/>
        <w:rPr>
          <w:bCs/>
          <w:iCs/>
        </w:rPr>
      </w:pPr>
      <w:r>
        <w:t>dringende, umfangreiche Investitionen in Verteilungs- und Übertragungsnetze sowie in Häfen, um den Ausbau erneuerbarer Offshore-Energie zu erleichtern;</w:t>
      </w:r>
    </w:p>
    <w:p w:rsidRPr="00AB39AA" w:rsidR="00436222" w:rsidP="00536180" w:rsidRDefault="00436222" w14:paraId="5D11CBDC" w14:textId="77777777">
      <w:pPr>
        <w:pStyle w:val="ListParagraph"/>
        <w:widowControl w:val="0"/>
        <w:numPr>
          <w:ilvl w:val="0"/>
          <w:numId w:val="59"/>
        </w:numPr>
        <w:overflowPunct w:val="0"/>
        <w:autoSpaceDE w:val="0"/>
        <w:autoSpaceDN w:val="0"/>
        <w:adjustRightInd w:val="0"/>
        <w:ind w:left="850" w:hanging="283"/>
        <w:textAlignment w:val="baseline"/>
        <w:rPr>
          <w:bCs/>
          <w:iCs/>
        </w:rPr>
      </w:pPr>
      <w:r>
        <w:t xml:space="preserve">ein spezielles Förderinstrument für die Produktion kritischer Rohstoffe und Netto-Null-Technologien; </w:t>
      </w:r>
    </w:p>
    <w:p w:rsidRPr="00AB39AA" w:rsidR="00436222" w:rsidP="00536180" w:rsidRDefault="00436222" w14:paraId="0EC6A957" w14:textId="77777777">
      <w:pPr>
        <w:pStyle w:val="ListParagraph"/>
        <w:widowControl w:val="0"/>
        <w:numPr>
          <w:ilvl w:val="0"/>
          <w:numId w:val="59"/>
        </w:numPr>
        <w:overflowPunct w:val="0"/>
        <w:autoSpaceDE w:val="0"/>
        <w:autoSpaceDN w:val="0"/>
        <w:adjustRightInd w:val="0"/>
        <w:ind w:left="850" w:hanging="283"/>
        <w:textAlignment w:val="baseline"/>
        <w:rPr>
          <w:bCs/>
          <w:iCs/>
        </w:rPr>
      </w:pPr>
      <w:r>
        <w:t xml:space="preserve">einen Rahmen für einen gerechten Übergang, der umfassende Umschulungs- und Weiterqualifizierungsmaßnahmen für Arbeitnehmer ermöglicht. </w:t>
      </w:r>
    </w:p>
    <w:p w:rsidRPr="00AB39AA" w:rsidR="00436222" w:rsidP="00536180" w:rsidRDefault="00436222" w14:paraId="765B3017" w14:textId="77777777">
      <w:pPr>
        <w:widowControl w:val="0"/>
        <w:numPr>
          <w:ilvl w:val="0"/>
          <w:numId w:val="58"/>
        </w:numPr>
        <w:overflowPunct w:val="0"/>
        <w:autoSpaceDE w:val="0"/>
        <w:autoSpaceDN w:val="0"/>
        <w:adjustRightInd w:val="0"/>
        <w:ind w:left="567" w:hanging="567"/>
        <w:textAlignment w:val="baseline"/>
        <w:rPr>
          <w:bCs/>
        </w:rPr>
      </w:pPr>
      <w:r>
        <w:t>unterstützt zwar uneingeschränkt die Ziele des europäischen Grünen Deals, ist jedoch der Auffassung, dass sich bestimmte Aspekte der Politik nachteilig auf die Beschäftigung und die Wettbewerbsfähigkeit der EU auswirken und zur Zunahme der weltweiten Emissionen durch die Verlagerung von CO</w:t>
      </w:r>
      <w:r>
        <w:rPr>
          <w:vertAlign w:val="subscript"/>
        </w:rPr>
        <w:t>2</w:t>
      </w:r>
      <w:r>
        <w:t>-Emissionen geführt haben.</w:t>
      </w:r>
    </w:p>
    <w:p w:rsidRPr="00436222" w:rsidR="00436222" w:rsidP="00436222" w:rsidRDefault="00436222" w14:paraId="6FA629FD" w14:textId="77777777">
      <w:pPr>
        <w:widowControl w:val="0"/>
        <w:overflowPunct w:val="0"/>
        <w:autoSpaceDE w:val="0"/>
        <w:autoSpaceDN w:val="0"/>
        <w:adjustRightInd w:val="0"/>
        <w:ind w:left="709"/>
        <w:textAlignment w:val="baseline"/>
        <w:rPr>
          <w:szCs w:val="20"/>
          <w:lang w:val="en-GB"/>
        </w:rPr>
      </w:pPr>
    </w:p>
    <w:tbl>
      <w:tblPr>
        <w:tblStyle w:val="TableGrid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6"/>
        <w:gridCol w:w="4705"/>
      </w:tblGrid>
      <w:tr w:rsidRPr="00536180" w:rsidR="00436222" w:rsidTr="00F324F7" w14:paraId="42071E27" w14:textId="77777777">
        <w:tc>
          <w:tcPr>
            <w:tcW w:w="1556" w:type="pct"/>
          </w:tcPr>
          <w:p w:rsidRPr="00536180" w:rsidR="00436222" w:rsidP="00436222" w:rsidRDefault="00436222" w14:paraId="54A5C3CC" w14:textId="77777777">
            <w:pPr>
              <w:keepNext/>
              <w:keepLines/>
              <w:overflowPunct w:val="0"/>
              <w:autoSpaceDE w:val="0"/>
              <w:autoSpaceDN w:val="0"/>
              <w:adjustRightInd w:val="0"/>
              <w:spacing w:line="240" w:lineRule="auto"/>
              <w:textAlignment w:val="baseline"/>
              <w:rPr>
                <w:i/>
                <w:sz w:val="22"/>
                <w:szCs w:val="22"/>
              </w:rPr>
            </w:pPr>
            <w:r w:rsidRPr="00536180">
              <w:rPr>
                <w:b/>
                <w:i/>
                <w:sz w:val="22"/>
                <w:szCs w:val="22"/>
              </w:rPr>
              <w:t>Kontakt</w:t>
            </w:r>
          </w:p>
        </w:tc>
        <w:tc>
          <w:tcPr>
            <w:tcW w:w="3444" w:type="pct"/>
          </w:tcPr>
          <w:p w:rsidRPr="00536180" w:rsidR="00436222" w:rsidP="00436222" w:rsidRDefault="00436222" w14:paraId="765550BB" w14:textId="50B3CF15">
            <w:pPr>
              <w:keepNext/>
              <w:keepLines/>
              <w:overflowPunct w:val="0"/>
              <w:autoSpaceDE w:val="0"/>
              <w:autoSpaceDN w:val="0"/>
              <w:adjustRightInd w:val="0"/>
              <w:spacing w:line="240" w:lineRule="auto"/>
              <w:textAlignment w:val="baseline"/>
              <w:rPr>
                <w:i/>
                <w:sz w:val="22"/>
                <w:szCs w:val="22"/>
              </w:rPr>
            </w:pPr>
            <w:r w:rsidRPr="00536180">
              <w:rPr>
                <w:i/>
                <w:sz w:val="22"/>
                <w:szCs w:val="22"/>
              </w:rPr>
              <w:t xml:space="preserve">Ioannis </w:t>
            </w:r>
            <w:proofErr w:type="spellStart"/>
            <w:r w:rsidRPr="00536180">
              <w:rPr>
                <w:i/>
                <w:sz w:val="22"/>
                <w:szCs w:val="22"/>
              </w:rPr>
              <w:t>Diamantopoulos</w:t>
            </w:r>
            <w:proofErr w:type="spellEnd"/>
          </w:p>
        </w:tc>
      </w:tr>
      <w:tr w:rsidRPr="00536180" w:rsidR="00436222" w:rsidTr="00F324F7" w14:paraId="49E75BC3" w14:textId="77777777">
        <w:tc>
          <w:tcPr>
            <w:tcW w:w="1556" w:type="pct"/>
          </w:tcPr>
          <w:p w:rsidRPr="00536180" w:rsidR="00436222" w:rsidP="00436222" w:rsidRDefault="00436222" w14:paraId="261CA0B3" w14:textId="77777777">
            <w:pPr>
              <w:keepNext/>
              <w:keepLines/>
              <w:overflowPunct w:val="0"/>
              <w:autoSpaceDE w:val="0"/>
              <w:autoSpaceDN w:val="0"/>
              <w:adjustRightInd w:val="0"/>
              <w:spacing w:line="240" w:lineRule="auto"/>
              <w:textAlignment w:val="baseline"/>
              <w:rPr>
                <w:i/>
                <w:sz w:val="22"/>
                <w:szCs w:val="22"/>
              </w:rPr>
            </w:pPr>
            <w:r w:rsidRPr="00536180">
              <w:rPr>
                <w:i/>
                <w:sz w:val="22"/>
                <w:szCs w:val="22"/>
              </w:rPr>
              <w:t>Tel.</w:t>
            </w:r>
          </w:p>
        </w:tc>
        <w:tc>
          <w:tcPr>
            <w:tcW w:w="3444" w:type="pct"/>
          </w:tcPr>
          <w:p w:rsidRPr="00536180" w:rsidR="00436222" w:rsidP="00436222" w:rsidRDefault="00436222" w14:paraId="334DC766" w14:textId="77777777">
            <w:pPr>
              <w:keepNext/>
              <w:keepLines/>
              <w:overflowPunct w:val="0"/>
              <w:autoSpaceDE w:val="0"/>
              <w:autoSpaceDN w:val="0"/>
              <w:adjustRightInd w:val="0"/>
              <w:spacing w:line="240" w:lineRule="auto"/>
              <w:textAlignment w:val="baseline"/>
              <w:rPr>
                <w:i/>
                <w:sz w:val="22"/>
                <w:szCs w:val="22"/>
              </w:rPr>
            </w:pPr>
            <w:r w:rsidRPr="00536180">
              <w:rPr>
                <w:i/>
                <w:sz w:val="22"/>
                <w:szCs w:val="22"/>
              </w:rPr>
              <w:t>+32 25469170</w:t>
            </w:r>
          </w:p>
        </w:tc>
      </w:tr>
      <w:tr w:rsidRPr="00536180" w:rsidR="00436222" w:rsidTr="00F324F7" w14:paraId="47287801" w14:textId="77777777">
        <w:tc>
          <w:tcPr>
            <w:tcW w:w="1556" w:type="pct"/>
          </w:tcPr>
          <w:p w:rsidRPr="00536180" w:rsidR="00436222" w:rsidP="00436222" w:rsidRDefault="001E66FB" w14:paraId="4BB81B29" w14:textId="1A9EDF43">
            <w:pPr>
              <w:keepNext/>
              <w:keepLines/>
              <w:overflowPunct w:val="0"/>
              <w:autoSpaceDE w:val="0"/>
              <w:autoSpaceDN w:val="0"/>
              <w:adjustRightInd w:val="0"/>
              <w:spacing w:line="240" w:lineRule="auto"/>
              <w:textAlignment w:val="baseline"/>
              <w:rPr>
                <w:i/>
                <w:sz w:val="22"/>
                <w:szCs w:val="22"/>
              </w:rPr>
            </w:pPr>
            <w:r w:rsidRPr="00536180">
              <w:rPr>
                <w:i/>
                <w:sz w:val="22"/>
                <w:szCs w:val="22"/>
              </w:rPr>
              <w:t>E-Mail</w:t>
            </w:r>
          </w:p>
        </w:tc>
        <w:tc>
          <w:tcPr>
            <w:tcW w:w="3444" w:type="pct"/>
          </w:tcPr>
          <w:p w:rsidRPr="00536180" w:rsidR="00436222" w:rsidP="00436222" w:rsidRDefault="00486D53" w14:paraId="70F6CD22" w14:textId="20102A8C">
            <w:pPr>
              <w:keepNext/>
              <w:keepLines/>
              <w:overflowPunct w:val="0"/>
              <w:autoSpaceDE w:val="0"/>
              <w:autoSpaceDN w:val="0"/>
              <w:adjustRightInd w:val="0"/>
              <w:spacing w:line="240" w:lineRule="auto"/>
              <w:textAlignment w:val="baseline"/>
              <w:rPr>
                <w:i/>
                <w:iCs/>
                <w:sz w:val="22"/>
                <w:szCs w:val="22"/>
              </w:rPr>
            </w:pPr>
            <w:hyperlink w:history="1" r:id="rId68">
              <w:r w:rsidRPr="00536180" w:rsidR="007E03C9">
                <w:rPr>
                  <w:i/>
                  <w:color w:val="0000FF"/>
                  <w:sz w:val="22"/>
                  <w:szCs w:val="22"/>
                  <w:u w:val="single"/>
                </w:rPr>
                <w:t>Ioannis.Diamantopoulos@eesc.europa.eu</w:t>
              </w:r>
            </w:hyperlink>
            <w:r w:rsidRPr="00536180" w:rsidR="007E03C9">
              <w:rPr>
                <w:i/>
                <w:sz w:val="22"/>
                <w:szCs w:val="22"/>
              </w:rPr>
              <w:t xml:space="preserve"> </w:t>
            </w:r>
          </w:p>
        </w:tc>
      </w:tr>
    </w:tbl>
    <w:p w:rsidRPr="00DB536C" w:rsidR="00991962" w:rsidP="00436222" w:rsidRDefault="00991962" w14:paraId="78721B86" w14:textId="3EEEF5C7">
      <w:pPr>
        <w:ind w:left="710"/>
        <w:rPr>
          <w:b/>
          <w:i/>
        </w:rPr>
      </w:pPr>
    </w:p>
    <w:p w:rsidRPr="00DB536C" w:rsidR="00991962" w:rsidRDefault="00991962" w14:paraId="70579813" w14:textId="77777777">
      <w:pPr>
        <w:spacing w:after="160" w:line="259" w:lineRule="auto"/>
        <w:jc w:val="left"/>
        <w:rPr>
          <w:b/>
          <w:i/>
        </w:rPr>
      </w:pPr>
      <w:r w:rsidRPr="00DB536C">
        <w:br w:type="page"/>
      </w:r>
    </w:p>
    <w:p w:rsidRPr="00430D17" w:rsidR="00430D17" w:rsidP="00430D17" w:rsidRDefault="00486D53" w14:paraId="6EC49EFB" w14:textId="5BE7CD1A">
      <w:pPr>
        <w:widowControl w:val="0"/>
        <w:numPr>
          <w:ilvl w:val="0"/>
          <w:numId w:val="8"/>
        </w:numPr>
        <w:overflowPunct w:val="0"/>
        <w:autoSpaceDE w:val="0"/>
        <w:autoSpaceDN w:val="0"/>
        <w:adjustRightInd w:val="0"/>
        <w:ind w:hanging="567"/>
        <w:textAlignment w:val="baseline"/>
        <w:rPr>
          <w:sz w:val="20"/>
          <w:szCs w:val="20"/>
        </w:rPr>
      </w:pPr>
      <w:hyperlink w:history="1" r:id="rId69">
        <w:r w:rsidR="00276FC9">
          <w:rPr>
            <w:b/>
            <w:i/>
            <w:color w:val="0000FF"/>
            <w:sz w:val="28"/>
            <w:u w:val="single"/>
          </w:rPr>
          <w:t>Von der Abfallverwertung zur Ressourcengewinnung</w:t>
        </w:r>
      </w:hyperlink>
    </w:p>
    <w:p w:rsidRPr="00536180" w:rsidR="00430D17" w:rsidP="000F216A" w:rsidRDefault="00430D17" w14:paraId="0813F7B3" w14:textId="77777777"/>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7496"/>
      </w:tblGrid>
      <w:tr w:rsidRPr="00536180" w:rsidR="00430D17" w:rsidTr="00DB536C" w14:paraId="7B952ECA" w14:textId="77777777">
        <w:tc>
          <w:tcPr>
            <w:tcW w:w="2110" w:type="dxa"/>
          </w:tcPr>
          <w:p w:rsidRPr="00536180" w:rsidR="00430D17" w:rsidP="00430D17" w:rsidRDefault="00430D17" w14:paraId="011252E4"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Berichterstatter</w:t>
            </w:r>
          </w:p>
        </w:tc>
        <w:tc>
          <w:tcPr>
            <w:tcW w:w="7496" w:type="dxa"/>
          </w:tcPr>
          <w:p w:rsidRPr="00536180" w:rsidR="00430D17" w:rsidP="00430D17" w:rsidRDefault="00430D17" w14:paraId="3702A588"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Anastasis YIAPANIS (Gruppe Organisationen der Zivilgesellschaft – CY)</w:t>
            </w:r>
          </w:p>
        </w:tc>
      </w:tr>
      <w:tr w:rsidRPr="00536180" w:rsidR="00430D17" w:rsidTr="00DB536C" w14:paraId="0ED020DF" w14:textId="77777777">
        <w:tc>
          <w:tcPr>
            <w:tcW w:w="2110" w:type="dxa"/>
          </w:tcPr>
          <w:p w:rsidRPr="00536180" w:rsidR="00430D17" w:rsidP="00430D17" w:rsidRDefault="00430D17" w14:paraId="253105A1"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Ko-Berichterstatter</w:t>
            </w:r>
          </w:p>
        </w:tc>
        <w:tc>
          <w:tcPr>
            <w:tcW w:w="7496" w:type="dxa"/>
          </w:tcPr>
          <w:p w:rsidRPr="00536180" w:rsidR="00430D17" w:rsidP="00430D17" w:rsidRDefault="00430D17" w14:paraId="64B1A9E8"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Michal PINTÉR (Kat. 1–SK)</w:t>
            </w:r>
          </w:p>
        </w:tc>
      </w:tr>
      <w:tr w:rsidRPr="00536180" w:rsidR="00430D17" w:rsidTr="00DB536C" w14:paraId="7BC819CE" w14:textId="77777777">
        <w:tc>
          <w:tcPr>
            <w:tcW w:w="9606" w:type="dxa"/>
            <w:gridSpan w:val="2"/>
          </w:tcPr>
          <w:p w:rsidRPr="00536180" w:rsidR="00430D17" w:rsidP="00430D17" w:rsidRDefault="00430D17" w14:paraId="6189BA97"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36180" w:rsidR="00430D17" w:rsidTr="00DB536C" w14:paraId="1AE43E6F" w14:textId="77777777">
        <w:tc>
          <w:tcPr>
            <w:tcW w:w="2110" w:type="dxa"/>
          </w:tcPr>
          <w:p w:rsidRPr="00536180" w:rsidR="00430D17" w:rsidP="00430D17" w:rsidRDefault="00430D17" w14:paraId="4692E3B4"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Referenzdokumente</w:t>
            </w:r>
          </w:p>
        </w:tc>
        <w:tc>
          <w:tcPr>
            <w:tcW w:w="7496" w:type="dxa"/>
          </w:tcPr>
          <w:p w:rsidRPr="00536180" w:rsidR="00986C8F" w:rsidP="00430D17" w:rsidRDefault="00BC7F5A" w14:paraId="339057A5" w14:textId="1B4DED6A">
            <w:pPr>
              <w:tabs>
                <w:tab w:val="center" w:pos="284"/>
              </w:tabs>
              <w:overflowPunct w:val="0"/>
              <w:autoSpaceDE w:val="0"/>
              <w:autoSpaceDN w:val="0"/>
              <w:adjustRightInd w:val="0"/>
              <w:ind w:left="266" w:hanging="266"/>
              <w:textAlignment w:val="baseline"/>
              <w:rPr>
                <w:sz w:val="22"/>
                <w:szCs w:val="22"/>
              </w:rPr>
            </w:pPr>
            <w:r w:rsidRPr="00536180">
              <w:rPr>
                <w:sz w:val="22"/>
                <w:szCs w:val="22"/>
              </w:rPr>
              <w:t>Initiativstellungnahme</w:t>
            </w:r>
          </w:p>
          <w:p w:rsidRPr="00536180" w:rsidR="00430D17" w:rsidP="00430D17" w:rsidRDefault="00430D17" w14:paraId="0C365193" w14:textId="66B44E63">
            <w:pPr>
              <w:tabs>
                <w:tab w:val="center" w:pos="284"/>
              </w:tabs>
              <w:overflowPunct w:val="0"/>
              <w:autoSpaceDE w:val="0"/>
              <w:autoSpaceDN w:val="0"/>
              <w:adjustRightInd w:val="0"/>
              <w:ind w:left="266" w:hanging="266"/>
              <w:textAlignment w:val="baseline"/>
              <w:rPr>
                <w:sz w:val="22"/>
                <w:szCs w:val="22"/>
              </w:rPr>
            </w:pPr>
            <w:r w:rsidRPr="00536180">
              <w:rPr>
                <w:sz w:val="22"/>
                <w:szCs w:val="22"/>
              </w:rPr>
              <w:t>EESC-2024-00669-00-00-AC</w:t>
            </w:r>
          </w:p>
        </w:tc>
      </w:tr>
    </w:tbl>
    <w:p w:rsidRPr="00430D17" w:rsidR="00430D17" w:rsidP="00430D17" w:rsidRDefault="00430D17" w14:paraId="30619E75" w14:textId="77777777">
      <w:pPr>
        <w:tabs>
          <w:tab w:val="center" w:pos="284"/>
        </w:tabs>
        <w:overflowPunct w:val="0"/>
        <w:autoSpaceDE w:val="0"/>
        <w:autoSpaceDN w:val="0"/>
        <w:adjustRightInd w:val="0"/>
        <w:ind w:left="266" w:hanging="266"/>
        <w:textAlignment w:val="baseline"/>
        <w:rPr>
          <w:lang w:val="en-GB"/>
        </w:rPr>
      </w:pPr>
    </w:p>
    <w:p w:rsidRPr="00430D17" w:rsidR="00430D17" w:rsidP="00430D17" w:rsidRDefault="00430D17" w14:paraId="2C08C725"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430D17" w:rsidR="00430D17" w:rsidP="00430D17" w:rsidRDefault="00430D17" w14:paraId="67CCABB5" w14:textId="77777777">
      <w:pPr>
        <w:keepNext/>
        <w:keepLines/>
        <w:tabs>
          <w:tab w:val="center" w:pos="284"/>
        </w:tabs>
        <w:overflowPunct w:val="0"/>
        <w:autoSpaceDE w:val="0"/>
        <w:autoSpaceDN w:val="0"/>
        <w:adjustRightInd w:val="0"/>
        <w:ind w:left="266" w:hanging="266"/>
        <w:textAlignment w:val="baseline"/>
        <w:rPr>
          <w:b/>
          <w:lang w:val="en-GB"/>
        </w:rPr>
      </w:pPr>
    </w:p>
    <w:p w:rsidRPr="00430D17" w:rsidR="00430D17" w:rsidP="00430D17" w:rsidRDefault="00430D17" w14:paraId="31E433B8" w14:textId="77777777">
      <w:pPr>
        <w:overflowPunct w:val="0"/>
        <w:autoSpaceDE w:val="0"/>
        <w:autoSpaceDN w:val="0"/>
        <w:adjustRightInd w:val="0"/>
        <w:textAlignment w:val="baseline"/>
        <w:rPr>
          <w:bCs/>
          <w:iCs/>
        </w:rPr>
      </w:pPr>
      <w:r>
        <w:t>Der EWSA</w:t>
      </w:r>
    </w:p>
    <w:p w:rsidRPr="00430D17" w:rsidR="00430D17" w:rsidP="00430D17" w:rsidRDefault="00430D17" w14:paraId="1AA0E214" w14:textId="77777777">
      <w:pPr>
        <w:overflowPunct w:val="0"/>
        <w:autoSpaceDE w:val="0"/>
        <w:autoSpaceDN w:val="0"/>
        <w:adjustRightInd w:val="0"/>
        <w:textAlignment w:val="baseline"/>
        <w:rPr>
          <w:bCs/>
          <w:iCs/>
          <w:lang w:val="en-GB"/>
        </w:rPr>
      </w:pPr>
    </w:p>
    <w:p w:rsidRPr="00430D17" w:rsidR="00430D17" w:rsidP="00536180" w:rsidRDefault="00430D17" w14:paraId="290DD0A4" w14:textId="77777777">
      <w:pPr>
        <w:widowControl w:val="0"/>
        <w:numPr>
          <w:ilvl w:val="0"/>
          <w:numId w:val="60"/>
        </w:numPr>
        <w:overflowPunct w:val="0"/>
        <w:autoSpaceDE w:val="0"/>
        <w:autoSpaceDN w:val="0"/>
        <w:adjustRightInd w:val="0"/>
        <w:ind w:left="567" w:hanging="567"/>
        <w:textAlignment w:val="baseline"/>
        <w:rPr>
          <w:bCs/>
          <w:iCs/>
        </w:rPr>
      </w:pPr>
      <w:r>
        <w:t xml:space="preserve">hält es für unerlässlich, </w:t>
      </w:r>
      <w:r>
        <w:rPr>
          <w:b/>
        </w:rPr>
        <w:t>den Diskussionen auf EU-Ebene über die Abfallbewirtschaftung Vorrang einzuräumen</w:t>
      </w:r>
      <w:r>
        <w:t xml:space="preserve"> und </w:t>
      </w:r>
      <w:r>
        <w:rPr>
          <w:b/>
        </w:rPr>
        <w:t>eine überarbeitete Strategie</w:t>
      </w:r>
      <w:r>
        <w:t xml:space="preserve"> mit wegweisenden Projekten </w:t>
      </w:r>
      <w:r>
        <w:rPr>
          <w:b/>
        </w:rPr>
        <w:t>umzusetzen</w:t>
      </w:r>
      <w:r>
        <w:t>, die darauf abzielen, das Recycling und die Verwertung von Ressourcen zu verbessern und gleichzeitig die Anzahl von Deponien zu reduzieren;</w:t>
      </w:r>
    </w:p>
    <w:p w:rsidRPr="00430D17" w:rsidR="00430D17" w:rsidP="00536180" w:rsidRDefault="00430D17" w14:paraId="1209DFF9" w14:textId="77777777">
      <w:pPr>
        <w:widowControl w:val="0"/>
        <w:numPr>
          <w:ilvl w:val="0"/>
          <w:numId w:val="60"/>
        </w:numPr>
        <w:overflowPunct w:val="0"/>
        <w:autoSpaceDE w:val="0"/>
        <w:autoSpaceDN w:val="0"/>
        <w:adjustRightInd w:val="0"/>
        <w:ind w:left="567" w:hanging="567"/>
        <w:textAlignment w:val="baseline"/>
        <w:rPr>
          <w:bCs/>
          <w:iCs/>
        </w:rPr>
      </w:pPr>
      <w:r>
        <w:t xml:space="preserve">fordert eine </w:t>
      </w:r>
      <w:r>
        <w:rPr>
          <w:b/>
        </w:rPr>
        <w:t>Beaufsichtigung auf EU-Ebene, um Verstöße anzugehen</w:t>
      </w:r>
      <w:r>
        <w:t xml:space="preserve"> und die Produktkette mit künftigen Investitionen zu straffen;</w:t>
      </w:r>
    </w:p>
    <w:p w:rsidRPr="00430D17" w:rsidR="00430D17" w:rsidP="00536180" w:rsidRDefault="00430D17" w14:paraId="1FE2165F" w14:textId="77777777">
      <w:pPr>
        <w:widowControl w:val="0"/>
        <w:numPr>
          <w:ilvl w:val="0"/>
          <w:numId w:val="60"/>
        </w:numPr>
        <w:overflowPunct w:val="0"/>
        <w:autoSpaceDE w:val="0"/>
        <w:autoSpaceDN w:val="0"/>
        <w:adjustRightInd w:val="0"/>
        <w:ind w:left="567" w:hanging="567"/>
        <w:textAlignment w:val="baseline"/>
        <w:rPr>
          <w:bCs/>
          <w:iCs/>
        </w:rPr>
      </w:pPr>
      <w:r>
        <w:t xml:space="preserve">fordert </w:t>
      </w:r>
      <w:r>
        <w:rPr>
          <w:b/>
        </w:rPr>
        <w:t>zusätzliche Maßnahmen der EU und der Mitgliedstaaten zur Verbesserung der Abfallsammelsysteme</w:t>
      </w:r>
      <w:r>
        <w:t xml:space="preserve">, zur </w:t>
      </w:r>
      <w:r>
        <w:rPr>
          <w:b/>
        </w:rPr>
        <w:t>Investition in fortschrittliche Sortiertechnologien</w:t>
      </w:r>
      <w:r>
        <w:t xml:space="preserve">, zur </w:t>
      </w:r>
      <w:r>
        <w:rPr>
          <w:b/>
        </w:rPr>
        <w:t>wirksamen Durchsetzung der bestehenden Vorschriften</w:t>
      </w:r>
      <w:r>
        <w:t xml:space="preserve"> und zur </w:t>
      </w:r>
      <w:r>
        <w:rPr>
          <w:b/>
        </w:rPr>
        <w:t>Vereinheitlichung der Geldstrafen in allen Mitgliedstaaten</w:t>
      </w:r>
      <w:r>
        <w:t xml:space="preserve"> zur Bekämpfung illegaler Aktivitäten im Abfallbereich;</w:t>
      </w:r>
    </w:p>
    <w:p w:rsidRPr="00430D17" w:rsidR="00430D17" w:rsidP="00536180" w:rsidRDefault="00430D17" w14:paraId="3F80F5DB" w14:textId="77777777">
      <w:pPr>
        <w:widowControl w:val="0"/>
        <w:numPr>
          <w:ilvl w:val="0"/>
          <w:numId w:val="60"/>
        </w:numPr>
        <w:overflowPunct w:val="0"/>
        <w:autoSpaceDE w:val="0"/>
        <w:autoSpaceDN w:val="0"/>
        <w:adjustRightInd w:val="0"/>
        <w:ind w:left="567" w:hanging="567"/>
        <w:textAlignment w:val="baseline"/>
        <w:rPr>
          <w:bCs/>
          <w:iCs/>
        </w:rPr>
      </w:pPr>
      <w:r>
        <w:t xml:space="preserve">unterstützt die </w:t>
      </w:r>
      <w:r>
        <w:rPr>
          <w:b/>
        </w:rPr>
        <w:t>umfassende Harmonisierung der Normen für rückgewonnene Materialien</w:t>
      </w:r>
      <w:r>
        <w:t>, um gleiche Wettbewerbsbedingungen für Primär- und Sekundärstoffe in der gesamten Union zu gewährleisten und eine Fragmentierung ihrer Regulierung auf nationaler Ebene zu verhindern;</w:t>
      </w:r>
    </w:p>
    <w:p w:rsidRPr="00430D17" w:rsidR="00430D17" w:rsidP="00536180" w:rsidRDefault="00430D17" w14:paraId="5164A701" w14:textId="77777777">
      <w:pPr>
        <w:widowControl w:val="0"/>
        <w:numPr>
          <w:ilvl w:val="0"/>
          <w:numId w:val="60"/>
        </w:numPr>
        <w:overflowPunct w:val="0"/>
        <w:autoSpaceDE w:val="0"/>
        <w:autoSpaceDN w:val="0"/>
        <w:adjustRightInd w:val="0"/>
        <w:ind w:left="567" w:hanging="567"/>
        <w:textAlignment w:val="baseline"/>
        <w:rPr>
          <w:bCs/>
          <w:iCs/>
        </w:rPr>
      </w:pPr>
      <w:r>
        <w:t xml:space="preserve">ist der Ansicht, dass es </w:t>
      </w:r>
      <w:r>
        <w:rPr>
          <w:b/>
        </w:rPr>
        <w:t>der Unterstützung innovativer Rückgewinnungstechnologien und funktionaler Märkte für zurückgewonnene Materialien</w:t>
      </w:r>
      <w:r>
        <w:t xml:space="preserve"> sowie eines ordnungspolitischen Umfelds </w:t>
      </w:r>
      <w:r>
        <w:rPr>
          <w:b/>
        </w:rPr>
        <w:t>bedarf</w:t>
      </w:r>
      <w:r>
        <w:t xml:space="preserve">, das einen </w:t>
      </w:r>
      <w:r>
        <w:rPr>
          <w:b/>
        </w:rPr>
        <w:t>Übergang von der Entsorgung nicht nachhaltiger Materialien zur Erzeugung hochwertiger Sekundärmaterialien</w:t>
      </w:r>
      <w:r>
        <w:t xml:space="preserve"> fördert;</w:t>
      </w:r>
    </w:p>
    <w:p w:rsidRPr="00430D17" w:rsidR="00430D17" w:rsidP="00536180" w:rsidRDefault="00430D17" w14:paraId="1D67A00A" w14:textId="77777777">
      <w:pPr>
        <w:widowControl w:val="0"/>
        <w:numPr>
          <w:ilvl w:val="0"/>
          <w:numId w:val="60"/>
        </w:numPr>
        <w:overflowPunct w:val="0"/>
        <w:autoSpaceDE w:val="0"/>
        <w:autoSpaceDN w:val="0"/>
        <w:adjustRightInd w:val="0"/>
        <w:ind w:left="567" w:hanging="567"/>
        <w:textAlignment w:val="baseline"/>
      </w:pPr>
      <w:r>
        <w:t xml:space="preserve">fordert </w:t>
      </w:r>
      <w:r>
        <w:rPr>
          <w:b/>
        </w:rPr>
        <w:t>verstärkte finanzielle Anreize und Unterstützung</w:t>
      </w:r>
      <w:r>
        <w:t xml:space="preserve"> für die Entwicklung und Einführung </w:t>
      </w:r>
      <w:r>
        <w:rPr>
          <w:b/>
        </w:rPr>
        <w:t>innovativer Technologien</w:t>
      </w:r>
      <w:r>
        <w:t xml:space="preserve"> unter Beachtung des Grundsatzes der Abfallhierarchie;</w:t>
      </w:r>
    </w:p>
    <w:p w:rsidRPr="00430D17" w:rsidR="00430D17" w:rsidP="00536180" w:rsidRDefault="00430D17" w14:paraId="2B736ED5" w14:textId="77777777">
      <w:pPr>
        <w:widowControl w:val="0"/>
        <w:numPr>
          <w:ilvl w:val="0"/>
          <w:numId w:val="60"/>
        </w:numPr>
        <w:overflowPunct w:val="0"/>
        <w:autoSpaceDE w:val="0"/>
        <w:autoSpaceDN w:val="0"/>
        <w:adjustRightInd w:val="0"/>
        <w:ind w:left="567" w:hanging="567"/>
        <w:textAlignment w:val="baseline"/>
        <w:rPr>
          <w:rFonts w:asciiTheme="minorHAnsi" w:hAnsiTheme="minorHAnsi"/>
          <w:szCs w:val="20"/>
        </w:rPr>
      </w:pPr>
      <w:r>
        <w:t xml:space="preserve">unterstützt nachdrücklich die </w:t>
      </w:r>
      <w:r>
        <w:rPr>
          <w:b/>
        </w:rPr>
        <w:t>Maximierung der Nährstoffrückgewinnung aus Abwasser, Klärschlamm und anderen Quellen</w:t>
      </w:r>
      <w:r>
        <w:t>. Zum Einsatz kommen sollten dabei bereits bewährte Behandlungsverfahren, das Recycling und Methoden der Ressourcenrückgewinnung, die auf die Gewinnung wertvoller Mineralien abzielen;</w:t>
      </w:r>
    </w:p>
    <w:p w:rsidRPr="00430D17" w:rsidR="00430D17" w:rsidP="00536180" w:rsidRDefault="00430D17" w14:paraId="066FBAFF" w14:textId="77777777">
      <w:pPr>
        <w:widowControl w:val="0"/>
        <w:numPr>
          <w:ilvl w:val="0"/>
          <w:numId w:val="60"/>
        </w:numPr>
        <w:overflowPunct w:val="0"/>
        <w:autoSpaceDE w:val="0"/>
        <w:autoSpaceDN w:val="0"/>
        <w:adjustRightInd w:val="0"/>
        <w:ind w:left="567" w:hanging="567"/>
        <w:textAlignment w:val="baseline"/>
        <w:rPr>
          <w:rFonts w:asciiTheme="minorHAnsi" w:hAnsiTheme="minorHAnsi"/>
          <w:szCs w:val="20"/>
        </w:rPr>
      </w:pPr>
      <w:r>
        <w:t xml:space="preserve">erkennt an, dass </w:t>
      </w:r>
      <w:r>
        <w:rPr>
          <w:b/>
        </w:rPr>
        <w:t>spezielle Weiterbildungs- und Umschulungsprogramme für Arbeitnehmer in der Abfallwirtschaft erforderlich sind</w:t>
      </w:r>
      <w:r>
        <w:t>, und</w:t>
      </w:r>
    </w:p>
    <w:p w:rsidRPr="00430D17" w:rsidR="00430D17" w:rsidP="00536180" w:rsidRDefault="00430D17" w14:paraId="07658568" w14:textId="77777777">
      <w:pPr>
        <w:widowControl w:val="0"/>
        <w:numPr>
          <w:ilvl w:val="0"/>
          <w:numId w:val="60"/>
        </w:numPr>
        <w:overflowPunct w:val="0"/>
        <w:autoSpaceDE w:val="0"/>
        <w:autoSpaceDN w:val="0"/>
        <w:adjustRightInd w:val="0"/>
        <w:ind w:left="567" w:hanging="567"/>
        <w:textAlignment w:val="baseline"/>
        <w:rPr>
          <w:szCs w:val="20"/>
        </w:rPr>
      </w:pPr>
      <w:r>
        <w:t xml:space="preserve">ist der Auffassung, dass </w:t>
      </w:r>
      <w:r>
        <w:rPr>
          <w:b/>
        </w:rPr>
        <w:t>Informationskampagnen</w:t>
      </w:r>
      <w:r>
        <w:t xml:space="preserve"> gefördert und finanziert werden müssen, um die EU-Bürgerinnen und Bürger über Abfallvermeidung, Herstellerverantwortung und Umweltschutz aufzuklären. </w:t>
      </w:r>
    </w:p>
    <w:p w:rsidRPr="00430D17" w:rsidR="00430D17" w:rsidP="00430D17" w:rsidRDefault="00430D17" w14:paraId="5CBBA62B" w14:textId="77777777">
      <w:pPr>
        <w:keepNext/>
        <w:keepLines/>
        <w:widowControl w:val="0"/>
        <w:overflowPunct w:val="0"/>
        <w:autoSpaceDE w:val="0"/>
        <w:autoSpaceDN w:val="0"/>
        <w:adjustRightInd w:val="0"/>
        <w:ind w:left="709"/>
        <w:textAlignment w:val="baseline"/>
        <w:rPr>
          <w:szCs w:val="20"/>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36180" w:rsidR="00430D17" w:rsidTr="00F324F7" w14:paraId="7F269F20" w14:textId="77777777">
        <w:tc>
          <w:tcPr>
            <w:tcW w:w="1418" w:type="dxa"/>
          </w:tcPr>
          <w:p w:rsidRPr="00536180" w:rsidR="00430D17" w:rsidP="00430D17" w:rsidRDefault="00430D17" w14:paraId="25E2B316" w14:textId="77777777">
            <w:pPr>
              <w:keepNext/>
              <w:keepLines/>
              <w:overflowPunct w:val="0"/>
              <w:autoSpaceDE w:val="0"/>
              <w:autoSpaceDN w:val="0"/>
              <w:adjustRightInd w:val="0"/>
              <w:spacing w:line="240" w:lineRule="auto"/>
              <w:textAlignment w:val="baseline"/>
              <w:rPr>
                <w:i/>
                <w:sz w:val="22"/>
                <w:szCs w:val="22"/>
              </w:rPr>
            </w:pPr>
            <w:r w:rsidRPr="00536180">
              <w:rPr>
                <w:b/>
                <w:i/>
                <w:sz w:val="22"/>
                <w:szCs w:val="22"/>
              </w:rPr>
              <w:t>Kontakt</w:t>
            </w:r>
          </w:p>
        </w:tc>
        <w:tc>
          <w:tcPr>
            <w:tcW w:w="5670" w:type="dxa"/>
          </w:tcPr>
          <w:p w:rsidRPr="00536180" w:rsidR="00430D17" w:rsidP="00430D17" w:rsidRDefault="00430D17" w14:paraId="04FD2950" w14:textId="04D715AF">
            <w:pPr>
              <w:keepNext/>
              <w:keepLines/>
              <w:overflowPunct w:val="0"/>
              <w:autoSpaceDE w:val="0"/>
              <w:autoSpaceDN w:val="0"/>
              <w:adjustRightInd w:val="0"/>
              <w:spacing w:line="240" w:lineRule="auto"/>
              <w:textAlignment w:val="baseline"/>
              <w:rPr>
                <w:i/>
                <w:sz w:val="22"/>
                <w:szCs w:val="22"/>
              </w:rPr>
            </w:pPr>
            <w:r w:rsidRPr="00536180">
              <w:rPr>
                <w:i/>
                <w:sz w:val="22"/>
                <w:szCs w:val="22"/>
              </w:rPr>
              <w:t>Marie-Laurence Drillon</w:t>
            </w:r>
          </w:p>
        </w:tc>
      </w:tr>
      <w:tr w:rsidRPr="00536180" w:rsidR="00430D17" w:rsidTr="00F324F7" w14:paraId="55ADD0FD" w14:textId="77777777">
        <w:tc>
          <w:tcPr>
            <w:tcW w:w="1418" w:type="dxa"/>
          </w:tcPr>
          <w:p w:rsidRPr="00536180" w:rsidR="00430D17" w:rsidP="00430D17" w:rsidRDefault="00430D17" w14:paraId="07B39041" w14:textId="77777777">
            <w:pPr>
              <w:keepNext/>
              <w:keepLines/>
              <w:overflowPunct w:val="0"/>
              <w:autoSpaceDE w:val="0"/>
              <w:autoSpaceDN w:val="0"/>
              <w:adjustRightInd w:val="0"/>
              <w:spacing w:line="240" w:lineRule="auto"/>
              <w:textAlignment w:val="baseline"/>
              <w:rPr>
                <w:i/>
                <w:sz w:val="22"/>
                <w:szCs w:val="22"/>
              </w:rPr>
            </w:pPr>
            <w:r w:rsidRPr="00536180">
              <w:rPr>
                <w:i/>
                <w:sz w:val="22"/>
                <w:szCs w:val="22"/>
              </w:rPr>
              <w:t>Tel.</w:t>
            </w:r>
          </w:p>
        </w:tc>
        <w:tc>
          <w:tcPr>
            <w:tcW w:w="5670" w:type="dxa"/>
          </w:tcPr>
          <w:p w:rsidRPr="00536180" w:rsidR="00430D17" w:rsidP="00430D17" w:rsidRDefault="00430D17" w14:paraId="0EB1CA62" w14:textId="77777777">
            <w:pPr>
              <w:keepNext/>
              <w:keepLines/>
              <w:overflowPunct w:val="0"/>
              <w:autoSpaceDE w:val="0"/>
              <w:autoSpaceDN w:val="0"/>
              <w:adjustRightInd w:val="0"/>
              <w:spacing w:line="240" w:lineRule="auto"/>
              <w:textAlignment w:val="baseline"/>
              <w:rPr>
                <w:i/>
                <w:sz w:val="22"/>
                <w:szCs w:val="22"/>
              </w:rPr>
            </w:pPr>
            <w:r w:rsidRPr="00536180">
              <w:rPr>
                <w:i/>
                <w:sz w:val="22"/>
                <w:szCs w:val="22"/>
              </w:rPr>
              <w:t>+32 25468320</w:t>
            </w:r>
          </w:p>
        </w:tc>
      </w:tr>
      <w:tr w:rsidRPr="00536180" w:rsidR="00430D17" w:rsidTr="00F324F7" w14:paraId="306B853B" w14:textId="77777777">
        <w:tc>
          <w:tcPr>
            <w:tcW w:w="1418" w:type="dxa"/>
          </w:tcPr>
          <w:p w:rsidRPr="00536180" w:rsidR="00430D17" w:rsidP="00430D17" w:rsidRDefault="006D180C" w14:paraId="08376D61" w14:textId="2E30140B">
            <w:pPr>
              <w:overflowPunct w:val="0"/>
              <w:autoSpaceDE w:val="0"/>
              <w:autoSpaceDN w:val="0"/>
              <w:adjustRightInd w:val="0"/>
              <w:spacing w:line="240" w:lineRule="auto"/>
              <w:textAlignment w:val="baseline"/>
              <w:rPr>
                <w:i/>
                <w:sz w:val="22"/>
                <w:szCs w:val="22"/>
              </w:rPr>
            </w:pPr>
            <w:r w:rsidRPr="00536180">
              <w:rPr>
                <w:i/>
                <w:sz w:val="22"/>
                <w:szCs w:val="22"/>
              </w:rPr>
              <w:t>E-Mail</w:t>
            </w:r>
          </w:p>
        </w:tc>
        <w:tc>
          <w:tcPr>
            <w:tcW w:w="5670" w:type="dxa"/>
          </w:tcPr>
          <w:p w:rsidRPr="00536180" w:rsidR="00430D17" w:rsidP="00430D17" w:rsidRDefault="00486D53" w14:paraId="516BD231" w14:textId="68BFFAB2">
            <w:pPr>
              <w:overflowPunct w:val="0"/>
              <w:autoSpaceDE w:val="0"/>
              <w:autoSpaceDN w:val="0"/>
              <w:adjustRightInd w:val="0"/>
              <w:spacing w:line="240" w:lineRule="auto"/>
              <w:textAlignment w:val="baseline"/>
              <w:rPr>
                <w:i/>
                <w:sz w:val="22"/>
                <w:szCs w:val="22"/>
              </w:rPr>
            </w:pPr>
            <w:hyperlink w:history="1" r:id="rId70">
              <w:r w:rsidRPr="00536180" w:rsidR="00594F3A">
                <w:rPr>
                  <w:rStyle w:val="Hyperlink"/>
                  <w:sz w:val="22"/>
                  <w:szCs w:val="22"/>
                </w:rPr>
                <w:t>Marie-Laurence.Drillon@eesc.europa.eu</w:t>
              </w:r>
            </w:hyperlink>
          </w:p>
        </w:tc>
      </w:tr>
    </w:tbl>
    <w:p w:rsidRPr="00DB536C" w:rsidR="00430D17" w:rsidRDefault="00430D17" w14:paraId="45285681" w14:textId="77777777">
      <w:pPr>
        <w:spacing w:after="160" w:line="259" w:lineRule="auto"/>
        <w:jc w:val="left"/>
        <w:rPr>
          <w:b/>
          <w:i/>
          <w:sz w:val="20"/>
          <w:szCs w:val="20"/>
        </w:rPr>
      </w:pPr>
      <w:r w:rsidRPr="00DB536C">
        <w:rPr>
          <w:sz w:val="16"/>
          <w:szCs w:val="16"/>
        </w:rPr>
        <w:br w:type="page"/>
      </w:r>
    </w:p>
    <w:p w:rsidRPr="001D6920" w:rsidR="001D6920" w:rsidP="001D6920" w:rsidRDefault="00486D53" w14:paraId="693BCB5D" w14:textId="057DA8F1">
      <w:pPr>
        <w:widowControl w:val="0"/>
        <w:numPr>
          <w:ilvl w:val="0"/>
          <w:numId w:val="25"/>
        </w:numPr>
        <w:overflowPunct w:val="0"/>
        <w:autoSpaceDE w:val="0"/>
        <w:autoSpaceDN w:val="0"/>
        <w:adjustRightInd w:val="0"/>
        <w:spacing w:after="200" w:line="276" w:lineRule="auto"/>
        <w:ind w:left="567" w:hanging="567"/>
        <w:contextualSpacing/>
        <w:jc w:val="left"/>
        <w:textAlignment w:val="baseline"/>
        <w:rPr>
          <w:sz w:val="28"/>
          <w:szCs w:val="28"/>
        </w:rPr>
      </w:pPr>
      <w:hyperlink w:history="1" r:id="rId71">
        <w:r w:rsidR="00276FC9">
          <w:rPr>
            <w:b/>
            <w:i/>
            <w:color w:val="0000FF"/>
            <w:sz w:val="28"/>
            <w:u w:val="single"/>
          </w:rPr>
          <w:t>Industrie 5.0 – erfolgreiche Umsetzung</w:t>
        </w:r>
      </w:hyperlink>
    </w:p>
    <w:p w:rsidRPr="001D6920" w:rsidR="001D6920" w:rsidP="001D6920" w:rsidRDefault="001D6920" w14:paraId="35F592E4" w14:textId="77777777">
      <w:pPr>
        <w:tabs>
          <w:tab w:val="center" w:pos="284"/>
        </w:tabs>
        <w:overflowPunct w:val="0"/>
        <w:autoSpaceDE w:val="0"/>
        <w:autoSpaceDN w:val="0"/>
        <w:adjustRightInd w:val="0"/>
        <w:ind w:left="266" w:hanging="266"/>
        <w:textAlignment w:val="baseline"/>
        <w:rPr>
          <w:b/>
          <w:lang w:val="en-GB"/>
        </w:rPr>
      </w:pPr>
    </w:p>
    <w:tbl>
      <w:tblPr>
        <w:tblStyle w:val="TableGrid2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0"/>
        <w:gridCol w:w="7496"/>
      </w:tblGrid>
      <w:tr w:rsidRPr="00536180" w:rsidR="001D6920" w:rsidTr="00DB536C" w14:paraId="166CD282" w14:textId="77777777">
        <w:tc>
          <w:tcPr>
            <w:tcW w:w="2110" w:type="dxa"/>
          </w:tcPr>
          <w:p w:rsidRPr="00536180" w:rsidR="001D6920" w:rsidP="001D6920" w:rsidRDefault="001D6920" w14:paraId="29110215"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Berichterstatter</w:t>
            </w:r>
          </w:p>
        </w:tc>
        <w:tc>
          <w:tcPr>
            <w:tcW w:w="7496" w:type="dxa"/>
          </w:tcPr>
          <w:p w:rsidRPr="00536180" w:rsidR="001D6920" w:rsidP="001D6920" w:rsidRDefault="001D6920" w14:paraId="0C899D86"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Giuseppe GUERINI (Gruppe Organisationen der Zivilgesellschaft – IT)</w:t>
            </w:r>
          </w:p>
        </w:tc>
      </w:tr>
      <w:tr w:rsidRPr="00536180" w:rsidR="001D6920" w:rsidTr="00DB536C" w14:paraId="490A3508" w14:textId="77777777">
        <w:tc>
          <w:tcPr>
            <w:tcW w:w="2110" w:type="dxa"/>
          </w:tcPr>
          <w:p w:rsidRPr="00536180" w:rsidR="001D6920" w:rsidP="001D6920" w:rsidRDefault="001D6920" w14:paraId="67D47AE0"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Ko-Berichterstatter</w:t>
            </w:r>
          </w:p>
        </w:tc>
        <w:tc>
          <w:tcPr>
            <w:tcW w:w="7496" w:type="dxa"/>
          </w:tcPr>
          <w:p w:rsidRPr="00536180" w:rsidR="001D6920" w:rsidP="001D6920" w:rsidRDefault="001D6920" w14:paraId="5D7ABF4F" w14:textId="77777777">
            <w:pPr>
              <w:tabs>
                <w:tab w:val="center" w:pos="284"/>
              </w:tabs>
              <w:overflowPunct w:val="0"/>
              <w:autoSpaceDE w:val="0"/>
              <w:autoSpaceDN w:val="0"/>
              <w:adjustRightInd w:val="0"/>
              <w:ind w:left="266" w:hanging="266"/>
              <w:textAlignment w:val="baseline"/>
              <w:rPr>
                <w:sz w:val="22"/>
                <w:szCs w:val="22"/>
              </w:rPr>
            </w:pPr>
            <w:r w:rsidRPr="00536180">
              <w:rPr>
                <w:sz w:val="22"/>
                <w:szCs w:val="22"/>
              </w:rPr>
              <w:t>Guido NELISSEN (Kat. 2 – BE)</w:t>
            </w:r>
          </w:p>
        </w:tc>
      </w:tr>
      <w:tr w:rsidRPr="00536180" w:rsidR="001D6920" w:rsidTr="00DB536C" w14:paraId="7213AB59" w14:textId="77777777">
        <w:tc>
          <w:tcPr>
            <w:tcW w:w="9606" w:type="dxa"/>
            <w:gridSpan w:val="2"/>
          </w:tcPr>
          <w:p w:rsidRPr="00536180" w:rsidR="001D6920" w:rsidP="001D6920" w:rsidRDefault="001D6920" w14:paraId="27A14CFF" w14:textId="77777777">
            <w:pPr>
              <w:tabs>
                <w:tab w:val="center" w:pos="284"/>
              </w:tabs>
              <w:overflowPunct w:val="0"/>
              <w:autoSpaceDE w:val="0"/>
              <w:autoSpaceDN w:val="0"/>
              <w:adjustRightInd w:val="0"/>
              <w:spacing w:line="160" w:lineRule="exact"/>
              <w:ind w:left="266" w:hanging="266"/>
              <w:textAlignment w:val="baseline"/>
              <w:rPr>
                <w:sz w:val="22"/>
                <w:szCs w:val="22"/>
              </w:rPr>
            </w:pPr>
          </w:p>
        </w:tc>
      </w:tr>
      <w:tr w:rsidRPr="00536180" w:rsidR="001D6920" w:rsidTr="00DB536C" w14:paraId="1E6716E4" w14:textId="77777777">
        <w:tc>
          <w:tcPr>
            <w:tcW w:w="2110" w:type="dxa"/>
          </w:tcPr>
          <w:p w:rsidRPr="00536180" w:rsidR="001D6920" w:rsidP="001D6920" w:rsidRDefault="001D6920" w14:paraId="77A177EE" w14:textId="77777777">
            <w:pPr>
              <w:tabs>
                <w:tab w:val="center" w:pos="284"/>
              </w:tabs>
              <w:overflowPunct w:val="0"/>
              <w:autoSpaceDE w:val="0"/>
              <w:autoSpaceDN w:val="0"/>
              <w:adjustRightInd w:val="0"/>
              <w:ind w:left="266" w:hanging="266"/>
              <w:textAlignment w:val="baseline"/>
              <w:rPr>
                <w:b/>
                <w:sz w:val="22"/>
                <w:szCs w:val="22"/>
              </w:rPr>
            </w:pPr>
            <w:r w:rsidRPr="00536180">
              <w:rPr>
                <w:b/>
                <w:sz w:val="22"/>
                <w:szCs w:val="22"/>
              </w:rPr>
              <w:t>Referenzdokumente</w:t>
            </w:r>
          </w:p>
        </w:tc>
        <w:tc>
          <w:tcPr>
            <w:tcW w:w="7496" w:type="dxa"/>
          </w:tcPr>
          <w:p w:rsidRPr="00536180" w:rsidR="00C92B60" w:rsidP="001D6920" w:rsidRDefault="00C92B60" w14:paraId="239CCB75" w14:textId="442CB60D">
            <w:pPr>
              <w:tabs>
                <w:tab w:val="center" w:pos="284"/>
              </w:tabs>
              <w:overflowPunct w:val="0"/>
              <w:autoSpaceDE w:val="0"/>
              <w:autoSpaceDN w:val="0"/>
              <w:adjustRightInd w:val="0"/>
              <w:ind w:left="266" w:hanging="266"/>
              <w:textAlignment w:val="baseline"/>
              <w:rPr>
                <w:sz w:val="22"/>
                <w:szCs w:val="22"/>
              </w:rPr>
            </w:pPr>
            <w:r w:rsidRPr="00536180">
              <w:rPr>
                <w:sz w:val="22"/>
                <w:szCs w:val="22"/>
              </w:rPr>
              <w:t>Initiativstellungnahme</w:t>
            </w:r>
          </w:p>
          <w:p w:rsidRPr="00536180" w:rsidR="001D6920" w:rsidP="001D6920" w:rsidRDefault="001D6920" w14:paraId="0882D662" w14:textId="6429688D">
            <w:pPr>
              <w:tabs>
                <w:tab w:val="center" w:pos="284"/>
              </w:tabs>
              <w:overflowPunct w:val="0"/>
              <w:autoSpaceDE w:val="0"/>
              <w:autoSpaceDN w:val="0"/>
              <w:adjustRightInd w:val="0"/>
              <w:ind w:left="266" w:hanging="266"/>
              <w:textAlignment w:val="baseline"/>
              <w:rPr>
                <w:sz w:val="22"/>
                <w:szCs w:val="22"/>
              </w:rPr>
            </w:pPr>
            <w:r w:rsidRPr="00536180">
              <w:rPr>
                <w:sz w:val="22"/>
                <w:szCs w:val="22"/>
              </w:rPr>
              <w:t>EESC-2024-01285-00-00-AC-TRA</w:t>
            </w:r>
          </w:p>
        </w:tc>
      </w:tr>
    </w:tbl>
    <w:p w:rsidR="00DB536C" w:rsidP="001D6920" w:rsidRDefault="00DB536C" w14:paraId="29CF846D" w14:textId="77777777">
      <w:pPr>
        <w:keepNext/>
        <w:keepLines/>
        <w:tabs>
          <w:tab w:val="center" w:pos="284"/>
        </w:tabs>
        <w:overflowPunct w:val="0"/>
        <w:autoSpaceDE w:val="0"/>
        <w:autoSpaceDN w:val="0"/>
        <w:adjustRightInd w:val="0"/>
        <w:ind w:left="266" w:hanging="266"/>
        <w:textAlignment w:val="baseline"/>
        <w:rPr>
          <w:b/>
        </w:rPr>
      </w:pPr>
    </w:p>
    <w:p w:rsidRPr="001D6920" w:rsidR="001D6920" w:rsidP="001D6920" w:rsidRDefault="001D6920" w14:paraId="77E5D1B6" w14:textId="5F06FAC7">
      <w:pPr>
        <w:keepNext/>
        <w:keepLines/>
        <w:tabs>
          <w:tab w:val="center" w:pos="284"/>
        </w:tabs>
        <w:overflowPunct w:val="0"/>
        <w:autoSpaceDE w:val="0"/>
        <w:autoSpaceDN w:val="0"/>
        <w:adjustRightInd w:val="0"/>
        <w:ind w:left="266" w:hanging="266"/>
        <w:textAlignment w:val="baseline"/>
        <w:rPr>
          <w:b/>
        </w:rPr>
      </w:pPr>
      <w:r>
        <w:rPr>
          <w:b/>
        </w:rPr>
        <w:t>Kernaussagen</w:t>
      </w:r>
    </w:p>
    <w:p w:rsidRPr="001D6920" w:rsidR="001D6920" w:rsidP="001D6920" w:rsidRDefault="001D6920" w14:paraId="46AB2323" w14:textId="77777777">
      <w:pPr>
        <w:keepNext/>
        <w:keepLines/>
        <w:tabs>
          <w:tab w:val="center" w:pos="284"/>
        </w:tabs>
        <w:overflowPunct w:val="0"/>
        <w:autoSpaceDE w:val="0"/>
        <w:autoSpaceDN w:val="0"/>
        <w:adjustRightInd w:val="0"/>
        <w:ind w:left="266" w:hanging="266"/>
        <w:textAlignment w:val="baseline"/>
        <w:rPr>
          <w:b/>
          <w:lang w:val="en-GB"/>
        </w:rPr>
      </w:pPr>
    </w:p>
    <w:p w:rsidRPr="001D6920" w:rsidR="001D6920" w:rsidP="001D6920" w:rsidRDefault="001D6920" w14:paraId="2E6FBE79" w14:textId="77777777">
      <w:pPr>
        <w:keepNext/>
        <w:keepLines/>
        <w:tabs>
          <w:tab w:val="center" w:pos="284"/>
        </w:tabs>
        <w:overflowPunct w:val="0"/>
        <w:autoSpaceDE w:val="0"/>
        <w:autoSpaceDN w:val="0"/>
        <w:adjustRightInd w:val="0"/>
        <w:ind w:left="266" w:hanging="266"/>
        <w:textAlignment w:val="baseline"/>
        <w:rPr>
          <w:bCs/>
        </w:rPr>
      </w:pPr>
      <w:r>
        <w:t>Der EWSA</w:t>
      </w:r>
    </w:p>
    <w:p w:rsidRPr="001D6920" w:rsidR="001D6920" w:rsidP="001D6920" w:rsidRDefault="001D6920" w14:paraId="0FEAE9BF" w14:textId="77777777">
      <w:pPr>
        <w:keepNext/>
        <w:keepLines/>
        <w:tabs>
          <w:tab w:val="center" w:pos="284"/>
        </w:tabs>
        <w:overflowPunct w:val="0"/>
        <w:autoSpaceDE w:val="0"/>
        <w:autoSpaceDN w:val="0"/>
        <w:adjustRightInd w:val="0"/>
        <w:ind w:left="266" w:hanging="266"/>
        <w:textAlignment w:val="baseline"/>
        <w:rPr>
          <w:bCs/>
          <w:lang w:val="en-GB"/>
        </w:rPr>
      </w:pPr>
    </w:p>
    <w:p w:rsidRPr="001D6920" w:rsidR="001D6920" w:rsidP="00536180" w:rsidRDefault="001D6920" w14:paraId="42160A4C" w14:textId="77777777">
      <w:pPr>
        <w:numPr>
          <w:ilvl w:val="1"/>
          <w:numId w:val="61"/>
        </w:numPr>
        <w:overflowPunct w:val="0"/>
        <w:autoSpaceDE w:val="0"/>
        <w:autoSpaceDN w:val="0"/>
        <w:adjustRightInd w:val="0"/>
        <w:ind w:left="567" w:hanging="567"/>
        <w:textAlignment w:val="baseline"/>
        <w:outlineLvl w:val="1"/>
        <w:rPr>
          <w:szCs w:val="20"/>
        </w:rPr>
      </w:pPr>
      <w:r>
        <w:t>unterstützt Industrie 5.0 als sinnvollen Ansatz zur Bewältigung der Auswirkungen digitaler Technologien auf das verarbeitende Gewerbe und generell zur besseren Anpassung an die aktuellen gesellschaftlichen und ökologischen Herausforderungen. Er begrüßt, dass die Menschen stärker in den Mittelpunkt gerückt sowie die wirtschaftliche Widerstandsfähigkeit und die Nachhaltigkeit gefördert werden sollen, hält das Konzept der Industrie 5.0 indes für noch nicht ganz ausgereift. Die wirtschaftlichen, sozialen, politischen, rechtlichen und technologischen Auswirkungen müssen besser definiert werden;</w:t>
      </w:r>
    </w:p>
    <w:p w:rsidRPr="001D6920" w:rsidR="001D6920" w:rsidP="00536180" w:rsidRDefault="001D6920" w14:paraId="6295CB24" w14:textId="77777777">
      <w:pPr>
        <w:numPr>
          <w:ilvl w:val="1"/>
          <w:numId w:val="61"/>
        </w:numPr>
        <w:overflowPunct w:val="0"/>
        <w:autoSpaceDE w:val="0"/>
        <w:autoSpaceDN w:val="0"/>
        <w:adjustRightInd w:val="0"/>
        <w:ind w:left="567" w:hanging="567"/>
        <w:textAlignment w:val="baseline"/>
        <w:outlineLvl w:val="1"/>
        <w:rPr>
          <w:szCs w:val="20"/>
        </w:rPr>
      </w:pPr>
      <w:r>
        <w:t>unterstützt die Behörden und die Sozialpartner bei der Entwicklung eines klareren konzeptionellen, wirtschaftlichen und rechtlichen Rahmens und bei Aktionsplänen für die breite Einführung der Grundsätze von Industrie 5.0, rät allerdings dazu, die potenziellen sozialen Kosten nicht aus dem Blick zu verlieren. Ein geordneter technologischer Wandel erfordert die stärkere Beteiligung der Arbeitnehmer und einen gut etablierten sozialen Dialog mit Teilhabe aller einschlägigen Interessenträger und der organisierten Zivilgesellschaft;</w:t>
      </w:r>
    </w:p>
    <w:p w:rsidRPr="001D6920" w:rsidR="001D6920" w:rsidP="00536180" w:rsidRDefault="001D6920" w14:paraId="279F1380" w14:textId="77777777">
      <w:pPr>
        <w:numPr>
          <w:ilvl w:val="1"/>
          <w:numId w:val="61"/>
        </w:numPr>
        <w:overflowPunct w:val="0"/>
        <w:autoSpaceDE w:val="0"/>
        <w:autoSpaceDN w:val="0"/>
        <w:adjustRightInd w:val="0"/>
        <w:ind w:left="567" w:hanging="567"/>
        <w:textAlignment w:val="baseline"/>
        <w:outlineLvl w:val="1"/>
        <w:rPr>
          <w:szCs w:val="20"/>
        </w:rPr>
      </w:pPr>
      <w:r>
        <w:t>fordert die EU-Institutionen auf, den Aufbau eines guten Umfelds für die europäische Industrie zu unterstützen, wobei der Zukunftssicherheit und der Wettbewerbsfähigkeit, demokratischen Werten, sozialer Gerechtigkeit, fairem Wettbewerb und inklusiver Wettbewerbsfähigkeit ein hoher Stellenwert beizumessen ist. Der EWSA unterstreicht, dass die Vision der Industrie 5.0 auf bestehenden europäischen Initiativen aufsatteln muss und diese Initiativen aktualisiert werden müssen, um ihrerseits den Grundsätzen der Industrie 5.0 gerecht zu werden;</w:t>
      </w:r>
    </w:p>
    <w:p w:rsidRPr="001D6920" w:rsidR="001D6920" w:rsidP="00536180" w:rsidRDefault="001D6920" w14:paraId="1CBBCCCD" w14:textId="77777777">
      <w:pPr>
        <w:numPr>
          <w:ilvl w:val="1"/>
          <w:numId w:val="61"/>
        </w:numPr>
        <w:overflowPunct w:val="0"/>
        <w:autoSpaceDE w:val="0"/>
        <w:autoSpaceDN w:val="0"/>
        <w:adjustRightInd w:val="0"/>
        <w:ind w:left="567" w:hanging="567"/>
        <w:textAlignment w:val="baseline"/>
        <w:outlineLvl w:val="1"/>
        <w:rPr>
          <w:szCs w:val="20"/>
        </w:rPr>
      </w:pPr>
      <w:r>
        <w:t>spricht sich dafür aus, die Einführung von Industrie 5.0 ferner durch dezentrale Plattformen der Interessenträger und öffentlich-private Partnerschaften zu unterstützen, die Lerninstrumente entwickeln und Programme bzw. Geschäftsszenarien ausarbeiten. Ebenso müssen bewährte Verfahren eingeführt, ausgetauscht und verbreitet werden.</w:t>
      </w:r>
    </w:p>
    <w:p w:rsidRPr="001D6920" w:rsidR="001D6920" w:rsidP="00536180" w:rsidRDefault="001D6920" w14:paraId="6BAC89E5" w14:textId="77777777">
      <w:pPr>
        <w:numPr>
          <w:ilvl w:val="1"/>
          <w:numId w:val="61"/>
        </w:numPr>
        <w:overflowPunct w:val="0"/>
        <w:autoSpaceDE w:val="0"/>
        <w:autoSpaceDN w:val="0"/>
        <w:adjustRightInd w:val="0"/>
        <w:ind w:left="567" w:hanging="567"/>
        <w:textAlignment w:val="baseline"/>
        <w:outlineLvl w:val="1"/>
        <w:rPr>
          <w:szCs w:val="20"/>
        </w:rPr>
      </w:pPr>
      <w:r>
        <w:t xml:space="preserve">unterstreicht, dass sowohl öffentliche als auch private </w:t>
      </w:r>
      <w:proofErr w:type="spellStart"/>
      <w:r>
        <w:t>FuE</w:t>
      </w:r>
      <w:proofErr w:type="spellEnd"/>
      <w:r>
        <w:t>- und Innovationsprogramme zur Entwicklung neuer nachhaltiger, widerstandsfähiger und menschenzentrierter Wirtschaftsmodelle, Produktionssysteme und Märkte auf den Weg gebracht werden müssen. Es bedarf außerdem einer kontinuierlichen und ausreichenden Unterstützung für Großinvestitionen, die jeden Aspekt der Unternehmen von der Produktion bis hin zur Kommunikation betreffen, um die Unternehmen so zu modernisieren, dass sie Industrie-5.0-konform werden.</w:t>
      </w:r>
    </w:p>
    <w:p w:rsidRPr="001D6920" w:rsidR="001D6920" w:rsidP="001D6920" w:rsidRDefault="001D6920" w14:paraId="211D72D4" w14:textId="77777777">
      <w:pPr>
        <w:overflowPunct w:val="0"/>
        <w:autoSpaceDE w:val="0"/>
        <w:autoSpaceDN w:val="0"/>
        <w:adjustRightInd w:val="0"/>
        <w:textAlignment w:val="baseline"/>
        <w:rPr>
          <w:szCs w:val="20"/>
          <w:lang w:val="en-GB"/>
        </w:rPr>
      </w:pPr>
    </w:p>
    <w:tbl>
      <w:tblPr>
        <w:tblStyle w:val="TableGrid2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36180" w:rsidR="001D6920" w:rsidTr="00F324F7" w14:paraId="3479108A" w14:textId="77777777">
        <w:tc>
          <w:tcPr>
            <w:tcW w:w="1418" w:type="dxa"/>
          </w:tcPr>
          <w:p w:rsidRPr="00536180" w:rsidR="001D6920" w:rsidP="001D6920" w:rsidRDefault="001D6920" w14:paraId="01CAE09F" w14:textId="77777777">
            <w:pPr>
              <w:overflowPunct w:val="0"/>
              <w:autoSpaceDE w:val="0"/>
              <w:autoSpaceDN w:val="0"/>
              <w:adjustRightInd w:val="0"/>
              <w:spacing w:line="240" w:lineRule="auto"/>
              <w:textAlignment w:val="baseline"/>
              <w:rPr>
                <w:i/>
                <w:sz w:val="22"/>
                <w:szCs w:val="22"/>
              </w:rPr>
            </w:pPr>
            <w:r w:rsidRPr="00536180">
              <w:rPr>
                <w:b/>
                <w:i/>
                <w:sz w:val="22"/>
                <w:szCs w:val="22"/>
              </w:rPr>
              <w:t>Kontakt</w:t>
            </w:r>
          </w:p>
        </w:tc>
        <w:tc>
          <w:tcPr>
            <w:tcW w:w="5670" w:type="dxa"/>
          </w:tcPr>
          <w:p w:rsidRPr="00536180" w:rsidR="001D6920" w:rsidP="001D6920" w:rsidRDefault="001D6920" w14:paraId="5F17F0AD" w14:textId="3E5FCC79">
            <w:pPr>
              <w:overflowPunct w:val="0"/>
              <w:autoSpaceDE w:val="0"/>
              <w:autoSpaceDN w:val="0"/>
              <w:adjustRightInd w:val="0"/>
              <w:spacing w:line="240" w:lineRule="auto"/>
              <w:textAlignment w:val="baseline"/>
              <w:rPr>
                <w:i/>
                <w:sz w:val="22"/>
                <w:szCs w:val="22"/>
              </w:rPr>
            </w:pPr>
            <w:r w:rsidRPr="00536180">
              <w:rPr>
                <w:i/>
                <w:sz w:val="22"/>
                <w:szCs w:val="22"/>
              </w:rPr>
              <w:t xml:space="preserve">Laia </w:t>
            </w:r>
            <w:proofErr w:type="spellStart"/>
            <w:r w:rsidRPr="00536180">
              <w:rPr>
                <w:i/>
                <w:sz w:val="22"/>
                <w:szCs w:val="22"/>
              </w:rPr>
              <w:t>Tomàs</w:t>
            </w:r>
            <w:proofErr w:type="spellEnd"/>
            <w:r w:rsidRPr="00536180">
              <w:rPr>
                <w:i/>
                <w:sz w:val="22"/>
                <w:szCs w:val="22"/>
              </w:rPr>
              <w:t xml:space="preserve"> </w:t>
            </w:r>
            <w:proofErr w:type="spellStart"/>
            <w:r w:rsidRPr="00536180">
              <w:rPr>
                <w:i/>
                <w:sz w:val="22"/>
                <w:szCs w:val="22"/>
              </w:rPr>
              <w:t>Vinardell</w:t>
            </w:r>
            <w:proofErr w:type="spellEnd"/>
          </w:p>
        </w:tc>
      </w:tr>
      <w:tr w:rsidRPr="00536180" w:rsidR="001D6920" w:rsidTr="00F324F7" w14:paraId="209C9F6E" w14:textId="77777777">
        <w:tc>
          <w:tcPr>
            <w:tcW w:w="1418" w:type="dxa"/>
          </w:tcPr>
          <w:p w:rsidRPr="00536180" w:rsidR="001D6920" w:rsidP="001D6920" w:rsidRDefault="001D6920" w14:paraId="237C59FF" w14:textId="77777777">
            <w:pPr>
              <w:overflowPunct w:val="0"/>
              <w:autoSpaceDE w:val="0"/>
              <w:autoSpaceDN w:val="0"/>
              <w:adjustRightInd w:val="0"/>
              <w:spacing w:line="240" w:lineRule="auto"/>
              <w:textAlignment w:val="baseline"/>
              <w:rPr>
                <w:i/>
                <w:sz w:val="22"/>
                <w:szCs w:val="22"/>
              </w:rPr>
            </w:pPr>
            <w:r w:rsidRPr="00536180">
              <w:rPr>
                <w:i/>
                <w:sz w:val="22"/>
                <w:szCs w:val="22"/>
              </w:rPr>
              <w:t>Tel.</w:t>
            </w:r>
          </w:p>
        </w:tc>
        <w:tc>
          <w:tcPr>
            <w:tcW w:w="5670" w:type="dxa"/>
          </w:tcPr>
          <w:p w:rsidRPr="00536180" w:rsidR="001D6920" w:rsidP="001D6920" w:rsidRDefault="001D6920" w14:paraId="749559A2" w14:textId="77777777">
            <w:pPr>
              <w:overflowPunct w:val="0"/>
              <w:autoSpaceDE w:val="0"/>
              <w:autoSpaceDN w:val="0"/>
              <w:adjustRightInd w:val="0"/>
              <w:spacing w:line="240" w:lineRule="auto"/>
              <w:textAlignment w:val="baseline"/>
              <w:rPr>
                <w:i/>
                <w:sz w:val="22"/>
                <w:szCs w:val="22"/>
              </w:rPr>
            </w:pPr>
            <w:r w:rsidRPr="00536180">
              <w:rPr>
                <w:i/>
                <w:sz w:val="22"/>
                <w:szCs w:val="22"/>
              </w:rPr>
              <w:t>+32 25469149</w:t>
            </w:r>
          </w:p>
        </w:tc>
      </w:tr>
      <w:tr w:rsidRPr="00536180" w:rsidR="001D6920" w:rsidTr="00F324F7" w14:paraId="2F1B5100" w14:textId="77777777">
        <w:trPr>
          <w:trHeight w:val="80"/>
        </w:trPr>
        <w:tc>
          <w:tcPr>
            <w:tcW w:w="1418" w:type="dxa"/>
          </w:tcPr>
          <w:p w:rsidRPr="00536180" w:rsidR="001D6920" w:rsidP="001D6920" w:rsidRDefault="00E44EE2" w14:paraId="339CF0F0" w14:textId="40C6C8D8">
            <w:pPr>
              <w:overflowPunct w:val="0"/>
              <w:autoSpaceDE w:val="0"/>
              <w:autoSpaceDN w:val="0"/>
              <w:adjustRightInd w:val="0"/>
              <w:spacing w:line="240" w:lineRule="auto"/>
              <w:textAlignment w:val="baseline"/>
              <w:rPr>
                <w:i/>
                <w:sz w:val="22"/>
                <w:szCs w:val="22"/>
              </w:rPr>
            </w:pPr>
            <w:r w:rsidRPr="00536180">
              <w:rPr>
                <w:i/>
                <w:sz w:val="22"/>
                <w:szCs w:val="22"/>
              </w:rPr>
              <w:t>E-Mail</w:t>
            </w:r>
          </w:p>
        </w:tc>
        <w:tc>
          <w:tcPr>
            <w:tcW w:w="5670" w:type="dxa"/>
          </w:tcPr>
          <w:p w:rsidRPr="00536180" w:rsidR="001D6920" w:rsidP="00DB536C" w:rsidRDefault="00486D53" w14:paraId="26D406F3" w14:textId="1918252A">
            <w:pPr>
              <w:overflowPunct w:val="0"/>
              <w:autoSpaceDE w:val="0"/>
              <w:autoSpaceDN w:val="0"/>
              <w:adjustRightInd w:val="0"/>
              <w:spacing w:line="240" w:lineRule="auto"/>
              <w:textAlignment w:val="baseline"/>
              <w:rPr>
                <w:i/>
                <w:sz w:val="22"/>
                <w:szCs w:val="22"/>
              </w:rPr>
            </w:pPr>
            <w:hyperlink w:history="1" r:id="rId72">
              <w:r w:rsidRPr="00536180" w:rsidR="007E03C9">
                <w:rPr>
                  <w:i/>
                  <w:color w:val="0000FF"/>
                  <w:sz w:val="22"/>
                  <w:szCs w:val="22"/>
                  <w:u w:val="single"/>
                </w:rPr>
                <w:t>Laia.TomasVinardell@eesc.europa.eu</w:t>
              </w:r>
            </w:hyperlink>
          </w:p>
        </w:tc>
      </w:tr>
    </w:tbl>
    <w:p w:rsidR="000D394D" w:rsidP="00DB536C" w:rsidRDefault="001D6920" w14:paraId="2E28EF19" w14:textId="4E566E62">
      <w:pPr>
        <w:overflowPunct w:val="0"/>
        <w:autoSpaceDE w:val="0"/>
        <w:autoSpaceDN w:val="0"/>
        <w:adjustRightInd w:val="0"/>
        <w:jc w:val="center"/>
        <w:textAlignment w:val="baseline"/>
      </w:pPr>
      <w:r>
        <w:t>______________</w:t>
      </w:r>
    </w:p>
    <w:sectPr w:rsidR="000D394D" w:rsidSect="00347517">
      <w:headerReference w:type="even" r:id="rId73"/>
      <w:headerReference w:type="default" r:id="rId74"/>
      <w:footerReference w:type="even" r:id="rId75"/>
      <w:footerReference w:type="default" r:id="rId76"/>
      <w:headerReference w:type="first" r:id="rId77"/>
      <w:footerReference w:type="first" r:id="rId78"/>
      <w:pgSz w:w="11907" w:h="16839"/>
      <w:pgMar w:top="1417" w:right="992"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DB7E" w14:textId="77777777" w:rsidR="00347517" w:rsidRPr="00347517" w:rsidRDefault="00347517" w:rsidP="00347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E76617B" w:rsidR="00B518C9" w:rsidRPr="00347517" w:rsidRDefault="00347517" w:rsidP="00347517">
    <w:pPr>
      <w:pStyle w:val="Footer"/>
    </w:pPr>
    <w:r>
      <w:t xml:space="preserve">EESC-2024-03425-00-00-TCD-TRA (EN) </w:t>
    </w:r>
    <w:r>
      <w:fldChar w:fldCharType="begin"/>
    </w:r>
    <w:r>
      <w:instrText xml:space="preserve"> PAGE  \* Arabic  \* MERGEFORMAT </w:instrText>
    </w:r>
    <w:r>
      <w:fldChar w:fldCharType="separate"/>
    </w:r>
    <w:r w:rsidR="000F216A">
      <w:t>1</w:t>
    </w:r>
    <w:r>
      <w:fldChar w:fldCharType="end"/>
    </w:r>
    <w:r>
      <w:t>/</w:t>
    </w:r>
    <w:r w:rsidR="00486D53">
      <w:fldChar w:fldCharType="begin"/>
    </w:r>
    <w:r w:rsidR="00486D53">
      <w:instrText xml:space="preserve"> NUMPAGES </w:instrText>
    </w:r>
    <w:r w:rsidR="00486D53">
      <w:fldChar w:fldCharType="separate"/>
    </w:r>
    <w:r w:rsidR="000F216A">
      <w:t>1</w:t>
    </w:r>
    <w:r w:rsidR="00486D5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D7AB" w14:textId="77777777" w:rsidR="00347517" w:rsidRPr="00347517" w:rsidRDefault="00347517" w:rsidP="003475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1A84" w14:textId="77777777" w:rsidR="00347517" w:rsidRPr="00347517" w:rsidRDefault="00347517" w:rsidP="003475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7597" w14:textId="6BE7FC33" w:rsidR="00347517" w:rsidRPr="00347517" w:rsidRDefault="00347517" w:rsidP="00347517">
    <w:pPr>
      <w:pStyle w:val="Footer"/>
    </w:pPr>
    <w:r>
      <w:t xml:space="preserve">EESC-2024-03425-00-00-TCD-TRA (EN) </w:t>
    </w:r>
    <w:r>
      <w:fldChar w:fldCharType="begin"/>
    </w:r>
    <w:r>
      <w:instrText xml:space="preserve"> PAGE  \* Arabic  \* MERGEFORMAT </w:instrText>
    </w:r>
    <w:r>
      <w:fldChar w:fldCharType="separate"/>
    </w:r>
    <w:r>
      <w:t>2</w:t>
    </w:r>
    <w:r>
      <w:fldChar w:fldCharType="end"/>
    </w:r>
    <w:r>
      <w:t>/</w:t>
    </w:r>
    <w:r w:rsidR="00486D53">
      <w:fldChar w:fldCharType="begin"/>
    </w:r>
    <w:r w:rsidR="00486D53">
      <w:instrText xml:space="preserve"> NUMPAGES </w:instrText>
    </w:r>
    <w:r w:rsidR="00486D53">
      <w:fldChar w:fldCharType="separate"/>
    </w:r>
    <w:r>
      <w:t>31</w:t>
    </w:r>
    <w:r w:rsidR="00486D5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F022" w14:textId="77777777" w:rsidR="00347517" w:rsidRPr="00347517" w:rsidRDefault="00347517" w:rsidP="00347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 w:id="1">
    <w:p w14:paraId="1ABBE02D" w14:textId="77777777" w:rsidR="00C46CDD" w:rsidRPr="000F216A" w:rsidRDefault="00C46CDD" w:rsidP="00C46CDD">
      <w:pPr>
        <w:pStyle w:val="FootnoteText"/>
      </w:pPr>
      <w:r>
        <w:rPr>
          <w:rStyle w:val="FootnoteReference"/>
        </w:rPr>
        <w:footnoteRef/>
      </w:r>
      <w:r>
        <w:tab/>
      </w:r>
      <w:proofErr w:type="spellStart"/>
      <w:r>
        <w:t>ABl.</w:t>
      </w:r>
      <w:proofErr w:type="spellEnd"/>
      <w:r>
        <w:t xml:space="preserve"> C, C/2023/883, 9.2.2024, ELI: </w:t>
      </w:r>
      <w:hyperlink r:id="rId1" w:tgtFrame="_blank" w:tooltip="Zugriff auf das Dokument über die ELI-URL." w:history="1">
        <w:r>
          <w:rPr>
            <w:rStyle w:val="Hyperlink"/>
          </w:rPr>
          <w:t>http://data.europa.eu/eli/C/2023/883/oj</w:t>
        </w:r>
      </w:hyperlink>
      <w:r>
        <w:t>.</w:t>
      </w:r>
    </w:p>
  </w:footnote>
  <w:footnote w:id="2">
    <w:p w14:paraId="38A8703E" w14:textId="77777777" w:rsidR="0093748C" w:rsidRPr="00360DD3" w:rsidRDefault="0093748C" w:rsidP="0093748C">
      <w:pPr>
        <w:pStyle w:val="FootnoteText"/>
      </w:pPr>
      <w:r>
        <w:rPr>
          <w:rStyle w:val="FootnoteReference"/>
        </w:rPr>
        <w:footnoteRef/>
      </w:r>
      <w:r>
        <w:t xml:space="preserve"> </w:t>
      </w:r>
      <w:r>
        <w:tab/>
        <w:t xml:space="preserve">Initiativstellungnahme des EWSA </w:t>
      </w:r>
      <w:hyperlink r:id="rId2" w:anchor=":~:text=The%20only%20reliable%20way%20to%20preserve%20the%20rainforests%20is%20through" w:history="1">
        <w:r>
          <w:rPr>
            <w:rStyle w:val="Hyperlink"/>
            <w:i/>
          </w:rPr>
          <w:t>Entwaldung im Amazonas-Regenwald – Auswirkungen auf den Klimawandel und die globale Umwelt, Folgen für Unternehmen, Arbeitnehmer und Bevölkerung</w:t>
        </w:r>
      </w:hyperlink>
      <w:r>
        <w:t xml:space="preserve"> (noch nicht im Amtsblatt veröffentlicht).</w:t>
      </w:r>
    </w:p>
  </w:footnote>
  <w:footnote w:id="3">
    <w:p w14:paraId="30E6D304" w14:textId="77777777" w:rsidR="0093748C" w:rsidRPr="00360DD3" w:rsidRDefault="0093748C" w:rsidP="0093748C">
      <w:pPr>
        <w:pStyle w:val="FootnoteText"/>
      </w:pPr>
      <w:r>
        <w:rPr>
          <w:rStyle w:val="FootnoteReference"/>
        </w:rPr>
        <w:footnoteRef/>
      </w:r>
      <w:r>
        <w:t xml:space="preserve"> </w:t>
      </w:r>
      <w:r>
        <w:tab/>
        <w:t xml:space="preserve">Stellungnahme des EWSA </w:t>
      </w:r>
      <w:hyperlink r:id="rId3" w:history="1">
        <w:r>
          <w:rPr>
            <w:rStyle w:val="Hyperlink"/>
            <w:i/>
          </w:rPr>
          <w:t>Minderung des Risikos der Entwaldung und Waldschädigung im Zusammenhang mit Produkten, die in der EU in Verkehr gebracht werden</w:t>
        </w:r>
      </w:hyperlink>
      <w:r>
        <w:t xml:space="preserve">, </w:t>
      </w:r>
      <w:hyperlink r:id="rId4" w:history="1">
        <w:proofErr w:type="spellStart"/>
        <w:r>
          <w:rPr>
            <w:rStyle w:val="Hyperlink"/>
          </w:rPr>
          <w:t>ABl.</w:t>
        </w:r>
        <w:proofErr w:type="spellEnd"/>
        <w:r>
          <w:rPr>
            <w:rStyle w:val="Hyperlink"/>
          </w:rPr>
          <w:t xml:space="preserve"> C 275 vom 18.7.2022, S. 88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E62C" w14:textId="77777777" w:rsidR="00347517" w:rsidRPr="00347517" w:rsidRDefault="00347517" w:rsidP="00347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DF5E" w14:textId="1CA8A3AC" w:rsidR="00347517" w:rsidRPr="00347517" w:rsidRDefault="00347517" w:rsidP="00347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125C" w14:textId="77777777" w:rsidR="00347517" w:rsidRPr="00347517" w:rsidRDefault="00347517" w:rsidP="003475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C784" w14:textId="77777777" w:rsidR="00347517" w:rsidRPr="00347517" w:rsidRDefault="00347517" w:rsidP="003475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7341" w14:textId="4F7145FA" w:rsidR="00347517" w:rsidRPr="00347517" w:rsidRDefault="00347517" w:rsidP="003475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E212" w14:textId="77777777" w:rsidR="00347517" w:rsidRPr="00347517" w:rsidRDefault="00347517" w:rsidP="00347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9EA4D5A"/>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9EA2586C"/>
    <w:lvl w:ilvl="0">
      <w:numFmt w:val="decimal"/>
      <w:lvlText w:val="*"/>
      <w:lvlJc w:val="left"/>
    </w:lvl>
  </w:abstractNum>
  <w:abstractNum w:abstractNumId="2" w15:restartNumberingAfterBreak="0">
    <w:nsid w:val="00FD2438"/>
    <w:multiLevelType w:val="hybridMultilevel"/>
    <w:tmpl w:val="31FCF436"/>
    <w:lvl w:ilvl="0" w:tplc="C058A2B2">
      <w:start w:val="1"/>
      <w:numFmt w:val="bullet"/>
      <w:lvlText w:val=""/>
      <w:lvlJc w:val="left"/>
      <w:pPr>
        <w:ind w:left="-414" w:hanging="360"/>
      </w:pPr>
      <w:rPr>
        <w:rFonts w:ascii="Symbol" w:hAnsi="Symbol" w:hint="default"/>
      </w:rPr>
    </w:lvl>
    <w:lvl w:ilvl="1" w:tplc="9FF2A554">
      <w:numFmt w:val="bullet"/>
      <w:lvlText w:val="-"/>
      <w:lvlJc w:val="left"/>
      <w:pPr>
        <w:ind w:left="666" w:hanging="720"/>
      </w:pPr>
      <w:rPr>
        <w:rFonts w:ascii="Times New Roman" w:eastAsia="Times New Roman" w:hAnsi="Times New Roman" w:cs="Times New Roman" w:hint="default"/>
      </w:rPr>
    </w:lvl>
    <w:lvl w:ilvl="2" w:tplc="040E0005" w:tentative="1">
      <w:start w:val="1"/>
      <w:numFmt w:val="bullet"/>
      <w:lvlText w:val=""/>
      <w:lvlJc w:val="left"/>
      <w:pPr>
        <w:ind w:left="1026" w:hanging="360"/>
      </w:pPr>
      <w:rPr>
        <w:rFonts w:ascii="Wingdings" w:hAnsi="Wingdings" w:hint="default"/>
      </w:rPr>
    </w:lvl>
    <w:lvl w:ilvl="3" w:tplc="040E0001" w:tentative="1">
      <w:start w:val="1"/>
      <w:numFmt w:val="bullet"/>
      <w:lvlText w:val=""/>
      <w:lvlJc w:val="left"/>
      <w:pPr>
        <w:ind w:left="1746" w:hanging="360"/>
      </w:pPr>
      <w:rPr>
        <w:rFonts w:ascii="Symbol" w:hAnsi="Symbol" w:hint="default"/>
      </w:rPr>
    </w:lvl>
    <w:lvl w:ilvl="4" w:tplc="040E0003" w:tentative="1">
      <w:start w:val="1"/>
      <w:numFmt w:val="bullet"/>
      <w:lvlText w:val="o"/>
      <w:lvlJc w:val="left"/>
      <w:pPr>
        <w:ind w:left="2466" w:hanging="360"/>
      </w:pPr>
      <w:rPr>
        <w:rFonts w:ascii="Courier New" w:hAnsi="Courier New" w:cs="Courier New" w:hint="default"/>
      </w:rPr>
    </w:lvl>
    <w:lvl w:ilvl="5" w:tplc="040E0005" w:tentative="1">
      <w:start w:val="1"/>
      <w:numFmt w:val="bullet"/>
      <w:lvlText w:val=""/>
      <w:lvlJc w:val="left"/>
      <w:pPr>
        <w:ind w:left="3186" w:hanging="360"/>
      </w:pPr>
      <w:rPr>
        <w:rFonts w:ascii="Wingdings" w:hAnsi="Wingdings" w:hint="default"/>
      </w:rPr>
    </w:lvl>
    <w:lvl w:ilvl="6" w:tplc="040E0001" w:tentative="1">
      <w:start w:val="1"/>
      <w:numFmt w:val="bullet"/>
      <w:lvlText w:val=""/>
      <w:lvlJc w:val="left"/>
      <w:pPr>
        <w:ind w:left="3906" w:hanging="360"/>
      </w:pPr>
      <w:rPr>
        <w:rFonts w:ascii="Symbol" w:hAnsi="Symbol" w:hint="default"/>
      </w:rPr>
    </w:lvl>
    <w:lvl w:ilvl="7" w:tplc="040E0003" w:tentative="1">
      <w:start w:val="1"/>
      <w:numFmt w:val="bullet"/>
      <w:lvlText w:val="o"/>
      <w:lvlJc w:val="left"/>
      <w:pPr>
        <w:ind w:left="4626" w:hanging="360"/>
      </w:pPr>
      <w:rPr>
        <w:rFonts w:ascii="Courier New" w:hAnsi="Courier New" w:cs="Courier New" w:hint="default"/>
      </w:rPr>
    </w:lvl>
    <w:lvl w:ilvl="8" w:tplc="040E0005" w:tentative="1">
      <w:start w:val="1"/>
      <w:numFmt w:val="bullet"/>
      <w:lvlText w:val=""/>
      <w:lvlJc w:val="left"/>
      <w:pPr>
        <w:ind w:left="5346" w:hanging="360"/>
      </w:pPr>
      <w:rPr>
        <w:rFonts w:ascii="Wingdings" w:hAnsi="Wingdings" w:hint="default"/>
      </w:rPr>
    </w:lvl>
  </w:abstractNum>
  <w:abstractNum w:abstractNumId="3" w15:restartNumberingAfterBreak="0">
    <w:nsid w:val="02FA609C"/>
    <w:multiLevelType w:val="hybridMultilevel"/>
    <w:tmpl w:val="33E4421E"/>
    <w:lvl w:ilvl="0" w:tplc="F86852DA">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AA48DC"/>
    <w:multiLevelType w:val="hybridMultilevel"/>
    <w:tmpl w:val="AAE45838"/>
    <w:lvl w:ilvl="0" w:tplc="DDE088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6064A86"/>
    <w:multiLevelType w:val="hybridMultilevel"/>
    <w:tmpl w:val="6712AEBE"/>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C38662E"/>
    <w:multiLevelType w:val="hybridMultilevel"/>
    <w:tmpl w:val="79EE2872"/>
    <w:lvl w:ilvl="0" w:tplc="0409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7" w15:restartNumberingAfterBreak="0">
    <w:nsid w:val="0F74196E"/>
    <w:multiLevelType w:val="hybridMultilevel"/>
    <w:tmpl w:val="96049180"/>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04D0092"/>
    <w:multiLevelType w:val="hybridMultilevel"/>
    <w:tmpl w:val="1B80658C"/>
    <w:lvl w:ilvl="0" w:tplc="C058A2B2">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3083C3F"/>
    <w:multiLevelType w:val="hybridMultilevel"/>
    <w:tmpl w:val="EF5C3A4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1" w15:restartNumberingAfterBreak="0">
    <w:nsid w:val="13E032D3"/>
    <w:multiLevelType w:val="hybridMultilevel"/>
    <w:tmpl w:val="2940CE1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2" w15:restartNumberingAfterBreak="0">
    <w:nsid w:val="17F66D12"/>
    <w:multiLevelType w:val="hybridMultilevel"/>
    <w:tmpl w:val="75BADB00"/>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6B3B7A"/>
    <w:multiLevelType w:val="multilevel"/>
    <w:tmpl w:val="04C8EE32"/>
    <w:lvl w:ilvl="0">
      <w:start w:val="1"/>
      <w:numFmt w:val="decimal"/>
      <w:lvlText w:val="%1."/>
      <w:legacy w:legacy="1" w:legacySpace="0" w:legacyIndent="0"/>
      <w:lvlJc w:val="left"/>
      <w:rPr>
        <w:b w:val="0"/>
      </w:rPr>
    </w:lvl>
    <w:lvl w:ilvl="1">
      <w:start w:val="1"/>
      <w:numFmt w:val="decimal"/>
      <w:lvlText w:val="%1.%2"/>
      <w:legacy w:legacy="1" w:legacySpace="144" w:legacyIndent="0"/>
      <w:lvlJc w:val="left"/>
    </w:lvl>
    <w:lvl w:ilvl="2">
      <w:start w:val="1"/>
      <w:numFmt w:val="bullet"/>
      <w:lvlText w:val=""/>
      <w:lvlJc w:val="left"/>
      <w:rPr>
        <w:rFonts w:ascii="Symbol" w:hAnsi="Symbol" w:hint="default"/>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4" w15:restartNumberingAfterBreak="0">
    <w:nsid w:val="1C937901"/>
    <w:multiLevelType w:val="hybridMultilevel"/>
    <w:tmpl w:val="B70A9E2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CA10D36"/>
    <w:multiLevelType w:val="hybridMultilevel"/>
    <w:tmpl w:val="FFD650B6"/>
    <w:lvl w:ilvl="0" w:tplc="C058A2B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CBB6057"/>
    <w:multiLevelType w:val="hybridMultilevel"/>
    <w:tmpl w:val="8E503790"/>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1D2727C7"/>
    <w:multiLevelType w:val="hybridMultilevel"/>
    <w:tmpl w:val="89F4BE1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228B5F2E"/>
    <w:multiLevelType w:val="hybridMultilevel"/>
    <w:tmpl w:val="A17EF0E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701F02"/>
    <w:multiLevelType w:val="hybridMultilevel"/>
    <w:tmpl w:val="9BFA6C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6F95B5B"/>
    <w:multiLevelType w:val="hybridMultilevel"/>
    <w:tmpl w:val="13E6D7DE"/>
    <w:lvl w:ilvl="0" w:tplc="C058A2B2">
      <w:start w:val="1"/>
      <w:numFmt w:val="bullet"/>
      <w:lvlText w:val=""/>
      <w:lvlJc w:val="left"/>
      <w:pPr>
        <w:ind w:left="1713" w:hanging="360"/>
      </w:pPr>
      <w:rPr>
        <w:rFonts w:ascii="Symbol" w:hAnsi="Symbol" w:hint="default"/>
      </w:rPr>
    </w:lvl>
    <w:lvl w:ilvl="1" w:tplc="20000003" w:tentative="1">
      <w:start w:val="1"/>
      <w:numFmt w:val="bullet"/>
      <w:lvlText w:val="o"/>
      <w:lvlJc w:val="left"/>
      <w:pPr>
        <w:ind w:left="2433" w:hanging="360"/>
      </w:pPr>
      <w:rPr>
        <w:rFonts w:ascii="Courier New" w:hAnsi="Courier New" w:cs="Courier New" w:hint="default"/>
      </w:rPr>
    </w:lvl>
    <w:lvl w:ilvl="2" w:tplc="20000005" w:tentative="1">
      <w:start w:val="1"/>
      <w:numFmt w:val="bullet"/>
      <w:lvlText w:val=""/>
      <w:lvlJc w:val="left"/>
      <w:pPr>
        <w:ind w:left="3153" w:hanging="360"/>
      </w:pPr>
      <w:rPr>
        <w:rFonts w:ascii="Wingdings" w:hAnsi="Wingdings" w:hint="default"/>
      </w:rPr>
    </w:lvl>
    <w:lvl w:ilvl="3" w:tplc="20000001" w:tentative="1">
      <w:start w:val="1"/>
      <w:numFmt w:val="bullet"/>
      <w:lvlText w:val=""/>
      <w:lvlJc w:val="left"/>
      <w:pPr>
        <w:ind w:left="3873" w:hanging="360"/>
      </w:pPr>
      <w:rPr>
        <w:rFonts w:ascii="Symbol" w:hAnsi="Symbol" w:hint="default"/>
      </w:rPr>
    </w:lvl>
    <w:lvl w:ilvl="4" w:tplc="20000003" w:tentative="1">
      <w:start w:val="1"/>
      <w:numFmt w:val="bullet"/>
      <w:lvlText w:val="o"/>
      <w:lvlJc w:val="left"/>
      <w:pPr>
        <w:ind w:left="4593" w:hanging="360"/>
      </w:pPr>
      <w:rPr>
        <w:rFonts w:ascii="Courier New" w:hAnsi="Courier New" w:cs="Courier New" w:hint="default"/>
      </w:rPr>
    </w:lvl>
    <w:lvl w:ilvl="5" w:tplc="20000005" w:tentative="1">
      <w:start w:val="1"/>
      <w:numFmt w:val="bullet"/>
      <w:lvlText w:val=""/>
      <w:lvlJc w:val="left"/>
      <w:pPr>
        <w:ind w:left="5313" w:hanging="360"/>
      </w:pPr>
      <w:rPr>
        <w:rFonts w:ascii="Wingdings" w:hAnsi="Wingdings" w:hint="default"/>
      </w:rPr>
    </w:lvl>
    <w:lvl w:ilvl="6" w:tplc="20000001" w:tentative="1">
      <w:start w:val="1"/>
      <w:numFmt w:val="bullet"/>
      <w:lvlText w:val=""/>
      <w:lvlJc w:val="left"/>
      <w:pPr>
        <w:ind w:left="6033" w:hanging="360"/>
      </w:pPr>
      <w:rPr>
        <w:rFonts w:ascii="Symbol" w:hAnsi="Symbol" w:hint="default"/>
      </w:rPr>
    </w:lvl>
    <w:lvl w:ilvl="7" w:tplc="20000003" w:tentative="1">
      <w:start w:val="1"/>
      <w:numFmt w:val="bullet"/>
      <w:lvlText w:val="o"/>
      <w:lvlJc w:val="left"/>
      <w:pPr>
        <w:ind w:left="6753" w:hanging="360"/>
      </w:pPr>
      <w:rPr>
        <w:rFonts w:ascii="Courier New" w:hAnsi="Courier New" w:cs="Courier New" w:hint="default"/>
      </w:rPr>
    </w:lvl>
    <w:lvl w:ilvl="8" w:tplc="20000005" w:tentative="1">
      <w:start w:val="1"/>
      <w:numFmt w:val="bullet"/>
      <w:lvlText w:val=""/>
      <w:lvlJc w:val="left"/>
      <w:pPr>
        <w:ind w:left="7473" w:hanging="360"/>
      </w:pPr>
      <w:rPr>
        <w:rFonts w:ascii="Wingdings" w:hAnsi="Wingdings" w:hint="default"/>
      </w:rPr>
    </w:lvl>
  </w:abstractNum>
  <w:abstractNum w:abstractNumId="21"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8087AE9"/>
    <w:multiLevelType w:val="hybridMultilevel"/>
    <w:tmpl w:val="44FAB3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97363B5"/>
    <w:multiLevelType w:val="hybridMultilevel"/>
    <w:tmpl w:val="2312C07C"/>
    <w:lvl w:ilvl="0" w:tplc="C058A2B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DA5304"/>
    <w:multiLevelType w:val="hybridMultilevel"/>
    <w:tmpl w:val="F8E4ED22"/>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2E3E4A81"/>
    <w:multiLevelType w:val="hybridMultilevel"/>
    <w:tmpl w:val="F814B5AE"/>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7"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3FC14FB"/>
    <w:multiLevelType w:val="hybridMultilevel"/>
    <w:tmpl w:val="76EA87F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AE052A"/>
    <w:multiLevelType w:val="hybridMultilevel"/>
    <w:tmpl w:val="EB326964"/>
    <w:lvl w:ilvl="0" w:tplc="A566E236">
      <w:start w:val="1"/>
      <w:numFmt w:val="bullet"/>
      <w:lvlText w:val=""/>
      <w:lvlJc w:val="left"/>
      <w:pPr>
        <w:ind w:left="1440" w:hanging="360"/>
      </w:pPr>
      <w:rPr>
        <w:rFonts w:ascii="Symbol" w:hAnsi="Symbol" w:hint="default"/>
        <w:color w:val="auto"/>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0" w15:restartNumberingAfterBreak="0">
    <w:nsid w:val="36214A14"/>
    <w:multiLevelType w:val="hybridMultilevel"/>
    <w:tmpl w:val="222C45B6"/>
    <w:lvl w:ilvl="0" w:tplc="CC28CB32">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37823E68"/>
    <w:multiLevelType w:val="hybridMultilevel"/>
    <w:tmpl w:val="CB3A1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D843DB5"/>
    <w:multiLevelType w:val="hybridMultilevel"/>
    <w:tmpl w:val="16506340"/>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3" w15:restartNumberingAfterBreak="0">
    <w:nsid w:val="3EBD0899"/>
    <w:multiLevelType w:val="hybridMultilevel"/>
    <w:tmpl w:val="1E10CC9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4" w15:restartNumberingAfterBreak="0">
    <w:nsid w:val="3F0567A8"/>
    <w:multiLevelType w:val="hybridMultilevel"/>
    <w:tmpl w:val="AE28BF94"/>
    <w:lvl w:ilvl="0" w:tplc="C058A2B2">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6" w15:restartNumberingAfterBreak="0">
    <w:nsid w:val="40640CFC"/>
    <w:multiLevelType w:val="hybridMultilevel"/>
    <w:tmpl w:val="2BA259D6"/>
    <w:lvl w:ilvl="0" w:tplc="C058A2B2">
      <w:start w:val="1"/>
      <w:numFmt w:val="bullet"/>
      <w:lvlText w:val=""/>
      <w:lvlJc w:val="left"/>
      <w:pPr>
        <w:ind w:left="1364" w:hanging="360"/>
      </w:pPr>
      <w:rPr>
        <w:rFonts w:ascii="Symbol" w:hAnsi="Symbol" w:hint="default"/>
      </w:rPr>
    </w:lvl>
    <w:lvl w:ilvl="1" w:tplc="20000003" w:tentative="1">
      <w:start w:val="1"/>
      <w:numFmt w:val="bullet"/>
      <w:lvlText w:val="o"/>
      <w:lvlJc w:val="left"/>
      <w:pPr>
        <w:ind w:left="2084" w:hanging="360"/>
      </w:pPr>
      <w:rPr>
        <w:rFonts w:ascii="Courier New" w:hAnsi="Courier New" w:cs="Courier New" w:hint="default"/>
      </w:rPr>
    </w:lvl>
    <w:lvl w:ilvl="2" w:tplc="20000005" w:tentative="1">
      <w:start w:val="1"/>
      <w:numFmt w:val="bullet"/>
      <w:lvlText w:val=""/>
      <w:lvlJc w:val="left"/>
      <w:pPr>
        <w:ind w:left="2804" w:hanging="360"/>
      </w:pPr>
      <w:rPr>
        <w:rFonts w:ascii="Wingdings" w:hAnsi="Wingdings" w:hint="default"/>
      </w:rPr>
    </w:lvl>
    <w:lvl w:ilvl="3" w:tplc="20000001" w:tentative="1">
      <w:start w:val="1"/>
      <w:numFmt w:val="bullet"/>
      <w:lvlText w:val=""/>
      <w:lvlJc w:val="left"/>
      <w:pPr>
        <w:ind w:left="3524" w:hanging="360"/>
      </w:pPr>
      <w:rPr>
        <w:rFonts w:ascii="Symbol" w:hAnsi="Symbol" w:hint="default"/>
      </w:rPr>
    </w:lvl>
    <w:lvl w:ilvl="4" w:tplc="20000003" w:tentative="1">
      <w:start w:val="1"/>
      <w:numFmt w:val="bullet"/>
      <w:lvlText w:val="o"/>
      <w:lvlJc w:val="left"/>
      <w:pPr>
        <w:ind w:left="4244" w:hanging="360"/>
      </w:pPr>
      <w:rPr>
        <w:rFonts w:ascii="Courier New" w:hAnsi="Courier New" w:cs="Courier New" w:hint="default"/>
      </w:rPr>
    </w:lvl>
    <w:lvl w:ilvl="5" w:tplc="20000005" w:tentative="1">
      <w:start w:val="1"/>
      <w:numFmt w:val="bullet"/>
      <w:lvlText w:val=""/>
      <w:lvlJc w:val="left"/>
      <w:pPr>
        <w:ind w:left="4964" w:hanging="360"/>
      </w:pPr>
      <w:rPr>
        <w:rFonts w:ascii="Wingdings" w:hAnsi="Wingdings" w:hint="default"/>
      </w:rPr>
    </w:lvl>
    <w:lvl w:ilvl="6" w:tplc="20000001" w:tentative="1">
      <w:start w:val="1"/>
      <w:numFmt w:val="bullet"/>
      <w:lvlText w:val=""/>
      <w:lvlJc w:val="left"/>
      <w:pPr>
        <w:ind w:left="5684" w:hanging="360"/>
      </w:pPr>
      <w:rPr>
        <w:rFonts w:ascii="Symbol" w:hAnsi="Symbol" w:hint="default"/>
      </w:rPr>
    </w:lvl>
    <w:lvl w:ilvl="7" w:tplc="20000003" w:tentative="1">
      <w:start w:val="1"/>
      <w:numFmt w:val="bullet"/>
      <w:lvlText w:val="o"/>
      <w:lvlJc w:val="left"/>
      <w:pPr>
        <w:ind w:left="6404" w:hanging="360"/>
      </w:pPr>
      <w:rPr>
        <w:rFonts w:ascii="Courier New" w:hAnsi="Courier New" w:cs="Courier New" w:hint="default"/>
      </w:rPr>
    </w:lvl>
    <w:lvl w:ilvl="8" w:tplc="20000005" w:tentative="1">
      <w:start w:val="1"/>
      <w:numFmt w:val="bullet"/>
      <w:lvlText w:val=""/>
      <w:lvlJc w:val="left"/>
      <w:pPr>
        <w:ind w:left="7124" w:hanging="360"/>
      </w:pPr>
      <w:rPr>
        <w:rFonts w:ascii="Wingdings" w:hAnsi="Wingdings" w:hint="default"/>
      </w:rPr>
    </w:lvl>
  </w:abstractNum>
  <w:abstractNum w:abstractNumId="37" w15:restartNumberingAfterBreak="0">
    <w:nsid w:val="41935C31"/>
    <w:multiLevelType w:val="hybridMultilevel"/>
    <w:tmpl w:val="16A065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430F5041"/>
    <w:multiLevelType w:val="hybridMultilevel"/>
    <w:tmpl w:val="05E6A864"/>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9" w15:restartNumberingAfterBreak="0">
    <w:nsid w:val="48CC0837"/>
    <w:multiLevelType w:val="hybridMultilevel"/>
    <w:tmpl w:val="CC0EA9AC"/>
    <w:lvl w:ilvl="0" w:tplc="B6CEA77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92016ED"/>
    <w:multiLevelType w:val="hybridMultilevel"/>
    <w:tmpl w:val="741CC3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BD85BF5"/>
    <w:multiLevelType w:val="hybridMultilevel"/>
    <w:tmpl w:val="17625ACA"/>
    <w:lvl w:ilvl="0" w:tplc="C058A2B2">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5133645D"/>
    <w:multiLevelType w:val="hybridMultilevel"/>
    <w:tmpl w:val="04A226D6"/>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3" w15:restartNumberingAfterBreak="0">
    <w:nsid w:val="553E79B9"/>
    <w:multiLevelType w:val="hybridMultilevel"/>
    <w:tmpl w:val="05C6FCDA"/>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4" w15:restartNumberingAfterBreak="0">
    <w:nsid w:val="5D606E8A"/>
    <w:multiLevelType w:val="hybridMultilevel"/>
    <w:tmpl w:val="09961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5FAC2301"/>
    <w:multiLevelType w:val="hybridMultilevel"/>
    <w:tmpl w:val="44BE9B5C"/>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4653B7D"/>
    <w:multiLevelType w:val="hybridMultilevel"/>
    <w:tmpl w:val="E352500E"/>
    <w:lvl w:ilvl="0" w:tplc="C058A2B2">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67544310"/>
    <w:multiLevelType w:val="hybridMultilevel"/>
    <w:tmpl w:val="1DBE77BA"/>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8" w15:restartNumberingAfterBreak="0">
    <w:nsid w:val="67AB5052"/>
    <w:multiLevelType w:val="hybridMultilevel"/>
    <w:tmpl w:val="55446A9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9"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50" w15:restartNumberingAfterBreak="0">
    <w:nsid w:val="6AD4194B"/>
    <w:multiLevelType w:val="hybridMultilevel"/>
    <w:tmpl w:val="0D40BE14"/>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1" w15:restartNumberingAfterBreak="0">
    <w:nsid w:val="6B86435A"/>
    <w:multiLevelType w:val="hybridMultilevel"/>
    <w:tmpl w:val="28582B2A"/>
    <w:lvl w:ilvl="0" w:tplc="C058A2B2">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2" w15:restartNumberingAfterBreak="0">
    <w:nsid w:val="6E062D09"/>
    <w:multiLevelType w:val="hybridMultilevel"/>
    <w:tmpl w:val="F348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1E4364"/>
    <w:multiLevelType w:val="hybridMultilevel"/>
    <w:tmpl w:val="06F89A34"/>
    <w:lvl w:ilvl="0" w:tplc="C058A2B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0C03F41"/>
    <w:multiLevelType w:val="hybridMultilevel"/>
    <w:tmpl w:val="C762951E"/>
    <w:lvl w:ilvl="0" w:tplc="080C0001">
      <w:start w:val="1"/>
      <w:numFmt w:val="bullet"/>
      <w:lvlText w:val=""/>
      <w:lvlJc w:val="left"/>
      <w:pPr>
        <w:ind w:left="360" w:hanging="360"/>
      </w:pPr>
      <w:rPr>
        <w:rFonts w:ascii="Symbol" w:hAnsi="Symbol" w:hint="default"/>
      </w:rPr>
    </w:lvl>
    <w:lvl w:ilvl="1" w:tplc="CE843384">
      <w:start w:val="1"/>
      <w:numFmt w:val="lowerLetter"/>
      <w:lvlText w:val="%2)"/>
      <w:lvlJc w:val="left"/>
      <w:pPr>
        <w:ind w:left="1080" w:hanging="360"/>
      </w:pPr>
      <w:rPr>
        <w:rFonts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5" w15:restartNumberingAfterBreak="0">
    <w:nsid w:val="73945119"/>
    <w:multiLevelType w:val="hybridMultilevel"/>
    <w:tmpl w:val="0164BAB8"/>
    <w:lvl w:ilvl="0" w:tplc="C058A2B2">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6" w15:restartNumberingAfterBreak="0">
    <w:nsid w:val="73E60124"/>
    <w:multiLevelType w:val="multilevel"/>
    <w:tmpl w:val="827077B4"/>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B55EFC"/>
    <w:multiLevelType w:val="hybridMultilevel"/>
    <w:tmpl w:val="7C6A4DFC"/>
    <w:lvl w:ilvl="0" w:tplc="C058A2B2">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7A1679DA"/>
    <w:multiLevelType w:val="hybridMultilevel"/>
    <w:tmpl w:val="06E4D22A"/>
    <w:lvl w:ilvl="0" w:tplc="C058A2B2">
      <w:start w:val="1"/>
      <w:numFmt w:val="bullet"/>
      <w:lvlText w:val=""/>
      <w:lvlJc w:val="left"/>
      <w:pPr>
        <w:ind w:left="928" w:hanging="360"/>
      </w:pPr>
      <w:rPr>
        <w:rFonts w:ascii="Symbol" w:hAnsi="Symbol"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60" w15:restartNumberingAfterBreak="0">
    <w:nsid w:val="7D975FA0"/>
    <w:multiLevelType w:val="hybridMultilevel"/>
    <w:tmpl w:val="8260403A"/>
    <w:lvl w:ilvl="0" w:tplc="C058A2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E097B3A"/>
    <w:multiLevelType w:val="hybridMultilevel"/>
    <w:tmpl w:val="76729062"/>
    <w:lvl w:ilvl="0" w:tplc="C058A2B2">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abstractNumId w:val="0"/>
  </w:num>
  <w:num w:numId="2">
    <w:abstractNumId w:val="49"/>
  </w:num>
  <w:num w:numId="3">
    <w:abstractNumId w:val="57"/>
  </w:num>
  <w:num w:numId="4">
    <w:abstractNumId w:val="30"/>
  </w:num>
  <w:num w:numId="5">
    <w:abstractNumId w:val="22"/>
  </w:num>
  <w:num w:numId="6">
    <w:abstractNumId w:val="17"/>
  </w:num>
  <w:num w:numId="7">
    <w:abstractNumId w:val="3"/>
  </w:num>
  <w:num w:numId="8">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9">
    <w:abstractNumId w:val="1"/>
    <w:lvlOverride w:ilvl="0">
      <w:lvl w:ilvl="0">
        <w:start w:val="1"/>
        <w:numFmt w:val="bullet"/>
        <w:lvlText w:val=""/>
        <w:lvlJc w:val="left"/>
        <w:pPr>
          <w:ind w:left="720" w:hanging="360"/>
        </w:pPr>
        <w:rPr>
          <w:rFonts w:ascii="Symbol" w:hAnsi="Symbol" w:hint="default"/>
          <w:color w:val="auto"/>
        </w:rPr>
      </w:lvl>
    </w:lvlOverride>
  </w:num>
  <w:num w:numId="10">
    <w:abstractNumId w:val="21"/>
  </w:num>
  <w:num w:numId="11">
    <w:abstractNumId w:val="13"/>
  </w:num>
  <w:num w:numId="12">
    <w:abstractNumId w:val="4"/>
  </w:num>
  <w:num w:numId="13">
    <w:abstractNumId w:val="31"/>
  </w:num>
  <w:num w:numId="14">
    <w:abstractNumId w:val="2"/>
  </w:num>
  <w:num w:numId="15">
    <w:abstractNumId w:val="19"/>
  </w:num>
  <w:num w:numId="16">
    <w:abstractNumId w:val="37"/>
  </w:num>
  <w:num w:numId="17">
    <w:abstractNumId w:val="14"/>
  </w:num>
  <w:num w:numId="18">
    <w:abstractNumId w:val="45"/>
  </w:num>
  <w:num w:numId="19">
    <w:abstractNumId w:val="25"/>
  </w:num>
  <w:num w:numId="20">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21">
    <w:abstractNumId w:val="10"/>
  </w:num>
  <w:num w:numId="22">
    <w:abstractNumId w:val="35"/>
  </w:num>
  <w:num w:numId="23">
    <w:abstractNumId w:val="40"/>
  </w:num>
  <w:num w:numId="24">
    <w:abstractNumId w:val="6"/>
  </w:num>
  <w:num w:numId="25">
    <w:abstractNumId w:val="9"/>
  </w:num>
  <w:num w:numId="26">
    <w:abstractNumId w:val="54"/>
  </w:num>
  <w:num w:numId="27">
    <w:abstractNumId w:val="39"/>
  </w:num>
  <w:num w:numId="28">
    <w:abstractNumId w:val="15"/>
  </w:num>
  <w:num w:numId="29">
    <w:abstractNumId w:val="8"/>
  </w:num>
  <w:num w:numId="30">
    <w:abstractNumId w:val="41"/>
  </w:num>
  <w:num w:numId="31">
    <w:abstractNumId w:val="58"/>
  </w:num>
  <w:num w:numId="32">
    <w:abstractNumId w:val="27"/>
  </w:num>
  <w:num w:numId="33">
    <w:abstractNumId w:val="24"/>
  </w:num>
  <w:num w:numId="34">
    <w:abstractNumId w:val="7"/>
  </w:num>
  <w:num w:numId="35">
    <w:abstractNumId w:val="55"/>
  </w:num>
  <w:num w:numId="36">
    <w:abstractNumId w:val="46"/>
  </w:num>
  <w:num w:numId="37">
    <w:abstractNumId w:val="53"/>
  </w:num>
  <w:num w:numId="38">
    <w:abstractNumId w:val="23"/>
  </w:num>
  <w:num w:numId="39">
    <w:abstractNumId w:val="50"/>
  </w:num>
  <w:num w:numId="40">
    <w:abstractNumId w:val="11"/>
  </w:num>
  <w:num w:numId="41">
    <w:abstractNumId w:val="60"/>
  </w:num>
  <w:num w:numId="42">
    <w:abstractNumId w:val="48"/>
  </w:num>
  <w:num w:numId="43">
    <w:abstractNumId w:val="43"/>
  </w:num>
  <w:num w:numId="44">
    <w:abstractNumId w:val="47"/>
  </w:num>
  <w:num w:numId="45">
    <w:abstractNumId w:val="33"/>
  </w:num>
  <w:num w:numId="46">
    <w:abstractNumId w:val="26"/>
  </w:num>
  <w:num w:numId="47">
    <w:abstractNumId w:val="18"/>
  </w:num>
  <w:num w:numId="48">
    <w:abstractNumId w:val="28"/>
  </w:num>
  <w:num w:numId="49">
    <w:abstractNumId w:val="61"/>
  </w:num>
  <w:num w:numId="50">
    <w:abstractNumId w:val="51"/>
  </w:num>
  <w:num w:numId="51">
    <w:abstractNumId w:val="5"/>
  </w:num>
  <w:num w:numId="52">
    <w:abstractNumId w:val="16"/>
  </w:num>
  <w:num w:numId="53">
    <w:abstractNumId w:val="38"/>
  </w:num>
  <w:num w:numId="54">
    <w:abstractNumId w:val="59"/>
  </w:num>
  <w:num w:numId="55">
    <w:abstractNumId w:val="20"/>
  </w:num>
  <w:num w:numId="56">
    <w:abstractNumId w:val="34"/>
  </w:num>
  <w:num w:numId="57">
    <w:abstractNumId w:val="12"/>
  </w:num>
  <w:num w:numId="58">
    <w:abstractNumId w:val="32"/>
  </w:num>
  <w:num w:numId="59">
    <w:abstractNumId w:val="36"/>
  </w:num>
  <w:num w:numId="60">
    <w:abstractNumId w:val="42"/>
  </w:num>
  <w:num w:numId="61">
    <w:abstractNumId w:val="56"/>
  </w:num>
  <w:num w:numId="62">
    <w:abstractNumId w:val="44"/>
  </w:num>
  <w:num w:numId="63">
    <w:abstractNumId w:val="29"/>
  </w:num>
  <w:num w:numId="64">
    <w:abstractNumId w:val="0"/>
  </w:num>
  <w:num w:numId="65">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3C5"/>
    <w:rsid w:val="00003623"/>
    <w:rsid w:val="00010A4D"/>
    <w:rsid w:val="00014EF0"/>
    <w:rsid w:val="000227C8"/>
    <w:rsid w:val="00035CE5"/>
    <w:rsid w:val="00054A40"/>
    <w:rsid w:val="00061BA6"/>
    <w:rsid w:val="00063DFF"/>
    <w:rsid w:val="0006417B"/>
    <w:rsid w:val="0007366C"/>
    <w:rsid w:val="000D3652"/>
    <w:rsid w:val="000D394D"/>
    <w:rsid w:val="000E3799"/>
    <w:rsid w:val="000F216A"/>
    <w:rsid w:val="000F5F52"/>
    <w:rsid w:val="0011408B"/>
    <w:rsid w:val="0012096F"/>
    <w:rsid w:val="001336EC"/>
    <w:rsid w:val="00135714"/>
    <w:rsid w:val="00145410"/>
    <w:rsid w:val="0015600B"/>
    <w:rsid w:val="00167D22"/>
    <w:rsid w:val="0017390A"/>
    <w:rsid w:val="0017486C"/>
    <w:rsid w:val="00194D13"/>
    <w:rsid w:val="0019579C"/>
    <w:rsid w:val="001B2D67"/>
    <w:rsid w:val="001B6628"/>
    <w:rsid w:val="001D6920"/>
    <w:rsid w:val="001E391D"/>
    <w:rsid w:val="001E66FB"/>
    <w:rsid w:val="001F7935"/>
    <w:rsid w:val="002359A5"/>
    <w:rsid w:val="00242A24"/>
    <w:rsid w:val="0024307B"/>
    <w:rsid w:val="00256464"/>
    <w:rsid w:val="00260FDB"/>
    <w:rsid w:val="00276FC9"/>
    <w:rsid w:val="002856F3"/>
    <w:rsid w:val="002912D2"/>
    <w:rsid w:val="002A5636"/>
    <w:rsid w:val="002B398F"/>
    <w:rsid w:val="002B6EB3"/>
    <w:rsid w:val="002B7981"/>
    <w:rsid w:val="002C7C99"/>
    <w:rsid w:val="002D02AC"/>
    <w:rsid w:val="002D2388"/>
    <w:rsid w:val="002E4BE1"/>
    <w:rsid w:val="002F20BE"/>
    <w:rsid w:val="003009EF"/>
    <w:rsid w:val="00303415"/>
    <w:rsid w:val="003066BE"/>
    <w:rsid w:val="00314E42"/>
    <w:rsid w:val="003227CC"/>
    <w:rsid w:val="003248DA"/>
    <w:rsid w:val="00325873"/>
    <w:rsid w:val="003451B0"/>
    <w:rsid w:val="00347517"/>
    <w:rsid w:val="00374C94"/>
    <w:rsid w:val="00376A01"/>
    <w:rsid w:val="00392AA4"/>
    <w:rsid w:val="003C4A67"/>
    <w:rsid w:val="003D5E11"/>
    <w:rsid w:val="003D6908"/>
    <w:rsid w:val="003E0D5C"/>
    <w:rsid w:val="003E4BF8"/>
    <w:rsid w:val="003F326D"/>
    <w:rsid w:val="003F79EF"/>
    <w:rsid w:val="004109EE"/>
    <w:rsid w:val="00430D17"/>
    <w:rsid w:val="0043191A"/>
    <w:rsid w:val="00436222"/>
    <w:rsid w:val="00450A40"/>
    <w:rsid w:val="0045124C"/>
    <w:rsid w:val="00477EC1"/>
    <w:rsid w:val="0048069D"/>
    <w:rsid w:val="00486D53"/>
    <w:rsid w:val="004A39AB"/>
    <w:rsid w:val="004A5CD7"/>
    <w:rsid w:val="004A734C"/>
    <w:rsid w:val="004D7AC0"/>
    <w:rsid w:val="00500C3A"/>
    <w:rsid w:val="0050374B"/>
    <w:rsid w:val="005123E8"/>
    <w:rsid w:val="00532089"/>
    <w:rsid w:val="00536180"/>
    <w:rsid w:val="00543F56"/>
    <w:rsid w:val="00563476"/>
    <w:rsid w:val="00586B4B"/>
    <w:rsid w:val="00594F3A"/>
    <w:rsid w:val="005A0BDA"/>
    <w:rsid w:val="005D3FDF"/>
    <w:rsid w:val="005E1B50"/>
    <w:rsid w:val="005E23DC"/>
    <w:rsid w:val="005E2D2D"/>
    <w:rsid w:val="005E7651"/>
    <w:rsid w:val="00603E92"/>
    <w:rsid w:val="00625CA3"/>
    <w:rsid w:val="00630774"/>
    <w:rsid w:val="00634C99"/>
    <w:rsid w:val="00637500"/>
    <w:rsid w:val="00641262"/>
    <w:rsid w:val="00643F95"/>
    <w:rsid w:val="00646F72"/>
    <w:rsid w:val="00672AFD"/>
    <w:rsid w:val="00680D82"/>
    <w:rsid w:val="006C172C"/>
    <w:rsid w:val="006C457C"/>
    <w:rsid w:val="006D180C"/>
    <w:rsid w:val="006D2C8A"/>
    <w:rsid w:val="006D2D64"/>
    <w:rsid w:val="006E6DFA"/>
    <w:rsid w:val="00700337"/>
    <w:rsid w:val="007258F5"/>
    <w:rsid w:val="00726DB5"/>
    <w:rsid w:val="00754027"/>
    <w:rsid w:val="00757AA0"/>
    <w:rsid w:val="00763857"/>
    <w:rsid w:val="007668A1"/>
    <w:rsid w:val="00766B1A"/>
    <w:rsid w:val="0078435A"/>
    <w:rsid w:val="007877AE"/>
    <w:rsid w:val="007A5F00"/>
    <w:rsid w:val="007A7D3B"/>
    <w:rsid w:val="007C49B3"/>
    <w:rsid w:val="007E03C9"/>
    <w:rsid w:val="007E5D7C"/>
    <w:rsid w:val="007F5784"/>
    <w:rsid w:val="008171BE"/>
    <w:rsid w:val="00836113"/>
    <w:rsid w:val="008425F1"/>
    <w:rsid w:val="008441EB"/>
    <w:rsid w:val="00845F24"/>
    <w:rsid w:val="008526AF"/>
    <w:rsid w:val="0088219D"/>
    <w:rsid w:val="008A2F71"/>
    <w:rsid w:val="00901CA1"/>
    <w:rsid w:val="0091466A"/>
    <w:rsid w:val="00915C29"/>
    <w:rsid w:val="00915CD9"/>
    <w:rsid w:val="00926B4A"/>
    <w:rsid w:val="0093748C"/>
    <w:rsid w:val="00946677"/>
    <w:rsid w:val="00973BBC"/>
    <w:rsid w:val="009769A0"/>
    <w:rsid w:val="0098576D"/>
    <w:rsid w:val="00986C8F"/>
    <w:rsid w:val="00991962"/>
    <w:rsid w:val="00991DA2"/>
    <w:rsid w:val="00992171"/>
    <w:rsid w:val="009B15D0"/>
    <w:rsid w:val="009B29D4"/>
    <w:rsid w:val="009B61C0"/>
    <w:rsid w:val="009C0722"/>
    <w:rsid w:val="009C29D8"/>
    <w:rsid w:val="009D0400"/>
    <w:rsid w:val="009F353D"/>
    <w:rsid w:val="00A07F34"/>
    <w:rsid w:val="00A20E9D"/>
    <w:rsid w:val="00A21A77"/>
    <w:rsid w:val="00A272B2"/>
    <w:rsid w:val="00A30C1F"/>
    <w:rsid w:val="00A33A63"/>
    <w:rsid w:val="00A35CE7"/>
    <w:rsid w:val="00A454FA"/>
    <w:rsid w:val="00A47435"/>
    <w:rsid w:val="00A47A41"/>
    <w:rsid w:val="00A5001B"/>
    <w:rsid w:val="00A50553"/>
    <w:rsid w:val="00A630EC"/>
    <w:rsid w:val="00A73811"/>
    <w:rsid w:val="00A8113A"/>
    <w:rsid w:val="00A82CF4"/>
    <w:rsid w:val="00A91E08"/>
    <w:rsid w:val="00A92187"/>
    <w:rsid w:val="00AB39AA"/>
    <w:rsid w:val="00AD787C"/>
    <w:rsid w:val="00B03207"/>
    <w:rsid w:val="00B1062C"/>
    <w:rsid w:val="00B16931"/>
    <w:rsid w:val="00B203DA"/>
    <w:rsid w:val="00B24195"/>
    <w:rsid w:val="00B518C9"/>
    <w:rsid w:val="00B55819"/>
    <w:rsid w:val="00B6772C"/>
    <w:rsid w:val="00B80A16"/>
    <w:rsid w:val="00B90056"/>
    <w:rsid w:val="00BC3832"/>
    <w:rsid w:val="00BC7F5A"/>
    <w:rsid w:val="00BD18EB"/>
    <w:rsid w:val="00BE074F"/>
    <w:rsid w:val="00BE54B3"/>
    <w:rsid w:val="00C008B4"/>
    <w:rsid w:val="00C02BD1"/>
    <w:rsid w:val="00C050AC"/>
    <w:rsid w:val="00C1261F"/>
    <w:rsid w:val="00C17ABD"/>
    <w:rsid w:val="00C26C67"/>
    <w:rsid w:val="00C44E7D"/>
    <w:rsid w:val="00C46CDD"/>
    <w:rsid w:val="00C509F7"/>
    <w:rsid w:val="00C70E92"/>
    <w:rsid w:val="00C821A5"/>
    <w:rsid w:val="00C91A40"/>
    <w:rsid w:val="00C92B60"/>
    <w:rsid w:val="00C97DBC"/>
    <w:rsid w:val="00C97E35"/>
    <w:rsid w:val="00CA050B"/>
    <w:rsid w:val="00CA1A9B"/>
    <w:rsid w:val="00CA38F2"/>
    <w:rsid w:val="00CC15AC"/>
    <w:rsid w:val="00D0422E"/>
    <w:rsid w:val="00D15E7A"/>
    <w:rsid w:val="00D42A3F"/>
    <w:rsid w:val="00D43613"/>
    <w:rsid w:val="00D7076A"/>
    <w:rsid w:val="00D81F5E"/>
    <w:rsid w:val="00D92269"/>
    <w:rsid w:val="00DA5DFB"/>
    <w:rsid w:val="00DB536C"/>
    <w:rsid w:val="00DC0660"/>
    <w:rsid w:val="00DC07D2"/>
    <w:rsid w:val="00DD46E6"/>
    <w:rsid w:val="00DE176A"/>
    <w:rsid w:val="00E00A6B"/>
    <w:rsid w:val="00E44EE2"/>
    <w:rsid w:val="00E60F13"/>
    <w:rsid w:val="00E62A2C"/>
    <w:rsid w:val="00E77899"/>
    <w:rsid w:val="00E9511D"/>
    <w:rsid w:val="00EB109D"/>
    <w:rsid w:val="00EC1A9A"/>
    <w:rsid w:val="00ED03A0"/>
    <w:rsid w:val="00EF1659"/>
    <w:rsid w:val="00F324F7"/>
    <w:rsid w:val="00F5655E"/>
    <w:rsid w:val="00F83C17"/>
    <w:rsid w:val="00F875D4"/>
    <w:rsid w:val="00F908FC"/>
    <w:rsid w:val="00F96D7F"/>
    <w:rsid w:val="00F977D0"/>
    <w:rsid w:val="00FA79EF"/>
    <w:rsid w:val="00FB0779"/>
    <w:rsid w:val="00FC456F"/>
    <w:rsid w:val="00FC531B"/>
    <w:rsid w:val="00FC6E76"/>
    <w:rsid w:val="00FD3DEC"/>
    <w:rsid w:val="00FD7CAC"/>
    <w:rsid w:val="00FE0706"/>
    <w:rsid w:val="00FF111E"/>
    <w:rsid w:val="00FF2DAA"/>
    <w:rsid w:val="00FF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82DD4D"/>
  <w15:chartTrackingRefBased/>
  <w15:docId w15:val="{E3B361BD-0AB6-440E-8D6E-D603BB61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594F3A"/>
    <w:pPr>
      <w:pageBreakBefore/>
      <w:numPr>
        <w:numId w:val="1"/>
      </w:numPr>
      <w:ind w:left="567" w:hanging="567"/>
      <w:outlineLvl w:val="0"/>
    </w:pPr>
    <w:rPr>
      <w:b/>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F3A"/>
    <w:rPr>
      <w:rFonts w:ascii="Times New Roman" w:eastAsia="Times New Roman" w:hAnsi="Times New Roman" w:cs="Times New Roman"/>
      <w:b/>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FD7C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D7C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B15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46C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C050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050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0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26B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357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A1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630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991D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9374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9374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A500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500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634C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362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430D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D69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7E5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97D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24F7"/>
    <w:pPr>
      <w:spacing w:after="0" w:line="240" w:lineRule="auto"/>
    </w:pPr>
    <w:rPr>
      <w:rFonts w:ascii="Times New Roman" w:eastAsia="Times New Roman" w:hAnsi="Times New Roman" w:cs="Times New Roman"/>
    </w:rPr>
  </w:style>
  <w:style w:type="table" w:customStyle="1" w:styleId="TableGrid24">
    <w:name w:val="Table Grid24"/>
    <w:basedOn w:val="TableNormal"/>
    <w:next w:val="TableGrid"/>
    <w:rsid w:val="00450A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47517"/>
    <w:pPr>
      <w:spacing w:after="100"/>
      <w:ind w:left="220"/>
    </w:pPr>
  </w:style>
  <w:style w:type="paragraph" w:styleId="TOC3">
    <w:name w:val="toc 3"/>
    <w:basedOn w:val="Normal"/>
    <w:next w:val="Normal"/>
    <w:autoRedefine/>
    <w:uiPriority w:val="39"/>
    <w:unhideWhenUsed/>
    <w:rsid w:val="00347517"/>
    <w:pPr>
      <w:spacing w:after="100"/>
      <w:ind w:left="440"/>
    </w:pPr>
  </w:style>
  <w:style w:type="character" w:customStyle="1" w:styleId="UnresolvedMention1">
    <w:name w:val="Unresolved Mention1"/>
    <w:basedOn w:val="DefaultParagraphFont"/>
    <w:uiPriority w:val="99"/>
    <w:semiHidden/>
    <w:unhideWhenUsed/>
    <w:rsid w:val="0034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erald.Klec@eesc.europa.eu" TargetMode="External"/><Relationship Id="rId21" Type="http://schemas.openxmlformats.org/officeDocument/2006/relationships/hyperlink" Target="https://www.eesc.europa.eu/de/our-work/opinions-information-reports/opinions/additional-considerations-euro-area-economic-policy-2024" TargetMode="External"/><Relationship Id="rId42" Type="http://schemas.openxmlformats.org/officeDocument/2006/relationships/hyperlink" Target="mailto:Antonio.RibeiroPereira@eesc.europa.eu" TargetMode="External"/><Relationship Id="rId47" Type="http://schemas.openxmlformats.org/officeDocument/2006/relationships/hyperlink" Target="https://www.eesc.europa.eu/de/our-work/opinions-information-reports/opinions/potential-public-procurement-social-economy-enterprises" TargetMode="External"/><Relationship Id="rId63" Type="http://schemas.openxmlformats.org/officeDocument/2006/relationships/hyperlink" Target="https://www.eesc.europa.eu/de/our-work/opinions-information-reports/opinions/aligning-circular-economy-and-bioeconomy-eu-and-national-level" TargetMode="External"/><Relationship Id="rId68" Type="http://schemas.openxmlformats.org/officeDocument/2006/relationships/hyperlink" Target="mailto:Ioannis.Diamantopoulos@eesc.europa.eu" TargetMode="External"/><Relationship Id="rId84" Type="http://schemas.openxmlformats.org/officeDocument/2006/relationships/customXml" Target="../customXml/item4.xml"/><Relationship Id="rId16"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mailto:Anna.Pantazi@eesc.europa.eu" TargetMode="External"/><Relationship Id="rId32" Type="http://schemas.openxmlformats.org/officeDocument/2006/relationships/hyperlink" Target="mailto:Bartek.Bednarowicz@eesc.europa.eu" TargetMode="External"/><Relationship Id="rId37" Type="http://schemas.openxmlformats.org/officeDocument/2006/relationships/hyperlink" Target="https://www.eesc.europa.eu/de/our-work/opinions-information-reports/opinions/fostering-opportunities-and-managing-risks-new-technologies-public-services-organisation-work-and-more-equal-and" TargetMode="External"/><Relationship Id="rId40" Type="http://schemas.openxmlformats.org/officeDocument/2006/relationships/hyperlink" Target="mailto:Bartek.Bednarowicz@eesc.europa.eu" TargetMode="External"/><Relationship Id="rId45" Type="http://schemas.openxmlformats.org/officeDocument/2006/relationships/hyperlink" Target="https://www.eesc.europa.eu/de/our-work/opinions-information-reports/opinions/report-competition-policy-2023" TargetMode="External"/><Relationship Id="rId53" Type="http://schemas.openxmlformats.org/officeDocument/2006/relationships/hyperlink" Target="https://www.eesc.europa.eu/de/our-work/opinions-information-reports/information-reports/final-evaluation-consumer-programme-2014-2020" TargetMode="External"/><Relationship Id="rId58" Type="http://schemas.openxmlformats.org/officeDocument/2006/relationships/hyperlink" Target="mailto:Nicolas.Stenger@eesc.europa.eu" TargetMode="External"/><Relationship Id="rId66" Type="http://schemas.openxmlformats.org/officeDocument/2006/relationships/hyperlink" Target="mailto:Sabrina.Tesoka@eesc.europa.eu" TargetMode="External"/><Relationship Id="rId74" Type="http://schemas.openxmlformats.org/officeDocument/2006/relationships/header" Target="header5.xml"/><Relationship Id="rId79" Type="http://schemas.openxmlformats.org/officeDocument/2006/relationships/fontTable" Target="fontTable.xml"/><Relationship Id="rId61" Type="http://schemas.openxmlformats.org/officeDocument/2006/relationships/hyperlink" Target="https://www.eesc.europa.eu/de/our-work/opinions-information-reports/opinions/fostering-sustainable-and-resilient-food-systems-times-growing-crises" TargetMode="External"/><Relationship Id="rId82" Type="http://schemas.openxmlformats.org/officeDocument/2006/relationships/customXml" Target="../customXml/item2.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Krisztina.PerlakyToth@eesc.europa.eu" TargetMode="External"/><Relationship Id="rId27" Type="http://schemas.openxmlformats.org/officeDocument/2006/relationships/hyperlink" Target="https://www.eesc.europa.eu/de/our-work/opinions-information-reports/opinions/climate-change-and-its-impact-economy" TargetMode="External"/><Relationship Id="rId30" Type="http://schemas.openxmlformats.org/officeDocument/2006/relationships/hyperlink" Target="mailto:Gabriela.Grasu@eesc.europa.eu" TargetMode="External"/><Relationship Id="rId35" Type="http://schemas.openxmlformats.org/officeDocument/2006/relationships/hyperlink" Target="https://www.eesc.europa.eu/de/our-work/opinions-information-reports/opinions/leaving-no-one-behind-european-commitment-tackling-rare-diseases" TargetMode="External"/><Relationship Id="rId43" Type="http://schemas.openxmlformats.org/officeDocument/2006/relationships/hyperlink" Target="https://www.eesc.europa.eu/de/our-work/opinions-information-reports/opinions/radioactive-waste-management-civil-society-perspective" TargetMode="External"/><Relationship Id="rId48" Type="http://schemas.openxmlformats.org/officeDocument/2006/relationships/hyperlink" Target="mailto:Annalisa.Tessarolo@eesc.europa.eu" TargetMode="External"/><Relationship Id="rId56" Type="http://schemas.openxmlformats.org/officeDocument/2006/relationships/hyperlink" Target="mailto:annalisa.tessarolo@eesc.europa.eu" TargetMode="External"/><Relationship Id="rId64" Type="http://schemas.openxmlformats.org/officeDocument/2006/relationships/hyperlink" Target="mailto:Caroline.Verhelst@eesc.europa.eu" TargetMode="External"/><Relationship Id="rId69" Type="http://schemas.openxmlformats.org/officeDocument/2006/relationships/hyperlink" Target="https://www.eesc.europa.eu/de/our-work/opinions-information-reports/opinions/waste-plants-resource-plants" TargetMode="External"/><Relationship Id="rId77"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hyperlink" Target="https://www.eesc.europa.eu/de/our-work/opinions-information-reports/information-reports/evaluation-digital-europe-programme" TargetMode="External"/><Relationship Id="rId72" Type="http://schemas.openxmlformats.org/officeDocument/2006/relationships/hyperlink" Target="mailto:Laia.TomasVinardell@eesc.europa.eu" TargetMode="External"/><Relationship Id="rId80" Type="http://schemas.openxmlformats.org/officeDocument/2006/relationships/theme" Target="theme/theme1.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de/our-work/opinions-information-reports/opinions/enhancing-fiscal-transparency-through-participatory-budgeting-eu" TargetMode="External"/><Relationship Id="rId33" Type="http://schemas.openxmlformats.org/officeDocument/2006/relationships/hyperlink" Target="https://www.eesc.europa.eu/de/our-work/opinions-information-reports/opinions/devising-european-flagship-initiative-health" TargetMode="External"/><Relationship Id="rId38" Type="http://schemas.openxmlformats.org/officeDocument/2006/relationships/hyperlink" Target="mailto:Ana.Dumitrache@eesc.europa.eu" TargetMode="External"/><Relationship Id="rId46" Type="http://schemas.openxmlformats.org/officeDocument/2006/relationships/hyperlink" Target="mailto:Silvia.Staffa@eesc.europa.eu" TargetMode="External"/><Relationship Id="rId59" Type="http://schemas.openxmlformats.org/officeDocument/2006/relationships/hyperlink" Target="https://www.eesc.europa.eu/de/our-work/opinions-information-reports/opinions/amending-deforestation-regulation-eu-20231115-regards-provisions-relating-date-application" TargetMode="External"/><Relationship Id="rId67" Type="http://schemas.openxmlformats.org/officeDocument/2006/relationships/hyperlink" Target="https://www.eesc.europa.eu/de/our-work/opinions-information-reports/opinions/clean-transition-dialogues-stocktaking-strong-european-industry-sustainable-europe" TargetMode="External"/><Relationship Id="rId20" Type="http://schemas.openxmlformats.org/officeDocument/2006/relationships/footer" Target="footer3.xml"/><Relationship Id="rId41" Type="http://schemas.openxmlformats.org/officeDocument/2006/relationships/hyperlink" Target="https://www.eesc.europa.eu/de/our-work/opinions-information-reports/opinions/potential-geothermal-energy-green-transition" TargetMode="External"/><Relationship Id="rId54" Type="http://schemas.openxmlformats.org/officeDocument/2006/relationships/hyperlink" Target="mailto:Radoslava.Stefankova@eesc.europa.eu" TargetMode="External"/><Relationship Id="rId62" Type="http://schemas.openxmlformats.org/officeDocument/2006/relationships/hyperlink" Target="mailto:Myrto.Kolyva@eesc.europa.eu" TargetMode="External"/><Relationship Id="rId70" Type="http://schemas.openxmlformats.org/officeDocument/2006/relationships/hyperlink" Target="mailto:Marie-Laurence.Drillon@eesc.europa.eu" TargetMode="External"/><Relationship Id="rId75" Type="http://schemas.openxmlformats.org/officeDocument/2006/relationships/footer" Target="footer4.xml"/><Relationship Id="rId83" Type="http://schemas.openxmlformats.org/officeDocument/2006/relationships/customXml" Target="../customXml/item3.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de/our-work/opinions-information-reports/opinions/additional-considerations-annual-sustainable-growth-survey-2024" TargetMode="External"/><Relationship Id="rId28" Type="http://schemas.openxmlformats.org/officeDocument/2006/relationships/hyperlink" Target="mailto:Anna.Pantazi@eesc.europa.eu" TargetMode="External"/><Relationship Id="rId36" Type="http://schemas.openxmlformats.org/officeDocument/2006/relationships/hyperlink" Target="mailto:Valeria.Atzori@eesc.europa.eu" TargetMode="External"/><Relationship Id="rId49" Type="http://schemas.openxmlformats.org/officeDocument/2006/relationships/hyperlink" Target="https://www.eesc.europa.eu/de/our-work/opinions-information-reports/opinions/general-purpose-ai-way-forward-after-ai-act" TargetMode="External"/><Relationship Id="rId57" Type="http://schemas.openxmlformats.org/officeDocument/2006/relationships/hyperlink" Target="https://www.eesc.europa.eu/de/our-work/opinions-information-reports/opinions/extension-equivalence-regime-imports-forest-reproductive-material" TargetMode="External"/><Relationship Id="rId10" Type="http://schemas.openxmlformats.org/officeDocument/2006/relationships/footnotes" Target="footnotes.xml"/><Relationship Id="rId31" Type="http://schemas.openxmlformats.org/officeDocument/2006/relationships/hyperlink" Target="mailto:Bartek.Bednarowicz@eesc.europa.eu" TargetMode="External"/><Relationship Id="rId44" Type="http://schemas.openxmlformats.org/officeDocument/2006/relationships/hyperlink" Target="mailto:Albert.Precup@eesc.europa.eu" TargetMode="External"/><Relationship Id="rId52" Type="http://schemas.openxmlformats.org/officeDocument/2006/relationships/hyperlink" Target="mailto:Marco.Manfroni@eesc.europa.eu" TargetMode="External"/><Relationship Id="rId60" Type="http://schemas.openxmlformats.org/officeDocument/2006/relationships/hyperlink" Target="mailto:Martine.Delanoy@eesc.europa.eu" TargetMode="External"/><Relationship Id="rId65" Type="http://schemas.openxmlformats.org/officeDocument/2006/relationships/hyperlink" Target="https://www.eesc.europa.eu/de/our-work/opinions-information-reports/opinions/revision-eu-visa-suspension-mechanism" TargetMode="External"/><Relationship Id="rId73" Type="http://schemas.openxmlformats.org/officeDocument/2006/relationships/header" Target="header4.xml"/><Relationship Id="rId78" Type="http://schemas.openxmlformats.org/officeDocument/2006/relationships/footer" Target="footer6.xml"/><Relationship Id="rId81" Type="http://schemas.openxmlformats.org/officeDocument/2006/relationships/customXml" Target="../customXml/item1.xml"/><Relationship Id="rId9" Type="http://schemas.openxmlformats.org/officeDocument/2006/relationships/webSettings" Target="webSettings.xml"/><Relationship Id="rId13" Type="http://schemas.openxmlformats.org/officeDocument/2006/relationships/hyperlink" Target="https://www.eesc.europa.eu/de/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https://www.eesc.europa.eu/de/our-work/opinions-information-reports/opinions/imbalances-social-protection-general-and-specifically-new-forms-work-and-atypical-workers" TargetMode="External"/><Relationship Id="rId34" Type="http://schemas.openxmlformats.org/officeDocument/2006/relationships/hyperlink" Target="mailto:Valeria.Atzori@eesc.europa.eu" TargetMode="External"/><Relationship Id="rId50" Type="http://schemas.openxmlformats.org/officeDocument/2006/relationships/hyperlink" Target="mailto:Veronika.Kadlecova@eesc.europa.eu" TargetMode="External"/><Relationship Id="rId55" Type="http://schemas.openxmlformats.org/officeDocument/2006/relationships/hyperlink" Target="https://www.eesc.europa.eu/de/our-work/opinions-information-reports/opinions/fight-against-counterfeiting" TargetMode="External"/><Relationship Id="rId76" Type="http://schemas.openxmlformats.org/officeDocument/2006/relationships/footer" Target="footer5.xml"/><Relationship Id="rId7" Type="http://schemas.openxmlformats.org/officeDocument/2006/relationships/styles" Target="styles.xml"/><Relationship Id="rId71" Type="http://schemas.openxmlformats.org/officeDocument/2006/relationships/hyperlink" Target="https://www.eesc.europa.eu/de/our-work/opinions-information-reports/opinions/industry-50-how-make-it-happen" TargetMode="External"/><Relationship Id="rId29" Type="http://schemas.openxmlformats.org/officeDocument/2006/relationships/hyperlink" Target="https://www.eesc.europa.eu/de/our-work/opinions-information-reports/opinions/ensuring-needs-based-work-life-balance-all-how-adequate-flexible-working-conditions-can-support-intergenerationa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esc.europa.eu/de/our-work/opinions-information-reports/opinions/minimising-risk-deforestation-and-forest-degradation-associated-products-placed-eu-market" TargetMode="External"/><Relationship Id="rId2" Type="http://schemas.openxmlformats.org/officeDocument/2006/relationships/hyperlink" Target="https://www.eesc.europa.eu/de/our-work/opinions-information-reports/opinions/deforestation-amazon-rainforest-impact-climate-change-and-global-environment-consequences-companies-workers-and" TargetMode="External"/><Relationship Id="rId1" Type="http://schemas.openxmlformats.org/officeDocument/2006/relationships/hyperlink" Target="http://data.europa.eu/eli/C/2023/883/oj" TargetMode="External"/><Relationship Id="rId4" Type="http://schemas.openxmlformats.org/officeDocument/2006/relationships/hyperlink" Target="file:///https://eur-lex.europa.eu/legal-content/DE/TXT/?uri=OJ:C:2022:275: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06661FC727DF04D98883761B3120F64" ma:contentTypeVersion="4" ma:contentTypeDescription="Defines the documents for Document Manager V2" ma:contentTypeScope="" ma:versionID="6ec916a2ecfb81da7b08e0cfe0534eb8">
  <xsd:schema xmlns:xsd="http://www.w3.org/2001/XMLSchema" xmlns:xs="http://www.w3.org/2001/XMLSchema" xmlns:p="http://schemas.microsoft.com/office/2006/metadata/properties" xmlns:ns2="59ace41b-6786-4ce3-be71-52c27066c6ef" xmlns:ns3="http://schemas.microsoft.com/sharepoint/v3/fields" xmlns:ns4="699f5230-8002-47b7-b3bd-c7b6c8cbc844" targetNamespace="http://schemas.microsoft.com/office/2006/metadata/properties" ma:root="true" ma:fieldsID="fbaa6359cdccd01ac3f453a114801edc" ns2:_="" ns3:_="" ns4:_="">
    <xsd:import namespace="59ace41b-6786-4ce3-be71-52c27066c6ef"/>
    <xsd:import namespace="http://schemas.microsoft.com/sharepoint/v3/fields"/>
    <xsd:import namespace="699f5230-8002-47b7-b3bd-c7b6c8cbc84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9f5230-8002-47b7-b3bd-c7b6c8cbc84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F7M6YNZUATRX-2090047846-4939</_dlc_DocId>
    <_dlc_DocIdUrl xmlns="59ace41b-6786-4ce3-be71-52c27066c6ef">
      <Url>http://dm/eesc/2024/_layouts/15/DocIdRedir.aspx?ID=F7M6YNZUATRX-2090047846-4939</Url>
      <Description>F7M6YNZUATRX-2090047846-4939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2024-11-19T12:00:00+00:00</ProductionDate>
    <DocumentNumber xmlns="699f5230-8002-47b7-b3bd-c7b6c8cbc844">3425</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2024-12-04T12:00:00+00:00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11376</FicheNumber>
    <OriginalSender xmlns="59ace41b-6786-4ce3-be71-52c27066c6ef">
      <UserInfo>
        <DisplayName>Jonnek Holger</DisplayName>
        <AccountId>1547</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99f5230-8002-47b7-b3bd-c7b6c8cbc844">592</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Props1.xml><?xml version="1.0" encoding="utf-8"?>
<ds:datastoreItem xmlns:ds="http://schemas.openxmlformats.org/officeDocument/2006/customXml" ds:itemID="{9C15523D-032D-413F-BDB5-8D8790CB20BD}"/>
</file>

<file path=customXml/itemProps2.xml><?xml version="1.0" encoding="utf-8"?>
<ds:datastoreItem xmlns:ds="http://schemas.openxmlformats.org/officeDocument/2006/customXml" ds:itemID="{85D153F5-ED61-4E5D-BEDF-07DE5A36ED2C}"/>
</file>

<file path=customXml/itemProps3.xml><?xml version="1.0" encoding="utf-8"?>
<ds:datastoreItem xmlns:ds="http://schemas.openxmlformats.org/officeDocument/2006/customXml" ds:itemID="{A8C14FEA-E403-4D2C-820E-D667C8B2B4C4}"/>
</file>

<file path=customXml/itemProps4.xml><?xml version="1.0" encoding="utf-8"?>
<ds:datastoreItem xmlns:ds="http://schemas.openxmlformats.org/officeDocument/2006/customXml" ds:itemID="{9AD8CC9B-93BA-4752-B7D2-02CF870AF096}"/>
</file>

<file path=docProps/app.xml><?xml version="1.0" encoding="utf-8"?>
<Properties xmlns="http://schemas.openxmlformats.org/officeDocument/2006/extended-properties" xmlns:vt="http://schemas.openxmlformats.org/officeDocument/2006/docPropsVTypes">
  <Template>Normal.dotm</Template>
  <TotalTime>0</TotalTime>
  <Pages>31</Pages>
  <Words>10209</Words>
  <Characters>58193</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68266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Zusammenfassung der Stellungnahmen - 591. Plenartagung - Oktober 2024</dc:title>
  <dc:subject>TCD</dc:subject>
  <dc:creator>Nieddu Emma</dc:creator>
  <cp:keywords>EESC-2024-03425-00-00-TCD-TRA-EN</cp:keywords>
  <dc:description>Rapporteur:  - Original language: EN - Date of document: 19/11/2024 - Date of meeting: 30/04/2024 14:30 - External documents:  - Administrator: MME TAMASAUSKIENE Julija</dc:description>
  <cp:lastModifiedBy>Jonnek Holger</cp:lastModifiedBy>
  <cp:revision>12</cp:revision>
  <dcterms:created xsi:type="dcterms:W3CDTF">2024-11-15T08:24:00Z</dcterms:created>
  <dcterms:modified xsi:type="dcterms:W3CDTF">2024-11-19T15:05:00Z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15/11/2024, 02/05/2022, 02/05/2022, 28/06/2021</vt:lpwstr>
  </property>
  <property fmtid="{D5CDD505-2E9C-101B-9397-08002B2CF9AE}" pid="4" name="Pref_Time">
    <vt:lpwstr>09:18:14, 12:28:29, 12:25:37, 08:41:48</vt:lpwstr>
  </property>
  <property fmtid="{D5CDD505-2E9C-101B-9397-08002B2CF9AE}" pid="5" name="Pref_User">
    <vt:lpwstr>pacup, enied, enied, enied</vt:lpwstr>
  </property>
  <property fmtid="{D5CDD505-2E9C-101B-9397-08002B2CF9AE}" pid="6" name="Pref_FileName">
    <vt:lpwstr>EESC-2024-03425-00-00-TCD-ORI.docx, Summary of opinions.docx, COR-EESC-2022-02370-00-00-ADMIN-ORI.docx, Synthese des avis Template.docx</vt:lpwstr>
  </property>
  <property fmtid="{D5CDD505-2E9C-101B-9397-08002B2CF9AE}" pid="7" name="ContentTypeId">
    <vt:lpwstr>0x010100EA97B91038054C99906057A708A1480A00B06661FC727DF04D98883761B3120F64</vt:lpwstr>
  </property>
  <property fmtid="{D5CDD505-2E9C-101B-9397-08002B2CF9AE}" pid="8" name="_dlc_DocIdItemGuid">
    <vt:lpwstr>ffceedb4-3287-4736-9b0c-3bbf36b5e5c0</vt:lpwstr>
  </property>
  <property fmtid="{D5CDD505-2E9C-101B-9397-08002B2CF9AE}" pid="9" name="AvailableTranslations">
    <vt:lpwstr>33;#ET|ff6c3f4c-b02c-4c3c-ab07-2c37995a7a0a;#31;#NL|55c6556c-b4f4-441d-9acf-c498d4f838bd;#28;#LV|46f7e311-5d9f-4663-b433-18aeccb7ace7;#5;#EN|f2175f21-25d7-44a3-96da-d6a61b075e1b;#17;#PL|1e03da61-4678-4e07-b136-b5024ca9197b;#25;#DE|f6b31e5a-26fa-4935-b661-318e46daf27e;#43;#CS|72f9705b-0217-4fd3-bea2-cbc7ed80e26e;#24;#ES|e7a6b05b-ae16-40c8-add9-68b64b03aeba;#34;#LT|a7ff5ce7-6123-4f68-865a-a57c31810414;#22;#BG|1a1b3951-7821-4e6a-85f5-5673fc08bd2c;#35;#FI|87606a43-d45f-42d6-b8c9-e1a3457db5b7;#14;#FR|d2afafd3-4c81-4f60-8f52-ee33f2f54ff3;#37;#RO|feb747a2-64cd-4299-af12-4833ddc30497;#27;#SL|98a412ae-eb01-49e9-ae3d-585a81724cfc;#16;#DA|5d49c027-8956-412b-aa16-e85a0f96ad0e;#29;#EL|6d4f4d51-af9b-4650-94b4-4276bee85c91;#30;#HR|2f555653-ed1a-4fe6-8362-9082d95989e5;#32;#HU|6b229040-c589-4408-b4c1-4285663d20a8;#12;#IT|0774613c-01ed-4e5d-a25d-11d2388de825;#21;#SV|c2ed69e7-a339-43d7-8f22-d93680a92aa0;#36;#PT|50ccc04a-eadd-42ae-a0cb-acaf45f812ba;#26;#SK|46d9fce0-ef79-4f71-b89b-cd6aa82426b8</vt:lpwstr>
  </property>
  <property fmtid="{D5CDD505-2E9C-101B-9397-08002B2CF9AE}" pid="10" name="DocumentType_0">
    <vt:lpwstr>TCD|cd9d6eb6-3f4f-424a-b2d1-57c9d450eaaf</vt:lpwstr>
  </property>
  <property fmtid="{D5CDD505-2E9C-101B-9397-08002B2CF9AE}" pid="11" name="MeetingNumber">
    <vt:i4>592</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3425</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2024-12-04T12:00:00Z</vt:filetime>
  </property>
  <property fmtid="{D5CDD505-2E9C-101B-9397-08002B2CF9AE}" pid="29" name="AvailableTranslations_0">
    <vt:lpwstr>LV|46f7e311-5d9f-4663-b433-18aeccb7ace7;EN|f2175f21-25d7-44a3-96da-d6a61b075e1b;ES|e7a6b05b-ae16-40c8-add9-68b64b03aeba;LT|a7ff5ce7-6123-4f68-865a-a57c31810414;FI|87606a43-d45f-42d6-b8c9-e1a3457db5b7;FR|d2afafd3-4c81-4f60-8f52-ee33f2f54ff3</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24;#ES|e7a6b05b-ae16-40c8-add9-68b64b03aeba;#35;#FI|87606a43-d45f-42d6-b8c9-e1a3457db5b7;#14;#FR|d2afafd3-4c81-4f60-8f52-ee33f2f54ff3;#13;#TCD|cd9d6eb6-3f4f-424a-b2d1-57c9d450eaaf;#28;#LV|46f7e311-5d9f-4663-b433-18aeccb7ace7;#8;#Final|ea5e6674-7b27-4bac-b091-73adbb394efe;#7;#SPL-CES|32d8cb1f-c9ec-4365-95c7-8385a18618ac;#6;#Unrestricted|826e22d7-d029-4ec0-a450-0c28ff673572;#5;#EN|f2175f21-25d7-44a3-96da-d6a61b075e1b;#3;#TRA|150d2a88-1431-44e6-a8ca-0bb753ab8672;#1;#EESC|422833ec-8d7e-4e65-8e4e-8bed07ffb729;#34;#LT|a7ff5ce7-6123-4f68-865a-a57c31810414</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11376</vt:i4>
  </property>
  <property fmtid="{D5CDD505-2E9C-101B-9397-08002B2CF9AE}" pid="37" name="DocumentLanguage">
    <vt:lpwstr>25;#DE|f6b31e5a-26fa-4935-b661-318e46daf27e</vt:lpwstr>
  </property>
  <property fmtid="{D5CDD505-2E9C-101B-9397-08002B2CF9AE}" pid="38" name="_docset_NoMedatataSyncRequired">
    <vt:lpwstr>False</vt:lpwstr>
  </property>
</Properties>
</file>