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67D2D" w14:paraId="4982DD4D" w14:textId="43655D4F">
      <w:pPr>
        <w:jc w:val="center"/>
      </w:pPr>
      <w:r>
        <w:rPr>
          <w:noProof/>
        </w:rPr>
        <w:drawing>
          <wp:inline distT="0" distB="0" distL="0" distR="0" wp14:anchorId="28D6A5B8" wp14:editId="0B652C69">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22B97D23"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DA</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Bruxelles den 2. december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591. PLENARFORSAMLING</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den 23. og 24. oktober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SAMMENDRAG AF VEDTAGNE UDTALELSER, RESOLUTIONER OG INFORMATIONS- OGEVALUERINGSRAPPORTER</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t>Dette dokument findes på alle de officielle EU-sprog på EØSU's hjemmeside:</w:t>
            </w:r>
            <w:r>
              <w:br/>
            </w:r>
            <w:r>
              <w:br/>
            </w:r>
            <w:hyperlink w:history="1" r:id="rId13">
              <w:r>
                <w:rPr>
                  <w:rStyle w:val="Hyperlink"/>
                </w:rPr>
                <w:t>https://www.eesc.europa.eu/da/our-work/opinions-information-reports/plenary-session-summaries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De omtalte udtalelser kan konsulteres online via EØSU's database:</w:t>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Indholdsfortegnelse:</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BA19EC" w:rsidRDefault="007E03C9" w14:paraId="06D3F5DD" w14:textId="4737ED28">
          <w:pPr>
            <w:pStyle w:val="TOC1"/>
            <w:tabs>
              <w:tab w:val="left" w:pos="440"/>
              <w:tab w:val="right" w:leader="dot" w:pos="9488"/>
            </w:tabs>
            <w:rPr>
              <w:rFonts w:asciiTheme="minorHAnsi" w:hAnsiTheme="minorHAnsi" w:eastAsiaTheme="minorEastAsia" w:cstheme="minorBidi"/>
              <w:noProof/>
              <w:lang w:eastAsia="da-DK"/>
            </w:rPr>
          </w:pPr>
          <w:r>
            <w:rPr>
              <w:b/>
            </w:rPr>
            <w:fldChar w:fldCharType="begin"/>
          </w:r>
          <w:r>
            <w:rPr>
              <w:b/>
            </w:rPr>
            <w:instrText xml:space="preserve"> TOC \o "1-1" \h \z \u </w:instrText>
          </w:r>
          <w:r>
            <w:rPr>
              <w:b/>
            </w:rPr>
            <w:fldChar w:fldCharType="separate"/>
          </w:r>
          <w:hyperlink w:history="1" w:anchor="_Toc183175799">
            <w:r w:rsidRPr="00993C3C" w:rsidR="00BA19EC">
              <w:rPr>
                <w:rStyle w:val="Hyperlink"/>
                <w:noProof/>
              </w:rPr>
              <w:t>1.</w:t>
            </w:r>
            <w:r w:rsidR="00BA19EC">
              <w:rPr>
                <w:rFonts w:asciiTheme="minorHAnsi" w:hAnsiTheme="minorHAnsi" w:eastAsiaTheme="minorEastAsia" w:cstheme="minorBidi"/>
                <w:noProof/>
                <w:lang w:eastAsia="da-DK"/>
              </w:rPr>
              <w:tab/>
            </w:r>
            <w:r w:rsidRPr="00993C3C" w:rsidR="00BA19EC">
              <w:rPr>
                <w:rStyle w:val="Hyperlink"/>
                <w:noProof/>
              </w:rPr>
              <w:t>DEN ØKONOMISKE OG MONETÆRE UNION OG ØKONOMISK OG SOCIAL SAMHØRIGHED</w:t>
            </w:r>
            <w:r w:rsidR="00BA19EC">
              <w:rPr>
                <w:noProof/>
                <w:webHidden/>
              </w:rPr>
              <w:tab/>
            </w:r>
            <w:r w:rsidR="00BA19EC">
              <w:rPr>
                <w:noProof/>
                <w:webHidden/>
              </w:rPr>
              <w:fldChar w:fldCharType="begin"/>
            </w:r>
            <w:r w:rsidR="00BA19EC">
              <w:rPr>
                <w:noProof/>
                <w:webHidden/>
              </w:rPr>
              <w:instrText xml:space="preserve"> PAGEREF _Toc183175799 \h </w:instrText>
            </w:r>
            <w:r w:rsidR="00BA19EC">
              <w:rPr>
                <w:noProof/>
                <w:webHidden/>
              </w:rPr>
            </w:r>
            <w:r w:rsidR="00BA19EC">
              <w:rPr>
                <w:noProof/>
                <w:webHidden/>
              </w:rPr>
              <w:fldChar w:fldCharType="separate"/>
            </w:r>
            <w:r w:rsidR="00BA19EC">
              <w:rPr>
                <w:noProof/>
                <w:webHidden/>
              </w:rPr>
              <w:t>3</w:t>
            </w:r>
            <w:r w:rsidR="00BA19EC">
              <w:rPr>
                <w:noProof/>
                <w:webHidden/>
              </w:rPr>
              <w:fldChar w:fldCharType="end"/>
            </w:r>
          </w:hyperlink>
        </w:p>
        <w:p w:rsidR="00BA19EC" w:rsidRDefault="00536B9B" w14:paraId="0C8BD277" w14:textId="3CEE4D38">
          <w:pPr>
            <w:pStyle w:val="TOC1"/>
            <w:tabs>
              <w:tab w:val="left" w:pos="440"/>
              <w:tab w:val="right" w:leader="dot" w:pos="9488"/>
            </w:tabs>
            <w:rPr>
              <w:rFonts w:asciiTheme="minorHAnsi" w:hAnsiTheme="minorHAnsi" w:eastAsiaTheme="minorEastAsia" w:cstheme="minorBidi"/>
              <w:noProof/>
              <w:lang w:eastAsia="da-DK"/>
            </w:rPr>
          </w:pPr>
          <w:hyperlink w:history="1" w:anchor="_Toc183175800">
            <w:r w:rsidRPr="00993C3C" w:rsidR="00BA19EC">
              <w:rPr>
                <w:rStyle w:val="Hyperlink"/>
                <w:noProof/>
              </w:rPr>
              <w:t>2.</w:t>
            </w:r>
            <w:r w:rsidR="00BA19EC">
              <w:rPr>
                <w:rFonts w:asciiTheme="minorHAnsi" w:hAnsiTheme="minorHAnsi" w:eastAsiaTheme="minorEastAsia" w:cstheme="minorBidi"/>
                <w:noProof/>
                <w:lang w:eastAsia="da-DK"/>
              </w:rPr>
              <w:tab/>
            </w:r>
            <w:r w:rsidRPr="00993C3C" w:rsidR="00BA19EC">
              <w:rPr>
                <w:rStyle w:val="Hyperlink"/>
                <w:noProof/>
              </w:rPr>
              <w:t>BESKÆFTIGELSE, SOCIALE SPØRGSMÅL OG UNIONSBORGERSKAB</w:t>
            </w:r>
            <w:r w:rsidR="00BA19EC">
              <w:rPr>
                <w:noProof/>
                <w:webHidden/>
              </w:rPr>
              <w:tab/>
            </w:r>
            <w:r w:rsidR="00BA19EC">
              <w:rPr>
                <w:noProof/>
                <w:webHidden/>
              </w:rPr>
              <w:fldChar w:fldCharType="begin"/>
            </w:r>
            <w:r w:rsidR="00BA19EC">
              <w:rPr>
                <w:noProof/>
                <w:webHidden/>
              </w:rPr>
              <w:instrText xml:space="preserve"> PAGEREF _Toc183175800 \h </w:instrText>
            </w:r>
            <w:r w:rsidR="00BA19EC">
              <w:rPr>
                <w:noProof/>
                <w:webHidden/>
              </w:rPr>
            </w:r>
            <w:r w:rsidR="00BA19EC">
              <w:rPr>
                <w:noProof/>
                <w:webHidden/>
              </w:rPr>
              <w:fldChar w:fldCharType="separate"/>
            </w:r>
            <w:r w:rsidR="00BA19EC">
              <w:rPr>
                <w:noProof/>
                <w:webHidden/>
              </w:rPr>
              <w:t>10</w:t>
            </w:r>
            <w:r w:rsidR="00BA19EC">
              <w:rPr>
                <w:noProof/>
                <w:webHidden/>
              </w:rPr>
              <w:fldChar w:fldCharType="end"/>
            </w:r>
          </w:hyperlink>
        </w:p>
        <w:p w:rsidR="00BA19EC" w:rsidRDefault="00536B9B" w14:paraId="6B15D507" w14:textId="2A76D7A3">
          <w:pPr>
            <w:pStyle w:val="TOC1"/>
            <w:tabs>
              <w:tab w:val="left" w:pos="440"/>
              <w:tab w:val="right" w:leader="dot" w:pos="9488"/>
            </w:tabs>
            <w:rPr>
              <w:rFonts w:asciiTheme="minorHAnsi" w:hAnsiTheme="minorHAnsi" w:eastAsiaTheme="minorEastAsia" w:cstheme="minorBidi"/>
              <w:noProof/>
              <w:lang w:eastAsia="da-DK"/>
            </w:rPr>
          </w:pPr>
          <w:hyperlink w:history="1" w:anchor="_Toc183175801">
            <w:r w:rsidRPr="00993C3C" w:rsidR="00BA19EC">
              <w:rPr>
                <w:rStyle w:val="Hyperlink"/>
                <w:noProof/>
              </w:rPr>
              <w:t>3.</w:t>
            </w:r>
            <w:r w:rsidR="00BA19EC">
              <w:rPr>
                <w:rFonts w:asciiTheme="minorHAnsi" w:hAnsiTheme="minorHAnsi" w:eastAsiaTheme="minorEastAsia" w:cstheme="minorBidi"/>
                <w:noProof/>
                <w:lang w:eastAsia="da-DK"/>
              </w:rPr>
              <w:tab/>
            </w:r>
            <w:r w:rsidRPr="00993C3C" w:rsidR="00BA19EC">
              <w:rPr>
                <w:rStyle w:val="Hyperlink"/>
                <w:noProof/>
              </w:rPr>
              <w:t>TRANSPORT, ENERGI, INFRASTRUKTUR OG INFORMATIONSSAMFUNDET</w:t>
            </w:r>
            <w:r w:rsidR="00BA19EC">
              <w:rPr>
                <w:noProof/>
                <w:webHidden/>
              </w:rPr>
              <w:tab/>
            </w:r>
            <w:r w:rsidR="00BA19EC">
              <w:rPr>
                <w:noProof/>
                <w:webHidden/>
              </w:rPr>
              <w:fldChar w:fldCharType="begin"/>
            </w:r>
            <w:r w:rsidR="00BA19EC">
              <w:rPr>
                <w:noProof/>
                <w:webHidden/>
              </w:rPr>
              <w:instrText xml:space="preserve"> PAGEREF _Toc183175801 \h </w:instrText>
            </w:r>
            <w:r w:rsidR="00BA19EC">
              <w:rPr>
                <w:noProof/>
                <w:webHidden/>
              </w:rPr>
            </w:r>
            <w:r w:rsidR="00BA19EC">
              <w:rPr>
                <w:noProof/>
                <w:webHidden/>
              </w:rPr>
              <w:fldChar w:fldCharType="separate"/>
            </w:r>
            <w:r w:rsidR="00BA19EC">
              <w:rPr>
                <w:noProof/>
                <w:webHidden/>
              </w:rPr>
              <w:t>17</w:t>
            </w:r>
            <w:r w:rsidR="00BA19EC">
              <w:rPr>
                <w:noProof/>
                <w:webHidden/>
              </w:rPr>
              <w:fldChar w:fldCharType="end"/>
            </w:r>
          </w:hyperlink>
        </w:p>
        <w:p w:rsidR="00BA19EC" w:rsidRDefault="00536B9B" w14:paraId="3F9A576B" w14:textId="4954B0DB">
          <w:pPr>
            <w:pStyle w:val="TOC1"/>
            <w:tabs>
              <w:tab w:val="left" w:pos="440"/>
              <w:tab w:val="right" w:leader="dot" w:pos="9488"/>
            </w:tabs>
            <w:rPr>
              <w:rFonts w:asciiTheme="minorHAnsi" w:hAnsiTheme="minorHAnsi" w:eastAsiaTheme="minorEastAsia" w:cstheme="minorBidi"/>
              <w:noProof/>
              <w:lang w:eastAsia="da-DK"/>
            </w:rPr>
          </w:pPr>
          <w:hyperlink w:history="1" w:anchor="_Toc183175802">
            <w:r w:rsidRPr="00993C3C" w:rsidR="00BA19EC">
              <w:rPr>
                <w:rStyle w:val="Hyperlink"/>
                <w:noProof/>
              </w:rPr>
              <w:t>4.</w:t>
            </w:r>
            <w:r w:rsidR="00BA19EC">
              <w:rPr>
                <w:rFonts w:asciiTheme="minorHAnsi" w:hAnsiTheme="minorHAnsi" w:eastAsiaTheme="minorEastAsia" w:cstheme="minorBidi"/>
                <w:noProof/>
                <w:lang w:eastAsia="da-DK"/>
              </w:rPr>
              <w:tab/>
            </w:r>
            <w:r w:rsidRPr="00993C3C" w:rsidR="00BA19EC">
              <w:rPr>
                <w:rStyle w:val="Hyperlink"/>
                <w:noProof/>
              </w:rPr>
              <w:t>DET INDRE MARKED, PRODUKTION OG FORBRUG</w:t>
            </w:r>
            <w:r w:rsidR="00BA19EC">
              <w:rPr>
                <w:noProof/>
                <w:webHidden/>
              </w:rPr>
              <w:tab/>
            </w:r>
            <w:r w:rsidR="00BA19EC">
              <w:rPr>
                <w:noProof/>
                <w:webHidden/>
              </w:rPr>
              <w:fldChar w:fldCharType="begin"/>
            </w:r>
            <w:r w:rsidR="00BA19EC">
              <w:rPr>
                <w:noProof/>
                <w:webHidden/>
              </w:rPr>
              <w:instrText xml:space="preserve"> PAGEREF _Toc183175802 \h </w:instrText>
            </w:r>
            <w:r w:rsidR="00BA19EC">
              <w:rPr>
                <w:noProof/>
                <w:webHidden/>
              </w:rPr>
            </w:r>
            <w:r w:rsidR="00BA19EC">
              <w:rPr>
                <w:noProof/>
                <w:webHidden/>
              </w:rPr>
              <w:fldChar w:fldCharType="separate"/>
            </w:r>
            <w:r w:rsidR="00BA19EC">
              <w:rPr>
                <w:noProof/>
                <w:webHidden/>
              </w:rPr>
              <w:t>19</w:t>
            </w:r>
            <w:r w:rsidR="00BA19EC">
              <w:rPr>
                <w:noProof/>
                <w:webHidden/>
              </w:rPr>
              <w:fldChar w:fldCharType="end"/>
            </w:r>
          </w:hyperlink>
        </w:p>
        <w:p w:rsidR="00BA19EC" w:rsidRDefault="00536B9B" w14:paraId="1F1870AD" w14:textId="06D6F16F">
          <w:pPr>
            <w:pStyle w:val="TOC1"/>
            <w:tabs>
              <w:tab w:val="left" w:pos="440"/>
              <w:tab w:val="right" w:leader="dot" w:pos="9488"/>
            </w:tabs>
            <w:rPr>
              <w:rFonts w:asciiTheme="minorHAnsi" w:hAnsiTheme="minorHAnsi" w:eastAsiaTheme="minorEastAsia" w:cstheme="minorBidi"/>
              <w:noProof/>
              <w:lang w:eastAsia="da-DK"/>
            </w:rPr>
          </w:pPr>
          <w:hyperlink w:history="1" w:anchor="_Toc183175803">
            <w:r w:rsidRPr="00993C3C" w:rsidR="00BA19EC">
              <w:rPr>
                <w:rStyle w:val="Hyperlink"/>
                <w:noProof/>
              </w:rPr>
              <w:t>5.</w:t>
            </w:r>
            <w:r w:rsidR="00BA19EC">
              <w:rPr>
                <w:rFonts w:asciiTheme="minorHAnsi" w:hAnsiTheme="minorHAnsi" w:eastAsiaTheme="minorEastAsia" w:cstheme="minorBidi"/>
                <w:noProof/>
                <w:lang w:eastAsia="da-DK"/>
              </w:rPr>
              <w:tab/>
            </w:r>
            <w:r w:rsidRPr="00993C3C" w:rsidR="00BA19EC">
              <w:rPr>
                <w:rStyle w:val="Hyperlink"/>
                <w:noProof/>
              </w:rPr>
              <w:t>LANDBRUG, UDVIKLING AF LANDDISTRIKTERNE OG MILJØ</w:t>
            </w:r>
            <w:r w:rsidR="00BA19EC">
              <w:rPr>
                <w:noProof/>
                <w:webHidden/>
              </w:rPr>
              <w:tab/>
            </w:r>
            <w:r w:rsidR="00BA19EC">
              <w:rPr>
                <w:noProof/>
                <w:webHidden/>
              </w:rPr>
              <w:fldChar w:fldCharType="begin"/>
            </w:r>
            <w:r w:rsidR="00BA19EC">
              <w:rPr>
                <w:noProof/>
                <w:webHidden/>
              </w:rPr>
              <w:instrText xml:space="preserve"> PAGEREF _Toc183175803 \h </w:instrText>
            </w:r>
            <w:r w:rsidR="00BA19EC">
              <w:rPr>
                <w:noProof/>
                <w:webHidden/>
              </w:rPr>
            </w:r>
            <w:r w:rsidR="00BA19EC">
              <w:rPr>
                <w:noProof/>
                <w:webHidden/>
              </w:rPr>
              <w:fldChar w:fldCharType="separate"/>
            </w:r>
            <w:r w:rsidR="00BA19EC">
              <w:rPr>
                <w:noProof/>
                <w:webHidden/>
              </w:rPr>
              <w:t>25</w:t>
            </w:r>
            <w:r w:rsidR="00BA19EC">
              <w:rPr>
                <w:noProof/>
                <w:webHidden/>
              </w:rPr>
              <w:fldChar w:fldCharType="end"/>
            </w:r>
          </w:hyperlink>
        </w:p>
        <w:p w:rsidR="00BA19EC" w:rsidRDefault="00536B9B" w14:paraId="07A7574C" w14:textId="0ED3EF47">
          <w:pPr>
            <w:pStyle w:val="TOC1"/>
            <w:tabs>
              <w:tab w:val="left" w:pos="440"/>
              <w:tab w:val="right" w:leader="dot" w:pos="9488"/>
            </w:tabs>
            <w:rPr>
              <w:rFonts w:asciiTheme="minorHAnsi" w:hAnsiTheme="minorHAnsi" w:eastAsiaTheme="minorEastAsia" w:cstheme="minorBidi"/>
              <w:noProof/>
              <w:lang w:eastAsia="da-DK"/>
            </w:rPr>
          </w:pPr>
          <w:hyperlink w:history="1" w:anchor="_Toc183175804">
            <w:r w:rsidRPr="00993C3C" w:rsidR="00BA19EC">
              <w:rPr>
                <w:rStyle w:val="Hyperlink"/>
                <w:noProof/>
              </w:rPr>
              <w:t>6.</w:t>
            </w:r>
            <w:r w:rsidR="00BA19EC">
              <w:rPr>
                <w:rFonts w:asciiTheme="minorHAnsi" w:hAnsiTheme="minorHAnsi" w:eastAsiaTheme="minorEastAsia" w:cstheme="minorBidi"/>
                <w:noProof/>
                <w:lang w:eastAsia="da-DK"/>
              </w:rPr>
              <w:tab/>
            </w:r>
            <w:r w:rsidRPr="00993C3C" w:rsidR="00BA19EC">
              <w:rPr>
                <w:rStyle w:val="Hyperlink"/>
                <w:noProof/>
              </w:rPr>
              <w:t>EKSTERNE FORBINDELSER</w:t>
            </w:r>
            <w:r w:rsidR="00BA19EC">
              <w:rPr>
                <w:noProof/>
                <w:webHidden/>
              </w:rPr>
              <w:tab/>
            </w:r>
            <w:r w:rsidR="00BA19EC">
              <w:rPr>
                <w:noProof/>
                <w:webHidden/>
              </w:rPr>
              <w:fldChar w:fldCharType="begin"/>
            </w:r>
            <w:r w:rsidR="00BA19EC">
              <w:rPr>
                <w:noProof/>
                <w:webHidden/>
              </w:rPr>
              <w:instrText xml:space="preserve"> PAGEREF _Toc183175804 \h </w:instrText>
            </w:r>
            <w:r w:rsidR="00BA19EC">
              <w:rPr>
                <w:noProof/>
                <w:webHidden/>
              </w:rPr>
            </w:r>
            <w:r w:rsidR="00BA19EC">
              <w:rPr>
                <w:noProof/>
                <w:webHidden/>
              </w:rPr>
              <w:fldChar w:fldCharType="separate"/>
            </w:r>
            <w:r w:rsidR="00BA19EC">
              <w:rPr>
                <w:noProof/>
                <w:webHidden/>
              </w:rPr>
              <w:t>30</w:t>
            </w:r>
            <w:r w:rsidR="00BA19EC">
              <w:rPr>
                <w:noProof/>
                <w:webHidden/>
              </w:rPr>
              <w:fldChar w:fldCharType="end"/>
            </w:r>
          </w:hyperlink>
        </w:p>
        <w:p w:rsidR="00BA19EC" w:rsidRDefault="00536B9B" w14:paraId="39CCA5CC" w14:textId="06487F59">
          <w:pPr>
            <w:pStyle w:val="TOC1"/>
            <w:tabs>
              <w:tab w:val="left" w:pos="440"/>
              <w:tab w:val="right" w:leader="dot" w:pos="9488"/>
            </w:tabs>
            <w:rPr>
              <w:rFonts w:asciiTheme="minorHAnsi" w:hAnsiTheme="minorHAnsi" w:eastAsiaTheme="minorEastAsia" w:cstheme="minorBidi"/>
              <w:noProof/>
              <w:lang w:eastAsia="da-DK"/>
            </w:rPr>
          </w:pPr>
          <w:hyperlink w:history="1" w:anchor="_Toc183175805">
            <w:r w:rsidRPr="00993C3C" w:rsidR="00BA19EC">
              <w:rPr>
                <w:rStyle w:val="Hyperlink"/>
                <w:noProof/>
              </w:rPr>
              <w:t>7.</w:t>
            </w:r>
            <w:r w:rsidR="00BA19EC">
              <w:rPr>
                <w:rFonts w:asciiTheme="minorHAnsi" w:hAnsiTheme="minorHAnsi" w:eastAsiaTheme="minorEastAsia" w:cstheme="minorBidi"/>
                <w:noProof/>
                <w:lang w:eastAsia="da-DK"/>
              </w:rPr>
              <w:tab/>
            </w:r>
            <w:r w:rsidRPr="00993C3C" w:rsidR="00BA19EC">
              <w:rPr>
                <w:rStyle w:val="Hyperlink"/>
                <w:noProof/>
              </w:rPr>
              <w:t>DEN RÅDGIVENDE KOMMISSION FOR INDUSTRIELLE ÆNDRINGER</w:t>
            </w:r>
            <w:r w:rsidR="00BA19EC">
              <w:rPr>
                <w:noProof/>
                <w:webHidden/>
              </w:rPr>
              <w:tab/>
            </w:r>
            <w:r w:rsidR="00BA19EC">
              <w:rPr>
                <w:noProof/>
                <w:webHidden/>
              </w:rPr>
              <w:fldChar w:fldCharType="begin"/>
            </w:r>
            <w:r w:rsidR="00BA19EC">
              <w:rPr>
                <w:noProof/>
                <w:webHidden/>
              </w:rPr>
              <w:instrText xml:space="preserve"> PAGEREF _Toc183175805 \h </w:instrText>
            </w:r>
            <w:r w:rsidR="00BA19EC">
              <w:rPr>
                <w:noProof/>
                <w:webHidden/>
              </w:rPr>
            </w:r>
            <w:r w:rsidR="00BA19EC">
              <w:rPr>
                <w:noProof/>
                <w:webHidden/>
              </w:rPr>
              <w:fldChar w:fldCharType="separate"/>
            </w:r>
            <w:r w:rsidR="00BA19EC">
              <w:rPr>
                <w:noProof/>
                <w:webHidden/>
              </w:rPr>
              <w:t>31</w:t>
            </w:r>
            <w:r w:rsidR="00BA19EC">
              <w:rPr>
                <w:noProof/>
                <w:webHidden/>
              </w:rPr>
              <w:fldChar w:fldCharType="end"/>
            </w:r>
          </w:hyperlink>
        </w:p>
        <w:p w:rsidR="004D7AC0" w:rsidRDefault="007E03C9" w14:paraId="4982DD6A" w14:textId="7B015CDF">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3175799" w:id="0"/>
      <w:r>
        <w:lastRenderedPageBreak/>
        <w:t>DEN ØKONOMISKE OG MONETÆRE UNION OG ØKONOMISK OG SOCIAL SAMHØRIGHED</w:t>
      </w:r>
      <w:bookmarkEnd w:id="0"/>
    </w:p>
    <w:p w:rsidRPr="000F216A" w:rsidR="007E03C9" w:rsidP="000F216A" w:rsidRDefault="00536B9B" w14:paraId="375B8EA6" w14:textId="25BE3727">
      <w:pPr>
        <w:pStyle w:val="ListParagraph"/>
        <w:numPr>
          <w:ilvl w:val="0"/>
          <w:numId w:val="65"/>
        </w:numPr>
        <w:ind w:left="567" w:hanging="567"/>
        <w:rPr>
          <w:b/>
          <w:bCs/>
          <w:i/>
          <w:iCs/>
          <w:sz w:val="28"/>
          <w:szCs w:val="28"/>
        </w:rPr>
      </w:pPr>
      <w:hyperlink w:history="1" r:id="rId21">
        <w:r w:rsidR="007E03C9">
          <w:rPr>
            <w:rStyle w:val="Hyperlink"/>
            <w:b/>
            <w:i/>
            <w:sz w:val="28"/>
          </w:rPr>
          <w:t>Yderligere betragtninger om den økonomiske politik i euroområdet 2024</w:t>
        </w:r>
      </w:hyperlink>
    </w:p>
    <w:p w:rsidRPr="00FD7CAC"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Ordfører</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r>
              <w:t>Petru Sorin Dandea (Arbejdstagergruppen – RO)</w:t>
            </w:r>
          </w:p>
        </w:tc>
      </w:tr>
      <w:tr w:rsidRPr="00946677" w:rsidR="00FD7CAC" w:rsidTr="00F324F7" w14:paraId="0830647B" w14:textId="77777777">
        <w:tc>
          <w:tcPr>
            <w:tcW w:w="8789" w:type="dxa"/>
            <w:gridSpan w:val="2"/>
          </w:tcPr>
          <w:p w:rsidRPr="000F216A" w:rsidR="00FD7CAC" w:rsidP="000F216A" w:rsidRDefault="00FD7CAC" w14:paraId="270865A6" w14:textId="77777777">
            <w:pPr>
              <w:tabs>
                <w:tab w:val="center" w:pos="284"/>
              </w:tabs>
              <w:spacing w:line="160" w:lineRule="exact"/>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Ref. </w:t>
            </w:r>
          </w:p>
        </w:tc>
        <w:tc>
          <w:tcPr>
            <w:tcW w:w="7088" w:type="dxa"/>
          </w:tcPr>
          <w:p w:rsidR="00FF6D64" w:rsidP="00946677" w:rsidRDefault="00FD7CAC" w14:paraId="3A9E20D9" w14:textId="77777777">
            <w:pPr>
              <w:tabs>
                <w:tab w:val="center" w:pos="284"/>
              </w:tabs>
              <w:spacing w:line="259" w:lineRule="auto"/>
              <w:jc w:val="left"/>
              <w:rPr>
                <w:rFonts w:eastAsia="Calibri"/>
                <w:szCs w:val="24"/>
              </w:rPr>
            </w:pPr>
            <w:r>
              <w:t>Initiativudtalelse</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946677"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Hovedpunkter</w:t>
      </w:r>
    </w:p>
    <w:p w:rsidR="00946677" w:rsidP="000F216A" w:rsidRDefault="00946677" w14:paraId="0F8B659E" w14:textId="77777777">
      <w:pPr>
        <w:spacing w:line="259" w:lineRule="auto"/>
        <w:rPr>
          <w:rFonts w:eastAsia="Calibri"/>
          <w:lang w:val="en-GB"/>
        </w:rPr>
      </w:pPr>
    </w:p>
    <w:p w:rsidR="00FD7CAC" w:rsidP="00FD7CAC" w:rsidRDefault="00FD7CAC" w14:paraId="2B9DC130" w14:textId="496A56A9">
      <w:pPr>
        <w:spacing w:after="80" w:line="259" w:lineRule="auto"/>
        <w:rPr>
          <w:rFonts w:eastAsia="Calibri"/>
        </w:rPr>
      </w:pPr>
      <w:r>
        <w:t xml:space="preserve">EØSU: </w:t>
      </w:r>
    </w:p>
    <w:p w:rsidR="00946677" w:rsidP="000F216A" w:rsidRDefault="00FD7CAC" w14:paraId="2E84422A" w14:textId="16B846B5">
      <w:pPr>
        <w:numPr>
          <w:ilvl w:val="0"/>
          <w:numId w:val="28"/>
        </w:numPr>
        <w:spacing w:line="276" w:lineRule="auto"/>
        <w:ind w:left="284" w:hanging="284"/>
        <w:outlineLvl w:val="1"/>
      </w:pPr>
      <w:r>
        <w:t>mener, at en styrkelse af den finanspolitiske koordinering mellem medlemsstaterne i euroområdet er afgørende for at sikre reel opadgående konvergens, stabilitet og modstandsdygtighed. Dette kunne indebære en tættere samordning af de nationale budgetpolitikker samt drøftelser om muligheden for fælles finanspolitiske instrumenter. I den henseende mener EØSU, at NextGenerationEU har vist sig at være meget vigtigt, og anbefaler, at lignende instrumenter indgår i den fremtidige FFR. Desuden opfordrer EØSU indtrængende myndigheder på såvel det nationale niveau som på EU-niveau til at skubbe finanspolitiske spørgsmål i retning af bæredygtighed og skabe finanspolitisk råderum til fremtidige chok</w:t>
      </w:r>
    </w:p>
    <w:p w:rsidRPr="00946677" w:rsidR="00FD7CAC" w:rsidP="000F216A" w:rsidRDefault="00FD7CAC" w14:paraId="1FBCE494" w14:textId="5A529E00">
      <w:pPr>
        <w:numPr>
          <w:ilvl w:val="0"/>
          <w:numId w:val="28"/>
        </w:numPr>
        <w:spacing w:line="276" w:lineRule="auto"/>
        <w:ind w:left="284" w:hanging="284"/>
        <w:outlineLvl w:val="1"/>
      </w:pPr>
      <w:r>
        <w:t>mener, at fuldførelsen af kapitalmarkedsunionen bør prioriteres. De små dimensioner og fragmenteringen af kapitalmarkederne i EU får investorerne til at migrere til andre globale markeder, navnlig markedet i USA. Stabilitet på de finansielle markeder og omfattende forbrugerbeskyttelse vil imidlertid være af afgørende betydning</w:t>
      </w:r>
    </w:p>
    <w:p w:rsidRPr="00946677" w:rsidR="00FD7CAC" w:rsidP="000F216A" w:rsidRDefault="00FD7CAC" w14:paraId="2C99D7A3" w14:textId="77777777">
      <w:pPr>
        <w:numPr>
          <w:ilvl w:val="0"/>
          <w:numId w:val="28"/>
        </w:numPr>
        <w:spacing w:line="276" w:lineRule="auto"/>
        <w:ind w:left="284" w:hanging="284"/>
        <w:outlineLvl w:val="1"/>
      </w:pPr>
      <w:r>
        <w:t xml:space="preserve">mener, at fuldførelsen af bankunionen skal prioriteres i Kommissionens nye mandatperiode, da de eksisterende forskelle i medlemsstaternes banklovgivning og -praksis skaber finansiel fragmentering og forhindrer, at de finansielle ressourcer mobiliseres effektivt, navnlig når det drejer sig om finansiering af vigtige infrastrukturprojekter på europæisk plan </w:t>
      </w:r>
    </w:p>
    <w:p w:rsidRPr="00946677" w:rsidR="00FD7CAC" w:rsidP="000F216A" w:rsidRDefault="00FD7CAC" w14:paraId="24F241D6" w14:textId="77777777">
      <w:pPr>
        <w:numPr>
          <w:ilvl w:val="0"/>
          <w:numId w:val="28"/>
        </w:numPr>
        <w:spacing w:line="276" w:lineRule="auto"/>
        <w:ind w:left="284" w:hanging="284"/>
        <w:outlineLvl w:val="1"/>
      </w:pPr>
      <w:r>
        <w:t>mener, at der bør udarbejdes en plan for foranstaltninger med henblik på at fremskynde reel konvergens, og at samhørighedspolitikken fortsat bør spille en central rolle i FFR</w:t>
      </w:r>
    </w:p>
    <w:p w:rsidRPr="00946677" w:rsidR="00FD7CAC" w:rsidP="000F216A" w:rsidRDefault="00FD7CAC" w14:paraId="7CD47C5D" w14:textId="77777777">
      <w:pPr>
        <w:numPr>
          <w:ilvl w:val="0"/>
          <w:numId w:val="28"/>
        </w:numPr>
        <w:spacing w:line="276" w:lineRule="auto"/>
        <w:ind w:left="284" w:hanging="284"/>
        <w:outlineLvl w:val="1"/>
      </w:pPr>
      <w:r>
        <w:t>mener, at EU bør maksimere den konkurrencefordel, som det indre marked giver. Udvalget støtter Kommissionens initiativ til at reducere rapporteringskravene med 25 %, da disse krav er en af de største hindringer for bæredygtig økonomisk vækst. En reduktion af bureaukratiet og en forenkling af de administrative procedurer vil stimulere den europæiske erhvervssektor og gøre den mere effektiv og virkningsfuld. Dette må dog ikke ske på bekostning af sociale og miljømæssige standarder og arbejdstagernes og forbrugernes rettigheder</w:t>
      </w:r>
    </w:p>
    <w:p w:rsidRPr="00946677" w:rsidR="00FD7CAC" w:rsidP="000F216A" w:rsidRDefault="00FD7CAC" w14:paraId="7EB402E1" w14:textId="77777777">
      <w:pPr>
        <w:numPr>
          <w:ilvl w:val="0"/>
          <w:numId w:val="28"/>
        </w:numPr>
        <w:spacing w:line="276" w:lineRule="auto"/>
        <w:ind w:left="284" w:hanging="284"/>
        <w:outlineLvl w:val="1"/>
      </w:pPr>
      <w:r>
        <w:t>mener, at der er et presserende behov for en ny tilgang til beslutningstagning, da en af de største udfordringer i euroområdet er manglen på en troværdig beslutningsproces</w:t>
      </w:r>
    </w:p>
    <w:p w:rsidRPr="00946677" w:rsidR="00FD7CAC" w:rsidP="000F216A" w:rsidRDefault="00FD7CAC" w14:paraId="5ADF5EC2" w14:textId="77777777">
      <w:pPr>
        <w:numPr>
          <w:ilvl w:val="0"/>
          <w:numId w:val="28"/>
        </w:numPr>
        <w:spacing w:line="276" w:lineRule="auto"/>
        <w:ind w:left="284" w:hanging="284"/>
        <w:outlineLvl w:val="1"/>
      </w:pPr>
      <w:r>
        <w:t>mener, at EU skal fuldføre det indre marked for elektricitet efterhånden som dekarboniseringsprocessen fortsætter. Etableringen af et fuldt sammenkoblet net på europæisk plan er af afgørende betydning herfor. Dette vil også bidrage til at reducere energipriserne, bekæmpe inflationen og hjælpe EU's virksomheder med at øge deres konkurrenceevne</w:t>
      </w:r>
    </w:p>
    <w:p w:rsidRPr="00946677" w:rsidR="00FD7CAC" w:rsidP="000F216A" w:rsidRDefault="00FD7CAC" w14:paraId="46431D68" w14:textId="77777777">
      <w:pPr>
        <w:numPr>
          <w:ilvl w:val="0"/>
          <w:numId w:val="28"/>
        </w:numPr>
        <w:spacing w:line="276" w:lineRule="auto"/>
        <w:ind w:left="284" w:hanging="284"/>
        <w:outlineLvl w:val="1"/>
      </w:pPr>
      <w:r>
        <w:t>mener, at en omfattende politisk dagsorden for euroområdet i 2024 vil skulle afveje kortsigtede krav såsom økonomisk genopretning med langsigtede prioriteter som f.eks. investeringer, bæredygtighed, innovation og social inklusion.</w:t>
      </w:r>
    </w:p>
    <w:p w:rsidRPr="00946677" w:rsidR="00FD7CAC" w:rsidP="00FD7CAC" w:rsidRDefault="00FD7CAC" w14:paraId="17CBEBF6" w14:textId="77777777">
      <w:pPr>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FD7CAC" w:rsidTr="00F324F7" w14:paraId="59115C70" w14:textId="77777777">
        <w:tc>
          <w:tcPr>
            <w:tcW w:w="1418" w:type="dxa"/>
          </w:tcPr>
          <w:p w:rsidRPr="000F216A" w:rsidR="00FD7CAC" w:rsidP="000F216A" w:rsidRDefault="00FD7CAC" w14:paraId="0527F34B" w14:textId="77777777">
            <w:pPr>
              <w:spacing w:line="259" w:lineRule="auto"/>
              <w:jc w:val="left"/>
              <w:rPr>
                <w:rFonts w:eastAsia="Calibri"/>
                <w:i/>
                <w:sz w:val="22"/>
                <w:szCs w:val="22"/>
              </w:rPr>
            </w:pPr>
            <w:r>
              <w:rPr>
                <w:b/>
                <w:i/>
              </w:rPr>
              <w:t>Kontakt</w:t>
            </w:r>
          </w:p>
        </w:tc>
        <w:tc>
          <w:tcPr>
            <w:tcW w:w="5670" w:type="dxa"/>
          </w:tcPr>
          <w:p w:rsidRPr="000F216A" w:rsidR="00FD7CAC" w:rsidP="000F216A" w:rsidRDefault="00FD7CAC" w14:paraId="68AD3D30" w14:textId="77777777">
            <w:pPr>
              <w:spacing w:line="259" w:lineRule="auto"/>
              <w:jc w:val="left"/>
              <w:rPr>
                <w:rFonts w:eastAsia="Calibri"/>
                <w:b/>
                <w:bCs/>
                <w:i/>
                <w:iCs/>
                <w:sz w:val="22"/>
                <w:szCs w:val="22"/>
              </w:rPr>
            </w:pPr>
            <w:r>
              <w:rPr>
                <w:i/>
              </w:rPr>
              <w:t xml:space="preserve">Krisztina Perlaky-Tóth </w:t>
            </w:r>
          </w:p>
        </w:tc>
      </w:tr>
      <w:tr w:rsidRPr="00594F3A" w:rsidR="00FD7CAC" w:rsidTr="00F324F7" w14:paraId="56A7A5AB" w14:textId="77777777">
        <w:tc>
          <w:tcPr>
            <w:tcW w:w="1418" w:type="dxa"/>
          </w:tcPr>
          <w:p w:rsidRPr="000F216A" w:rsidR="00FD7CAC" w:rsidP="000F216A" w:rsidRDefault="00FD7CAC" w14:paraId="0A141426" w14:textId="77777777">
            <w:pPr>
              <w:spacing w:line="259" w:lineRule="auto"/>
              <w:jc w:val="left"/>
              <w:rPr>
                <w:rFonts w:eastAsia="Calibri"/>
                <w:i/>
                <w:sz w:val="22"/>
                <w:szCs w:val="22"/>
              </w:rPr>
            </w:pPr>
            <w:r>
              <w:rPr>
                <w:i/>
              </w:rPr>
              <w:t>Tlf.</w:t>
            </w:r>
          </w:p>
        </w:tc>
        <w:tc>
          <w:tcPr>
            <w:tcW w:w="5670" w:type="dxa"/>
          </w:tcPr>
          <w:p w:rsidRPr="000F216A" w:rsidR="00FD7CAC" w:rsidP="000F216A" w:rsidRDefault="00FD7CAC" w14:paraId="3F55B904" w14:textId="77777777">
            <w:pPr>
              <w:spacing w:line="259" w:lineRule="auto"/>
              <w:jc w:val="left"/>
              <w:rPr>
                <w:rFonts w:eastAsia="Calibri"/>
                <w:i/>
                <w:iCs/>
                <w:sz w:val="22"/>
                <w:szCs w:val="22"/>
              </w:rPr>
            </w:pPr>
            <w:r>
              <w:rPr>
                <w:i/>
              </w:rPr>
              <w:t>00 32 2 546 9740</w:t>
            </w:r>
          </w:p>
        </w:tc>
      </w:tr>
      <w:tr w:rsidRPr="00594F3A" w:rsidR="00FD7CAC" w:rsidTr="00F324F7" w14:paraId="4950261E" w14:textId="77777777">
        <w:trPr>
          <w:trHeight w:val="118"/>
        </w:trPr>
        <w:tc>
          <w:tcPr>
            <w:tcW w:w="1418" w:type="dxa"/>
          </w:tcPr>
          <w:p w:rsidRPr="000F216A" w:rsidR="00FD7CAC" w:rsidP="000F216A" w:rsidRDefault="00FD7CAC" w14:paraId="788B7B71" w14:textId="77777777">
            <w:pPr>
              <w:spacing w:line="259" w:lineRule="auto"/>
              <w:jc w:val="left"/>
              <w:rPr>
                <w:rFonts w:eastAsia="Calibri"/>
                <w:i/>
                <w:sz w:val="22"/>
                <w:szCs w:val="22"/>
              </w:rPr>
            </w:pPr>
            <w:r>
              <w:rPr>
                <w:i/>
              </w:rPr>
              <w:t>E-mail</w:t>
            </w:r>
          </w:p>
        </w:tc>
        <w:tc>
          <w:tcPr>
            <w:tcW w:w="5670" w:type="dxa"/>
          </w:tcPr>
          <w:p w:rsidRPr="000F216A" w:rsidR="00FD7CAC" w:rsidP="000F216A" w:rsidRDefault="00536B9B" w14:paraId="1A0B9497" w14:textId="0D569CD3">
            <w:pPr>
              <w:spacing w:line="259" w:lineRule="auto"/>
              <w:jc w:val="left"/>
              <w:rPr>
                <w:rFonts w:eastAsia="Calibri"/>
                <w:sz w:val="22"/>
                <w:szCs w:val="22"/>
              </w:rPr>
            </w:pPr>
            <w:hyperlink w:history="1" r:id="rId22">
              <w:r w:rsidR="00FD7CAC">
                <w:rPr>
                  <w:color w:val="0000FF"/>
                  <w:u w:val="single"/>
                </w:rPr>
                <w:t>Krisztina.PerlakyToth@eesc.europa.eu</w:t>
              </w:r>
            </w:hyperlink>
          </w:p>
        </w:tc>
      </w:tr>
    </w:tbl>
    <w:p w:rsidR="00FD7CAC" w:rsidRDefault="00FD7CAC" w14:paraId="4982DD96" w14:textId="11FDABD1">
      <w:pPr>
        <w:spacing w:after="160" w:line="259" w:lineRule="auto"/>
        <w:jc w:val="left"/>
      </w:pPr>
    </w:p>
    <w:p w:rsidRPr="00FD7CAC" w:rsidR="00FD7CAC" w:rsidP="0015600B" w:rsidRDefault="00536B9B"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276FC9">
          <w:rPr>
            <w:b/>
            <w:i/>
            <w:color w:val="0000FF"/>
            <w:sz w:val="28"/>
            <w:u w:val="single"/>
          </w:rPr>
          <w:t>Yderligere betragtninger om den årlige undersøgelse af bæredygtig vækst 2024</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Ordfører</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Elena-Alexandra Calistru (Gruppen af civilsamfundsorganisationer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rPr>
              <w:t>Ref.</w:t>
            </w:r>
          </w:p>
        </w:tc>
        <w:tc>
          <w:tcPr>
            <w:tcW w:w="7088" w:type="dxa"/>
          </w:tcPr>
          <w:p w:rsidR="003E0D5C" w:rsidP="00FD7CAC" w:rsidRDefault="00FD7CAC" w14:paraId="37B12DD5" w14:textId="7F029D2E">
            <w:pPr>
              <w:tabs>
                <w:tab w:val="center" w:pos="284"/>
              </w:tabs>
              <w:overflowPunct w:val="0"/>
              <w:autoSpaceDE w:val="0"/>
              <w:autoSpaceDN w:val="0"/>
              <w:adjustRightInd w:val="0"/>
              <w:textAlignment w:val="baseline"/>
            </w:pPr>
            <w:r>
              <w:t xml:space="preserve">Initiativudtalelse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r>
        <w:t>EØSU:</w:t>
      </w:r>
    </w:p>
    <w:p w:rsidRPr="00FD7CAC"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opfordrer til, at forslagene om aftalen om ren industri og den europæiske fond for konkurrenceevne gennemføres hurtigst muligt, og at det sikres, at disse initiativer støtter såvel økonomisk vækst som miljømål</w:t>
      </w:r>
    </w:p>
    <w:p w:rsidRPr="00FD7CAC"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anbefaler, at man overvejer at forlænge løbetiden for genopretnings- og resiliensfaciliteten og øger den tekniske støtte for at sikre, at midlerne udnyttes fuldt ud, og at de er med til at skabe en så bæredygtig vækst som muligt</w:t>
      </w:r>
    </w:p>
    <w:p w:rsidRPr="00FD7CAC"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efterlyser en nøje balance mellem nedbringelse af underskuddet og opretholdelse af investeringskapaciteten, navnlig på områder, der spiller en central rolle for langsigtet vækst, såsom den grønne og den digitale omstilling </w:t>
      </w:r>
    </w:p>
    <w:p w:rsidRPr="00FD7CAC"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opfordrer indtrængende til, at der udarbejdes en samlet strategi, hvormed der kan sættes ind over for udfordringerne på arbejdsmarkedet. Det gælder bl.a. misforholdet mellem udbudte og efterspurgte kvalifikationer og de demografiske forandringer. Denne strategi bør omfatte målrettede politikker til inddragelse af inaktive befolkningsgrupper og forbedring af uddannelsessystemerne med henblik på at forberede den enkelte bedre på fremtidens jobmarkeder</w:t>
      </w:r>
    </w:p>
    <w:p w:rsidRPr="00FD7CAC"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anbefaler en tilgang, hvor interessenterne inddrages, så det sikres, at disse initiativer kommer virksomheder af alle størrelser til gode og bidrager til den overordnede økonomiske modstandsdygtighed</w:t>
      </w:r>
    </w:p>
    <w:p w:rsidRPr="00FD7CAC"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efterlyser fortsatte investeringer i rene teknologier og kritiske råmaterialer i forening med politikker, der støtter globalt samarbejde og forhindrer skadelig protektionisme </w:t>
      </w:r>
    </w:p>
    <w:p w:rsidRPr="00FD7CAC"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anbefaler, at der indarbejdes stærke sociale og miljømæssige beskyttelsesforanstaltninger i alle større økonomiske initiativer</w:t>
      </w:r>
    </w:p>
    <w:p w:rsidRPr="00FD7CAC"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anbefaler, at der kanaliseres ekstra energi over i det europæiske semester som en platform, der kan styrke legitimiteten og effektiviteten af EU's vækststrategier og samtidig sikre, at de fortsat er inklusive og lydhøre over for borgernes behov, selv når der ikke er valg.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FD7CAC" w:rsidTr="00F324F7" w14:paraId="5E252ACC" w14:textId="77777777">
        <w:tc>
          <w:tcPr>
            <w:tcW w:w="1173" w:type="dxa"/>
          </w:tcPr>
          <w:p w:rsidRPr="000F216A" w:rsidR="00FD7CAC" w:rsidP="00FD7CAC" w:rsidRDefault="00FD7CAC" w14:paraId="57E067B2" w14:textId="77777777">
            <w:pPr>
              <w:overflowPunct w:val="0"/>
              <w:autoSpaceDE w:val="0"/>
              <w:autoSpaceDN w:val="0"/>
              <w:adjustRightInd w:val="0"/>
              <w:textAlignment w:val="baseline"/>
              <w:rPr>
                <w:i/>
                <w:sz w:val="22"/>
                <w:szCs w:val="22"/>
              </w:rPr>
            </w:pPr>
            <w:r>
              <w:rPr>
                <w:b/>
                <w:i/>
              </w:rPr>
              <w:t>Kontakt</w:t>
            </w:r>
          </w:p>
        </w:tc>
        <w:tc>
          <w:tcPr>
            <w:tcW w:w="4518" w:type="dxa"/>
          </w:tcPr>
          <w:p w:rsidRPr="000F216A" w:rsidR="00FD7CAC" w:rsidP="00FD7CAC" w:rsidRDefault="00FD7CAC" w14:paraId="56F7091B" w14:textId="77777777">
            <w:pPr>
              <w:overflowPunct w:val="0"/>
              <w:autoSpaceDE w:val="0"/>
              <w:autoSpaceDN w:val="0"/>
              <w:adjustRightInd w:val="0"/>
              <w:textAlignment w:val="baseline"/>
              <w:rPr>
                <w:i/>
                <w:iCs/>
                <w:sz w:val="22"/>
                <w:szCs w:val="22"/>
              </w:rPr>
            </w:pPr>
            <w:r>
              <w:rPr>
                <w:i/>
              </w:rPr>
              <w:t>Anna Pantazi</w:t>
            </w:r>
          </w:p>
        </w:tc>
      </w:tr>
      <w:tr w:rsidRPr="00594F3A" w:rsidR="00FD7CAC" w:rsidTr="00F324F7" w14:paraId="2BA36140" w14:textId="77777777">
        <w:tc>
          <w:tcPr>
            <w:tcW w:w="1173" w:type="dxa"/>
          </w:tcPr>
          <w:p w:rsidRPr="000F216A" w:rsidR="00FD7CAC" w:rsidP="00FD7CAC" w:rsidRDefault="00FD7CAC" w14:paraId="52E7B3B8" w14:textId="77777777">
            <w:pPr>
              <w:overflowPunct w:val="0"/>
              <w:autoSpaceDE w:val="0"/>
              <w:autoSpaceDN w:val="0"/>
              <w:adjustRightInd w:val="0"/>
              <w:textAlignment w:val="baseline"/>
              <w:rPr>
                <w:i/>
                <w:sz w:val="22"/>
                <w:szCs w:val="22"/>
              </w:rPr>
            </w:pPr>
            <w:r>
              <w:rPr>
                <w:i/>
              </w:rPr>
              <w:t>Tlf.</w:t>
            </w:r>
          </w:p>
        </w:tc>
        <w:tc>
          <w:tcPr>
            <w:tcW w:w="4518" w:type="dxa"/>
          </w:tcPr>
          <w:p w:rsidRPr="000F216A" w:rsidR="00FD7CAC" w:rsidP="00FD7CAC" w:rsidRDefault="00FD7CAC" w14:paraId="1DE66AFE" w14:textId="77777777">
            <w:pPr>
              <w:overflowPunct w:val="0"/>
              <w:autoSpaceDE w:val="0"/>
              <w:autoSpaceDN w:val="0"/>
              <w:adjustRightInd w:val="0"/>
              <w:textAlignment w:val="baseline"/>
              <w:rPr>
                <w:i/>
                <w:iCs/>
                <w:sz w:val="22"/>
                <w:szCs w:val="22"/>
              </w:rPr>
            </w:pPr>
            <w:r>
              <w:rPr>
                <w:i/>
              </w:rPr>
              <w:t>00 32 2 546 92 31</w:t>
            </w:r>
          </w:p>
        </w:tc>
      </w:tr>
      <w:tr w:rsidRPr="00594F3A" w:rsidR="00FD7CAC" w:rsidTr="00F324F7" w14:paraId="768292C3" w14:textId="77777777">
        <w:tc>
          <w:tcPr>
            <w:tcW w:w="1173" w:type="dxa"/>
          </w:tcPr>
          <w:p w:rsidRPr="000F216A" w:rsidR="00FD7CAC" w:rsidP="00FD7CAC" w:rsidRDefault="00FD7CAC" w14:paraId="35D698F6" w14:textId="77777777">
            <w:pPr>
              <w:overflowPunct w:val="0"/>
              <w:autoSpaceDE w:val="0"/>
              <w:autoSpaceDN w:val="0"/>
              <w:adjustRightInd w:val="0"/>
              <w:textAlignment w:val="baseline"/>
              <w:rPr>
                <w:i/>
                <w:sz w:val="22"/>
                <w:szCs w:val="22"/>
              </w:rPr>
            </w:pPr>
            <w:r>
              <w:rPr>
                <w:i/>
              </w:rPr>
              <w:t>E-mail</w:t>
            </w:r>
          </w:p>
        </w:tc>
        <w:tc>
          <w:tcPr>
            <w:tcW w:w="4518" w:type="dxa"/>
          </w:tcPr>
          <w:p w:rsidRPr="000F216A" w:rsidR="00FD7CAC" w:rsidP="00FD7CAC" w:rsidRDefault="00536B9B" w14:paraId="04B6DE80" w14:textId="5FB1850F">
            <w:pPr>
              <w:overflowPunct w:val="0"/>
              <w:autoSpaceDE w:val="0"/>
              <w:autoSpaceDN w:val="0"/>
              <w:adjustRightInd w:val="0"/>
              <w:textAlignment w:val="baseline"/>
              <w:rPr>
                <w:i/>
                <w:iCs/>
                <w:sz w:val="22"/>
                <w:szCs w:val="22"/>
              </w:rPr>
            </w:pPr>
            <w:hyperlink w:history="1" r:id="rId24">
              <w:r w:rsidR="007E03C9">
                <w:rPr>
                  <w:color w:val="0000FF"/>
                  <w:u w:val="single"/>
                </w:rPr>
                <w:t>Anna.Pantazi@eesc.europa.eu</w:t>
              </w:r>
            </w:hyperlink>
            <w:r w:rsidR="007E03C9">
              <w:rPr>
                <w:sz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536B9B"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276FC9">
          <w:rPr>
            <w:b/>
            <w:i/>
            <w:color w:val="0000FF"/>
            <w:sz w:val="28"/>
            <w:u w:val="single"/>
          </w:rPr>
          <w:t>Forbedring af den finanspolitiske gennemsigtighed gennem deltagerbaseret budgetlægning i EU</w:t>
        </w:r>
      </w:hyperlink>
    </w:p>
    <w:p w:rsidRPr="000F216A" w:rsidR="00594F3A" w:rsidP="000F216A"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347517" w:rsidTr="006961A3" w14:paraId="6F3F6C33" w14:textId="77777777">
        <w:tc>
          <w:tcPr>
            <w:tcW w:w="1701" w:type="dxa"/>
          </w:tcPr>
          <w:p w:rsidRPr="006961A3" w:rsidR="00347517" w:rsidP="006961A3" w:rsidRDefault="00347517" w14:paraId="65A5CF3F" w14:textId="77777777">
            <w:pPr>
              <w:tabs>
                <w:tab w:val="center" w:pos="284"/>
              </w:tabs>
              <w:spacing w:line="259" w:lineRule="auto"/>
              <w:ind w:left="266" w:hanging="266"/>
              <w:jc w:val="left"/>
              <w:rPr>
                <w:rFonts w:eastAsia="Calibri"/>
                <w:b/>
                <w:szCs w:val="24"/>
              </w:rPr>
            </w:pPr>
            <w:r>
              <w:rPr>
                <w:b/>
              </w:rPr>
              <w:t>Ordfører</w:t>
            </w:r>
          </w:p>
        </w:tc>
        <w:tc>
          <w:tcPr>
            <w:tcW w:w="7088" w:type="dxa"/>
          </w:tcPr>
          <w:p w:rsidRPr="006961A3" w:rsidR="00347517" w:rsidP="006961A3" w:rsidRDefault="00347517" w14:paraId="250C9867" w14:textId="019193DE">
            <w:pPr>
              <w:tabs>
                <w:tab w:val="center" w:pos="284"/>
              </w:tabs>
              <w:spacing w:line="259" w:lineRule="auto"/>
              <w:ind w:left="266" w:hanging="266"/>
              <w:jc w:val="left"/>
              <w:rPr>
                <w:rFonts w:eastAsia="Calibri"/>
                <w:szCs w:val="24"/>
              </w:rPr>
            </w:pPr>
            <w:r>
              <w:t>Elena-Alexandra Calistru (Gruppen af civilsamfundsorganisationer – RO)</w:t>
            </w:r>
          </w:p>
        </w:tc>
      </w:tr>
      <w:tr w:rsidRPr="00946677" w:rsidR="00347517" w:rsidTr="006961A3" w14:paraId="4012887E" w14:textId="77777777">
        <w:tc>
          <w:tcPr>
            <w:tcW w:w="8789" w:type="dxa"/>
            <w:gridSpan w:val="2"/>
          </w:tcPr>
          <w:p w:rsidRPr="006961A3" w:rsidR="00347517" w:rsidP="006961A3" w:rsidRDefault="00347517" w14:paraId="6F26D6FD" w14:textId="77777777">
            <w:pPr>
              <w:tabs>
                <w:tab w:val="center" w:pos="284"/>
              </w:tabs>
              <w:spacing w:line="160" w:lineRule="exact"/>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6961A3" w:rsidRDefault="00347517" w14:paraId="220B28DC" w14:textId="77777777">
            <w:pPr>
              <w:tabs>
                <w:tab w:val="center" w:pos="284"/>
              </w:tabs>
              <w:spacing w:line="259" w:lineRule="auto"/>
              <w:ind w:left="266" w:hanging="266"/>
              <w:jc w:val="left"/>
              <w:rPr>
                <w:rFonts w:eastAsia="Calibri"/>
                <w:b/>
                <w:szCs w:val="24"/>
              </w:rPr>
            </w:pPr>
            <w:r>
              <w:rPr>
                <w:b/>
              </w:rPr>
              <w:t xml:space="preserve">Ref. </w:t>
            </w:r>
          </w:p>
        </w:tc>
        <w:tc>
          <w:tcPr>
            <w:tcW w:w="7088" w:type="dxa"/>
          </w:tcPr>
          <w:p w:rsidR="00347517" w:rsidP="006961A3" w:rsidRDefault="00347517" w14:paraId="212B46A8" w14:textId="77777777">
            <w:pPr>
              <w:tabs>
                <w:tab w:val="center" w:pos="284"/>
              </w:tabs>
              <w:spacing w:line="259" w:lineRule="auto"/>
              <w:jc w:val="left"/>
              <w:rPr>
                <w:rFonts w:eastAsia="Calibri"/>
                <w:szCs w:val="24"/>
              </w:rPr>
            </w:pPr>
            <w:r>
              <w:t>Initiativudtalelse</w:t>
            </w:r>
          </w:p>
          <w:p w:rsidRPr="006961A3" w:rsidR="00347517" w:rsidP="006961A3" w:rsidRDefault="00347517" w14:paraId="1442607E" w14:textId="4BE4AF9B">
            <w:pPr>
              <w:tabs>
                <w:tab w:val="center" w:pos="284"/>
              </w:tabs>
              <w:spacing w:line="259" w:lineRule="auto"/>
              <w:jc w:val="left"/>
              <w:rPr>
                <w:rFonts w:eastAsia="Calibri"/>
                <w:szCs w:val="24"/>
              </w:rPr>
            </w:pPr>
            <w: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Hovedpunkter</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r>
        <w:t>EØSU:</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0F216A" w:rsidRDefault="007E5D7C" w14:paraId="38830E28" w14:textId="77777777">
      <w:pPr>
        <w:numPr>
          <w:ilvl w:val="0"/>
          <w:numId w:val="29"/>
        </w:numPr>
        <w:overflowPunct w:val="0"/>
        <w:autoSpaceDE w:val="0"/>
        <w:autoSpaceDN w:val="0"/>
        <w:adjustRightInd w:val="0"/>
        <w:spacing w:after="200" w:line="276" w:lineRule="auto"/>
        <w:ind w:left="426"/>
        <w:contextualSpacing/>
        <w:textAlignment w:val="baseline"/>
        <w:rPr>
          <w:bCs/>
          <w:iCs/>
        </w:rPr>
      </w:pPr>
      <w:r>
        <w:t>erkender, at finanspolitisk gennemsigtighed og deltagerbaseret budgetlægning har afgørende betydning for at styrke de demokratiske processer og tilliden til EU-institutionerne</w:t>
      </w:r>
    </w:p>
    <w:p w:rsidRPr="007E5D7C" w:rsidR="007E5D7C" w:rsidP="000F216A" w:rsidRDefault="007E5D7C" w14:paraId="16C2DAAB" w14:textId="77777777">
      <w:pPr>
        <w:numPr>
          <w:ilvl w:val="0"/>
          <w:numId w:val="29"/>
        </w:numPr>
        <w:overflowPunct w:val="0"/>
        <w:autoSpaceDE w:val="0"/>
        <w:autoSpaceDN w:val="0"/>
        <w:adjustRightInd w:val="0"/>
        <w:spacing w:after="200" w:line="276" w:lineRule="auto"/>
        <w:ind w:left="426"/>
        <w:contextualSpacing/>
        <w:textAlignment w:val="baseline"/>
        <w:rPr>
          <w:bCs/>
          <w:iCs/>
        </w:rPr>
      </w:pPr>
      <w:r>
        <w:t>ser et betydeligt potentiale for forbedring i – og standardisering på tværs af – alle medlemsstater</w:t>
      </w:r>
    </w:p>
    <w:p w:rsidRPr="007E5D7C" w:rsidR="007E5D7C" w:rsidP="000F216A" w:rsidRDefault="007E5D7C" w14:paraId="4C4B8632" w14:textId="77777777">
      <w:pPr>
        <w:numPr>
          <w:ilvl w:val="0"/>
          <w:numId w:val="29"/>
        </w:numPr>
        <w:overflowPunct w:val="0"/>
        <w:autoSpaceDE w:val="0"/>
        <w:autoSpaceDN w:val="0"/>
        <w:adjustRightInd w:val="0"/>
        <w:spacing w:after="200" w:line="276" w:lineRule="auto"/>
        <w:ind w:left="426"/>
        <w:contextualSpacing/>
        <w:textAlignment w:val="baseline"/>
        <w:rPr>
          <w:bCs/>
          <w:iCs/>
        </w:rPr>
      </w:pPr>
      <w:r>
        <w:t xml:space="preserve">mener, at EU med finansiering fra den flerårige finansielle ramme (FFR) bør oprette en fælles ramme for finanspolitisk gennemsigtighed i alle programmer. Denne ramme bør: </w:t>
      </w:r>
    </w:p>
    <w:p w:rsidRPr="007E5D7C" w:rsidR="007E5D7C" w:rsidP="002D2388" w:rsidRDefault="007E5D7C" w14:paraId="08680F39"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indeholde klare standarder og retningslinjer for finanspolitisk gennemsigtighed </w:t>
      </w:r>
    </w:p>
    <w:p w:rsidRPr="007E5D7C" w:rsidR="007E5D7C" w:rsidP="002D2388" w:rsidRDefault="007E5D7C" w14:paraId="1B1CB621"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 xml:space="preserve">have fokus på mekanismer og bedste praksis i stedet for indførelse af nye regler </w:t>
      </w:r>
    </w:p>
    <w:p w:rsidRPr="007E5D7C" w:rsidR="007E5D7C" w:rsidP="002D2388" w:rsidRDefault="007E5D7C" w14:paraId="3783E136" w14:textId="77777777">
      <w:pPr>
        <w:numPr>
          <w:ilvl w:val="1"/>
          <w:numId w:val="26"/>
        </w:numPr>
        <w:overflowPunct w:val="0"/>
        <w:autoSpaceDE w:val="0"/>
        <w:autoSpaceDN w:val="0"/>
        <w:adjustRightInd w:val="0"/>
        <w:spacing w:after="200" w:line="276" w:lineRule="auto"/>
        <w:ind w:left="851" w:hanging="425"/>
        <w:contextualSpacing/>
        <w:textAlignment w:val="baseline"/>
        <w:rPr>
          <w:bCs/>
          <w:iCs/>
        </w:rPr>
      </w:pPr>
      <w:r>
        <w:t>sikre konsekvens i rapporteringen og tilgængeligheden af budgetoplysninger</w:t>
      </w:r>
    </w:p>
    <w:p w:rsidRPr="007E5D7C" w:rsidR="007E5D7C" w:rsidP="000F216A" w:rsidRDefault="007E5D7C" w14:paraId="5963AA8F" w14:textId="77777777">
      <w:pPr>
        <w:numPr>
          <w:ilvl w:val="0"/>
          <w:numId w:val="30"/>
        </w:numPr>
        <w:overflowPunct w:val="0"/>
        <w:autoSpaceDE w:val="0"/>
        <w:autoSpaceDN w:val="0"/>
        <w:adjustRightInd w:val="0"/>
        <w:spacing w:after="200" w:line="276" w:lineRule="auto"/>
        <w:contextualSpacing/>
        <w:textAlignment w:val="baseline"/>
        <w:rPr>
          <w:bCs/>
          <w:iCs/>
        </w:rPr>
      </w:pPr>
      <w:r>
        <w:t>mener, at EU bør tilskynde medlemsstaterne til og støtte dem i at offentliggøre datasæt af høj kvalitet om deres budgetter og anvendelse af EU-midler</w:t>
      </w:r>
    </w:p>
    <w:p w:rsidRPr="007E5D7C" w:rsidR="007E5D7C" w:rsidP="000F216A" w:rsidRDefault="007E5D7C" w14:paraId="5F9316E6" w14:textId="7F8A31DA">
      <w:pPr>
        <w:numPr>
          <w:ilvl w:val="0"/>
          <w:numId w:val="30"/>
        </w:numPr>
        <w:overflowPunct w:val="0"/>
        <w:autoSpaceDE w:val="0"/>
        <w:autoSpaceDN w:val="0"/>
        <w:adjustRightInd w:val="0"/>
        <w:spacing w:after="200" w:line="276" w:lineRule="auto"/>
        <w:contextualSpacing/>
        <w:textAlignment w:val="baseline"/>
        <w:rPr>
          <w:bCs/>
          <w:iCs/>
        </w:rPr>
      </w:pPr>
      <w:r>
        <w:t>mener, at EU bør fremme og støtte initiativer vedrørende deltagerbaseret budgetlægning, navnlig på lokalt og regionalt plan, hvor de har vist sig mest effektive. Dette indebærer at: a) stille vejledning og ressourcer til rådighed til gennemførelse, b) tilskynde til videndeling og bedste praksis samt c)</w:t>
      </w:r>
      <w:r w:rsidR="00B1493C">
        <w:t> </w:t>
      </w:r>
      <w:r>
        <w:t>integrere deltagerbaserede komponenter i budgetlægningsprocesserne på EU-plan, eventuelt gennem inddragelse af det organiserede civilsamfund, f.eks. i beslutninger om finansiering af samhørighedspolitikken</w:t>
      </w:r>
    </w:p>
    <w:p w:rsidRPr="007E5D7C" w:rsidR="007E5D7C" w:rsidP="000F216A" w:rsidRDefault="007E5D7C" w14:paraId="28E2656D" w14:textId="77777777">
      <w:pPr>
        <w:numPr>
          <w:ilvl w:val="0"/>
          <w:numId w:val="30"/>
        </w:numPr>
        <w:overflowPunct w:val="0"/>
        <w:autoSpaceDE w:val="0"/>
        <w:autoSpaceDN w:val="0"/>
        <w:adjustRightInd w:val="0"/>
        <w:spacing w:after="200" w:line="276" w:lineRule="auto"/>
        <w:contextualSpacing/>
        <w:textAlignment w:val="baseline"/>
        <w:rPr>
          <w:bCs/>
          <w:iCs/>
        </w:rPr>
      </w:pPr>
      <w:r>
        <w:t>anbefaler, at EU udvikler og fremmer brugen af digitale platforme for at øge den finanspolitiske gennemsigtighed og borgerinddragelsen</w:t>
      </w:r>
    </w:p>
    <w:p w:rsidRPr="007E5D7C" w:rsidR="007E5D7C" w:rsidP="000F216A" w:rsidRDefault="007E5D7C" w14:paraId="1059C158" w14:textId="77777777">
      <w:pPr>
        <w:numPr>
          <w:ilvl w:val="0"/>
          <w:numId w:val="30"/>
        </w:numPr>
        <w:overflowPunct w:val="0"/>
        <w:autoSpaceDE w:val="0"/>
        <w:autoSpaceDN w:val="0"/>
        <w:adjustRightInd w:val="0"/>
        <w:spacing w:after="200" w:line="276" w:lineRule="auto"/>
        <w:contextualSpacing/>
        <w:textAlignment w:val="baseline"/>
        <w:rPr>
          <w:bCs/>
          <w:iCs/>
        </w:rPr>
      </w:pPr>
      <w:r>
        <w:t>understreger, at Den Europæiske Revisionsret (Revisionsretten) spiller en vigtig rolle, når det drejer sig om finanspolitisk gennemsigtighed, og anbefaler, at denne rolle styrkes</w:t>
      </w:r>
    </w:p>
    <w:p w:rsidRPr="007E5D7C" w:rsidR="007E5D7C" w:rsidP="000F216A" w:rsidRDefault="007E5D7C" w14:paraId="5E5B1007" w14:textId="77777777">
      <w:pPr>
        <w:numPr>
          <w:ilvl w:val="0"/>
          <w:numId w:val="30"/>
        </w:numPr>
        <w:overflowPunct w:val="0"/>
        <w:autoSpaceDE w:val="0"/>
        <w:autoSpaceDN w:val="0"/>
        <w:adjustRightInd w:val="0"/>
        <w:spacing w:after="200" w:line="276" w:lineRule="auto"/>
        <w:contextualSpacing/>
        <w:textAlignment w:val="baseline"/>
        <w:rPr>
          <w:bCs/>
          <w:iCs/>
        </w:rPr>
      </w:pPr>
      <w:r>
        <w:t>understreger, at det er vigtigt at prioritere bestræbelserne på at øge offentlighedens bevidsthed om og engagement i finanspolitiske anliggender. Dette indebærer bl.a.: a) omfattende uddannelse og oplysning, b) uddannelses- og kapacitetsopbygningsprogrammer for offentligt ansatte og civilsamfundsorganisationer samt c) aktiv inddragelse af unge og fremtidige ledere</w:t>
      </w:r>
    </w:p>
    <w:p w:rsidRPr="007E5D7C" w:rsidR="007E5D7C" w:rsidP="000F216A" w:rsidRDefault="007E5D7C" w14:paraId="6682CC2F" w14:textId="77777777">
      <w:pPr>
        <w:numPr>
          <w:ilvl w:val="0"/>
          <w:numId w:val="30"/>
        </w:numPr>
        <w:overflowPunct w:val="0"/>
        <w:autoSpaceDE w:val="0"/>
        <w:autoSpaceDN w:val="0"/>
        <w:adjustRightInd w:val="0"/>
        <w:spacing w:after="200" w:line="276" w:lineRule="auto"/>
        <w:contextualSpacing/>
        <w:textAlignment w:val="baseline"/>
        <w:rPr>
          <w:bCs/>
          <w:iCs/>
        </w:rPr>
      </w:pPr>
      <w:r>
        <w:t>ønsker at sikre, at initiativer vedrørende finanspolitisk gennemsigtighed og deltagerbaseret budgetlægning understøtter og er i tråd med EU's centrale mål</w:t>
      </w:r>
    </w:p>
    <w:p w:rsidRPr="007E5D7C" w:rsidR="007E5D7C" w:rsidP="000F216A" w:rsidRDefault="007E5D7C" w14:paraId="42E019A4" w14:textId="77777777">
      <w:pPr>
        <w:numPr>
          <w:ilvl w:val="0"/>
          <w:numId w:val="30"/>
        </w:numPr>
        <w:overflowPunct w:val="0"/>
        <w:autoSpaceDE w:val="0"/>
        <w:autoSpaceDN w:val="0"/>
        <w:adjustRightInd w:val="0"/>
        <w:spacing w:after="200" w:line="276" w:lineRule="auto"/>
        <w:contextualSpacing/>
        <w:textAlignment w:val="baseline"/>
        <w:rPr>
          <w:bCs/>
          <w:iCs/>
        </w:rPr>
      </w:pPr>
      <w:r>
        <w:t>ønsker at tilskynde til øget samarbejde og videndeling om finanspolitisk gennemsigtighed og deltagerbaseret budgetlægning på tværs af EU's medlemsstater</w:t>
      </w:r>
    </w:p>
    <w:p w:rsidR="007E5D7C" w:rsidP="000F216A" w:rsidRDefault="007E5D7C" w14:paraId="2A447801" w14:textId="3AEE87CB">
      <w:pPr>
        <w:numPr>
          <w:ilvl w:val="0"/>
          <w:numId w:val="30"/>
        </w:numPr>
        <w:overflowPunct w:val="0"/>
        <w:autoSpaceDE w:val="0"/>
        <w:autoSpaceDN w:val="0"/>
        <w:adjustRightInd w:val="0"/>
        <w:spacing w:after="200" w:line="276" w:lineRule="auto"/>
        <w:contextualSpacing/>
        <w:textAlignment w:val="baseline"/>
        <w:rPr>
          <w:bCs/>
          <w:iCs/>
        </w:rPr>
      </w:pPr>
      <w:r>
        <w:t>mener, at bestræbelser på at sikre finanspolitisk gennemsigtighed og deltagelsesbaseret budgetlægning vil bidrage til øget tillid i offentligheden, en mere effektiv brug af offentlige midler og en styrket demokratisk proces inden for det repræsentative demokratis nuværende rammer.</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7E5D7C" w:rsidTr="00F324F7" w14:paraId="6728D381" w14:textId="77777777">
        <w:tc>
          <w:tcPr>
            <w:tcW w:w="1418"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Pr>
                <w:i/>
                <w:iCs/>
              </w:rPr>
              <w:t>Gerald Klec</w:t>
            </w:r>
          </w:p>
        </w:tc>
      </w:tr>
      <w:tr w:rsidRPr="00594F3A" w:rsidR="007E5D7C" w:rsidTr="00F324F7" w14:paraId="27CD5F3A" w14:textId="77777777">
        <w:tc>
          <w:tcPr>
            <w:tcW w:w="1418"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00 32 2 546 99 09</w:t>
            </w:r>
          </w:p>
        </w:tc>
      </w:tr>
      <w:tr w:rsidRPr="00594F3A" w:rsidR="007E5D7C" w:rsidTr="00F324F7" w14:paraId="448284D7" w14:textId="77777777">
        <w:tc>
          <w:tcPr>
            <w:tcW w:w="1418"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7E5D7C" w:rsidP="007E5D7C" w:rsidRDefault="00536B9B" w14:paraId="62ED4BD1" w14:textId="1D3DA3A1">
            <w:pPr>
              <w:overflowPunct w:val="0"/>
              <w:autoSpaceDE w:val="0"/>
              <w:autoSpaceDN w:val="0"/>
              <w:adjustRightInd w:val="0"/>
              <w:spacing w:line="240" w:lineRule="auto"/>
              <w:textAlignment w:val="baseline"/>
              <w:rPr>
                <w:i/>
                <w:sz w:val="22"/>
                <w:szCs w:val="22"/>
              </w:rPr>
            </w:pPr>
            <w:hyperlink w:history="1" r:id="rId26">
              <w:r w:rsidR="007E03C9">
                <w:rPr>
                  <w:color w:val="0000FF"/>
                  <w:u w:val="single"/>
                </w:rPr>
                <w:t>Gerald.Klec@eesc.europa.eu</w:t>
              </w:r>
            </w:hyperlink>
          </w:p>
        </w:tc>
      </w:tr>
    </w:tbl>
    <w:p w:rsidR="00347517" w:rsidRDefault="00347517" w14:paraId="50DF60B5" w14:textId="73A78402">
      <w:pPr>
        <w:spacing w:after="160" w:line="259" w:lineRule="auto"/>
        <w:jc w:val="left"/>
      </w:pPr>
    </w:p>
    <w:p w:rsidRPr="0015600B" w:rsidR="00C97DBC" w:rsidP="000F216A" w:rsidRDefault="00536B9B"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00C97DBC">
          <w:rPr>
            <w:b/>
            <w:i/>
            <w:color w:val="0000FF"/>
            <w:sz w:val="28"/>
            <w:u w:val="single"/>
          </w:rPr>
          <w:t>Klimaforandringer og deres indvirkning på økonomien</w:t>
        </w:r>
      </w:hyperlink>
    </w:p>
    <w:p w:rsidRPr="00C97DBC"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Ordfører</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r>
              <w:t>Juraj Sipko (Gruppen af civilsamfundsorganisationer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rPr>
              <w:t>Ref.</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pPr>
            <w:r>
              <w:t>Initiativudtalelse</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Hovedpunkter</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EØSU:</w:t>
      </w:r>
    </w:p>
    <w:p w:rsidRPr="00C97DBC"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påpeger, at klimaforandringerne først og fremmest er et resultat af menneskelige aktiviteter og understreger, at alting er indbyrdes forbundet i naturen. Hvis naturen er i balance, er forudsætningerne for god økonomisk vækst og en sund befolkning på plads. Det betyder, at der bør vedtages en langsigtet strategi for at beskytte folkesundheden i kølvandet på uforudsete klimaforandringer</w:t>
      </w:r>
    </w:p>
    <w:p w:rsidRPr="00C97DBC"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mener, at klimaforandringerne udgør en eksistentiel trussel mod den økonomiske og sociale udvikling i EU's medlemsstater, og at de har en meget negativ indvirkning på både den makroøkonomiske og den mikroøkonomiske udvikling, erhvervslivet, den finansielle og sociale stabilitet, infrastrukturen og menneskers sundhed</w:t>
      </w:r>
    </w:p>
    <w:p w:rsidRPr="00C97DBC"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understreger, at der ikke er nogen tid at spilde, når det gælder om at vedtage og gennemføre alle de nødvendige foranstaltninger for at reducere emissionerne (modvirkning) og tilpasse sig til de nye forhold (tilpasning), herunder indførelse af betaling for emissioner og en CO</w:t>
      </w:r>
      <w:r>
        <w:rPr>
          <w:vertAlign w:val="subscript"/>
        </w:rPr>
        <w:t>2</w:t>
      </w:r>
      <w:r>
        <w:t>-afgift i tråd med Kommissionens seneste anbefaling</w:t>
      </w:r>
    </w:p>
    <w:p w:rsidRPr="00C97DBC"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mener, at investeringer i forbindelse med klimaforandringerne udgør en historisk økonomisk mulighed for at støtte og udnytte det enorme innovations- og udviklingspotentiale i EU's medlemsstater</w:t>
      </w:r>
    </w:p>
    <w:p w:rsidRPr="00C97DBC"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påpeger, at det ud over at udnytte det værdifulde vækstpotentiale også er en vigtig langsigtet målsætning for den økonomiske reaktion på klimaforandringerne at reducere de løbende omkostninger for økonomien og samfundet</w:t>
      </w:r>
    </w:p>
    <w:p w:rsidRPr="00C97DBC"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er klar over, at indsatsen mod klimaforandringerne er meget krævende med hensyn til de nødvendige investeringer og den nødvendige finanspolitiske og finansielle indsats</w:t>
      </w:r>
    </w:p>
    <w:p w:rsidRPr="00C97DBC" w:rsidR="00C97DBC" w:rsidP="000F216A"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pPr>
      <w:r>
        <w:t>er klar over, at en uhensigtsmæssig reaktion eller en manglende håndtering af de problemer, der er forbundet med klimaforandringerne, kan medføre meget store risici, både hvad angår økonomisk vækst og den efterfølgende skadevirkning på samfundet</w:t>
      </w:r>
    </w:p>
    <w:p w:rsidRPr="00C97DBC"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mener, at det er afgørende, at man ikke undervurderer betydningen af den menneskelige faktor i ordets bredeste forstand, når klimaforandringerne skal bekæmpes</w:t>
      </w:r>
    </w:p>
    <w:p w:rsidRPr="00C97DBC"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understreger, at der bør vedtages og gennemføres foranstaltninger, som kan sikre, at klimaforandringernes indvirkning på medlemsstaternes økonomiske og sociale udvikling systematisk analyseres, evalueres og forudsiges</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mener, at alle foranstaltninger bør koordineres og afstemmes på internationalt plan og bakker kraftigt op om EU's bestræbelser på at give bekæmpelsen af klimaforandringer højeste prioritet. Dette vil kræve et kollektivt tilsagn på nationalt, subnationalt, europæisk og globalt plan på alle områder, herunder økonomiske og sociale, med klare og veldefinerede roller og ansvarsområder på alle niveauer i beslutningsprocessen.</w:t>
      </w:r>
    </w:p>
    <w:p w:rsidRPr="00C97DBC"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94F3A" w:rsidR="00C97DBC" w:rsidTr="00F324F7" w14:paraId="6F4AA6D2" w14:textId="77777777">
        <w:tc>
          <w:tcPr>
            <w:tcW w:w="1173"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Kontakt</w:t>
            </w:r>
          </w:p>
        </w:tc>
        <w:tc>
          <w:tcPr>
            <w:tcW w:w="4518"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Anna Pantazi</w:t>
            </w:r>
          </w:p>
        </w:tc>
      </w:tr>
      <w:tr w:rsidRPr="00594F3A" w:rsidR="00C97DBC" w:rsidTr="00F324F7" w14:paraId="65D5F642" w14:textId="77777777">
        <w:tc>
          <w:tcPr>
            <w:tcW w:w="1173"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Tlf.</w:t>
            </w:r>
          </w:p>
        </w:tc>
        <w:tc>
          <w:tcPr>
            <w:tcW w:w="4518"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00 32 2 546 92 31</w:t>
            </w:r>
          </w:p>
        </w:tc>
      </w:tr>
      <w:tr w:rsidRPr="00594F3A" w:rsidR="00C97DBC" w:rsidTr="00F324F7" w14:paraId="34EF1BFB" w14:textId="77777777">
        <w:tc>
          <w:tcPr>
            <w:tcW w:w="1173"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E-mail</w:t>
            </w:r>
          </w:p>
        </w:tc>
        <w:tc>
          <w:tcPr>
            <w:tcW w:w="4518" w:type="dxa"/>
          </w:tcPr>
          <w:p w:rsidRPr="000F216A" w:rsidR="00C97DBC" w:rsidP="00C97DBC" w:rsidRDefault="00536B9B" w14:paraId="4A40D9C4" w14:textId="06636C15">
            <w:pPr>
              <w:overflowPunct w:val="0"/>
              <w:autoSpaceDE w:val="0"/>
              <w:autoSpaceDN w:val="0"/>
              <w:adjustRightInd w:val="0"/>
              <w:textAlignment w:val="baseline"/>
              <w:rPr>
                <w:i/>
                <w:iCs/>
                <w:sz w:val="22"/>
                <w:szCs w:val="22"/>
              </w:rPr>
            </w:pPr>
            <w:hyperlink w:history="1" r:id="rId28">
              <w:r w:rsidR="007E03C9">
                <w:rPr>
                  <w:color w:val="0000FF"/>
                  <w:u w:val="single"/>
                </w:rPr>
                <w:t>Anna.Pantazi@eesc.europa.eu</w:t>
              </w:r>
            </w:hyperlink>
            <w:r w:rsidR="007E03C9">
              <w:rPr>
                <w:sz w:val="22"/>
              </w:rPr>
              <w:t xml:space="preserve"> </w:t>
            </w:r>
          </w:p>
        </w:tc>
      </w:tr>
    </w:tbl>
    <w:p w:rsidR="00594F3A" w:rsidP="004D7AC0" w:rsidRDefault="00594F3A" w14:paraId="7A5C5C01" w14:textId="13B58540"/>
    <w:p w:rsidR="00594F3A" w:rsidP="000F216A" w:rsidRDefault="007E03C9" w14:paraId="35C5919D" w14:textId="1B96BB34">
      <w:pPr>
        <w:pStyle w:val="Heading1"/>
      </w:pPr>
      <w:bookmarkStart w:name="_Toc183175800" w:id="1"/>
      <w:r>
        <w:t>BESKÆFTIGELSE, SOCIALE SPØRGSMÅL OG UNIONSBORGERSKAB</w:t>
      </w:r>
      <w:bookmarkEnd w:id="1"/>
    </w:p>
    <w:p w:rsidR="004D7AC0" w:rsidP="004D7AC0" w:rsidRDefault="004D7AC0" w14:paraId="4982DD9A" w14:textId="0E453DF9"/>
    <w:p w:rsidRPr="000F216A" w:rsidR="00167D22" w:rsidP="000F216A" w:rsidRDefault="00536B9B" w14:paraId="3837C091" w14:textId="2F36152E">
      <w:pPr>
        <w:pStyle w:val="ListParagraph"/>
        <w:numPr>
          <w:ilvl w:val="0"/>
          <w:numId w:val="63"/>
        </w:numPr>
        <w:spacing w:after="160" w:line="259" w:lineRule="auto"/>
        <w:ind w:left="709" w:hanging="709"/>
        <w:jc w:val="left"/>
        <w:rPr>
          <w:b/>
          <w:bCs/>
          <w:i/>
          <w:iCs/>
          <w:color w:val="0000FF"/>
          <w:sz w:val="28"/>
          <w:szCs w:val="28"/>
          <w:u w:val="single"/>
        </w:rPr>
      </w:pPr>
      <w:hyperlink w:history="1" r:id="rId29">
        <w:r w:rsidR="00594F3A">
          <w:rPr>
            <w:rStyle w:val="Hyperlink"/>
            <w:b/>
            <w:i/>
            <w:sz w:val="28"/>
          </w:rPr>
          <w:t>Sikring af en behovsbaseret balance mellem arbejdsliv og privatliv for alle: Hvordan passende fleksible arbejdsvilkår kan støtte solidaritet mellem generationerne og styrke kvinders stilling</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55"/>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bCs/>
                <w:sz w:val="20"/>
              </w:rPr>
              <w:t>Ordfører</w:t>
            </w:r>
          </w:p>
        </w:tc>
        <w:tc>
          <w:tcPr>
            <w:tcW w:w="7655" w:type="dxa"/>
          </w:tcPr>
          <w:p w:rsidRPr="00D42A3F" w:rsidR="00167D22" w:rsidP="00F324F7" w:rsidRDefault="00167D22" w14:paraId="65DD1EE5" w14:textId="14C1BE1F">
            <w:pPr>
              <w:tabs>
                <w:tab w:val="center" w:pos="284"/>
              </w:tabs>
              <w:ind w:left="266" w:hanging="266"/>
              <w:rPr>
                <w:sz w:val="20"/>
                <w:szCs w:val="20"/>
              </w:rPr>
            </w:pPr>
            <w:r>
              <w:rPr>
                <w:sz w:val="20"/>
              </w:rPr>
              <w:t>Kinga Joó (Gruppen af civilsamfundsorganisationer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Medordfører</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(Arbejdstagergruppen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Ref. </w:t>
            </w:r>
          </w:p>
        </w:tc>
        <w:tc>
          <w:tcPr>
            <w:tcW w:w="7655" w:type="dxa"/>
          </w:tcPr>
          <w:p w:rsidRPr="00D42A3F" w:rsidR="00167D22" w:rsidP="00CA38F2" w:rsidRDefault="00167D22" w14:paraId="7CBFB89B" w14:textId="4E2F313B">
            <w:pPr>
              <w:tabs>
                <w:tab w:val="center" w:pos="40"/>
              </w:tabs>
              <w:ind w:right="-246"/>
              <w:rPr>
                <w:sz w:val="20"/>
                <w:szCs w:val="20"/>
              </w:rPr>
            </w:pPr>
            <w:r>
              <w:rPr>
                <w:sz w:val="20"/>
              </w:rPr>
              <w:t>Sonderende udtalelse på anmodning af det ungarske rådsformandskab</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rPr>
        <w:t>Hovedpunkter:</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t>EØSU:</w:t>
      </w:r>
    </w:p>
    <w:p w:rsidRPr="00C94060"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understreger det presserende behov for at tilpasse strategier med henblik på at opnå en behovsbaseret balance mellem arbejdsliv og privatliv under hensyntagen til de ændrede demografiske forhold, nye arbejdsformer, fleksible arbejdsordninger og stigende plejebehov i lyset af revisionen i 2027 af direktiv (EU) 2019/1158 om balance mellem arbejdsliv og privatliv for forældre og omsorgspersoner</w:t>
      </w:r>
    </w:p>
    <w:p w:rsidRPr="00C94060"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bemærker, at den aldrende befolkning kræver, at der afsættes flere ressourcer til alle former for udbydere af plejetjenester og anbefaler, at Rådet anmoder Kommissionen om at udvikle en plejeværktøjskasse med indikatorer og mål for langtidspleje</w:t>
      </w:r>
    </w:p>
    <w:p w:rsidRPr="00C94060"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understreger, at behovsbaserede foranstaltninger bør munde ud i økonomisk overkommelige tjenester af høj kvalitet, som er tilgængelige og til gavn for arbejdstagere, familier, virksomheder og offentlige myndigheder</w:t>
      </w:r>
    </w:p>
    <w:p w:rsidRPr="00C94060"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bemærker, at det på trods af visse fremskridt fortsat er kvinder, der udfører størstedelen af det ulønnede omsorgsarbejde, hvilket bidrager til "feminiseringen af fattigdom", eftersom kvinder forlader deres job eller reducerer deres arbejdstid for at passe en pårørende eller børn. Derfor bør støtte til omsorgsarbejde og økonomisk sikkerhed for familier og arbejdstagere ikke ses som en udgift, men som en investering, der ikke kun er til gavn for hele samfundet, men også for økonomien</w:t>
      </w:r>
    </w:p>
    <w:p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foreslår, at Kommissionen undersøger status for politikkerne for balance mellem arbejdsliv og privatliv i EU's virksomheder og de dermed forbundne fordele, hindringer og indvirkninger på konkurrenceevnen samt god praksis, herunder i SMV'er. Praksisser, der udnytter potentialet i samarbejde mellem generationerne på arbejdspladsen, bør fremhæves</w:t>
      </w:r>
    </w:p>
    <w:p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fremhæver, at det i perioden efter pandemien er vigtigt at undersøge, evaluere og om nødvendigt ajourføre de beskæftigelsesrelaterede foranstaltninger, der er truffet som følge af pandemien, herunder fleksible arbejdsordninger, og integrere dem i revisionen af direktiv (EU) 2019/1158 om balance mellem arbejdsliv og privatliv for forældre og omsorgspersoner</w:t>
      </w:r>
    </w:p>
    <w:p w:rsidRPr="003F5DFC"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understreger, at den sociale dialog er det primære værktøj til at opnå en passende balance mellem arbejdsliv og privatliv, hvor civilsamfundsorganisationer støtter processen.</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528"/>
      </w:tblGrid>
      <w:tr w:rsidRPr="00B4456F" w:rsidR="00167D22" w:rsidTr="00F324F7" w14:paraId="5F79696F" w14:textId="77777777">
        <w:tc>
          <w:tcPr>
            <w:tcW w:w="1418" w:type="dxa"/>
          </w:tcPr>
          <w:p w:rsidRPr="00B4456F" w:rsidR="00167D22" w:rsidP="00F324F7" w:rsidRDefault="00167D22" w14:paraId="270CC7DE" w14:textId="77777777">
            <w:pPr>
              <w:spacing w:line="240" w:lineRule="auto"/>
              <w:rPr>
                <w:i/>
              </w:rPr>
            </w:pPr>
            <w:r>
              <w:rPr>
                <w:b/>
                <w:i/>
              </w:rPr>
              <w:t>Kontakt</w:t>
            </w:r>
          </w:p>
        </w:tc>
        <w:tc>
          <w:tcPr>
            <w:tcW w:w="5528" w:type="dxa"/>
          </w:tcPr>
          <w:p w:rsidRPr="00B4456F" w:rsidR="00167D22" w:rsidP="00F324F7" w:rsidRDefault="00167D22" w14:paraId="305C496B" w14:textId="1770E294">
            <w:pPr>
              <w:spacing w:line="240" w:lineRule="auto"/>
              <w:rPr>
                <w:i/>
              </w:rPr>
            </w:pPr>
            <w:r>
              <w:rPr>
                <w:i/>
              </w:rPr>
              <w:t>Gabriela Grasu og Bartek Bednarowicz</w:t>
            </w:r>
          </w:p>
        </w:tc>
      </w:tr>
      <w:tr w:rsidRPr="00B4456F" w:rsidR="00167D22" w:rsidTr="00F324F7" w14:paraId="5B6FA6D1" w14:textId="77777777">
        <w:tc>
          <w:tcPr>
            <w:tcW w:w="1418" w:type="dxa"/>
          </w:tcPr>
          <w:p w:rsidRPr="00B4456F" w:rsidR="00167D22" w:rsidP="00F324F7" w:rsidRDefault="00167D22" w14:paraId="4FCE9FD0" w14:textId="77777777">
            <w:pPr>
              <w:spacing w:line="240" w:lineRule="auto"/>
              <w:rPr>
                <w:i/>
              </w:rPr>
            </w:pPr>
            <w:r>
              <w:rPr>
                <w:i/>
              </w:rPr>
              <w:t>Tlf.</w:t>
            </w:r>
          </w:p>
        </w:tc>
        <w:tc>
          <w:tcPr>
            <w:tcW w:w="5528" w:type="dxa"/>
          </w:tcPr>
          <w:p w:rsidRPr="00B4456F" w:rsidR="00167D22" w:rsidP="00F324F7" w:rsidRDefault="00167D22" w14:paraId="44D5DC42" w14:textId="77777777">
            <w:pPr>
              <w:spacing w:line="240" w:lineRule="auto"/>
              <w:rPr>
                <w:i/>
              </w:rPr>
            </w:pPr>
            <w:r>
              <w:rPr>
                <w:i/>
              </w:rPr>
              <w:t>00 32 2 546 91 62 og 00 32 2 546 92 29</w:t>
            </w:r>
          </w:p>
        </w:tc>
      </w:tr>
      <w:tr w:rsidRPr="00B4456F" w:rsidR="00167D22" w:rsidTr="00F324F7" w14:paraId="1B5D4C93" w14:textId="77777777">
        <w:tc>
          <w:tcPr>
            <w:tcW w:w="1418" w:type="dxa"/>
          </w:tcPr>
          <w:p w:rsidRPr="00B4456F" w:rsidR="00167D22" w:rsidP="00F324F7" w:rsidRDefault="00B6772C" w14:paraId="655F8DC5" w14:textId="7317597F">
            <w:pPr>
              <w:spacing w:line="240" w:lineRule="auto"/>
              <w:rPr>
                <w:i/>
              </w:rPr>
            </w:pPr>
            <w:r>
              <w:rPr>
                <w:i/>
              </w:rPr>
              <w:t>E-mail</w:t>
            </w:r>
          </w:p>
        </w:tc>
        <w:tc>
          <w:tcPr>
            <w:tcW w:w="5528" w:type="dxa"/>
          </w:tcPr>
          <w:p w:rsidR="00347517" w:rsidP="00F324F7" w:rsidRDefault="00536B9B" w14:paraId="04C6E02C" w14:textId="48D75E5A">
            <w:pPr>
              <w:spacing w:line="240" w:lineRule="auto"/>
            </w:pPr>
            <w:hyperlink w:history="1" r:id="rId30">
              <w:r w:rsidR="00347517">
                <w:rPr>
                  <w:rStyle w:val="Hyperlink"/>
                </w:rPr>
                <w:t>Gabriela.Grasu@eesc.europa.eu</w:t>
              </w:r>
            </w:hyperlink>
          </w:p>
          <w:p w:rsidRPr="00B4456F" w:rsidR="00167D22" w:rsidP="00F324F7" w:rsidRDefault="00536B9B" w14:paraId="1DCEA359" w14:textId="35E5BC26">
            <w:pPr>
              <w:spacing w:line="240" w:lineRule="auto"/>
              <w:rPr>
                <w:i/>
                <w:iCs/>
              </w:rPr>
            </w:pPr>
            <w:hyperlink w:history="1" r:id="rId31">
              <w:r w:rsidR="00347517">
                <w:rPr>
                  <w:rStyle w:val="Hyperlink"/>
                </w:rPr>
                <w:t>Bartek.Bednarowicz@eesc.europa.eu</w:t>
              </w:r>
            </w:hyperlink>
          </w:p>
        </w:tc>
      </w:tr>
    </w:tbl>
    <w:p w:rsidRPr="00167D22" w:rsidR="004D7AC0" w:rsidP="00167D22" w:rsidRDefault="004D7AC0" w14:paraId="4982DD9B" w14:textId="77777777">
      <w:pPr>
        <w:ind w:left="710"/>
        <w:rPr>
          <w:b/>
          <w:i/>
          <w:sz w:val="28"/>
          <w:szCs w:val="28"/>
        </w:rPr>
      </w:pPr>
    </w:p>
    <w:p w:rsidRPr="009B15D0" w:rsidR="009B15D0" w:rsidP="00B1493C" w:rsidRDefault="002912D2" w14:paraId="4BD5DE20" w14:textId="60EA0F87">
      <w:pPr>
        <w:spacing w:after="160" w:line="259" w:lineRule="auto"/>
        <w:jc w:val="left"/>
        <w:rPr>
          <w:b/>
          <w:color w:val="0000FF"/>
          <w:u w:val="single"/>
        </w:rPr>
      </w:pPr>
      <w:r>
        <w:rPr>
          <w:b/>
          <w:i/>
          <w:color w:val="0000FF"/>
          <w:sz w:val="28"/>
          <w:u w:val="single"/>
        </w:rPr>
        <w:t>Retningslinjer for medlemsstaternes beskæftigelsespolitikker</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9B15D0" w:rsidR="009B15D0" w:rsidTr="00F324F7"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Ordfører</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6663" w:type="dxa"/>
          </w:tcPr>
          <w:p w:rsidRPr="000F216A" w:rsidR="009B15D0" w:rsidP="009B15D0" w:rsidRDefault="009B15D0" w14:paraId="729B9649" w14:textId="77777777">
            <w:pPr>
              <w:overflowPunct w:val="0"/>
              <w:autoSpaceDE w:val="0"/>
              <w:autoSpaceDN w:val="0"/>
              <w:adjustRightInd w:val="0"/>
              <w:textAlignment w:val="baseline"/>
            </w:pPr>
            <w:r>
              <w:t>Giovanni Marcantonio (Gruppen af civilsamfundsorganisationer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F324F7"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rPr>
              <w:t>Ref.</w:t>
            </w:r>
          </w:p>
        </w:tc>
        <w:tc>
          <w:tcPr>
            <w:tcW w:w="6663"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COM(2024) 599 final</w:t>
            </w:r>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F324F7"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6663"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r>
        <w:t>EØSU:</w:t>
      </w:r>
    </w:p>
    <w:p w:rsidRPr="009B15D0"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glæder sig over forslaget om ajourførte retningslinjer for beskæftigelsespolitikker, der har til formål at fremme en konkurrencedygtig og bæredygtig økonomi, der afspejler nye behov på arbejdsmarkedet</w:t>
      </w:r>
    </w:p>
    <w:p w:rsidRPr="009B15D0"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fremhæver betydningen af opadgående konvergens og af at styrke det europæiske semesters rolle i koordinerede økonomipolitiske tiltag</w:t>
      </w:r>
    </w:p>
    <w:p w:rsidRPr="009B15D0"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understreger behovet for at styrke arbejdsmarkedsparternes rolle gennem social dialog og kollektive overenskomstforhandlinger og inddragelse af civilsamfundet i beskæftigelsesreformer og politikudformning</w:t>
      </w:r>
    </w:p>
    <w:p w:rsidRPr="009B15D0"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understreger behovet for at øge udbuddet af arbejdskraft og forbedre adgangen til kvalitetsjob og tackle de forretningsmæssige udfordringer, der opstår som følge af personalemangel</w:t>
      </w:r>
    </w:p>
    <w:p w:rsidRPr="009B15D0"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støtter Kommissionens opfordring til stærkere inklusionspolitikker for at fremme lige muligheder i forbindelse med beskæftigelse og karriereudvikling</w:t>
      </w:r>
    </w:p>
    <w:p w:rsidRPr="009B15D0"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fremhæver betydningen af at styrke færdigheder med henblik på den grønne og den digitale omstilling og af at sikre adgang til livslang læring af høj kvalitet</w:t>
      </w:r>
    </w:p>
    <w:p w:rsidRPr="009B15D0"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opfordrer til rimelige og anstændige lønninger, der er i overensstemmelse med produktivitet og konkurrenceevne, fremmer kollektive overenskomstforhandlinger og effektiv dataovervågning af lønninger, samtidig med at national praksis og arbejdsmarkedets parters autonomi respekteres</w:t>
      </w:r>
    </w:p>
    <w:p w:rsidRPr="009B15D0"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opfordrer også til etisk og socialt bæredygtig anvendelse af AI på arbejdspladser, samtidig med, at man vurderer indvirkningen på job og arbejdets tilrettelæggelse med hensyn til både muligheder og potentielle risici</w:t>
      </w:r>
    </w:p>
    <w:p w:rsidRPr="009B15D0"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understreger behovet for at modernisere den sociale sikringsordning for at dække alle arbejdstagere uanset deres beskæftigelsesform, tilpasse skatte- og socialsikringssystemerne og overvåge udligningseffekter</w:t>
      </w:r>
    </w:p>
    <w:p w:rsidRPr="009B15D0"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opfordrer til yderligere udvikling af politikker for økonomisk overkommelige boliger, forebyggelse af hjemløshed og effektiv anvendelse af EU-midler</w:t>
      </w:r>
    </w:p>
    <w:p w:rsidRPr="009B15D0"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opfordrer til stærkere politikker til bekæmpelse af ulovligt arbejde, fremme af kvalitetsarbejde, forbedring af sundhed og sikkerhed på arbejdspladsen og forebyggelse af udbredelsen af uformelle og usikre arbejdsvilkår.</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94F3A" w:rsidR="009B15D0" w:rsidTr="00F324F7" w14:paraId="193EB235" w14:textId="77777777">
        <w:tc>
          <w:tcPr>
            <w:tcW w:w="1210" w:type="dxa"/>
          </w:tcPr>
          <w:p w:rsidRPr="000F216A"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Pr>
                <w:b/>
                <w:i/>
              </w:rPr>
              <w:t>Kontakt</w:t>
            </w:r>
          </w:p>
        </w:tc>
        <w:tc>
          <w:tcPr>
            <w:tcW w:w="4493" w:type="dxa"/>
          </w:tcPr>
          <w:p w:rsidRPr="000F216A"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r>
              <w:rPr>
                <w:i/>
              </w:rPr>
              <w:t>Bartek Bednarowicz</w:t>
            </w:r>
          </w:p>
        </w:tc>
      </w:tr>
      <w:tr w:rsidRPr="00594F3A" w:rsidR="009B15D0" w:rsidTr="00F324F7" w14:paraId="29DEADD4" w14:textId="77777777">
        <w:tc>
          <w:tcPr>
            <w:tcW w:w="1210" w:type="dxa"/>
          </w:tcPr>
          <w:p w:rsidRPr="000F216A"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Pr>
                <w:i/>
              </w:rPr>
              <w:t>Tlf.</w:t>
            </w:r>
          </w:p>
        </w:tc>
        <w:tc>
          <w:tcPr>
            <w:tcW w:w="4493" w:type="dxa"/>
          </w:tcPr>
          <w:p w:rsidRPr="000F216A"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Pr>
                <w:i/>
              </w:rPr>
              <w:t>00 32 2 546 9229</w:t>
            </w:r>
          </w:p>
        </w:tc>
      </w:tr>
      <w:tr w:rsidRPr="00594F3A" w:rsidR="009B15D0" w:rsidTr="00F324F7" w14:paraId="50E5214B" w14:textId="77777777">
        <w:tc>
          <w:tcPr>
            <w:tcW w:w="1210" w:type="dxa"/>
          </w:tcPr>
          <w:p w:rsidRPr="000F216A"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Pr>
                <w:i/>
              </w:rPr>
              <w:t>E-mail</w:t>
            </w:r>
          </w:p>
        </w:tc>
        <w:tc>
          <w:tcPr>
            <w:tcW w:w="4493" w:type="dxa"/>
          </w:tcPr>
          <w:p w:rsidRPr="000F216A" w:rsidR="009B15D0" w:rsidP="009B15D0" w:rsidRDefault="00536B9B" w14:paraId="728E1C6B" w14:textId="2F460D55">
            <w:pPr>
              <w:overflowPunct w:val="0"/>
              <w:autoSpaceDE w:val="0"/>
              <w:autoSpaceDN w:val="0"/>
              <w:adjustRightInd w:val="0"/>
              <w:spacing w:line="240" w:lineRule="auto"/>
              <w:textAlignment w:val="baseline"/>
              <w:rPr>
                <w:i/>
                <w:sz w:val="22"/>
                <w:szCs w:val="22"/>
              </w:rPr>
            </w:pPr>
            <w:hyperlink w:history="1" r:id="rId32">
              <w:r w:rsidR="007E03C9">
                <w:rPr>
                  <w:i/>
                  <w:color w:val="0000FF"/>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536B9B"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276FC9">
          <w:rPr>
            <w:b/>
            <w:i/>
            <w:color w:val="0000FF"/>
            <w:sz w:val="28"/>
            <w:u w:val="single"/>
          </w:rPr>
          <w:t>Udvikling af et europæisk flagskibsinitiativ for sundhed</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bCs/>
              </w:rPr>
              <w:t>Ordfører</w:t>
            </w:r>
            <w:r>
              <w:t>:</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r>
              <w:t>Alain Coheur (Gruppen af civilsamfundsorganisationer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Ref.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pPr>
            <w:r>
              <w:t>Initiativudtalelse</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EØSU:</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0F216A" w:rsidRDefault="00C46CDD" w14:paraId="072B53E5" w14:textId="77777777">
      <w:pPr>
        <w:numPr>
          <w:ilvl w:val="0"/>
          <w:numId w:val="37"/>
        </w:numPr>
        <w:overflowPunct w:val="0"/>
        <w:autoSpaceDE w:val="0"/>
        <w:autoSpaceDN w:val="0"/>
        <w:adjustRightInd w:val="0"/>
        <w:spacing w:line="276" w:lineRule="auto"/>
        <w:ind w:left="284" w:hanging="284"/>
        <w:contextualSpacing/>
        <w:jc w:val="left"/>
        <w:textAlignment w:val="baseline"/>
      </w:pPr>
      <w:r>
        <w:t xml:space="preserve">efterlyser et europæisk flagskibsinitiativ for sundhed, der bygger på principperne om universalitet, kvalitet, tilgængelighed, solidaritet og inklusion </w:t>
      </w:r>
    </w:p>
    <w:p w:rsidRPr="00C46CDD" w:rsidR="00C46CDD" w:rsidP="000F216A"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har fastlagt de strategiske søjler i denne køreplan, som omfatter følgende tiltag:</w:t>
      </w:r>
    </w:p>
    <w:p w:rsidRPr="00C46CDD" w:rsidR="00C46CDD" w:rsidP="002359A5"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indførelse af en europæisk sundheds- og plejegaranti </w:t>
      </w:r>
    </w:p>
    <w:p w:rsidRPr="00C46CDD" w:rsidR="00C46CDD" w:rsidP="002359A5"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virkeliggørelse af den integrerede One Health-tilgang</w:t>
      </w:r>
    </w:p>
    <w:p w:rsidRPr="00C46CDD" w:rsidR="00C46CDD" w:rsidP="002359A5"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r>
        <w:t>udnyttelse af digitaliseringens og den kunstige intelligens' potentiale til at modernisere sundhedssystemerne</w:t>
      </w:r>
    </w:p>
    <w:p w:rsidRPr="00C46CDD" w:rsidR="00C46CDD" w:rsidP="002359A5"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opretholdelse af europæiske finansielle instrumenter til støtte for nationale sundhedsinitiativer og national finansiering på sundhedsområdet</w:t>
      </w:r>
    </w:p>
    <w:p w:rsidRPr="00C46CDD" w:rsidR="00C46CDD" w:rsidP="002359A5"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prioritering af sociale investeringer og sundhedsinvesteringer </w:t>
      </w:r>
    </w:p>
    <w:p w:rsidRPr="00C46CDD" w:rsidR="00C46CDD" w:rsidP="002359A5"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fremme af en integreret resultattavle for socioøkonomiske reformer samt sundheds- og miljøreformer med henblik på at udvikle en strategi, "der rækker ud over vækst" </w:t>
      </w:r>
    </w:p>
    <w:p w:rsidRPr="00C46CDD" w:rsidR="00C46CDD" w:rsidP="002359A5"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udarbejdelse af en målrettet investeringsplan med henblik på at opbygge kapacitet og fremme sundheds- og plejefagene </w:t>
      </w:r>
    </w:p>
    <w:p w:rsidRPr="00C46CDD" w:rsidR="00C46CDD" w:rsidP="002359A5"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indgåelse af samarbejder mellem EU og WHO Europa om at fastholde, tiltrække og støtte plejepersonale, herunder sygeplejersker </w:t>
      </w:r>
    </w:p>
    <w:p w:rsidRPr="00C46CDD" w:rsidR="00C46CDD" w:rsidP="002359A5"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forbedring af sundheden og sikkerheden på arbejdspladsen</w:t>
      </w:r>
    </w:p>
    <w:p w:rsidRPr="00C46CDD" w:rsidR="00C46CDD" w:rsidP="002359A5"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iværksættelse af både en EU-handlingsplan og nationale planer for sjældne sygdomme, der integrerer sundhedsdiplomati som et blødt magtmiddel</w:t>
      </w:r>
      <w:r w:rsidRPr="00C46CDD">
        <w:rPr>
          <w:szCs w:val="20"/>
          <w:lang w:val="en-GB"/>
        </w:rPr>
        <w:footnoteReference w:id="1"/>
      </w:r>
      <w:r>
        <w:t xml:space="preserve">, for at styrke EU's og medlemsstaternes fælles indsats. </w:t>
      </w:r>
    </w:p>
    <w:p w:rsidRPr="00C46CDD" w:rsidR="00C46CDD" w:rsidP="000F216A"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rPr>
      </w:pPr>
      <w:r>
        <w:t>efterlyser en mere institutionaliseret inddragelse af civilsamfundet i fastlæggelsen, evalueringen og overvågningen af sundhedsprioriteter.</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594F3A" w:rsidTr="000F216A" w14:paraId="64BA1221" w14:textId="77777777">
        <w:tc>
          <w:tcPr>
            <w:tcW w:w="1985" w:type="dxa"/>
          </w:tcPr>
          <w:p w:rsidRPr="000F216A"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Pr>
                <w:b/>
                <w:i/>
              </w:rPr>
              <w:t>Kontakt</w:t>
            </w:r>
          </w:p>
        </w:tc>
        <w:tc>
          <w:tcPr>
            <w:tcW w:w="4507" w:type="dxa"/>
          </w:tcPr>
          <w:p w:rsidRPr="000F216A"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Pr>
                <w:i/>
              </w:rPr>
              <w:t>Valeria Atzori</w:t>
            </w:r>
          </w:p>
        </w:tc>
      </w:tr>
      <w:tr w:rsidRPr="00594F3A" w:rsidR="00594F3A" w:rsidTr="000F216A" w14:paraId="2DAB0189" w14:textId="77777777">
        <w:tc>
          <w:tcPr>
            <w:tcW w:w="1985" w:type="dxa"/>
          </w:tcPr>
          <w:p w:rsidRPr="000F216A"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Pr>
                <w:i/>
              </w:rPr>
              <w:t>Tlf.</w:t>
            </w:r>
          </w:p>
        </w:tc>
        <w:tc>
          <w:tcPr>
            <w:tcW w:w="4507" w:type="dxa"/>
          </w:tcPr>
          <w:p w:rsidRPr="000F216A"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Pr>
                <w:i/>
              </w:rPr>
              <w:t>00 32 2 546 87 74</w:t>
            </w:r>
          </w:p>
        </w:tc>
      </w:tr>
      <w:tr w:rsidRPr="00594F3A" w:rsidR="00594F3A" w:rsidTr="000F216A" w14:paraId="4B7D2331" w14:textId="77777777">
        <w:tc>
          <w:tcPr>
            <w:tcW w:w="1985" w:type="dxa"/>
          </w:tcPr>
          <w:p w:rsidRPr="000F216A"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Pr>
                <w:i/>
              </w:rPr>
              <w:t>E-mail</w:t>
            </w:r>
          </w:p>
        </w:tc>
        <w:tc>
          <w:tcPr>
            <w:tcW w:w="4507" w:type="dxa"/>
          </w:tcPr>
          <w:p w:rsidRPr="000F216A" w:rsidR="00594F3A" w:rsidP="00C46CDD" w:rsidRDefault="00536B9B" w14:paraId="643B2166" w14:textId="45AD95E8">
            <w:pPr>
              <w:overflowPunct w:val="0"/>
              <w:autoSpaceDE w:val="0"/>
              <w:autoSpaceDN w:val="0"/>
              <w:adjustRightInd w:val="0"/>
              <w:spacing w:line="240" w:lineRule="auto"/>
              <w:textAlignment w:val="baseline"/>
              <w:rPr>
                <w:i/>
                <w:iCs/>
                <w:sz w:val="22"/>
                <w:szCs w:val="22"/>
              </w:rPr>
            </w:pPr>
            <w:hyperlink w:history="1" r:id="rId34">
              <w:r w:rsidR="00594F3A">
                <w:rPr>
                  <w:i/>
                  <w:color w:val="0000FF"/>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536B9B"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276FC9">
          <w:rPr>
            <w:b/>
            <w:i/>
            <w:color w:val="0000FF"/>
            <w:sz w:val="28"/>
            <w:u w:val="single"/>
          </w:rPr>
          <w:t>Ingen må lades i stikken: Det europæiske engagement i bekæmpelsen af sjældne sygdomme</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bCs/>
              </w:rPr>
              <w:t>Ordfører:</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r>
              <w:t>Ágnes Cser (Gruppen af civilsamfundsorganisationer – BE)</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Ref.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pPr>
            <w:r>
              <w:t>Initiativudtalelse</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The EESC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opfordrer Kommissionen til at:</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offentliggøre en meddelelse med en omfattende europæisk handlingsplan for sjældne sygdomme med specifikke, målbare, acceptable, realistiske og tidsbundne mål (SMART mål), der kan nås inden 2030, for at gøre det muligt at diagnosticere patienter med sjældne sygdomme inden for et år</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oprette en styringsgruppe for den europæiske handlingsplan for sjældne sygdomme bestående af eksperter fra medlemsstaterne, EURORDIS-medlemmer og EØSU for at sikre koordinering og samarbejde om, overvågning af og tilsyn med handlingsplanen</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tilskynde til aftaler med medlemsstaterne om indholdet, ajourføringen, anvendelsen og overvågningen af de nationale planer for sjældne sygdomme</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garantere finansiering og gennemførlighed af handlingsplanen samt sikre de nødvendige budgetmidler til sundhed i den flerårige finansielle ramme for 2028-2035</w:t>
      </w:r>
    </w:p>
    <w:p w:rsidRPr="00450A40"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anbefaler, at handlingsplanen for sjældne sygdomme ikke blot fastsætter fælles og målbare mål, der vil hjælpe med at definere og gennemføre nationale planer og strategier for sjældne sygdomme, indeholder incitamenter for medlemsstaterne og viderefører samarbejdet på EU-plan, men også omfatter målrettede incitamentsmekanismer til fremme af forskning og innovation, navnlig inden for avanceret diagnosticering, præcisionsmedicin og genterapi</w:t>
      </w:r>
    </w:p>
    <w:p w:rsidRPr="00450A40" w:rsidR="00450A40" w:rsidP="000F216A"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rPr>
      </w:pPr>
      <w:r>
        <w:t>efterlyser specifik uddannelse for at styrke diagnosticeringskapaciteten ikke bare for de ansatte i sundhedssektoren, men også for socialarbejdere og velfærdspersonale, så de bliver i stand til at yde mere effektiv pleje til personer med sjældne sygdomme.</w:t>
      </w:r>
    </w:p>
    <w:p w:rsidRPr="00450A40" w:rsidR="00450A40" w:rsidP="00450A40" w:rsidRDefault="00450A40" w14:paraId="1758B8DE" w14:textId="77777777">
      <w:pPr>
        <w:widowControl w:val="0"/>
        <w:overflowPunct w:val="0"/>
        <w:autoSpaceDE w:val="0"/>
        <w:autoSpaceDN w:val="0"/>
        <w:adjustRightInd w:val="0"/>
        <w:ind w:left="709"/>
        <w:textAlignment w:val="baseline"/>
        <w:rPr>
          <w:szCs w:val="20"/>
          <w:lang w:val="en-GB"/>
        </w:rPr>
      </w:pP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94F3A" w:rsidR="00347517" w:rsidTr="000F216A" w14:paraId="6BAB6B77" w14:textId="77777777">
        <w:tc>
          <w:tcPr>
            <w:tcW w:w="1985" w:type="dxa"/>
          </w:tcPr>
          <w:p w:rsidRPr="000F216A"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Pr>
                <w:b/>
                <w:i/>
              </w:rPr>
              <w:t>Kontaktperson</w:t>
            </w:r>
          </w:p>
        </w:tc>
        <w:tc>
          <w:tcPr>
            <w:tcW w:w="4507" w:type="dxa"/>
          </w:tcPr>
          <w:p w:rsidRPr="000F216A"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Pr>
                <w:i/>
              </w:rPr>
              <w:t>Valeria Atzori</w:t>
            </w:r>
          </w:p>
        </w:tc>
      </w:tr>
      <w:tr w:rsidRPr="00594F3A" w:rsidR="00347517" w:rsidTr="000F216A" w14:paraId="6C1B34F5" w14:textId="77777777">
        <w:tc>
          <w:tcPr>
            <w:tcW w:w="1985" w:type="dxa"/>
          </w:tcPr>
          <w:p w:rsidRPr="000F216A"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Pr>
                <w:i/>
              </w:rPr>
              <w:t>Tlf.</w:t>
            </w:r>
          </w:p>
        </w:tc>
        <w:tc>
          <w:tcPr>
            <w:tcW w:w="4507" w:type="dxa"/>
          </w:tcPr>
          <w:p w:rsidRPr="000F216A"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Pr>
                <w:i/>
              </w:rPr>
              <w:t>00 32 2 546 87 74</w:t>
            </w:r>
          </w:p>
        </w:tc>
      </w:tr>
      <w:tr w:rsidRPr="00594F3A" w:rsidR="00347517" w:rsidTr="000F216A" w14:paraId="3114971F" w14:textId="77777777">
        <w:tc>
          <w:tcPr>
            <w:tcW w:w="1985" w:type="dxa"/>
          </w:tcPr>
          <w:p w:rsidRPr="000F216A"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Pr>
                <w:i/>
              </w:rPr>
              <w:t>E-mail</w:t>
            </w:r>
          </w:p>
        </w:tc>
        <w:tc>
          <w:tcPr>
            <w:tcW w:w="4507" w:type="dxa"/>
          </w:tcPr>
          <w:p w:rsidRPr="000F216A" w:rsidR="00347517" w:rsidP="00450A40" w:rsidRDefault="00536B9B" w14:paraId="04A7B698" w14:textId="1572EA8C">
            <w:pPr>
              <w:overflowPunct w:val="0"/>
              <w:autoSpaceDE w:val="0"/>
              <w:autoSpaceDN w:val="0"/>
              <w:adjustRightInd w:val="0"/>
              <w:spacing w:line="240" w:lineRule="auto"/>
              <w:textAlignment w:val="baseline"/>
              <w:rPr>
                <w:i/>
                <w:iCs/>
                <w:sz w:val="22"/>
                <w:szCs w:val="22"/>
              </w:rPr>
            </w:pPr>
            <w:hyperlink w:history="1" r:id="rId36">
              <w:r w:rsidR="00347517">
                <w:rPr>
                  <w:i/>
                  <w:color w:val="0000FF"/>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536B9B"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7E03C9">
          <w:rPr>
            <w:rStyle w:val="Hyperlink"/>
            <w:b/>
            <w:i/>
            <w:sz w:val="28"/>
          </w:rPr>
          <w:t>Udvikling af muligheder og risikostyring i forbindelse med nye teknologier til offentlige tjenester, arbejdstilrettelæggelse og mere lige og inklusive samfund</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Ordfører</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r>
              <w:t>Giulia Barbucci (Arbejdstagergruppen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bCs/>
              </w:rPr>
              <w:t>Medordfører</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r>
              <w:t>Giovanni Marcantonio (Gruppen af civilsamfundsorganisationer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rPr>
              <w:t>Ref.</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Sonderende udtalelse på anmodning af Kommissionen</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Udtalelsen præciserer indledningsvis, at der ved "offentlige tjenesteydelser" forstås de aktiviteter eller tjenester, som offentlige myndigheder i medlemsstaterne på nationalt, regionalt eller lokalt niveau klassificerer som værende af almen interesse.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Følgende bemærkes dernæst i udtalelsen:</w:t>
      </w:r>
    </w:p>
    <w:p w:rsidRPr="00C050AC"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Indførelse af digitalisering og AI (kunstig intelligens) kan revolutionere den måde, hvorpå offentlige tjenester stilles til rådighed, ved at fremsætte innovative løsninger til at varetage borgernes behov mere effektivt og hurtigere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AI kan hjælpe med at gøre disse tjenester mere tilgængelige, navnlig for de mest sårbare i samfundet </w:t>
      </w:r>
    </w:p>
    <w:p w:rsidRPr="00C050AC"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Muligheden for at automatisere komplekse og repetitive processer kan øge effektiviteten og samtidig mindske arbejdsbyrden for den enkelte arbejdstager </w:t>
      </w:r>
    </w:p>
    <w:p w:rsidRPr="00C050AC"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Der skal dog udvises forsigtighed ved brug af algoritmer for prædiktiv og generativ AI, f.eks. for at undgå skævheder, så det sikres, at de anvendte systemer er retfærdige og gennemsigtige og beskytter alle involverede aktørers rettigheder </w:t>
      </w:r>
    </w:p>
    <w:p w:rsidRPr="00C050AC"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EØSU anbefaler gennemsigtighed i beslutningsprocesserne ved udvikling af algoritmer og i forbindelse med gennemførelsen af disse teknologier, bl.a. for at sikre princippet om, at mennesket skal bevare kontrollen Man bør huske, at disse tjenester ydes af mennesker, der arbejder i deres eget tempo, inden for bestemte tidsrammer og under visse krav </w:t>
      </w:r>
    </w:p>
    <w:p w:rsidRPr="00C050AC"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Offentlige tjenester skal investere i cybersikkerhedsværktøjer til at forebygge angreb og andre former for datakriminalitet </w:t>
      </w:r>
    </w:p>
    <w:p w:rsidRPr="00C050AC"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Arbejdsgivere i offentlige tjenester skal gøre deres arbejdstagere opmærksom på indførelsen af AI-overvågningssystemer. Information er afgørende for at skabe tillid </w:t>
      </w:r>
    </w:p>
    <w:p w:rsidRPr="00C050AC"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Integrering af AI i offentlige tjenester bør også ledsages af en omfattende plan for uddannelse/oplæring og opkvalificering </w:t>
      </w:r>
    </w:p>
    <w:p w:rsidRPr="00C050AC"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Arbejdsmarkedsdialog og kollektive overenskomstforhandlinger spiller en afgørende rolle med hensyn til at fremme omstillingen til AI. Der er også behov for en dialog med relevante civilsamfundsinteressenter for at sikre, at indførelsen af AI i offentlige tjenester er inklusiv og bæredygtig.</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C050AC" w:rsidTr="00F324F7" w14:paraId="1AAA4577" w14:textId="77777777">
        <w:tc>
          <w:tcPr>
            <w:tcW w:w="1556" w:type="pct"/>
          </w:tcPr>
          <w:p w:rsidRPr="000F216A"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Pr>
                <w:i/>
              </w:rPr>
              <w:t>Ana Dumitrache</w:t>
            </w:r>
          </w:p>
        </w:tc>
      </w:tr>
      <w:tr w:rsidRPr="00594F3A" w:rsidR="00C050AC" w:rsidTr="00F324F7" w14:paraId="05B9CEF1" w14:textId="77777777">
        <w:tc>
          <w:tcPr>
            <w:tcW w:w="1556" w:type="pct"/>
          </w:tcPr>
          <w:p w:rsidRPr="000F216A"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Pr>
                <w:i/>
              </w:rPr>
              <w:t>00 32 2 546 81 31</w:t>
            </w:r>
          </w:p>
        </w:tc>
      </w:tr>
      <w:tr w:rsidRPr="00594F3A" w:rsidR="00C050AC" w:rsidTr="00F324F7" w14:paraId="7BBF2102" w14:textId="77777777">
        <w:tc>
          <w:tcPr>
            <w:tcW w:w="1556" w:type="pct"/>
          </w:tcPr>
          <w:p w:rsidRPr="000F216A"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C050AC" w:rsidP="00C050AC" w:rsidRDefault="00536B9B" w14:paraId="195562E1" w14:textId="3B537756">
            <w:pPr>
              <w:overflowPunct w:val="0"/>
              <w:autoSpaceDE w:val="0"/>
              <w:autoSpaceDN w:val="0"/>
              <w:adjustRightInd w:val="0"/>
              <w:spacing w:line="240" w:lineRule="auto"/>
              <w:textAlignment w:val="baseline"/>
              <w:rPr>
                <w:i/>
                <w:sz w:val="22"/>
                <w:szCs w:val="22"/>
              </w:rPr>
            </w:pPr>
            <w:hyperlink w:history="1" r:id="rId38">
              <w:r w:rsidR="007E03C9">
                <w:rPr>
                  <w:i/>
                  <w:color w:val="0000FF"/>
                  <w:u w:val="single"/>
                </w:rPr>
                <w:t>Ana.Dumitrache@eesc.europa.eu</w:t>
              </w:r>
            </w:hyperlink>
            <w:r w:rsidR="007E03C9">
              <w:rPr>
                <w:i/>
                <w:sz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536B9B"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r w:rsidR="00276FC9">
          <w:rPr>
            <w:b/>
            <w:i/>
            <w:color w:val="0000FF"/>
            <w:sz w:val="28"/>
            <w:u w:val="single"/>
          </w:rPr>
          <w:t>Ulig social beskyttelse generelt og mere specifikt i forhold til nye arbejdsformer og atypiske arbejdstagere</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bCs/>
              </w:rPr>
              <w:t>Ordfører:</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r>
              <w:t>María del Carmen Barrera Chamorro (Arbejdstagergruppen – 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Ref.</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pPr>
            <w:r>
              <w:t>Initiativudtalelse</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Hovedpunkter</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r>
        <w:t>EØSU:</w:t>
      </w:r>
    </w:p>
    <w:p w:rsidRPr="00B80A16"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bemærker, at EU og medlemsstaterne skal sigte mod at fremme et højt beskæftigelsesniveau, forbedre leve- og arbejdsvilkårene og opnå passende social beskyttelse, bl.a. for selvstændige på sammenlignelige vilkår</w:t>
      </w:r>
    </w:p>
    <w:p w:rsidRPr="00B80A16"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tilskynder EU og medlemsstaterne til i overensstemmelse med deres respektive kompetencer og national praksis at tilpasse de sociale beskyttelsessystemer til at omfatte atypiske arbejdsformer, sikre tilstrækkelige ydelser for anstændigt arbejde og et anstændigt liv for alle arbejdstagere</w:t>
      </w:r>
    </w:p>
    <w:p w:rsidRPr="00B80A16"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opfordrer medlemsstaterne til at flytte fokus fra social beskyttelse af kun arbejdstagere til alle EU-borgere ved at sikre en minimumsindkomst til dem, der ikke er i stand til at arbejde, og samtidig incitere dem, der er i stand til at arbejde, til at vende tilbage til arbejdsmarkedet</w:t>
      </w:r>
    </w:p>
    <w:p w:rsidRPr="00B80A16"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opfordrer indtrængende medlemsstaterne til at gennemgå de sociale beskyttelsessystemers finansieringskilder for at sikre den finansielle bæredygtighed uden at bringe jobskabelsen i fare. EU kan støtte medlemsstaterne i disse bestræbelser ved at lette udvekslingen af erfaringer i forbindelse med revisionen/reformen af de nationale sociale beskyttelsessystemer</w:t>
      </w:r>
    </w:p>
    <w:p w:rsidRPr="00B80A16"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anerkender, at den primære beføjelse til at tilpasse de sociale beskyttelsessystemer ligger hos medlemsstaterne, men EU skal støtte medlemsstaterne i at afhjælpe manglerne i beskyttelsen af atypisk arbejde uden at gå på kompromis med den fleksibilitet, som sådanne ansættelsesforhold giver både arbejdsgivere og -tagere</w:t>
      </w:r>
    </w:p>
    <w:p w:rsidRPr="00B80A16"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opfordrer indtrængende Kommissionen til at revidere direktiv 79/7/EF og om nødvendigt foreslå reformer for effektivt at afhjælpe mangler i den sociale beskyttelse, bl.a. gennem social dialog på nationalt plan</w:t>
      </w:r>
    </w:p>
    <w:p w:rsidRPr="00B80A16"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er fortaler for at udveksle bedste praksis og opfordrer Kommissionen til at fremme gensidig læring med inddragelse af de nationale arbejdsmarkedsparter og EØSU.</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B80A16" w:rsidTr="00F324F7" w14:paraId="4DB4B439" w14:textId="77777777">
        <w:tc>
          <w:tcPr>
            <w:tcW w:w="1418" w:type="dxa"/>
          </w:tcPr>
          <w:p w:rsidRPr="000F216A"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B80A16" w:rsidP="00B80A16" w:rsidRDefault="00B80A16" w14:paraId="6F41E32A" w14:textId="77777777">
            <w:pPr>
              <w:overflowPunct w:val="0"/>
              <w:autoSpaceDE w:val="0"/>
              <w:autoSpaceDN w:val="0"/>
              <w:adjustRightInd w:val="0"/>
              <w:spacing w:line="240" w:lineRule="auto"/>
              <w:textAlignment w:val="baseline"/>
              <w:rPr>
                <w:i/>
                <w:sz w:val="22"/>
                <w:szCs w:val="22"/>
              </w:rPr>
            </w:pPr>
            <w:r>
              <w:rPr>
                <w:i/>
              </w:rPr>
              <w:t>Bartek Bednarowicz</w:t>
            </w:r>
          </w:p>
        </w:tc>
      </w:tr>
      <w:tr w:rsidRPr="00594F3A" w:rsidR="00B80A16" w:rsidTr="00F324F7" w14:paraId="5D861B45" w14:textId="77777777">
        <w:tc>
          <w:tcPr>
            <w:tcW w:w="1418" w:type="dxa"/>
          </w:tcPr>
          <w:p w:rsidRPr="000F216A"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Pr>
                <w:i/>
              </w:rPr>
              <w:t>00 32 2 546 9229</w:t>
            </w:r>
          </w:p>
        </w:tc>
      </w:tr>
      <w:tr w:rsidRPr="00594F3A" w:rsidR="00B80A16" w:rsidTr="00F324F7" w14:paraId="1EC78B68" w14:textId="77777777">
        <w:tc>
          <w:tcPr>
            <w:tcW w:w="1418" w:type="dxa"/>
          </w:tcPr>
          <w:p w:rsidRPr="000F216A"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B80A16" w:rsidP="00B80A16" w:rsidRDefault="00536B9B" w14:paraId="7971D364" w14:textId="4031A271">
            <w:pPr>
              <w:overflowPunct w:val="0"/>
              <w:autoSpaceDE w:val="0"/>
              <w:autoSpaceDN w:val="0"/>
              <w:adjustRightInd w:val="0"/>
              <w:spacing w:line="240" w:lineRule="auto"/>
              <w:textAlignment w:val="baseline"/>
              <w:rPr>
                <w:i/>
                <w:iCs/>
                <w:sz w:val="22"/>
                <w:szCs w:val="22"/>
              </w:rPr>
            </w:pPr>
            <w:hyperlink w:history="1" r:id="rId40">
              <w:r w:rsidR="007E03C9">
                <w:rPr>
                  <w:i/>
                  <w:color w:val="0000FF"/>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3175801" w:id="4"/>
      <w:r>
        <w:t>TRANSPORT, ENERGI, INFRASTRUKTUR OG INFORMATIONSSAMFUNDET</w:t>
      </w:r>
      <w:bookmarkEnd w:id="2"/>
      <w:bookmarkEnd w:id="3"/>
      <w:bookmarkEnd w:id="4"/>
    </w:p>
    <w:p w:rsidR="004D7AC0" w:rsidP="004D7AC0" w:rsidRDefault="004D7AC0" w14:paraId="4982DDC7" w14:textId="77777777"/>
    <w:p w:rsidRPr="002C78FD" w:rsidR="006C457C" w:rsidP="006C457C" w:rsidRDefault="00536B9B"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276FC9">
          <w:rPr>
            <w:rStyle w:val="Hyperlink"/>
            <w:b/>
            <w:i/>
            <w:sz w:val="28"/>
          </w:rPr>
          <w:t>Geotermisk energis potentiale i den grønne omstilling</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6C457C" w:rsidTr="00F324F7"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Ordfører </w:t>
            </w:r>
          </w:p>
        </w:tc>
        <w:tc>
          <w:tcPr>
            <w:tcW w:w="5387" w:type="dxa"/>
          </w:tcPr>
          <w:p w:rsidRPr="00D42A3F" w:rsidR="006C457C" w:rsidP="00F324F7" w:rsidRDefault="006C457C" w14:paraId="0259BE1C" w14:textId="53BF9BAA">
            <w:pPr>
              <w:tabs>
                <w:tab w:val="center" w:pos="284"/>
              </w:tabs>
              <w:ind w:left="266" w:hanging="266"/>
              <w:rPr>
                <w:sz w:val="20"/>
                <w:szCs w:val="20"/>
              </w:rPr>
            </w:pPr>
            <w:r>
              <w:rPr>
                <w:sz w:val="20"/>
              </w:rPr>
              <w:t>Zsolt Kükedi (Gruppen af civilsamfundsorganisationer – HU)</w:t>
            </w:r>
          </w:p>
        </w:tc>
      </w:tr>
      <w:tr w:rsidRPr="00A6689B" w:rsidR="006C457C" w:rsidTr="00F324F7" w14:paraId="3DFA0B1E" w14:textId="77777777">
        <w:tc>
          <w:tcPr>
            <w:tcW w:w="1701" w:type="dxa"/>
          </w:tcPr>
          <w:p w:rsidRPr="00D42A3F" w:rsidR="006C457C" w:rsidP="00F324F7" w:rsidRDefault="006C457C" w14:paraId="4EBB08B4" w14:textId="77777777">
            <w:pPr>
              <w:tabs>
                <w:tab w:val="center" w:pos="284"/>
              </w:tabs>
              <w:ind w:left="266" w:hanging="266"/>
              <w:rPr>
                <w:b/>
                <w:sz w:val="20"/>
                <w:szCs w:val="20"/>
              </w:rPr>
            </w:pPr>
            <w:r>
              <w:rPr>
                <w:b/>
                <w:bCs/>
                <w:sz w:val="20"/>
              </w:rPr>
              <w:t>Medordfører</w:t>
            </w:r>
          </w:p>
        </w:tc>
        <w:tc>
          <w:tcPr>
            <w:tcW w:w="5387" w:type="dxa"/>
          </w:tcPr>
          <w:p w:rsidRPr="00D42A3F" w:rsidR="006C457C" w:rsidP="00F324F7" w:rsidRDefault="006C457C" w14:paraId="7849B036" w14:textId="77777777">
            <w:pPr>
              <w:tabs>
                <w:tab w:val="center" w:pos="284"/>
              </w:tabs>
              <w:ind w:left="266" w:hanging="266"/>
              <w:rPr>
                <w:sz w:val="20"/>
                <w:szCs w:val="20"/>
              </w:rPr>
            </w:pPr>
            <w:r>
              <w:rPr>
                <w:sz w:val="20"/>
              </w:rPr>
              <w:t>Thomas Kattnig (Arbejdstagergruppen – AT)</w:t>
            </w:r>
          </w:p>
        </w:tc>
      </w:tr>
      <w:tr w:rsidRPr="00A6689B" w:rsidR="006C457C" w:rsidTr="00F324F7" w14:paraId="7AB5CDD0" w14:textId="77777777">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sz w:val="20"/>
              </w:rPr>
              <w:t>Ref.</w:t>
            </w:r>
          </w:p>
        </w:tc>
        <w:tc>
          <w:tcPr>
            <w:tcW w:w="5387" w:type="dxa"/>
          </w:tcPr>
          <w:p w:rsidRPr="00D42A3F" w:rsidR="006C457C" w:rsidP="00F324F7" w:rsidRDefault="006C457C" w14:paraId="0CCB83A9" w14:textId="77777777">
            <w:pPr>
              <w:tabs>
                <w:tab w:val="center" w:pos="284"/>
              </w:tabs>
              <w:ind w:left="266" w:hanging="266"/>
              <w:rPr>
                <w:sz w:val="20"/>
                <w:szCs w:val="20"/>
              </w:rPr>
            </w:pPr>
            <w:r>
              <w:rPr>
                <w:sz w:val="20"/>
              </w:rPr>
              <w:t>Initiativudtalelse</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Hovedpunkter</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EØSU:</w:t>
      </w:r>
    </w:p>
    <w:p w:rsidRPr="00A6689B" w:rsidR="006C457C" w:rsidP="006C457C" w:rsidRDefault="006C457C" w14:paraId="7A926285" w14:textId="77777777">
      <w:pPr>
        <w:rPr>
          <w:bCs/>
          <w:iCs/>
        </w:rPr>
      </w:pPr>
    </w:p>
    <w:p w:rsidRPr="00250CD0"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understreger, at geotermisk energiproduktion er forbundet med ekstremt lav drivhusgasudledning, hvilket kan mindske kontinentets afhængighed af fossile brændstoffer og fremme dekarboniseringen og således yde et væsentligt bidrag til at nå EU's 2050-mål om klimaneutralitet</w:t>
      </w:r>
    </w:p>
    <w:p w:rsidRPr="00A6689B" w:rsidR="006C457C" w:rsidP="000F216A" w:rsidRDefault="006C457C" w14:paraId="44B47F15" w14:textId="77777777">
      <w:pPr>
        <w:widowControl w:val="0"/>
        <w:numPr>
          <w:ilvl w:val="0"/>
          <w:numId w:val="43"/>
        </w:numPr>
        <w:overflowPunct w:val="0"/>
        <w:autoSpaceDE w:val="0"/>
        <w:autoSpaceDN w:val="0"/>
        <w:adjustRightInd w:val="0"/>
        <w:ind w:left="284" w:hanging="284"/>
        <w:textAlignment w:val="baseline"/>
      </w:pPr>
      <w:r>
        <w:t>fremhæver, at der er et stort uudnyttet potentiale for geotermisk energi i Europa. Udvalget opfordrer derfor Kommissionen til at udarbejde en overordnet europæisk strategi for udvikling af geotermisk energi med henblik på at udnytte dette potentiale</w:t>
      </w:r>
    </w:p>
    <w:p w:rsidRPr="00EE75BE"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mener ikke, at investeringer i geotermiske kraftværker vil fungere uden indgriben fra medlemsstaternes side, da der er behov for offentlig finansiering og incitamenter for at tiltrække og fjerne risikoen ved initialinvesteringer. Ændringer i energipolitikken eller -finansieringen kan indvirke på geotermiske projekters økonomiske tiltrækningskraft.</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w:t>
            </w:r>
          </w:p>
        </w:tc>
        <w:tc>
          <w:tcPr>
            <w:tcW w:w="5670" w:type="dxa"/>
          </w:tcPr>
          <w:p w:rsidRPr="00A6689B" w:rsidR="006C457C" w:rsidP="00F324F7" w:rsidRDefault="006C457C" w14:paraId="0EDA5629" w14:textId="77777777">
            <w:pPr>
              <w:spacing w:line="240" w:lineRule="auto"/>
              <w:rPr>
                <w:i/>
              </w:rPr>
            </w:pPr>
            <w:r>
              <w:rPr>
                <w:i/>
              </w:rPr>
              <w:t>Antonio Ribeiro Pereira</w:t>
            </w:r>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Tlf.</w:t>
            </w:r>
          </w:p>
        </w:tc>
        <w:tc>
          <w:tcPr>
            <w:tcW w:w="5670" w:type="dxa"/>
          </w:tcPr>
          <w:p w:rsidRPr="00A6689B" w:rsidR="006C457C" w:rsidP="00F324F7" w:rsidRDefault="006C457C" w14:paraId="225FBCFB" w14:textId="77777777">
            <w:pPr>
              <w:spacing w:line="240" w:lineRule="auto"/>
              <w:rPr>
                <w:i/>
              </w:rPr>
            </w:pPr>
            <w:r>
              <w:rPr>
                <w:i/>
              </w:rPr>
              <w:t>00 32 2 546 93 63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E-mail</w:t>
            </w:r>
          </w:p>
        </w:tc>
        <w:tc>
          <w:tcPr>
            <w:tcW w:w="5670" w:type="dxa"/>
          </w:tcPr>
          <w:p w:rsidRPr="00A6689B" w:rsidR="006C457C" w:rsidP="00F324F7" w:rsidRDefault="00536B9B" w14:paraId="7A486C1A" w14:textId="499C1E00">
            <w:pPr>
              <w:spacing w:line="240" w:lineRule="auto"/>
              <w:rPr>
                <w:i/>
              </w:rPr>
            </w:pPr>
            <w:hyperlink w:history="1" r:id="rId42">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536B9B"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276FC9">
          <w:rPr>
            <w:b/>
            <w:i/>
            <w:color w:val="0000FF"/>
            <w:sz w:val="28"/>
            <w:u w:val="single"/>
          </w:rPr>
          <w:t>Håndtering af radioaktivt affald: civilsamfundets perspektiv</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Ordfører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r>
              <w:t>Alena Mastantuono (Arbejdsgivergruppen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bCs/>
              </w:rPr>
              <w:t>Medordfører</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r>
              <w:t>Christophe Quarez (Arbejdstagergruppen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rPr>
              <w:t>Ref.</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t>Initiativudtalelse</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EØSU:</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understreger, at medlemsstaterne bør fremme inklusivt engagement, åbenhed og gennemsigtighed over for civilsamfundet, herunder de nuværende værtssamfund og potentielt interesserede værtssamfund, inden for alle områder af håndtering af radioaktivt affald. Den tilgængelige finansiering bør anvendes til at øge kapaciteten hos de forskellige civilsamfundsgrupper, navnlig lokalsamfund tæt på nukleare anlæg, til at deltage selvstændigt i projekter og studier for at vurdere praksis med hensyn til deltagelse og gennemsigtighed inden for håndtering af radioaktivt affald</w:t>
      </w:r>
    </w:p>
    <w:p w:rsidRPr="00392AA4"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opfordrer indtrængende medlemsstaterne til at påtage sig alle deres forpligtelser, så de kommende generationer ikke skal bære byrden med at behandle nukleart affald, uanset dets art, levetid og risikoniveau. Udviklingen af fælles løsninger, bl.a. multinationale opbevaringsanlæg til radioaktivt affald, kan være af interesse for nogle EU-medlemsstater, navnlig lande med små eller mellemstore lagre</w:t>
      </w:r>
    </w:p>
    <w:p w:rsidRPr="00392AA4"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opfordrer EU's medlemsstater til at stræbe efter en minimal mængde affald til deponering ved hjælp af cirkulære økonomiske strategier til, hvor det er muligt, at reducere produktionen af radioaktivt affald til et minimum</w:t>
      </w:r>
    </w:p>
    <w:p w:rsidRPr="00392AA4" w:rsidR="00392AA4" w:rsidP="000F216A"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 bemærker, at direktivet anvendes uensartet på tværs af medlemsstaterne, hvilket fører til mangel på sammenlignelige data. Udvalget opfordrer medlemsstaterne til at forbedre anvendelsen af centrale resultatindikatorer (KPI'er) i forbindelse med overvågning af og rapportering om det fremskridt, der er gjort med gennemførelsen af EU's direktiv om håndtering af radioaktivt affald</w:t>
      </w:r>
    </w:p>
    <w:p w:rsidRPr="00392AA4"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opfordrer til at støtte uddannelse af fagfolk og videnskabsfolk inden for håndtering af radioaktivt affald og foreslår "sociotekniske tilgange" til radioaktivt affald.</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392AA4" w:rsidTr="00F324F7" w14:paraId="46E4703C" w14:textId="77777777">
        <w:tc>
          <w:tcPr>
            <w:tcW w:w="1418" w:type="dxa"/>
          </w:tcPr>
          <w:p w:rsidRPr="000F216A"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Pr>
                <w:i/>
              </w:rPr>
              <w:t>Albert Precup</w:t>
            </w:r>
          </w:p>
        </w:tc>
      </w:tr>
      <w:tr w:rsidRPr="00347517" w:rsidR="00392AA4" w:rsidTr="00F324F7" w14:paraId="50D270CC" w14:textId="77777777">
        <w:tc>
          <w:tcPr>
            <w:tcW w:w="1418" w:type="dxa"/>
          </w:tcPr>
          <w:p w:rsidRPr="000F216A"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Pr>
                <w:i/>
              </w:rPr>
              <w:t>00 32 2 546 93 26</w:t>
            </w:r>
          </w:p>
        </w:tc>
      </w:tr>
      <w:tr w:rsidRPr="00347517" w:rsidR="00392AA4" w:rsidTr="00F324F7" w14:paraId="606098E2" w14:textId="77777777">
        <w:tc>
          <w:tcPr>
            <w:tcW w:w="1418" w:type="dxa"/>
          </w:tcPr>
          <w:p w:rsidRPr="000F216A"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392AA4" w:rsidP="00392AA4" w:rsidRDefault="00536B9B" w14:paraId="4D05537C" w14:textId="48095E4B">
            <w:pPr>
              <w:overflowPunct w:val="0"/>
              <w:autoSpaceDE w:val="0"/>
              <w:autoSpaceDN w:val="0"/>
              <w:adjustRightInd w:val="0"/>
              <w:spacing w:line="240" w:lineRule="auto"/>
              <w:textAlignment w:val="baseline"/>
              <w:rPr>
                <w:i/>
                <w:sz w:val="22"/>
                <w:szCs w:val="22"/>
              </w:rPr>
            </w:pPr>
            <w:hyperlink w:history="1" r:id="rId44">
              <w:r w:rsidR="007E03C9">
                <w:rPr>
                  <w:rStyle w:val="Hyperlink"/>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3175802" w:id="6"/>
      <w:r>
        <w:t>DET INDRE MARKED, PRODUKTION OG FORBRUG</w:t>
      </w:r>
      <w:bookmarkEnd w:id="5"/>
      <w:bookmarkEnd w:id="6"/>
    </w:p>
    <w:p w:rsidR="004D7AC0" w:rsidP="004D7AC0" w:rsidRDefault="004D7AC0" w14:paraId="4982DDF4" w14:textId="77777777"/>
    <w:p w:rsidRPr="005E4210" w:rsidR="007A5F00" w:rsidP="007A5F00" w:rsidRDefault="00536B9B"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5">
        <w:r w:rsidR="00276FC9">
          <w:rPr>
            <w:rStyle w:val="Hyperlink"/>
            <w:b/>
            <w:i/>
            <w:sz w:val="28"/>
          </w:rPr>
          <w:t>Beretning om konkurrencepolitikken 2023</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Ordfører</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Pr>
                <w:sz w:val="20"/>
              </w:rPr>
              <w:t xml:space="preserve">Giuseppe Guerini (Gruppen af civilsamfundsorganisationer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sz w:val="20"/>
              </w:rPr>
              <w:t>Ref.</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COM(2024) 115 final</w:t>
            </w:r>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Hovedpunkter</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EØSU:</w:t>
      </w:r>
    </w:p>
    <w:p w:rsidRPr="00A6689B" w:rsidR="007A5F00" w:rsidP="007A5F00" w:rsidRDefault="007A5F00" w14:paraId="33A3F0FA" w14:textId="77777777">
      <w:pPr>
        <w:rPr>
          <w:bCs/>
          <w:iCs/>
        </w:rPr>
      </w:pPr>
    </w:p>
    <w:p w:rsidRPr="002766BA"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mener, at der bør foretages en grundig evaluering af de gældende </w:t>
      </w:r>
      <w:r>
        <w:rPr>
          <w:b/>
        </w:rPr>
        <w:t>midlertidige krise- og omstillingsrammebestemmelser</w:t>
      </w:r>
      <w:r>
        <w:t xml:space="preserve"> med henblik på at afgøre, om det vil være hensigtsmæssigt </w:t>
      </w:r>
      <w:r>
        <w:rPr>
          <w:b/>
        </w:rPr>
        <w:t>at udfase dem i 2025</w:t>
      </w:r>
      <w:r>
        <w:t xml:space="preserve">, sådan som det aktuelt er planen, eller om det vil være nyttigt at </w:t>
      </w:r>
      <w:r>
        <w:rPr>
          <w:b/>
        </w:rPr>
        <w:t>indarbejde nogle af de elementer, der har vist sig at være gavnlige for den grønne omstilling, i de almindelige statsstøtteregler, navnlig de proceduremæssige forbedringer</w:t>
      </w:r>
    </w:p>
    <w:p w:rsidRPr="00A668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opfordrer til overvejelser om et vigtigt element i </w:t>
      </w:r>
      <w:r>
        <w:rPr>
          <w:b/>
          <w:i/>
        </w:rPr>
        <w:t xml:space="preserve">Much More Than A Market-rapporten </w:t>
      </w:r>
      <w:r>
        <w:rPr>
          <w:b/>
        </w:rPr>
        <w:t>udarbejdet af Enrico Letta</w:t>
      </w:r>
      <w:r>
        <w:t xml:space="preserve"> om behovet for hurtigt at mobilisere national målrettet offentlig støtte til industrien, såfremt denne støtte på en forholdsmæssig måde afhjælper markedssvigt og samtidig forhindrer fragmentering af det indre marked. En måde at tackle dette dilemma på kunne være at skabe balance mellem </w:t>
      </w:r>
      <w:r>
        <w:rPr>
          <w:b/>
        </w:rPr>
        <w:t>strengere håndhævelse af statsstøtte på nationalt plan og den gradvise udvidelse af EU's finansieringsstøtte</w:t>
      </w:r>
      <w:r>
        <w:t xml:space="preserve">. Konkret peger rapporten på en </w:t>
      </w:r>
      <w:r>
        <w:rPr>
          <w:b/>
        </w:rPr>
        <w:t>mekanisme for statsstøtte</w:t>
      </w:r>
      <w:r>
        <w:t>, der vil gøre det obligatorisk for medlemsstaterne at afsætte en del af deres nationale midler til finansiering af paneuropæiske initiativer og investeringer</w:t>
      </w:r>
    </w:p>
    <w:p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understreget, at der er behov for at </w:t>
      </w:r>
      <w:r>
        <w:rPr>
          <w:b/>
        </w:rPr>
        <w:t>skabe lettere adgang til finansiering for socialøkonomiske aktører i hele deres livscyklus</w:t>
      </w:r>
      <w:r>
        <w:t>. Det kunne bl.a. handle om at tilpasse den generelle gruppefritagelsesforordning for statsstøtte til socialøkonomiske virksomheder og revurdere reglerne for støtte til ansættelse af dårligt stillede arbejdstagere</w:t>
      </w:r>
    </w:p>
    <w:p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anser idéen om eventuelt i fremtiden at oprette en </w:t>
      </w:r>
      <w:r>
        <w:rPr>
          <w:b/>
        </w:rPr>
        <w:t>paneuropæisk offentlig statsstøttefond</w:t>
      </w:r>
      <w:r>
        <w:t xml:space="preserve"> – som foreslået i Lettarapporten – for meget interessant, da den kunne være gavnlig både med hensyn til at opretholde den sociale samhørighed og i forhold til et velfungerende indre marked.</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Kontakt</w:t>
            </w:r>
          </w:p>
        </w:tc>
        <w:tc>
          <w:tcPr>
            <w:tcW w:w="3444" w:type="pct"/>
          </w:tcPr>
          <w:p w:rsidRPr="00A6689B" w:rsidR="007A5F00" w:rsidP="00F324F7" w:rsidRDefault="007A5F00" w14:paraId="7F0EA6EC" w14:textId="77777777">
            <w:pPr>
              <w:spacing w:line="240" w:lineRule="auto"/>
              <w:rPr>
                <w:i/>
              </w:rPr>
            </w:pPr>
            <w:r>
              <w:rPr>
                <w:i/>
              </w:rPr>
              <w:t>Silvia Staffa</w:t>
            </w:r>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Tlf.</w:t>
            </w:r>
          </w:p>
        </w:tc>
        <w:tc>
          <w:tcPr>
            <w:tcW w:w="3444" w:type="pct"/>
          </w:tcPr>
          <w:p w:rsidRPr="00A6689B" w:rsidR="007A5F00" w:rsidP="00F324F7" w:rsidRDefault="007A5F00" w14:paraId="368A4F87" w14:textId="77777777">
            <w:pPr>
              <w:spacing w:line="240" w:lineRule="auto"/>
              <w:rPr>
                <w:i/>
              </w:rPr>
            </w:pPr>
            <w:r>
              <w:rPr>
                <w:i/>
              </w:rPr>
              <w:t>00 32 2 546 82 44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E-mail</w:t>
            </w:r>
          </w:p>
        </w:tc>
        <w:tc>
          <w:tcPr>
            <w:tcW w:w="3444" w:type="pct"/>
          </w:tcPr>
          <w:p w:rsidRPr="00A6689B" w:rsidR="007A5F00" w:rsidP="00F324F7" w:rsidRDefault="00536B9B" w14:paraId="0C3BCA9A" w14:textId="21BC0983">
            <w:pPr>
              <w:spacing w:line="240" w:lineRule="auto"/>
              <w:rPr>
                <w:i/>
              </w:rPr>
            </w:pPr>
            <w:hyperlink w:history="1" r:id="rId46">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536B9B"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276FC9">
          <w:rPr>
            <w:b/>
            <w:i/>
            <w:color w:val="0000FF"/>
            <w:sz w:val="28"/>
            <w:u w:val="single"/>
          </w:rPr>
          <w:t>Offentlige udbud / socialøkonomiske virksomheder</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Ordfører</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bCs/>
              </w:rPr>
              <w:t>Medordfører</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r>
              <w:t>Ferre Wyckmans (Arbejdstagergruppen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r>
              <w:t>Alain Coheur (Gruppen af civilsamfundsorganisationer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rPr>
              <w:t>Ref.</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pPr>
            <w:r>
              <w:t>Initiativudtalelse</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EØSU:</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minder om, at adgang til offentlige udbud er afgørende for socialøkonomiske organisationer, og understreger betydningen af at fastlægge innovative kriterier med en reel, ikke-markedsmæssig værdi</w:t>
      </w:r>
    </w:p>
    <w:p w:rsidRPr="00926B4A"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tilskynder til initiativer som "Buying for Social Impact" og "We Buy Social EU", som ud over videndeling forbedrer den gensidige forståelse mellem offentlige myndigheder og aktører i den sociale økonomi og nærøkonomien, og opfordrer til, at Liègekøreplanen gennemføres</w:t>
      </w:r>
    </w:p>
    <w:p w:rsidRPr="00926B4A"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opfordrer medlemsstaterne og de forskellige forvaltningsniveauer til at gennemføre alle foranstaltningerne og tiltagene i henstillingen om udvikling af socialøkonomiske rammebetingelser for at hjælpe de socialøkonomiske virksomheder med at få adgang til markedet, f.eks. ved at fastsætte rimelige udvælgelseskriterier eller ved at opdele kontrakterne i delkontrakter</w:t>
      </w:r>
    </w:p>
    <w:p w:rsidRPr="00926B4A"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opfordrer indtrængende Kommissionen til snarest muligt at iværksætte den strategiske handlingsplan for offentlige udbud på EU-plan, som Rådet for nylig har anmodet om, og til at udvikle et system til overvågning af foranstaltningernes gennemførelse med henblik på at øge deres effektivitet</w:t>
      </w:r>
    </w:p>
    <w:p w:rsidRPr="00926B4A"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efterlyser en omfattende evaluering og revision af den europæiske ramme for offentlige udbud i den nye mandatperiode</w:t>
      </w:r>
    </w:p>
    <w:p w:rsidRPr="00926B4A"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mener, at de ordregivende myndigheder i EU bør gøre bedre brug af indledende markedsundersøgelser, reserverede kontrakter og opdeling i delkontrakter</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opfordrer Kommissionen til at oprette et særligt afsnit om "socialt ansvarlige offentlige udbud" på den socialøkonomiske portal ("Social Economy Gateway") for at fremme udvekslingen af viden og bedste praksis.</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7"/>
        <w:gridCol w:w="5384"/>
      </w:tblGrid>
      <w:tr w:rsidRPr="00347517" w:rsidR="00926B4A" w:rsidTr="00F324F7" w14:paraId="5E8C3D27" w14:textId="77777777">
        <w:tc>
          <w:tcPr>
            <w:tcW w:w="1059" w:type="pct"/>
          </w:tcPr>
          <w:p w:rsidRPr="000F216A"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Pr>
                <w:b/>
                <w:i/>
              </w:rPr>
              <w:t>Kontakt</w:t>
            </w:r>
          </w:p>
        </w:tc>
        <w:tc>
          <w:tcPr>
            <w:tcW w:w="3941" w:type="pct"/>
          </w:tcPr>
          <w:p w:rsidRPr="000F216A"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Pr>
                <w:i/>
              </w:rPr>
              <w:t>Annalisa Tessarolo</w:t>
            </w:r>
          </w:p>
        </w:tc>
      </w:tr>
      <w:tr w:rsidRPr="00347517" w:rsidR="00926B4A" w:rsidTr="00F324F7" w14:paraId="758BA8CE" w14:textId="77777777">
        <w:tc>
          <w:tcPr>
            <w:tcW w:w="1059" w:type="pct"/>
          </w:tcPr>
          <w:p w:rsidRPr="000F216A"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Pr>
                <w:i/>
              </w:rPr>
              <w:t>Tlf.</w:t>
            </w:r>
          </w:p>
        </w:tc>
        <w:tc>
          <w:tcPr>
            <w:tcW w:w="3941" w:type="pct"/>
          </w:tcPr>
          <w:p w:rsidRPr="000F216A"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Pr>
                <w:i/>
              </w:rPr>
              <w:t>00 32 2 546 97 32</w:t>
            </w:r>
          </w:p>
        </w:tc>
      </w:tr>
      <w:tr w:rsidRPr="00347517" w:rsidR="00926B4A" w:rsidTr="00F324F7" w14:paraId="5FBB9A81" w14:textId="77777777">
        <w:tc>
          <w:tcPr>
            <w:tcW w:w="1059" w:type="pct"/>
          </w:tcPr>
          <w:p w:rsidRPr="000F216A"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Pr>
                <w:i/>
              </w:rPr>
              <w:t>E-mail</w:t>
            </w:r>
          </w:p>
        </w:tc>
        <w:tc>
          <w:tcPr>
            <w:tcW w:w="3941" w:type="pct"/>
          </w:tcPr>
          <w:p w:rsidRPr="000F216A" w:rsidR="00926B4A" w:rsidP="00926B4A" w:rsidRDefault="00536B9B" w14:paraId="37B96DF1" w14:textId="4AB9B892">
            <w:pPr>
              <w:overflowPunct w:val="0"/>
              <w:autoSpaceDE w:val="0"/>
              <w:autoSpaceDN w:val="0"/>
              <w:adjustRightInd w:val="0"/>
              <w:spacing w:line="240" w:lineRule="auto"/>
              <w:textAlignment w:val="baseline"/>
              <w:rPr>
                <w:i/>
                <w:iCs/>
                <w:sz w:val="22"/>
                <w:szCs w:val="22"/>
              </w:rPr>
            </w:pPr>
            <w:hyperlink w:history="1" r:id="rId48">
              <w:r w:rsidR="007E03C9">
                <w:rPr>
                  <w:i/>
                  <w:color w:val="0000FF"/>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135714" w:rsidRDefault="00536B9B"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135714">
          <w:rPr>
            <w:b/>
            <w:i/>
            <w:color w:val="0000FF"/>
            <w:sz w:val="28"/>
            <w:u w:val="single"/>
          </w:rPr>
          <w:t>Kunstig intelligens/vejen frem</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Sandra Parthie (Arbejdsgivergruppen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Sonderende udtalelse på anmodning af Kommissionen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EØSU:</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mener, at Europa for at være konkurrencedygtig inden for AI til almen brug er nødt til at investere i sikker konnektivitet samt en modstandsdygtig backboneinfrastruktur og forsyningskæde for at sikre, at europæiske aktører kan udnytte virkningerne af generativ kunstig intelligens, og at disse kan bringes i overensstemmelse med europæiske værdier</w:t>
      </w:r>
    </w:p>
    <w:p w:rsidRPr="00135714"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anbefaler at afholde dialoger med de relevante aktører, herunder arbejdsmarkedets parter, om praksiskodekser på arbejdspladsen og om arbejdstageres rettigheder i forbindelse med AI til almen brug</w:t>
      </w:r>
    </w:p>
    <w:p w:rsidRPr="00135714" w:rsidR="00135714" w:rsidP="000F216A"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understreger, at der er brug for koordinerede europæiske og nationale investeringer i innovation og ibrugtagning af konkurrencepolitikkens værktøjer for at bekæmpe en markedskoncentration, der domineres af store, ofte ikke-europæiske, digitale virksomheder, og hjælpe med at udvikle EU's værdikæder og værdiskabelse inden for AI</w:t>
      </w:r>
    </w:p>
    <w:p w:rsidRPr="00135714"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forventer, at de praksiskodekser, som er planlagt i henhold til AI-forordningen, vil give brugere, udviklere og andre AI-interessenter retningslinjer for anvendelse af forordningen samt andre værktøjer med henblik på at gøre det lettere for virksomhederne at følge reglerne</w:t>
      </w:r>
    </w:p>
    <w:p w:rsidRPr="00135714"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understreger, at AI-kontoret og de nationale myndigheder skal tildeles de ressourcer, som er nødvendige for at overvåge, evaluere og håndhæve bestemmelserne i lovgivningen og sikre, at de overholdes, og at forbrugerrettighederne beskyttes</w:t>
      </w:r>
    </w:p>
    <w:p w:rsidRPr="00135714"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er bekendt med de aktuelle bekymringer blandt forskellige kategorier af indholdsskabere, når det kommer til brugen af generativ kunstig intelligens, og understreger, at det er afgørende at sikre, at AI udvikles under overholdelse af reglerne om patenterbarhed, ophavsret og intellektuel ejendomsret</w:t>
      </w:r>
    </w:p>
    <w:p w:rsidRPr="00135714"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gentager, at AI kan øge energi- og ressourceeffektiviteten ved at forbedre processer og tilvejebringe løsninger til at nedbringe materialeforbruget, samtidig med at det også kan påvirke miljøet og energiforbruget, som skal måles præcist og tages nøje i betragtning.</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135714" w:rsidTr="00F324F7" w14:paraId="274CC185" w14:textId="77777777">
        <w:tc>
          <w:tcPr>
            <w:tcW w:w="1556" w:type="pct"/>
          </w:tcPr>
          <w:p w:rsidRPr="000F216A"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Pr>
                <w:i/>
              </w:rPr>
              <w:t>Veronika Kadlecova</w:t>
            </w:r>
          </w:p>
        </w:tc>
      </w:tr>
      <w:tr w:rsidRPr="00347517" w:rsidR="00135714" w:rsidTr="00F324F7" w14:paraId="5062CF43" w14:textId="77777777">
        <w:tc>
          <w:tcPr>
            <w:tcW w:w="1556" w:type="pct"/>
          </w:tcPr>
          <w:p w:rsidRPr="000F216A"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Pr>
                <w:i/>
              </w:rPr>
              <w:t>00 32 2 546 91 13</w:t>
            </w:r>
          </w:p>
        </w:tc>
      </w:tr>
      <w:tr w:rsidRPr="00347517" w:rsidR="00135714" w:rsidTr="00F324F7" w14:paraId="2164DD9F" w14:textId="77777777">
        <w:tc>
          <w:tcPr>
            <w:tcW w:w="1556" w:type="pct"/>
          </w:tcPr>
          <w:p w:rsidRPr="000F216A"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135714" w:rsidP="00135714" w:rsidRDefault="00536B9B" w14:paraId="598D126B" w14:textId="2D11EA6E">
            <w:pPr>
              <w:overflowPunct w:val="0"/>
              <w:autoSpaceDE w:val="0"/>
              <w:autoSpaceDN w:val="0"/>
              <w:adjustRightInd w:val="0"/>
              <w:spacing w:line="240" w:lineRule="auto"/>
              <w:textAlignment w:val="baseline"/>
              <w:rPr>
                <w:i/>
                <w:iCs/>
                <w:sz w:val="22"/>
                <w:szCs w:val="22"/>
              </w:rPr>
            </w:pPr>
            <w:hyperlink w:history="1" r:id="rId50">
              <w:r w:rsidR="007E03C9">
                <w:rPr>
                  <w:i/>
                  <w:color w:val="0000FF"/>
                  <w:u w:val="single"/>
                </w:rPr>
                <w:t>Veronika.Kadlecova@eesc.europa.eu</w:t>
              </w:r>
            </w:hyperlink>
          </w:p>
          <w:p w:rsidRPr="000F216A"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0F216A" w:rsidR="00CA1A9B" w:rsidP="00CA1A9B" w:rsidRDefault="00536B9B"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1">
        <w:r w:rsidR="00276FC9">
          <w:rPr>
            <w:b/>
            <w:i/>
            <w:color w:val="0000FF"/>
            <w:sz w:val="28"/>
            <w:u w:val="single"/>
          </w:rPr>
          <w:t>Programmet for et digitalt Europa</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r>
              <w:t>Katrīna Zariņa (Arbejdsgivergruppen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Evalueringsrapport</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EØSU:</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foreslår, at Kommissionen udvikler en integreret kommunikationsstrategi for at øge bevidstheden om programmet for et digitalt Europa blandt forskellige interessenter såsom arbejdsmarkedets parter, SMV'er, offentlige myndigheder, uddannelsesinstitutioner og civilsamfundet</w:t>
      </w:r>
    </w:p>
    <w:p w:rsidRPr="00CA1A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opfordrer Kommissionen til at revidere og forbedre samfinansieringsmodellerne under programmet for et digitalt Europa ved at øge samfinansieringssatsen til mindst 80 % for at lette den finansielle byrde og ved at gøre modellerne mere attraktive og tilgængelige, navnlig for SMV'er og andre mindre enheder</w:t>
      </w:r>
    </w:p>
    <w:p w:rsidRPr="00CA1A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opfordrer indtrængende Kommissionen til at fastlægge klare mekanismer til tilpasning af målene for programmet for et digitalt Europa, Horisont Europa, Den Europæiske Fond for Regionaludvikling og andre EU-programmer ved at give klare retningslinjer for at kombinere ressourcer fra disse kilder med henblik på at øge projekternes effekt og undgå overlapninger</w:t>
      </w:r>
    </w:p>
    <w:p w:rsidRPr="00CA1A9B"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rPr>
          <w:rFonts w:ascii="Calibri" w:hAnsi="Calibri"/>
        </w:rPr>
        <w:t>efterlyser færre bureaukratiske hindringer og klarere retningslinjer for at forbedre ansøgernes overholdelse og forståelse ved at</w:t>
      </w:r>
      <w:r>
        <w:t xml:space="preserve"> indføre et effektivt overvågnings- og evalueringssystem, og opfordrer indtrængende Kommissionen til at oprette målrettede støtteprogrammer for at tackle de specifikke udfordringer, som SMV'er står over for med hensyn til at få adgang til og udnytte finansieringen fra programmet for et digitalt Europa</w:t>
      </w:r>
    </w:p>
    <w:p w:rsidRPr="00CA1A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anbefaler, at Kommissionen aktivt fremmer dashboardet for programmet for et digitalt Europa, der blev lanceret i sommeren 2024, og udvikler en omfattende ramme for evaluering af effektiviteten og virkningen af initiativerne i programmet for et digitalt Europa, der fokuserer på både kvalitative og kvantitative parametre og omfatter regelmæssige vurderinger for at vurdere overensstemmelsen med EU's bredere politiske mål og de forskellige regioners socioøkonomiske behov</w:t>
      </w:r>
    </w:p>
    <w:p w:rsidRPr="00CA1A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efterlyser aktiv støtte til initiativer, der skal øge andelen af kvinder inden for teknologi og STEM-fagene og informere dem om de muligheder for udvikling på tværs af sektorer, der følger med at lære om og anvende forskellige nye teknologier.</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CA1A9B" w:rsidTr="00F324F7" w14:paraId="0A654251" w14:textId="77777777">
        <w:tc>
          <w:tcPr>
            <w:tcW w:w="1556" w:type="pct"/>
          </w:tcPr>
          <w:p w:rsidRPr="000F216A"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Pr>
                <w:i/>
              </w:rPr>
              <w:t>Marco Manfroni</w:t>
            </w:r>
          </w:p>
        </w:tc>
      </w:tr>
      <w:tr w:rsidRPr="00347517" w:rsidR="00CA1A9B" w:rsidTr="00F324F7" w14:paraId="21292A04" w14:textId="77777777">
        <w:tc>
          <w:tcPr>
            <w:tcW w:w="1556" w:type="pct"/>
          </w:tcPr>
          <w:p w:rsidRPr="000F216A"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Pr>
                <w:i/>
              </w:rPr>
              <w:t>00 32 2 546 91 40</w:t>
            </w:r>
          </w:p>
        </w:tc>
      </w:tr>
      <w:tr w:rsidRPr="00347517" w:rsidR="00CA1A9B" w:rsidTr="00F324F7" w14:paraId="0059F17F" w14:textId="77777777">
        <w:tc>
          <w:tcPr>
            <w:tcW w:w="1556" w:type="pct"/>
          </w:tcPr>
          <w:p w:rsidRPr="000F216A"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CA1A9B" w:rsidP="00CA1A9B" w:rsidRDefault="00536B9B" w14:paraId="30AE97F0" w14:textId="02E51DE8">
            <w:pPr>
              <w:overflowPunct w:val="0"/>
              <w:autoSpaceDE w:val="0"/>
              <w:autoSpaceDN w:val="0"/>
              <w:adjustRightInd w:val="0"/>
              <w:spacing w:line="240" w:lineRule="auto"/>
              <w:textAlignment w:val="baseline"/>
              <w:rPr>
                <w:i/>
                <w:iCs/>
                <w:sz w:val="22"/>
                <w:szCs w:val="22"/>
              </w:rPr>
            </w:pPr>
            <w:hyperlink w:history="1" r:id="rId52">
              <w:r w:rsidR="007E03C9">
                <w:rPr>
                  <w:i/>
                  <w:color w:val="0000FF"/>
                  <w:u w:val="single"/>
                </w:rPr>
                <w:t>Marco.Manfroni@eesc.europa.eu</w:t>
              </w:r>
            </w:hyperlink>
          </w:p>
          <w:p w:rsidRPr="000F216A"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P="002F20BE" w:rsidRDefault="007C49B3" w14:paraId="151231FC" w14:textId="33F305B9">
      <w:pPr>
        <w:ind w:left="710"/>
        <w:rPr>
          <w:b/>
          <w:i/>
          <w:sz w:val="28"/>
          <w:szCs w:val="28"/>
        </w:rPr>
      </w:pPr>
    </w:p>
    <w:p w:rsidR="007C49B3" w:rsidRDefault="007C49B3" w14:paraId="0D2F5A16" w14:textId="77777777">
      <w:pPr>
        <w:spacing w:after="160" w:line="259" w:lineRule="auto"/>
        <w:jc w:val="left"/>
        <w:rPr>
          <w:b/>
          <w:i/>
          <w:sz w:val="28"/>
          <w:szCs w:val="28"/>
        </w:rPr>
      </w:pPr>
      <w:r>
        <w:br w:type="page"/>
      </w:r>
    </w:p>
    <w:p w:rsidRPr="000F216A" w:rsidR="00A630EC" w:rsidP="0015600B" w:rsidRDefault="00536B9B"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276FC9">
          <w:rPr>
            <w:b/>
            <w:i/>
            <w:color w:val="0000FF"/>
            <w:sz w:val="28"/>
            <w:u w:val="single"/>
          </w:rPr>
          <w:t>Endelig evaluering af forbrugerprogrammet (2014-2020)</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rPr>
              <w:t>Ordfører</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r>
              <w:t>João Nabais (Gruppen af civilsamfundsorganisationer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rPr>
              <w:t>Ref.</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Evalueringsrapport</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EØSU:</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anfører, at forbrugerprogrammet har bidraget til, at de europæiske forbrugere er bedre beskyttet og står stærkere. I betragtning af programmets mål og midlertidige karakter burde man imidlertid have sat barren højere i forhold til budget, foranstaltninger og potentielle modtagere</w:t>
      </w:r>
    </w:p>
    <w:p w:rsidRPr="00A630EC"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anerkender den betydelige indsats for at øge forbrugernes adgang til klagemuligheder</w:t>
      </w:r>
    </w:p>
    <w:p w:rsidRPr="00A630EC"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bifalder, at der nu er et mere kompakt, gennemsigtigt og tilgængeligt retshåndhævelsessystem, og understreger, at det er vigtigt fortsat at fokusere på tilsynsnetværk såsom CPC-netværket</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mener, at der gennem flerårige programmer bør ydes mere støtte til lande med en mindre udviklet forbrugerlovgivning</w:t>
      </w:r>
    </w:p>
    <w:p w:rsidRPr="00A630EC"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insisterer på, at det er afgørende at styrke forbrugersammenslutningernes kapacitet, og opfordrer til at styrke forbrugeruddannelsen i skoler og andre akademiske miljøer, især i forhold til finansiel og digital forståelse</w:t>
      </w:r>
    </w:p>
    <w:p w:rsidRPr="00A630EC"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anbefaler, at der tages mere hensyn til visse forbrugergruppers særlige behov, især børn og unge, ældre, arbejdsløse, indvandrere og personer med handicap</w:t>
      </w:r>
    </w:p>
    <w:p w:rsidRPr="00A630EC"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understreger, at der er brug for bedre mekanismer til at hjælpe de nationale myndigheder med produktsikkerhed, især i lyset af udfordringerne i forbindelse med tingenes internet, cybersikkerhed og kunstig intelligens</w:t>
      </w:r>
    </w:p>
    <w:p w:rsidRPr="00A630EC"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mener, at der er behov for at forenkle procedurerne for civilsamfundets deltagelse, fremme gennemsigtig og tilgængelig kommunikation og sikre, at høringer rent faktisk giver civilsamfundet mulighed for at fremsætte reelle, passende og innovative forslag</w:t>
      </w:r>
    </w:p>
    <w:p w:rsidRPr="00A630EC"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mener, at det er vigtigt at udforme og gennemføre fremtidige programmer på en mere tydelig, gennemsigtig og mindre bureaukratisk måde.</w:t>
      </w:r>
    </w:p>
    <w:p w:rsidRPr="00A630EC" w:rsidR="00A630EC" w:rsidP="00A630EC" w:rsidRDefault="00A630EC" w14:paraId="4A10439E" w14:textId="77777777">
      <w:pPr>
        <w:widowControl w:val="0"/>
        <w:overflowPunct w:val="0"/>
        <w:autoSpaceDE w:val="0"/>
        <w:autoSpaceDN w:val="0"/>
        <w:adjustRightInd w:val="0"/>
        <w:ind w:left="709"/>
        <w:textAlignment w:val="baseline"/>
        <w:rPr>
          <w:szCs w:val="20"/>
          <w:lang w:val="en-GB"/>
        </w:rPr>
      </w:pP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630EC" w:rsidTr="00F324F7" w14:paraId="1A622280" w14:textId="77777777">
        <w:tc>
          <w:tcPr>
            <w:tcW w:w="1556" w:type="pct"/>
          </w:tcPr>
          <w:p w:rsidRPr="000F216A"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A630EC" w:rsidP="00A630EC" w:rsidRDefault="00A630EC" w14:paraId="72FACB9C" w14:textId="77777777">
            <w:pPr>
              <w:overflowPunct w:val="0"/>
              <w:autoSpaceDE w:val="0"/>
              <w:autoSpaceDN w:val="0"/>
              <w:adjustRightInd w:val="0"/>
              <w:spacing w:line="240" w:lineRule="auto"/>
              <w:textAlignment w:val="baseline"/>
              <w:rPr>
                <w:i/>
                <w:sz w:val="22"/>
                <w:szCs w:val="22"/>
              </w:rPr>
            </w:pPr>
            <w:r>
              <w:rPr>
                <w:i/>
              </w:rPr>
              <w:t>Radoslava Stefankova</w:t>
            </w:r>
          </w:p>
        </w:tc>
      </w:tr>
      <w:tr w:rsidRPr="00347517" w:rsidR="00A630EC" w:rsidTr="00F324F7" w14:paraId="189AA5DB" w14:textId="77777777">
        <w:tc>
          <w:tcPr>
            <w:tcW w:w="1556" w:type="pct"/>
          </w:tcPr>
          <w:p w:rsidRPr="000F216A"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Pr>
                <w:i/>
              </w:rPr>
              <w:t>00 32 2 546 81 88</w:t>
            </w:r>
          </w:p>
        </w:tc>
      </w:tr>
      <w:tr w:rsidRPr="00347517" w:rsidR="00A630EC" w:rsidTr="00F324F7" w14:paraId="6D50F069" w14:textId="77777777">
        <w:tc>
          <w:tcPr>
            <w:tcW w:w="1556" w:type="pct"/>
          </w:tcPr>
          <w:p w:rsidRPr="000F216A"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A630EC" w:rsidP="00A630EC" w:rsidRDefault="00536B9B" w14:paraId="5718CBD8" w14:textId="1636A5F7">
            <w:pPr>
              <w:overflowPunct w:val="0"/>
              <w:autoSpaceDE w:val="0"/>
              <w:autoSpaceDN w:val="0"/>
              <w:adjustRightInd w:val="0"/>
              <w:spacing w:line="240" w:lineRule="auto"/>
              <w:textAlignment w:val="baseline"/>
              <w:rPr>
                <w:i/>
                <w:sz w:val="22"/>
                <w:szCs w:val="22"/>
              </w:rPr>
            </w:pPr>
            <w:hyperlink w:history="1" r:id="rId54">
              <w:r w:rsidR="007E03C9">
                <w:rPr>
                  <w:i/>
                  <w:color w:val="0000FF"/>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536B9B"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276FC9">
          <w:rPr>
            <w:b/>
            <w:i/>
            <w:color w:val="0000FF"/>
            <w:sz w:val="28"/>
            <w:u w:val="single"/>
          </w:rPr>
          <w:t>Bekæmpelse af varemærkeforfalskning</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Ordfører</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Bruno Choix (Arbejdsgivergruppen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rPr>
              <w:t>Ref.</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C(2024) 1739 final</w:t>
            </w:r>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r>
        <w:t>EØSU:</w:t>
      </w:r>
    </w:p>
    <w:p w:rsidRPr="009B29D4"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mener imidlertid, at der kan gøres mere for at støtte SMV'erne ved at øge erstatningsniveauet i sager om varemærkeforfalskning. Medlemsstater, der ikke gør det, bør anbefales at anerkende erstatning med karakter af straf i deres nationale lovgivning</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mener, at der bør indhentes flere vidneudsagn fra virksomhedsledere, der har formået at bekæmpe varemærkeforfalskning ved hjælp af industrielle ejendomsrettigheder</w:t>
      </w:r>
    </w:p>
    <w:p w:rsidRPr="009B29D4"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mener, det ville være relevant at etablere en forsikring mod varemærkeforfalskning på europæisk plan, og at spørgsmålet om værdiansættelse af aktiver bør tages op af medlemsstaterne</w:t>
      </w:r>
    </w:p>
    <w:p w:rsidRPr="009B29D4"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efterlyser enklere, hurtigere og mere effektive procedurer for indberetning og fjernelse af annoncer med varemærkeforfalskede varer på internettet og vil holde øje med, om de forpligtelser, der er fastsat i forordningen om digitale tjenester, har en reel indvirkning i form af et mindre udbud af varemærkeforfalskede varer på internettet</w:t>
      </w:r>
    </w:p>
    <w:p w:rsidRPr="009B29D4"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vil overvåge gennemførelsen af henstillingerne i EU-værktøjskassen til bekæmpelse af varemærkeforfalskning</w:t>
      </w:r>
    </w:p>
    <w:p w:rsidRPr="009B29D4"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mener, at bekæmpelse af varemærkeforfalskning bør være en prioritet for Det Europæiske Kontor for Bekæmpelse af Svig og Europol og også bør prioriteres i EU's politikcyklus (EMPACT)</w:t>
      </w:r>
    </w:p>
    <w:p w:rsidRPr="009B29D4"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vil meget nøje kontrollere, om varemærkeforfalskning systematisk indgår i EU's handelsaftaler med partnere, herunder gennemførelsesfasen.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47517" w:rsidR="00991DA2" w:rsidTr="00F324F7" w14:paraId="56E32158" w14:textId="77777777">
        <w:tc>
          <w:tcPr>
            <w:tcW w:w="1418" w:type="dxa"/>
          </w:tcPr>
          <w:p w:rsidRPr="000F216A"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Pr>
                <w:i/>
              </w:rPr>
              <w:t>Annalisa Tessarolo</w:t>
            </w:r>
          </w:p>
        </w:tc>
      </w:tr>
      <w:tr w:rsidRPr="00347517" w:rsidR="00991DA2" w:rsidTr="00F324F7" w14:paraId="585149C6" w14:textId="77777777">
        <w:tc>
          <w:tcPr>
            <w:tcW w:w="1418" w:type="dxa"/>
          </w:tcPr>
          <w:p w:rsidRPr="000F216A"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Pr>
                <w:i/>
              </w:rPr>
              <w:t>00 32 2 546 97 32</w:t>
            </w:r>
          </w:p>
        </w:tc>
      </w:tr>
      <w:tr w:rsidRPr="00347517" w:rsidR="00991DA2" w:rsidTr="00F324F7" w14:paraId="372CD44D" w14:textId="77777777">
        <w:tc>
          <w:tcPr>
            <w:tcW w:w="1418" w:type="dxa"/>
          </w:tcPr>
          <w:p w:rsidRPr="000F216A"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991DA2" w:rsidP="00991DA2" w:rsidRDefault="00536B9B" w14:paraId="1AE3FB4F" w14:textId="418DE4D9">
            <w:pPr>
              <w:overflowPunct w:val="0"/>
              <w:autoSpaceDE w:val="0"/>
              <w:autoSpaceDN w:val="0"/>
              <w:adjustRightInd w:val="0"/>
              <w:spacing w:line="240" w:lineRule="auto"/>
              <w:textAlignment w:val="baseline"/>
              <w:rPr>
                <w:i/>
                <w:iCs/>
                <w:sz w:val="22"/>
                <w:szCs w:val="22"/>
              </w:rPr>
            </w:pPr>
            <w:hyperlink w:history="1" r:id="rId56">
              <w:r w:rsidR="007E03C9">
                <w:rPr>
                  <w:i/>
                  <w:color w:val="0000FF"/>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3175803" w:id="12"/>
      <w:bookmarkEnd w:id="7"/>
      <w:bookmarkEnd w:id="8"/>
      <w:bookmarkEnd w:id="9"/>
      <w:r>
        <w:t>LANDBRUG, UDVIKLING AF LANDDISTRIKTERNE OG MILJØ</w:t>
      </w:r>
      <w:bookmarkEnd w:id="10"/>
      <w:bookmarkEnd w:id="11"/>
      <w:bookmarkEnd w:id="12"/>
    </w:p>
    <w:p w:rsidR="004D7AC0" w:rsidP="004D7AC0" w:rsidRDefault="004D7AC0" w14:paraId="4982DE20" w14:textId="77777777"/>
    <w:p w:rsidR="004D7AC0" w:rsidP="004D7AC0" w:rsidRDefault="004D7AC0" w14:paraId="4982DE22" w14:textId="77777777">
      <w:pPr>
        <w:pStyle w:val="ListParagraph"/>
        <w:ind w:left="567"/>
      </w:pPr>
    </w:p>
    <w:p w:rsidRPr="0093748C" w:rsidR="0093748C" w:rsidP="0093748C" w:rsidRDefault="00536B9B"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7">
        <w:r w:rsidR="00276FC9">
          <w:rPr>
            <w:b/>
            <w:i/>
            <w:color w:val="0000FF"/>
            <w:sz w:val="28"/>
            <w:u w:val="single"/>
          </w:rPr>
          <w:t>Udvidelse af ligestillingsordningen for import af forstligt formeringsmateriale</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rPr>
              <w:t>Ref.</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Kategori C-udtalelse</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COM(2024) 387 final</w:t>
            </w:r>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EØSU:</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går fuldt ud ind for forslagets indhold og har ikke nogen bemærkninger.</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61800A27" w14:textId="77777777">
        <w:tc>
          <w:tcPr>
            <w:tcW w:w="1556" w:type="pct"/>
          </w:tcPr>
          <w:p w:rsidRPr="000F216A"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Pr>
                <w:i/>
              </w:rPr>
              <w:t>Nicolas Stenger</w:t>
            </w:r>
          </w:p>
        </w:tc>
      </w:tr>
      <w:tr w:rsidRPr="00347517" w:rsidR="0093748C" w:rsidTr="00F324F7" w14:paraId="6BBBFC71" w14:textId="77777777">
        <w:tc>
          <w:tcPr>
            <w:tcW w:w="1556" w:type="pct"/>
          </w:tcPr>
          <w:p w:rsidRPr="000F216A"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Pr>
                <w:i/>
              </w:rPr>
              <w:t>00 32 2 546 8152</w:t>
            </w:r>
          </w:p>
        </w:tc>
      </w:tr>
      <w:tr w:rsidRPr="00347517" w:rsidR="0093748C" w:rsidTr="00F324F7" w14:paraId="676132DB" w14:textId="77777777">
        <w:tc>
          <w:tcPr>
            <w:tcW w:w="1556" w:type="pct"/>
          </w:tcPr>
          <w:p w:rsidRPr="000F216A"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93748C" w:rsidP="0093748C" w:rsidRDefault="00536B9B" w14:paraId="4857B255" w14:textId="0BF8A62B">
            <w:pPr>
              <w:overflowPunct w:val="0"/>
              <w:autoSpaceDE w:val="0"/>
              <w:autoSpaceDN w:val="0"/>
              <w:adjustRightInd w:val="0"/>
              <w:spacing w:line="240" w:lineRule="auto"/>
              <w:textAlignment w:val="baseline"/>
              <w:rPr>
                <w:i/>
                <w:sz w:val="22"/>
                <w:szCs w:val="22"/>
              </w:rPr>
            </w:pPr>
            <w:hyperlink w:history="1" r:id="rId58">
              <w:r w:rsidR="007E03C9">
                <w:rPr>
                  <w:i/>
                  <w:color w:val="0000FF"/>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536B9B"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276FC9">
          <w:rPr>
            <w:b/>
            <w:i/>
            <w:color w:val="0000FF"/>
            <w:sz w:val="28"/>
            <w:u w:val="single"/>
          </w:rPr>
          <w:t>Skovrydningsforordning: Bestemmelser vedrørende anvendelsesdatoen</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rPr>
              <w:t>Ref.</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Kategori C-udtalelse</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COM(2024) 452 final</w:t>
            </w:r>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EØSU:</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77777777">
      <w:pPr>
        <w:widowControl w:val="0"/>
        <w:numPr>
          <w:ilvl w:val="0"/>
          <w:numId w:val="53"/>
        </w:numPr>
        <w:overflowPunct w:val="0"/>
        <w:autoSpaceDE w:val="0"/>
        <w:autoSpaceDN w:val="0"/>
        <w:adjustRightInd w:val="0"/>
        <w:ind w:left="284" w:hanging="284"/>
        <w:textAlignment w:val="baseline"/>
        <w:rPr>
          <w:bCs/>
          <w:iCs/>
        </w:rPr>
      </w:pPr>
      <w:r>
        <w:t>har allerede behandlet dette forslag i sine udtalelser EESC-2024-01183-00-00-AC-TRA, vedtaget den 19. september 2024</w:t>
      </w:r>
      <w:r w:rsidRPr="0093748C">
        <w:rPr>
          <w:sz w:val="18"/>
          <w:szCs w:val="14"/>
          <w:vertAlign w:val="superscript"/>
          <w:lang w:val="en-GB"/>
        </w:rPr>
        <w:footnoteReference w:id="2"/>
      </w:r>
      <w:r>
        <w:t>, og EESC-2021-05690-00-00-AC-TRA, vedtaget den 23. februar 2022</w:t>
      </w:r>
      <w:r w:rsidRPr="0093748C">
        <w:rPr>
          <w:sz w:val="18"/>
          <w:szCs w:val="14"/>
          <w:vertAlign w:val="superscript"/>
          <w:lang w:val="en-GB"/>
        </w:rPr>
        <w:footnoteReference w:id="3"/>
      </w:r>
      <w:r>
        <w:t>, besluttede det ikke at afgive en ny udtalelse om emnet, men at henvise til den holdning, det gav udtryk for i ovennævnte dokumenter.</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93748C" w:rsidTr="00F324F7" w14:paraId="02DA41A4" w14:textId="77777777">
        <w:tc>
          <w:tcPr>
            <w:tcW w:w="1556" w:type="pct"/>
          </w:tcPr>
          <w:p w:rsidRPr="000F216A"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Pr>
                <w:i/>
              </w:rPr>
              <w:t>Martine Delanoy</w:t>
            </w:r>
          </w:p>
        </w:tc>
      </w:tr>
      <w:tr w:rsidRPr="00347517" w:rsidR="0093748C" w:rsidTr="00F324F7" w14:paraId="60117E67" w14:textId="77777777">
        <w:tc>
          <w:tcPr>
            <w:tcW w:w="1556" w:type="pct"/>
          </w:tcPr>
          <w:p w:rsidRPr="000F216A"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Pr>
                <w:i/>
                <w:iCs/>
              </w:rPr>
              <w:t>00 32 2 546 98 02</w:t>
            </w:r>
          </w:p>
        </w:tc>
      </w:tr>
      <w:tr w:rsidRPr="00347517" w:rsidR="0093748C" w:rsidTr="00F324F7" w14:paraId="10E191F0" w14:textId="77777777">
        <w:tc>
          <w:tcPr>
            <w:tcW w:w="1556" w:type="pct"/>
          </w:tcPr>
          <w:p w:rsidRPr="000F216A"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93748C" w:rsidP="0093748C" w:rsidRDefault="00536B9B" w14:paraId="03312EEB" w14:textId="1D22C28C">
            <w:pPr>
              <w:overflowPunct w:val="0"/>
              <w:autoSpaceDE w:val="0"/>
              <w:autoSpaceDN w:val="0"/>
              <w:adjustRightInd w:val="0"/>
              <w:spacing w:line="240" w:lineRule="auto"/>
              <w:textAlignment w:val="baseline"/>
              <w:rPr>
                <w:i/>
                <w:sz w:val="22"/>
                <w:szCs w:val="22"/>
              </w:rPr>
            </w:pPr>
            <w:hyperlink w:history="1" r:id="rId60">
              <w:r w:rsidR="007E03C9">
                <w:rPr>
                  <w:i/>
                  <w:color w:val="0000FF"/>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536B9B"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276FC9">
          <w:rPr>
            <w:b/>
            <w:i/>
            <w:color w:val="0000FF"/>
            <w:sz w:val="28"/>
            <w:u w:val="single"/>
          </w:rPr>
          <w:t>Fremme af bæredygtige og modstandsdygtige fødevaresystemer i en tid med voksende kriser</w:t>
        </w:r>
      </w:hyperlink>
    </w:p>
    <w:p w:rsidRPr="000F216A" w:rsidR="00A5001B" w:rsidP="000F216A" w:rsidRDefault="00A5001B" w14:paraId="5645EA32" w14:textId="77777777">
      <w:pPr>
        <w:rPr>
          <w:sz w:val="18"/>
          <w:szCs w:val="18"/>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7325"/>
      </w:tblGrid>
      <w:tr w:rsidRPr="00A5001B" w:rsidR="00A5001B" w:rsidTr="000F216A" w14:paraId="0016E694" w14:textId="77777777">
        <w:trPr>
          <w:trHeight w:val="543"/>
        </w:trPr>
        <w:tc>
          <w:tcPr>
            <w:tcW w:w="859" w:type="pct"/>
          </w:tcPr>
          <w:p w:rsidRPr="00A5001B" w:rsidR="00A5001B" w:rsidP="00A5001B" w:rsidRDefault="00A5001B" w14:paraId="533666AB" w14:textId="77777777">
            <w:pPr>
              <w:tabs>
                <w:tab w:val="center" w:pos="284"/>
              </w:tabs>
              <w:overflowPunct w:val="0"/>
              <w:autoSpaceDE w:val="0"/>
              <w:autoSpaceDN w:val="0"/>
              <w:adjustRightInd w:val="0"/>
              <w:ind w:left="266" w:hanging="266"/>
              <w:textAlignment w:val="baseline"/>
              <w:rPr>
                <w:b/>
              </w:rPr>
            </w:pPr>
            <w:r>
              <w:rPr>
                <w:b/>
              </w:rPr>
              <w:t>Ordfører</w:t>
            </w:r>
          </w:p>
        </w:tc>
        <w:tc>
          <w:tcPr>
            <w:tcW w:w="4141" w:type="pct"/>
          </w:tcPr>
          <w:p w:rsidRPr="00A5001B" w:rsidR="00A5001B" w:rsidP="00A5001B" w:rsidRDefault="00A5001B" w14:paraId="690D7FA4" w14:textId="77777777">
            <w:pPr>
              <w:tabs>
                <w:tab w:val="center" w:pos="284"/>
              </w:tabs>
              <w:overflowPunct w:val="0"/>
              <w:autoSpaceDE w:val="0"/>
              <w:autoSpaceDN w:val="0"/>
              <w:adjustRightInd w:val="0"/>
              <w:ind w:left="266" w:hanging="266"/>
              <w:textAlignment w:val="baseline"/>
            </w:pPr>
            <w:r>
              <w:t>Joe Healy (Gruppen af civilsamfundsorganisationer – IE)</w:t>
            </w:r>
          </w:p>
          <w:p w:rsidRPr="00A5001B" w:rsidR="00A5001B" w:rsidP="00A5001B" w:rsidRDefault="00A5001B" w14:paraId="45E6A865" w14:textId="77777777">
            <w:pPr>
              <w:tabs>
                <w:tab w:val="center" w:pos="284"/>
              </w:tabs>
              <w:overflowPunct w:val="0"/>
              <w:autoSpaceDE w:val="0"/>
              <w:autoSpaceDN w:val="0"/>
              <w:adjustRightInd w:val="0"/>
              <w:ind w:left="266" w:hanging="266"/>
              <w:textAlignment w:val="baseline"/>
            </w:pPr>
            <w:r>
              <w:t>Piroska Kállay (Arbejdstagergruppen – HU)</w:t>
            </w:r>
          </w:p>
          <w:p w:rsidRPr="00A5001B" w:rsidR="00A5001B" w:rsidRDefault="00A5001B" w14:paraId="1F544CE6" w14:textId="2768F2B5">
            <w:pPr>
              <w:tabs>
                <w:tab w:val="center" w:pos="284"/>
              </w:tabs>
              <w:overflowPunct w:val="0"/>
              <w:autoSpaceDE w:val="0"/>
              <w:autoSpaceDN w:val="0"/>
              <w:adjustRightInd w:val="0"/>
              <w:ind w:left="266" w:hanging="266"/>
              <w:textAlignment w:val="baseline"/>
            </w:pPr>
            <w:r>
              <w:t>Arnold Puech d'Alissac (Arbejdsgivergruppen – FR)</w:t>
            </w:r>
          </w:p>
        </w:tc>
      </w:tr>
      <w:tr w:rsidRPr="00A5001B" w:rsidR="00A5001B" w:rsidTr="000F216A" w14:paraId="7A3551C6" w14:textId="77777777">
        <w:trPr>
          <w:trHeight w:val="275"/>
        </w:trPr>
        <w:tc>
          <w:tcPr>
            <w:tcW w:w="859" w:type="pct"/>
            <w:vMerge w:val="restart"/>
          </w:tcPr>
          <w:p w:rsidRPr="00A5001B" w:rsidR="00A5001B" w:rsidP="00A5001B" w:rsidRDefault="00A5001B" w14:paraId="09987923" w14:textId="77777777">
            <w:pPr>
              <w:tabs>
                <w:tab w:val="center" w:pos="284"/>
              </w:tabs>
              <w:overflowPunct w:val="0"/>
              <w:autoSpaceDE w:val="0"/>
              <w:autoSpaceDN w:val="0"/>
              <w:adjustRightInd w:val="0"/>
              <w:ind w:left="266" w:hanging="266"/>
              <w:textAlignment w:val="baseline"/>
              <w:rPr>
                <w:b/>
              </w:rPr>
            </w:pPr>
            <w:r>
              <w:rPr>
                <w:b/>
              </w:rPr>
              <w:t>Ref.</w:t>
            </w:r>
          </w:p>
        </w:tc>
        <w:tc>
          <w:tcPr>
            <w:tcW w:w="4141" w:type="pct"/>
          </w:tcPr>
          <w:p w:rsidR="00DD46E6" w:rsidP="00DD46E6" w:rsidRDefault="00DD46E6" w14:paraId="12AE83AC" w14:textId="3AD7F101">
            <w:pPr>
              <w:tabs>
                <w:tab w:val="center" w:pos="284"/>
              </w:tabs>
              <w:overflowPunct w:val="0"/>
              <w:autoSpaceDE w:val="0"/>
              <w:autoSpaceDN w:val="0"/>
              <w:adjustRightInd w:val="0"/>
              <w:ind w:left="266" w:right="-112" w:hanging="266"/>
              <w:textAlignment w:val="baseline"/>
            </w:pPr>
            <w:r>
              <w:t>Sonderende udtalelse på anmodning af det ungarske rådsformandskab</w:t>
            </w:r>
          </w:p>
          <w:p w:rsidRPr="00A5001B" w:rsidR="00A5001B" w:rsidP="00A5001B" w:rsidRDefault="00A5001B" w14:paraId="396BDE20" w14:textId="6A7B2E5D">
            <w:pPr>
              <w:tabs>
                <w:tab w:val="center" w:pos="284"/>
              </w:tabs>
              <w:overflowPunct w:val="0"/>
              <w:autoSpaceDE w:val="0"/>
              <w:autoSpaceDN w:val="0"/>
              <w:adjustRightInd w:val="0"/>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A5001B" w:rsidRDefault="00A5001B" w14:paraId="6A8F12FC" w14:textId="77777777">
            <w:pPr>
              <w:tabs>
                <w:tab w:val="center" w:pos="284"/>
              </w:tabs>
              <w:overflowPunct w:val="0"/>
              <w:autoSpaceDE w:val="0"/>
              <w:autoSpaceDN w:val="0"/>
              <w:adjustRightInd w:val="0"/>
              <w:ind w:left="266" w:hanging="266"/>
              <w:textAlignment w:val="baseline"/>
              <w:rPr>
                <w:b/>
              </w:rPr>
            </w:pPr>
          </w:p>
        </w:tc>
        <w:tc>
          <w:tcPr>
            <w:tcW w:w="4141" w:type="pct"/>
          </w:tcPr>
          <w:p w:rsidRPr="00A5001B" w:rsidR="00A5001B" w:rsidP="00A5001B" w:rsidRDefault="00A5001B" w14:paraId="0DD849B5" w14:textId="77777777">
            <w:pPr>
              <w:tabs>
                <w:tab w:val="center" w:pos="284"/>
              </w:tabs>
              <w:overflowPunct w:val="0"/>
              <w:autoSpaceDE w:val="0"/>
              <w:autoSpaceDN w:val="0"/>
              <w:adjustRightInd w:val="0"/>
              <w:ind w:left="266" w:hanging="266"/>
              <w:textAlignment w:val="baseline"/>
            </w:pPr>
          </w:p>
        </w:tc>
      </w:tr>
    </w:tbl>
    <w:p w:rsidRPr="00A5001B" w:rsidR="00A5001B" w:rsidP="00A5001B" w:rsidRDefault="00A5001B" w14:paraId="65760287" w14:textId="77777777">
      <w:pPr>
        <w:keepNext/>
        <w:keepLines/>
        <w:overflowPunct w:val="0"/>
        <w:autoSpaceDE w:val="0"/>
        <w:autoSpaceDN w:val="0"/>
        <w:adjustRightInd w:val="0"/>
        <w:ind w:left="266" w:hanging="266"/>
        <w:textAlignment w:val="baseline"/>
        <w:rPr>
          <w:b/>
        </w:rPr>
      </w:pPr>
      <w:r>
        <w:rPr>
          <w:b/>
        </w:rPr>
        <w:t>Hovedpunkter</w:t>
      </w:r>
    </w:p>
    <w:p w:rsidRPr="000F216A"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A5001B" w:rsidR="00A5001B" w:rsidP="00A5001B" w:rsidRDefault="00A5001B" w14:paraId="27469A86" w14:textId="77777777">
      <w:pPr>
        <w:overflowPunct w:val="0"/>
        <w:autoSpaceDE w:val="0"/>
        <w:autoSpaceDN w:val="0"/>
        <w:adjustRightInd w:val="0"/>
        <w:textAlignment w:val="baseline"/>
        <w:rPr>
          <w:bCs/>
          <w:iCs/>
        </w:rPr>
      </w:pPr>
      <w:r>
        <w:t>EØSU:</w:t>
      </w:r>
    </w:p>
    <w:p w:rsidRPr="000F216A" w:rsidR="00A5001B" w:rsidP="00A5001B" w:rsidRDefault="00A5001B" w14:paraId="5AA2D2E1" w14:textId="77777777">
      <w:pPr>
        <w:overflowPunct w:val="0"/>
        <w:autoSpaceDE w:val="0"/>
        <w:autoSpaceDN w:val="0"/>
        <w:adjustRightInd w:val="0"/>
        <w:textAlignment w:val="baseline"/>
        <w:rPr>
          <w:bCs/>
          <w:iCs/>
          <w:sz w:val="18"/>
          <w:szCs w:val="18"/>
          <w:lang w:val="en-GB"/>
        </w:rPr>
      </w:pPr>
    </w:p>
    <w:p w:rsidRPr="00A5001B" w:rsidR="00A5001B" w:rsidP="000F216A" w:rsidRDefault="00A5001B" w14:paraId="3380F787" w14:textId="77777777">
      <w:pPr>
        <w:numPr>
          <w:ilvl w:val="0"/>
          <w:numId w:val="54"/>
        </w:numPr>
        <w:overflowPunct w:val="0"/>
        <w:autoSpaceDE w:val="0"/>
        <w:autoSpaceDN w:val="0"/>
        <w:adjustRightInd w:val="0"/>
        <w:ind w:left="284" w:hanging="284"/>
        <w:textAlignment w:val="baseline"/>
        <w:rPr>
          <w:szCs w:val="20"/>
        </w:rPr>
      </w:pPr>
      <w:r>
        <w:t>mener, at EU's landbrugs-, fiskeri- og fødevarepolitikker må være bedre rustede til at kunne tilpasse sig de vedvarende udfordringer, som sektoren står over for. De skal også være konkurrencedygtige, krisesikre, økonomisk, miljømæssigt og socialt bæredygtige, producentvenlige og videnbaserede samt i stand til at levere fødevarer af høj kvalitet til konkurrencedygtige priser og sikre producenterne en solid og bæredygtig indkomst</w:t>
      </w:r>
    </w:p>
    <w:p w:rsidRPr="00A5001B" w:rsidR="00A5001B" w:rsidP="000F216A" w:rsidRDefault="00A5001B" w14:paraId="75A4BE32" w14:textId="77777777">
      <w:pPr>
        <w:numPr>
          <w:ilvl w:val="0"/>
          <w:numId w:val="54"/>
        </w:numPr>
        <w:overflowPunct w:val="0"/>
        <w:autoSpaceDE w:val="0"/>
        <w:autoSpaceDN w:val="0"/>
        <w:adjustRightInd w:val="0"/>
        <w:ind w:left="284" w:hanging="284"/>
        <w:textAlignment w:val="baseline"/>
        <w:rPr>
          <w:szCs w:val="20"/>
        </w:rPr>
      </w:pPr>
      <w:r>
        <w:t xml:space="preserve">fremsætter en række konkrete forslag til økonomiske instrumenter og vedrørende miljømæssig bæredygtighed og social og samfundsmæssig støtte, f.eks. at: </w:t>
      </w:r>
    </w:p>
    <w:p w:rsidRPr="003D6908" w:rsidR="00A5001B" w:rsidP="000F216A" w:rsidRDefault="00A5001B" w14:paraId="4C21814B" w14:textId="77777777">
      <w:pPr>
        <w:pStyle w:val="ListParagraph"/>
        <w:numPr>
          <w:ilvl w:val="0"/>
          <w:numId w:val="55"/>
        </w:numPr>
        <w:overflowPunct w:val="0"/>
        <w:autoSpaceDE w:val="0"/>
        <w:autoSpaceDN w:val="0"/>
        <w:adjustRightInd w:val="0"/>
        <w:ind w:left="567" w:hanging="283"/>
        <w:textAlignment w:val="baseline"/>
        <w:rPr>
          <w:szCs w:val="20"/>
        </w:rPr>
      </w:pPr>
      <w:r>
        <w:t xml:space="preserve">øge budgettet og sikre tilstrækkelig finansiering til at kunne opfylde de politiske behov og ambitioner, når det gælder landbrug, fiskeri og fødevarer i EU </w:t>
      </w:r>
    </w:p>
    <w:p w:rsidRPr="003D6908" w:rsidR="00A5001B" w:rsidP="000F216A" w:rsidRDefault="00A5001B" w14:paraId="3C6A0146" w14:textId="77777777">
      <w:pPr>
        <w:pStyle w:val="ListParagraph"/>
        <w:numPr>
          <w:ilvl w:val="0"/>
          <w:numId w:val="55"/>
        </w:numPr>
        <w:overflowPunct w:val="0"/>
        <w:autoSpaceDE w:val="0"/>
        <w:autoSpaceDN w:val="0"/>
        <w:adjustRightInd w:val="0"/>
        <w:ind w:left="567" w:hanging="283"/>
        <w:textAlignment w:val="baseline"/>
        <w:rPr>
          <w:szCs w:val="20"/>
        </w:rPr>
      </w:pPr>
      <w:r>
        <w:t>sikre en rimelig og økonomisk bæredygtig indtægt for primærproducenterne, for eksempel ved at indføre prisgarantier og regulere magtbalancen i fødevarekæden, og indføre værktøjer og mekanismer for at ændre den måde, producentpriserne fastsættes på</w:t>
      </w:r>
    </w:p>
    <w:p w:rsidRPr="003D6908" w:rsidR="00A5001B" w:rsidP="000F216A" w:rsidRDefault="00A5001B" w14:paraId="49BFAAE7" w14:textId="77777777">
      <w:pPr>
        <w:pStyle w:val="ListParagraph"/>
        <w:numPr>
          <w:ilvl w:val="0"/>
          <w:numId w:val="55"/>
        </w:numPr>
        <w:overflowPunct w:val="0"/>
        <w:autoSpaceDE w:val="0"/>
        <w:autoSpaceDN w:val="0"/>
        <w:adjustRightInd w:val="0"/>
        <w:ind w:left="567" w:hanging="283"/>
        <w:textAlignment w:val="baseline"/>
        <w:rPr>
          <w:szCs w:val="20"/>
        </w:rPr>
      </w:pPr>
      <w:r>
        <w:t xml:space="preserve">undersøge og udvikle en EU-dækkende ordning for offentlig forsikring mod naturkatastrofer med et højt niveau af offentlige investeringer </w:t>
      </w:r>
    </w:p>
    <w:p w:rsidRPr="003D6908" w:rsidR="00A5001B" w:rsidP="000F216A" w:rsidRDefault="00A5001B" w14:paraId="590C3CE7" w14:textId="77777777">
      <w:pPr>
        <w:pStyle w:val="ListParagraph"/>
        <w:numPr>
          <w:ilvl w:val="0"/>
          <w:numId w:val="55"/>
        </w:numPr>
        <w:overflowPunct w:val="0"/>
        <w:autoSpaceDE w:val="0"/>
        <w:autoSpaceDN w:val="0"/>
        <w:adjustRightInd w:val="0"/>
        <w:ind w:left="567" w:hanging="283"/>
        <w:textAlignment w:val="baseline"/>
        <w:rPr>
          <w:szCs w:val="20"/>
        </w:rPr>
      </w:pPr>
      <w:r>
        <w:t>forenkle og fjerne bureaukrati i hele fødevarekæden</w:t>
      </w:r>
    </w:p>
    <w:p w:rsidRPr="003D6908" w:rsidR="00A5001B" w:rsidP="000F216A" w:rsidRDefault="00A5001B" w14:paraId="458953B7" w14:textId="77777777">
      <w:pPr>
        <w:pStyle w:val="ListParagraph"/>
        <w:numPr>
          <w:ilvl w:val="0"/>
          <w:numId w:val="55"/>
        </w:numPr>
        <w:overflowPunct w:val="0"/>
        <w:autoSpaceDE w:val="0"/>
        <w:autoSpaceDN w:val="0"/>
        <w:adjustRightInd w:val="0"/>
        <w:ind w:left="567" w:hanging="283"/>
        <w:textAlignment w:val="baseline"/>
        <w:rPr>
          <w:szCs w:val="20"/>
        </w:rPr>
      </w:pPr>
      <w:r>
        <w:t xml:space="preserve">skabe incitamenter for unge og kvinder ved at fremme generationsskifte og uddannelse, fremhjælpe lokalsamfundsstøttet landbrug og øge støtten til kooperativer og lignende foreningsmodeller </w:t>
      </w:r>
    </w:p>
    <w:p w:rsidRPr="003D6908" w:rsidR="00A5001B" w:rsidP="000F216A" w:rsidRDefault="00A5001B" w14:paraId="405D7F9A" w14:textId="77777777">
      <w:pPr>
        <w:pStyle w:val="ListParagraph"/>
        <w:numPr>
          <w:ilvl w:val="0"/>
          <w:numId w:val="55"/>
        </w:numPr>
        <w:overflowPunct w:val="0"/>
        <w:autoSpaceDE w:val="0"/>
        <w:autoSpaceDN w:val="0"/>
        <w:adjustRightInd w:val="0"/>
        <w:ind w:left="567" w:hanging="283"/>
        <w:textAlignment w:val="baseline"/>
        <w:rPr>
          <w:szCs w:val="20"/>
        </w:rPr>
      </w:pPr>
      <w:r>
        <w:t xml:space="preserve">regenerere og genoprette jordbundens sundhed, øge vandeffektiviteten ved hjælp af teknologier til at reducere vandforbruget, f.eks. præcisionsvanding </w:t>
      </w:r>
    </w:p>
    <w:p w:rsidRPr="003D6908" w:rsidR="00A5001B" w:rsidP="000F216A" w:rsidRDefault="00A5001B" w14:paraId="5DF514E7" w14:textId="77777777">
      <w:pPr>
        <w:pStyle w:val="ListParagraph"/>
        <w:numPr>
          <w:ilvl w:val="0"/>
          <w:numId w:val="55"/>
        </w:numPr>
        <w:overflowPunct w:val="0"/>
        <w:autoSpaceDE w:val="0"/>
        <w:autoSpaceDN w:val="0"/>
        <w:adjustRightInd w:val="0"/>
        <w:ind w:left="567" w:hanging="283"/>
        <w:textAlignment w:val="baseline"/>
        <w:rPr>
          <w:szCs w:val="20"/>
        </w:rPr>
      </w:pPr>
      <w:r>
        <w:t xml:space="preserve">belønne kulstofbinding og undgå kulstoflækage </w:t>
      </w:r>
    </w:p>
    <w:p w:rsidRPr="003D6908" w:rsidR="00A5001B" w:rsidP="000F216A" w:rsidRDefault="00A5001B" w14:paraId="1E2FD995" w14:textId="77777777">
      <w:pPr>
        <w:pStyle w:val="ListParagraph"/>
        <w:numPr>
          <w:ilvl w:val="0"/>
          <w:numId w:val="55"/>
        </w:numPr>
        <w:overflowPunct w:val="0"/>
        <w:autoSpaceDE w:val="0"/>
        <w:autoSpaceDN w:val="0"/>
        <w:adjustRightInd w:val="0"/>
        <w:ind w:left="567" w:hanging="283"/>
        <w:textAlignment w:val="baseline"/>
        <w:rPr>
          <w:szCs w:val="20"/>
        </w:rPr>
      </w:pPr>
      <w:r>
        <w:t>sikre effektiv håndhævelse af reglerne over for urimelig handelspraksis, standardisere anvendelsen på EU-plan og indføre et forbud mod priser, der er lavere end omkostningerne</w:t>
      </w:r>
    </w:p>
    <w:p w:rsidRPr="003D6908" w:rsidR="00A5001B" w:rsidP="000F216A" w:rsidRDefault="00A5001B" w14:paraId="2CBADFAE" w14:textId="77777777">
      <w:pPr>
        <w:pStyle w:val="ListParagraph"/>
        <w:numPr>
          <w:ilvl w:val="0"/>
          <w:numId w:val="55"/>
        </w:numPr>
        <w:overflowPunct w:val="0"/>
        <w:autoSpaceDE w:val="0"/>
        <w:autoSpaceDN w:val="0"/>
        <w:adjustRightInd w:val="0"/>
        <w:ind w:left="567" w:hanging="283"/>
        <w:textAlignment w:val="baseline"/>
        <w:rPr>
          <w:szCs w:val="20"/>
        </w:rPr>
      </w:pPr>
      <w:r>
        <w:t xml:space="preserve">styrke fødevaresikkerheden og den strategiske autonomi ved at mindske afhængigheden af import </w:t>
      </w:r>
    </w:p>
    <w:p w:rsidRPr="003D6908" w:rsidR="00A5001B" w:rsidP="000F216A" w:rsidRDefault="00A5001B" w14:paraId="1823D2AE" w14:textId="77777777">
      <w:pPr>
        <w:pStyle w:val="ListParagraph"/>
        <w:numPr>
          <w:ilvl w:val="0"/>
          <w:numId w:val="55"/>
        </w:numPr>
        <w:overflowPunct w:val="0"/>
        <w:autoSpaceDE w:val="0"/>
        <w:autoSpaceDN w:val="0"/>
        <w:adjustRightInd w:val="0"/>
        <w:ind w:left="567" w:hanging="283"/>
        <w:textAlignment w:val="baseline"/>
        <w:rPr>
          <w:szCs w:val="20"/>
        </w:rPr>
      </w:pPr>
      <w:r>
        <w:t>regulere handelsstrømmene for at undgå unødvendige markedsforstyrrelser og oprette et digitalt center for indsamling af oplysninger om priser og omkostninger for at skabe gennemsigtighed i fødevareforsyningskæden</w:t>
      </w:r>
    </w:p>
    <w:p w:rsidRPr="003D6908" w:rsidR="00A5001B" w:rsidP="000F216A" w:rsidRDefault="00A5001B" w14:paraId="31562717" w14:textId="77777777">
      <w:pPr>
        <w:pStyle w:val="ListParagraph"/>
        <w:keepNext/>
        <w:keepLines/>
        <w:numPr>
          <w:ilvl w:val="0"/>
          <w:numId w:val="55"/>
        </w:numPr>
        <w:overflowPunct w:val="0"/>
        <w:autoSpaceDE w:val="0"/>
        <w:autoSpaceDN w:val="0"/>
        <w:adjustRightInd w:val="0"/>
        <w:ind w:left="567" w:hanging="283"/>
        <w:textAlignment w:val="baseline"/>
        <w:rPr>
          <w:szCs w:val="20"/>
        </w:rPr>
      </w:pPr>
      <w:r>
        <w:t>oprindelsesmærke råvarer og forarbejdede fødevarer som en mulighed for at fremme stabile relationer mellem producenter og industrien og en måde at informere forbrugerne på</w:t>
      </w:r>
    </w:p>
    <w:p w:rsidRPr="003D6908" w:rsidR="00A5001B" w:rsidP="000F216A" w:rsidRDefault="00A5001B" w14:paraId="51267AF1" w14:textId="77777777">
      <w:pPr>
        <w:pStyle w:val="ListParagraph"/>
        <w:keepNext/>
        <w:keepLines/>
        <w:numPr>
          <w:ilvl w:val="0"/>
          <w:numId w:val="55"/>
        </w:numPr>
        <w:overflowPunct w:val="0"/>
        <w:autoSpaceDE w:val="0"/>
        <w:autoSpaceDN w:val="0"/>
        <w:adjustRightInd w:val="0"/>
        <w:ind w:left="567" w:hanging="283"/>
        <w:textAlignment w:val="baseline"/>
        <w:rPr>
          <w:szCs w:val="20"/>
        </w:rPr>
      </w:pPr>
      <w:r>
        <w:t>oprette et europæisk råd for fødevarepolitik som en platform, der kan styrke dialogen om fødevarerelaterede spørgsmål, lig det forslag, der fremkom under den strategiske dialog.</w:t>
      </w:r>
    </w:p>
    <w:p w:rsidRPr="000F216A"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347517" w:rsidR="00A5001B" w:rsidTr="00F324F7" w14:paraId="1776179E" w14:textId="77777777">
        <w:tc>
          <w:tcPr>
            <w:tcW w:w="1556" w:type="pct"/>
          </w:tcPr>
          <w:p w:rsidRPr="000F216A"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A5001B" w:rsidP="00A5001B" w:rsidRDefault="00A5001B" w14:paraId="555ACCF8" w14:textId="5CF92EDB">
            <w:pPr>
              <w:overflowPunct w:val="0"/>
              <w:autoSpaceDE w:val="0"/>
              <w:autoSpaceDN w:val="0"/>
              <w:adjustRightInd w:val="0"/>
              <w:spacing w:line="240" w:lineRule="auto"/>
              <w:textAlignment w:val="baseline"/>
              <w:rPr>
                <w:i/>
                <w:sz w:val="22"/>
                <w:szCs w:val="22"/>
              </w:rPr>
            </w:pPr>
            <w:r>
              <w:rPr>
                <w:i/>
              </w:rPr>
              <w:t>Myrto Kolyva</w:t>
            </w:r>
          </w:p>
        </w:tc>
      </w:tr>
      <w:tr w:rsidRPr="00347517" w:rsidR="00A5001B" w:rsidTr="00F324F7" w14:paraId="2C54CCC3" w14:textId="77777777">
        <w:tc>
          <w:tcPr>
            <w:tcW w:w="1556" w:type="pct"/>
          </w:tcPr>
          <w:p w:rsidRPr="000F216A"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Pr>
                <w:i/>
              </w:rPr>
              <w:t>00 32 2 546 87 18</w:t>
            </w:r>
          </w:p>
        </w:tc>
      </w:tr>
      <w:tr w:rsidRPr="00347517" w:rsidR="00A5001B" w:rsidTr="00F324F7" w14:paraId="1D7A0571" w14:textId="77777777">
        <w:tc>
          <w:tcPr>
            <w:tcW w:w="1556" w:type="pct"/>
          </w:tcPr>
          <w:p w:rsidRPr="000F216A"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A5001B" w:rsidP="00A5001B" w:rsidRDefault="00536B9B" w14:paraId="544606A7" w14:textId="3FD06458">
            <w:pPr>
              <w:overflowPunct w:val="0"/>
              <w:autoSpaceDE w:val="0"/>
              <w:autoSpaceDN w:val="0"/>
              <w:adjustRightInd w:val="0"/>
              <w:spacing w:line="240" w:lineRule="auto"/>
              <w:textAlignment w:val="baseline"/>
              <w:rPr>
                <w:i/>
                <w:sz w:val="22"/>
                <w:szCs w:val="22"/>
              </w:rPr>
            </w:pPr>
            <w:hyperlink w:history="1" r:id="rId62">
              <w:r w:rsidR="007E03C9">
                <w:rPr>
                  <w:color w:val="0000FF"/>
                  <w:u w:val="single"/>
                </w:rPr>
                <w:t>Myrto.Kolyva@eesc.europa.eu</w:t>
              </w:r>
            </w:hyperlink>
            <w:r w:rsidR="007E03C9">
              <w:rPr>
                <w:sz w:val="22"/>
              </w:rPr>
              <w:t xml:space="preserve"> </w:t>
            </w:r>
          </w:p>
        </w:tc>
      </w:tr>
    </w:tbl>
    <w:p w:rsidR="00347517" w:rsidP="00B1493C" w:rsidRDefault="00347517" w14:paraId="15E442EF" w14:textId="3F11DD16">
      <w:pPr>
        <w:spacing w:after="160" w:line="259" w:lineRule="auto"/>
        <w:jc w:val="left"/>
      </w:pPr>
      <w:r>
        <w:br w:type="page"/>
      </w:r>
      <w:hyperlink w:history="1" r:id="rId63">
        <w:r w:rsidR="00594F3A">
          <w:rPr>
            <w:rStyle w:val="Hyperlink"/>
            <w:b/>
            <w:i/>
            <w:sz w:val="28"/>
          </w:rPr>
          <w:t>Tilpasning af den cirkulære økonomi og bioøkonomien på EU-niveau og på nationalt niveau</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Ordfører</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r>
              <w:rPr>
                <w:b/>
              </w:rPr>
              <w:t>Cillian Lohan</w:t>
            </w:r>
            <w:r>
              <w:t xml:space="preserve"> (Gruppen af civilsamfundsorganisationer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5001B" w14:paraId="74B8611C" w14:textId="77777777">
            <w:pPr>
              <w:tabs>
                <w:tab w:val="center" w:pos="284"/>
              </w:tabs>
              <w:overflowPunct w:val="0"/>
              <w:autoSpaceDE w:val="0"/>
              <w:autoSpaceDN w:val="0"/>
              <w:adjustRightInd w:val="0"/>
              <w:ind w:left="266" w:hanging="266"/>
              <w:textAlignment w:val="baseline"/>
              <w:rPr>
                <w:b/>
              </w:rPr>
            </w:pPr>
            <w:r>
              <w:rPr>
                <w:b/>
              </w:rPr>
              <w:t>Ref.</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pPr>
            <w:r>
              <w:t>Initiativudtalelse</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Hovedpunkter</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EØSU:</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understreger, at der er behov for </w:t>
      </w:r>
      <w:r>
        <w:rPr>
          <w:b/>
        </w:rPr>
        <w:t>sammenhæng</w:t>
      </w:r>
      <w:r>
        <w:t xml:space="preserve"> mellem den europæiske grønne pagt, forpligtelserne vedrørende bæredygtig udvikling, den cirkulære økonomi og de bredere klima- og biodiversitetsmål. En </w:t>
      </w:r>
      <w:r>
        <w:rPr>
          <w:b/>
        </w:rPr>
        <w:t>robust bioøkonomi vil supplere de fremskridt, der gøres med den cirkulære økonomi, og vil skabe mulighed for en konkurrencedygtig vækst, der</w:t>
      </w:r>
      <w:r>
        <w:t xml:space="preserve"> er bæredygtig og </w:t>
      </w:r>
      <w:r>
        <w:rPr>
          <w:b/>
        </w:rPr>
        <w:t>ikke overbelaster kloden</w:t>
      </w:r>
    </w:p>
    <w:p w:rsidRPr="00CA050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mener, at man bør udnytte </w:t>
      </w:r>
      <w:r>
        <w:rPr>
          <w:b/>
        </w:rPr>
        <w:t>EU's mulighed for at blive førende på globalt plan</w:t>
      </w:r>
      <w:r>
        <w:t xml:space="preserve"> med en særdeles ambitiøs og sammenhængende strategi for bioøkonomien. Der bør skabes flest muligt velbetalte bæredygtige job, også i landdistrikter og fjerntliggende regioner. Eksisterende teknologi kan anvendes til at bringe hårdt tiltrængte produkter og tjenesteydelser på markedet og dermed fremme innovation, understøttet af en robust og sammenhængende lovgivningspakke om cirkularitet</w:t>
      </w:r>
    </w:p>
    <w:p w:rsidRPr="00A5001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finder, at EU har brug for en klar definition af bioøkonomi</w:t>
      </w:r>
      <w:r>
        <w:t xml:space="preserve"> for udtrykkeligt at kunne fremhæve dens forbindelse til den cirkulære økonomi og dens potentiale som et redskab til at skabe bæredygtig udvikling.</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94F3A" w:rsidR="00A5001B" w:rsidTr="00F324F7" w14:paraId="33441159" w14:textId="77777777">
        <w:tc>
          <w:tcPr>
            <w:tcW w:w="1634" w:type="dxa"/>
          </w:tcPr>
          <w:p w:rsidRPr="000F216A"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Pr>
                <w:b/>
                <w:i/>
              </w:rPr>
              <w:t>Kontakt</w:t>
            </w:r>
          </w:p>
        </w:tc>
        <w:tc>
          <w:tcPr>
            <w:tcW w:w="5670" w:type="dxa"/>
          </w:tcPr>
          <w:p w:rsidRPr="000F216A"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t>Caroline Verhelst</w:t>
            </w:r>
          </w:p>
        </w:tc>
      </w:tr>
      <w:tr w:rsidRPr="00594F3A" w:rsidR="00A5001B" w:rsidTr="00F324F7" w14:paraId="1067EBD6" w14:textId="77777777">
        <w:tc>
          <w:tcPr>
            <w:tcW w:w="1634" w:type="dxa"/>
          </w:tcPr>
          <w:p w:rsidRPr="000F216A"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Pr>
                <w:i/>
              </w:rPr>
              <w:t>Tlf.</w:t>
            </w:r>
          </w:p>
        </w:tc>
        <w:tc>
          <w:tcPr>
            <w:tcW w:w="5670" w:type="dxa"/>
          </w:tcPr>
          <w:p w:rsidRPr="000F216A"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Pr>
                <w:i/>
              </w:rPr>
              <w:t>00 32 2 546 94 97</w:t>
            </w:r>
          </w:p>
        </w:tc>
      </w:tr>
      <w:tr w:rsidRPr="00594F3A" w:rsidR="00A5001B" w:rsidTr="00F324F7" w14:paraId="2AE4390F" w14:textId="77777777">
        <w:tc>
          <w:tcPr>
            <w:tcW w:w="1634" w:type="dxa"/>
          </w:tcPr>
          <w:p w:rsidRPr="000F216A"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Pr>
                <w:i/>
              </w:rPr>
              <w:t>E-mail</w:t>
            </w:r>
          </w:p>
        </w:tc>
        <w:tc>
          <w:tcPr>
            <w:tcW w:w="5670" w:type="dxa"/>
          </w:tcPr>
          <w:p w:rsidRPr="000F216A" w:rsidR="00A5001B" w:rsidP="000F216A" w:rsidRDefault="00536B9B"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00A5001B">
                <w:rPr>
                  <w:i/>
                  <w:color w:val="0000FF"/>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3175804" w:id="13"/>
      <w:r>
        <w:t>EKSTERNE FORBINDELSER</w:t>
      </w:r>
      <w:bookmarkEnd w:id="13"/>
    </w:p>
    <w:p w:rsidR="007F5784" w:rsidP="007F5784" w:rsidRDefault="007F5784" w14:paraId="3BBB3E68" w14:textId="77777777"/>
    <w:p w:rsidRPr="00634C99" w:rsidR="00634C99" w:rsidP="00634C99" w:rsidRDefault="00536B9B"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276FC9">
          <w:rPr>
            <w:b/>
            <w:i/>
            <w:color w:val="0000FF"/>
            <w:sz w:val="28"/>
            <w:u w:val="single"/>
          </w:rPr>
          <w:t>Revision af EU-mekanismen til suspension af visumfritagelse</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94F3A" w:rsidR="00634C99" w:rsidTr="00F324F7"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Ordfører</w:t>
            </w:r>
          </w:p>
        </w:tc>
        <w:tc>
          <w:tcPr>
            <w:tcW w:w="5387"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r>
              <w:t>Ionuţ Sibian (Gruppen af civilsamfundsorganisationer – RO)</w:t>
            </w:r>
          </w:p>
        </w:tc>
      </w:tr>
      <w:tr w:rsidRPr="00594F3A" w:rsidR="00634C99" w:rsidTr="00F324F7" w14:paraId="7068400F" w14:textId="77777777">
        <w:tc>
          <w:tcPr>
            <w:tcW w:w="7088"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F324F7"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rPr>
              <w:t>Ref.</w:t>
            </w:r>
          </w:p>
        </w:tc>
        <w:tc>
          <w:tcPr>
            <w:tcW w:w="5387" w:type="dxa"/>
          </w:tcPr>
          <w:p w:rsidRPr="000F216A"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Initiativudtalelse</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F324F7"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387"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Hovedpunkter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r>
        <w:t>EØSU:</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77777777">
      <w:pPr>
        <w:numPr>
          <w:ilvl w:val="0"/>
          <w:numId w:val="57"/>
        </w:numPr>
        <w:overflowPunct w:val="0"/>
        <w:autoSpaceDE w:val="0"/>
        <w:autoSpaceDN w:val="0"/>
        <w:adjustRightInd w:val="0"/>
        <w:ind w:left="284" w:hanging="284"/>
        <w:textAlignment w:val="baseline"/>
        <w:rPr>
          <w:bCs/>
          <w:iCs/>
        </w:rPr>
      </w:pPr>
      <w:r>
        <w:t>anerkender fordelene ved visumfri indrejse for borgere på begge sider af disse ordninger, og de positive virkninger dette har for en yderligere styrkelse af EU's forbindelser med sine partnere. EU's visumpolitik bør fortsat være et redskab til at lette mellemfolkelige kontakter, turisme og erhvervsliv og samtidig forebygge eventuelle risici for EU's sikkerhed</w:t>
      </w:r>
    </w:p>
    <w:p w:rsidRPr="00634C99"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anerkender, at sikkerheden internt i EU og ved de ydre grænser er blevet kraftigt påvirket af de seneste geopolitiske begivenheder. EØSU støtter derfor idéen om, at EU bør være fuldt beredt til at kunne reagere hurtigt på en lang række potentielle fremtidige sikkerhedsrisici, herunder hybride trusler</w:t>
      </w:r>
    </w:p>
    <w:p w:rsidRPr="00634C99"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mener, at der bør gøres en indsats for at præcisere kriterierne for at udløse mekanismen og samtidig sikre, at disse er fleksible nok til at kunne anvendes effektivt og hurtigt efter behov</w:t>
      </w:r>
    </w:p>
    <w:p w:rsidRPr="00634C99"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anbefaler, at Kommissionen vurderer nødvendigheden og konsekvenserne af samt proportionaliteten i at suspendere visumfritagelsen under hensyntagen til EU's og medlemsstaternes overordnede forbindelser med det pågældende tredjeland, herunder hvor egnet en suspension er til at rette op på situationen, og hvordan den vil påvirke rettighederne for det pågældende lands statsborgere</w:t>
      </w:r>
    </w:p>
    <w:p w:rsidRPr="00634C99"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mener, at der bør lægges vægt på menneskerettighedsforkæmperes behov for at kunne bevæge sig, navnlig hvis menneskerettighedssituationen forværres i det pågældende tredjeland, og på de potentielle risici for disse personers arbejde og personlige sikkerhed som følge af aktiveringen af suspensionsmekanismen for deres land</w:t>
      </w:r>
    </w:p>
    <w:p w:rsidRPr="00634C99"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mener, at de statsborgerskabsordninger for investorer, som tredjelande med visumfri adgang anvender, udgør en risiko for medlemsstaternes offentlige orden og indre sikkerhed, og at det bør være muligt at suspendere visumfritagelse for tredjelande, der vælger at anvende sådanne ordninger, hvor investorer tildeles statsborgerskab uden at have reel tilknytning til det pågældende land.</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634C99" w:rsidTr="00F324F7" w14:paraId="0A94CCBE" w14:textId="77777777">
        <w:tc>
          <w:tcPr>
            <w:tcW w:w="1418" w:type="dxa"/>
          </w:tcPr>
          <w:p w:rsidRPr="000F216A"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Pr>
                <w:i/>
              </w:rPr>
              <w:t>Sabrina Tesoka</w:t>
            </w:r>
          </w:p>
        </w:tc>
      </w:tr>
      <w:tr w:rsidRPr="00594F3A" w:rsidR="00634C99" w:rsidTr="00F324F7" w14:paraId="45351054" w14:textId="77777777">
        <w:tc>
          <w:tcPr>
            <w:tcW w:w="1418" w:type="dxa"/>
          </w:tcPr>
          <w:p w:rsidRPr="000F216A"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Pr>
                <w:i/>
              </w:rPr>
              <w:t>00 32 2 546 9552</w:t>
            </w:r>
          </w:p>
        </w:tc>
      </w:tr>
      <w:tr w:rsidRPr="00594F3A" w:rsidR="00634C99" w:rsidTr="00F324F7" w14:paraId="6295E192" w14:textId="77777777">
        <w:tc>
          <w:tcPr>
            <w:tcW w:w="1418" w:type="dxa"/>
          </w:tcPr>
          <w:p w:rsidRPr="000F216A"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634C99" w:rsidP="00634C99" w:rsidRDefault="00536B9B" w14:paraId="2D9FB2AA" w14:textId="27F01CD9">
            <w:pPr>
              <w:overflowPunct w:val="0"/>
              <w:autoSpaceDE w:val="0"/>
              <w:autoSpaceDN w:val="0"/>
              <w:adjustRightInd w:val="0"/>
              <w:spacing w:line="240" w:lineRule="auto"/>
              <w:textAlignment w:val="baseline"/>
              <w:rPr>
                <w:i/>
                <w:sz w:val="22"/>
                <w:szCs w:val="22"/>
              </w:rPr>
            </w:pPr>
            <w:hyperlink w:history="1" r:id="rId66">
              <w:r w:rsidR="007E03C9">
                <w:rPr>
                  <w:i/>
                  <w:color w:val="0000FF"/>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3175805" w:id="14"/>
      <w:r>
        <w:t>DEN RÅDGIVENDE KOMMISSION FOR INDUSTRIELLE ÆNDRINGER</w:t>
      </w:r>
      <w:bookmarkEnd w:id="14"/>
    </w:p>
    <w:p w:rsidR="006D2C8A" w:rsidP="006D2C8A" w:rsidRDefault="006D2C8A" w14:paraId="713E272F" w14:textId="77777777"/>
    <w:p w:rsidRPr="00436222" w:rsidR="00436222" w:rsidP="00436222" w:rsidRDefault="00536B9B"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436222">
          <w:rPr>
            <w:b/>
            <w:i/>
            <w:color w:val="0000FF"/>
            <w:sz w:val="28"/>
            <w:u w:val="single"/>
          </w:rPr>
          <w:t>Dialogerne om omstillingen til ren energi – Statusopgørelse</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Ordfører</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t>Konstantinos Diamantouros (Arbejdsgivergruppen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bCs/>
              </w:rPr>
              <w:t>Medordfører</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(Kat. 3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rPr>
              <w:t>Ref.</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COM(2024) 163 final</w:t>
            </w:r>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EØSU:</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er overbevist om, at der er behov for en ny, langt mere dristig og mere ambitiøs tilgang, ledsaget af en klar gennemførelsesramme, med henblik på at sikre, at den europæiske grønne pagt bliver en succes i klimamæssig og socioøkonomisk henseende. Vi har brug for en ny aftale om europæisk konkurrenceevne for at fremme og beskytte EU's industri samt beskæftigelsen i EU</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mener, at den nye aftale om europæisk konkurrenceevne bør omfatte:</w:t>
      </w:r>
    </w:p>
    <w:p w:rsidRPr="00AB39AA"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langt hurtigere godkendelsesfrister (herunder grænser for behandling af miljøindsigelser ved domstolene) </w:t>
      </w:r>
    </w:p>
    <w:p w:rsidRPr="00AB39AA"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en mere nøjagtig tilgang til måling af fremskridt hen imod vores klimamål, hvor man tager importerede varers CO</w:t>
      </w:r>
      <w:r>
        <w:rPr>
          <w:vertAlign w:val="subscript"/>
        </w:rPr>
        <w:t>2</w:t>
      </w:r>
      <w:r>
        <w:t>-fodaftryk i betragtning frem for kun at se på udledningen af emissioner i Europa</w:t>
      </w:r>
    </w:p>
    <w:p w:rsidRPr="00AB39AA"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stærkere beskyttelse mod kulstoflækage for at bevare lige vilkår for europæiske virksomheder</w:t>
      </w:r>
    </w:p>
    <w:p w:rsidRPr="00AB39AA"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en teknologineutral energipolitik, der skaber større stabilitet på lang sigt, sikrer globalt konkurrencedygtige priser og anerkendelse af behovet for at investere i stabile kulstoffattige kilder under omstillingen </w:t>
      </w:r>
    </w:p>
    <w:p w:rsidRPr="00AB39AA"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presserende, store investeringer i distributions- og transmissionsnet og i havne for at lette udviklingen af vedvarende offshoreenergi</w:t>
      </w:r>
    </w:p>
    <w:p w:rsidRPr="00AB39AA"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et særligt finansieringsværktøj til støtte for produktionen af kritiske råstoffer og nettonulteknologier </w:t>
      </w:r>
    </w:p>
    <w:p w:rsidRPr="00AB39AA"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en ramme for retfærdig omstilling, med omfattende omskoling og opkvalificering af arbejdstagere. </w:t>
      </w:r>
    </w:p>
    <w:p w:rsidRPr="00AB39AA"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bakker helhjertet op om målene i den europæiske grønne pagt, men mener, at visse aspekter af politikken har haft negative konsekvenser for EU's beskæftigelse og konkurrenceevne og har øget de globale emissioner via kulstoflækage.</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94F3A" w:rsidR="00436222" w:rsidTr="00F324F7" w14:paraId="42071E27" w14:textId="77777777">
        <w:tc>
          <w:tcPr>
            <w:tcW w:w="1556" w:type="pct"/>
          </w:tcPr>
          <w:p w:rsidRPr="000F216A"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Pr>
                <w:b/>
                <w:i/>
              </w:rPr>
              <w:t>Kontakt</w:t>
            </w:r>
          </w:p>
        </w:tc>
        <w:tc>
          <w:tcPr>
            <w:tcW w:w="3444" w:type="pct"/>
          </w:tcPr>
          <w:p w:rsidRPr="000F216A"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r>
              <w:rPr>
                <w:i/>
              </w:rPr>
              <w:t>Ioannis Diamantopoulos</w:t>
            </w:r>
          </w:p>
        </w:tc>
      </w:tr>
      <w:tr w:rsidRPr="00594F3A" w:rsidR="00436222" w:rsidTr="00F324F7" w14:paraId="49E75BC3" w14:textId="77777777">
        <w:tc>
          <w:tcPr>
            <w:tcW w:w="1556" w:type="pct"/>
          </w:tcPr>
          <w:p w:rsidRPr="000F216A"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Pr>
                <w:i/>
              </w:rPr>
              <w:t>Tlf.</w:t>
            </w:r>
          </w:p>
        </w:tc>
        <w:tc>
          <w:tcPr>
            <w:tcW w:w="3444" w:type="pct"/>
          </w:tcPr>
          <w:p w:rsidRPr="000F216A"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Pr>
                <w:i/>
              </w:rPr>
              <w:t>00 32 2 546 91 70</w:t>
            </w:r>
          </w:p>
        </w:tc>
      </w:tr>
      <w:tr w:rsidRPr="00594F3A" w:rsidR="00436222" w:rsidTr="00F324F7" w14:paraId="47287801" w14:textId="77777777">
        <w:tc>
          <w:tcPr>
            <w:tcW w:w="1556" w:type="pct"/>
          </w:tcPr>
          <w:p w:rsidRPr="000F216A"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Pr>
                <w:i/>
              </w:rPr>
              <w:t>E-mail</w:t>
            </w:r>
          </w:p>
        </w:tc>
        <w:tc>
          <w:tcPr>
            <w:tcW w:w="3444" w:type="pct"/>
          </w:tcPr>
          <w:p w:rsidRPr="000F216A" w:rsidR="00436222" w:rsidP="00436222" w:rsidRDefault="00536B9B"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007E03C9">
                <w:rPr>
                  <w:i/>
                  <w:color w:val="0000FF"/>
                  <w:u w:val="single"/>
                </w:rPr>
                <w:t>Ioannis.Diamantopoulos@eesc.europa.eu</w:t>
              </w:r>
            </w:hyperlink>
            <w:r w:rsidR="007E03C9">
              <w:rPr>
                <w:i/>
                <w:sz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536B9B"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276FC9">
          <w:rPr>
            <w:b/>
            <w:i/>
            <w:color w:val="0000FF"/>
            <w:sz w:val="28"/>
            <w:u w:val="single"/>
          </w:rPr>
          <w:t>Fra affalds- til ressourceanlæg</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04"/>
      </w:tblGrid>
      <w:tr w:rsidRPr="00430D17" w:rsidR="00430D17" w:rsidTr="00F324F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Ordfører</w:t>
            </w:r>
          </w:p>
        </w:tc>
        <w:tc>
          <w:tcPr>
            <w:tcW w:w="6204"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r>
              <w:t>Anastasis Yiapanis (Gruppen af civilsamfundsorganisationer – CY)</w:t>
            </w:r>
          </w:p>
        </w:tc>
      </w:tr>
      <w:tr w:rsidRPr="00430D17" w:rsidR="00430D17" w:rsidTr="00F324F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bCs/>
              </w:rPr>
              <w:t>Medordfører</w:t>
            </w:r>
          </w:p>
        </w:tc>
        <w:tc>
          <w:tcPr>
            <w:tcW w:w="6204"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r>
              <w:t>Michal Pintér (Kat. 1 – SK)</w:t>
            </w:r>
          </w:p>
        </w:tc>
      </w:tr>
      <w:tr w:rsidRPr="00430D17" w:rsidR="00430D17" w:rsidTr="00F324F7" w14:paraId="7BC819CE" w14:textId="77777777">
        <w:tc>
          <w:tcPr>
            <w:tcW w:w="7905"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F324F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rPr>
              <w:t>Ref.</w:t>
            </w:r>
          </w:p>
        </w:tc>
        <w:tc>
          <w:tcPr>
            <w:tcW w:w="6204"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pPr>
            <w:r>
              <w:t>Initiativudtalelse</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F324F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204"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EØSU:</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 xml:space="preserve">mener, at det er bydende nødvendigt at </w:t>
      </w:r>
      <w:r>
        <w:rPr>
          <w:b/>
        </w:rPr>
        <w:t>prioritere drøftelser på EU-plan om affaldshåndtering</w:t>
      </w:r>
      <w:r>
        <w:t xml:space="preserve"> samt </w:t>
      </w:r>
      <w:r>
        <w:rPr>
          <w:b/>
        </w:rPr>
        <w:t>gennemføre en revideret strategi</w:t>
      </w:r>
      <w:r>
        <w:t>, hvor man er åben over for pionerprojekter, der sigter mod at forbedre genanvendelse og ressourcegenvinding og samtidig nedbringe antallet af lossepladser</w:t>
      </w:r>
    </w:p>
    <w:p w:rsidRPr="00430D17"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efterlyser </w:t>
      </w:r>
      <w:r>
        <w:rPr>
          <w:b/>
        </w:rPr>
        <w:t>tilsyn på EU-plan for at tage hånd om overtrædelser</w:t>
      </w:r>
      <w:r>
        <w:t xml:space="preserve"> og strømline produktkæden gennem fremtidige investeringer</w:t>
      </w:r>
    </w:p>
    <w:p w:rsidRPr="00430D17"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t xml:space="preserve">efterlyser </w:t>
      </w:r>
      <w:r>
        <w:rPr>
          <w:b/>
        </w:rPr>
        <w:t>yderligere EU-politikker og nationale politikker</w:t>
      </w:r>
      <w:r>
        <w:t xml:space="preserve"> med henblik på at </w:t>
      </w:r>
      <w:r>
        <w:rPr>
          <w:b/>
        </w:rPr>
        <w:t>forbedre affaldsindsamlingssystemerne</w:t>
      </w:r>
      <w:r>
        <w:t xml:space="preserve">, </w:t>
      </w:r>
      <w:r>
        <w:rPr>
          <w:b/>
        </w:rPr>
        <w:t>investere i avancerede sorteringsteknologier</w:t>
      </w:r>
      <w:r>
        <w:t xml:space="preserve">, </w:t>
      </w:r>
      <w:r>
        <w:rPr>
          <w:b/>
        </w:rPr>
        <w:t>håndhæve de eksisterende regler effektivt</w:t>
      </w:r>
      <w:r>
        <w:t xml:space="preserve"> og </w:t>
      </w:r>
      <w:r>
        <w:rPr>
          <w:b/>
        </w:rPr>
        <w:t>indføre harmoniserede bøder på tværs af medlemsstaterne</w:t>
      </w:r>
      <w:r>
        <w:t xml:space="preserve"> for at bekæmpe ulovlige affaldsaktiviteter</w:t>
      </w:r>
    </w:p>
    <w:p w:rsidRPr="00430D17"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støtter en </w:t>
      </w:r>
      <w:r>
        <w:rPr>
          <w:b/>
        </w:rPr>
        <w:t>udbredt harmonisering af standarder for genvundne materialer</w:t>
      </w:r>
      <w:r>
        <w:t xml:space="preserve"> for at sikre lige vilkår for nye og sekundære materialer i hele Unionen samt forhindre en fragmenteret regulering af disse materialer rundt omkring i de enkelte medlemsstater</w:t>
      </w:r>
    </w:p>
    <w:p w:rsidRPr="00430D17"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t xml:space="preserve">skønner, at der er </w:t>
      </w:r>
      <w:r>
        <w:rPr>
          <w:b/>
        </w:rPr>
        <w:t>behov for støtte til innovative genvindingsteknologier og funktionelle markeder for genvundne materialer</w:t>
      </w:r>
      <w:r>
        <w:t xml:space="preserve"> samt lovgivningsmæssige rammer, der tilskynder til et </w:t>
      </w:r>
      <w:r>
        <w:rPr>
          <w:b/>
        </w:rPr>
        <w:t>skifte fra bortskaffelse af ikkebæredygtige materialer til produktion af sekundære materialer af høj kvalitet</w:t>
      </w:r>
    </w:p>
    <w:p w:rsidRPr="00430D17"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efterlyser </w:t>
      </w:r>
      <w:r>
        <w:rPr>
          <w:b/>
        </w:rPr>
        <w:t>flere økonomiske incitamenter og mere økonomisk støtte</w:t>
      </w:r>
      <w:r>
        <w:t xml:space="preserve"> til at udvikle og indføre </w:t>
      </w:r>
      <w:r>
        <w:rPr>
          <w:b/>
        </w:rPr>
        <w:t>innovative teknologier</w:t>
      </w:r>
      <w:r>
        <w:t xml:space="preserve"> under overholdelse af affaldshierarkiprincippet</w:t>
      </w:r>
    </w:p>
    <w:p w:rsidRPr="00430D17"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går helhjertet ind for at </w:t>
      </w:r>
      <w:r>
        <w:rPr>
          <w:b/>
        </w:rPr>
        <w:t>genvinde næringsstoffer fra spildevand, spildevandsslam og andre kilder bedst muligt</w:t>
      </w:r>
      <w:r>
        <w:t xml:space="preserve"> gennem behandling og genanvendelse ifølge bedste praksis samt ressourcegenvindingsmetoder, der sigter mod at genvinde værdifulde mineraler</w:t>
      </w:r>
    </w:p>
    <w:p w:rsidRPr="00430D17"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anerkender </w:t>
      </w:r>
      <w:r>
        <w:rPr>
          <w:b/>
        </w:rPr>
        <w:t>behovet for særlige opkvalificerings- og omskolingsprogrammer rettet mod arbejdstagere i affaldsindustrien</w:t>
      </w:r>
    </w:p>
    <w:p w:rsidRPr="00430D17"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t xml:space="preserve">anser det for nødvendigt at fremme og finansiere </w:t>
      </w:r>
      <w:r>
        <w:rPr>
          <w:b/>
        </w:rPr>
        <w:t>oplysningskampagner</w:t>
      </w:r>
      <w:r>
        <w:t xml:space="preserve"> for at informere EU-borgerne om affaldsforebyggelse, producentansvar og miljøbeskyttelse.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430D17" w:rsidTr="00F324F7" w14:paraId="7F269F20" w14:textId="77777777">
        <w:tc>
          <w:tcPr>
            <w:tcW w:w="1418" w:type="dxa"/>
          </w:tcPr>
          <w:p w:rsidRPr="000F216A"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Pr>
                <w:i/>
              </w:rPr>
              <w:t>Marie-Laurence Drillon</w:t>
            </w:r>
          </w:p>
        </w:tc>
      </w:tr>
      <w:tr w:rsidRPr="00594F3A" w:rsidR="00430D17" w:rsidTr="00F324F7" w14:paraId="55ADD0FD" w14:textId="77777777">
        <w:tc>
          <w:tcPr>
            <w:tcW w:w="1418" w:type="dxa"/>
          </w:tcPr>
          <w:p w:rsidRPr="000F216A"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Pr>
                <w:i/>
              </w:rPr>
              <w:t>00 32 2 546 83 20</w:t>
            </w:r>
          </w:p>
        </w:tc>
      </w:tr>
      <w:tr w:rsidRPr="00594F3A" w:rsidR="00430D17" w:rsidTr="00F324F7" w14:paraId="306B853B" w14:textId="77777777">
        <w:tc>
          <w:tcPr>
            <w:tcW w:w="1418" w:type="dxa"/>
          </w:tcPr>
          <w:p w:rsidRPr="000F216A"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430D17" w:rsidP="00430D17" w:rsidRDefault="00536B9B" w14:paraId="516BD231" w14:textId="68BFFAB2">
            <w:pPr>
              <w:overflowPunct w:val="0"/>
              <w:autoSpaceDE w:val="0"/>
              <w:autoSpaceDN w:val="0"/>
              <w:adjustRightInd w:val="0"/>
              <w:spacing w:line="240" w:lineRule="auto"/>
              <w:textAlignment w:val="baseline"/>
              <w:rPr>
                <w:i/>
                <w:sz w:val="22"/>
                <w:szCs w:val="22"/>
              </w:rPr>
            </w:pPr>
            <w:hyperlink w:history="1" r:id="rId70">
              <w:r w:rsidR="00594F3A">
                <w:rPr>
                  <w:rStyle w:val="Hyperlink"/>
                </w:rPr>
                <w:t>Marie-Laurence.Drillon@eesc.europa.eu</w:t>
              </w:r>
            </w:hyperlink>
          </w:p>
        </w:tc>
      </w:tr>
    </w:tbl>
    <w:p w:rsidR="00430D17" w:rsidP="00436222" w:rsidRDefault="00430D17" w14:paraId="47450C20" w14:textId="242BF37A">
      <w:pPr>
        <w:ind w:left="710"/>
        <w:rPr>
          <w:b/>
          <w:i/>
          <w:sz w:val="28"/>
          <w:szCs w:val="28"/>
        </w:rPr>
      </w:pPr>
    </w:p>
    <w:p w:rsidR="00430D17" w:rsidRDefault="00430D17" w14:paraId="45285681" w14:textId="77777777">
      <w:pPr>
        <w:spacing w:after="160" w:line="259" w:lineRule="auto"/>
        <w:jc w:val="left"/>
        <w:rPr>
          <w:b/>
          <w:i/>
          <w:sz w:val="28"/>
          <w:szCs w:val="28"/>
        </w:rPr>
      </w:pPr>
      <w:r>
        <w:br w:type="page"/>
      </w:r>
    </w:p>
    <w:p w:rsidRPr="001D6920" w:rsidR="001D6920" w:rsidP="001D6920" w:rsidRDefault="00536B9B"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276FC9">
          <w:rPr>
            <w:b/>
            <w:i/>
            <w:color w:val="0000FF"/>
            <w:sz w:val="28"/>
            <w:u w:val="single"/>
          </w:rPr>
          <w:t>Industri 5.0 – hvordan lykkes det?</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Ordfører</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t>Giuseppe Guerini (Gruppen af civilsamfundsorganisationer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bCs/>
              </w:rPr>
              <w:t>Medordfører</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t>Guido Nelissen (Kat. 2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rPr>
              <w:t>Ref.</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pPr>
            <w:r>
              <w:t>Initiativudtalelse</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Hovedpunkter</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EØSU:</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støtter Industri 5.0 som en gyldig tilgang til håndtering af digitale teknologiers indvirkning på fremstillingsindustrien og mere generelt med hensyn til bedre tilpasning til de nuværende samfundsmæssige og miljømæssige udfordringer. Udvalget glæder sig over medtagelsen af begreberne menneskecentrering, økonomisk modstandsdygtighed og bæredygtighed, men mener, at begrebet Industri 5.0 skal videreudvikles for bedre at kunne definere de økonomiske, sociale, politiske, retlige og teknologiske konsekvenser</w:t>
      </w:r>
    </w:p>
    <w:p w:rsidRPr="001D6920"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støtter myndighederne og arbejdsmarkedets parter i at udvikle klarere begrebsmæssige, økonomiske og lovgivningsmæssige rammer og handlingsplaner med henblik på en udbredt anvendelse af principperne i Industri 5.0, samtidig med at der tages hensyn til de potentielle sociale omkostninger. Sikring af en velordnet teknologisk omstilling kræver øget arbejdstagerdeltagelse og en veletableret social dialog, der omfatter alle relevante interessenter og det organiserede civilsamfund</w:t>
      </w:r>
    </w:p>
    <w:p w:rsidRPr="001D6920"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opfordrer EU-institutionerne til at tilskynde til oprettelsen af et gunstigt europæisk industrielt økosystem, som skal være: fremtidssikret, menneskecentreret og baseret på demokratiske værdier, social lighed, fair konkurrence og inklusiv konkurrenceevne. EØSU understreger behovet for at basere Industry 5.0-visionen på eksisterende europæiske politikker, samtidig med at de revideres med henblik på at integrere Industri 5.0-principperne</w:t>
      </w:r>
    </w:p>
    <w:p w:rsidRPr="001D6920"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mener, at udrulningen af Industri 5.0 også bør støttes af decentraliserede interessentplatforme og offentlig-private partnerskaber, der skal udvikle læringsværktøjer, etablere programmer/forretningsscenarier, fremme udbredelsen og udveksle/opskalere god praksis</w:t>
      </w:r>
    </w:p>
    <w:p w:rsidRPr="001D6920" w:rsidR="001D6920" w:rsidP="000F216A" w:rsidRDefault="001D6920" w14:paraId="6BAC89E5" w14:textId="77777777">
      <w:pPr>
        <w:numPr>
          <w:ilvl w:val="1"/>
          <w:numId w:val="61"/>
        </w:numPr>
        <w:overflowPunct w:val="0"/>
        <w:autoSpaceDE w:val="0"/>
        <w:autoSpaceDN w:val="0"/>
        <w:adjustRightInd w:val="0"/>
        <w:textAlignment w:val="baseline"/>
        <w:outlineLvl w:val="1"/>
        <w:rPr>
          <w:szCs w:val="20"/>
        </w:rPr>
      </w:pPr>
      <w:r>
        <w:t>understreger behovet for at investere i F&amp;U og innovationsprogrammer, både offentlige og private, med henblik på at udvikle nye bæredygtige/modstandsdygtige/menneskecentrerede økonomiske modeller/produktionssystemer/markeder. Samtidig understreger EØSU betydningen af at yde løbende og tilstrækkelig støtte til dyre 360°-investeringer, der er nødvendige for at opgradere virksomhederne til Industri 5.0</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94F3A" w:rsidR="001D6920" w:rsidTr="00F324F7" w14:paraId="3479108A" w14:textId="77777777">
        <w:tc>
          <w:tcPr>
            <w:tcW w:w="1418" w:type="dxa"/>
          </w:tcPr>
          <w:p w:rsidRPr="000F216A"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Pr>
                <w:b/>
                <w:i/>
              </w:rPr>
              <w:t>Kontakt</w:t>
            </w:r>
          </w:p>
        </w:tc>
        <w:tc>
          <w:tcPr>
            <w:tcW w:w="5670" w:type="dxa"/>
          </w:tcPr>
          <w:p w:rsidRPr="000F216A"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Pr>
                <w:i/>
                <w:iCs/>
              </w:rPr>
              <w:t>Laia Tomas Vinardell</w:t>
            </w:r>
          </w:p>
        </w:tc>
      </w:tr>
      <w:tr w:rsidRPr="00594F3A" w:rsidR="001D6920" w:rsidTr="00F324F7" w14:paraId="209C9F6E" w14:textId="77777777">
        <w:tc>
          <w:tcPr>
            <w:tcW w:w="1418" w:type="dxa"/>
          </w:tcPr>
          <w:p w:rsidRPr="000F216A"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Pr>
                <w:i/>
              </w:rPr>
              <w:t>Tlf.</w:t>
            </w:r>
          </w:p>
        </w:tc>
        <w:tc>
          <w:tcPr>
            <w:tcW w:w="5670" w:type="dxa"/>
          </w:tcPr>
          <w:p w:rsidRPr="000F216A"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Pr>
                <w:i/>
                <w:iCs/>
              </w:rPr>
              <w:t>00 32 2 546 91 49</w:t>
            </w:r>
          </w:p>
        </w:tc>
      </w:tr>
      <w:tr w:rsidRPr="00594F3A" w:rsidR="001D6920" w:rsidTr="00F324F7" w14:paraId="2F1B5100" w14:textId="77777777">
        <w:trPr>
          <w:trHeight w:val="80"/>
        </w:trPr>
        <w:tc>
          <w:tcPr>
            <w:tcW w:w="1418" w:type="dxa"/>
          </w:tcPr>
          <w:p w:rsidRPr="000F216A"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Pr>
                <w:i/>
              </w:rPr>
              <w:t>E-mail</w:t>
            </w:r>
          </w:p>
        </w:tc>
        <w:tc>
          <w:tcPr>
            <w:tcW w:w="5670" w:type="dxa"/>
          </w:tcPr>
          <w:p w:rsidRPr="000F216A" w:rsidR="001D6920" w:rsidP="001D6920" w:rsidRDefault="00536B9B"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2">
              <w:r w:rsidR="007E03C9">
                <w:rPr>
                  <w:i/>
                  <w:color w:val="0000FF"/>
                  <w:u w:val="single"/>
                </w:rPr>
                <w:t>Laia.TomasVinardell@eesc.europa.eu</w:t>
              </w:r>
            </w:hyperlink>
          </w:p>
          <w:p w:rsidRPr="000F216A"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77777777">
      <w:pPr>
        <w:spacing w:after="160" w:line="259" w:lineRule="auto"/>
        <w:jc w:val="left"/>
      </w:pP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fldSimple w:instr=" NUMPAGES ">
      <w:r w:rsidR="000F216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fldSimple w:instr=" NUMPAGES ">
      <w:r>
        <w:t>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EUT C, C/2023/883 af 8.12.2023, ELI: </w:t>
      </w:r>
      <w:hyperlink r:id="rId1" w:tgtFrame="_blank" w:tooltip="Giver adgang til dokumentet via dets ELI URI." w:history="1">
        <w:r>
          <w:rPr>
            <w:rStyle w:val="Hyperlink"/>
          </w:rPr>
          <w:t>http://data.europa.eu/eli/C/2023/883/oj</w:t>
        </w:r>
      </w:hyperlink>
      <w:r>
        <w:t>.</w:t>
      </w:r>
    </w:p>
  </w:footnote>
  <w:footnote w:id="2">
    <w:p w14:paraId="38A8703E" w14:textId="77777777" w:rsidR="0093748C" w:rsidRPr="00360DD3" w:rsidRDefault="0093748C" w:rsidP="0093748C">
      <w:pPr>
        <w:pStyle w:val="FootnoteText"/>
      </w:pPr>
      <w:r>
        <w:rPr>
          <w:rStyle w:val="FootnoteReference"/>
        </w:rPr>
        <w:footnoteRef/>
      </w:r>
      <w:r>
        <w:tab/>
        <w:t xml:space="preserve">EØSU's initiativudtalelse om </w:t>
      </w:r>
      <w:hyperlink r:id="rId2" w:anchor=":~:text=The%20aim%20of%20the%20monitoring,the%20end%20of%20certain%20periods" w:history="1">
        <w:r>
          <w:rPr>
            <w:rStyle w:val="Hyperlink"/>
            <w:i/>
          </w:rPr>
          <w:t>Skovrydning i regnskoven i Amazonas – indvirkningen på klimaændringerne og det globale miljø – konsekvenserne for virksomheder, arbejdstagere og befolkningen</w:t>
        </w:r>
      </w:hyperlink>
      <w:r>
        <w:t xml:space="preserve"> (endnu ikke offentliggjort i EUT).</w:t>
      </w:r>
    </w:p>
  </w:footnote>
  <w:footnote w:id="3">
    <w:p w14:paraId="30E6D304" w14:textId="77777777" w:rsidR="0093748C" w:rsidRPr="00360DD3" w:rsidRDefault="0093748C" w:rsidP="0093748C">
      <w:pPr>
        <w:pStyle w:val="FootnoteText"/>
      </w:pPr>
      <w:r>
        <w:rPr>
          <w:rStyle w:val="FootnoteReference"/>
        </w:rPr>
        <w:footnoteRef/>
      </w:r>
      <w:r>
        <w:tab/>
        <w:t xml:space="preserve">EØSU's udtalelse om </w:t>
      </w:r>
      <w:hyperlink r:id="rId3" w:history="1">
        <w:r>
          <w:rPr>
            <w:rStyle w:val="Hyperlink"/>
            <w:i/>
          </w:rPr>
          <w:t>Minimering af risikoen for skovrydning og skovforringelse i forbindelse med produkter, der markedsføres i EU</w:t>
        </w:r>
      </w:hyperlink>
      <w:r>
        <w:t xml:space="preserve">, </w:t>
      </w:r>
      <w:hyperlink r:id="rId4" w:history="1">
        <w:r>
          <w:rPr>
            <w:rStyle w:val="Hyperlink"/>
          </w:rPr>
          <w:t>EUT C 275 af 18.7.2022, s.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67D22"/>
    <w:rsid w:val="0017390A"/>
    <w:rsid w:val="0017486C"/>
    <w:rsid w:val="00194D13"/>
    <w:rsid w:val="0019579C"/>
    <w:rsid w:val="001B2D67"/>
    <w:rsid w:val="001B6628"/>
    <w:rsid w:val="001D6920"/>
    <w:rsid w:val="001E391D"/>
    <w:rsid w:val="001E66FB"/>
    <w:rsid w:val="001F7935"/>
    <w:rsid w:val="002359A5"/>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451B0"/>
    <w:rsid w:val="00347517"/>
    <w:rsid w:val="00367D2D"/>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A39AB"/>
    <w:rsid w:val="004A5CD7"/>
    <w:rsid w:val="004A734C"/>
    <w:rsid w:val="004D7AC0"/>
    <w:rsid w:val="00500C3A"/>
    <w:rsid w:val="0050374B"/>
    <w:rsid w:val="00532089"/>
    <w:rsid w:val="00536B9B"/>
    <w:rsid w:val="00543F56"/>
    <w:rsid w:val="00563476"/>
    <w:rsid w:val="00586B4B"/>
    <w:rsid w:val="00594F3A"/>
    <w:rsid w:val="005A0BDA"/>
    <w:rsid w:val="005D3FDF"/>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1493C"/>
    <w:rsid w:val="00B203DA"/>
    <w:rsid w:val="00B24195"/>
    <w:rsid w:val="00B518C9"/>
    <w:rsid w:val="00B55819"/>
    <w:rsid w:val="00B6772C"/>
    <w:rsid w:val="00B80A16"/>
    <w:rsid w:val="00BA19EC"/>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C0660"/>
    <w:rsid w:val="00DC07D2"/>
    <w:rsid w:val="00DD46E6"/>
    <w:rsid w:val="00DE176A"/>
    <w:rsid w:val="00E00A6B"/>
    <w:rsid w:val="00E44EE2"/>
    <w:rsid w:val="00E60F13"/>
    <w:rsid w:val="00E62A2C"/>
    <w:rsid w:val="00E77899"/>
    <w:rsid w:val="00E9511D"/>
    <w:rsid w:val="00EB109D"/>
    <w:rsid w:val="00EC1A9A"/>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da/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da/our-work/opinions-information-reports/opinions/potential-public-procurement-social-economy-enterprises" TargetMode="External"/><Relationship Id="rId63" Type="http://schemas.openxmlformats.org/officeDocument/2006/relationships/hyperlink" Target="https://www.eesc.europa.eu/da/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da/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da/our-work/opinions-information-reports/opinions/report-competition-policy-2023" TargetMode="External"/><Relationship Id="rId53" Type="http://schemas.openxmlformats.org/officeDocument/2006/relationships/hyperlink" Target="https://www.eesc.europa.eu/da/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da/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da/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da/our-work/opinions-information-reports/opinions/leaving-no-one-behind-european-commitment-tackling-rare-diseases" TargetMode="External"/><Relationship Id="rId43" Type="http://schemas.openxmlformats.org/officeDocument/2006/relationships/hyperlink" Target="https://www.eesc.europa.eu/da/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da/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da/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a/our-work/opinions-information-reports/opinions/enhancing-fiscal-transparency-through-participatory-budgeting-eu" TargetMode="External"/><Relationship Id="rId33" Type="http://schemas.openxmlformats.org/officeDocument/2006/relationships/hyperlink" Target="https://www.eesc.europa.eu/da/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da/our-work/opinions-information-reports/opinions/provisions-relating-date-application" TargetMode="External"/><Relationship Id="rId67" Type="http://schemas.openxmlformats.org/officeDocument/2006/relationships/hyperlink" Target="https://www.eesc.europa.eu/da/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da/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a/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da/our-work/opinions-information-reports/opinions/general-purpose-ai-way-forward-after-ai-act" TargetMode="External"/><Relationship Id="rId57" Type="http://schemas.openxmlformats.org/officeDocument/2006/relationships/hyperlink" Target="https://www.eesc.europa.eu/da/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da/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da/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da/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da/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da/our-work/opinions-information-reports/opinions/industry-50-how-make-it-happen" TargetMode="External"/><Relationship Id="rId29" Type="http://schemas.openxmlformats.org/officeDocument/2006/relationships/hyperlink" Target="https://www.eesc.europa.eu/da/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da/our-work/opinions-information-reports/opinions/minimising-risk-deforestation-and-forest-degradation-associated-products-placed-eu-market" TargetMode="External"/><Relationship Id="rId2" Type="http://schemas.openxmlformats.org/officeDocument/2006/relationships/hyperlink" Target="https://www.eesc.europa.eu/da/our-work/opinions-information-reports/opinions/deforestation-amazon-rainforest-impact-climate-change-and-global-environment-consequences-companies-workers-and" TargetMode="External"/><Relationship Id="rId1" Type="http://schemas.openxmlformats.org/officeDocument/2006/relationships/hyperlink" Target="http://data.europa.eu/eli/C/2023/883/oj?locale=da" TargetMode="External"/><Relationship Id="rId4" Type="http://schemas.openxmlformats.org/officeDocument/2006/relationships/hyperlink" Target="file:///https://eur-lex.europa.eu/legal-content/DA/TXT/?uri=CELEX%3A52021AE5690&amp;qid=1728638858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F7M6YNZUATRX-2090047846-5190</_dlc_DocId>
    <_dlc_DocIdUrl xmlns="59ace41b-6786-4ce3-be71-52c27066c6ef">
      <Url>http://dm/eesc/2024/_layouts/15/DocIdRedir.aspx?ID=F7M6YNZUATRX-2090047846-5190</Url>
      <Description>F7M6YNZUATRX-2090047846-5190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2024-11-22T12:00:00+00:00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Sehic Jasmina</DisplayName>
        <AccountId>1542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47F95D0A-8863-4380-9E90-410F1215FAFE}"/>
</file>

<file path=customXml/itemProps2.xml><?xml version="1.0" encoding="utf-8"?>
<ds:datastoreItem xmlns:ds="http://schemas.openxmlformats.org/officeDocument/2006/customXml" ds:itemID="{29B4960E-6214-4167-AB4E-CFDDB424E30B}"/>
</file>

<file path=customXml/itemProps3.xml><?xml version="1.0" encoding="utf-8"?>
<ds:datastoreItem xmlns:ds="http://schemas.openxmlformats.org/officeDocument/2006/customXml" ds:itemID="{C135B6F9-1451-445A-B21B-C5D4987DF8CC}"/>
</file>

<file path=customXml/itemProps4.xml><?xml version="1.0" encoding="utf-8"?>
<ds:datastoreItem xmlns:ds="http://schemas.openxmlformats.org/officeDocument/2006/customXml" ds:itemID="{9277BA2B-B371-4D32-9A4E-85C21F9FEDAF}"/>
</file>

<file path=docProps/app.xml><?xml version="1.0" encoding="utf-8"?>
<Properties xmlns="http://schemas.openxmlformats.org/officeDocument/2006/extended-properties" xmlns:vt="http://schemas.openxmlformats.org/officeDocument/2006/docPropsVTypes">
  <Template>Normal</Template>
  <TotalTime>0</TotalTime>
  <Pages>4</Pages>
  <Words>8675</Words>
  <Characters>52920</Characters>
  <Application>Microsoft Office Word</Application>
  <DocSecurity>0</DocSecurity>
  <Lines>441</Lines>
  <Paragraphs>122</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- 591. plenarforsamling - oktober 2024  </dc:title>
  <dc:subject>TCD</dc:subject>
  <dc:creator>Nieddu Emma</dc:creator>
  <cp:keywords>EESC-2024-03425-00-00-TCD-TRA-EN</cp:keywords>
  <dc:description>Rapporteur:  - Original language: EN - Date of document: 22-11-2024 - Date of meeting: 30-04-2024 14:30 - External documents:  - Administrator: MME TAMASAUSKIENE Julija</dc:description>
  <cp:lastModifiedBy>Sehic Jasmina</cp:lastModifiedBy>
  <cp:revision>7</cp:revision>
  <dcterms:created xsi:type="dcterms:W3CDTF">2024-11-15T08:24:00Z</dcterms:created>
  <dcterms:modified xsi:type="dcterms:W3CDTF">2024-11-22T13:12:00Z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1a4577ce-9a0d-4e00-a9ae-ac4bd368f992</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LV|46f7e311-5d9f-4663-b433-18aeccb7ace7;EN|f2175f21-25d7-44a3-96da-d6a61b075e1b;PL|1e03da61-4678-4e07-b136-b5024ca9197b;DE|f6b31e5a-26fa-4935-b661-318e46daf27e;ES|e7a6b05b-ae16-40c8-add9-68b64b03aeba;LT|a7ff5ce7-6123-4f68-865a-a57c31810414;BG|1a1b3951-7821-4e6a-85f5-5673fc08bd2c;FI|87606a43-d45f-42d6-b8c9-e1a3457db5b7;FR|d2afafd3-4c81-4f60-8f52-ee33f2f54ff3;SL|98a412ae-eb01-49e9-ae3d-585a81724cfc;EL|6d4f4d51-af9b-4650-94b4-4276bee85c91;HR|2f555653-ed1a-4fe6-8362-9082d95989e5;HU|6b229040-c589-4408-b4c1-4285663d20a8;IT|0774613c-01ed-4e5d-a25d-11d2388de825;SV|c2ed69e7-a339-43d7-8f22-d93680a92aa0;PT|50ccc04a-eadd-42ae-a0cb-acaf45f812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30;#HR|2f555653-ed1a-4fe6-8362-9082d95989e5;#29;#EL|6d4f4d51-af9b-4650-94b4-4276bee85c91;#28;#LV|46f7e311-5d9f-4663-b433-18aeccb7ace7;#27;#SL|98a412ae-eb01-49e9-ae3d-585a81724cfc;#25;#DE|f6b31e5a-26fa-4935-b661-318e46daf27e;#24;#ES|e7a6b05b-ae16-40c8-add9-68b64b03aeba;#22;#BG|1a1b3951-7821-4e6a-85f5-5673fc08bd2c;#21;#SV|c2ed69e7-a339-43d7-8f22-d93680a92aa0;#17;#PL|1e03da61-4678-4e07-b136-b5024ca9197b;#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16;#DA|5d49c027-8956-412b-aa16-e85a0f96ad0e</vt:lpwstr>
  </property>
</Properties>
</file>