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Pr="00FD7959" w:rsidRDefault="00964163" w:rsidP="00964163">
      <w:pPr>
        <w:spacing w:line="276" w:lineRule="auto"/>
        <w:jc w:val="center"/>
        <w:rPr>
          <w:b/>
          <w:bCs/>
        </w:rPr>
      </w:pPr>
      <w:r w:rsidRPr="00FD7959">
        <w:rPr>
          <w:b/>
          <w:noProof/>
          <w:sz w:val="20"/>
        </w:rPr>
        <mc:AlternateContent>
          <mc:Choice Requires="wps">
            <w:drawing>
              <wp:anchor distT="0" distB="0" distL="114300" distR="114300" simplePos="0" relativeHeight="251658752"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SK</w:t>
                      </w:r>
                    </w:p>
                  </w:txbxContent>
                </v:textbox>
                <w10:wrap anchorx="page" anchory="page"/>
              </v:shape>
            </w:pict>
          </mc:Fallback>
        </mc:AlternateContent>
      </w:r>
    </w:p>
    <w:p w14:paraId="0D60FDBA" w14:textId="7BCB5DF4" w:rsidR="00061143" w:rsidRPr="00FD7959" w:rsidRDefault="00435F03" w:rsidP="00026C2F">
      <w:pPr>
        <w:spacing w:line="276" w:lineRule="auto"/>
        <w:jc w:val="center"/>
        <w:rPr>
          <w:b/>
          <w:bCs/>
        </w:rPr>
      </w:pPr>
      <w:r w:rsidRPr="00FD7959">
        <w:rPr>
          <w:b/>
        </w:rPr>
        <w:t>SOC/803 Výhľadová schôdza: 26</w:t>
      </w:r>
      <w:r w:rsidR="00FD7959">
        <w:rPr>
          <w:b/>
        </w:rPr>
        <w:t>. septembra</w:t>
      </w:r>
      <w:r w:rsidRPr="00FD7959">
        <w:rPr>
          <w:b/>
        </w:rPr>
        <w:t xml:space="preserve"> 2024</w:t>
      </w:r>
    </w:p>
    <w:p w14:paraId="64BFFFA3" w14:textId="57A3D313" w:rsidR="00435F03" w:rsidRPr="00FD7959" w:rsidRDefault="00435F03" w:rsidP="00026C2F">
      <w:pPr>
        <w:spacing w:line="276" w:lineRule="auto"/>
        <w:jc w:val="center"/>
        <w:rPr>
          <w:b/>
          <w:bCs/>
        </w:rPr>
      </w:pPr>
      <w:r w:rsidRPr="00FD7959">
        <w:rPr>
          <w:b/>
        </w:rPr>
        <w:t>Ideálna vízia umelej inteligencie vo svete práce</w:t>
      </w:r>
      <w:r w:rsidR="00FD7959">
        <w:rPr>
          <w:b/>
        </w:rPr>
        <w:t xml:space="preserve"> a </w:t>
      </w:r>
      <w:r w:rsidRPr="00FD7959">
        <w:rPr>
          <w:b/>
        </w:rPr>
        <w:t>na pracovisku</w:t>
      </w:r>
      <w:r w:rsidR="00FD7959">
        <w:rPr>
          <w:b/>
        </w:rPr>
        <w:t xml:space="preserve"> v </w:t>
      </w:r>
      <w:r w:rsidRPr="00FD7959">
        <w:rPr>
          <w:b/>
        </w:rPr>
        <w:t>roku 2035</w:t>
      </w:r>
    </w:p>
    <w:p w14:paraId="32B2DD03" w14:textId="4357857A" w:rsidR="007E0533" w:rsidRPr="00FD7959" w:rsidRDefault="007E0533" w:rsidP="00026C2F">
      <w:pPr>
        <w:spacing w:line="276" w:lineRule="auto"/>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rsidRPr="00FD7959" w14:paraId="16FC4E57" w14:textId="77777777" w:rsidTr="00CE7B09">
        <w:trPr>
          <w:jc w:val="center"/>
        </w:trPr>
        <w:tc>
          <w:tcPr>
            <w:tcW w:w="9063" w:type="dxa"/>
          </w:tcPr>
          <w:p w14:paraId="66E269A8" w14:textId="6115EA42" w:rsidR="00F00B65" w:rsidRPr="00FD7959" w:rsidRDefault="00F00B65">
            <w:pPr>
              <w:spacing w:line="276" w:lineRule="auto"/>
            </w:pPr>
            <w:r w:rsidRPr="00FD7959">
              <w:rPr>
                <w:b/>
              </w:rPr>
              <w:t>Do roku 2035 sa umelá inteligencia (AI) stane dôveryhodným partnerom na pracovisku</w:t>
            </w:r>
            <w:r w:rsidRPr="00FD7959">
              <w:t>, ktorý zvýši produktivitu, zlepší kvalitu pracovných miest, zníži nerovnosti</w:t>
            </w:r>
            <w:r w:rsidR="00FD7959">
              <w:t xml:space="preserve"> a </w:t>
            </w:r>
            <w:r w:rsidRPr="00FD7959">
              <w:t>podporí spoluprácu</w:t>
            </w:r>
            <w:r w:rsidR="00FD7959">
              <w:t xml:space="preserve"> a </w:t>
            </w:r>
            <w:r w:rsidRPr="00FD7959">
              <w:t>ľudský dohľad. Regulačný rámec EÚ zabezpečuje, aby sa umelá inteligencia zavádzala do praxe eticky</w:t>
            </w:r>
            <w:r w:rsidR="00FD7959">
              <w:t xml:space="preserve"> a </w:t>
            </w:r>
            <w:r w:rsidRPr="00FD7959">
              <w:t>vytvárala tak budúcnosť,</w:t>
            </w:r>
            <w:r w:rsidR="00FD7959">
              <w:t xml:space="preserve"> v </w:t>
            </w:r>
            <w:r w:rsidRPr="00FD7959">
              <w:t>ktorej je práca technologicky vyspelá</w:t>
            </w:r>
            <w:r w:rsidR="00FD7959">
              <w:t xml:space="preserve"> a </w:t>
            </w:r>
            <w:r w:rsidRPr="00FD7959">
              <w:t>zameraná na človeka. Umelá inteligencia je prínosom pre celú spoločnosť</w:t>
            </w:r>
            <w:r w:rsidR="00FD7959">
              <w:t xml:space="preserve"> a </w:t>
            </w:r>
            <w:r w:rsidRPr="00FD7959">
              <w:t>vďaka spoločnej vízii zamestnávateľov</w:t>
            </w:r>
            <w:r w:rsidR="00FD7959">
              <w:t xml:space="preserve"> a </w:t>
            </w:r>
            <w:r w:rsidRPr="00FD7959">
              <w:t>pracovníkov sa vyvíja pre spoločné dobro.</w:t>
            </w:r>
          </w:p>
        </w:tc>
      </w:tr>
    </w:tbl>
    <w:p w14:paraId="15195F98" w14:textId="77777777" w:rsidR="00F00B65" w:rsidRPr="00FD7959" w:rsidRDefault="00F00B65" w:rsidP="00026C2F">
      <w:pPr>
        <w:spacing w:line="276" w:lineRule="auto"/>
      </w:pPr>
    </w:p>
    <w:p w14:paraId="53DFE1E4" w14:textId="524251C6" w:rsidR="00FD7959" w:rsidRDefault="00444B65" w:rsidP="00026C2F">
      <w:pPr>
        <w:spacing w:line="276" w:lineRule="auto"/>
      </w:pPr>
      <w:r w:rsidRPr="00FD7959">
        <w:t xml:space="preserve">Do roku 2035 </w:t>
      </w:r>
      <w:r w:rsidRPr="00FD7959">
        <w:rPr>
          <w:b/>
        </w:rPr>
        <w:t>bude Európska únia lídrom</w:t>
      </w:r>
      <w:r w:rsidR="00FD7959">
        <w:t xml:space="preserve"> v </w:t>
      </w:r>
      <w:r w:rsidRPr="00FD7959">
        <w:t>stanovovaní noriem pre reguláciu umelej inteligencie</w:t>
      </w:r>
      <w:r w:rsidR="00FD7959">
        <w:t xml:space="preserve"> a </w:t>
      </w:r>
      <w:r w:rsidRPr="00FD7959">
        <w:t>globálni konkurenti budú nasledovať jej príklad</w:t>
      </w:r>
      <w:r w:rsidR="00FD7959">
        <w:t>.</w:t>
      </w:r>
    </w:p>
    <w:p w14:paraId="699E8CE9" w14:textId="3C819FE5" w:rsidR="00516F9E" w:rsidRPr="00FD7959" w:rsidRDefault="00516F9E" w:rsidP="00026C2F">
      <w:pPr>
        <w:spacing w:line="276" w:lineRule="auto"/>
      </w:pPr>
    </w:p>
    <w:p w14:paraId="7ACB56DD" w14:textId="3CF3BC74" w:rsidR="00FD7959" w:rsidRDefault="00052EFB" w:rsidP="00026C2F">
      <w:pPr>
        <w:spacing w:line="276" w:lineRule="auto"/>
      </w:pPr>
      <w:r w:rsidRPr="00FD7959">
        <w:rPr>
          <w:b/>
        </w:rPr>
        <w:t>Umelá inteligencia vytvára lepšie pracovné miesta, ktoré sú zmysluplné</w:t>
      </w:r>
      <w:r w:rsidR="00FD7959">
        <w:rPr>
          <w:b/>
        </w:rPr>
        <w:t xml:space="preserve"> a </w:t>
      </w:r>
      <w:r w:rsidRPr="00FD7959">
        <w:rPr>
          <w:b/>
        </w:rPr>
        <w:t>kvalitné</w:t>
      </w:r>
      <w:r w:rsidR="00FD7959">
        <w:rPr>
          <w:b/>
        </w:rPr>
        <w:t xml:space="preserve"> a </w:t>
      </w:r>
      <w:r w:rsidRPr="00FD7959">
        <w:rPr>
          <w:b/>
        </w:rPr>
        <w:t>ktoré rozvíjajú zručnosti pracovníkov.</w:t>
      </w:r>
      <w:r w:rsidRPr="00FD7959">
        <w:t xml:space="preserve"> Preberá opakujúce sa</w:t>
      </w:r>
      <w:r w:rsidR="00FD7959">
        <w:t xml:space="preserve"> a </w:t>
      </w:r>
      <w:r w:rsidRPr="00FD7959">
        <w:t>fyzicky náročné úlohy</w:t>
      </w:r>
      <w:r w:rsidR="00FD7959">
        <w:t xml:space="preserve"> a </w:t>
      </w:r>
      <w:r w:rsidRPr="00FD7959">
        <w:t>zamestnancom umožňuje sústrediť sa na kreatívne aspekty svojej práce. Tento posun zvyšuje produktivitu, vytvára lepšiu rovnováhu medzi pracovným</w:t>
      </w:r>
      <w:r w:rsidR="00FD7959">
        <w:t xml:space="preserve"> a </w:t>
      </w:r>
      <w:r w:rsidRPr="00FD7959">
        <w:t>súkromným životom, zlepšuje pracovné podmienky</w:t>
      </w:r>
      <w:r w:rsidR="00FD7959">
        <w:t xml:space="preserve"> a </w:t>
      </w:r>
      <w:r w:rsidRPr="00FD7959">
        <w:t>prispieva</w:t>
      </w:r>
      <w:r w:rsidR="00FD7959">
        <w:t xml:space="preserve"> k </w:t>
      </w:r>
      <w:r w:rsidRPr="00FD7959">
        <w:t>vyššej spokojnosti</w:t>
      </w:r>
      <w:r w:rsidR="00FD7959">
        <w:t xml:space="preserve"> s </w:t>
      </w:r>
      <w:r w:rsidRPr="00FD7959">
        <w:t>prácou, pretože umelá inteligencia je vnímaná ako dôveryhodný zamestnanec, ktorý pracovníkov skôr podporuje, než nahrádza</w:t>
      </w:r>
      <w:r w:rsidR="00FD7959">
        <w:t>.</w:t>
      </w:r>
    </w:p>
    <w:p w14:paraId="3DA1D7FA" w14:textId="4EE9CF87" w:rsidR="00435F03" w:rsidRPr="00FD7959" w:rsidRDefault="00435F03" w:rsidP="00026C2F">
      <w:pPr>
        <w:spacing w:line="276" w:lineRule="auto"/>
      </w:pPr>
    </w:p>
    <w:p w14:paraId="7E56C8DD" w14:textId="4A473839" w:rsidR="00444B65" w:rsidRPr="00FD7959" w:rsidRDefault="00444B65" w:rsidP="00026C2F">
      <w:pPr>
        <w:spacing w:line="276" w:lineRule="auto"/>
      </w:pPr>
      <w:r w:rsidRPr="00FD7959">
        <w:t xml:space="preserve">Zásadným prvkom pri rozhodovaní zostáva </w:t>
      </w:r>
      <w:r w:rsidRPr="00FD7959">
        <w:rPr>
          <w:b/>
        </w:rPr>
        <w:t>ľudský dohľad</w:t>
      </w:r>
      <w:r w:rsidRPr="00FD7959">
        <w:t>, ktorý zabezpečuje, že kľúčové rozhodnutia prijímajú ľudia. Existujú určité červené čiary: rozhodnutia, ktoré majú významný vplyv na životy ľudí (napríklad prepúšťanie, disciplinárne opatrenia), prijíma človek.</w:t>
      </w:r>
    </w:p>
    <w:p w14:paraId="7633336D" w14:textId="2548D9E1" w:rsidR="00300629" w:rsidRPr="00FD7959" w:rsidRDefault="00300629" w:rsidP="00026C2F">
      <w:pPr>
        <w:spacing w:line="276" w:lineRule="auto"/>
      </w:pPr>
    </w:p>
    <w:p w14:paraId="0622919B" w14:textId="494CA466" w:rsidR="00FD7959" w:rsidRDefault="00444B65" w:rsidP="00026C2F">
      <w:pPr>
        <w:spacing w:line="276" w:lineRule="auto"/>
      </w:pPr>
      <w:r w:rsidRPr="00FD7959">
        <w:t xml:space="preserve">Umelá inteligencia zohráva kľúčovú úlohu aj pri presadzovaní </w:t>
      </w:r>
      <w:r w:rsidRPr="00FD7959">
        <w:rPr>
          <w:b/>
        </w:rPr>
        <w:t>rovnakých príležitostí</w:t>
      </w:r>
      <w:r w:rsidR="00FD7959">
        <w:rPr>
          <w:b/>
        </w:rPr>
        <w:t xml:space="preserve"> a </w:t>
      </w:r>
      <w:r w:rsidRPr="00FD7959">
        <w:rPr>
          <w:b/>
        </w:rPr>
        <w:t>znižovaní rozdielov</w:t>
      </w:r>
      <w:r w:rsidRPr="00FD7959">
        <w:t>, znižovaní digitálnej priepasti</w:t>
      </w:r>
      <w:r w:rsidR="00FD7959">
        <w:t xml:space="preserve"> a </w:t>
      </w:r>
      <w:r w:rsidRPr="00FD7959">
        <w:t xml:space="preserve">posilňovaní postavenia jednotlivcov. Umelá inteligencia podporuje najmä </w:t>
      </w:r>
      <w:r w:rsidRPr="00FD7959">
        <w:rPr>
          <w:b/>
        </w:rPr>
        <w:t>rovnosť medzi ženami</w:t>
      </w:r>
      <w:r w:rsidR="00FD7959">
        <w:rPr>
          <w:b/>
        </w:rPr>
        <w:t xml:space="preserve"> a </w:t>
      </w:r>
      <w:r w:rsidRPr="00FD7959">
        <w:rPr>
          <w:b/>
        </w:rPr>
        <w:t>mužmi</w:t>
      </w:r>
      <w:r w:rsidRPr="00FD7959">
        <w:t>. Ženy majú dobré pracovné miesta. Ak sú úlohy, ktoré väčšinou vykonávajú ženy (napríklad administratívne úlohy), automatizované, na primeranej úrovni sa zavedú podporné</w:t>
      </w:r>
      <w:r w:rsidR="00FD7959">
        <w:t xml:space="preserve"> a </w:t>
      </w:r>
      <w:r w:rsidRPr="00FD7959">
        <w:t>posilňujúce opatrenia, aby sa zmiernili dôsledky na zamestnanosť</w:t>
      </w:r>
      <w:r w:rsidR="00FD7959">
        <w:t xml:space="preserve"> a </w:t>
      </w:r>
      <w:r w:rsidRPr="00FD7959">
        <w:t>zabezpečila rekvalifikácia</w:t>
      </w:r>
      <w:r w:rsidR="00FD7959">
        <w:t>.</w:t>
      </w:r>
    </w:p>
    <w:p w14:paraId="3FB4D956" w14:textId="65D060E8" w:rsidR="00C563F7" w:rsidRPr="00FD7959" w:rsidRDefault="00C563F7" w:rsidP="00026C2F">
      <w:pPr>
        <w:spacing w:line="276" w:lineRule="auto"/>
      </w:pPr>
    </w:p>
    <w:p w14:paraId="4145C6D4" w14:textId="44CD777E" w:rsidR="006A56FF" w:rsidRPr="00FD7959" w:rsidRDefault="00516F9E" w:rsidP="00026C2F">
      <w:pPr>
        <w:spacing w:line="276" w:lineRule="auto"/>
      </w:pPr>
      <w:r w:rsidRPr="00FD7959">
        <w:t>Umelá inteligencia umožňuje pracovníkom</w:t>
      </w:r>
      <w:r w:rsidR="00FD7959">
        <w:t xml:space="preserve"> a </w:t>
      </w:r>
      <w:r w:rsidRPr="00FD7959">
        <w:t xml:space="preserve">spoločnostiam zamerať sa na rozvoj nových </w:t>
      </w:r>
      <w:r w:rsidRPr="00FD7959">
        <w:rPr>
          <w:b/>
        </w:rPr>
        <w:t>zručností</w:t>
      </w:r>
      <w:r w:rsidRPr="00FD7959">
        <w:t>, pričom sa</w:t>
      </w:r>
      <w:r w:rsidR="00FD7959">
        <w:t xml:space="preserve"> v </w:t>
      </w:r>
      <w:r w:rsidRPr="00FD7959">
        <w:t>súvislosti</w:t>
      </w:r>
      <w:r w:rsidR="00FD7959">
        <w:t xml:space="preserve"> s </w:t>
      </w:r>
      <w:r w:rsidRPr="00FD7959">
        <w:t>ňou uznáva význam digitálnych zručností</w:t>
      </w:r>
      <w:r w:rsidR="00FD7959">
        <w:t xml:space="preserve"> a </w:t>
      </w:r>
      <w:r w:rsidRPr="00FD7959">
        <w:t>kritického myslenia. Programy odbornej prípravy založené na umelej inteligencii poskytujú personalizované vzdelávacie dráhy, ktoré pracovníkom zo všetkých prostredí umožňujú zlepšovať si zručnosti počas celej kariéry. To pomáha preklenúť priepasť medzi kvalifikovanými</w:t>
      </w:r>
      <w:r w:rsidR="00FD7959">
        <w:t xml:space="preserve"> a </w:t>
      </w:r>
      <w:r w:rsidRPr="00FD7959">
        <w:t>nekvalifikovanými pracovnými miestami. Ľudia majú vo všeobecnosti rovnaký prístup</w:t>
      </w:r>
      <w:r w:rsidR="00FD7959">
        <w:t xml:space="preserve"> k </w:t>
      </w:r>
      <w:r w:rsidRPr="00FD7959">
        <w:t xml:space="preserve">príležitostiam </w:t>
      </w:r>
      <w:r w:rsidRPr="00FD7959">
        <w:rPr>
          <w:b/>
        </w:rPr>
        <w:t>celoživotného vzdelávania</w:t>
      </w:r>
      <w:r w:rsidRPr="00FD7959">
        <w:t>, aby sa prispôsobili vyvíjajúcemu sa trhu práce. Umelá inteligencia sa vyvíja nielen</w:t>
      </w:r>
      <w:r w:rsidR="00FD7959">
        <w:t xml:space="preserve"> s </w:t>
      </w:r>
      <w:r w:rsidRPr="00FD7959">
        <w:t>cieľom zvýšiť produktivitu, ale aj zlepšiť ľudské spôsobilosti</w:t>
      </w:r>
      <w:r w:rsidR="00FD7959">
        <w:t xml:space="preserve"> a </w:t>
      </w:r>
      <w:r w:rsidRPr="00FD7959">
        <w:t>zvýšiť ľudskú inteligenciu.</w:t>
      </w:r>
    </w:p>
    <w:p w14:paraId="14C81683" w14:textId="77777777" w:rsidR="006A56FF" w:rsidRPr="00FD7959" w:rsidRDefault="006A56FF" w:rsidP="00026C2F">
      <w:pPr>
        <w:spacing w:line="276" w:lineRule="auto"/>
      </w:pPr>
    </w:p>
    <w:p w14:paraId="6E80BF72" w14:textId="472755D5" w:rsidR="00300629" w:rsidRPr="00FD7959" w:rsidRDefault="00444B65" w:rsidP="00026C2F">
      <w:pPr>
        <w:spacing w:line="276" w:lineRule="auto"/>
      </w:pPr>
      <w:r w:rsidRPr="00FD7959">
        <w:rPr>
          <w:b/>
        </w:rPr>
        <w:t>Prioritou je ochrana súkromia</w:t>
      </w:r>
      <w:r w:rsidR="00FD7959">
        <w:rPr>
          <w:b/>
        </w:rPr>
        <w:t xml:space="preserve"> a </w:t>
      </w:r>
      <w:r w:rsidRPr="00FD7959">
        <w:rPr>
          <w:b/>
        </w:rPr>
        <w:t>údajov</w:t>
      </w:r>
      <w:r w:rsidRPr="00FD7959">
        <w:t>, pričom systémy umelej inteligencie fungujú transparentne</w:t>
      </w:r>
      <w:r w:rsidR="00FD7959">
        <w:t xml:space="preserve"> a </w:t>
      </w:r>
      <w:r w:rsidRPr="00FD7959">
        <w:t>dodržiavajú etické kódexy, ktoré chránia základné práva</w:t>
      </w:r>
      <w:r w:rsidR="00FD7959">
        <w:t xml:space="preserve"> a </w:t>
      </w:r>
      <w:r w:rsidRPr="00FD7959">
        <w:t>autorské práva. Predpisy bránia tomu, aby sa umelá inteligencia používala na sledovanie</w:t>
      </w:r>
      <w:r w:rsidR="00FD7959">
        <w:t xml:space="preserve"> a </w:t>
      </w:r>
      <w:r w:rsidRPr="00FD7959">
        <w:t>sociálne hodnotenie. Podporujú sa pracoviská, kde sa zamestnanci cítia bezpečne, majú silné postavenie</w:t>
      </w:r>
      <w:r w:rsidR="00FD7959">
        <w:t xml:space="preserve"> a </w:t>
      </w:r>
      <w:r w:rsidRPr="00FD7959">
        <w:t>kde nie sú nenáležite monitorovaní alebo kontrolovaní.</w:t>
      </w:r>
    </w:p>
    <w:p w14:paraId="4657F8FD" w14:textId="77777777" w:rsidR="006A56FF" w:rsidRPr="00FD7959" w:rsidRDefault="006A56FF" w:rsidP="00026C2F">
      <w:pPr>
        <w:spacing w:line="276" w:lineRule="auto"/>
      </w:pPr>
    </w:p>
    <w:p w14:paraId="20AD23E7" w14:textId="46432888" w:rsidR="004774B7" w:rsidRPr="00FD7959" w:rsidRDefault="000E149C" w:rsidP="00026C2F">
      <w:pPr>
        <w:spacing w:line="276" w:lineRule="auto"/>
      </w:pPr>
      <w:r w:rsidRPr="00FD7959">
        <w:rPr>
          <w:b/>
        </w:rPr>
        <w:lastRenderedPageBreak/>
        <w:t>Silný sociálny dialóg</w:t>
      </w:r>
      <w:r w:rsidRPr="00FD7959">
        <w:t xml:space="preserve"> založený na účinnom legislatívnom rámci</w:t>
      </w:r>
      <w:r w:rsidR="00FD7959">
        <w:t xml:space="preserve"> a </w:t>
      </w:r>
      <w:r w:rsidRPr="00FD7959">
        <w:t>explicitných usmerneniach je hlboko zakotvený</w:t>
      </w:r>
      <w:r w:rsidR="00FD7959">
        <w:t xml:space="preserve"> v </w:t>
      </w:r>
      <w:r w:rsidRPr="00FD7959">
        <w:t>procese zavádzania umelej inteligencie</w:t>
      </w:r>
      <w:r w:rsidR="00FD7959">
        <w:t xml:space="preserve"> a </w:t>
      </w:r>
      <w:r w:rsidRPr="00FD7959">
        <w:t>prebieha na všetkých príslušných úrovniach</w:t>
      </w:r>
      <w:r w:rsidR="00FD7959">
        <w:t xml:space="preserve"> a </w:t>
      </w:r>
      <w:r w:rsidRPr="00FD7959">
        <w:t>vo všetkých členských štátoch EÚ. Na vnútroštátnej úrovni sa vynakladá úsilie na podporu</w:t>
      </w:r>
      <w:r w:rsidR="00FD7959">
        <w:t xml:space="preserve"> a </w:t>
      </w:r>
      <w:r w:rsidRPr="00FD7959">
        <w:t>posilnenie sociálneho dialógu. Umelá inteligencia podporuje budovanie kapacít</w:t>
      </w:r>
      <w:r w:rsidR="00FD7959">
        <w:t xml:space="preserve"> a </w:t>
      </w:r>
      <w:r w:rsidRPr="00FD7959">
        <w:t>odbornú prípravu sociálnych partnerov. Zamestnávatelia, pracovníci a/alebo ich zástupcovia sa zapájajú do konzultácií</w:t>
      </w:r>
      <w:r w:rsidR="00FD7959">
        <w:t xml:space="preserve"> o </w:t>
      </w:r>
      <w:r w:rsidRPr="00FD7959">
        <w:t>zavádzaní</w:t>
      </w:r>
      <w:r w:rsidR="00FD7959">
        <w:t xml:space="preserve"> a </w:t>
      </w:r>
      <w:r w:rsidRPr="00FD7959">
        <w:t xml:space="preserve">používaní umelej inteligencie na pracovisku. Týmto zapojením sa od začiatku procesu zabezpečuje, aby </w:t>
      </w:r>
      <w:r w:rsidRPr="00FD7959">
        <w:rPr>
          <w:b/>
        </w:rPr>
        <w:t>bola umelá inteligencia navrhnutá so vstupmi pracovníkov</w:t>
      </w:r>
      <w:r w:rsidRPr="00FD7959">
        <w:t>, čím sa posilní dôvera</w:t>
      </w:r>
      <w:r w:rsidR="00FD7959">
        <w:t xml:space="preserve"> a </w:t>
      </w:r>
      <w:r w:rsidRPr="00FD7959">
        <w:t>spolupráca. Sociálny dialóg sa využíva aj na riešenie možných výziev vyvolaných umelou inteligenciou, predvídanie nedostatkov</w:t>
      </w:r>
      <w:r w:rsidR="00FD7959">
        <w:t xml:space="preserve"> v </w:t>
      </w:r>
      <w:r w:rsidRPr="00FD7959">
        <w:t>pracovnej sile</w:t>
      </w:r>
      <w:r w:rsidR="00FD7959">
        <w:t xml:space="preserve"> a </w:t>
      </w:r>
      <w:r w:rsidRPr="00FD7959">
        <w:t>zručnostiach</w:t>
      </w:r>
      <w:r w:rsidR="00FD7959">
        <w:t xml:space="preserve"> a </w:t>
      </w:r>
      <w:r w:rsidRPr="00FD7959">
        <w:t>odstránenie regulačných medzier.</w:t>
      </w:r>
    </w:p>
    <w:sectPr w:rsidR="004774B7" w:rsidRPr="00FD7959"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r w:rsidR="00DE702F">
      <w:fldChar w:fldCharType="begin"/>
    </w:r>
    <w:r w:rsidR="00DE702F">
      <w:instrText xml:space="preserve"> NUMPAGES </w:instrText>
    </w:r>
    <w:r w:rsidR="00DE702F">
      <w:fldChar w:fldCharType="separate"/>
    </w:r>
    <w:r w:rsidR="00026C2F">
      <w:t>1</w:t>
    </w:r>
    <w:r w:rsidR="00DE70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543B4"/>
    <w:rsid w:val="00266F04"/>
    <w:rsid w:val="00271760"/>
    <w:rsid w:val="00275230"/>
    <w:rsid w:val="00300629"/>
    <w:rsid w:val="003138F5"/>
    <w:rsid w:val="00352C2D"/>
    <w:rsid w:val="00386113"/>
    <w:rsid w:val="003B3388"/>
    <w:rsid w:val="004254DD"/>
    <w:rsid w:val="00435F03"/>
    <w:rsid w:val="00444B65"/>
    <w:rsid w:val="004672B1"/>
    <w:rsid w:val="004774B7"/>
    <w:rsid w:val="004830F0"/>
    <w:rsid w:val="004C6A3E"/>
    <w:rsid w:val="00516F9E"/>
    <w:rsid w:val="00542683"/>
    <w:rsid w:val="00563AC5"/>
    <w:rsid w:val="00655B6F"/>
    <w:rsid w:val="00662A5C"/>
    <w:rsid w:val="00663DCB"/>
    <w:rsid w:val="00674DEA"/>
    <w:rsid w:val="006A56FF"/>
    <w:rsid w:val="006E16DF"/>
    <w:rsid w:val="006F603B"/>
    <w:rsid w:val="00753F49"/>
    <w:rsid w:val="007765AA"/>
    <w:rsid w:val="007C7E9B"/>
    <w:rsid w:val="007E0533"/>
    <w:rsid w:val="007F37FC"/>
    <w:rsid w:val="00896379"/>
    <w:rsid w:val="0090260D"/>
    <w:rsid w:val="00904CEB"/>
    <w:rsid w:val="00910713"/>
    <w:rsid w:val="00937EF6"/>
    <w:rsid w:val="0095210D"/>
    <w:rsid w:val="00964163"/>
    <w:rsid w:val="009903A6"/>
    <w:rsid w:val="00A0534F"/>
    <w:rsid w:val="00A34CD4"/>
    <w:rsid w:val="00B0683B"/>
    <w:rsid w:val="00BB27F7"/>
    <w:rsid w:val="00BE1409"/>
    <w:rsid w:val="00BE214A"/>
    <w:rsid w:val="00C563F7"/>
    <w:rsid w:val="00CE353B"/>
    <w:rsid w:val="00CE7B09"/>
    <w:rsid w:val="00D44E3A"/>
    <w:rsid w:val="00D84E42"/>
    <w:rsid w:val="00DE702F"/>
    <w:rsid w:val="00E65139"/>
    <w:rsid w:val="00E923EC"/>
    <w:rsid w:val="00F00B65"/>
    <w:rsid w:val="00F35302"/>
    <w:rsid w:val="00FC205E"/>
    <w:rsid w:val="00FD7959"/>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sk-SK"/>
    </w:rPr>
  </w:style>
  <w:style w:type="character" w:customStyle="1" w:styleId="Heading2Char">
    <w:name w:val="Heading 2 Char"/>
    <w:basedOn w:val="DefaultParagraphFont"/>
    <w:link w:val="Heading2"/>
    <w:rsid w:val="004774B7"/>
    <w:rPr>
      <w:rFonts w:ascii="Times New Roman" w:eastAsia="Times New Roman" w:hAnsi="Times New Roman" w:cs="Times New Roman"/>
      <w:lang w:val="sk-SK"/>
    </w:rPr>
  </w:style>
  <w:style w:type="character" w:customStyle="1" w:styleId="Heading3Char">
    <w:name w:val="Heading 3 Char"/>
    <w:basedOn w:val="DefaultParagraphFont"/>
    <w:link w:val="Heading3"/>
    <w:rsid w:val="004774B7"/>
    <w:rPr>
      <w:rFonts w:ascii="Times New Roman" w:eastAsia="Times New Roman" w:hAnsi="Times New Roman" w:cs="Times New Roman"/>
      <w:lang w:val="sk-SK"/>
    </w:rPr>
  </w:style>
  <w:style w:type="character" w:customStyle="1" w:styleId="Heading4Char">
    <w:name w:val="Heading 4 Char"/>
    <w:basedOn w:val="DefaultParagraphFont"/>
    <w:link w:val="Heading4"/>
    <w:rsid w:val="004774B7"/>
    <w:rPr>
      <w:rFonts w:ascii="Times New Roman" w:eastAsia="Times New Roman" w:hAnsi="Times New Roman" w:cs="Times New Roman"/>
      <w:lang w:val="sk-SK"/>
    </w:rPr>
  </w:style>
  <w:style w:type="character" w:customStyle="1" w:styleId="Heading5Char">
    <w:name w:val="Heading 5 Char"/>
    <w:basedOn w:val="DefaultParagraphFont"/>
    <w:link w:val="Heading5"/>
    <w:rsid w:val="004774B7"/>
    <w:rPr>
      <w:rFonts w:ascii="Times New Roman" w:eastAsia="Times New Roman" w:hAnsi="Times New Roman" w:cs="Times New Roman"/>
      <w:lang w:val="sk-SK"/>
    </w:rPr>
  </w:style>
  <w:style w:type="character" w:customStyle="1" w:styleId="Heading6Char">
    <w:name w:val="Heading 6 Char"/>
    <w:basedOn w:val="DefaultParagraphFont"/>
    <w:link w:val="Heading6"/>
    <w:rsid w:val="004774B7"/>
    <w:rPr>
      <w:rFonts w:ascii="Times New Roman" w:eastAsia="Times New Roman" w:hAnsi="Times New Roman" w:cs="Times New Roman"/>
      <w:lang w:val="sk-SK"/>
    </w:rPr>
  </w:style>
  <w:style w:type="character" w:customStyle="1" w:styleId="Heading7Char">
    <w:name w:val="Heading 7 Char"/>
    <w:basedOn w:val="DefaultParagraphFont"/>
    <w:link w:val="Heading7"/>
    <w:rsid w:val="004774B7"/>
    <w:rPr>
      <w:rFonts w:ascii="Times New Roman" w:eastAsia="Times New Roman" w:hAnsi="Times New Roman" w:cs="Times New Roman"/>
      <w:lang w:val="sk-SK"/>
    </w:rPr>
  </w:style>
  <w:style w:type="character" w:customStyle="1" w:styleId="Heading8Char">
    <w:name w:val="Heading 8 Char"/>
    <w:basedOn w:val="DefaultParagraphFont"/>
    <w:link w:val="Heading8"/>
    <w:rsid w:val="004774B7"/>
    <w:rPr>
      <w:rFonts w:ascii="Times New Roman" w:eastAsia="Times New Roman" w:hAnsi="Times New Roman" w:cs="Times New Roman"/>
      <w:lang w:val="sk-SK"/>
    </w:rPr>
  </w:style>
  <w:style w:type="character" w:customStyle="1" w:styleId="Heading9Char">
    <w:name w:val="Heading 9 Char"/>
    <w:basedOn w:val="DefaultParagraphFont"/>
    <w:link w:val="Heading9"/>
    <w:rsid w:val="004774B7"/>
    <w:rPr>
      <w:rFonts w:ascii="Times New Roman" w:eastAsia="Times New Roman" w:hAnsi="Times New Roman" w:cs="Times New Roman"/>
      <w:lang w:val="sk-SK"/>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sk-SK"/>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sk-SK"/>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sk-SK"/>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sk-SK"/>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sk-SK"/>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F7M6YNZUATRX-917472228-13154</_dlc_DocId>
    <_dlc_DocIdUrl xmlns="59ace41b-6786-4ce3-be71-52c27066c6ef">
      <Url>http://dm/eesc/2024/_layouts/15/DocIdRedir.aspx?ID=F7M6YNZUATRX-917472228-13154</Url>
      <Description>F7M6YNZUATRX-917472228-13154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Rasevova Simona</DisplayName>
        <AccountId>1860</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A8985-6010-485B-B0E8-F6A39F6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63F87-7A4E-4A9B-845D-F21FCB25D4B1}">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E9DBFC0C-66BD-407A-A55E-C7A92D93B629}">
  <ds:schemaRefs>
    <ds:schemaRef ds:uri="http://schemas.microsoft.com/sharepoint/events"/>
  </ds:schemaRefs>
</ds:datastoreItem>
</file>

<file path=customXml/itemProps4.xml><?xml version="1.0" encoding="utf-8"?>
<ds:datastoreItem xmlns:ds="http://schemas.openxmlformats.org/officeDocument/2006/customXml" ds:itemID="{95A48455-5E84-4782-AD70-B563F4789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Ideálna vízia umelej inteligencie vo svete práce a na pracovisku v roku 2035</dc:title>
  <dc:subject>TCD</dc:subject>
  <dc:creator>Perpinan Haro Carmen</dc:creator>
  <cp:keywords>EESC-2024-01024-01-00-TCD-TRA-EN</cp:keywords>
  <dc:description>Rapporteur: SALIS-MADINIER - Original language: EN - Date of document: 18. 11. 2024 - Date of meeting:  - External documents:  - Administrator: MME DUMITRACHE Ana</dc:description>
  <cp:lastModifiedBy>Vignoli Rina</cp:lastModifiedBy>
  <cp:revision>2</cp:revision>
  <dcterms:created xsi:type="dcterms:W3CDTF">2024-11-27T10:13:00Z</dcterms:created>
  <dcterms:modified xsi:type="dcterms:W3CDTF">2024-11-27T10:13:00Z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7e75d6c3-d5fc-437d-bece-707b3ac20d84</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EL|6d4f4d51-af9b-4650-94b4-4276bee85c91;PT|50ccc04a-eadd-42ae-a0cb-acaf45f812ba;LV|46f7e311-5d9f-4663-b433-18aeccb7ace7;PL|1e03da61-4678-4e07-b136-b5024ca9197b;DE|f6b31e5a-26fa-4935-b661-318e46daf27e;SV|c2ed69e7-a339-43d7-8f22-d93680a92aa0;CS|72f9705b-0217-4fd3-bea2-cbc7ed80e26e;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43;#CS|72f9705b-0217-4fd3-bea2-cbc7ed80e26e;#29;#EL|6d4f4d51-af9b-4650-94b4-4276bee85c91;#28;#LV|46f7e311-5d9f-4663-b433-18aeccb7ace7;#25;#DE|f6b31e5a-26fa-4935-b661-318e46daf27e;#37;#RO|feb747a2-64cd-4299-af12-4833ddc30497;#21;#SV|c2ed69e7-a339-43d7-8f22-d93680a92aa0;#17;#PL|1e03da61-4678-4e07-b136-b5024ca9197b;#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26;#SK|46d9fce0-ef79-4f71-b89b-cd6aa82426b8</vt:lpwstr>
  </property>
</Properties>
</file>