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C8F2" w14:textId="63B7973C" w:rsidR="00964163" w:rsidRDefault="00964163" w:rsidP="00964163">
      <w:pPr>
        <w:spacing w:line="276" w:lineRule="auto"/>
        <w:jc w:val="center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31C286" wp14:editId="31004D7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FAC72" w14:textId="77777777" w:rsidR="00964163" w:rsidRPr="00260E65" w:rsidRDefault="009641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1C28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76EFAC72" w14:textId="77777777" w:rsidR="00964163" w:rsidRPr="00260E65" w:rsidRDefault="009641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60FDBA" w14:textId="735379DA" w:rsidR="00061143" w:rsidRDefault="00435F03" w:rsidP="00026C2F">
      <w:pPr>
        <w:spacing w:line="276" w:lineRule="auto"/>
        <w:jc w:val="center"/>
        <w:rPr>
          <w:b/>
          <w:bCs/>
        </w:rPr>
      </w:pPr>
      <w:r>
        <w:rPr>
          <w:b/>
        </w:rPr>
        <w:t>SOC/803 – Reunião de prospetiva: 26 de setembro de 2024</w:t>
      </w:r>
    </w:p>
    <w:p w14:paraId="64BFFFA3" w14:textId="5DCA591D" w:rsidR="00435F03" w:rsidRPr="00CE353B" w:rsidRDefault="00435F03" w:rsidP="00026C2F">
      <w:pPr>
        <w:spacing w:line="276" w:lineRule="auto"/>
        <w:jc w:val="center"/>
        <w:rPr>
          <w:b/>
          <w:bCs/>
        </w:rPr>
      </w:pPr>
      <w:r>
        <w:rPr>
          <w:b/>
        </w:rPr>
        <w:t>Uma visão ideal da inteligência artificial no mundo do trabalho e no local de trabalho em 2035</w:t>
      </w:r>
    </w:p>
    <w:p w14:paraId="32B2DD03" w14:textId="4357857A" w:rsidR="007E0533" w:rsidRDefault="007E0533" w:rsidP="00026C2F">
      <w:pPr>
        <w:spacing w:line="276" w:lineRule="auto"/>
        <w:rPr>
          <w:lang w:val="en-GB"/>
        </w:rPr>
      </w:pPr>
    </w:p>
    <w:tbl>
      <w:tblPr>
        <w:tblStyle w:val="TableGrid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63"/>
      </w:tblGrid>
      <w:tr w:rsidR="00F00B65" w14:paraId="16FC4E57" w14:textId="77777777" w:rsidTr="00CE7B09">
        <w:trPr>
          <w:jc w:val="center"/>
        </w:trPr>
        <w:tc>
          <w:tcPr>
            <w:tcW w:w="9063" w:type="dxa"/>
          </w:tcPr>
          <w:p w14:paraId="66E269A8" w14:textId="6476A544" w:rsidR="00F00B65" w:rsidRDefault="00F00B65">
            <w:pPr>
              <w:spacing w:line="276" w:lineRule="auto"/>
            </w:pPr>
            <w:r>
              <w:rPr>
                <w:b/>
              </w:rPr>
              <w:t>Até 2035, a inteligência artificial (IA) torna-se um parceiro de confiança no local de trabalho</w:t>
            </w:r>
            <w:r>
              <w:t>, aumentando a produtividade, melhorando a qualidade do emprego, reduzindo as desigualdades e promovendo a colaboração e a supervisão humana. O quadro regulamentar da União Europeia (UE) garante que a IA é aplicada de forma ética, criando um futuro em que o trabalho é tecnologicamente avançado e centrado no ser humano. A IA beneficia toda a sociedade, e uma visão partilhada entre empregadores e trabalhadores garante que a IA é desenvolvida para o bem comum.</w:t>
            </w:r>
          </w:p>
        </w:tc>
      </w:tr>
    </w:tbl>
    <w:p w14:paraId="15195F98" w14:textId="77777777" w:rsidR="00F00B65" w:rsidRDefault="00F00B65" w:rsidP="00026C2F">
      <w:pPr>
        <w:spacing w:line="276" w:lineRule="auto"/>
        <w:rPr>
          <w:lang w:val="en-GB"/>
        </w:rPr>
      </w:pPr>
    </w:p>
    <w:p w14:paraId="64F06779" w14:textId="4C0EC1EB" w:rsidR="00052EFB" w:rsidRDefault="00444B65" w:rsidP="00026C2F">
      <w:pPr>
        <w:spacing w:line="276" w:lineRule="auto"/>
      </w:pPr>
      <w:r>
        <w:rPr>
          <w:b/>
        </w:rPr>
        <w:t>Em 2035, a União Europeia é pioneira</w:t>
      </w:r>
      <w:r>
        <w:t xml:space="preserve"> na definição de normas para a regulamentação da IA e está a ser seguida pelos seus concorrentes mundiais. </w:t>
      </w:r>
    </w:p>
    <w:p w14:paraId="699E8CE9" w14:textId="77777777" w:rsidR="00516F9E" w:rsidRDefault="00516F9E" w:rsidP="00026C2F">
      <w:pPr>
        <w:spacing w:line="276" w:lineRule="auto"/>
        <w:rPr>
          <w:lang w:val="en-GB"/>
        </w:rPr>
      </w:pPr>
    </w:p>
    <w:p w14:paraId="1FA983EA" w14:textId="4C406AC6" w:rsidR="000E149C" w:rsidRDefault="00052EFB" w:rsidP="00026C2F">
      <w:pPr>
        <w:spacing w:line="276" w:lineRule="auto"/>
      </w:pPr>
      <w:r>
        <w:rPr>
          <w:b/>
        </w:rPr>
        <w:t>A IA reforça os postos de trabalho para que sejam significativos, de boa qualidade e desenvolvam as competências dos trabalhadores.</w:t>
      </w:r>
      <w:r>
        <w:t xml:space="preserve"> Assume tarefas repetitivas e fisicamente exigentes, permitindo que os trabalhadores se concentrem nos aspetos criativos do seu trabalho. Esta mudança estimula a produtividade, melhora o equilíbrio entre a vida profissional e a vida familiar e as condições de trabalho e reforça a satisfação profissional, uma vez que a IA é vista como um colega de confiança que apoia os trabalhadores e não os substitui. </w:t>
      </w:r>
    </w:p>
    <w:p w14:paraId="3DA1D7FA" w14:textId="04E75A48" w:rsidR="00435F03" w:rsidRDefault="00435F03" w:rsidP="00026C2F">
      <w:pPr>
        <w:spacing w:line="276" w:lineRule="auto"/>
        <w:rPr>
          <w:lang w:val="en-GB"/>
        </w:rPr>
      </w:pPr>
    </w:p>
    <w:p w14:paraId="7E56C8DD" w14:textId="4A473839" w:rsidR="00444B65" w:rsidRDefault="00444B65" w:rsidP="00026C2F">
      <w:pPr>
        <w:spacing w:line="276" w:lineRule="auto"/>
      </w:pPr>
      <w:r>
        <w:t xml:space="preserve">Fundamentalmente, a </w:t>
      </w:r>
      <w:r>
        <w:rPr>
          <w:b/>
        </w:rPr>
        <w:t>supervisão humana</w:t>
      </w:r>
      <w:r>
        <w:t xml:space="preserve"> continua a estar no cerne da tomada de decisões, assegurando que as escolhas principais são feitas pelas pessoas. Algumas linhas vermelhas não são ultrapassadas: as decisões com impacto significativo nas vidas das pessoas (por exemplo, despedimentos, ações disciplinares) são tomadas por seres humanos.</w:t>
      </w:r>
    </w:p>
    <w:p w14:paraId="7633336D" w14:textId="2548D9E1" w:rsidR="00300629" w:rsidRDefault="00300629" w:rsidP="00F33773">
      <w:pPr>
        <w:spacing w:line="168" w:lineRule="auto"/>
        <w:rPr>
          <w:lang w:val="en-GB"/>
        </w:rPr>
      </w:pPr>
    </w:p>
    <w:p w14:paraId="52314D80" w14:textId="2E334662" w:rsidR="00C563F7" w:rsidRDefault="00444B65" w:rsidP="00026C2F">
      <w:pPr>
        <w:spacing w:line="276" w:lineRule="auto"/>
      </w:pPr>
      <w:r>
        <w:t xml:space="preserve">A IA também desempenha um papel fundamental na promoção da </w:t>
      </w:r>
      <w:r>
        <w:rPr>
          <w:b/>
        </w:rPr>
        <w:t>igualdade de oportunidades e na redução das disparidades</w:t>
      </w:r>
      <w:r>
        <w:t xml:space="preserve">, na redução do fosso digital e na capacitação das pessoas. Em especial, a IA apoia a </w:t>
      </w:r>
      <w:r>
        <w:rPr>
          <w:b/>
        </w:rPr>
        <w:t>igualdade entre homens e mulheres</w:t>
      </w:r>
      <w:r>
        <w:t xml:space="preserve">. As mulheres têm bons empregos. Se as tarefas maioritariamente desempenhadas por mulheres (como tarefas administrativas) forem automatizadas, são adotadas medidas facilitadoras e capacitantes ao nível adequado para lidar com os impactos no emprego e para assegurar a requalificação. </w:t>
      </w:r>
    </w:p>
    <w:p w14:paraId="3FB4D956" w14:textId="03DF6424" w:rsidR="00C563F7" w:rsidRDefault="00C563F7" w:rsidP="00F33773">
      <w:pPr>
        <w:spacing w:line="168" w:lineRule="auto"/>
        <w:rPr>
          <w:lang w:val="en-GB"/>
        </w:rPr>
      </w:pPr>
    </w:p>
    <w:p w14:paraId="4145C6D4" w14:textId="413A403A" w:rsidR="006A56FF" w:rsidRDefault="00516F9E" w:rsidP="00026C2F">
      <w:pPr>
        <w:spacing w:line="276" w:lineRule="auto"/>
      </w:pPr>
      <w:r>
        <w:t xml:space="preserve">A IA permite que os trabalhadores e as empresas se concentrem no desenvolvimento de novas </w:t>
      </w:r>
      <w:r>
        <w:rPr>
          <w:b/>
        </w:rPr>
        <w:t>competências</w:t>
      </w:r>
      <w:r>
        <w:t xml:space="preserve">, a importância das competências digitais e do pensamento crítico em matéria de IA é reconhecida. Os programas de formação baseados na IA proporcionam percursos de aprendizagem personalizados, permitindo aos trabalhadores de todas as origens melhorar as suas competências ao longo das suas carreiras, contribuindo para colmatar o fosso entre postos de trabalho qualificados e não qualificados. Em geral, as pessoas têm acesso equitativo a oportunidades de </w:t>
      </w:r>
      <w:r>
        <w:rPr>
          <w:b/>
        </w:rPr>
        <w:t>aprendizagem ao longo da vida</w:t>
      </w:r>
      <w:r>
        <w:t>, para se adaptarem à evolução do mercado de trabalho. A IA é desenvolvida não só para aumentar a produtividade, mas também para reforçar as capacidades humanas e aumentar a inteligência humana.</w:t>
      </w:r>
    </w:p>
    <w:p w14:paraId="14C81683" w14:textId="77777777" w:rsidR="006A56FF" w:rsidRDefault="006A56FF" w:rsidP="00847DF9">
      <w:pPr>
        <w:spacing w:line="168" w:lineRule="auto"/>
        <w:rPr>
          <w:lang w:val="en-GB"/>
        </w:rPr>
      </w:pPr>
    </w:p>
    <w:p w14:paraId="6E80BF72" w14:textId="7DE96197" w:rsidR="00300629" w:rsidRDefault="00444B65" w:rsidP="00026C2F">
      <w:pPr>
        <w:spacing w:line="276" w:lineRule="auto"/>
      </w:pPr>
      <w:r>
        <w:t xml:space="preserve">É dada prioridade à </w:t>
      </w:r>
      <w:r>
        <w:rPr>
          <w:b/>
        </w:rPr>
        <w:t>privacidade</w:t>
      </w:r>
      <w:r>
        <w:t xml:space="preserve"> e à </w:t>
      </w:r>
      <w:r>
        <w:rPr>
          <w:b/>
        </w:rPr>
        <w:t>proteção de dados</w:t>
      </w:r>
      <w:r>
        <w:t>, com os sistemas de IA a funcionar de forma transparente e a aderir a códigos éticos que protegem os direitos fundamentais e os direitos de autor. A regulamentação impede que a IA seja utilizada para a vigilância e a classificação dos cidadãos. São promovidos locais de trabalho em que os trabalhadores se sintam seguros e capacitados, não monitorizados ou controlados de forma inadequada.</w:t>
      </w:r>
    </w:p>
    <w:p w14:paraId="4657F8FD" w14:textId="77777777" w:rsidR="006A56FF" w:rsidRDefault="006A56FF" w:rsidP="00F33773">
      <w:pPr>
        <w:spacing w:line="168" w:lineRule="auto"/>
        <w:rPr>
          <w:lang w:val="en-GB"/>
        </w:rPr>
      </w:pPr>
    </w:p>
    <w:p w14:paraId="20AD23E7" w14:textId="0F136BB7" w:rsidR="004774B7" w:rsidRPr="004774B7" w:rsidRDefault="000E149C" w:rsidP="00026C2F">
      <w:pPr>
        <w:spacing w:line="276" w:lineRule="auto"/>
      </w:pPr>
      <w:r>
        <w:lastRenderedPageBreak/>
        <w:t xml:space="preserve">Um </w:t>
      </w:r>
      <w:r>
        <w:rPr>
          <w:b/>
        </w:rPr>
        <w:t>diálogo social forte</w:t>
      </w:r>
      <w:r>
        <w:t xml:space="preserve">, assente num quadro legislativo eficaz e em orientações explícitas, está profundamente integrado no processo de aplicação da IA e tem lugar a todos os níveis adequados e em todos os Estados-Membros da UE. São envidados esforços a nível nacional para apoiar e reforçar o diálogo social. A IA apoia o reforço das capacidades e a formação dos parceiros sociais. Os empregadores, os trabalhadores e/ou os seus representantes participam em consultas sobre a introdução e a utilização da IA no local de trabalho. Esta participação, desde o início do processo, assegura que a </w:t>
      </w:r>
      <w:r>
        <w:rPr>
          <w:b/>
        </w:rPr>
        <w:t>IA é concebida com os contributos dos trabalhadores</w:t>
      </w:r>
      <w:r>
        <w:t>, promovendo a confiança e a colaboração. O diálogo social é também utilizado para fazer face a eventuais desafios induzidos pela IA, antecipar lacunas em matéria de mão de obra e de competências e colmatar lacunas regulamentares.</w:t>
      </w:r>
    </w:p>
    <w:sectPr w:rsidR="004774B7" w:rsidRPr="004774B7" w:rsidSect="000253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F5DA" w14:textId="77777777" w:rsidR="00904CEB" w:rsidRDefault="00904CEB" w:rsidP="00904CEB">
      <w:pPr>
        <w:spacing w:line="240" w:lineRule="auto"/>
      </w:pPr>
      <w:r>
        <w:separator/>
      </w:r>
    </w:p>
  </w:endnote>
  <w:endnote w:type="continuationSeparator" w:id="0">
    <w:p w14:paraId="1F0088AC" w14:textId="77777777" w:rsidR="00904CEB" w:rsidRDefault="00904CEB" w:rsidP="00904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8E5B" w14:textId="77777777" w:rsidR="00025376" w:rsidRPr="00025376" w:rsidRDefault="00025376" w:rsidP="00025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B818" w14:textId="25BD9056" w:rsidR="00904CEB" w:rsidRPr="00025376" w:rsidRDefault="00025376" w:rsidP="00025376">
    <w:pPr>
      <w:pStyle w:val="Footer"/>
    </w:pPr>
    <w:r>
      <w:t xml:space="preserve">SOC/803 – EESC-2024-01024-01-00-TCD-TRA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26C2F">
      <w:t>1</w:t>
    </w:r>
    <w:r>
      <w:fldChar w:fldCharType="end"/>
    </w:r>
    <w:r>
      <w:t>/</w:t>
    </w:r>
    <w:r w:rsidR="00005F6C">
      <w:fldChar w:fldCharType="begin"/>
    </w:r>
    <w:r w:rsidR="00005F6C">
      <w:instrText xml:space="preserve"> NUMPAGES </w:instrText>
    </w:r>
    <w:r w:rsidR="00005F6C">
      <w:fldChar w:fldCharType="separate"/>
    </w:r>
    <w:r w:rsidR="00026C2F">
      <w:t>1</w:t>
    </w:r>
    <w:r w:rsidR="00005F6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C93A" w14:textId="77777777" w:rsidR="00025376" w:rsidRPr="00025376" w:rsidRDefault="00025376" w:rsidP="00025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C5E0" w14:textId="77777777" w:rsidR="00904CEB" w:rsidRDefault="00904CEB" w:rsidP="00904CEB">
      <w:pPr>
        <w:spacing w:line="240" w:lineRule="auto"/>
      </w:pPr>
      <w:r>
        <w:separator/>
      </w:r>
    </w:p>
  </w:footnote>
  <w:footnote w:type="continuationSeparator" w:id="0">
    <w:p w14:paraId="7FDDC24B" w14:textId="77777777" w:rsidR="00904CEB" w:rsidRDefault="00904CEB" w:rsidP="00904C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FA47" w14:textId="77777777" w:rsidR="00025376" w:rsidRPr="00025376" w:rsidRDefault="00025376" w:rsidP="00025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916B" w14:textId="29D4840F" w:rsidR="00025376" w:rsidRPr="00025376" w:rsidRDefault="00025376" w:rsidP="00025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1265" w14:textId="77777777" w:rsidR="00025376" w:rsidRPr="00025376" w:rsidRDefault="00025376" w:rsidP="00025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663856"/>
    <w:multiLevelType w:val="hybridMultilevel"/>
    <w:tmpl w:val="CF28DF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7"/>
    <w:rsid w:val="00005770"/>
    <w:rsid w:val="00005F6C"/>
    <w:rsid w:val="00025376"/>
    <w:rsid w:val="00026465"/>
    <w:rsid w:val="00026C2F"/>
    <w:rsid w:val="00042F8F"/>
    <w:rsid w:val="00052EFB"/>
    <w:rsid w:val="00061143"/>
    <w:rsid w:val="000A4F82"/>
    <w:rsid w:val="000E149C"/>
    <w:rsid w:val="00102D18"/>
    <w:rsid w:val="001745D3"/>
    <w:rsid w:val="00174F6A"/>
    <w:rsid w:val="002543B4"/>
    <w:rsid w:val="00266F04"/>
    <w:rsid w:val="00271760"/>
    <w:rsid w:val="00275230"/>
    <w:rsid w:val="00300629"/>
    <w:rsid w:val="003138F5"/>
    <w:rsid w:val="00352C2D"/>
    <w:rsid w:val="00386113"/>
    <w:rsid w:val="003B3388"/>
    <w:rsid w:val="004254DD"/>
    <w:rsid w:val="00435F03"/>
    <w:rsid w:val="00444B65"/>
    <w:rsid w:val="004672B1"/>
    <w:rsid w:val="004774B7"/>
    <w:rsid w:val="004830F0"/>
    <w:rsid w:val="004C6A3E"/>
    <w:rsid w:val="00516F9E"/>
    <w:rsid w:val="00542683"/>
    <w:rsid w:val="00563AC5"/>
    <w:rsid w:val="00655B6F"/>
    <w:rsid w:val="00662A5C"/>
    <w:rsid w:val="00663DCB"/>
    <w:rsid w:val="00674DEA"/>
    <w:rsid w:val="006A56FF"/>
    <w:rsid w:val="006E16DF"/>
    <w:rsid w:val="006F603B"/>
    <w:rsid w:val="00753F49"/>
    <w:rsid w:val="007765AA"/>
    <w:rsid w:val="007C7E9B"/>
    <w:rsid w:val="007E0533"/>
    <w:rsid w:val="007F37FC"/>
    <w:rsid w:val="00847DF9"/>
    <w:rsid w:val="0090260D"/>
    <w:rsid w:val="00904CEB"/>
    <w:rsid w:val="00910713"/>
    <w:rsid w:val="00937EF6"/>
    <w:rsid w:val="0095210D"/>
    <w:rsid w:val="00964163"/>
    <w:rsid w:val="009903A6"/>
    <w:rsid w:val="00A0534F"/>
    <w:rsid w:val="00A345D5"/>
    <w:rsid w:val="00AC29C7"/>
    <w:rsid w:val="00AC614E"/>
    <w:rsid w:val="00B0683B"/>
    <w:rsid w:val="00BB27F7"/>
    <w:rsid w:val="00BE1409"/>
    <w:rsid w:val="00C563F7"/>
    <w:rsid w:val="00CE353B"/>
    <w:rsid w:val="00CE7B09"/>
    <w:rsid w:val="00D44E3A"/>
    <w:rsid w:val="00D84E42"/>
    <w:rsid w:val="00E65139"/>
    <w:rsid w:val="00E70CD2"/>
    <w:rsid w:val="00E923EC"/>
    <w:rsid w:val="00F00B65"/>
    <w:rsid w:val="00F33773"/>
    <w:rsid w:val="00F35302"/>
    <w:rsid w:val="00FA4DC1"/>
    <w:rsid w:val="00F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E786"/>
  <w15:chartTrackingRefBased/>
  <w15:docId w15:val="{565440D3-A8FB-4056-A4FC-A1140978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B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774B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774B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774B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774B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774B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774B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774B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774B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774B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4B7"/>
    <w:rPr>
      <w:rFonts w:ascii="Times New Roman" w:eastAsia="Times New Roman" w:hAnsi="Times New Roman" w:cs="Times New Roman"/>
      <w:kern w:val="28"/>
      <w:lang w:val="pt-PT"/>
    </w:rPr>
  </w:style>
  <w:style w:type="character" w:customStyle="1" w:styleId="Heading2Char">
    <w:name w:val="Heading 2 Char"/>
    <w:basedOn w:val="DefaultParagraphFont"/>
    <w:link w:val="Heading2"/>
    <w:rsid w:val="004774B7"/>
    <w:rPr>
      <w:rFonts w:ascii="Times New Roman" w:eastAsia="Times New Roman" w:hAnsi="Times New Roman" w:cs="Times New Roman"/>
      <w:lang w:val="pt-PT"/>
    </w:rPr>
  </w:style>
  <w:style w:type="character" w:customStyle="1" w:styleId="Heading3Char">
    <w:name w:val="Heading 3 Char"/>
    <w:basedOn w:val="DefaultParagraphFont"/>
    <w:link w:val="Heading3"/>
    <w:rsid w:val="004774B7"/>
    <w:rPr>
      <w:rFonts w:ascii="Times New Roman" w:eastAsia="Times New Roman" w:hAnsi="Times New Roman" w:cs="Times New Roman"/>
      <w:lang w:val="pt-PT"/>
    </w:rPr>
  </w:style>
  <w:style w:type="character" w:customStyle="1" w:styleId="Heading4Char">
    <w:name w:val="Heading 4 Char"/>
    <w:basedOn w:val="DefaultParagraphFont"/>
    <w:link w:val="Heading4"/>
    <w:rsid w:val="004774B7"/>
    <w:rPr>
      <w:rFonts w:ascii="Times New Roman" w:eastAsia="Times New Roman" w:hAnsi="Times New Roman" w:cs="Times New Roman"/>
      <w:lang w:val="pt-PT"/>
    </w:rPr>
  </w:style>
  <w:style w:type="character" w:customStyle="1" w:styleId="Heading5Char">
    <w:name w:val="Heading 5 Char"/>
    <w:basedOn w:val="DefaultParagraphFont"/>
    <w:link w:val="Heading5"/>
    <w:rsid w:val="004774B7"/>
    <w:rPr>
      <w:rFonts w:ascii="Times New Roman" w:eastAsia="Times New Roman" w:hAnsi="Times New Roman" w:cs="Times New Roman"/>
      <w:lang w:val="pt-PT"/>
    </w:rPr>
  </w:style>
  <w:style w:type="character" w:customStyle="1" w:styleId="Heading6Char">
    <w:name w:val="Heading 6 Char"/>
    <w:basedOn w:val="DefaultParagraphFont"/>
    <w:link w:val="Heading6"/>
    <w:rsid w:val="004774B7"/>
    <w:rPr>
      <w:rFonts w:ascii="Times New Roman" w:eastAsia="Times New Roman" w:hAnsi="Times New Roman" w:cs="Times New Roman"/>
      <w:lang w:val="pt-PT"/>
    </w:rPr>
  </w:style>
  <w:style w:type="character" w:customStyle="1" w:styleId="Heading7Char">
    <w:name w:val="Heading 7 Char"/>
    <w:basedOn w:val="DefaultParagraphFont"/>
    <w:link w:val="Heading7"/>
    <w:rsid w:val="004774B7"/>
    <w:rPr>
      <w:rFonts w:ascii="Times New Roman" w:eastAsia="Times New Roman" w:hAnsi="Times New Roman" w:cs="Times New Roman"/>
      <w:lang w:val="pt-PT"/>
    </w:rPr>
  </w:style>
  <w:style w:type="character" w:customStyle="1" w:styleId="Heading8Char">
    <w:name w:val="Heading 8 Char"/>
    <w:basedOn w:val="DefaultParagraphFont"/>
    <w:link w:val="Heading8"/>
    <w:rsid w:val="004774B7"/>
    <w:rPr>
      <w:rFonts w:ascii="Times New Roman" w:eastAsia="Times New Roman" w:hAnsi="Times New Roman" w:cs="Times New Roman"/>
      <w:lang w:val="pt-PT"/>
    </w:rPr>
  </w:style>
  <w:style w:type="character" w:customStyle="1" w:styleId="Heading9Char">
    <w:name w:val="Heading 9 Char"/>
    <w:basedOn w:val="DefaultParagraphFont"/>
    <w:link w:val="Heading9"/>
    <w:rsid w:val="004774B7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qFormat/>
    <w:rsid w:val="004774B7"/>
  </w:style>
  <w:style w:type="character" w:customStyle="1" w:styleId="FooterChar">
    <w:name w:val="Footer Char"/>
    <w:basedOn w:val="DefaultParagraphFont"/>
    <w:link w:val="Footer"/>
    <w:uiPriority w:val="99"/>
    <w:rsid w:val="004774B7"/>
    <w:rPr>
      <w:rFonts w:ascii="Times New Roman" w:eastAsia="Times New Roman" w:hAnsi="Times New Roman" w:cs="Times New Roman"/>
      <w:lang w:val="pt-PT"/>
    </w:rPr>
  </w:style>
  <w:style w:type="paragraph" w:styleId="FootnoteText">
    <w:name w:val="footnote text"/>
    <w:basedOn w:val="Normal"/>
    <w:link w:val="FootnoteTextChar"/>
    <w:qFormat/>
    <w:rsid w:val="004774B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74B7"/>
    <w:rPr>
      <w:rFonts w:ascii="Times New Roman" w:eastAsia="Times New Roman" w:hAnsi="Times New Roman" w:cs="Times New Roman"/>
      <w:sz w:val="16"/>
      <w:lang w:val="pt-PT"/>
    </w:rPr>
  </w:style>
  <w:style w:type="paragraph" w:styleId="Header">
    <w:name w:val="header"/>
    <w:basedOn w:val="Normal"/>
    <w:link w:val="HeaderChar"/>
    <w:qFormat/>
    <w:rsid w:val="004774B7"/>
  </w:style>
  <w:style w:type="character" w:customStyle="1" w:styleId="HeaderChar">
    <w:name w:val="Header Char"/>
    <w:basedOn w:val="DefaultParagraphFont"/>
    <w:link w:val="Header"/>
    <w:rsid w:val="004774B7"/>
    <w:rPr>
      <w:rFonts w:ascii="Times New Roman" w:eastAsia="Times New Roman" w:hAnsi="Times New Roman" w:cs="Times New Roman"/>
      <w:lang w:val="pt-PT"/>
    </w:rPr>
  </w:style>
  <w:style w:type="paragraph" w:customStyle="1" w:styleId="quotes">
    <w:name w:val="quotes"/>
    <w:basedOn w:val="Normal"/>
    <w:next w:val="Normal"/>
    <w:rsid w:val="004774B7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774B7"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E651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B65"/>
    <w:rPr>
      <w:rFonts w:ascii="Times New Roman" w:eastAsia="Times New Roman" w:hAnsi="Times New Roman" w:cs="Times New Roman"/>
      <w:sz w:val="20"/>
      <w:szCs w:val="20"/>
      <w:lang w:val="pt-PT"/>
    </w:rPr>
  </w:style>
  <w:style w:type="table" w:styleId="TableGrid">
    <w:name w:val="Table Grid"/>
    <w:basedOn w:val="TableNormal"/>
    <w:uiPriority w:val="39"/>
    <w:rsid w:val="00F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83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ion">
    <w:name w:val="Revision"/>
    <w:hidden/>
    <w:uiPriority w:val="99"/>
    <w:semiHidden/>
    <w:rsid w:val="0038611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F7M6YNZUATRX-917472228-13089</_dlc_DocId>
    <_dlc_DocIdUrl xmlns="59ace41b-6786-4ce3-be71-52c27066c6ef">
      <Url>http://dm/eesc/2024/_layouts/15/DocIdRedir.aspx?ID=F7M6YNZUATRX-917472228-13089</Url>
      <Description>F7M6YNZUATRX-917472228-13089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2024-11-15T12:00:00+00:00</ProductionDate>
    <DocumentNumber xmlns="14d11ec3-fd82-4994-a217-1a91de9b2d2a">1024</DocumentNumber>
    <FicheYear xmlns="59ace41b-6786-4ce3-be71-52c27066c6ef" xsi:nil="true"/>
    <DossierNumber xmlns="59ace41b-6786-4ce3-be71-52c27066c6ef">803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49</Value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13</Value>
      <Value>12</Value>
      <Value>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Rapporteur xmlns="59ace41b-6786-4ce3-be71-52c27066c6ef">SALIS-MADINIER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11314</FicheNumber>
    <OriginalSender xmlns="59ace41b-6786-4ce3-be71-52c27066c6ef">
      <UserInfo>
        <DisplayName>Rodrigues Dias Aline</DisplayName>
        <AccountId>1534</AccountId>
        <AccountType/>
      </UserInfo>
    </OriginalSender>
    <DocumentPart xmlns="59ace41b-6786-4ce3-be71-52c27066c6ef">1</DocumentPart>
    <AdoptionDate xmlns="59ace41b-6786-4ce3-be71-52c27066c6ef" xsi:nil="true"/>
    <RequestingService xmlns="59ace41b-6786-4ce3-be71-52c27066c6ef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9ace41b-6786-4ce3-be71-52c27066c6ef">0</DocumentVersion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6D70A-9E29-4EFE-8ABC-C25336F26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9D306-19B5-459B-9288-585AA1E2AA43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customXml/itemProps3.xml><?xml version="1.0" encoding="utf-8"?>
<ds:datastoreItem xmlns:ds="http://schemas.openxmlformats.org/officeDocument/2006/customXml" ds:itemID="{348448C2-3F61-4844-A2F1-EA018007CD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0D41C3-13A7-4005-9B39-C22DE35B4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 visão ideal da inteligência artificial no mundo do trabalho e no local de trabalho em 2035</dc:title>
  <dc:subject>TCD</dc:subject>
  <dc:creator>Perpinan Haro Carmen</dc:creator>
  <cp:keywords>EESC-2024-01024-01-00-TCD-TRA-EN</cp:keywords>
  <dc:description>Rapporteur: SALIS-MADINIER - Original language: EN - Date of document: 15/11/2024 - Date of meeting:  - External documents:  - Administrator: MME DUMITRACHE Ana</dc:description>
  <cp:lastModifiedBy>Vignoli Rina</cp:lastModifiedBy>
  <cp:revision>2</cp:revision>
  <dcterms:created xsi:type="dcterms:W3CDTF">2024-11-27T10:12:00Z</dcterms:created>
  <dcterms:modified xsi:type="dcterms:W3CDTF">2024-11-27T10:12:00Z</dcterms:modified>
  <cp:category>SOC/803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14/11/2024</vt:lpwstr>
  </property>
  <property fmtid="{D5CDD505-2E9C-101B-9397-08002B2CF9AE}" pid="4" name="Pref_Time">
    <vt:lpwstr>09:42:28</vt:lpwstr>
  </property>
  <property fmtid="{D5CDD505-2E9C-101B-9397-08002B2CF9AE}" pid="5" name="Pref_User">
    <vt:lpwstr>amett</vt:lpwstr>
  </property>
  <property fmtid="{D5CDD505-2E9C-101B-9397-08002B2CF9AE}" pid="6" name="Pref_FileName">
    <vt:lpwstr>EESC-2024-01024-01-00-TCD-TRA-EN-CRR.docx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9ac444ee-166e-46c5-9124-73182ccb965b</vt:lpwstr>
  </property>
  <property fmtid="{D5CDD505-2E9C-101B-9397-08002B2CF9AE}" pid="9" name="AvailableTranslations">
    <vt:lpwstr>24;#ES|e7a6b05b-ae16-40c8-add9-68b64b03aeba;#5;#EN|f2175f21-25d7-44a3-96da-d6a61b075e1b;#32;#HU|6b229040-c589-4408-b4c1-4285663d20a8;#27;#SL|98a412ae-eb01-49e9-ae3d-585a81724cfc;#33;#ET|ff6c3f4c-b02c-4c3c-ab07-2c37995a7a0a;#29;#EL|6d4f4d51-af9b-4650-94b4-4276bee85c91;#23;#MT|7df99101-6854-4a26-b53a-b88c0da02c26;#22;#BG|1a1b3951-7821-4e6a-85f5-5673fc08bd2c;#30;#HR|2f555653-ed1a-4fe6-8362-9082d95989e5;#35;#FI|87606a43-d45f-42d6-b8c9-e1a3457db5b7;#16;#DA|5d49c027-8956-412b-aa16-e85a0f96ad0e;#26;#SK|46d9fce0-ef79-4f71-b89b-cd6aa82426b8;#36;#PT|50ccc04a-eadd-42ae-a0cb-acaf45f812ba;#28;#LV|46f7e311-5d9f-4663-b433-18aeccb7ace7;#17;#PL|1e03da61-4678-4e07-b136-b5024ca9197b;#25;#DE|f6b31e5a-26fa-4935-b661-318e46daf27e;#14;#FR|d2afafd3-4c81-4f60-8f52-ee33f2f54ff3;#21;#SV|c2ed69e7-a339-43d7-8f22-d93680a92aa0;#18;#GA|762d2456-c427-4ecb-b312-af3dad8e258c;#43;#CS|72f9705b-0217-4fd3-bea2-cbc7ed80e26e;#31;#NL|55c6556c-b4f4-441d-9acf-c498d4f838bd;#34;#LT|a7ff5ce7-6123-4f68-865a-a57c31810414;#12;#IT|0774613c-01ed-4e5d-a25d-11d2388de825;#37;#RO|feb747a2-64cd-4299-af12-4833ddc30497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1024</vt:i4>
  </property>
  <property fmtid="{D5CDD505-2E9C-101B-9397-08002B2CF9AE}" pid="14" name="DocumentVersion">
    <vt:i4>0</vt:i4>
  </property>
  <property fmtid="{D5CDD505-2E9C-101B-9397-08002B2CF9AE}" pid="15" name="DossierNumber">
    <vt:i4>803</vt:i4>
  </property>
  <property fmtid="{D5CDD505-2E9C-101B-9397-08002B2CF9AE}" pid="16" name="DocumentStatus">
    <vt:lpwstr>3;#TRA|150d2a88-1431-44e6-a8ca-0bb753ab8672</vt:lpwstr>
  </property>
  <property fmtid="{D5CDD505-2E9C-101B-9397-08002B2CF9AE}" pid="17" name="DossierName">
    <vt:lpwstr>49;#SOC|13795804-ecbd-4ce5-9693-9b8be1981b20</vt:lpwstr>
  </property>
  <property fmtid="{D5CDD505-2E9C-101B-9397-08002B2CF9AE}" pid="18" name="RequestingService">
    <vt:lpwstr>Emploi, affaires sociales, citoyenneté</vt:lpwstr>
  </property>
  <property fmtid="{D5CDD505-2E9C-101B-9397-08002B2CF9AE}" pid="19" name="Confidentiality">
    <vt:lpwstr>6;#Unrestricted|826e22d7-d029-4ec0-a450-0c28ff673572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EN|f2175f21-25d7-44a3-96da-d6a61b075e1b;SV|c2ed69e7-a339-43d7-8f22-d93680a92aa0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49;#SOC|13795804-ecbd-4ce5-9693-9b8be1981b20;#13;#TCD|cd9d6eb6-3f4f-424a-b2d1-57c9d450eaaf;#8;#Final|ea5e6674-7b27-4bac-b091-73adbb394efe;#6;#Unrestricted|826e22d7-d029-4ec0-a450-0c28ff673572;#5;#EN|f2175f21-25d7-44a3-96da-d6a61b075e1b;#21;#SV|c2ed69e7-a339-43d7-8f22-d93680a92aa0;#3;#TRA|150d2a88-1431-44e6-a8ca-0bb753ab8672;#1;#EESC|422833ec-8d7e-4e65-8e4e-8bed07ffb729</vt:lpwstr>
  </property>
  <property fmtid="{D5CDD505-2E9C-101B-9397-08002B2CF9AE}" pid="28" name="Rapporteur">
    <vt:lpwstr>SALIS-MADINIER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8;#Final|ea5e6674-7b27-4bac-b091-73adbb394efe</vt:lpwstr>
  </property>
  <property fmtid="{D5CDD505-2E9C-101B-9397-08002B2CF9AE}" pid="31" name="DocumentYear">
    <vt:i4>2024</vt:i4>
  </property>
  <property fmtid="{D5CDD505-2E9C-101B-9397-08002B2CF9AE}" pid="32" name="FicheNumber">
    <vt:i4>11314</vt:i4>
  </property>
  <property fmtid="{D5CDD505-2E9C-101B-9397-08002B2CF9AE}" pid="33" name="DocumentPart">
    <vt:i4>1</vt:i4>
  </property>
  <property fmtid="{D5CDD505-2E9C-101B-9397-08002B2CF9AE}" pid="34" name="DocumentSource">
    <vt:lpwstr>1;#EESC|422833ec-8d7e-4e65-8e4e-8bed07ffb729</vt:lpwstr>
  </property>
  <property fmtid="{D5CDD505-2E9C-101B-9397-08002B2CF9AE}" pid="35" name="DocumentType">
    <vt:lpwstr>13;#TCD|cd9d6eb6-3f4f-424a-b2d1-57c9d450eaaf</vt:lpwstr>
  </property>
  <property fmtid="{D5CDD505-2E9C-101B-9397-08002B2CF9AE}" pid="36" name="DocumentLanguage">
    <vt:lpwstr>36;#PT|50ccc04a-eadd-42ae-a0cb-acaf45f812ba</vt:lpwstr>
  </property>
  <property fmtid="{D5CDD505-2E9C-101B-9397-08002B2CF9AE}" pid="37" name="_docset_NoMedatataSyncRequired">
    <vt:lpwstr>False</vt:lpwstr>
  </property>
</Properties>
</file>