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C8F2" w14:textId="63B7973C" w:rsidR="00964163" w:rsidRDefault="00964163" w:rsidP="00964163">
      <w:pPr>
        <w:spacing w:line="276" w:lineRule="auto"/>
        <w:jc w:val="center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31C286" wp14:editId="31004D7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AC72" w14:textId="77777777" w:rsidR="00964163" w:rsidRPr="00260E65" w:rsidRDefault="00964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C2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76EFAC72" w14:textId="77777777" w:rsidR="00964163" w:rsidRPr="00260E65" w:rsidRDefault="009641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60FDBA" w14:textId="735379DA" w:rsidR="00061143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SOC/803 Laqgħa ta’ prospettiva: 26 ta’ Settembru 2024</w:t>
      </w:r>
    </w:p>
    <w:p w14:paraId="64BFFFA3" w14:textId="5DCA591D" w:rsidR="00435F03" w:rsidRPr="00CE353B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Viżjoni ideali tal-IA fid-dinja tax-xogħol u fuq il-post tax-xogħol fl-2035</w:t>
      </w:r>
    </w:p>
    <w:p w14:paraId="32B2DD03" w14:textId="4357857A" w:rsidR="007E0533" w:rsidRDefault="007E0533" w:rsidP="00026C2F">
      <w:pPr>
        <w:spacing w:line="276" w:lineRule="auto"/>
        <w:rPr>
          <w:lang w:val="en-GB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3"/>
      </w:tblGrid>
      <w:tr w:rsidR="00F00B65" w14:paraId="16FC4E57" w14:textId="77777777" w:rsidTr="00CE7B09">
        <w:trPr>
          <w:jc w:val="center"/>
        </w:trPr>
        <w:tc>
          <w:tcPr>
            <w:tcW w:w="9063" w:type="dxa"/>
          </w:tcPr>
          <w:p w14:paraId="66E269A8" w14:textId="6476A544" w:rsidR="00F00B65" w:rsidRDefault="00F00B65">
            <w:pPr>
              <w:spacing w:line="276" w:lineRule="auto"/>
            </w:pPr>
            <w:r>
              <w:rPr>
                <w:b/>
                <w:bCs/>
              </w:rPr>
              <w:t>Sal-2035, l-Intelliġenza Artifiċjali (IA) issir sieħeb fdat fuq il-post tax-xogħol</w:t>
            </w:r>
            <w:r>
              <w:t>, iżżid il-produttività, ittejjeb il-kwalità tal-impjiegi, tnaqqas l-inugwaljanzi, u trawwem il-kollaborazzjoni u s-sorveljanza mill-bniedem. Il-qafas regolatorju tal-UE jiżgura li l-IA tiġi implimentata b’mod etiku, u b’hekk jinħoloq futur fejn il-ħidma tkun kemm teknoloġikament avvanzata kif ukoll iċċentrata fuq il-bniedem. L-IA hija ta’ benefiċċju għas-soċjetà kollha, u viżjoni kondiviża bejn l-impjegaturi u l-ħaddiema tiżgura li l-IA tiġi żviluppata għall-ġid komuni.</w:t>
            </w:r>
          </w:p>
        </w:tc>
      </w:tr>
    </w:tbl>
    <w:p w14:paraId="15195F98" w14:textId="77777777" w:rsidR="00F00B65" w:rsidRDefault="00F00B65" w:rsidP="00026C2F">
      <w:pPr>
        <w:spacing w:line="276" w:lineRule="auto"/>
        <w:rPr>
          <w:lang w:val="en-GB"/>
        </w:rPr>
      </w:pPr>
    </w:p>
    <w:p w14:paraId="64F06779" w14:textId="4C0EC1EB" w:rsidR="00052EFB" w:rsidRDefault="00444B65" w:rsidP="00026C2F">
      <w:pPr>
        <w:spacing w:line="276" w:lineRule="auto"/>
      </w:pPr>
      <w:r>
        <w:t>Fl-2035,</w:t>
      </w:r>
      <w:r>
        <w:rPr>
          <w:b/>
          <w:bCs/>
        </w:rPr>
        <w:t xml:space="preserve"> l-Unjoni Ewropea hija minn ta’ quddiem</w:t>
      </w:r>
      <w:r>
        <w:t xml:space="preserve"> biex tistabbilixxi standards għar-regolazzjoni tal-IA u qed tiġi segwita mill-kompetituri globali tagħha. </w:t>
      </w:r>
    </w:p>
    <w:p w14:paraId="699E8CE9" w14:textId="77777777" w:rsidR="00516F9E" w:rsidRDefault="00516F9E" w:rsidP="00026C2F">
      <w:pPr>
        <w:spacing w:line="276" w:lineRule="auto"/>
        <w:rPr>
          <w:lang w:val="en-GB"/>
        </w:rPr>
      </w:pPr>
    </w:p>
    <w:p w14:paraId="1FA983EA" w14:textId="4C406AC6" w:rsidR="000E149C" w:rsidRDefault="00052EFB" w:rsidP="00026C2F">
      <w:pPr>
        <w:spacing w:line="276" w:lineRule="auto"/>
      </w:pPr>
      <w:r>
        <w:rPr>
          <w:b/>
        </w:rPr>
        <w:t>L-IA ttejjeb l-impjiegi sabiex ikunu sinifikanti, ta’ kwalità tajba u jippermettu l-iżvilupp tal-ħiliet tal-ħaddiema.</w:t>
      </w:r>
      <w:r>
        <w:t xml:space="preserve"> Tassumi kompiti ripetittivi u fiżikament eżiġenti, u b’hekk tippermetti lill-impjegati jiffokaw fuq aspetti kreattivi tax-xogħol tagħhom. Din it-tranżizzjoni tagħti spinta lill-produttività, ittejjeb il-bilanċ bejn ix-xogħol u l-ħajja privata u l-kundizzjonijiet tax-xogħol, u ssaħħaħ is-sodisfazzjon fl-impjieg, peress li l-IA titqies bħala koħaddiem fdat li tappoġġja lill-ħaddiema, u mhux tieħu posthom. </w:t>
      </w:r>
    </w:p>
    <w:p w14:paraId="3DA1D7FA" w14:textId="04E75A48" w:rsidR="00435F03" w:rsidRDefault="00435F03" w:rsidP="00026C2F">
      <w:pPr>
        <w:spacing w:line="276" w:lineRule="auto"/>
        <w:rPr>
          <w:lang w:val="en-GB"/>
        </w:rPr>
      </w:pPr>
    </w:p>
    <w:p w14:paraId="7E56C8DD" w14:textId="4A473839" w:rsidR="00444B65" w:rsidRDefault="00444B65" w:rsidP="00026C2F">
      <w:pPr>
        <w:spacing w:line="276" w:lineRule="auto"/>
      </w:pPr>
      <w:r>
        <w:t xml:space="preserve">B’mod kruċjali, </w:t>
      </w:r>
      <w:r>
        <w:rPr>
          <w:b/>
          <w:bCs/>
        </w:rPr>
        <w:t xml:space="preserve">is-sorveljanza mill-bniedem </w:t>
      </w:r>
      <w:r>
        <w:t>tibqa’ fil-qalba tat-teħid tad-deċiżjonijiet, waqt li tiżgura li l-għażliet ewlenin jagħmluhom in-nies. Ċerti linji ħomor jiġu rispettati: id-deċiżjonijiet b’impatt sinifikanti fuq ħajjet il-persuni (eż. is-sensji, il-miżuri dixxiplinarji) jittieħdu mill-bnedmin.</w:t>
      </w:r>
    </w:p>
    <w:p w14:paraId="7633336D" w14:textId="2548D9E1" w:rsidR="00300629" w:rsidRDefault="00300629" w:rsidP="00026C2F">
      <w:pPr>
        <w:spacing w:line="276" w:lineRule="auto"/>
        <w:rPr>
          <w:lang w:val="en-GB"/>
        </w:rPr>
      </w:pPr>
    </w:p>
    <w:p w14:paraId="52314D80" w14:textId="2E334662" w:rsidR="00C563F7" w:rsidRDefault="00444B65" w:rsidP="00026C2F">
      <w:pPr>
        <w:spacing w:line="276" w:lineRule="auto"/>
      </w:pPr>
      <w:r>
        <w:t>L-IA għandha wkoll rwol determinanti fil-promozzjoni tal-</w:t>
      </w:r>
      <w:r>
        <w:rPr>
          <w:b/>
          <w:bCs/>
        </w:rPr>
        <w:t xml:space="preserve">opportunitajiet indaqs </w:t>
      </w:r>
      <w:r>
        <w:t>u fit-</w:t>
      </w:r>
      <w:r>
        <w:rPr>
          <w:b/>
          <w:bCs/>
        </w:rPr>
        <w:t>tnaqqis tad-disparitajiet</w:t>
      </w:r>
      <w:r>
        <w:t>, fit-tnaqqis tad-distakk diġitali u fit-tisħiħ tal-pożizzjoni tal-individwi. B’mod partikolari, l-IA tappoġġja l-</w:t>
      </w:r>
      <w:r>
        <w:rPr>
          <w:b/>
          <w:bCs/>
        </w:rPr>
        <w:t>ugwaljanza bejn in-nisa u l-irġiel</w:t>
      </w:r>
      <w:r>
        <w:t xml:space="preserve">. In-nisa għandhom impjiegi tajbin. Jekk il-kompiti li jitwettqu l-aktar min-nisa (bħal kompiti klerikali) jiġu awtomatizzati, jiġu stabbiliti miżuri abilitanti u ta’ awtonomizzazzjoni fil-livell adatt biex jiġu indirizzati l-impatti fuq l-impjiegi u biex jiġi żgurat it-taħriġ mill-ġdid. </w:t>
      </w:r>
    </w:p>
    <w:p w14:paraId="3FB4D956" w14:textId="03DF6424" w:rsidR="00C563F7" w:rsidRDefault="00C563F7" w:rsidP="00026C2F">
      <w:pPr>
        <w:spacing w:line="276" w:lineRule="auto"/>
        <w:rPr>
          <w:lang w:val="en-GB"/>
        </w:rPr>
      </w:pPr>
    </w:p>
    <w:p w14:paraId="4145C6D4" w14:textId="413A403A" w:rsidR="006A56FF" w:rsidRDefault="00516F9E" w:rsidP="00026C2F">
      <w:pPr>
        <w:spacing w:line="276" w:lineRule="auto"/>
      </w:pPr>
      <w:r>
        <w:t xml:space="preserve">L-IA tippermetti lill-ħaddiema u lill-kumpaniji jiffukaw fuq l-iżvilupp ta’ </w:t>
      </w:r>
      <w:r>
        <w:rPr>
          <w:b/>
          <w:bCs/>
        </w:rPr>
        <w:t>ħiliet</w:t>
      </w:r>
      <w:r>
        <w:t xml:space="preserve"> ġodda, u tiġi rikonoxxuta l-importanza tal-ħiliet diġitali u l-ħsieb kritiku fir-rigward tal-IA. Il-programmi ta’ taħriġ imħaddma bl-IA jipprovdu perkorsi ta’ tagħlim personalizzati, li jippermettu lill-ħaddiema minn kull sfond itejbu l-ħiliet tagħhom tul il-karriera tagħhom. Dan jgħin biex jitnaqqas id-distakk bejn impjiegi b’ħiliet speċjalizzati u dawk li mhumiex. B’mod ġenerali, in-nies għandhom aċċess ugwali għal opportunitajiet ta’ </w:t>
      </w:r>
      <w:r>
        <w:rPr>
          <w:b/>
          <w:bCs/>
        </w:rPr>
        <w:t>tagħlim tul il-ħajja</w:t>
      </w:r>
      <w:r>
        <w:t>, biex jadattaw għas-suq tax-xogħol li jevolvi. L-IA mhijiex biss żviluppata biex iżżid il-produttività iżda wkoll biex ittejjeb il-kapaċitajiet umani u żżid l-intelliġenza umana.</w:t>
      </w:r>
    </w:p>
    <w:p w14:paraId="14C81683" w14:textId="77777777" w:rsidR="006A56FF" w:rsidRDefault="006A56FF" w:rsidP="00026C2F">
      <w:pPr>
        <w:spacing w:line="276" w:lineRule="auto"/>
        <w:rPr>
          <w:lang w:val="en-GB"/>
        </w:rPr>
      </w:pPr>
    </w:p>
    <w:p w14:paraId="6E80BF72" w14:textId="7DE96197" w:rsidR="00300629" w:rsidRDefault="00444B65" w:rsidP="00026C2F">
      <w:pPr>
        <w:spacing w:line="276" w:lineRule="auto"/>
      </w:pPr>
      <w:r>
        <w:rPr>
          <w:b/>
          <w:bCs/>
        </w:rPr>
        <w:t>Il-privatezza u l-protezzjoni tad-data</w:t>
      </w:r>
      <w:r>
        <w:t xml:space="preserve"> jingħataw prijorità, bis-sistemi tal-IA joperaw b’mod trasparenti u jaderixxu ma’ kodiċijiet etiċi li jipproteġu d-drittijiet fundamentali u d-drittijiet tal-awtur. Ir-regolamenti jipprevjenu l-IA milli tintuża għas-sorveljanza u l-punteġġ għaċ-ċittadini. Jitrawmu postijiet tax-xogħol fejn l-impjegati jħossuhom siguri u b’pożizzjoni msaħħa, u mhux immonitorjati jew ikkontrollati b’mod ħażin.</w:t>
      </w:r>
    </w:p>
    <w:p w14:paraId="4657F8FD" w14:textId="77777777" w:rsidR="006A56FF" w:rsidRDefault="006A56FF" w:rsidP="00026C2F">
      <w:pPr>
        <w:spacing w:line="276" w:lineRule="auto"/>
        <w:rPr>
          <w:lang w:val="en-GB"/>
        </w:rPr>
      </w:pPr>
    </w:p>
    <w:p w14:paraId="20AD23E7" w14:textId="0F136BB7" w:rsidR="004774B7" w:rsidRPr="004774B7" w:rsidRDefault="000E149C" w:rsidP="00026C2F">
      <w:pPr>
        <w:spacing w:line="276" w:lineRule="auto"/>
      </w:pPr>
      <w:r>
        <w:rPr>
          <w:b/>
          <w:bCs/>
        </w:rPr>
        <w:lastRenderedPageBreak/>
        <w:t>Djalogu soċjali b’saħħtu</w:t>
      </w:r>
      <w:r>
        <w:t xml:space="preserve">, ibbażat fuq qafas leġiżlattiv effettiv u gwida espliċita, huwa inkorporat fil-fond fil-proċess tal-implimentazzjoni tal-IA u jseħħ fil-livelli adatti kollha u fl-Istati Membri kollha tal-UE. Isiru sforzi fil-livell nazzjonali biex id-djalogu soċjali jiġi appoġġjat u msaħħaħ. L-IA tappoġġja l-bini tal-kapaċità u t-taħriġ tal-msieħba soċjali. L-impjegaturi, il-ħaddiema, u/jew ir-rappreżentanti tagħhom jinvolvu ruħhom f’konsultazzjonijiet dwar l-introduzzjoni u l-użu tal-IA fuq il-post tax-xogħol. Dan l-involviment, sa mill-bidu tal-proċess, jiżgura li </w:t>
      </w:r>
      <w:r>
        <w:rPr>
          <w:b/>
          <w:bCs/>
        </w:rPr>
        <w:t>l-IA titfassal bl-inputs tal-ħaddiema</w:t>
      </w:r>
      <w:r>
        <w:t>, waqt li jrawwem il-fiduċja u l-kollaborazzjoni. Id-djalogu soċjali jintuża wkoll biex jiġu indirizzati l-isfidi possibbli kkawżati mill-IA, biex jiġu antiċipati d-diskrepanzi fix-xogħol u fil-ħiliet u biex jimtlew il-lakuni regolatorji.</w:t>
      </w:r>
    </w:p>
    <w:sectPr w:rsidR="004774B7" w:rsidRPr="004774B7" w:rsidSect="000253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5DA" w14:textId="77777777" w:rsidR="00904CEB" w:rsidRDefault="00904CEB" w:rsidP="00904CEB">
      <w:pPr>
        <w:spacing w:line="240" w:lineRule="auto"/>
      </w:pPr>
      <w:r>
        <w:separator/>
      </w:r>
    </w:p>
  </w:endnote>
  <w:endnote w:type="continuationSeparator" w:id="0">
    <w:p w14:paraId="1F0088AC" w14:textId="77777777" w:rsidR="00904CEB" w:rsidRDefault="00904CEB" w:rsidP="00904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8E5B" w14:textId="77777777" w:rsidR="00025376" w:rsidRPr="00025376" w:rsidRDefault="00025376" w:rsidP="00025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B818" w14:textId="25BD9056" w:rsidR="00904CEB" w:rsidRPr="00025376" w:rsidRDefault="00025376" w:rsidP="00025376">
    <w:pPr>
      <w:pStyle w:val="Footer"/>
    </w:pPr>
    <w:r>
      <w:t xml:space="preserve">SOC/803 – EESC-2024-01024-01-00-TCD-TRA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26C2F">
      <w:t>1</w:t>
    </w:r>
    <w:r>
      <w:fldChar w:fldCharType="end"/>
    </w:r>
    <w:r>
      <w:t>/</w:t>
    </w:r>
    <w:fldSimple w:instr=" NUMPAGES ">
      <w:r w:rsidR="00026C2F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C93A" w14:textId="77777777" w:rsidR="00025376" w:rsidRPr="00025376" w:rsidRDefault="00025376" w:rsidP="0002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5E0" w14:textId="77777777" w:rsidR="00904CEB" w:rsidRDefault="00904CEB" w:rsidP="00904CEB">
      <w:pPr>
        <w:spacing w:line="240" w:lineRule="auto"/>
      </w:pPr>
      <w:r>
        <w:separator/>
      </w:r>
    </w:p>
  </w:footnote>
  <w:footnote w:type="continuationSeparator" w:id="0">
    <w:p w14:paraId="7FDDC24B" w14:textId="77777777" w:rsidR="00904CEB" w:rsidRDefault="00904CEB" w:rsidP="00904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FA47" w14:textId="77777777" w:rsidR="00025376" w:rsidRPr="00025376" w:rsidRDefault="00025376" w:rsidP="00025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916B" w14:textId="29D4840F" w:rsidR="00025376" w:rsidRPr="00025376" w:rsidRDefault="00025376" w:rsidP="00025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1265" w14:textId="77777777" w:rsidR="00025376" w:rsidRPr="00025376" w:rsidRDefault="00025376" w:rsidP="00025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663856"/>
    <w:multiLevelType w:val="hybridMultilevel"/>
    <w:tmpl w:val="CF28DF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5770"/>
    <w:rsid w:val="00025376"/>
    <w:rsid w:val="00026465"/>
    <w:rsid w:val="00026C2F"/>
    <w:rsid w:val="00042F8F"/>
    <w:rsid w:val="00052EFB"/>
    <w:rsid w:val="00061143"/>
    <w:rsid w:val="000A4F82"/>
    <w:rsid w:val="000E149C"/>
    <w:rsid w:val="00102D18"/>
    <w:rsid w:val="00156E63"/>
    <w:rsid w:val="0017279D"/>
    <w:rsid w:val="001745D3"/>
    <w:rsid w:val="00174F6A"/>
    <w:rsid w:val="002543B4"/>
    <w:rsid w:val="00266F04"/>
    <w:rsid w:val="00271760"/>
    <w:rsid w:val="00275230"/>
    <w:rsid w:val="00300629"/>
    <w:rsid w:val="003138F5"/>
    <w:rsid w:val="00352C2D"/>
    <w:rsid w:val="00386113"/>
    <w:rsid w:val="003B3388"/>
    <w:rsid w:val="003C24BA"/>
    <w:rsid w:val="004254DD"/>
    <w:rsid w:val="00435F03"/>
    <w:rsid w:val="00444B65"/>
    <w:rsid w:val="004672B1"/>
    <w:rsid w:val="004774B7"/>
    <w:rsid w:val="004830F0"/>
    <w:rsid w:val="004C6A3E"/>
    <w:rsid w:val="00516F9E"/>
    <w:rsid w:val="00542683"/>
    <w:rsid w:val="00563AC5"/>
    <w:rsid w:val="00630DAD"/>
    <w:rsid w:val="00655B6F"/>
    <w:rsid w:val="00662A5C"/>
    <w:rsid w:val="00663DCB"/>
    <w:rsid w:val="00674DEA"/>
    <w:rsid w:val="006A56FF"/>
    <w:rsid w:val="006E16DF"/>
    <w:rsid w:val="006F603B"/>
    <w:rsid w:val="00753F49"/>
    <w:rsid w:val="007765AA"/>
    <w:rsid w:val="007C7E9B"/>
    <w:rsid w:val="007E0533"/>
    <w:rsid w:val="007F37FC"/>
    <w:rsid w:val="0090260D"/>
    <w:rsid w:val="00904CEB"/>
    <w:rsid w:val="00910713"/>
    <w:rsid w:val="00937EF6"/>
    <w:rsid w:val="009519D3"/>
    <w:rsid w:val="0095210D"/>
    <w:rsid w:val="00964163"/>
    <w:rsid w:val="009903A6"/>
    <w:rsid w:val="00A0534F"/>
    <w:rsid w:val="00B0683B"/>
    <w:rsid w:val="00BB27F7"/>
    <w:rsid w:val="00BE1409"/>
    <w:rsid w:val="00C563F7"/>
    <w:rsid w:val="00CE353B"/>
    <w:rsid w:val="00CE7B09"/>
    <w:rsid w:val="00D173AE"/>
    <w:rsid w:val="00D44E3A"/>
    <w:rsid w:val="00D84E42"/>
    <w:rsid w:val="00E65139"/>
    <w:rsid w:val="00E923EC"/>
    <w:rsid w:val="00F00B65"/>
    <w:rsid w:val="00F35302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E786"/>
  <w15:chartTrackingRefBased/>
  <w15:docId w15:val="{565440D3-A8FB-4056-A4FC-A114097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774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774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774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774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774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774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774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774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774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4B7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4774B7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4774B7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uiPriority w:val="99"/>
    <w:qFormat/>
    <w:rsid w:val="004774B7"/>
  </w:style>
  <w:style w:type="character" w:customStyle="1" w:styleId="FooterChar">
    <w:name w:val="Footer Char"/>
    <w:basedOn w:val="DefaultParagraphFont"/>
    <w:link w:val="Footer"/>
    <w:uiPriority w:val="99"/>
    <w:rsid w:val="004774B7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basedOn w:val="Normal"/>
    <w:link w:val="FootnoteTextChar"/>
    <w:qFormat/>
    <w:rsid w:val="004774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74B7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qFormat/>
    <w:rsid w:val="004774B7"/>
  </w:style>
  <w:style w:type="character" w:customStyle="1" w:styleId="HeaderChar">
    <w:name w:val="Header Char"/>
    <w:basedOn w:val="DefaultParagraphFont"/>
    <w:link w:val="Header"/>
    <w:rsid w:val="004774B7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4774B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774B7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E651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B65"/>
    <w:rPr>
      <w:rFonts w:ascii="Times New Roman" w:eastAsia="Times New Roman" w:hAnsi="Times New Roman" w:cs="Times New Roman"/>
      <w:sz w:val="20"/>
      <w:szCs w:val="20"/>
      <w:lang w:val="mt-MT"/>
    </w:rPr>
  </w:style>
  <w:style w:type="table" w:styleId="TableGrid">
    <w:name w:val="Table Grid"/>
    <w:basedOn w:val="TableNormal"/>
    <w:uiPriority w:val="39"/>
    <w:rsid w:val="00F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3B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38611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F7M6YNZUATRX-917472228-13166</_dlc_DocId>
    <_dlc_DocIdUrl xmlns="59ace41b-6786-4ce3-be71-52c27066c6ef">
      <Url>http://dm/eesc/2024/_layouts/15/DocIdRedir.aspx?ID=F7M6YNZUATRX-917472228-13166</Url>
      <Description>F7M6YNZUATRX-917472228-13166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2024-11-18T12:00:00+00:00</ProductionDate>
    <DocumentNumber xmlns="14d11ec3-fd82-4994-a217-1a91de9b2d2a">1024</DocumentNumber>
    <FicheYear xmlns="59ace41b-6786-4ce3-be71-52c27066c6ef" xsi:nil="true"/>
    <DossierNumber xmlns="59ace41b-6786-4ce3-be71-52c27066c6ef">803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13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59ace41b-6786-4ce3-be71-52c27066c6ef">SALIS-MADINIER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11314</FicheNumber>
    <OriginalSender xmlns="59ace41b-6786-4ce3-be71-52c27066c6ef">
      <UserInfo>
        <DisplayName>Zammit Camilleri Helen</DisplayName>
        <AccountId>1515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BAF7F-283B-4387-A82A-DAEB4D044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8AB3A-A8FC-44F1-963F-563F23DD5873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3.xml><?xml version="1.0" encoding="utf-8"?>
<ds:datastoreItem xmlns:ds="http://schemas.openxmlformats.org/officeDocument/2006/customXml" ds:itemID="{8F7409AE-E977-4B73-B9EC-85EF3A2F3D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FE5072-16A7-4428-B8CC-E91668D98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Viżjoni ideali tal-IA fid-dinja tax-xogħol u fuq il-post tax-xogħol fl-2035</dc:title>
  <dc:subject>TCD</dc:subject>
  <dc:creator>Perpinan Haro Carmen</dc:creator>
  <cp:keywords>EESC-2024-01024-01-00-TCD-TRA-EN</cp:keywords>
  <dc:description>Rapporteur: SALIS-MADINIER - Original language: EN - Date of document: 18/11/2024 - Date of meeting:  - External documents:  - Administrator: MME DUMITRACHE Ana</dc:description>
  <cp:lastModifiedBy>Vignoli Rina</cp:lastModifiedBy>
  <cp:revision>2</cp:revision>
  <dcterms:created xsi:type="dcterms:W3CDTF">2024-11-27T10:11:00Z</dcterms:created>
  <dcterms:modified xsi:type="dcterms:W3CDTF">2024-11-27T10:11:00Z</dcterms:modified>
  <cp:category>SOC/803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14/11/2024</vt:lpwstr>
  </property>
  <property fmtid="{D5CDD505-2E9C-101B-9397-08002B2CF9AE}" pid="4" name="Pref_Time">
    <vt:lpwstr>09:42:28</vt:lpwstr>
  </property>
  <property fmtid="{D5CDD505-2E9C-101B-9397-08002B2CF9AE}" pid="5" name="Pref_User">
    <vt:lpwstr>amett</vt:lpwstr>
  </property>
  <property fmtid="{D5CDD505-2E9C-101B-9397-08002B2CF9AE}" pid="6" name="Pref_FileName">
    <vt:lpwstr>EESC-2024-01024-01-00-TCD-TRA-EN-CRR.docx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7ae0af9d-69f3-4feb-9441-543a2fb48ca7</vt:lpwstr>
  </property>
  <property fmtid="{D5CDD505-2E9C-101B-9397-08002B2CF9AE}" pid="9" name="AvailableTranslations">
    <vt:lpwstr>24;#ES|e7a6b05b-ae16-40c8-add9-68b64b03aeba;#5;#EN|f2175f21-25d7-44a3-96da-d6a61b075e1b;#32;#HU|6b229040-c589-4408-b4c1-4285663d20a8;#27;#SL|98a412ae-eb01-49e9-ae3d-585a81724cfc;#33;#ET|ff6c3f4c-b02c-4c3c-ab07-2c37995a7a0a;#29;#EL|6d4f4d51-af9b-4650-94b4-4276bee85c91;#23;#MT|7df99101-6854-4a26-b53a-b88c0da02c26;#22;#BG|1a1b3951-7821-4e6a-85f5-5673fc08bd2c;#30;#HR|2f555653-ed1a-4fe6-8362-9082d95989e5;#35;#FI|87606a43-d45f-42d6-b8c9-e1a3457db5b7;#16;#DA|5d49c027-8956-412b-aa16-e85a0f96ad0e;#26;#SK|46d9fce0-ef79-4f71-b89b-cd6aa82426b8;#36;#PT|50ccc04a-eadd-42ae-a0cb-acaf45f812ba;#28;#LV|46f7e311-5d9f-4663-b433-18aeccb7ace7;#17;#PL|1e03da61-4678-4e07-b136-b5024ca9197b;#25;#DE|f6b31e5a-26fa-4935-b661-318e46daf27e;#14;#FR|d2afafd3-4c81-4f60-8f52-ee33f2f54ff3;#21;#SV|c2ed69e7-a339-43d7-8f22-d93680a92aa0;#18;#GA|762d2456-c427-4ecb-b312-af3dad8e258c;#43;#CS|72f9705b-0217-4fd3-bea2-cbc7ed80e26e;#31;#NL|55c6556c-b4f4-441d-9acf-c498d4f838bd;#34;#LT|a7ff5ce7-6123-4f68-865a-a57c31810414;#12;#IT|0774613c-01ed-4e5d-a25d-11d2388de825;#37;#RO|feb747a2-64cd-4299-af12-4833ddc30497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1024</vt:i4>
  </property>
  <property fmtid="{D5CDD505-2E9C-101B-9397-08002B2CF9AE}" pid="14" name="DocumentVersion">
    <vt:i4>0</vt:i4>
  </property>
  <property fmtid="{D5CDD505-2E9C-101B-9397-08002B2CF9AE}" pid="15" name="DossierNumber">
    <vt:i4>803</vt:i4>
  </property>
  <property fmtid="{D5CDD505-2E9C-101B-9397-08002B2CF9AE}" pid="16" name="DocumentStatus">
    <vt:lpwstr>3;#TRA|150d2a88-1431-44e6-a8ca-0bb753ab8672</vt:lpwstr>
  </property>
  <property fmtid="{D5CDD505-2E9C-101B-9397-08002B2CF9AE}" pid="17" name="DossierName">
    <vt:lpwstr>49;#SOC|13795804-ecbd-4ce5-9693-9b8be1981b20</vt:lpwstr>
  </property>
  <property fmtid="{D5CDD505-2E9C-101B-9397-08002B2CF9AE}" pid="18" name="RequestingService">
    <vt:lpwstr>Emploi, affaires sociales, citoyenneté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EN|f2175f21-25d7-44a3-96da-d6a61b075e1b;HU|6b229040-c589-4408-b4c1-4285663d20a8;EL|6d4f4d51-af9b-4650-94b4-4276bee85c91;BG|1a1b3951-7821-4e6a-85f5-5673fc08bd2c;SK|46d9fce0-ef79-4f71-b89b-cd6aa82426b8;PT|50ccc04a-eadd-42ae-a0cb-acaf45f812ba;LV|46f7e311-5d9f-4663-b433-18aeccb7ace7;PL|1e03da61-4678-4e07-b136-b5024ca9197b;DE|f6b31e5a-26fa-4935-b661-318e46daf27e;SV|c2ed69e7-a339-43d7-8f22-d93680a92aa0;GA|762d2456-c427-4ecb-b312-af3dad8e258c;CS|72f9705b-0217-4fd3-bea2-cbc7ed80e26e;IT|0774613c-01ed-4e5d-a25d-11d2388de825;RO|feb747a2-64cd-4299-af12-4833ddc30497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36;#PT|50ccc04a-eadd-42ae-a0cb-acaf45f812ba;#32;#HU|6b229040-c589-4408-b4c1-4285663d20a8;#43;#CS|72f9705b-0217-4fd3-bea2-cbc7ed80e26e;#29;#EL|6d4f4d51-af9b-4650-94b4-4276bee85c91;#28;#LV|46f7e311-5d9f-4663-b433-18aeccb7ace7;#26;#SK|46d9fce0-ef79-4f71-b89b-cd6aa82426b8;#25;#DE|f6b31e5a-26fa-4935-b661-318e46daf27e;#37;#RO|feb747a2-64cd-4299-af12-4833ddc30497;#22;#BG|1a1b3951-7821-4e6a-85f5-5673fc08bd2c;#21;#SV|c2ed69e7-a339-43d7-8f22-d93680a92aa0;#18;#GA|762d2456-c427-4ecb-b312-af3dad8e258c;#17;#PL|1e03da61-4678-4e07-b136-b5024ca9197b;#13;#TCD|cd9d6eb6-3f4f-424a-b2d1-57c9d450eaaf;#49;#SOC|13795804-ecbd-4ce5-9693-9b8be1981b20;#8;#Final|ea5e6674-7b27-4bac-b091-73adbb394efe;#6;#Unrestricted|826e22d7-d029-4ec0-a450-0c28ff673572;#5;#EN|f2175f21-25d7-44a3-96da-d6a61b075e1b;#3;#TRA|150d2a88-1431-44e6-a8ca-0bb753ab8672;#1;#EESC|422833ec-8d7e-4e65-8e4e-8bed07ffb729;#12;#IT|0774613c-01ed-4e5d-a25d-11d2388de825</vt:lpwstr>
  </property>
  <property fmtid="{D5CDD505-2E9C-101B-9397-08002B2CF9AE}" pid="28" name="Rapporteur">
    <vt:lpwstr>SALIS-MADINIER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Year">
    <vt:i4>2024</vt:i4>
  </property>
  <property fmtid="{D5CDD505-2E9C-101B-9397-08002B2CF9AE}" pid="32" name="FicheNumber">
    <vt:i4>11314</vt:i4>
  </property>
  <property fmtid="{D5CDD505-2E9C-101B-9397-08002B2CF9AE}" pid="33" name="DocumentPart">
    <vt:i4>1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13;#TCD|cd9d6eb6-3f4f-424a-b2d1-57c9d450eaaf</vt:lpwstr>
  </property>
  <property fmtid="{D5CDD505-2E9C-101B-9397-08002B2CF9AE}" pid="36" name="DocumentLanguage">
    <vt:lpwstr>23;#MT|7df99101-6854-4a26-b53a-b88c0da02c26</vt:lpwstr>
  </property>
</Properties>
</file>