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9C8F2" w14:textId="63B7973C" w:rsidR="00964163" w:rsidRDefault="00964163" w:rsidP="00964163">
      <w:pPr>
        <w:spacing w:line="276" w:lineRule="auto"/>
        <w:jc w:val="center"/>
        <w:rPr>
          <w:b/>
          <w:bCs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531C286" wp14:editId="31004D79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FAC72" w14:textId="77777777" w:rsidR="00964163" w:rsidRPr="00260E65" w:rsidRDefault="009641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31C28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 o:allowincell="f" filled="f" stroked="f">
                <v:textbox>
                  <w:txbxContent>
                    <w:p w14:paraId="76EFAC72" w14:textId="77777777" w:rsidR="00964163" w:rsidRPr="00260E65" w:rsidRDefault="0096416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HR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D60FDBA" w14:textId="735379DA" w:rsidR="00061143" w:rsidRDefault="00435F03" w:rsidP="00026C2F">
      <w:pPr>
        <w:spacing w:line="276" w:lineRule="auto"/>
        <w:jc w:val="center"/>
        <w:rPr>
          <w:b/>
          <w:bCs/>
        </w:rPr>
      </w:pPr>
      <w:r>
        <w:rPr>
          <w:b/>
        </w:rPr>
        <w:t>SOC/803 – Prognostički sastanak, 26. rujna 2024.</w:t>
      </w:r>
    </w:p>
    <w:p w14:paraId="64BFFFA3" w14:textId="5DCA591D" w:rsidR="00435F03" w:rsidRPr="00CE353B" w:rsidRDefault="00435F03" w:rsidP="00026C2F">
      <w:pPr>
        <w:spacing w:line="276" w:lineRule="auto"/>
        <w:jc w:val="center"/>
        <w:rPr>
          <w:b/>
          <w:bCs/>
        </w:rPr>
      </w:pPr>
      <w:r>
        <w:rPr>
          <w:b/>
        </w:rPr>
        <w:t>Idealna vizija umjetne inteligencije u svijetu rada i na radnim mjestima 2035.</w:t>
      </w:r>
    </w:p>
    <w:p w14:paraId="32B2DD03" w14:textId="4357857A" w:rsidR="007E0533" w:rsidRDefault="007E0533" w:rsidP="00026C2F">
      <w:pPr>
        <w:spacing w:line="276" w:lineRule="auto"/>
        <w:rPr>
          <w:lang w:val="en-GB"/>
        </w:rPr>
      </w:pPr>
    </w:p>
    <w:tbl>
      <w:tblPr>
        <w:tblStyle w:val="TableGrid"/>
        <w:tblW w:w="0" w:type="auto"/>
        <w:jc w:val="center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63"/>
      </w:tblGrid>
      <w:tr w:rsidR="00F00B65" w14:paraId="16FC4E57" w14:textId="77777777" w:rsidTr="00CE7B09">
        <w:trPr>
          <w:jc w:val="center"/>
        </w:trPr>
        <w:tc>
          <w:tcPr>
            <w:tcW w:w="9063" w:type="dxa"/>
          </w:tcPr>
          <w:p w14:paraId="66E269A8" w14:textId="6476A544" w:rsidR="00F00B65" w:rsidRDefault="00F00B65">
            <w:pPr>
              <w:spacing w:line="276" w:lineRule="auto"/>
            </w:pPr>
            <w:r>
              <w:rPr>
                <w:b/>
                <w:bCs/>
              </w:rPr>
              <w:t>Godina je 2035. i umjetna inteligencija je postala pouzdan partner na radnom mjestu,</w:t>
            </w:r>
            <w:r>
              <w:t xml:space="preserve"> koji povećava produktivnost, poboljšava kvalitetu radnih mjesta, smanjuje nejednakosti i potiče suradnju i ljudski nadzor. Regulatornim okvirom EU-a osigurana je etička primjena umjetne inteligencije, a time i budućnost antropocentričnog i tehnološki naprednog rada. Od umjetne inteligencije koristi ima cijelo društvo, a zajednička vizija poslodavaca i radnika osigurava da se umjetna inteligencija razvija za opće dobro.</w:t>
            </w:r>
          </w:p>
        </w:tc>
      </w:tr>
    </w:tbl>
    <w:p w14:paraId="15195F98" w14:textId="77777777" w:rsidR="00F00B65" w:rsidRDefault="00F00B65" w:rsidP="00026C2F">
      <w:pPr>
        <w:spacing w:line="276" w:lineRule="auto"/>
        <w:rPr>
          <w:lang w:val="en-GB"/>
        </w:rPr>
      </w:pPr>
    </w:p>
    <w:p w14:paraId="64F06779" w14:textId="4C0EC1EB" w:rsidR="00052EFB" w:rsidRDefault="00444B65" w:rsidP="00026C2F">
      <w:pPr>
        <w:spacing w:line="276" w:lineRule="auto"/>
      </w:pPr>
      <w:r>
        <w:rPr>
          <w:b/>
          <w:bCs/>
        </w:rPr>
        <w:t xml:space="preserve">Europska unija predvodnica je </w:t>
      </w:r>
      <w:r>
        <w:t xml:space="preserve">u postavljanju standarda za regulaciju umjetne inteligencije, a globalni konkurenti je slijede. </w:t>
      </w:r>
    </w:p>
    <w:p w14:paraId="699E8CE9" w14:textId="77777777" w:rsidR="00516F9E" w:rsidRDefault="00516F9E" w:rsidP="00026C2F">
      <w:pPr>
        <w:spacing w:line="276" w:lineRule="auto"/>
        <w:rPr>
          <w:lang w:val="en-GB"/>
        </w:rPr>
      </w:pPr>
    </w:p>
    <w:p w14:paraId="1FA983EA" w14:textId="4C406AC6" w:rsidR="000E149C" w:rsidRDefault="00052EFB" w:rsidP="00026C2F">
      <w:pPr>
        <w:spacing w:line="276" w:lineRule="auto"/>
      </w:pPr>
      <w:r>
        <w:rPr>
          <w:b/>
        </w:rPr>
        <w:t>Umjetna inteligencija poboljšala je kvalitetu radnih mjesta koja su sada smislena, kvalitetna i razvijaju vještine radnika.</w:t>
      </w:r>
      <w:r>
        <w:t xml:space="preserve"> Ona preuzima repetitivne i fizički zahtjevne zadaće i zaposlenicima omogućuje da se usredotoče na kreativne aspekte svojeg rada. Time povećava produktivnost, poboljšava radne uvjete i ravnotežu između poslovnog i privatnog života i jača zadovoljstvo poslom jer se smatra pouzdanim suradnikom koji radnike ne zamjenjuje već ih podupire. </w:t>
      </w:r>
    </w:p>
    <w:p w14:paraId="3DA1D7FA" w14:textId="04E75A48" w:rsidR="00435F03" w:rsidRDefault="00435F03" w:rsidP="00026C2F">
      <w:pPr>
        <w:spacing w:line="276" w:lineRule="auto"/>
        <w:rPr>
          <w:lang w:val="en-GB"/>
        </w:rPr>
      </w:pPr>
    </w:p>
    <w:p w14:paraId="7E56C8DD" w14:textId="4A473839" w:rsidR="00444B65" w:rsidRDefault="00444B65" w:rsidP="00026C2F">
      <w:pPr>
        <w:spacing w:line="276" w:lineRule="auto"/>
      </w:pPr>
      <w:r>
        <w:t xml:space="preserve">Ključno je da je u središtu donošenja odluka i dalje </w:t>
      </w:r>
      <w:r>
        <w:rPr>
          <w:b/>
          <w:bCs/>
        </w:rPr>
        <w:t>ljudski nadzor</w:t>
      </w:r>
      <w:r>
        <w:t>, pa važne odluke donose ljudi. Neke se granice ne prelaze: odluke koje u velikoj mjeri utječu na živote ljudi (npr. otkazi, stegovne mjere) donose ljudi.</w:t>
      </w:r>
    </w:p>
    <w:p w14:paraId="7633336D" w14:textId="2548D9E1" w:rsidR="00300629" w:rsidRDefault="00300629" w:rsidP="00026C2F">
      <w:pPr>
        <w:spacing w:line="276" w:lineRule="auto"/>
        <w:rPr>
          <w:lang w:val="en-GB"/>
        </w:rPr>
      </w:pPr>
    </w:p>
    <w:p w14:paraId="52314D80" w14:textId="2E334662" w:rsidR="00C563F7" w:rsidRDefault="00444B65" w:rsidP="00026C2F">
      <w:pPr>
        <w:spacing w:line="276" w:lineRule="auto"/>
      </w:pPr>
      <w:r>
        <w:t xml:space="preserve">Umjetna inteligencija ključna je i za promicanje </w:t>
      </w:r>
      <w:r>
        <w:rPr>
          <w:b/>
          <w:bCs/>
        </w:rPr>
        <w:t>jednakih mogućnosti i smanjenje razlika</w:t>
      </w:r>
      <w:r>
        <w:t xml:space="preserve">, smanjenje digitalnog jaza i osnaživanje pojedinaca, a pogotovo podupire </w:t>
      </w:r>
      <w:r>
        <w:rPr>
          <w:b/>
          <w:bCs/>
        </w:rPr>
        <w:t>ravnopravnost žena i muškaraca</w:t>
      </w:r>
      <w:r>
        <w:t xml:space="preserve">. Žene imaju dobra radna mjesta. Kad se zadaće koje uglavnom obavljaju žene (npr. administrativne zadaće) automatiziraju, na odgovarajućoj se razini uvode mjere omogućavanja i osnaživanja kako bi se suzbile posljedice na zapošljavanje i osigurala prekvalifikacija. </w:t>
      </w:r>
    </w:p>
    <w:p w14:paraId="3FB4D956" w14:textId="03DF6424" w:rsidR="00C563F7" w:rsidRDefault="00C563F7" w:rsidP="00026C2F">
      <w:pPr>
        <w:spacing w:line="276" w:lineRule="auto"/>
        <w:rPr>
          <w:lang w:val="en-GB"/>
        </w:rPr>
      </w:pPr>
    </w:p>
    <w:p w14:paraId="4145C6D4" w14:textId="413A403A" w:rsidR="006A56FF" w:rsidRDefault="00516F9E" w:rsidP="00026C2F">
      <w:pPr>
        <w:spacing w:line="276" w:lineRule="auto"/>
      </w:pPr>
      <w:r>
        <w:t xml:space="preserve">Umjetna inteligencija omogućuje radnicima i poduzećima da se usredotoče na razvoj novih </w:t>
      </w:r>
      <w:r>
        <w:rPr>
          <w:b/>
          <w:bCs/>
        </w:rPr>
        <w:t>vještina</w:t>
      </w:r>
      <w:r>
        <w:t xml:space="preserve">, a prepoznata je važnost digitalnih vještina i kritičkog razmišljanja o umjetnoj inteligenciji. Programi osposobljavanja temeljeni na umjetnoj inteligenciji omogućavaju individualizirane načine učenja i tako radnicima iz svih sredina omogućuju da tijekom cijele karijere unapređuju svoje vještine, čime pomažu da se premosti jaz između kvalificiranih i nekvalificiranih radnih mjesta. Općenito, ljudi imaju jednak pristup mogućnostima </w:t>
      </w:r>
      <w:r>
        <w:rPr>
          <w:b/>
          <w:bCs/>
        </w:rPr>
        <w:t>cjeloživotnog učenja</w:t>
      </w:r>
      <w:r>
        <w:t xml:space="preserve"> da bi se mogli prilagoditi promjenjivom tržištu rada. Umjetna inteligencija ne razvija se samo radi povećanja produktivnosti, već i poboljšanja ljudskih sposobnosti i povećanja ljudske inteligencije.</w:t>
      </w:r>
    </w:p>
    <w:p w14:paraId="14C81683" w14:textId="77777777" w:rsidR="006A56FF" w:rsidRDefault="006A56FF" w:rsidP="00026C2F">
      <w:pPr>
        <w:spacing w:line="276" w:lineRule="auto"/>
        <w:rPr>
          <w:lang w:val="en-GB"/>
        </w:rPr>
      </w:pPr>
    </w:p>
    <w:p w14:paraId="6E80BF72" w14:textId="7DE96197" w:rsidR="00300629" w:rsidRDefault="00444B65" w:rsidP="00026C2F">
      <w:pPr>
        <w:spacing w:line="276" w:lineRule="auto"/>
      </w:pPr>
      <w:r>
        <w:t xml:space="preserve">Prednost se daje </w:t>
      </w:r>
      <w:r>
        <w:rPr>
          <w:b/>
          <w:bCs/>
        </w:rPr>
        <w:t>zaštiti privatnosti i podataka</w:t>
      </w:r>
      <w:r>
        <w:t>, pri čemu sustavi umjetne inteligencije funkcioniraju transparentno i poštuju etičke kodekse kojima se štite temeljna prava i autorska prava. Propisi sprečavaju upotrebu umjetne inteligencije za nadzor i društveno vrednovanje. Potiču se radna mjesta na kojima se zaposlenici osjećaju sigurnima i osnaženima i na kojima ih se ne nadzire ili kontrolira na neprimjeren način.</w:t>
      </w:r>
    </w:p>
    <w:p w14:paraId="4657F8FD" w14:textId="77777777" w:rsidR="006A56FF" w:rsidRDefault="006A56FF" w:rsidP="00026C2F">
      <w:pPr>
        <w:spacing w:line="276" w:lineRule="auto"/>
        <w:rPr>
          <w:lang w:val="en-GB"/>
        </w:rPr>
      </w:pPr>
    </w:p>
    <w:p w14:paraId="20AD23E7" w14:textId="0F136BB7" w:rsidR="004774B7" w:rsidRPr="004774B7" w:rsidRDefault="000E149C" w:rsidP="00026C2F">
      <w:pPr>
        <w:spacing w:line="276" w:lineRule="auto"/>
      </w:pPr>
      <w:r>
        <w:rPr>
          <w:b/>
          <w:bCs/>
        </w:rPr>
        <w:t>Snažan socijalni dijalog</w:t>
      </w:r>
      <w:r>
        <w:t xml:space="preserve"> temeljen na učinkovitom zakonodavnom okviru i izričitim smjernicama, duboko je ugrađen u postupak provedbe umjetne inteligencije i odvija se na svim odgovarajućim </w:t>
      </w:r>
      <w:r>
        <w:lastRenderedPageBreak/>
        <w:t xml:space="preserve">razinama i u svim državama članicama EU-a. Na nacionalnoj razini radi se na podupiranju i jačanju socijalnog dijaloga. Umjetna inteligencija podupire izgradnju kapaciteta i osposobljavanje socijalnih partnera. Poslodavci, radnici i njihovi predstavnici sudjeluju u savjetovanjima o uvođenju i upotrebi umjetne inteligencije na radnom mjestu, što od samog početka postupka osigurava da </w:t>
      </w:r>
      <w:r>
        <w:rPr>
          <w:b/>
          <w:bCs/>
        </w:rPr>
        <w:t>u osmišljavanju umjetne inteligencije sudjeluju i radnici</w:t>
      </w:r>
      <w:r>
        <w:t>, čime se potiče povjerenje i suradnja. Socijalni dijalog upotrebljava se i za rješavanje potencijalnih izazova uzrokovanih umjetnom inteligencijom, predviđanje nedostatka radne snage i vještina i popunjavanje regulatornih praznina.</w:t>
      </w:r>
    </w:p>
    <w:sectPr w:rsidR="004774B7" w:rsidRPr="004774B7" w:rsidSect="00025376">
      <w:footerReference w:type="default" r:id="rId11"/>
      <w:pgSz w:w="11907" w:h="1683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8F5DA" w14:textId="77777777" w:rsidR="00904CEB" w:rsidRDefault="00904CEB" w:rsidP="00904CEB">
      <w:pPr>
        <w:spacing w:line="240" w:lineRule="auto"/>
      </w:pPr>
      <w:r>
        <w:separator/>
      </w:r>
    </w:p>
  </w:endnote>
  <w:endnote w:type="continuationSeparator" w:id="0">
    <w:p w14:paraId="1F0088AC" w14:textId="77777777" w:rsidR="00904CEB" w:rsidRDefault="00904CEB" w:rsidP="00904C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BB818" w14:textId="25BD9056" w:rsidR="00904CEB" w:rsidRPr="00025376" w:rsidRDefault="00025376" w:rsidP="00025376">
    <w:pPr>
      <w:pStyle w:val="Footer"/>
    </w:pPr>
    <w:r>
      <w:t xml:space="preserve">SOC/803 – EESC-2024-01024-01-00-TCD-TRA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026C2F">
      <w:t>1</w:t>
    </w:r>
    <w:r>
      <w:fldChar w:fldCharType="end"/>
    </w:r>
    <w:r>
      <w:t>/</w:t>
    </w:r>
    <w:fldSimple w:instr=" NUMPAGES ">
      <w:r w:rsidR="00026C2F"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EC5E0" w14:textId="77777777" w:rsidR="00904CEB" w:rsidRDefault="00904CEB" w:rsidP="00904CEB">
      <w:pPr>
        <w:spacing w:line="240" w:lineRule="auto"/>
      </w:pPr>
      <w:r>
        <w:separator/>
      </w:r>
    </w:p>
  </w:footnote>
  <w:footnote w:type="continuationSeparator" w:id="0">
    <w:p w14:paraId="7FDDC24B" w14:textId="77777777" w:rsidR="00904CEB" w:rsidRDefault="00904CEB" w:rsidP="00904C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8663856"/>
    <w:multiLevelType w:val="hybridMultilevel"/>
    <w:tmpl w:val="CF28DFD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B7"/>
    <w:rsid w:val="00005770"/>
    <w:rsid w:val="00025376"/>
    <w:rsid w:val="00026465"/>
    <w:rsid w:val="00026C2F"/>
    <w:rsid w:val="00042F8F"/>
    <w:rsid w:val="00052EFB"/>
    <w:rsid w:val="00061143"/>
    <w:rsid w:val="000A4F82"/>
    <w:rsid w:val="000E149C"/>
    <w:rsid w:val="00102D18"/>
    <w:rsid w:val="00122BB2"/>
    <w:rsid w:val="001745D3"/>
    <w:rsid w:val="00174F6A"/>
    <w:rsid w:val="002543B4"/>
    <w:rsid w:val="00266F04"/>
    <w:rsid w:val="00271760"/>
    <w:rsid w:val="00275230"/>
    <w:rsid w:val="00300629"/>
    <w:rsid w:val="003138F5"/>
    <w:rsid w:val="00352C2D"/>
    <w:rsid w:val="00386113"/>
    <w:rsid w:val="003B3388"/>
    <w:rsid w:val="004254DD"/>
    <w:rsid w:val="00435F03"/>
    <w:rsid w:val="00444B65"/>
    <w:rsid w:val="004672B1"/>
    <w:rsid w:val="004774B7"/>
    <w:rsid w:val="004830F0"/>
    <w:rsid w:val="004C6A3E"/>
    <w:rsid w:val="00516F9E"/>
    <w:rsid w:val="00542683"/>
    <w:rsid w:val="00563AC5"/>
    <w:rsid w:val="00655B6F"/>
    <w:rsid w:val="00662A5C"/>
    <w:rsid w:val="00663DCB"/>
    <w:rsid w:val="00674DEA"/>
    <w:rsid w:val="006A56FF"/>
    <w:rsid w:val="006E16DF"/>
    <w:rsid w:val="006F603B"/>
    <w:rsid w:val="00753F49"/>
    <w:rsid w:val="007765AA"/>
    <w:rsid w:val="007C7E9B"/>
    <w:rsid w:val="007E0533"/>
    <w:rsid w:val="007F37FC"/>
    <w:rsid w:val="0090260D"/>
    <w:rsid w:val="00904CEB"/>
    <w:rsid w:val="00910713"/>
    <w:rsid w:val="00937EF6"/>
    <w:rsid w:val="0095210D"/>
    <w:rsid w:val="00964163"/>
    <w:rsid w:val="009903A6"/>
    <w:rsid w:val="00995C75"/>
    <w:rsid w:val="00A0534F"/>
    <w:rsid w:val="00A84AB3"/>
    <w:rsid w:val="00A8552F"/>
    <w:rsid w:val="00B0683B"/>
    <w:rsid w:val="00BB27F7"/>
    <w:rsid w:val="00BE1409"/>
    <w:rsid w:val="00C563F7"/>
    <w:rsid w:val="00C8717E"/>
    <w:rsid w:val="00CD5ECE"/>
    <w:rsid w:val="00CE353B"/>
    <w:rsid w:val="00CE7B09"/>
    <w:rsid w:val="00D44E3A"/>
    <w:rsid w:val="00D84E42"/>
    <w:rsid w:val="00E0744E"/>
    <w:rsid w:val="00E65139"/>
    <w:rsid w:val="00E923EC"/>
    <w:rsid w:val="00F00B65"/>
    <w:rsid w:val="00F35302"/>
    <w:rsid w:val="00FC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8E786"/>
  <w15:chartTrackingRefBased/>
  <w15:docId w15:val="{565440D3-A8FB-4056-A4FC-A1140978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4B7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4774B7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4774B7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4774B7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4774B7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4774B7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774B7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4774B7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4774B7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4774B7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74B7"/>
    <w:rPr>
      <w:rFonts w:ascii="Times New Roman" w:eastAsia="Times New Roman" w:hAnsi="Times New Roman" w:cs="Times New Roman"/>
      <w:kern w:val="28"/>
      <w:lang w:val="hr-HR"/>
    </w:rPr>
  </w:style>
  <w:style w:type="character" w:customStyle="1" w:styleId="Heading2Char">
    <w:name w:val="Heading 2 Char"/>
    <w:basedOn w:val="DefaultParagraphFont"/>
    <w:link w:val="Heading2"/>
    <w:rsid w:val="004774B7"/>
    <w:rPr>
      <w:rFonts w:ascii="Times New Roman" w:eastAsia="Times New Roman" w:hAnsi="Times New Roman" w:cs="Times New Roman"/>
      <w:lang w:val="hr-HR"/>
    </w:rPr>
  </w:style>
  <w:style w:type="character" w:customStyle="1" w:styleId="Heading3Char">
    <w:name w:val="Heading 3 Char"/>
    <w:basedOn w:val="DefaultParagraphFont"/>
    <w:link w:val="Heading3"/>
    <w:rsid w:val="004774B7"/>
    <w:rPr>
      <w:rFonts w:ascii="Times New Roman" w:eastAsia="Times New Roman" w:hAnsi="Times New Roman" w:cs="Times New Roman"/>
      <w:lang w:val="hr-HR"/>
    </w:rPr>
  </w:style>
  <w:style w:type="character" w:customStyle="1" w:styleId="Heading4Char">
    <w:name w:val="Heading 4 Char"/>
    <w:basedOn w:val="DefaultParagraphFont"/>
    <w:link w:val="Heading4"/>
    <w:rsid w:val="004774B7"/>
    <w:rPr>
      <w:rFonts w:ascii="Times New Roman" w:eastAsia="Times New Roman" w:hAnsi="Times New Roman" w:cs="Times New Roman"/>
      <w:lang w:val="hr-HR"/>
    </w:rPr>
  </w:style>
  <w:style w:type="character" w:customStyle="1" w:styleId="Heading5Char">
    <w:name w:val="Heading 5 Char"/>
    <w:basedOn w:val="DefaultParagraphFont"/>
    <w:link w:val="Heading5"/>
    <w:rsid w:val="004774B7"/>
    <w:rPr>
      <w:rFonts w:ascii="Times New Roman" w:eastAsia="Times New Roman" w:hAnsi="Times New Roman" w:cs="Times New Roman"/>
      <w:lang w:val="hr-HR"/>
    </w:rPr>
  </w:style>
  <w:style w:type="character" w:customStyle="1" w:styleId="Heading6Char">
    <w:name w:val="Heading 6 Char"/>
    <w:basedOn w:val="DefaultParagraphFont"/>
    <w:link w:val="Heading6"/>
    <w:rsid w:val="004774B7"/>
    <w:rPr>
      <w:rFonts w:ascii="Times New Roman" w:eastAsia="Times New Roman" w:hAnsi="Times New Roman" w:cs="Times New Roman"/>
      <w:lang w:val="hr-HR"/>
    </w:rPr>
  </w:style>
  <w:style w:type="character" w:customStyle="1" w:styleId="Heading7Char">
    <w:name w:val="Heading 7 Char"/>
    <w:basedOn w:val="DefaultParagraphFont"/>
    <w:link w:val="Heading7"/>
    <w:rsid w:val="004774B7"/>
    <w:rPr>
      <w:rFonts w:ascii="Times New Roman" w:eastAsia="Times New Roman" w:hAnsi="Times New Roman" w:cs="Times New Roman"/>
      <w:lang w:val="hr-HR"/>
    </w:rPr>
  </w:style>
  <w:style w:type="character" w:customStyle="1" w:styleId="Heading8Char">
    <w:name w:val="Heading 8 Char"/>
    <w:basedOn w:val="DefaultParagraphFont"/>
    <w:link w:val="Heading8"/>
    <w:rsid w:val="004774B7"/>
    <w:rPr>
      <w:rFonts w:ascii="Times New Roman" w:eastAsia="Times New Roman" w:hAnsi="Times New Roman" w:cs="Times New Roman"/>
      <w:lang w:val="hr-HR"/>
    </w:rPr>
  </w:style>
  <w:style w:type="character" w:customStyle="1" w:styleId="Heading9Char">
    <w:name w:val="Heading 9 Char"/>
    <w:basedOn w:val="DefaultParagraphFont"/>
    <w:link w:val="Heading9"/>
    <w:rsid w:val="004774B7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qFormat/>
    <w:rsid w:val="004774B7"/>
  </w:style>
  <w:style w:type="character" w:customStyle="1" w:styleId="FooterChar">
    <w:name w:val="Footer Char"/>
    <w:basedOn w:val="DefaultParagraphFont"/>
    <w:link w:val="Footer"/>
    <w:uiPriority w:val="99"/>
    <w:rsid w:val="004774B7"/>
    <w:rPr>
      <w:rFonts w:ascii="Times New Roman" w:eastAsia="Times New Roman" w:hAnsi="Times New Roman" w:cs="Times New Roman"/>
      <w:lang w:val="hr-HR"/>
    </w:rPr>
  </w:style>
  <w:style w:type="paragraph" w:styleId="FootnoteText">
    <w:name w:val="footnote text"/>
    <w:basedOn w:val="Normal"/>
    <w:link w:val="FootnoteTextChar"/>
    <w:qFormat/>
    <w:rsid w:val="004774B7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774B7"/>
    <w:rPr>
      <w:rFonts w:ascii="Times New Roman" w:eastAsia="Times New Roman" w:hAnsi="Times New Roman" w:cs="Times New Roman"/>
      <w:sz w:val="16"/>
      <w:lang w:val="hr-HR"/>
    </w:rPr>
  </w:style>
  <w:style w:type="paragraph" w:styleId="Header">
    <w:name w:val="header"/>
    <w:basedOn w:val="Normal"/>
    <w:link w:val="HeaderChar"/>
    <w:qFormat/>
    <w:rsid w:val="004774B7"/>
  </w:style>
  <w:style w:type="character" w:customStyle="1" w:styleId="HeaderChar">
    <w:name w:val="Header Char"/>
    <w:basedOn w:val="DefaultParagraphFont"/>
    <w:link w:val="Header"/>
    <w:rsid w:val="004774B7"/>
    <w:rPr>
      <w:rFonts w:ascii="Times New Roman" w:eastAsia="Times New Roman" w:hAnsi="Times New Roman" w:cs="Times New Roman"/>
      <w:lang w:val="hr-HR"/>
    </w:rPr>
  </w:style>
  <w:style w:type="paragraph" w:customStyle="1" w:styleId="quotes">
    <w:name w:val="quotes"/>
    <w:basedOn w:val="Normal"/>
    <w:next w:val="Normal"/>
    <w:rsid w:val="004774B7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4774B7"/>
    <w:rPr>
      <w:sz w:val="24"/>
      <w:vertAlign w:val="superscript"/>
    </w:rPr>
  </w:style>
  <w:style w:type="paragraph" w:styleId="ListParagraph">
    <w:name w:val="List Paragraph"/>
    <w:basedOn w:val="Normal"/>
    <w:uiPriority w:val="34"/>
    <w:qFormat/>
    <w:rsid w:val="00E651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B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0B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0B65"/>
    <w:rPr>
      <w:rFonts w:ascii="Times New Roman" w:eastAsia="Times New Roman" w:hAnsi="Times New Roman" w:cs="Times New Roman"/>
      <w:sz w:val="20"/>
      <w:szCs w:val="20"/>
      <w:lang w:val="hr-HR"/>
    </w:rPr>
  </w:style>
  <w:style w:type="table" w:styleId="TableGrid">
    <w:name w:val="Table Grid"/>
    <w:basedOn w:val="TableNormal"/>
    <w:uiPriority w:val="39"/>
    <w:rsid w:val="00F0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8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83B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paragraph" w:styleId="Revision">
    <w:name w:val="Revision"/>
    <w:hidden/>
    <w:uiPriority w:val="99"/>
    <w:semiHidden/>
    <w:rsid w:val="00386113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C3F19A95DDE2574C950D6652ED703BFE" ma:contentTypeVersion="4" ma:contentTypeDescription="Defines the documents for Document Manager V2" ma:contentTypeScope="" ma:versionID="aa4a52a6a5593ecd1041875929ead8f4">
  <xsd:schema xmlns:xsd="http://www.w3.org/2001/XMLSchema" xmlns:xs="http://www.w3.org/2001/XMLSchema" xmlns:p="http://schemas.microsoft.com/office/2006/metadata/properties" xmlns:ns2="59ace41b-6786-4ce3-be71-52c27066c6ef" xmlns:ns3="http://schemas.microsoft.com/sharepoint/v3/fields" xmlns:ns4="14d11ec3-fd82-4994-a217-1a91de9b2d2a" targetNamespace="http://schemas.microsoft.com/office/2006/metadata/properties" ma:root="true" ma:fieldsID="0d1ccbad9410dd1ff387d7952c9a9f44" ns2:_="" ns3:_="" ns4:_="">
    <xsd:import namespace="59ace41b-6786-4ce3-be71-52c27066c6ef"/>
    <xsd:import namespace="http://schemas.microsoft.com/sharepoint/v3/fields"/>
    <xsd:import namespace="14d11ec3-fd82-4994-a217-1a91de9b2d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e41b-6786-4ce3-be71-52c27066c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2fb5ba9-5e53-4066-9f9c-cd35b339bd62}" ma:internalName="TaxCatchAll" ma:showField="CatchAllData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2fb5ba9-5e53-4066-9f9c-cd35b339bd62}" ma:internalName="TaxCatchAllLabel" ma:readOnly="true" ma:showField="CatchAllDataLabel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11ec3-fd82-4994-a217-1a91de9b2d2a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ace41b-6786-4ce3-be71-52c27066c6ef">F7M6YNZUATRX-917472228-13188</_dlc_DocId>
    <_dlc_DocIdUrl xmlns="59ace41b-6786-4ce3-be71-52c27066c6ef">
      <Url>http://dm/eesc/2024/_layouts/15/DocIdRedir.aspx?ID=F7M6YNZUATRX-917472228-13188</Url>
      <Description>F7M6YNZUATRX-917472228-13188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TCD</TermName>
          <TermId xmlns="http://schemas.microsoft.com/office/infopath/2007/PartnerControls">cd9d6eb6-3f4f-424a-b2d1-57c9d450eaaf</TermId>
        </TermInfo>
      </Terms>
    </DocumentType_0>
    <Procedure xmlns="59ace41b-6786-4ce3-be71-52c27066c6ef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9ace41b-6786-4ce3-be71-52c27066c6ef">2024-11-18T12:00:00+00:00</ProductionDate>
    <DocumentNumber xmlns="14d11ec3-fd82-4994-a217-1a91de9b2d2a">1024</DocumentNumber>
    <FicheYear xmlns="59ace41b-6786-4ce3-be71-52c27066c6ef" xsi:nil="true"/>
    <DossierNumber xmlns="59ace41b-6786-4ce3-be71-52c27066c6ef">803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59ace41b-6786-4ce3-be71-52c27066c6ef" xsi:nil="true"/>
    <TaxCatchAll xmlns="59ace41b-6786-4ce3-be71-52c27066c6ef">
      <Value>49</Value>
      <Value>43</Value>
      <Value>37</Value>
      <Value>36</Value>
      <Value>35</Value>
      <Value>34</Value>
      <Value>33</Value>
      <Value>32</Value>
      <Value>31</Value>
      <Value>30</Value>
      <Value>29</Value>
      <Value>28</Value>
      <Value>27</Value>
      <Value>26</Value>
      <Value>25</Value>
      <Value>24</Value>
      <Value>23</Value>
      <Value>22</Value>
      <Value>21</Value>
      <Value>18</Value>
      <Value>17</Value>
      <Value>16</Value>
      <Value>14</Value>
      <Value>13</Value>
      <Value>12</Value>
      <Value>8</Value>
      <Value>6</Value>
      <Value>5</Value>
      <Value>3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</Terms>
    </DocumentLanguage_0>
    <Rapporteur xmlns="59ace41b-6786-4ce3-be71-52c27066c6ef">SALIS-MADINIER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59ace41b-6786-4ce3-be71-52c27066c6ef">2024</DocumentYear>
    <FicheNumber xmlns="59ace41b-6786-4ce3-be71-52c27066c6ef">11314</FicheNumber>
    <OriginalSender xmlns="59ace41b-6786-4ce3-be71-52c27066c6ef">
      <UserInfo>
        <DisplayName>Vecko Stanko</DisplayName>
        <AccountId>1549</AccountId>
        <AccountType/>
      </UserInfo>
    </OriginalSender>
    <DocumentPart xmlns="59ace41b-6786-4ce3-be71-52c27066c6ef">1</DocumentPart>
    <AdoptionDate xmlns="59ace41b-6786-4ce3-be71-52c27066c6ef" xsi:nil="true"/>
    <RequestingService xmlns="59ace41b-6786-4ce3-be71-52c27066c6ef">Emploi, affaires sociales, citoyenneté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14d11ec3-fd82-4994-a217-1a91de9b2d2a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SOC</TermName>
          <TermId xmlns="http://schemas.microsoft.com/office/infopath/2007/PartnerControls">13795804-ecbd-4ce5-9693-9b8be1981b20</TermId>
        </TermInfo>
      </Terms>
    </DossierName_0>
    <DocumentVersion xmlns="59ace41b-6786-4ce3-be71-52c27066c6ef">0</DocumentVersion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C51BA78-6ADB-4552-B036-6CBF4B4657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A936FE-0BD3-492F-A0FB-457310618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ce41b-6786-4ce3-be71-52c27066c6ef"/>
    <ds:schemaRef ds:uri="http://schemas.microsoft.com/sharepoint/v3/fields"/>
    <ds:schemaRef ds:uri="14d11ec3-fd82-4994-a217-1a91de9b2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5C54BE-7A29-4E8A-A0C7-0FA8CDB66A28}">
  <ds:schemaRefs>
    <ds:schemaRef ds:uri="http://schemas.microsoft.com/office/2006/metadata/properties"/>
    <ds:schemaRef ds:uri="http://schemas.microsoft.com/office/infopath/2007/PartnerControls"/>
    <ds:schemaRef ds:uri="59ace41b-6786-4ce3-be71-52c27066c6ef"/>
    <ds:schemaRef ds:uri="http://schemas.microsoft.com/sharepoint/v3/fields"/>
    <ds:schemaRef ds:uri="14d11ec3-fd82-4994-a217-1a91de9b2d2a"/>
  </ds:schemaRefs>
</ds:datastoreItem>
</file>

<file path=customXml/itemProps4.xml><?xml version="1.0" encoding="utf-8"?>
<ds:datastoreItem xmlns:ds="http://schemas.openxmlformats.org/officeDocument/2006/customXml" ds:itemID="{1209D283-14F3-493E-9B1F-F2E06DE5155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3344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CESE-CdR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Idealna vizija umjetne inteligencije u svijetu rada i na radnim mjestima 2035.</dc:title>
  <dc:subject>TCD</dc:subject>
  <dc:creator>Perpinan Haro Carmen</dc:creator>
  <cp:keywords>EESC-2024-01024-01-00-TCD-TRA-EN</cp:keywords>
  <dc:description>Rapporteur: SALIS-MADINIER - Original language: EN - Date of document: 18/11/2024 - Date of meeting:  - External documents:  - Administrator: MME DUMITRACHE Ana</dc:description>
  <cp:lastModifiedBy>Vignoli Rina</cp:lastModifiedBy>
  <cp:revision>2</cp:revision>
  <dcterms:created xsi:type="dcterms:W3CDTF">2024-11-27T10:08:00Z</dcterms:created>
  <dcterms:modified xsi:type="dcterms:W3CDTF">2024-11-27T10:08:00Z</dcterms:modified>
  <cp:category>SOC/803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14/11/2024</vt:lpwstr>
  </property>
  <property fmtid="{D5CDD505-2E9C-101B-9397-08002B2CF9AE}" pid="4" name="Pref_Time">
    <vt:lpwstr>09:42:28</vt:lpwstr>
  </property>
  <property fmtid="{D5CDD505-2E9C-101B-9397-08002B2CF9AE}" pid="5" name="Pref_User">
    <vt:lpwstr>amett</vt:lpwstr>
  </property>
  <property fmtid="{D5CDD505-2E9C-101B-9397-08002B2CF9AE}" pid="6" name="Pref_FileName">
    <vt:lpwstr>EESC-2024-01024-01-00-TCD-TRA-EN-CRR.docx</vt:lpwstr>
  </property>
  <property fmtid="{D5CDD505-2E9C-101B-9397-08002B2CF9AE}" pid="7" name="ContentTypeId">
    <vt:lpwstr>0x010100EA97B91038054C99906057A708A1480A00C3F19A95DDE2574C950D6652ED703BFE</vt:lpwstr>
  </property>
  <property fmtid="{D5CDD505-2E9C-101B-9397-08002B2CF9AE}" pid="8" name="_dlc_DocIdItemGuid">
    <vt:lpwstr>65b50ae9-93da-40db-906a-5b539a4cdbc6</vt:lpwstr>
  </property>
  <property fmtid="{D5CDD505-2E9C-101B-9397-08002B2CF9AE}" pid="9" name="AvailableTranslations">
    <vt:lpwstr>24;#ES|e7a6b05b-ae16-40c8-add9-68b64b03aeba;#5;#EN|f2175f21-25d7-44a3-96da-d6a61b075e1b;#32;#HU|6b229040-c589-4408-b4c1-4285663d20a8;#27;#SL|98a412ae-eb01-49e9-ae3d-585a81724cfc;#33;#ET|ff6c3f4c-b02c-4c3c-ab07-2c37995a7a0a;#29;#EL|6d4f4d51-af9b-4650-94b4-4276bee85c91;#23;#MT|7df99101-6854-4a26-b53a-b88c0da02c26;#22;#BG|1a1b3951-7821-4e6a-85f5-5673fc08bd2c;#30;#HR|2f555653-ed1a-4fe6-8362-9082d95989e5;#35;#FI|87606a43-d45f-42d6-b8c9-e1a3457db5b7;#16;#DA|5d49c027-8956-412b-aa16-e85a0f96ad0e;#26;#SK|46d9fce0-ef79-4f71-b89b-cd6aa82426b8;#36;#PT|50ccc04a-eadd-42ae-a0cb-acaf45f812ba;#28;#LV|46f7e311-5d9f-4663-b433-18aeccb7ace7;#17;#PL|1e03da61-4678-4e07-b136-b5024ca9197b;#25;#DE|f6b31e5a-26fa-4935-b661-318e46daf27e;#14;#FR|d2afafd3-4c81-4f60-8f52-ee33f2f54ff3;#21;#SV|c2ed69e7-a339-43d7-8f22-d93680a92aa0;#18;#GA|762d2456-c427-4ecb-b312-af3dad8e258c;#43;#CS|72f9705b-0217-4fd3-bea2-cbc7ed80e26e;#31;#NL|55c6556c-b4f4-441d-9acf-c498d4f838bd;#34;#LT|a7ff5ce7-6123-4f68-865a-a57c31810414;#12;#IT|0774613c-01ed-4e5d-a25d-11d2388de825;#37;#RO|feb747a2-64cd-4299-af12-4833ddc30497</vt:lpwstr>
  </property>
  <property fmtid="{D5CDD505-2E9C-101B-9397-08002B2CF9AE}" pid="10" name="DocumentType_0">
    <vt:lpwstr>TCD|cd9d6eb6-3f4f-424a-b2d1-57c9d450eaaf</vt:lpwstr>
  </property>
  <property fmtid="{D5CDD505-2E9C-101B-9397-08002B2CF9AE}" pid="11" name="DossierName_0">
    <vt:lpwstr>SOC|13795804-ecbd-4ce5-9693-9b8be1981b20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1024</vt:i4>
  </property>
  <property fmtid="{D5CDD505-2E9C-101B-9397-08002B2CF9AE}" pid="14" name="DocumentVersion">
    <vt:i4>0</vt:i4>
  </property>
  <property fmtid="{D5CDD505-2E9C-101B-9397-08002B2CF9AE}" pid="15" name="DossierNumber">
    <vt:i4>803</vt:i4>
  </property>
  <property fmtid="{D5CDD505-2E9C-101B-9397-08002B2CF9AE}" pid="16" name="DocumentStatus">
    <vt:lpwstr>3;#TRA|150d2a88-1431-44e6-a8ca-0bb753ab8672</vt:lpwstr>
  </property>
  <property fmtid="{D5CDD505-2E9C-101B-9397-08002B2CF9AE}" pid="17" name="DossierName">
    <vt:lpwstr>49;#SOC|13795804-ecbd-4ce5-9693-9b8be1981b20</vt:lpwstr>
  </property>
  <property fmtid="{D5CDD505-2E9C-101B-9397-08002B2CF9AE}" pid="18" name="RequestingService">
    <vt:lpwstr>Emploi, affaires sociales, citoyenneté</vt:lpwstr>
  </property>
  <property fmtid="{D5CDD505-2E9C-101B-9397-08002B2CF9AE}" pid="19" name="Confidentiality">
    <vt:lpwstr>6;#Unrestricted|826e22d7-d029-4ec0-a450-0c28ff673572</vt:lpwstr>
  </property>
  <property fmtid="{D5CDD505-2E9C-101B-9397-08002B2CF9AE}" pid="20" name="MeetingName_0">
    <vt:lpwstr/>
  </property>
  <property fmtid="{D5CDD505-2E9C-101B-9397-08002B2CF9AE}" pid="21" name="Confidentiality_0">
    <vt:lpwstr>Unrestricted|826e22d7-d029-4ec0-a450-0c28ff673572</vt:lpwstr>
  </property>
  <property fmtid="{D5CDD505-2E9C-101B-9397-08002B2CF9AE}" pid="22" name="OriginalLanguage">
    <vt:lpwstr>5;#EN|f2175f21-25d7-44a3-96da-d6a61b075e1b</vt:lpwstr>
  </property>
  <property fmtid="{D5CDD505-2E9C-101B-9397-08002B2CF9AE}" pid="23" name="MeetingName">
    <vt:lpwstr/>
  </property>
  <property fmtid="{D5CDD505-2E9C-101B-9397-08002B2CF9AE}" pid="24" name="AvailableTranslations_0">
    <vt:lpwstr>ES|e7a6b05b-ae16-40c8-add9-68b64b03aeba;EN|f2175f21-25d7-44a3-96da-d6a61b075e1b;HU|6b229040-c589-4408-b4c1-4285663d20a8;SL|98a412ae-eb01-49e9-ae3d-585a81724cfc;EL|6d4f4d51-af9b-4650-94b4-4276bee85c91;MT|7df99101-6854-4a26-b53a-b88c0da02c26;BG|1a1b3951-7821-4e6a-85f5-5673fc08bd2c;FI|87606a43-d45f-42d6-b8c9-e1a3457db5b7;DA|5d49c027-8956-412b-aa16-e85a0f96ad0e;SK|46d9fce0-ef79-4f71-b89b-cd6aa82426b8;PT|50ccc04a-eadd-42ae-a0cb-acaf45f812ba;LV|46f7e311-5d9f-4663-b433-18aeccb7ace7;PL|1e03da61-4678-4e07-b136-b5024ca9197b;DE|f6b31e5a-26fa-4935-b661-318e46daf27e;SV|c2ed69e7-a339-43d7-8f22-d93680a92aa0;GA|762d2456-c427-4ecb-b312-af3dad8e258c;CS|72f9705b-0217-4fd3-bea2-cbc7ed80e26e;NL|55c6556c-b4f4-441d-9acf-c498d4f838bd;LT|a7ff5ce7-6123-4f68-865a-a57c31810414;IT|0774613c-01ed-4e5d-a25d-11d2388de825;RO|feb747a2-64cd-4299-af12-4833ddc30497</vt:lpwstr>
  </property>
  <property fmtid="{D5CDD505-2E9C-101B-9397-08002B2CF9AE}" pid="25" name="DocumentStatus_0">
    <vt:lpwstr>TRA|150d2a88-1431-44e6-a8ca-0bb753ab8672</vt:lpwstr>
  </property>
  <property fmtid="{D5CDD505-2E9C-101B-9397-08002B2CF9AE}" pid="26" name="OriginalLanguage_0">
    <vt:lpwstr>EN|f2175f21-25d7-44a3-96da-d6a61b075e1b</vt:lpwstr>
  </property>
  <property fmtid="{D5CDD505-2E9C-101B-9397-08002B2CF9AE}" pid="27" name="TaxCatchAll">
    <vt:lpwstr>49;#SOC|13795804-ecbd-4ce5-9693-9b8be1981b20;#43;#CS|72f9705b-0217-4fd3-bea2-cbc7ed80e26e;#37;#RO|feb747a2-64cd-4299-af12-4833ddc30497;#36;#PT|50ccc04a-eadd-42ae-a0cb-acaf45f812ba;#35;#FI|87606a43-d45f-42d6-b8c9-e1a3457db5b7;#34;#LT|a7ff5ce7-6123-4f68-865a-a57c31810414;#32;#HU|6b229040-c589-4408-b4c1-4285663d20a8;#31;#NL|55c6556c-b4f4-441d-9acf-c498d4f838bd;#29;#EL|6d4f4d51-af9b-4650-94b4-4276bee85c91;#28;#LV|46f7e311-5d9f-4663-b433-18aeccb7ace7;#27;#SL|98a412ae-eb01-49e9-ae3d-585a81724cfc;#26;#SK|46d9fce0-ef79-4f71-b89b-cd6aa82426b8;#25;#DE|f6b31e5a-26fa-4935-b661-318e46daf27e;#24;#ES|e7a6b05b-ae16-40c8-add9-68b64b03aeba;#23;#MT|7df99101-6854-4a26-b53a-b88c0da02c26;#22;#BG|1a1b3951-7821-4e6a-85f5-5673fc08bd2c;#21;#SV|c2ed69e7-a339-43d7-8f22-d93680a92aa0;#18;#GA|762d2456-c427-4ecb-b312-af3dad8e258c;#17;#PL|1e03da61-4678-4e07-b136-b5024ca9197b;#16;#DA|5d49c027-8956-412b-aa16-e85a0f96ad0e;#13;#TCD|cd9d6eb6-3f4f-424a-b2d1-57c9d450eaaf;#12;#IT|0774613c-01ed-4e5d-a25d-11d2388de825;#8;#Final|ea5e6674-7b27-4bac-b091-73adbb394efe;#6;#Unrestricted|826e22d7-d029-4ec0-a450-0c28ff673572;#5;#EN|f2175f21-25d7-44a3-96da-d6a61b075e1b;#3;#TRA|150d2a88-1431-44e6-a8ca-0bb753ab8672;#1;#EESC|422833ec-8d7e-4e65-8e4e-8bed07ffb729</vt:lpwstr>
  </property>
  <property fmtid="{D5CDD505-2E9C-101B-9397-08002B2CF9AE}" pid="28" name="Rapporteur">
    <vt:lpwstr>SALIS-MADINIER</vt:lpwstr>
  </property>
  <property fmtid="{D5CDD505-2E9C-101B-9397-08002B2CF9AE}" pid="29" name="VersionStatus_0">
    <vt:lpwstr>Final|ea5e6674-7b27-4bac-b091-73adbb394efe</vt:lpwstr>
  </property>
  <property fmtid="{D5CDD505-2E9C-101B-9397-08002B2CF9AE}" pid="30" name="VersionStatus">
    <vt:lpwstr>8;#Final|ea5e6674-7b27-4bac-b091-73adbb394efe</vt:lpwstr>
  </property>
  <property fmtid="{D5CDD505-2E9C-101B-9397-08002B2CF9AE}" pid="31" name="DocumentYear">
    <vt:i4>2024</vt:i4>
  </property>
  <property fmtid="{D5CDD505-2E9C-101B-9397-08002B2CF9AE}" pid="32" name="FicheNumber">
    <vt:i4>11314</vt:i4>
  </property>
  <property fmtid="{D5CDD505-2E9C-101B-9397-08002B2CF9AE}" pid="33" name="DocumentPart">
    <vt:i4>1</vt:i4>
  </property>
  <property fmtid="{D5CDD505-2E9C-101B-9397-08002B2CF9AE}" pid="34" name="DocumentSource">
    <vt:lpwstr>1;#EESC|422833ec-8d7e-4e65-8e4e-8bed07ffb729</vt:lpwstr>
  </property>
  <property fmtid="{D5CDD505-2E9C-101B-9397-08002B2CF9AE}" pid="35" name="DocumentType">
    <vt:lpwstr>13;#TCD|cd9d6eb6-3f4f-424a-b2d1-57c9d450eaaf</vt:lpwstr>
  </property>
  <property fmtid="{D5CDD505-2E9C-101B-9397-08002B2CF9AE}" pid="36" name="DocumentLanguage">
    <vt:lpwstr>30;#HR|2f555653-ed1a-4fe6-8362-9082d95989e5</vt:lpwstr>
  </property>
</Properties>
</file>