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Default="00964163" w:rsidP="00964163">
      <w:pPr>
        <w:spacing w:line="276" w:lineRule="auto"/>
        <w:jc w:val="center"/>
        <w:rPr>
          <w:b/>
          <w:bCs/>
        </w:rPr>
      </w:pPr>
      <w:r>
        <w:rPr>
          <w:b/>
          <w:noProof/>
          <w:sz w:val="20"/>
        </w:rPr>
        <mc:AlternateContent>
          <mc:Choice Requires="wps">
            <w:drawing>
              <wp:anchor distT="0" distB="0" distL="114300" distR="114300" simplePos="0" relativeHeight="251659264"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C28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6EFAC72" w14:textId="77777777" w:rsidR="00964163" w:rsidRPr="00260E65" w:rsidRDefault="00964163">
                      <w:pPr>
                        <w:jc w:val="center"/>
                        <w:rPr>
                          <w:rFonts w:ascii="Arial" w:hAnsi="Arial" w:cs="Arial"/>
                          <w:b/>
                          <w:bCs/>
                          <w:sz w:val="48"/>
                        </w:rPr>
                      </w:pPr>
                      <w:r>
                        <w:rPr>
                          <w:rFonts w:ascii="Arial" w:hAnsi="Arial"/>
                          <w:b/>
                          <w:sz w:val="48"/>
                        </w:rPr>
                        <w:t>FI</w:t>
                      </w:r>
                    </w:p>
                  </w:txbxContent>
                </v:textbox>
                <w10:wrap anchorx="page" anchory="page"/>
              </v:shape>
            </w:pict>
          </mc:Fallback>
        </mc:AlternateContent>
      </w:r>
    </w:p>
    <w:p w14:paraId="0D60FDBA" w14:textId="735379DA" w:rsidR="00061143" w:rsidRDefault="00435F03" w:rsidP="00026C2F">
      <w:pPr>
        <w:spacing w:line="276" w:lineRule="auto"/>
        <w:jc w:val="center"/>
        <w:rPr>
          <w:b/>
          <w:bCs/>
        </w:rPr>
      </w:pPr>
      <w:r>
        <w:rPr>
          <w:b/>
        </w:rPr>
        <w:t>SOC/803, ennakointikokous: 26. syyskuuta 2024</w:t>
      </w:r>
    </w:p>
    <w:p w14:paraId="64BFFFA3" w14:textId="5DCA591D" w:rsidR="00435F03" w:rsidRPr="00CE353B" w:rsidRDefault="00435F03" w:rsidP="00026C2F">
      <w:pPr>
        <w:spacing w:line="276" w:lineRule="auto"/>
        <w:jc w:val="center"/>
        <w:rPr>
          <w:b/>
          <w:bCs/>
        </w:rPr>
      </w:pPr>
      <w:r>
        <w:rPr>
          <w:b/>
        </w:rPr>
        <w:t>Ihannekuva tekoälystä työelämässä ja työpaikoilla vuonna 2035</w:t>
      </w:r>
    </w:p>
    <w:p w14:paraId="32B2DD03" w14:textId="4357857A" w:rsidR="007E0533" w:rsidRDefault="007E0533" w:rsidP="00026C2F">
      <w:pPr>
        <w:spacing w:line="276" w:lineRule="auto"/>
        <w:rPr>
          <w:lang w:val="en-GB"/>
        </w:rPr>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14:paraId="16FC4E57" w14:textId="77777777" w:rsidTr="00CE7B09">
        <w:trPr>
          <w:jc w:val="center"/>
        </w:trPr>
        <w:tc>
          <w:tcPr>
            <w:tcW w:w="9063" w:type="dxa"/>
          </w:tcPr>
          <w:p w14:paraId="66E269A8" w14:textId="6476A544" w:rsidR="00F00B65" w:rsidRDefault="00F00B65">
            <w:pPr>
              <w:spacing w:line="276" w:lineRule="auto"/>
            </w:pPr>
            <w:r>
              <w:rPr>
                <w:b/>
              </w:rPr>
              <w:t>Tekoälystä tulee vuoteen 2035 mennessä luotettava kumppani työpaikoilla</w:t>
            </w:r>
            <w:r>
              <w:t>, ja se auttaa lisäämään tuottavuutta, parantamaan työn laatua, vähentämään eriarvoisuutta sekä edistämään yhteistyötä ja ihmisen suorittamaa valvontaa. EU:n sääntelykehyksellä varmistetaan, että tekoäly otetaan käyttöön eettisiä periaatteita noudattaen niin, että työ on tulevaisuudessa sekä teknisesti edistynyttä että ihmiskeskeistä. Tekoäly hyödyttää koko yhteiskuntaa, ja työnantajien ja työntekijöiden yhteisen vision avulla huolehditaan siitä, että tekoälyä kehitetään yhteisen edun mukaisesti.</w:t>
            </w:r>
          </w:p>
        </w:tc>
      </w:tr>
    </w:tbl>
    <w:p w14:paraId="15195F98" w14:textId="77777777" w:rsidR="00F00B65" w:rsidRDefault="00F00B65" w:rsidP="00026C2F">
      <w:pPr>
        <w:spacing w:line="276" w:lineRule="auto"/>
        <w:rPr>
          <w:lang w:val="en-GB"/>
        </w:rPr>
      </w:pPr>
    </w:p>
    <w:p w14:paraId="64F06779" w14:textId="4C0EC1EB" w:rsidR="00052EFB" w:rsidRDefault="00444B65" w:rsidP="00026C2F">
      <w:pPr>
        <w:spacing w:line="276" w:lineRule="auto"/>
      </w:pPr>
      <w:r>
        <w:rPr>
          <w:b/>
        </w:rPr>
        <w:t>Euroopan unioni on</w:t>
      </w:r>
      <w:r>
        <w:t xml:space="preserve"> vuonna 2035 </w:t>
      </w:r>
      <w:r>
        <w:rPr>
          <w:b/>
        </w:rPr>
        <w:t>edelläkävijä</w:t>
      </w:r>
      <w:r>
        <w:t xml:space="preserve"> tekoälyn sääntelyä koskevien normien asettamisessa, ja maailmanlaajuiset kilpailijat seuraavat sen esimerkkiä. </w:t>
      </w:r>
    </w:p>
    <w:p w14:paraId="699E8CE9" w14:textId="77777777" w:rsidR="00516F9E" w:rsidRDefault="00516F9E" w:rsidP="00026C2F">
      <w:pPr>
        <w:spacing w:line="276" w:lineRule="auto"/>
        <w:rPr>
          <w:lang w:val="en-GB"/>
        </w:rPr>
      </w:pPr>
    </w:p>
    <w:p w14:paraId="1FA983EA" w14:textId="4C406AC6" w:rsidR="000E149C" w:rsidRDefault="00052EFB" w:rsidP="00026C2F">
      <w:pPr>
        <w:spacing w:line="276" w:lineRule="auto"/>
      </w:pPr>
      <w:r>
        <w:rPr>
          <w:b/>
        </w:rPr>
        <w:t>Tekoäly tuo mukanaan parannuksia: työstä tulee mielekästä ja laadukasta, ja työntekijät pääsevät kehittämään sen yhteydessä taitojaan.</w:t>
      </w:r>
      <w:r>
        <w:t xml:space="preserve"> Toistuvat ja fyysisesti vaativat tehtävät siirtyvät tekoälyn hoidettaviksi, jolloin työntekijät voivat keskittyä työnsä luoviin näkökohtiin. Tämän myötä tuottavuus lisääntyy, työ- ja yksityiselämän tasapaino ja työolot paranevat ja työtyytyväisyys kasvaa, kun tekoäly nähdään luotettavana, työntekijöitä tukevana yhteistyökumppanina eikä työvoiman korvaajana. </w:t>
      </w:r>
    </w:p>
    <w:p w14:paraId="3DA1D7FA" w14:textId="04E75A48" w:rsidR="00435F03" w:rsidRDefault="00435F03" w:rsidP="00026C2F">
      <w:pPr>
        <w:spacing w:line="276" w:lineRule="auto"/>
        <w:rPr>
          <w:lang w:val="en-GB"/>
        </w:rPr>
      </w:pPr>
    </w:p>
    <w:p w14:paraId="7E56C8DD" w14:textId="4A473839" w:rsidR="00444B65" w:rsidRDefault="00444B65" w:rsidP="00026C2F">
      <w:pPr>
        <w:spacing w:line="276" w:lineRule="auto"/>
      </w:pPr>
      <w:r>
        <w:t xml:space="preserve">On ratkaisevan tärkeää, että </w:t>
      </w:r>
      <w:r>
        <w:rPr>
          <w:b/>
        </w:rPr>
        <w:t>ihmisen suorittama valvonta</w:t>
      </w:r>
      <w:r>
        <w:t xml:space="preserve"> on edelleen avainasemassa päätöksenteossa ja että siis pidetään huoli siitä, että keskeiset valinnat ovat ihmisten käsissä. Tietyistä rajoista pidetään kiinni: päätökset, joilla on merkittäviä vaikutuksia ihmisten elämään (esimerkiksi irtisanomiset ja kurinpitotoimenpiteet), jätetään ihmisten tehtäviksi.</w:t>
      </w:r>
    </w:p>
    <w:p w14:paraId="7633336D" w14:textId="2548D9E1" w:rsidR="00300629" w:rsidRDefault="00300629" w:rsidP="00026C2F">
      <w:pPr>
        <w:spacing w:line="276" w:lineRule="auto"/>
        <w:rPr>
          <w:lang w:val="en-GB"/>
        </w:rPr>
      </w:pPr>
    </w:p>
    <w:p w14:paraId="52314D80" w14:textId="2E334662" w:rsidR="00C563F7" w:rsidRDefault="00444B65" w:rsidP="00026C2F">
      <w:pPr>
        <w:spacing w:line="276" w:lineRule="auto"/>
      </w:pPr>
      <w:r>
        <w:t xml:space="preserve">Tekoälyllä on keskeinen rooli myös </w:t>
      </w:r>
      <w:r>
        <w:rPr>
          <w:b/>
        </w:rPr>
        <w:t>yhtäläisten mahdollisuuksien</w:t>
      </w:r>
      <w:r>
        <w:t xml:space="preserve"> edistämisessä ja </w:t>
      </w:r>
      <w:r>
        <w:rPr>
          <w:b/>
        </w:rPr>
        <w:t>erojen vähentämisessä</w:t>
      </w:r>
      <w:r>
        <w:t xml:space="preserve">, digitaalisen kuilun kaventamisessa ja ihmisten voimaannuttamisessa. Tekoäly tukee erityisesti </w:t>
      </w:r>
      <w:r>
        <w:rPr>
          <w:b/>
        </w:rPr>
        <w:t>naisten ja miesten tasa-arvoa</w:t>
      </w:r>
      <w:r>
        <w:t xml:space="preserve">. Naisilla on hyviä työpaikkoja. Jos automatisointi koskee pääasiassa naisten hoitamia tehtäviä (esimerkiksi toimistotehtäviä), asianmukaisella tasolla reagoidaan työllisyysvaikutuksiin mahdollistavin ja voimaannuttavin toimenpitein ja huolehditaan uudelleenkoulutuksesta. </w:t>
      </w:r>
    </w:p>
    <w:p w14:paraId="3FB4D956" w14:textId="03DF6424" w:rsidR="00C563F7" w:rsidRDefault="00C563F7" w:rsidP="00026C2F">
      <w:pPr>
        <w:spacing w:line="276" w:lineRule="auto"/>
        <w:rPr>
          <w:lang w:val="en-GB"/>
        </w:rPr>
      </w:pPr>
    </w:p>
    <w:p w14:paraId="4145C6D4" w14:textId="413A403A" w:rsidR="006A56FF" w:rsidRDefault="00516F9E" w:rsidP="00026C2F">
      <w:pPr>
        <w:spacing w:line="276" w:lineRule="auto"/>
      </w:pPr>
      <w:r>
        <w:t xml:space="preserve">Työntekijät ja yritykset voivat tekoälyn ansiosta keskittyä uusien </w:t>
      </w:r>
      <w:r>
        <w:rPr>
          <w:b/>
        </w:rPr>
        <w:t>taitojen</w:t>
      </w:r>
      <w:r>
        <w:t xml:space="preserve"> hankkimiseen, ja digitaitojen ja tekoälyä koskevan kriittisen ajattelun merkitys tunnustetaan. Tekoälypohjaiset koulutusohjelmat tarjoavat yksilöllisiä oppimispolkuja, ja työntekijät voivat näin taustastaan riippumatta parantaa osaamistaan koko uransa ajan. Tämä helpottaa siirtymistä ammattitaitoa edellyttämättömistä tehtävistä vaativampiin tehtäviin. Yleisesti ottaen ihmisillä on yhtäläiset mahdollisuudet </w:t>
      </w:r>
      <w:r>
        <w:rPr>
          <w:b/>
        </w:rPr>
        <w:t>elinikäiseen oppimiseen</w:t>
      </w:r>
      <w:r>
        <w:t>, ja näin he pystyvät mukautumaan työmarkkinoiden muutoksiin. Tekoälyä ei kehitetä vain tuottavuuden lisäämiseksi, vaan tarkoituksena on myös parantaa ihmisten valmiuksia ja ajattelukykyä.</w:t>
      </w:r>
    </w:p>
    <w:p w14:paraId="14C81683" w14:textId="77777777" w:rsidR="006A56FF" w:rsidRDefault="006A56FF" w:rsidP="00026C2F">
      <w:pPr>
        <w:spacing w:line="276" w:lineRule="auto"/>
        <w:rPr>
          <w:lang w:val="en-GB"/>
        </w:rPr>
      </w:pPr>
    </w:p>
    <w:p w14:paraId="6E80BF72" w14:textId="7DE96197" w:rsidR="00300629" w:rsidRDefault="00444B65" w:rsidP="00026C2F">
      <w:pPr>
        <w:spacing w:line="276" w:lineRule="auto"/>
      </w:pPr>
      <w:r>
        <w:rPr>
          <w:b/>
        </w:rPr>
        <w:t>Yksityisyyden suojalla ja tietosuojalla</w:t>
      </w:r>
      <w:r>
        <w:t xml:space="preserve"> on ensisijainen asema, ja tekoälyjärjestelmät toimivat avoimesti ja perusoikeuksia ja tekijänoikeuksia suojelevien eettisten sääntöjen mukaisesti. Tekoälyn käyttö valvontaan ja sosiaaliseen pisteytykseen estetään sääntelyn keinoin. Lisäksi edistetään </w:t>
      </w:r>
      <w:r>
        <w:lastRenderedPageBreak/>
        <w:t>työpaikkoja, joissa työntekijät tuntevat olonsa turvalliseksi ja kokevat, että he voivat vaikuttaa asioihin ja että heitä ei valvota ja kontrolloida asiattomasti.</w:t>
      </w:r>
    </w:p>
    <w:p w14:paraId="4657F8FD" w14:textId="77777777" w:rsidR="006A56FF" w:rsidRDefault="006A56FF" w:rsidP="00026C2F">
      <w:pPr>
        <w:spacing w:line="276" w:lineRule="auto"/>
        <w:rPr>
          <w:lang w:val="en-GB"/>
        </w:rPr>
      </w:pPr>
    </w:p>
    <w:p w14:paraId="20AD23E7" w14:textId="0F136BB7" w:rsidR="004774B7" w:rsidRPr="004774B7" w:rsidRDefault="000E149C" w:rsidP="00026C2F">
      <w:pPr>
        <w:spacing w:line="276" w:lineRule="auto"/>
      </w:pPr>
      <w:r>
        <w:t xml:space="preserve">Toimivaan lainsäädäntökehykseen perustuva ja erityisten suuntaviivojen mukainen </w:t>
      </w:r>
      <w:r>
        <w:rPr>
          <w:b/>
        </w:rPr>
        <w:t>tiivis työmarkkinaosapuolten vuoropuhelu</w:t>
      </w:r>
      <w:r>
        <w:t xml:space="preserve"> on kiinteä osa tekoälyn käyttöönottoprosessia. Sitä käydään kaikilla asianmukaisilla tasoilla kaikissa EU:n jäsenvaltioissa, ja kansallisella tasolla toteutetaan toimia sen tukemiseksi ja tehostamiseksi. Tekoälyn avulla tuetaan työmarkkinaosapuolten valmiuksien kehittämistä ja koulutusta. Työnantajat, työntekijät tai heidän edustajansa käyvät neuvotteluja tekoälyn käyttöönotosta ja käytöstä työpaikoilla. Näin varmistetaan prosessin alusta lähtien, että </w:t>
      </w:r>
      <w:r>
        <w:rPr>
          <w:b/>
        </w:rPr>
        <w:t>työntekijöiden näkemykset otetaan huomioon tekoälysuunnittelussa</w:t>
      </w:r>
      <w:r>
        <w:t>, mikä edistää luottamusta ja yhteistyötä. Työmarkkinavuoropuhelun avulla pyritään myös vastaamaan tekoälyn mahdollisesti aiheuttamiin haasteisiin, ennakoimaan työvoima- ja osaamisvajeita ja korjaamaan sääntelyn puutteita.</w:t>
      </w:r>
    </w:p>
    <w:sectPr w:rsidR="004774B7" w:rsidRPr="004774B7" w:rsidSect="00025376">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025376" w:rsidRDefault="00025376" w:rsidP="000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fldSimple w:instr=" NUMPAGES ">
      <w:r w:rsidR="00026C2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025376" w:rsidRDefault="00025376" w:rsidP="000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025376" w:rsidRDefault="00025376" w:rsidP="0002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025376" w:rsidRDefault="00025376" w:rsidP="0002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025376" w:rsidRDefault="00025376" w:rsidP="000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745D3"/>
    <w:rsid w:val="00174F6A"/>
    <w:rsid w:val="002543B4"/>
    <w:rsid w:val="00266F04"/>
    <w:rsid w:val="00271760"/>
    <w:rsid w:val="00275230"/>
    <w:rsid w:val="00300629"/>
    <w:rsid w:val="003138F5"/>
    <w:rsid w:val="00352C2D"/>
    <w:rsid w:val="00386113"/>
    <w:rsid w:val="003B3388"/>
    <w:rsid w:val="004254DD"/>
    <w:rsid w:val="00435F03"/>
    <w:rsid w:val="00444B65"/>
    <w:rsid w:val="004672B1"/>
    <w:rsid w:val="004774B7"/>
    <w:rsid w:val="004830F0"/>
    <w:rsid w:val="004C6A3E"/>
    <w:rsid w:val="00516F9E"/>
    <w:rsid w:val="00542683"/>
    <w:rsid w:val="00563AC5"/>
    <w:rsid w:val="00655B6F"/>
    <w:rsid w:val="00662A5C"/>
    <w:rsid w:val="00663DCB"/>
    <w:rsid w:val="006661F1"/>
    <w:rsid w:val="00674DEA"/>
    <w:rsid w:val="006A56FF"/>
    <w:rsid w:val="006E16DF"/>
    <w:rsid w:val="006F603B"/>
    <w:rsid w:val="00753F49"/>
    <w:rsid w:val="007765AA"/>
    <w:rsid w:val="007C7E9B"/>
    <w:rsid w:val="007E0533"/>
    <w:rsid w:val="007F37FC"/>
    <w:rsid w:val="008702C3"/>
    <w:rsid w:val="0090260D"/>
    <w:rsid w:val="00904CEB"/>
    <w:rsid w:val="00910713"/>
    <w:rsid w:val="00937EF6"/>
    <w:rsid w:val="0095210D"/>
    <w:rsid w:val="00964163"/>
    <w:rsid w:val="009903A6"/>
    <w:rsid w:val="00A0534F"/>
    <w:rsid w:val="00A41FFD"/>
    <w:rsid w:val="00B0683B"/>
    <w:rsid w:val="00BB27F7"/>
    <w:rsid w:val="00BE1409"/>
    <w:rsid w:val="00C563F7"/>
    <w:rsid w:val="00CE353B"/>
    <w:rsid w:val="00CE7B09"/>
    <w:rsid w:val="00CF359B"/>
    <w:rsid w:val="00D44E3A"/>
    <w:rsid w:val="00D84E42"/>
    <w:rsid w:val="00D8663B"/>
    <w:rsid w:val="00E65139"/>
    <w:rsid w:val="00E923EC"/>
    <w:rsid w:val="00F00B65"/>
    <w:rsid w:val="00F35302"/>
    <w:rsid w:val="00FC205E"/>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fi-FI"/>
    </w:rPr>
  </w:style>
  <w:style w:type="character" w:customStyle="1" w:styleId="Heading2Char">
    <w:name w:val="Heading 2 Char"/>
    <w:basedOn w:val="DefaultParagraphFont"/>
    <w:link w:val="Heading2"/>
    <w:rsid w:val="004774B7"/>
    <w:rPr>
      <w:rFonts w:ascii="Times New Roman" w:eastAsia="Times New Roman" w:hAnsi="Times New Roman" w:cs="Times New Roman"/>
      <w:lang w:val="fi-FI"/>
    </w:rPr>
  </w:style>
  <w:style w:type="character" w:customStyle="1" w:styleId="Heading3Char">
    <w:name w:val="Heading 3 Char"/>
    <w:basedOn w:val="DefaultParagraphFont"/>
    <w:link w:val="Heading3"/>
    <w:rsid w:val="004774B7"/>
    <w:rPr>
      <w:rFonts w:ascii="Times New Roman" w:eastAsia="Times New Roman" w:hAnsi="Times New Roman" w:cs="Times New Roman"/>
      <w:lang w:val="fi-FI"/>
    </w:rPr>
  </w:style>
  <w:style w:type="character" w:customStyle="1" w:styleId="Heading4Char">
    <w:name w:val="Heading 4 Char"/>
    <w:basedOn w:val="DefaultParagraphFont"/>
    <w:link w:val="Heading4"/>
    <w:rsid w:val="004774B7"/>
    <w:rPr>
      <w:rFonts w:ascii="Times New Roman" w:eastAsia="Times New Roman" w:hAnsi="Times New Roman" w:cs="Times New Roman"/>
      <w:lang w:val="fi-FI"/>
    </w:rPr>
  </w:style>
  <w:style w:type="character" w:customStyle="1" w:styleId="Heading5Char">
    <w:name w:val="Heading 5 Char"/>
    <w:basedOn w:val="DefaultParagraphFont"/>
    <w:link w:val="Heading5"/>
    <w:rsid w:val="004774B7"/>
    <w:rPr>
      <w:rFonts w:ascii="Times New Roman" w:eastAsia="Times New Roman" w:hAnsi="Times New Roman" w:cs="Times New Roman"/>
      <w:lang w:val="fi-FI"/>
    </w:rPr>
  </w:style>
  <w:style w:type="character" w:customStyle="1" w:styleId="Heading6Char">
    <w:name w:val="Heading 6 Char"/>
    <w:basedOn w:val="DefaultParagraphFont"/>
    <w:link w:val="Heading6"/>
    <w:rsid w:val="004774B7"/>
    <w:rPr>
      <w:rFonts w:ascii="Times New Roman" w:eastAsia="Times New Roman" w:hAnsi="Times New Roman" w:cs="Times New Roman"/>
      <w:lang w:val="fi-FI"/>
    </w:rPr>
  </w:style>
  <w:style w:type="character" w:customStyle="1" w:styleId="Heading7Char">
    <w:name w:val="Heading 7 Char"/>
    <w:basedOn w:val="DefaultParagraphFont"/>
    <w:link w:val="Heading7"/>
    <w:rsid w:val="004774B7"/>
    <w:rPr>
      <w:rFonts w:ascii="Times New Roman" w:eastAsia="Times New Roman" w:hAnsi="Times New Roman" w:cs="Times New Roman"/>
      <w:lang w:val="fi-FI"/>
    </w:rPr>
  </w:style>
  <w:style w:type="character" w:customStyle="1" w:styleId="Heading8Char">
    <w:name w:val="Heading 8 Char"/>
    <w:basedOn w:val="DefaultParagraphFont"/>
    <w:link w:val="Heading8"/>
    <w:rsid w:val="004774B7"/>
    <w:rPr>
      <w:rFonts w:ascii="Times New Roman" w:eastAsia="Times New Roman" w:hAnsi="Times New Roman" w:cs="Times New Roman"/>
      <w:lang w:val="fi-FI"/>
    </w:rPr>
  </w:style>
  <w:style w:type="character" w:customStyle="1" w:styleId="Heading9Char">
    <w:name w:val="Heading 9 Char"/>
    <w:basedOn w:val="DefaultParagraphFont"/>
    <w:link w:val="Heading9"/>
    <w:rsid w:val="004774B7"/>
    <w:rPr>
      <w:rFonts w:ascii="Times New Roman" w:eastAsia="Times New Roman" w:hAnsi="Times New Roman" w:cs="Times New Roman"/>
      <w:lang w:val="fi-FI"/>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fi-FI"/>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fi-FI"/>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fi-FI"/>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fi-FI"/>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fi-FI"/>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F7M6YNZUATRX-917472228-13187</_dlc_DocId>
    <_dlc_DocIdUrl xmlns="59ace41b-6786-4ce3-be71-52c27066c6ef">
      <Url>http://dm/eesc/2024/_layouts/15/DocIdRedir.aspx?ID=F7M6YNZUATRX-917472228-13187</Url>
      <Description>F7M6YNZUATRX-917472228-13187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Paakkulainen Anna</DisplayName>
        <AccountId>1541</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5592A-8644-4F6E-9A8B-C9D94485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025A7-0B67-43CC-B235-AC18B9235ED6}">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512031E5-5B2A-4B9E-90D2-5EE7C8BCC917}">
  <ds:schemaRefs>
    <ds:schemaRef ds:uri="http://schemas.microsoft.com/sharepoint/events"/>
  </ds:schemaRefs>
</ds:datastoreItem>
</file>

<file path=customXml/itemProps4.xml><?xml version="1.0" encoding="utf-8"?>
<ds:datastoreItem xmlns:ds="http://schemas.openxmlformats.org/officeDocument/2006/customXml" ds:itemID="{FE1F7ADF-0069-4CC5-93A5-21B6E9A61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3575</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Ihannekuva tekoälystä työelämässä ja työpaikoilla vuonna 2035</dc:title>
  <dc:subject>TCD</dc:subject>
  <dc:creator>Perpinan Haro Carmen</dc:creator>
  <cp:keywords>EESC-2024-01024-01-00-TCD-TRA-EN</cp:keywords>
  <dc:description>Rapporteur: SALIS-MADINIER - Original language: EN - Date of document: 18/11/2024 - Date of meeting:  - External documents:  - Administrator: MME DUMITRACHE Ana</dc:description>
  <cp:lastModifiedBy>Vignoli Rina</cp:lastModifiedBy>
  <cp:revision>2</cp:revision>
  <dcterms:created xsi:type="dcterms:W3CDTF">2024-11-27T10:14:00Z</dcterms:created>
  <dcterms:modified xsi:type="dcterms:W3CDTF">2024-11-27T10:14:00Z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3ff6c738-c988-4e57-ac38-62c276680a49</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S|e7a6b05b-ae16-40c8-add9-68b64b03aeba;EN|f2175f21-25d7-44a3-96da-d6a61b075e1b;HU|6b229040-c589-4408-b4c1-4285663d20a8;SL|98a412ae-eb01-49e9-ae3d-585a81724cfc;EL|6d4f4d51-af9b-4650-94b4-4276bee85c91;MT|7df99101-6854-4a26-b53a-b88c0da02c26;BG|1a1b3951-7821-4e6a-85f5-5673fc08bd2c;DA|5d49c027-8956-412b-aa16-e85a0f96ad0e;SK|46d9fce0-ef79-4f71-b89b-cd6aa82426b8;PT|50ccc04a-eadd-42ae-a0cb-acaf45f812ba;LV|46f7e311-5d9f-4663-b433-18aeccb7ace7;PL|1e03da61-4678-4e07-b136-b5024ca9197b;DE|f6b31e5a-26fa-4935-b661-318e46daf27e;SV|c2ed69e7-a339-43d7-8f22-d93680a92aa0;GA|762d2456-c427-4ecb-b312-af3dad8e258c;CS|72f9705b-0217-4fd3-bea2-cbc7ed80e26e;NL|55c6556c-b4f4-441d-9acf-c498d4f838bd;LT|a7ff5ce7-6123-4f68-865a-a57c31810414;IT|0774613c-01ed-4e5d-a25d-11d2388de825;RO|feb747a2-64cd-4299-af12-4833ddc30497</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34;#LT|a7ff5ce7-6123-4f68-865a-a57c31810414;#32;#HU|6b229040-c589-4408-b4c1-4285663d20a8;#31;#NL|55c6556c-b4f4-441d-9acf-c498d4f838bd;#43;#CS|72f9705b-0217-4fd3-bea2-cbc7ed80e26e;#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16;#DA|5d49c027-8956-412b-aa16-e85a0f96ad0e;#13;#TCD|cd9d6eb6-3f4f-424a-b2d1-57c9d450eaaf;#49;#SOC|13795804-ecbd-4ce5-9693-9b8be1981b20;#37;#RO|feb747a2-64cd-4299-af12-4833ddc30497;#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35;#FI|87606a43-d45f-42d6-b8c9-e1a3457db5b7</vt:lpwstr>
  </property>
</Properties>
</file>