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C8F2" w14:textId="63B7973C" w:rsidR="00964163" w:rsidRDefault="00964163" w:rsidP="00964163">
      <w:pPr>
        <w:spacing w:line="276" w:lineRule="auto"/>
        <w:jc w:val="center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31C286" wp14:editId="31004D7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AC72" w14:textId="77777777" w:rsidR="00964163" w:rsidRPr="00260E65" w:rsidRDefault="00964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C2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76EFAC72" w14:textId="77777777" w:rsidR="00964163" w:rsidRPr="00260E65" w:rsidRDefault="009641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60FDBA" w14:textId="735379DA" w:rsidR="00061143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SOC/803 Reunión de prospectiva: 26 de septiembre de 2024</w:t>
      </w:r>
    </w:p>
    <w:p w14:paraId="64BFFFA3" w14:textId="5DCA591D" w:rsidR="00435F03" w:rsidRPr="00CE353B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Una visión ideal de la IA en el mundo laboral y en el lugar de trabajo en 2035</w:t>
      </w:r>
    </w:p>
    <w:p w14:paraId="32B2DD03" w14:textId="4357857A" w:rsidR="007E0533" w:rsidRDefault="007E0533" w:rsidP="00026C2F">
      <w:pPr>
        <w:spacing w:line="276" w:lineRule="auto"/>
        <w:rPr>
          <w:lang w:val="en-GB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3"/>
      </w:tblGrid>
      <w:tr w:rsidR="00F00B65" w14:paraId="16FC4E57" w14:textId="77777777" w:rsidTr="00CE7B09">
        <w:trPr>
          <w:jc w:val="center"/>
        </w:trPr>
        <w:tc>
          <w:tcPr>
            <w:tcW w:w="9063" w:type="dxa"/>
          </w:tcPr>
          <w:p w14:paraId="66E269A8" w14:textId="6476A544" w:rsidR="00F00B65" w:rsidRDefault="00F00B65">
            <w:pPr>
              <w:spacing w:line="276" w:lineRule="auto"/>
            </w:pPr>
            <w:r>
              <w:rPr>
                <w:b/>
              </w:rPr>
              <w:t>De aquí a 2035, la inteligencia artificial (IA) se convertirá en un socio fiable en el lugar de trabajo</w:t>
            </w:r>
            <w:r>
              <w:t>, lo que permitirá aumentar la productividad, mejorar la calidad del empleo, reducir las desigualdades y fomentar la colaboración y la supervisión humana. El marco regulador de la UE garantiza que la IA se aplique de forma ética, creando un futuro en el que el trabajo sea tecnológicamente avanzado y centrado en el ser humano. La IA beneficia a toda la sociedad, y una visión compartida entre empleadores y trabajadores permite que la IA se desarrolle en aras del bien común.</w:t>
            </w:r>
          </w:p>
        </w:tc>
      </w:tr>
    </w:tbl>
    <w:p w14:paraId="15195F98" w14:textId="77777777" w:rsidR="00F00B65" w:rsidRDefault="00F00B65" w:rsidP="00026C2F">
      <w:pPr>
        <w:spacing w:line="276" w:lineRule="auto"/>
        <w:rPr>
          <w:lang w:val="en-GB"/>
        </w:rPr>
      </w:pPr>
    </w:p>
    <w:p w14:paraId="64F06779" w14:textId="4C0EC1EB" w:rsidR="00052EFB" w:rsidRDefault="00444B65" w:rsidP="00026C2F">
      <w:pPr>
        <w:spacing w:line="276" w:lineRule="auto"/>
      </w:pPr>
      <w:r>
        <w:t xml:space="preserve">En 2035, la </w:t>
      </w:r>
      <w:r>
        <w:rPr>
          <w:b/>
        </w:rPr>
        <w:t>Unión Europea es pionera</w:t>
      </w:r>
      <w:r>
        <w:t xml:space="preserve"> en el establecimiento de normas para la regulación de la IA y es seguida por sus competidores mundiales. </w:t>
      </w:r>
    </w:p>
    <w:p w14:paraId="699E8CE9" w14:textId="77777777" w:rsidR="00516F9E" w:rsidRDefault="00516F9E" w:rsidP="00026C2F">
      <w:pPr>
        <w:spacing w:line="276" w:lineRule="auto"/>
        <w:rPr>
          <w:lang w:val="en-GB"/>
        </w:rPr>
      </w:pPr>
    </w:p>
    <w:p w14:paraId="1FA983EA" w14:textId="4C406AC6" w:rsidR="000E149C" w:rsidRDefault="00052EFB" w:rsidP="00026C2F">
      <w:pPr>
        <w:spacing w:line="276" w:lineRule="auto"/>
      </w:pPr>
      <w:r>
        <w:rPr>
          <w:b/>
        </w:rPr>
        <w:t>La IA mejora los puestos de trabajo para que sean significativos y de buena calidad y desarrollen las capacidades de los trabajadores.</w:t>
      </w:r>
      <w:r>
        <w:t xml:space="preserve"> Asume tareas repetitivas y físicamente exigentes, lo que permite a los empleados centrarse en aspectos creativos de su trabajo. Este cambio impulsa la productividad, mejora el equilibrio entre la vida profesional y la vida privada y las condiciones de trabajo, y refuerza la satisfacción laboral, ya que la IA se considera un colaborador de confianza que apoya a los trabajadores y no los sustituye. </w:t>
      </w:r>
    </w:p>
    <w:p w14:paraId="3DA1D7FA" w14:textId="04E75A48" w:rsidR="00435F03" w:rsidRDefault="00435F03" w:rsidP="00026C2F">
      <w:pPr>
        <w:spacing w:line="276" w:lineRule="auto"/>
        <w:rPr>
          <w:lang w:val="en-GB"/>
        </w:rPr>
      </w:pPr>
    </w:p>
    <w:p w14:paraId="7E56C8DD" w14:textId="4A473839" w:rsidR="00444B65" w:rsidRDefault="00444B65" w:rsidP="00026C2F">
      <w:pPr>
        <w:spacing w:line="276" w:lineRule="auto"/>
      </w:pPr>
      <w:r>
        <w:t xml:space="preserve">Ante todo, la </w:t>
      </w:r>
      <w:r>
        <w:rPr>
          <w:b/>
        </w:rPr>
        <w:t>supervisión humana</w:t>
      </w:r>
      <w:r>
        <w:t xml:space="preserve"> sigue ocupando un lugar central en la toma de decisiones y garantiza que las decisiones clave sean tomadas por las personas. No se superan algunas líneas rojas: las decisiones que afectan de manera significativa a la vida de las personas (por ejemplo, despidos, medidas disciplinarias) son adoptadas por los seres humanos.</w:t>
      </w:r>
    </w:p>
    <w:p w14:paraId="7633336D" w14:textId="2548D9E1" w:rsidR="00300629" w:rsidRDefault="00300629" w:rsidP="00026C2F">
      <w:pPr>
        <w:spacing w:line="276" w:lineRule="auto"/>
        <w:rPr>
          <w:lang w:val="en-GB"/>
        </w:rPr>
      </w:pPr>
    </w:p>
    <w:p w14:paraId="52314D80" w14:textId="2E334662" w:rsidR="00C563F7" w:rsidRDefault="00444B65" w:rsidP="00026C2F">
      <w:pPr>
        <w:spacing w:line="276" w:lineRule="auto"/>
      </w:pPr>
      <w:r>
        <w:t xml:space="preserve">La IA también desempeña un papel esencial en la </w:t>
      </w:r>
      <w:r>
        <w:rPr>
          <w:b/>
        </w:rPr>
        <w:t>promoción de la igualdad de oportunidades y la reducción de las disparidades</w:t>
      </w:r>
      <w:r>
        <w:t xml:space="preserve">, la disminución de la brecha digital y la capacitación de las personas. En particular, la IA apoya la </w:t>
      </w:r>
      <w:r>
        <w:rPr>
          <w:b/>
        </w:rPr>
        <w:t>igualdad entre mujeres y hombres</w:t>
      </w:r>
      <w:r>
        <w:t xml:space="preserve">. Las mujeres tienen buenos puestos de trabajo. Si las tareas que realizan principalmente las mujeres (como las tareas administrativas) se automatizan, se establecen medidas de facilitación y capacitación en el nivel adecuado para hacer frente a las repercusiones en el empleo y garantizar el reciclaje profesional. </w:t>
      </w:r>
    </w:p>
    <w:p w14:paraId="3FB4D956" w14:textId="03DF6424" w:rsidR="00C563F7" w:rsidRDefault="00C563F7" w:rsidP="00026C2F">
      <w:pPr>
        <w:spacing w:line="276" w:lineRule="auto"/>
        <w:rPr>
          <w:lang w:val="en-GB"/>
        </w:rPr>
      </w:pPr>
    </w:p>
    <w:p w14:paraId="4145C6D4" w14:textId="413A403A" w:rsidR="006A56FF" w:rsidRDefault="00516F9E" w:rsidP="00026C2F">
      <w:pPr>
        <w:spacing w:line="276" w:lineRule="auto"/>
      </w:pPr>
      <w:r>
        <w:t xml:space="preserve">La IA permite a los trabajadores y a las empresas centrarse en el desarrollo de nuevas </w:t>
      </w:r>
      <w:r>
        <w:rPr>
          <w:b/>
        </w:rPr>
        <w:t>capacidades</w:t>
      </w:r>
      <w:r>
        <w:t xml:space="preserve">, y se reconoce la importancia de las capacidades digitales y el pensamiento crítico en relación con la IA. Los programas de formación impulsados por IA ofrecen itinerarios de aprendizaje personalizados, lo que permite a los trabajadores de todos los orígenes mejorar las capacidades a lo largo de la carrera profesional. Esto ayuda a colmar la brecha entre puestos cualificados y no cualificados. En general, las personas tienen igualdad de acceso a las oportunidades de </w:t>
      </w:r>
      <w:r>
        <w:rPr>
          <w:b/>
        </w:rPr>
        <w:t>aprendizaje permanente</w:t>
      </w:r>
      <w:r>
        <w:t xml:space="preserve"> para adaptarse a la evolución del mercado laboral. La IA no solo se desarrolla para aumentar la productividad, sino también para mejorar las capacidades humanas e incrementar la inteligencia humana.</w:t>
      </w:r>
    </w:p>
    <w:p w14:paraId="14C81683" w14:textId="77777777" w:rsidR="006A56FF" w:rsidRDefault="006A56FF" w:rsidP="00026C2F">
      <w:pPr>
        <w:spacing w:line="276" w:lineRule="auto"/>
        <w:rPr>
          <w:lang w:val="en-GB"/>
        </w:rPr>
      </w:pPr>
    </w:p>
    <w:p w14:paraId="6E80BF72" w14:textId="7DE96197" w:rsidR="00300629" w:rsidRDefault="00444B65" w:rsidP="00F4278C">
      <w:pPr>
        <w:keepNext/>
        <w:keepLines/>
        <w:spacing w:line="276" w:lineRule="auto"/>
      </w:pPr>
      <w:r>
        <w:lastRenderedPageBreak/>
        <w:t xml:space="preserve">Se da prioridad a la </w:t>
      </w:r>
      <w:r>
        <w:rPr>
          <w:b/>
        </w:rPr>
        <w:t>privacidad y la protección de datos</w:t>
      </w:r>
      <w:r>
        <w:t>, ya que los sistemas de IA funcionan de forma transparente y se adhieren a códigos éticos que protegen los derechos fundamentales y los derechos de autor. La reglamentación impide que la IA se utilice para la vigilancia y la puntuación social. Se fomentan los lugares de trabajo en los que los empleados se sienten seguros y capacitados, sin ser vigilados ni controlados de forma inadecuada.</w:t>
      </w:r>
    </w:p>
    <w:p w14:paraId="4657F8FD" w14:textId="77777777" w:rsidR="006A56FF" w:rsidRDefault="006A56FF" w:rsidP="00026C2F">
      <w:pPr>
        <w:spacing w:line="276" w:lineRule="auto"/>
        <w:rPr>
          <w:lang w:val="en-GB"/>
        </w:rPr>
      </w:pPr>
    </w:p>
    <w:p w14:paraId="20AD23E7" w14:textId="0F136BB7" w:rsidR="004774B7" w:rsidRPr="004774B7" w:rsidRDefault="000E149C" w:rsidP="00026C2F">
      <w:pPr>
        <w:spacing w:line="276" w:lineRule="auto"/>
      </w:pPr>
      <w:r>
        <w:t xml:space="preserve">Un </w:t>
      </w:r>
      <w:r>
        <w:rPr>
          <w:b/>
        </w:rPr>
        <w:t>diálogo social sólido</w:t>
      </w:r>
      <w:r>
        <w:t xml:space="preserve">, basado en un marco legislativo eficaz y en orientaciones explícitas, está profundamente integrado en el proceso de aplicación de la IA y se lleva a cabo en todos los niveles adecuados y en todos los Estados miembros de la UE. Se realizan esfuerzos a nivel nacional para apoyar y reforzar el diálogo social. La IA apoya el desarrollo de capacidades y la formación de los interlocutores sociales. Los empleadores, los trabajadores o sus representantes participan en consultas sobre la introducción y el uso de la IA en el lugar de trabajo. Esta participación, desde el inicio del proceso, garantiza que la </w:t>
      </w:r>
      <w:r>
        <w:rPr>
          <w:b/>
        </w:rPr>
        <w:t>IA se diseñe con aportaciones de los trabajadores</w:t>
      </w:r>
      <w:r>
        <w:t>, fomentando la confianza y la colaboración. El diálogo social también se utiliza para abordar los posibles retos inducidos por la IA, anticipar la escasez de mano de obra y de capacidades y colmar las lagunas normativas.</w:t>
      </w:r>
    </w:p>
    <w:sectPr w:rsidR="004774B7" w:rsidRPr="004774B7" w:rsidSect="000253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5DA" w14:textId="77777777" w:rsidR="00904CEB" w:rsidRDefault="00904CEB" w:rsidP="00904CEB">
      <w:pPr>
        <w:spacing w:line="240" w:lineRule="auto"/>
      </w:pPr>
      <w:r>
        <w:separator/>
      </w:r>
    </w:p>
  </w:endnote>
  <w:endnote w:type="continuationSeparator" w:id="0">
    <w:p w14:paraId="1F0088AC" w14:textId="77777777" w:rsidR="00904CEB" w:rsidRDefault="00904CEB" w:rsidP="00904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8E5B" w14:textId="77777777" w:rsidR="00025376" w:rsidRPr="00025376" w:rsidRDefault="00025376" w:rsidP="00025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B818" w14:textId="25BD9056" w:rsidR="00904CEB" w:rsidRPr="00025376" w:rsidRDefault="00025376" w:rsidP="00025376">
    <w:pPr>
      <w:pStyle w:val="Footer"/>
    </w:pPr>
    <w:r>
      <w:t xml:space="preserve">SOC/803 – EESC-2024-01024-01-00-TCD-TRA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26C2F">
      <w:t>1</w:t>
    </w:r>
    <w:r>
      <w:fldChar w:fldCharType="end"/>
    </w:r>
    <w:r>
      <w:t>/</w:t>
    </w:r>
    <w:r w:rsidR="00F42E52">
      <w:fldChar w:fldCharType="begin"/>
    </w:r>
    <w:r w:rsidR="00F42E52">
      <w:instrText xml:space="preserve"> NUMPAGES </w:instrText>
    </w:r>
    <w:r w:rsidR="00F42E52">
      <w:fldChar w:fldCharType="separate"/>
    </w:r>
    <w:r w:rsidR="00026C2F">
      <w:t>1</w:t>
    </w:r>
    <w:r w:rsidR="00F42E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C93A" w14:textId="77777777" w:rsidR="00025376" w:rsidRPr="00025376" w:rsidRDefault="00025376" w:rsidP="0002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5E0" w14:textId="77777777" w:rsidR="00904CEB" w:rsidRDefault="00904CEB" w:rsidP="00904CEB">
      <w:pPr>
        <w:spacing w:line="240" w:lineRule="auto"/>
      </w:pPr>
      <w:r>
        <w:separator/>
      </w:r>
    </w:p>
  </w:footnote>
  <w:footnote w:type="continuationSeparator" w:id="0">
    <w:p w14:paraId="7FDDC24B" w14:textId="77777777" w:rsidR="00904CEB" w:rsidRDefault="00904CEB" w:rsidP="00904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FA47" w14:textId="77777777" w:rsidR="00025376" w:rsidRPr="00025376" w:rsidRDefault="00025376" w:rsidP="00025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916B" w14:textId="29D4840F" w:rsidR="00025376" w:rsidRPr="00025376" w:rsidRDefault="00025376" w:rsidP="00025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1265" w14:textId="77777777" w:rsidR="00025376" w:rsidRPr="00025376" w:rsidRDefault="00025376" w:rsidP="00025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663856"/>
    <w:multiLevelType w:val="hybridMultilevel"/>
    <w:tmpl w:val="CF28DF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5770"/>
    <w:rsid w:val="00025376"/>
    <w:rsid w:val="00026465"/>
    <w:rsid w:val="00026C2F"/>
    <w:rsid w:val="00042F8F"/>
    <w:rsid w:val="00052EFB"/>
    <w:rsid w:val="00061143"/>
    <w:rsid w:val="000A4F82"/>
    <w:rsid w:val="000E149C"/>
    <w:rsid w:val="00102D18"/>
    <w:rsid w:val="001745D3"/>
    <w:rsid w:val="00174F6A"/>
    <w:rsid w:val="002543B4"/>
    <w:rsid w:val="00266F04"/>
    <w:rsid w:val="00271760"/>
    <w:rsid w:val="00275230"/>
    <w:rsid w:val="002A3F88"/>
    <w:rsid w:val="00300629"/>
    <w:rsid w:val="003138F5"/>
    <w:rsid w:val="00352C2D"/>
    <w:rsid w:val="00386113"/>
    <w:rsid w:val="003B3388"/>
    <w:rsid w:val="004254DD"/>
    <w:rsid w:val="00435F03"/>
    <w:rsid w:val="00444B65"/>
    <w:rsid w:val="004672B1"/>
    <w:rsid w:val="004774B7"/>
    <w:rsid w:val="004830F0"/>
    <w:rsid w:val="004C6A3E"/>
    <w:rsid w:val="004F00ED"/>
    <w:rsid w:val="00516F9E"/>
    <w:rsid w:val="00542683"/>
    <w:rsid w:val="00563AC5"/>
    <w:rsid w:val="00655B6F"/>
    <w:rsid w:val="00662A5C"/>
    <w:rsid w:val="00663DCB"/>
    <w:rsid w:val="00674DEA"/>
    <w:rsid w:val="006A56FF"/>
    <w:rsid w:val="006E16DF"/>
    <w:rsid w:val="006F603B"/>
    <w:rsid w:val="00753F49"/>
    <w:rsid w:val="007765AA"/>
    <w:rsid w:val="007C7E9B"/>
    <w:rsid w:val="007E0533"/>
    <w:rsid w:val="007F37FC"/>
    <w:rsid w:val="0090260D"/>
    <w:rsid w:val="00904CEB"/>
    <w:rsid w:val="00910713"/>
    <w:rsid w:val="00937EF6"/>
    <w:rsid w:val="0095210D"/>
    <w:rsid w:val="00964163"/>
    <w:rsid w:val="009903A6"/>
    <w:rsid w:val="00A0534F"/>
    <w:rsid w:val="00AD7A47"/>
    <w:rsid w:val="00B0683B"/>
    <w:rsid w:val="00BB27F7"/>
    <w:rsid w:val="00BE1409"/>
    <w:rsid w:val="00C563F7"/>
    <w:rsid w:val="00CE353B"/>
    <w:rsid w:val="00CE7B09"/>
    <w:rsid w:val="00D44E3A"/>
    <w:rsid w:val="00D84E42"/>
    <w:rsid w:val="00E65139"/>
    <w:rsid w:val="00E923EC"/>
    <w:rsid w:val="00F00B65"/>
    <w:rsid w:val="00F35302"/>
    <w:rsid w:val="00F4278C"/>
    <w:rsid w:val="00F42E52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E786"/>
  <w15:chartTrackingRefBased/>
  <w15:docId w15:val="{565440D3-A8FB-4056-A4FC-A114097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774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774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774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774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774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774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774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774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774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4B7"/>
    <w:rPr>
      <w:rFonts w:ascii="Times New Roman" w:eastAsia="Times New Roman" w:hAnsi="Times New Roman" w:cs="Times New Roman"/>
      <w:kern w:val="28"/>
      <w:lang w:val="es-ES"/>
    </w:rPr>
  </w:style>
  <w:style w:type="character" w:customStyle="1" w:styleId="Heading2Char">
    <w:name w:val="Heading 2 Char"/>
    <w:basedOn w:val="DefaultParagraphFont"/>
    <w:link w:val="Heading2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4774B7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4774B7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qFormat/>
    <w:rsid w:val="004774B7"/>
  </w:style>
  <w:style w:type="character" w:customStyle="1" w:styleId="FooterChar">
    <w:name w:val="Footer Char"/>
    <w:basedOn w:val="DefaultParagraphFont"/>
    <w:link w:val="Footer"/>
    <w:uiPriority w:val="99"/>
    <w:rsid w:val="004774B7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4774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74B7"/>
    <w:rPr>
      <w:rFonts w:ascii="Times New Roman" w:eastAsia="Times New Roman" w:hAnsi="Times New Roman" w:cs="Times New Roman"/>
      <w:sz w:val="16"/>
      <w:lang w:val="es-ES"/>
    </w:rPr>
  </w:style>
  <w:style w:type="paragraph" w:styleId="Header">
    <w:name w:val="header"/>
    <w:basedOn w:val="Normal"/>
    <w:link w:val="HeaderChar"/>
    <w:qFormat/>
    <w:rsid w:val="004774B7"/>
  </w:style>
  <w:style w:type="character" w:customStyle="1" w:styleId="HeaderChar">
    <w:name w:val="Header Char"/>
    <w:basedOn w:val="DefaultParagraphFont"/>
    <w:link w:val="Header"/>
    <w:rsid w:val="004774B7"/>
    <w:rPr>
      <w:rFonts w:ascii="Times New Roman" w:eastAsia="Times New Roman" w:hAnsi="Times New Roman" w:cs="Times New Roman"/>
      <w:lang w:val="es-ES"/>
    </w:rPr>
  </w:style>
  <w:style w:type="paragraph" w:customStyle="1" w:styleId="quotes">
    <w:name w:val="quotes"/>
    <w:basedOn w:val="Normal"/>
    <w:next w:val="Normal"/>
    <w:rsid w:val="004774B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774B7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E651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B65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eGrid">
    <w:name w:val="Table Grid"/>
    <w:basedOn w:val="TableNormal"/>
    <w:uiPriority w:val="39"/>
    <w:rsid w:val="00F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3B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99"/>
    <w:semiHidden/>
    <w:rsid w:val="0038611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F7M6YNZUATRX-917472228-13183</_dlc_DocId>
    <_dlc_DocIdUrl xmlns="59ace41b-6786-4ce3-be71-52c27066c6ef">
      <Url>http://dm/eesc/2024/_layouts/15/DocIdRedir.aspx?ID=F7M6YNZUATRX-917472228-13183</Url>
      <Description>F7M6YNZUATRX-917472228-13183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2024-11-18T12:00:00+00:00</ProductionDate>
    <DocumentNumber xmlns="14d11ec3-fd82-4994-a217-1a91de9b2d2a">1024</DocumentNumber>
    <FicheYear xmlns="59ace41b-6786-4ce3-be71-52c27066c6ef" xsi:nil="true"/>
    <DossierNumber xmlns="59ace41b-6786-4ce3-be71-52c27066c6ef">803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13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Rapporteur xmlns="59ace41b-6786-4ce3-be71-52c27066c6ef">SALIS-MADINIER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11314</FicheNumber>
    <OriginalSender xmlns="59ace41b-6786-4ce3-be71-52c27066c6ef">
      <UserInfo>
        <DisplayName>Gonzalez Vilchez Almudena</DisplayName>
        <AccountId>2032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5E725-808B-425A-8554-F0DDD6C12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1C1ED-0759-46BE-B141-3B146C5AEAC1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3.xml><?xml version="1.0" encoding="utf-8"?>
<ds:datastoreItem xmlns:ds="http://schemas.openxmlformats.org/officeDocument/2006/customXml" ds:itemID="{1BD91822-D8BC-47ED-8BEF-D55E83DBD9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D4DBF6-3812-4E38-81BD-29FCA1DA9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visión ideal de la IA en el mundo laboral y en el lugar de trabajo en 2035</dc:title>
  <dc:subject>TCD</dc:subject>
  <dc:creator>Perpinan Haro Carmen</dc:creator>
  <cp:keywords>EESC-2024-01024-01-00-TCD-TRA-EN</cp:keywords>
  <dc:description>Rapporteur: SALIS-MADINIER - Original language: EN - Date of document: 18/11/2024 - Date of meeting:  - External documents:  - Administrator: MME DUMITRACHE Ana</dc:description>
  <cp:lastModifiedBy>Vignoli Rina</cp:lastModifiedBy>
  <cp:revision>2</cp:revision>
  <dcterms:created xsi:type="dcterms:W3CDTF">2024-11-27T10:02:00Z</dcterms:created>
  <dcterms:modified xsi:type="dcterms:W3CDTF">2024-11-27T10:02:00Z</dcterms:modified>
  <cp:category>SOC/803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14/11/2024</vt:lpwstr>
  </property>
  <property fmtid="{D5CDD505-2E9C-101B-9397-08002B2CF9AE}" pid="4" name="Pref_Time">
    <vt:lpwstr>09:42:28</vt:lpwstr>
  </property>
  <property fmtid="{D5CDD505-2E9C-101B-9397-08002B2CF9AE}" pid="5" name="Pref_User">
    <vt:lpwstr>amett</vt:lpwstr>
  </property>
  <property fmtid="{D5CDD505-2E9C-101B-9397-08002B2CF9AE}" pid="6" name="Pref_FileName">
    <vt:lpwstr>EESC-2024-01024-01-00-TCD-TRA-EN-CRR.docx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062d2f43-16ac-4346-b5a2-08fb354c15af</vt:lpwstr>
  </property>
  <property fmtid="{D5CDD505-2E9C-101B-9397-08002B2CF9AE}" pid="9" name="AvailableTranslations">
    <vt:lpwstr>24;#ES|e7a6b05b-ae16-40c8-add9-68b64b03aeba;#5;#EN|f2175f21-25d7-44a3-96da-d6a61b075e1b;#32;#HU|6b229040-c589-4408-b4c1-4285663d20a8;#27;#SL|98a412ae-eb01-49e9-ae3d-585a81724cfc;#33;#ET|ff6c3f4c-b02c-4c3c-ab07-2c37995a7a0a;#29;#EL|6d4f4d51-af9b-4650-94b4-4276bee85c91;#23;#MT|7df99101-6854-4a26-b53a-b88c0da02c26;#22;#BG|1a1b3951-7821-4e6a-85f5-5673fc08bd2c;#30;#HR|2f555653-ed1a-4fe6-8362-9082d95989e5;#35;#FI|87606a43-d45f-42d6-b8c9-e1a3457db5b7;#16;#DA|5d49c027-8956-412b-aa16-e85a0f96ad0e;#26;#SK|46d9fce0-ef79-4f71-b89b-cd6aa82426b8;#36;#PT|50ccc04a-eadd-42ae-a0cb-acaf45f812ba;#28;#LV|46f7e311-5d9f-4663-b433-18aeccb7ace7;#17;#PL|1e03da61-4678-4e07-b136-b5024ca9197b;#25;#DE|f6b31e5a-26fa-4935-b661-318e46daf27e;#14;#FR|d2afafd3-4c81-4f60-8f52-ee33f2f54ff3;#21;#SV|c2ed69e7-a339-43d7-8f22-d93680a92aa0;#18;#GA|762d2456-c427-4ecb-b312-af3dad8e258c;#43;#CS|72f9705b-0217-4fd3-bea2-cbc7ed80e26e;#31;#NL|55c6556c-b4f4-441d-9acf-c498d4f838bd;#34;#LT|a7ff5ce7-6123-4f68-865a-a57c31810414;#12;#IT|0774613c-01ed-4e5d-a25d-11d2388de825;#37;#RO|feb747a2-64cd-4299-af12-4833ddc30497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1024</vt:i4>
  </property>
  <property fmtid="{D5CDD505-2E9C-101B-9397-08002B2CF9AE}" pid="14" name="DocumentVersion">
    <vt:i4>0</vt:i4>
  </property>
  <property fmtid="{D5CDD505-2E9C-101B-9397-08002B2CF9AE}" pid="15" name="DossierNumber">
    <vt:i4>803</vt:i4>
  </property>
  <property fmtid="{D5CDD505-2E9C-101B-9397-08002B2CF9AE}" pid="16" name="DocumentStatus">
    <vt:lpwstr>3;#TRA|150d2a88-1431-44e6-a8ca-0bb753ab8672</vt:lpwstr>
  </property>
  <property fmtid="{D5CDD505-2E9C-101B-9397-08002B2CF9AE}" pid="17" name="DossierName">
    <vt:lpwstr>49;#SOC|13795804-ecbd-4ce5-9693-9b8be1981b20</vt:lpwstr>
  </property>
  <property fmtid="{D5CDD505-2E9C-101B-9397-08002B2CF9AE}" pid="18" name="RequestingService">
    <vt:lpwstr>Emploi, affaires sociales, citoyenneté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EN|f2175f21-25d7-44a3-96da-d6a61b075e1b;HU|6b229040-c589-4408-b4c1-4285663d20a8;EL|6d4f4d51-af9b-4650-94b4-4276bee85c91;MT|7df99101-6854-4a26-b53a-b88c0da02c26;BG|1a1b3951-7821-4e6a-85f5-5673fc08bd2c;SK|46d9fce0-ef79-4f71-b89b-cd6aa82426b8;PT|50ccc04a-eadd-42ae-a0cb-acaf45f812ba;LV|46f7e311-5d9f-4663-b433-18aeccb7ace7;PL|1e03da61-4678-4e07-b136-b5024ca9197b;DE|f6b31e5a-26fa-4935-b661-318e46daf27e;SV|c2ed69e7-a339-43d7-8f22-d93680a92aa0;GA|762d2456-c427-4ecb-b312-af3dad8e258c;CS|72f9705b-0217-4fd3-bea2-cbc7ed80e26e;NL|55c6556c-b4f4-441d-9acf-c498d4f838bd;IT|0774613c-01ed-4e5d-a25d-11d2388de825;RO|feb747a2-64cd-4299-af12-4833ddc30497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36;#PT|50ccc04a-eadd-42ae-a0cb-acaf45f812ba;#32;#HU|6b229040-c589-4408-b4c1-4285663d20a8;#31;#NL|55c6556c-b4f4-441d-9acf-c498d4f838bd;#43;#CS|72f9705b-0217-4fd3-bea2-cbc7ed80e26e;#29;#EL|6d4f4d51-af9b-4650-94b4-4276bee85c91;#28;#LV|46f7e311-5d9f-4663-b433-18aeccb7ace7;#26;#SK|46d9fce0-ef79-4f71-b89b-cd6aa82426b8;#25;#DE|f6b31e5a-26fa-4935-b661-318e46daf27e;#23;#MT|7df99101-6854-4a26-b53a-b88c0da02c26;#22;#BG|1a1b3951-7821-4e6a-85f5-5673fc08bd2c;#21;#SV|c2ed69e7-a339-43d7-8f22-d93680a92aa0;#18;#GA|762d2456-c427-4ecb-b312-af3dad8e258c;#17;#PL|1e03da61-4678-4e07-b136-b5024ca9197b;#37;#RO|feb747a2-64cd-4299-af12-4833ddc30497;#13;#TCD|cd9d6eb6-3f4f-424a-b2d1-57c9d450eaaf;#49;#SOC|13795804-ecbd-4ce5-9693-9b8be1981b20;#8;#Final|ea5e6674-7b27-4bac-b091-73adbb394efe;#6;#Unrestricted|826e22d7-d029-4ec0-a450-0c28ff673572;#5;#EN|f2175f21-25d7-44a3-96da-d6a61b075e1b;#3;#TRA|150d2a88-1431-44e6-a8ca-0bb753ab8672;#1;#EESC|422833ec-8d7e-4e65-8e4e-8bed07ffb729;#12;#IT|0774613c-01ed-4e5d-a25d-11d2388de825</vt:lpwstr>
  </property>
  <property fmtid="{D5CDD505-2E9C-101B-9397-08002B2CF9AE}" pid="28" name="Rapporteur">
    <vt:lpwstr>SALIS-MADINIER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Year">
    <vt:i4>2024</vt:i4>
  </property>
  <property fmtid="{D5CDD505-2E9C-101B-9397-08002B2CF9AE}" pid="32" name="FicheNumber">
    <vt:i4>11314</vt:i4>
  </property>
  <property fmtid="{D5CDD505-2E9C-101B-9397-08002B2CF9AE}" pid="33" name="DocumentPart">
    <vt:i4>1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13;#TCD|cd9d6eb6-3f4f-424a-b2d1-57c9d450eaaf</vt:lpwstr>
  </property>
  <property fmtid="{D5CDD505-2E9C-101B-9397-08002B2CF9AE}" pid="36" name="DocumentLanguage">
    <vt:lpwstr>24;#ES|e7a6b05b-ae16-40c8-add9-68b64b03aeba</vt:lpwstr>
  </property>
</Properties>
</file>