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Pr="00C51925" w:rsidRDefault="00964163" w:rsidP="00964163">
      <w:pPr>
        <w:spacing w:line="276" w:lineRule="auto"/>
        <w:jc w:val="center"/>
        <w:rPr>
          <w:b/>
          <w:bCs/>
        </w:rPr>
      </w:pPr>
      <w:r w:rsidRPr="00C51925">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C51925" w:rsidRDefault="00964163">
                            <w:pPr>
                              <w:jc w:val="center"/>
                              <w:rPr>
                                <w:rFonts w:ascii="Arial" w:hAnsi="Arial" w:cs="Arial"/>
                                <w:b/>
                                <w:bCs/>
                                <w:sz w:val="48"/>
                              </w:rPr>
                            </w:pPr>
                            <w:r w:rsidRPr="00C51925">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C51925" w:rsidRDefault="00964163">
                      <w:pPr>
                        <w:jc w:val="center"/>
                        <w:rPr>
                          <w:rFonts w:ascii="Arial" w:hAnsi="Arial" w:cs="Arial"/>
                          <w:b/>
                          <w:bCs/>
                          <w:sz w:val="48"/>
                        </w:rPr>
                      </w:pPr>
                      <w:r w:rsidRPr="00C51925">
                        <w:rPr>
                          <w:rFonts w:ascii="Arial" w:hAnsi="Arial"/>
                          <w:b/>
                          <w:sz w:val="48"/>
                        </w:rPr>
                        <w:t>EL</w:t>
                      </w:r>
                    </w:p>
                  </w:txbxContent>
                </v:textbox>
                <w10:wrap anchorx="page" anchory="page"/>
              </v:shape>
            </w:pict>
          </mc:Fallback>
        </mc:AlternateContent>
      </w:r>
    </w:p>
    <w:p w14:paraId="0D60FDBA" w14:textId="735379DA" w:rsidR="00061143" w:rsidRPr="00C51925" w:rsidRDefault="00435F03" w:rsidP="00026C2F">
      <w:pPr>
        <w:spacing w:line="276" w:lineRule="auto"/>
        <w:jc w:val="center"/>
        <w:rPr>
          <w:b/>
          <w:bCs/>
        </w:rPr>
      </w:pPr>
      <w:r w:rsidRPr="00C51925">
        <w:rPr>
          <w:b/>
        </w:rPr>
        <w:t>SOC/803 Συνεδρίαση ανάλυσης προοπτικών: 26 Σεπτεμβρίου 2024</w:t>
      </w:r>
    </w:p>
    <w:p w14:paraId="64BFFFA3" w14:textId="5DCA591D" w:rsidR="00435F03" w:rsidRPr="00C51925" w:rsidRDefault="00435F03" w:rsidP="00026C2F">
      <w:pPr>
        <w:spacing w:line="276" w:lineRule="auto"/>
        <w:jc w:val="center"/>
        <w:rPr>
          <w:b/>
          <w:bCs/>
        </w:rPr>
      </w:pPr>
      <w:r w:rsidRPr="00C51925">
        <w:rPr>
          <w:b/>
        </w:rPr>
        <w:t>Ένα ιδανικό όραμα για την τεχνητή νοημοσύνη στον κόσμο της εργασίας και στον εργασιακό χώρο το 2035</w:t>
      </w:r>
    </w:p>
    <w:p w14:paraId="32B2DD03" w14:textId="4357857A" w:rsidR="007E0533" w:rsidRPr="00C51925" w:rsidRDefault="007E0533" w:rsidP="00026C2F">
      <w:pPr>
        <w:spacing w:line="276" w:lineRule="auto"/>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rsidRPr="00C51925" w14:paraId="16FC4E57" w14:textId="77777777" w:rsidTr="00CE7B09">
        <w:trPr>
          <w:jc w:val="center"/>
        </w:trPr>
        <w:tc>
          <w:tcPr>
            <w:tcW w:w="9063" w:type="dxa"/>
          </w:tcPr>
          <w:p w14:paraId="66E269A8" w14:textId="6476A544" w:rsidR="00F00B65" w:rsidRPr="00C51925" w:rsidRDefault="00F00B65">
            <w:pPr>
              <w:spacing w:line="276" w:lineRule="auto"/>
            </w:pPr>
            <w:r w:rsidRPr="00C51925">
              <w:rPr>
                <w:b/>
              </w:rPr>
              <w:t>Έως το 2035, η τεχνητή νοημοσύνη (ΤΝ) θα έχει καταστεί αξιόπιστος εταίρος στον εργασιακό χώρο</w:t>
            </w:r>
            <w:r w:rsidRPr="00C51925">
              <w:t>, αυξάνοντας την παραγωγικότητα, ενισχύοντας την ποιότητα των θέσεων εργασίας, μειώνοντας τις ανισότητες και προωθώντας τη συνεργασία και την ανθρώπινη εποπτεία. Το ενωσιακό κανονιστικό πλαίσιο διασφαλίζει ότι η ΤΝ εφαρμόζεται με δεοντολογικό τρόπο, δημιουργώντας ένα μέλλον όπου η εργασία είναι τόσο τεχνολογικά προηγμένη όσο και ανθρωποκεντρική. Η ΤΝ ωφελεί το σύνολο της κοινωνίας, το δε κοινό όραμα μεταξύ εργοδοτών και εργαζομένων διασφαλίζει ότι η ΤΝ αναπτύσσεται για το κοινό καλό.</w:t>
            </w:r>
          </w:p>
        </w:tc>
      </w:tr>
    </w:tbl>
    <w:p w14:paraId="15195F98" w14:textId="77777777" w:rsidR="00F00B65" w:rsidRPr="00C51925" w:rsidRDefault="00F00B65" w:rsidP="00026C2F">
      <w:pPr>
        <w:spacing w:line="276" w:lineRule="auto"/>
      </w:pPr>
    </w:p>
    <w:p w14:paraId="64F06779" w14:textId="4C0EC1EB" w:rsidR="00052EFB" w:rsidRPr="00C51925" w:rsidRDefault="00444B65" w:rsidP="00026C2F">
      <w:pPr>
        <w:spacing w:line="276" w:lineRule="auto"/>
      </w:pPr>
      <w:r w:rsidRPr="00C51925">
        <w:t xml:space="preserve">Το 2035 η </w:t>
      </w:r>
      <w:r w:rsidRPr="00C51925">
        <w:rPr>
          <w:b/>
        </w:rPr>
        <w:t>Ευρωπαϊκή Ένωση πρωτοστατεί</w:t>
      </w:r>
      <w:r w:rsidRPr="00C51925">
        <w:t xml:space="preserve"> στον ορισμό προτύπων για τη ρύθμιση της ΤΝ, ακολουθούμενη από τους παγκόσμιους ανταγωνιστές της. </w:t>
      </w:r>
    </w:p>
    <w:p w14:paraId="699E8CE9" w14:textId="77777777" w:rsidR="00516F9E" w:rsidRPr="00C51925" w:rsidRDefault="00516F9E" w:rsidP="00026C2F">
      <w:pPr>
        <w:spacing w:line="276" w:lineRule="auto"/>
      </w:pPr>
    </w:p>
    <w:p w14:paraId="1FA983EA" w14:textId="4C406AC6" w:rsidR="000E149C" w:rsidRPr="00C51925" w:rsidRDefault="00052EFB" w:rsidP="00026C2F">
      <w:pPr>
        <w:spacing w:line="276" w:lineRule="auto"/>
      </w:pPr>
      <w:r w:rsidRPr="00C51925">
        <w:rPr>
          <w:b/>
        </w:rPr>
        <w:t>Η ΤΝ ενισχύει τις θέσεις εργασίας ώστε να είναι ουσιαστικές, καλής ποιότητας και να αναπτύσσουν τις δεξιότητες των εργαζομένων.</w:t>
      </w:r>
      <w:r w:rsidRPr="00C51925">
        <w:t xml:space="preserve"> Αναλαμβάνει επαναλαμβανόμενα και απαιτητικά από σωματική άποψη καθήκοντα, επιτρέποντας στους εργαζομένους να εστιάζουν στις δημιουργικές πτυχές της εργασίας τους. Η αλλαγή αυτή ενισχύει την παραγωγικότητα, βελτιώνει την ισορροπία μεταξύ επαγγελματικής και ιδιωτικής ζωής και τις συνθήκες εργασίας και ενισχύει την ικανοποίηση που απορρέει από την εργασία, καθώς η ΤΝ θεωρείται αξιόπιστος συμπαραστάτης που υποστηρίζει τους εργαζομένους, αλλά δεν τους υποκαθιστά. </w:t>
      </w:r>
    </w:p>
    <w:p w14:paraId="3DA1D7FA" w14:textId="04E75A48" w:rsidR="00435F03" w:rsidRPr="00C51925" w:rsidRDefault="00435F03" w:rsidP="00026C2F">
      <w:pPr>
        <w:spacing w:line="276" w:lineRule="auto"/>
      </w:pPr>
    </w:p>
    <w:p w14:paraId="7E56C8DD" w14:textId="4A473839" w:rsidR="00444B65" w:rsidRPr="00C51925" w:rsidRDefault="00444B65" w:rsidP="00026C2F">
      <w:pPr>
        <w:spacing w:line="276" w:lineRule="auto"/>
      </w:pPr>
      <w:r w:rsidRPr="00C51925">
        <w:t xml:space="preserve">Είναι σημαντικό το γεγονός ότι η </w:t>
      </w:r>
      <w:r w:rsidRPr="00C51925">
        <w:rPr>
          <w:b/>
        </w:rPr>
        <w:t>ανθρώπινη εποπτεία</w:t>
      </w:r>
      <w:r w:rsidRPr="00C51925">
        <w:t xml:space="preserve"> παραμένει στο επίκεντρο της λήψης αποφάσεων, διασφαλίζοντας ότι οι βασικές επιλογές γίνονται από τον άνθρωπο. Δεν χωρεί υπέρβαση ορισμένων κόκκινων γραμμών: οι αποφάσεις που επηρεάζουν σημαντικά τη ζωή των ανθρώπων (π.χ. απολύσεις, πειθαρχικά μέτρα) λαμβάνονται από τον άνθρωπο.</w:t>
      </w:r>
    </w:p>
    <w:p w14:paraId="7633336D" w14:textId="2548D9E1" w:rsidR="00300629" w:rsidRPr="00C51925" w:rsidRDefault="00300629" w:rsidP="00026C2F">
      <w:pPr>
        <w:spacing w:line="276" w:lineRule="auto"/>
      </w:pPr>
    </w:p>
    <w:p w14:paraId="52314D80" w14:textId="2E334662" w:rsidR="00C563F7" w:rsidRPr="00C51925" w:rsidRDefault="00444B65" w:rsidP="00026C2F">
      <w:pPr>
        <w:spacing w:line="276" w:lineRule="auto"/>
      </w:pPr>
      <w:r w:rsidRPr="00C51925">
        <w:t xml:space="preserve">Η ΤΝ διαδραματίζει επίσης καίριο ρόλο στην προώθηση </w:t>
      </w:r>
      <w:r w:rsidRPr="00C51925">
        <w:rPr>
          <w:b/>
        </w:rPr>
        <w:t>ίσων ευκαιριών και στη μείωση των ανισοτήτων</w:t>
      </w:r>
      <w:r w:rsidRPr="00C51925">
        <w:t xml:space="preserve">, στη μείωση του ψηφιακού χάσματος και στην ενδυνάμωση των ατόμων. Ειδικότερα, η ΤΝ στηρίζει την </w:t>
      </w:r>
      <w:r w:rsidRPr="00C51925">
        <w:rPr>
          <w:b/>
        </w:rPr>
        <w:t>ισότητα μεταξύ γυναικών και ανδρών</w:t>
      </w:r>
      <w:r w:rsidRPr="00C51925">
        <w:t xml:space="preserve">. Οι γυναίκες έχουν καλές θέσεις εργασίας. Εάν τα καθήκοντα που εκτελούνται κυρίως από γυναίκες (όπως τα καθήκοντα γραφείου) είναι αυτοματοποιημένα, εφαρμόζονται μέτρα διευκόλυνσης και ενδυνάμωσης στο κατάλληλο επίπεδο προς αντιμετώπιση των επιπτώσεων στην απασχόληση και προς διασφάλιση της επανειδίκευσης. </w:t>
      </w:r>
    </w:p>
    <w:p w14:paraId="3FB4D956" w14:textId="03DF6424" w:rsidR="00C563F7" w:rsidRPr="00C51925" w:rsidRDefault="00C563F7" w:rsidP="00026C2F">
      <w:pPr>
        <w:spacing w:line="276" w:lineRule="auto"/>
      </w:pPr>
    </w:p>
    <w:p w14:paraId="4145C6D4" w14:textId="413A403A" w:rsidR="006A56FF" w:rsidRPr="00C51925" w:rsidRDefault="00516F9E" w:rsidP="00026C2F">
      <w:pPr>
        <w:spacing w:line="276" w:lineRule="auto"/>
      </w:pPr>
      <w:r w:rsidRPr="00C51925">
        <w:t xml:space="preserve">Η ΤΝ επιτρέπει στους εργαζομένους και τις εταιρείες να επικεντρώνονται στην ανάπτυξη νέων </w:t>
      </w:r>
      <w:r w:rsidRPr="00C51925">
        <w:rPr>
          <w:b/>
        </w:rPr>
        <w:t>δεξιοτήτων,</w:t>
      </w:r>
      <w:r w:rsidRPr="00C51925">
        <w:t xml:space="preserve"> ενώ αναγνωρίζεται η σημασία των ψηφιακών δεξιοτήτων και της κριτικής σκέψης όσον αφορά την ΤΝ. Τα προγράμματα κατάρτισης που βασίζονται στην ΤΝ παρέχουν εξατομικευμένους μαθησιακούς τρόπους, παρέχοντας τη δυνατότητα σε εργαζομένους από κάθε υπόβαθρο να βελτιώσουν τις δεξιότητές τους καθ’ όλη τη διάρκεια της σταδιοδρομίας τους. Τούτο συμβάλλει στη γεφύρωση του χάσματος μεταξύ των θέσεων ειδικευμένου και ανειδίκευτου προσωπικού. Γενικά, τα άτομα έχουν ίση πρόσβαση σε ευκαιρίες </w:t>
      </w:r>
      <w:r w:rsidRPr="00C51925">
        <w:rPr>
          <w:b/>
        </w:rPr>
        <w:t>διά βίου μάθησης</w:t>
      </w:r>
      <w:r w:rsidRPr="00C51925">
        <w:t>, ώστε να προσαρμόζονται στην εξελισσόμενη αγορά εργασίας. Η ΤΝ δεν αναπτύσσεται μόνο για την αύξηση της παραγωγικότητας, αλλά και για τη βελτίωση των ανθρώπινων ικανοτήτων και την αύξηση της ανθρώπινης νοημοσύνης.</w:t>
      </w:r>
    </w:p>
    <w:p w14:paraId="14C81683" w14:textId="77777777" w:rsidR="006A56FF" w:rsidRPr="00C51925" w:rsidRDefault="006A56FF" w:rsidP="00026C2F">
      <w:pPr>
        <w:spacing w:line="276" w:lineRule="auto"/>
      </w:pPr>
    </w:p>
    <w:p w14:paraId="6E80BF72" w14:textId="7DE96197" w:rsidR="00300629" w:rsidRPr="00C51925" w:rsidRDefault="00444B65" w:rsidP="00026C2F">
      <w:pPr>
        <w:spacing w:line="276" w:lineRule="auto"/>
      </w:pPr>
      <w:r w:rsidRPr="00C51925">
        <w:lastRenderedPageBreak/>
        <w:t xml:space="preserve">Δίνεται προτεραιότητα στην </w:t>
      </w:r>
      <w:r w:rsidRPr="00C51925">
        <w:rPr>
          <w:b/>
        </w:rPr>
        <w:t>προστασία της ιδιωτικής ζωής και των δεδομένων</w:t>
      </w:r>
      <w:r w:rsidRPr="00C51925">
        <w:t>, με τα συστήματα ΤΝ να λειτουργούν με διαφάνεια και να τηρούν κώδικες δεοντολογίας που προστατεύουν τα θεμελιώδη δικαιώματα και τα δικαιώματα πνευματικής ιδιοκτησίας. Βάσει κανονισμών εμποδίζεται η χρήση της ΤΝ για παρακολούθηση και χαρακτηρισμό πολιτών. Προωθούνται χώροι εργασίας στους οποίους οι εργαζόμενοι αισθάνονται ότι είναι ασφαλείς και ενδυναμωμένοι και ότι δεν παρακολουθούνται ούτε ελέγχονται πέραν του δεόντως.</w:t>
      </w:r>
    </w:p>
    <w:p w14:paraId="4657F8FD" w14:textId="77777777" w:rsidR="006A56FF" w:rsidRPr="00C51925" w:rsidRDefault="006A56FF" w:rsidP="00026C2F">
      <w:pPr>
        <w:spacing w:line="276" w:lineRule="auto"/>
      </w:pPr>
    </w:p>
    <w:p w14:paraId="20AD23E7" w14:textId="0F136BB7" w:rsidR="004774B7" w:rsidRPr="00C51925" w:rsidRDefault="000E149C" w:rsidP="00026C2F">
      <w:pPr>
        <w:spacing w:line="276" w:lineRule="auto"/>
      </w:pPr>
      <w:r w:rsidRPr="00C51925">
        <w:t xml:space="preserve">Ο </w:t>
      </w:r>
      <w:r w:rsidRPr="00C51925">
        <w:rPr>
          <w:b/>
        </w:rPr>
        <w:t>ισχυρός κοινωνικός διάλογος</w:t>
      </w:r>
      <w:r w:rsidRPr="00C51925">
        <w:t xml:space="preserve">, με βάση ένα αποτελεσματικό νομοθετικό πλαίσιο και σαφή καθοδήγηση, είναι βαθιά ενσωματωμένος στη διαδικασία εφαρμογής της ΤΝ και πραγματοποιείται σε όλα τα κατάλληλα επίπεδα και σε όλα τα κράτη μέλη της ΕΕ. Καταβάλλονται προσπάθειες σε εθνικό επίπεδο για τη στήριξη και την ενίσχυση του κοινωνικού διαλόγου. Η ΤΝ στηρίζει την ανάπτυξη ικανοτήτων και την κατάρτιση των κοινωνικών εταίρων. Οι εργοδότες, οι εργαζόμενοι και/ή οι εκπρόσωποί τους συμμετέχουν σε διαβουλεύσεις σχετικά με την εισαγωγή και τη χρήση της ΤΝ στον εργασιακό χώρο. Η συμμετοχή αυτή, από την αρχή της διαδικασίας, διασφαλίζει ότι η </w:t>
      </w:r>
      <w:r w:rsidRPr="00C51925">
        <w:rPr>
          <w:b/>
        </w:rPr>
        <w:t>ΤΝ</w:t>
      </w:r>
      <w:r w:rsidRPr="00C51925">
        <w:t xml:space="preserve"> </w:t>
      </w:r>
      <w:r w:rsidRPr="00C51925">
        <w:rPr>
          <w:b/>
        </w:rPr>
        <w:t>σχεδιάζεται λαμβανομένης υπόψη της συμβολής των εργαζομένων</w:t>
      </w:r>
      <w:r w:rsidRPr="00C51925">
        <w:t>, ενισχύοντας την εμπιστοσύνη και τη συνεργασία. Ο κοινωνικός διάλογος χρησιμοποιείται επίσης για την αντιμετώπιση πιθανών προκλήσεων που προκαλούνται από την ΤΝ, για την πρόβλεψη κενών στην εργασία και τις δεξιότητες και για την κάλυψη κανονιστικών κενών.</w:t>
      </w:r>
    </w:p>
    <w:sectPr w:rsidR="004774B7" w:rsidRPr="00C51925" w:rsidSect="00C51925">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C51925" w:rsidRDefault="00025376" w:rsidP="00C5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749962E5" w:rsidR="00904CEB" w:rsidRPr="00C51925" w:rsidRDefault="00C51925" w:rsidP="00C51925">
    <w:pPr>
      <w:pStyle w:val="Footer"/>
    </w:pPr>
    <w:r>
      <w:t xml:space="preserve">SOC/803 – EESC-2024-01024-01-00-TCD-TRA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294A79">
      <w:fldChar w:fldCharType="begin"/>
    </w:r>
    <w:r w:rsidR="00294A79">
      <w:instrText xml:space="preserve"> NUMPAGES </w:instrText>
    </w:r>
    <w:r w:rsidR="00294A79">
      <w:fldChar w:fldCharType="separate"/>
    </w:r>
    <w:r w:rsidR="00294A79">
      <w:rPr>
        <w:noProof/>
      </w:rPr>
      <w:instrText>2</w:instrText>
    </w:r>
    <w:r w:rsidR="00294A79">
      <w:rPr>
        <w:noProof/>
      </w:rPr>
      <w:fldChar w:fldCharType="end"/>
    </w:r>
    <w:r>
      <w:instrText xml:space="preserve"> -0 </w:instrText>
    </w:r>
    <w:r>
      <w:fldChar w:fldCharType="separate"/>
    </w:r>
    <w:r w:rsidR="00294A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C51925" w:rsidRDefault="00025376" w:rsidP="00C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C51925" w:rsidRDefault="00025376" w:rsidP="00C5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C51925" w:rsidRDefault="00025376" w:rsidP="00C51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C51925" w:rsidRDefault="00025376" w:rsidP="00C51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543B4"/>
    <w:rsid w:val="00266F04"/>
    <w:rsid w:val="00271760"/>
    <w:rsid w:val="00275230"/>
    <w:rsid w:val="00294A79"/>
    <w:rsid w:val="00300629"/>
    <w:rsid w:val="003138F5"/>
    <w:rsid w:val="00352C2D"/>
    <w:rsid w:val="00386113"/>
    <w:rsid w:val="003B3388"/>
    <w:rsid w:val="004254DD"/>
    <w:rsid w:val="00435F03"/>
    <w:rsid w:val="00444B65"/>
    <w:rsid w:val="004672B1"/>
    <w:rsid w:val="004774B7"/>
    <w:rsid w:val="004830F0"/>
    <w:rsid w:val="004C6A3E"/>
    <w:rsid w:val="00516F9E"/>
    <w:rsid w:val="00542683"/>
    <w:rsid w:val="00563AC5"/>
    <w:rsid w:val="005D5272"/>
    <w:rsid w:val="00655B6F"/>
    <w:rsid w:val="00662A5C"/>
    <w:rsid w:val="00663DCB"/>
    <w:rsid w:val="00674DEA"/>
    <w:rsid w:val="006A56FF"/>
    <w:rsid w:val="006E16DF"/>
    <w:rsid w:val="006F603B"/>
    <w:rsid w:val="00753F49"/>
    <w:rsid w:val="007765AA"/>
    <w:rsid w:val="007C7E9B"/>
    <w:rsid w:val="007E0533"/>
    <w:rsid w:val="007F37FC"/>
    <w:rsid w:val="00851D35"/>
    <w:rsid w:val="0090260D"/>
    <w:rsid w:val="00904CEB"/>
    <w:rsid w:val="00910713"/>
    <w:rsid w:val="00937EF6"/>
    <w:rsid w:val="0095210D"/>
    <w:rsid w:val="00964163"/>
    <w:rsid w:val="009903A6"/>
    <w:rsid w:val="00A0534F"/>
    <w:rsid w:val="00AF7A67"/>
    <w:rsid w:val="00B0683B"/>
    <w:rsid w:val="00BB27F7"/>
    <w:rsid w:val="00BE1409"/>
    <w:rsid w:val="00C51925"/>
    <w:rsid w:val="00C563F7"/>
    <w:rsid w:val="00CE353B"/>
    <w:rsid w:val="00CE7B09"/>
    <w:rsid w:val="00D44E3A"/>
    <w:rsid w:val="00D84E42"/>
    <w:rsid w:val="00E65139"/>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el-GR"/>
    </w:rPr>
  </w:style>
  <w:style w:type="character" w:customStyle="1" w:styleId="Heading2Char">
    <w:name w:val="Heading 2 Char"/>
    <w:basedOn w:val="DefaultParagraphFont"/>
    <w:link w:val="Heading2"/>
    <w:rsid w:val="004774B7"/>
    <w:rPr>
      <w:rFonts w:ascii="Times New Roman" w:eastAsia="Times New Roman" w:hAnsi="Times New Roman" w:cs="Times New Roman"/>
      <w:lang w:val="el-GR"/>
    </w:rPr>
  </w:style>
  <w:style w:type="character" w:customStyle="1" w:styleId="Heading3Char">
    <w:name w:val="Heading 3 Char"/>
    <w:basedOn w:val="DefaultParagraphFont"/>
    <w:link w:val="Heading3"/>
    <w:rsid w:val="004774B7"/>
    <w:rPr>
      <w:rFonts w:ascii="Times New Roman" w:eastAsia="Times New Roman" w:hAnsi="Times New Roman" w:cs="Times New Roman"/>
      <w:lang w:val="el-GR"/>
    </w:rPr>
  </w:style>
  <w:style w:type="character" w:customStyle="1" w:styleId="Heading4Char">
    <w:name w:val="Heading 4 Char"/>
    <w:basedOn w:val="DefaultParagraphFont"/>
    <w:link w:val="Heading4"/>
    <w:rsid w:val="004774B7"/>
    <w:rPr>
      <w:rFonts w:ascii="Times New Roman" w:eastAsia="Times New Roman" w:hAnsi="Times New Roman" w:cs="Times New Roman"/>
      <w:lang w:val="el-GR"/>
    </w:rPr>
  </w:style>
  <w:style w:type="character" w:customStyle="1" w:styleId="Heading5Char">
    <w:name w:val="Heading 5 Char"/>
    <w:basedOn w:val="DefaultParagraphFont"/>
    <w:link w:val="Heading5"/>
    <w:rsid w:val="004774B7"/>
    <w:rPr>
      <w:rFonts w:ascii="Times New Roman" w:eastAsia="Times New Roman" w:hAnsi="Times New Roman" w:cs="Times New Roman"/>
      <w:lang w:val="el-GR"/>
    </w:rPr>
  </w:style>
  <w:style w:type="character" w:customStyle="1" w:styleId="Heading6Char">
    <w:name w:val="Heading 6 Char"/>
    <w:basedOn w:val="DefaultParagraphFont"/>
    <w:link w:val="Heading6"/>
    <w:rsid w:val="004774B7"/>
    <w:rPr>
      <w:rFonts w:ascii="Times New Roman" w:eastAsia="Times New Roman" w:hAnsi="Times New Roman" w:cs="Times New Roman"/>
      <w:lang w:val="el-GR"/>
    </w:rPr>
  </w:style>
  <w:style w:type="character" w:customStyle="1" w:styleId="Heading7Char">
    <w:name w:val="Heading 7 Char"/>
    <w:basedOn w:val="DefaultParagraphFont"/>
    <w:link w:val="Heading7"/>
    <w:rsid w:val="004774B7"/>
    <w:rPr>
      <w:rFonts w:ascii="Times New Roman" w:eastAsia="Times New Roman" w:hAnsi="Times New Roman" w:cs="Times New Roman"/>
      <w:lang w:val="el-GR"/>
    </w:rPr>
  </w:style>
  <w:style w:type="character" w:customStyle="1" w:styleId="Heading8Char">
    <w:name w:val="Heading 8 Char"/>
    <w:basedOn w:val="DefaultParagraphFont"/>
    <w:link w:val="Heading8"/>
    <w:rsid w:val="004774B7"/>
    <w:rPr>
      <w:rFonts w:ascii="Times New Roman" w:eastAsia="Times New Roman" w:hAnsi="Times New Roman" w:cs="Times New Roman"/>
      <w:lang w:val="el-GR"/>
    </w:rPr>
  </w:style>
  <w:style w:type="character" w:customStyle="1" w:styleId="Heading9Char">
    <w:name w:val="Heading 9 Char"/>
    <w:basedOn w:val="DefaultParagraphFont"/>
    <w:link w:val="Heading9"/>
    <w:rsid w:val="004774B7"/>
    <w:rPr>
      <w:rFonts w:ascii="Times New Roman" w:eastAsia="Times New Roman" w:hAnsi="Times New Roman" w:cs="Times New Roman"/>
      <w:lang w:val="el-GR"/>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el-GR"/>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el-GR"/>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el-GR"/>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el-GR"/>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el-GR"/>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F7M6YNZUATRX-917472228-13137</_dlc_DocId>
    <_dlc_DocIdUrl xmlns="59ace41b-6786-4ce3-be71-52c27066c6ef">
      <Url>http://dm/eesc/2024/_layouts/15/DocIdRedir.aspx?ID=F7M6YNZUATRX-917472228-13137</Url>
      <Description>F7M6YNZUATRX-917472228-13137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2024-11-15T12:00:00+00:00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Poulou Nikoletta</DisplayName>
        <AccountId>2040</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FAF6-B45A-4AA4-9615-1C43374E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8A284-49CC-4C4D-BE3F-6E2DC9F64F3D}">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3FFB860A-0170-4057-95C8-624183F49CEC}">
  <ds:schemaRefs>
    <ds:schemaRef ds:uri="http://schemas.microsoft.com/sharepoint/events"/>
  </ds:schemaRefs>
</ds:datastoreItem>
</file>

<file path=customXml/itemProps4.xml><?xml version="1.0" encoding="utf-8"?>
<ds:datastoreItem xmlns:ds="http://schemas.openxmlformats.org/officeDocument/2006/customXml" ds:itemID="{2C8A21FE-7785-4397-B135-5E8B49D92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Ένα ιδανικό όραμα για την τεχνητή νοημοσύνη στον κόσμο της εργασίας και στον εργασιακό χώρο το 2035</dc:title>
  <dc:subject>TCD</dc:subject>
  <dc:creator>Perpinan Haro Carmen</dc:creator>
  <cp:keywords>EESC-2024-01024-01-00-TCD-TRA-EN</cp:keywords>
  <dc:description>Rapporteur: SALIS-MADINIER - Original language: EN - Date of document: 15/11/2024 - Date of meeting:  - External documents:  - Administrator: MME DUMITRACHE Ana</dc:description>
  <cp:lastModifiedBy>Vignoli Rina</cp:lastModifiedBy>
  <cp:revision>2</cp:revision>
  <dcterms:created xsi:type="dcterms:W3CDTF">2024-11-27T10:06:00Z</dcterms:created>
  <dcterms:modified xsi:type="dcterms:W3CDTF">2024-11-27T10:06:00Z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c48dd362-e0d6-4384-bf1c-394bf7f67f2d</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EN|f2175f21-25d7-44a3-96da-d6a61b075e1b;PT|50ccc04a-eadd-42ae-a0cb-acaf45f812ba;LV|46f7e311-5d9f-4663-b433-18aeccb7ace7;PL|1e03da61-4678-4e07-b136-b5024ca9197b;DE|f6b31e5a-26fa-4935-b661-318e46daf27e;SV|c2ed69e7-a339-43d7-8f22-d93680a92aa0;IT|0774613c-01ed-4e5d-a25d-11d2388de825</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28;#LV|46f7e311-5d9f-4663-b433-18aeccb7ace7;#25;#DE|f6b31e5a-26fa-4935-b661-318e46daf27e;#21;#SV|c2ed69e7-a339-43d7-8f22-d93680a92aa0;#17;#PL|1e03da61-4678-4e07-b136-b5024ca9197b;#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29;#EL|6d4f4d51-af9b-4650-94b4-4276bee85c91</vt:lpwstr>
  </property>
  <property fmtid="{D5CDD505-2E9C-101B-9397-08002B2CF9AE}" pid="37" name="_docset_NoMedatataSyncRequired">
    <vt:lpwstr>False</vt:lpwstr>
  </property>
</Properties>
</file>