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C8F2" w14:textId="63B7973C" w:rsidR="00964163" w:rsidRDefault="00964163" w:rsidP="00964163">
      <w:pPr>
        <w:spacing w:line="276" w:lineRule="auto"/>
        <w:jc w:val="center"/>
        <w:rPr>
          <w:b/>
          <w:bCs/>
        </w:rPr>
      </w:pPr>
      <w:r>
        <w:rPr>
          <w:b/>
          <w:noProof/>
          <w:sz w:val="20"/>
        </w:rPr>
        <mc:AlternateContent>
          <mc:Choice Requires="wps">
            <w:drawing>
              <wp:anchor distT="0" distB="0" distL="114300" distR="114300" simplePos="0" relativeHeight="251659264" behindDoc="1" locked="0" layoutInCell="0" allowOverlap="1" wp14:anchorId="1531C286" wp14:editId="31004D7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FAC72" w14:textId="77777777" w:rsidR="00964163" w:rsidRPr="00260E65" w:rsidRDefault="00964163">
                            <w:pPr>
                              <w:jc w:val="center"/>
                              <w:rPr>
                                <w:rFonts w:ascii="Arial" w:hAnsi="Arial" w:cs="Arial"/>
                                <w:b/>
                                <w:bCs/>
                                <w:sz w:val="48"/>
                              </w:rP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1C286"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76EFAC72" w14:textId="77777777" w:rsidR="00964163" w:rsidRPr="00260E65" w:rsidRDefault="00964163">
                      <w:pPr>
                        <w:jc w:val="center"/>
                        <w:rPr>
                          <w:rFonts w:ascii="Arial" w:hAnsi="Arial" w:cs="Arial"/>
                          <w:b/>
                          <w:bCs/>
                          <w:sz w:val="48"/>
                        </w:rPr>
                      </w:pPr>
                      <w:r>
                        <w:rPr>
                          <w:rFonts w:ascii="Arial" w:hAnsi="Arial"/>
                          <w:b/>
                          <w:sz w:val="48"/>
                        </w:rPr>
                        <w:t>BG</w:t>
                      </w:r>
                    </w:p>
                  </w:txbxContent>
                </v:textbox>
                <w10:wrap anchorx="page" anchory="page"/>
              </v:shape>
            </w:pict>
          </mc:Fallback>
        </mc:AlternateContent>
      </w:r>
    </w:p>
    <w:p w14:paraId="0D60FDBA" w14:textId="735379DA" w:rsidR="00061143" w:rsidRDefault="00435F03" w:rsidP="00026C2F">
      <w:pPr>
        <w:spacing w:line="276" w:lineRule="auto"/>
        <w:jc w:val="center"/>
        <w:rPr>
          <w:b/>
          <w:bCs/>
        </w:rPr>
      </w:pPr>
      <w:r>
        <w:rPr>
          <w:b/>
        </w:rPr>
        <w:t>SOC/803 Заседание за прогнозиране: 26 септември 2024 г.</w:t>
      </w:r>
    </w:p>
    <w:p w14:paraId="64BFFFA3" w14:textId="5DCA591D" w:rsidR="00435F03" w:rsidRPr="00CE353B" w:rsidRDefault="00435F03" w:rsidP="00026C2F">
      <w:pPr>
        <w:spacing w:line="276" w:lineRule="auto"/>
        <w:jc w:val="center"/>
        <w:rPr>
          <w:b/>
          <w:bCs/>
        </w:rPr>
      </w:pPr>
      <w:r>
        <w:rPr>
          <w:b/>
        </w:rPr>
        <w:t>Идеална визия за ИИ в сферата на труда и на работното място през 2035 г.</w:t>
      </w:r>
    </w:p>
    <w:p w14:paraId="32B2DD03" w14:textId="4357857A" w:rsidR="007E0533" w:rsidRDefault="007E0533" w:rsidP="00026C2F">
      <w:pPr>
        <w:spacing w:line="276" w:lineRule="auto"/>
        <w:rPr>
          <w:lang w:val="en-GB"/>
        </w:rPr>
      </w:pPr>
    </w:p>
    <w:tbl>
      <w:tblPr>
        <w:tblStyle w:val="TableGrid"/>
        <w:tblW w:w="0" w:type="auto"/>
        <w:jc w:val="center"/>
        <w:tblCellMar>
          <w:top w:w="85" w:type="dxa"/>
          <w:bottom w:w="85" w:type="dxa"/>
        </w:tblCellMar>
        <w:tblLook w:val="04A0" w:firstRow="1" w:lastRow="0" w:firstColumn="1" w:lastColumn="0" w:noHBand="0" w:noVBand="1"/>
      </w:tblPr>
      <w:tblGrid>
        <w:gridCol w:w="9063"/>
      </w:tblGrid>
      <w:tr w:rsidR="00F00B65" w14:paraId="16FC4E57" w14:textId="77777777" w:rsidTr="00CE7B09">
        <w:trPr>
          <w:jc w:val="center"/>
        </w:trPr>
        <w:tc>
          <w:tcPr>
            <w:tcW w:w="9063" w:type="dxa"/>
          </w:tcPr>
          <w:p w14:paraId="66E269A8" w14:textId="6476A544" w:rsidR="00F00B65" w:rsidRDefault="00F00B65">
            <w:pPr>
              <w:spacing w:line="276" w:lineRule="auto"/>
            </w:pPr>
            <w:r w:rsidRPr="00DB68BF">
              <w:rPr>
                <w:b/>
                <w:bCs/>
              </w:rPr>
              <w:t>До 2035 г. изкуственият интелект (ИИ) се е превърнал в надежден партньор на работното място</w:t>
            </w:r>
            <w:r>
              <w:t>, като е довел до повишаване на производителността и качеството на работните места, намаляване на неравенствата и насърчаване на сътрудничеството и човешкия надзор. Регулаторната рамка на ЕС гарантира, че ИИ се прилага етично, като създава бъдеще, в което работата е както технологично напреднала, така и ориентирана към човека. ИИ е от полза за цялото общество, а споделената визия между работодателите и работниците гарантира, че ИИ се разработва за общото благо.</w:t>
            </w:r>
          </w:p>
        </w:tc>
      </w:tr>
    </w:tbl>
    <w:p w14:paraId="15195F98" w14:textId="77777777" w:rsidR="00F00B65" w:rsidRDefault="00F00B65" w:rsidP="00026C2F">
      <w:pPr>
        <w:spacing w:line="276" w:lineRule="auto"/>
        <w:rPr>
          <w:lang w:val="en-GB"/>
        </w:rPr>
      </w:pPr>
    </w:p>
    <w:p w14:paraId="64F06779" w14:textId="4C0EC1EB" w:rsidR="00052EFB" w:rsidRDefault="00444B65" w:rsidP="00026C2F">
      <w:pPr>
        <w:spacing w:line="276" w:lineRule="auto"/>
      </w:pPr>
      <w:r>
        <w:t xml:space="preserve">През 2035 г. </w:t>
      </w:r>
      <w:r>
        <w:rPr>
          <w:b/>
        </w:rPr>
        <w:t>Европейският съюз е лидер</w:t>
      </w:r>
      <w:r>
        <w:t xml:space="preserve"> в определянето на стандарти за регулиране на ИИ и е следван от своите конкуренти в световен мащаб. </w:t>
      </w:r>
    </w:p>
    <w:p w14:paraId="699E8CE9" w14:textId="77777777" w:rsidR="00516F9E" w:rsidRDefault="00516F9E" w:rsidP="00026C2F">
      <w:pPr>
        <w:spacing w:line="276" w:lineRule="auto"/>
        <w:rPr>
          <w:lang w:val="en-GB"/>
        </w:rPr>
      </w:pPr>
    </w:p>
    <w:p w14:paraId="1FA983EA" w14:textId="4C406AC6" w:rsidR="000E149C" w:rsidRDefault="00052EFB" w:rsidP="00026C2F">
      <w:pPr>
        <w:spacing w:line="276" w:lineRule="auto"/>
      </w:pPr>
      <w:r>
        <w:rPr>
          <w:b/>
        </w:rPr>
        <w:t>ИИ подобрява работните места, така че те да са съдържателни, с добро качество и да развиват уменията на работниците.</w:t>
      </w:r>
      <w:r>
        <w:t xml:space="preserve"> ИИ поема повтарящи се и физически трудни задачи, което позволява на служителите да се съсредоточат върху творческите аспекти на своята работа. Тази промяна повишава производителността, подобрява равновесието между професионалния и личния живот и условията на труд и повишава удовлетвореността от работата, тъй като ИИ се разглежда като надежден колега, който подкрепя работещите, а не ги замества. </w:t>
      </w:r>
    </w:p>
    <w:p w14:paraId="3DA1D7FA" w14:textId="04E75A48" w:rsidR="00435F03" w:rsidRDefault="00435F03" w:rsidP="00026C2F">
      <w:pPr>
        <w:spacing w:line="276" w:lineRule="auto"/>
        <w:rPr>
          <w:lang w:val="en-GB"/>
        </w:rPr>
      </w:pPr>
    </w:p>
    <w:p w14:paraId="7E56C8DD" w14:textId="4A473839" w:rsidR="00444B65" w:rsidRDefault="00444B65" w:rsidP="00026C2F">
      <w:pPr>
        <w:spacing w:line="276" w:lineRule="auto"/>
      </w:pPr>
      <w:r>
        <w:t xml:space="preserve">От решаващо значение е, че </w:t>
      </w:r>
      <w:r>
        <w:rPr>
          <w:b/>
        </w:rPr>
        <w:t>човешкият надзор</w:t>
      </w:r>
      <w:r>
        <w:t xml:space="preserve"> остава в основата на процеса на вземане на решения, като се гарантира, че основните решения се вземат от хората. Някои червени линии не са пресечени: решенията, които оказват значително въздействие върху живота на хората (напр. уволнения, дисциплинарни мерки), се вземат от хората.</w:t>
      </w:r>
    </w:p>
    <w:p w14:paraId="7633336D" w14:textId="2548D9E1" w:rsidR="00300629" w:rsidRDefault="00300629" w:rsidP="00026C2F">
      <w:pPr>
        <w:spacing w:line="276" w:lineRule="auto"/>
        <w:rPr>
          <w:lang w:val="en-GB"/>
        </w:rPr>
      </w:pPr>
    </w:p>
    <w:p w14:paraId="52314D80" w14:textId="2E334662" w:rsidR="00C563F7" w:rsidRDefault="00444B65" w:rsidP="00026C2F">
      <w:pPr>
        <w:spacing w:line="276" w:lineRule="auto"/>
      </w:pPr>
      <w:r>
        <w:t xml:space="preserve">ИИ също така играе ключова роля за насърчаването на </w:t>
      </w:r>
      <w:r>
        <w:rPr>
          <w:b/>
        </w:rPr>
        <w:t>равните възможности и намаляването на различията</w:t>
      </w:r>
      <w:r>
        <w:t xml:space="preserve">, намаляването на цифровото разделение и овластяването на хората. По-специално ИИ подкрепя </w:t>
      </w:r>
      <w:r>
        <w:rPr>
          <w:b/>
        </w:rPr>
        <w:t>равенството между жените и мъжете.</w:t>
      </w:r>
      <w:r>
        <w:t xml:space="preserve"> Жените имат добри работни места. Ако задачите, които се изпълняват предимно от жени (като </w:t>
      </w:r>
      <w:proofErr w:type="spellStart"/>
      <w:r>
        <w:t>деловодителски</w:t>
      </w:r>
      <w:proofErr w:type="spellEnd"/>
      <w:r>
        <w:t xml:space="preserve"> задачи), са автоматизирани, на подходящото равнище се въведени мерки за предоставяне на възможности и овластяване, за да се преодолее въздействието върху заетостта и да се осигури преквалификацията. </w:t>
      </w:r>
    </w:p>
    <w:p w14:paraId="3FB4D956" w14:textId="03DF6424" w:rsidR="00C563F7" w:rsidRDefault="00C563F7" w:rsidP="00026C2F">
      <w:pPr>
        <w:spacing w:line="276" w:lineRule="auto"/>
        <w:rPr>
          <w:lang w:val="en-GB"/>
        </w:rPr>
      </w:pPr>
    </w:p>
    <w:p w14:paraId="4145C6D4" w14:textId="413A403A" w:rsidR="006A56FF" w:rsidRDefault="00516F9E" w:rsidP="00026C2F">
      <w:pPr>
        <w:spacing w:line="276" w:lineRule="auto"/>
      </w:pPr>
      <w:r>
        <w:t xml:space="preserve">ИИ позволява на работниците и дружествата да се съсредоточат върху развиването на нови </w:t>
      </w:r>
      <w:r>
        <w:rPr>
          <w:b/>
        </w:rPr>
        <w:t>умения</w:t>
      </w:r>
      <w:r>
        <w:t xml:space="preserve"> и се признава значението на цифровите умения и критичното мислене по отношение на ИИ. Програмите за обучение, основани на ИИ, предоставят персонализирани учебни пътеки, които дават възможност на работниците от всякакъв произход да подобряват своите умения през цялата си кариера. Това спомага за преодоляване на различията между квалифицираните и неквалифицираните длъжности. Като цяло хората имат равен достъп до възможности за </w:t>
      </w:r>
      <w:r>
        <w:rPr>
          <w:b/>
        </w:rPr>
        <w:t>учене през целия живот</w:t>
      </w:r>
      <w:r>
        <w:t>, за да се адаптират към развиващия се пазар на труда. ИИ се развива не само с цел повишаване на производителността, но и с цел подобряване на човешките способности и увеличаване на човешката интелигентност.</w:t>
      </w:r>
    </w:p>
    <w:p w14:paraId="14C81683" w14:textId="77777777" w:rsidR="006A56FF" w:rsidRDefault="006A56FF" w:rsidP="00026C2F">
      <w:pPr>
        <w:spacing w:line="276" w:lineRule="auto"/>
        <w:rPr>
          <w:lang w:val="en-GB"/>
        </w:rPr>
      </w:pPr>
    </w:p>
    <w:p w14:paraId="6E80BF72" w14:textId="7DE96197" w:rsidR="00300629" w:rsidRDefault="00444B65" w:rsidP="00026C2F">
      <w:pPr>
        <w:spacing w:line="276" w:lineRule="auto"/>
      </w:pPr>
      <w:r>
        <w:rPr>
          <w:b/>
        </w:rPr>
        <w:lastRenderedPageBreak/>
        <w:t>Неприкосновеността на личния живот и защитата на данните</w:t>
      </w:r>
      <w:r>
        <w:t xml:space="preserve"> са приоритет, като системите с ИИ функционират прозрачно и се придържат към етични кодекси, които защитават основните права и авторските права. Разпоредбите не позволяват използването на ИИ за наблюдение и социално оценяване. Насърчават се работни места, където служителите се чувстват сигурни и овластени, а не се наблюдават или контролират по неподходящ начин.</w:t>
      </w:r>
    </w:p>
    <w:p w14:paraId="4657F8FD" w14:textId="77777777" w:rsidR="006A56FF" w:rsidRDefault="006A56FF" w:rsidP="00026C2F">
      <w:pPr>
        <w:spacing w:line="276" w:lineRule="auto"/>
        <w:rPr>
          <w:lang w:val="en-GB"/>
        </w:rPr>
      </w:pPr>
    </w:p>
    <w:p w14:paraId="20AD23E7" w14:textId="0F136BB7" w:rsidR="004774B7" w:rsidRPr="004774B7" w:rsidRDefault="000E149C" w:rsidP="00026C2F">
      <w:pPr>
        <w:spacing w:line="276" w:lineRule="auto"/>
      </w:pPr>
      <w:r>
        <w:rPr>
          <w:b/>
        </w:rPr>
        <w:t>Силният социален диалог</w:t>
      </w:r>
      <w:r>
        <w:t xml:space="preserve">, основан на ефективна законодателна рамка и изрични насоки, е дълбоко интегриран в процеса на прилагане на ИИ и се провежда на всички подходящи равнища и във всички държави — членки на ЕС. На национално равнище се полагат усилия за подкрепа и укрепване на социалния диалог. ИИ подпомага изграждането на капацитет и обучението на социалните партньори. Работодателите, работниците и/или техните представители участват в консултации относно въвеждането и използването на ИИ на работното място. Това участие, от началото на процеса, гарантира, че </w:t>
      </w:r>
      <w:r>
        <w:rPr>
          <w:b/>
        </w:rPr>
        <w:t>ИИ е проектиран с участието на работниците</w:t>
      </w:r>
      <w:r>
        <w:t>, като се насърчава доверието и сътрудничеството. Социалният диалог се използва и за справяне с евентуални предизвикателства, породени от ИИ, за предвиждане на недостига на работна ръка и умения и за запълване на пропуските в нормативната уредба.</w:t>
      </w:r>
    </w:p>
    <w:sectPr w:rsidR="004774B7" w:rsidRPr="004774B7" w:rsidSect="00025376">
      <w:headerReference w:type="even" r:id="rId11"/>
      <w:headerReference w:type="default" r:id="rId12"/>
      <w:footerReference w:type="even" r:id="rId13"/>
      <w:footerReference w:type="default" r:id="rId14"/>
      <w:headerReference w:type="first" r:id="rId15"/>
      <w:footerReference w:type="first" r:id="rId16"/>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F5DA" w14:textId="77777777" w:rsidR="00904CEB" w:rsidRDefault="00904CEB" w:rsidP="00904CEB">
      <w:pPr>
        <w:spacing w:line="240" w:lineRule="auto"/>
      </w:pPr>
      <w:r>
        <w:separator/>
      </w:r>
    </w:p>
  </w:endnote>
  <w:endnote w:type="continuationSeparator" w:id="0">
    <w:p w14:paraId="1F0088AC" w14:textId="77777777" w:rsidR="00904CEB" w:rsidRDefault="00904CEB" w:rsidP="00904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8E5B" w14:textId="77777777" w:rsidR="00025376" w:rsidRPr="00025376" w:rsidRDefault="00025376" w:rsidP="0002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B818" w14:textId="25BD9056" w:rsidR="00904CEB" w:rsidRPr="00025376" w:rsidRDefault="00025376" w:rsidP="00025376">
    <w:pPr>
      <w:pStyle w:val="Footer"/>
    </w:pPr>
    <w:r>
      <w:t xml:space="preserve">SOC/803 – EESC-2024-01024-01-00-TCD-TRA (EN) </w:t>
    </w:r>
    <w:r>
      <w:fldChar w:fldCharType="begin"/>
    </w:r>
    <w:r>
      <w:instrText xml:space="preserve"> PAGE  \* Arabic  \* MERGEFORMAT </w:instrText>
    </w:r>
    <w:r>
      <w:fldChar w:fldCharType="separate"/>
    </w:r>
    <w:r w:rsidR="00026C2F">
      <w:t>1</w:t>
    </w:r>
    <w:r>
      <w:fldChar w:fldCharType="end"/>
    </w:r>
    <w:r>
      <w:t>/</w:t>
    </w:r>
    <w:r w:rsidR="00297F54">
      <w:fldChar w:fldCharType="begin"/>
    </w:r>
    <w:r w:rsidR="00297F54">
      <w:instrText xml:space="preserve"> NUMPAGES </w:instrText>
    </w:r>
    <w:r w:rsidR="00297F54">
      <w:fldChar w:fldCharType="separate"/>
    </w:r>
    <w:r w:rsidR="00026C2F">
      <w:t>1</w:t>
    </w:r>
    <w:r w:rsidR="00297F5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C93A" w14:textId="77777777" w:rsidR="00025376" w:rsidRPr="00025376" w:rsidRDefault="00025376" w:rsidP="0002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EC5E0" w14:textId="77777777" w:rsidR="00904CEB" w:rsidRDefault="00904CEB" w:rsidP="00904CEB">
      <w:pPr>
        <w:spacing w:line="240" w:lineRule="auto"/>
      </w:pPr>
      <w:r>
        <w:separator/>
      </w:r>
    </w:p>
  </w:footnote>
  <w:footnote w:type="continuationSeparator" w:id="0">
    <w:p w14:paraId="7FDDC24B" w14:textId="77777777" w:rsidR="00904CEB" w:rsidRDefault="00904CEB" w:rsidP="00904C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FA47" w14:textId="77777777" w:rsidR="00025376" w:rsidRPr="00025376" w:rsidRDefault="00025376" w:rsidP="0002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916B" w14:textId="29D4840F" w:rsidR="00025376" w:rsidRPr="00025376" w:rsidRDefault="00025376" w:rsidP="0002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1265" w14:textId="77777777" w:rsidR="00025376" w:rsidRPr="00025376" w:rsidRDefault="00025376" w:rsidP="0002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663856"/>
    <w:multiLevelType w:val="hybridMultilevel"/>
    <w:tmpl w:val="CF28D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7"/>
    <w:rsid w:val="00005770"/>
    <w:rsid w:val="00025376"/>
    <w:rsid w:val="00026465"/>
    <w:rsid w:val="00026C2F"/>
    <w:rsid w:val="00042F8F"/>
    <w:rsid w:val="00052EFB"/>
    <w:rsid w:val="00061143"/>
    <w:rsid w:val="000A4F82"/>
    <w:rsid w:val="000E149C"/>
    <w:rsid w:val="00102D18"/>
    <w:rsid w:val="001745D3"/>
    <w:rsid w:val="00174F6A"/>
    <w:rsid w:val="002543B4"/>
    <w:rsid w:val="00266F04"/>
    <w:rsid w:val="00271760"/>
    <w:rsid w:val="00275230"/>
    <w:rsid w:val="00297F54"/>
    <w:rsid w:val="00300629"/>
    <w:rsid w:val="003138F5"/>
    <w:rsid w:val="00352C2D"/>
    <w:rsid w:val="00386113"/>
    <w:rsid w:val="00390075"/>
    <w:rsid w:val="003B3388"/>
    <w:rsid w:val="004254DD"/>
    <w:rsid w:val="00435F03"/>
    <w:rsid w:val="00444B65"/>
    <w:rsid w:val="004672B1"/>
    <w:rsid w:val="004774B7"/>
    <w:rsid w:val="004830F0"/>
    <w:rsid w:val="004C6A3E"/>
    <w:rsid w:val="00516F9E"/>
    <w:rsid w:val="00542683"/>
    <w:rsid w:val="00563AC5"/>
    <w:rsid w:val="00655B6F"/>
    <w:rsid w:val="00662A5C"/>
    <w:rsid w:val="00663DCB"/>
    <w:rsid w:val="00674DEA"/>
    <w:rsid w:val="006A56FF"/>
    <w:rsid w:val="006D3037"/>
    <w:rsid w:val="006E16DF"/>
    <w:rsid w:val="006F603B"/>
    <w:rsid w:val="00753F49"/>
    <w:rsid w:val="007765AA"/>
    <w:rsid w:val="007C7E9B"/>
    <w:rsid w:val="007E0533"/>
    <w:rsid w:val="007F37FC"/>
    <w:rsid w:val="0090260D"/>
    <w:rsid w:val="00904CEB"/>
    <w:rsid w:val="00910713"/>
    <w:rsid w:val="00937EF6"/>
    <w:rsid w:val="0095210D"/>
    <w:rsid w:val="00964163"/>
    <w:rsid w:val="00967576"/>
    <w:rsid w:val="009903A6"/>
    <w:rsid w:val="00A0534F"/>
    <w:rsid w:val="00B0683B"/>
    <w:rsid w:val="00BB27F7"/>
    <w:rsid w:val="00BE1409"/>
    <w:rsid w:val="00C563F7"/>
    <w:rsid w:val="00CE353B"/>
    <w:rsid w:val="00CE7B09"/>
    <w:rsid w:val="00D44E3A"/>
    <w:rsid w:val="00D84E42"/>
    <w:rsid w:val="00DB68BF"/>
    <w:rsid w:val="00E65139"/>
    <w:rsid w:val="00E923EC"/>
    <w:rsid w:val="00EE1EE3"/>
    <w:rsid w:val="00F00B65"/>
    <w:rsid w:val="00F35302"/>
    <w:rsid w:val="00FC205E"/>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8E786"/>
  <w15:chartTrackingRefBased/>
  <w15:docId w15:val="{565440D3-A8FB-4056-A4FC-A114097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774B7"/>
    <w:pPr>
      <w:numPr>
        <w:numId w:val="1"/>
      </w:numPr>
      <w:ind w:left="567" w:hanging="567"/>
      <w:outlineLvl w:val="0"/>
    </w:pPr>
    <w:rPr>
      <w:kern w:val="28"/>
    </w:rPr>
  </w:style>
  <w:style w:type="paragraph" w:styleId="Heading2">
    <w:name w:val="heading 2"/>
    <w:basedOn w:val="Normal"/>
    <w:next w:val="Normal"/>
    <w:link w:val="Heading2Char"/>
    <w:qFormat/>
    <w:rsid w:val="004774B7"/>
    <w:pPr>
      <w:numPr>
        <w:ilvl w:val="1"/>
        <w:numId w:val="1"/>
      </w:numPr>
      <w:ind w:left="567" w:hanging="567"/>
      <w:outlineLvl w:val="1"/>
    </w:pPr>
  </w:style>
  <w:style w:type="paragraph" w:styleId="Heading3">
    <w:name w:val="heading 3"/>
    <w:basedOn w:val="Normal"/>
    <w:next w:val="Normal"/>
    <w:link w:val="Heading3Char"/>
    <w:qFormat/>
    <w:rsid w:val="004774B7"/>
    <w:pPr>
      <w:numPr>
        <w:ilvl w:val="2"/>
        <w:numId w:val="1"/>
      </w:numPr>
      <w:ind w:left="567" w:hanging="567"/>
      <w:outlineLvl w:val="2"/>
    </w:pPr>
  </w:style>
  <w:style w:type="paragraph" w:styleId="Heading4">
    <w:name w:val="heading 4"/>
    <w:basedOn w:val="Normal"/>
    <w:next w:val="Normal"/>
    <w:link w:val="Heading4Char"/>
    <w:qFormat/>
    <w:rsid w:val="004774B7"/>
    <w:pPr>
      <w:numPr>
        <w:ilvl w:val="3"/>
        <w:numId w:val="1"/>
      </w:numPr>
      <w:ind w:left="567" w:hanging="567"/>
      <w:outlineLvl w:val="3"/>
    </w:pPr>
  </w:style>
  <w:style w:type="paragraph" w:styleId="Heading5">
    <w:name w:val="heading 5"/>
    <w:basedOn w:val="Normal"/>
    <w:next w:val="Normal"/>
    <w:link w:val="Heading5Char"/>
    <w:qFormat/>
    <w:rsid w:val="004774B7"/>
    <w:pPr>
      <w:numPr>
        <w:ilvl w:val="4"/>
        <w:numId w:val="1"/>
      </w:numPr>
      <w:ind w:left="567" w:hanging="567"/>
      <w:outlineLvl w:val="4"/>
    </w:pPr>
  </w:style>
  <w:style w:type="paragraph" w:styleId="Heading6">
    <w:name w:val="heading 6"/>
    <w:basedOn w:val="Normal"/>
    <w:next w:val="Normal"/>
    <w:link w:val="Heading6Char"/>
    <w:qFormat/>
    <w:rsid w:val="004774B7"/>
    <w:pPr>
      <w:numPr>
        <w:ilvl w:val="5"/>
        <w:numId w:val="1"/>
      </w:numPr>
      <w:ind w:left="567" w:hanging="567"/>
      <w:outlineLvl w:val="5"/>
    </w:pPr>
  </w:style>
  <w:style w:type="paragraph" w:styleId="Heading7">
    <w:name w:val="heading 7"/>
    <w:basedOn w:val="Normal"/>
    <w:next w:val="Normal"/>
    <w:link w:val="Heading7Char"/>
    <w:qFormat/>
    <w:rsid w:val="004774B7"/>
    <w:pPr>
      <w:numPr>
        <w:ilvl w:val="6"/>
        <w:numId w:val="1"/>
      </w:numPr>
      <w:ind w:left="567" w:hanging="567"/>
      <w:outlineLvl w:val="6"/>
    </w:pPr>
  </w:style>
  <w:style w:type="paragraph" w:styleId="Heading8">
    <w:name w:val="heading 8"/>
    <w:basedOn w:val="Normal"/>
    <w:next w:val="Normal"/>
    <w:link w:val="Heading8Char"/>
    <w:qFormat/>
    <w:rsid w:val="004774B7"/>
    <w:pPr>
      <w:numPr>
        <w:ilvl w:val="7"/>
        <w:numId w:val="1"/>
      </w:numPr>
      <w:ind w:left="567" w:hanging="567"/>
      <w:outlineLvl w:val="7"/>
    </w:pPr>
  </w:style>
  <w:style w:type="paragraph" w:styleId="Heading9">
    <w:name w:val="heading 9"/>
    <w:basedOn w:val="Normal"/>
    <w:next w:val="Normal"/>
    <w:link w:val="Heading9Char"/>
    <w:qFormat/>
    <w:rsid w:val="004774B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4B7"/>
    <w:rPr>
      <w:rFonts w:ascii="Times New Roman" w:eastAsia="Times New Roman" w:hAnsi="Times New Roman" w:cs="Times New Roman"/>
      <w:kern w:val="28"/>
      <w:lang w:val="bg-BG"/>
    </w:rPr>
  </w:style>
  <w:style w:type="character" w:customStyle="1" w:styleId="Heading2Char">
    <w:name w:val="Heading 2 Char"/>
    <w:basedOn w:val="DefaultParagraphFont"/>
    <w:link w:val="Heading2"/>
    <w:rsid w:val="004774B7"/>
    <w:rPr>
      <w:rFonts w:ascii="Times New Roman" w:eastAsia="Times New Roman" w:hAnsi="Times New Roman" w:cs="Times New Roman"/>
      <w:lang w:val="bg-BG"/>
    </w:rPr>
  </w:style>
  <w:style w:type="character" w:customStyle="1" w:styleId="Heading3Char">
    <w:name w:val="Heading 3 Char"/>
    <w:basedOn w:val="DefaultParagraphFont"/>
    <w:link w:val="Heading3"/>
    <w:rsid w:val="004774B7"/>
    <w:rPr>
      <w:rFonts w:ascii="Times New Roman" w:eastAsia="Times New Roman" w:hAnsi="Times New Roman" w:cs="Times New Roman"/>
      <w:lang w:val="bg-BG"/>
    </w:rPr>
  </w:style>
  <w:style w:type="character" w:customStyle="1" w:styleId="Heading4Char">
    <w:name w:val="Heading 4 Char"/>
    <w:basedOn w:val="DefaultParagraphFont"/>
    <w:link w:val="Heading4"/>
    <w:rsid w:val="004774B7"/>
    <w:rPr>
      <w:rFonts w:ascii="Times New Roman" w:eastAsia="Times New Roman" w:hAnsi="Times New Roman" w:cs="Times New Roman"/>
      <w:lang w:val="bg-BG"/>
    </w:rPr>
  </w:style>
  <w:style w:type="character" w:customStyle="1" w:styleId="Heading5Char">
    <w:name w:val="Heading 5 Char"/>
    <w:basedOn w:val="DefaultParagraphFont"/>
    <w:link w:val="Heading5"/>
    <w:rsid w:val="004774B7"/>
    <w:rPr>
      <w:rFonts w:ascii="Times New Roman" w:eastAsia="Times New Roman" w:hAnsi="Times New Roman" w:cs="Times New Roman"/>
      <w:lang w:val="bg-BG"/>
    </w:rPr>
  </w:style>
  <w:style w:type="character" w:customStyle="1" w:styleId="Heading6Char">
    <w:name w:val="Heading 6 Char"/>
    <w:basedOn w:val="DefaultParagraphFont"/>
    <w:link w:val="Heading6"/>
    <w:rsid w:val="004774B7"/>
    <w:rPr>
      <w:rFonts w:ascii="Times New Roman" w:eastAsia="Times New Roman" w:hAnsi="Times New Roman" w:cs="Times New Roman"/>
      <w:lang w:val="bg-BG"/>
    </w:rPr>
  </w:style>
  <w:style w:type="character" w:customStyle="1" w:styleId="Heading7Char">
    <w:name w:val="Heading 7 Char"/>
    <w:basedOn w:val="DefaultParagraphFont"/>
    <w:link w:val="Heading7"/>
    <w:rsid w:val="004774B7"/>
    <w:rPr>
      <w:rFonts w:ascii="Times New Roman" w:eastAsia="Times New Roman" w:hAnsi="Times New Roman" w:cs="Times New Roman"/>
      <w:lang w:val="bg-BG"/>
    </w:rPr>
  </w:style>
  <w:style w:type="character" w:customStyle="1" w:styleId="Heading8Char">
    <w:name w:val="Heading 8 Char"/>
    <w:basedOn w:val="DefaultParagraphFont"/>
    <w:link w:val="Heading8"/>
    <w:rsid w:val="004774B7"/>
    <w:rPr>
      <w:rFonts w:ascii="Times New Roman" w:eastAsia="Times New Roman" w:hAnsi="Times New Roman" w:cs="Times New Roman"/>
      <w:lang w:val="bg-BG"/>
    </w:rPr>
  </w:style>
  <w:style w:type="character" w:customStyle="1" w:styleId="Heading9Char">
    <w:name w:val="Heading 9 Char"/>
    <w:basedOn w:val="DefaultParagraphFont"/>
    <w:link w:val="Heading9"/>
    <w:rsid w:val="004774B7"/>
    <w:rPr>
      <w:rFonts w:ascii="Times New Roman" w:eastAsia="Times New Roman" w:hAnsi="Times New Roman" w:cs="Times New Roman"/>
      <w:lang w:val="bg-BG"/>
    </w:rPr>
  </w:style>
  <w:style w:type="paragraph" w:styleId="Footer">
    <w:name w:val="footer"/>
    <w:basedOn w:val="Normal"/>
    <w:link w:val="FooterChar"/>
    <w:uiPriority w:val="99"/>
    <w:qFormat/>
    <w:rsid w:val="004774B7"/>
  </w:style>
  <w:style w:type="character" w:customStyle="1" w:styleId="FooterChar">
    <w:name w:val="Footer Char"/>
    <w:basedOn w:val="DefaultParagraphFont"/>
    <w:link w:val="Footer"/>
    <w:uiPriority w:val="99"/>
    <w:rsid w:val="004774B7"/>
    <w:rPr>
      <w:rFonts w:ascii="Times New Roman" w:eastAsia="Times New Roman" w:hAnsi="Times New Roman" w:cs="Times New Roman"/>
      <w:lang w:val="bg-BG"/>
    </w:rPr>
  </w:style>
  <w:style w:type="paragraph" w:styleId="FootnoteText">
    <w:name w:val="footnote text"/>
    <w:basedOn w:val="Normal"/>
    <w:link w:val="FootnoteTextChar"/>
    <w:qFormat/>
    <w:rsid w:val="004774B7"/>
    <w:pPr>
      <w:keepLines/>
      <w:spacing w:after="60" w:line="240" w:lineRule="auto"/>
      <w:ind w:left="567" w:hanging="567"/>
    </w:pPr>
    <w:rPr>
      <w:sz w:val="16"/>
    </w:rPr>
  </w:style>
  <w:style w:type="character" w:customStyle="1" w:styleId="FootnoteTextChar">
    <w:name w:val="Footnote Text Char"/>
    <w:basedOn w:val="DefaultParagraphFont"/>
    <w:link w:val="FootnoteText"/>
    <w:rsid w:val="004774B7"/>
    <w:rPr>
      <w:rFonts w:ascii="Times New Roman" w:eastAsia="Times New Roman" w:hAnsi="Times New Roman" w:cs="Times New Roman"/>
      <w:sz w:val="16"/>
      <w:lang w:val="bg-BG"/>
    </w:rPr>
  </w:style>
  <w:style w:type="paragraph" w:styleId="Header">
    <w:name w:val="header"/>
    <w:basedOn w:val="Normal"/>
    <w:link w:val="HeaderChar"/>
    <w:qFormat/>
    <w:rsid w:val="004774B7"/>
  </w:style>
  <w:style w:type="character" w:customStyle="1" w:styleId="HeaderChar">
    <w:name w:val="Header Char"/>
    <w:basedOn w:val="DefaultParagraphFont"/>
    <w:link w:val="Header"/>
    <w:rsid w:val="004774B7"/>
    <w:rPr>
      <w:rFonts w:ascii="Times New Roman" w:eastAsia="Times New Roman" w:hAnsi="Times New Roman" w:cs="Times New Roman"/>
      <w:lang w:val="bg-BG"/>
    </w:rPr>
  </w:style>
  <w:style w:type="paragraph" w:customStyle="1" w:styleId="quotes">
    <w:name w:val="quotes"/>
    <w:basedOn w:val="Normal"/>
    <w:next w:val="Normal"/>
    <w:rsid w:val="004774B7"/>
    <w:pPr>
      <w:ind w:left="720"/>
    </w:pPr>
    <w:rPr>
      <w:i/>
    </w:rPr>
  </w:style>
  <w:style w:type="character" w:styleId="FootnoteReference">
    <w:name w:val="footnote reference"/>
    <w:basedOn w:val="DefaultParagraphFont"/>
    <w:unhideWhenUsed/>
    <w:qFormat/>
    <w:rsid w:val="004774B7"/>
    <w:rPr>
      <w:sz w:val="24"/>
      <w:vertAlign w:val="superscript"/>
    </w:rPr>
  </w:style>
  <w:style w:type="paragraph" w:styleId="ListParagraph">
    <w:name w:val="List Paragraph"/>
    <w:basedOn w:val="Normal"/>
    <w:uiPriority w:val="34"/>
    <w:qFormat/>
    <w:rsid w:val="00E65139"/>
    <w:pPr>
      <w:ind w:left="720"/>
      <w:contextualSpacing/>
    </w:pPr>
  </w:style>
  <w:style w:type="character" w:styleId="CommentReference">
    <w:name w:val="annotation reference"/>
    <w:basedOn w:val="DefaultParagraphFont"/>
    <w:uiPriority w:val="99"/>
    <w:semiHidden/>
    <w:unhideWhenUsed/>
    <w:rsid w:val="00F00B65"/>
    <w:rPr>
      <w:sz w:val="16"/>
      <w:szCs w:val="16"/>
    </w:rPr>
  </w:style>
  <w:style w:type="paragraph" w:styleId="CommentText">
    <w:name w:val="annotation text"/>
    <w:basedOn w:val="Normal"/>
    <w:link w:val="CommentTextChar"/>
    <w:uiPriority w:val="99"/>
    <w:unhideWhenUsed/>
    <w:rsid w:val="00F00B65"/>
    <w:pPr>
      <w:spacing w:line="240" w:lineRule="auto"/>
    </w:pPr>
    <w:rPr>
      <w:sz w:val="20"/>
      <w:szCs w:val="20"/>
    </w:rPr>
  </w:style>
  <w:style w:type="character" w:customStyle="1" w:styleId="CommentTextChar">
    <w:name w:val="Comment Text Char"/>
    <w:basedOn w:val="DefaultParagraphFont"/>
    <w:link w:val="CommentText"/>
    <w:uiPriority w:val="99"/>
    <w:rsid w:val="00F00B65"/>
    <w:rPr>
      <w:rFonts w:ascii="Times New Roman" w:eastAsia="Times New Roman" w:hAnsi="Times New Roman" w:cs="Times New Roman"/>
      <w:sz w:val="20"/>
      <w:szCs w:val="20"/>
      <w:lang w:val="bg-BG"/>
    </w:rPr>
  </w:style>
  <w:style w:type="table" w:styleId="TableGrid">
    <w:name w:val="Table Grid"/>
    <w:basedOn w:val="TableNormal"/>
    <w:uiPriority w:val="39"/>
    <w:rsid w:val="00F00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0683B"/>
    <w:rPr>
      <w:b/>
      <w:bCs/>
    </w:rPr>
  </w:style>
  <w:style w:type="character" w:customStyle="1" w:styleId="CommentSubjectChar">
    <w:name w:val="Comment Subject Char"/>
    <w:basedOn w:val="CommentTextChar"/>
    <w:link w:val="CommentSubject"/>
    <w:uiPriority w:val="99"/>
    <w:semiHidden/>
    <w:rsid w:val="00B0683B"/>
    <w:rPr>
      <w:rFonts w:ascii="Times New Roman" w:eastAsia="Times New Roman" w:hAnsi="Times New Roman" w:cs="Times New Roman"/>
      <w:b/>
      <w:bCs/>
      <w:sz w:val="20"/>
      <w:szCs w:val="20"/>
      <w:lang w:val="bg-BG"/>
    </w:rPr>
  </w:style>
  <w:style w:type="paragraph" w:styleId="Revision">
    <w:name w:val="Revision"/>
    <w:hidden/>
    <w:uiPriority w:val="99"/>
    <w:semiHidden/>
    <w:rsid w:val="003861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F7M6YNZUATRX-917472228-13163</_dlc_DocId>
    <_dlc_DocIdUrl xmlns="59ace41b-6786-4ce3-be71-52c27066c6ef">
      <Url>http://dm/eesc/2024/_layouts/15/DocIdRedir.aspx?ID=F7M6YNZUATRX-917472228-13163</Url>
      <Description>F7M6YNZUATRX-917472228-13163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2024-11-18T12:00:00+00:00</ProductionDate>
    <DocumentNumber xmlns="14d11ec3-fd82-4994-a217-1a91de9b2d2a">1024</DocumentNumber>
    <FicheYear xmlns="59ace41b-6786-4ce3-be71-52c27066c6ef" xsi:nil="true"/>
    <DossierNumber xmlns="59ace41b-6786-4ce3-be71-52c27066c6ef">803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49</Value>
      <Value>43</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13</Value>
      <Value>12</Value>
      <Value>8</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Rapporteur xmlns="59ace41b-6786-4ce3-be71-52c27066c6ef">SALIS-MADINIER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11314</FicheNumber>
    <OriginalSender xmlns="59ace41b-6786-4ce3-be71-52c27066c6ef">
      <UserInfo>
        <DisplayName>Toskov Ventsislav</DisplayName>
        <AccountId>1571</AccountId>
        <AccountType/>
      </UserInfo>
    </OriginalSender>
    <DocumentPart xmlns="59ace41b-6786-4ce3-be71-52c27066c6ef">1</DocumentPart>
    <AdoptionDate xmlns="59ace41b-6786-4ce3-be71-52c27066c6ef" xsi:nil="true"/>
    <RequestingService xmlns="59ace41b-6786-4ce3-be71-52c27066c6ef">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9ace41b-6786-4ce3-be71-52c27066c6ef">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48AAD-89DA-427D-82F2-8CD46485F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4d11ec3-fd82-4994-a217-1a91de9b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08F36-F56F-43F9-B358-2F4F01D9FBE0}">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4d11ec3-fd82-4994-a217-1a91de9b2d2a"/>
  </ds:schemaRefs>
</ds:datastoreItem>
</file>

<file path=customXml/itemProps3.xml><?xml version="1.0" encoding="utf-8"?>
<ds:datastoreItem xmlns:ds="http://schemas.openxmlformats.org/officeDocument/2006/customXml" ds:itemID="{FEBF082E-AF0D-48D2-BC69-741F5FD5E9F7}">
  <ds:schemaRefs>
    <ds:schemaRef ds:uri="http://schemas.microsoft.com/sharepoint/events"/>
  </ds:schemaRefs>
</ds:datastoreItem>
</file>

<file path=customXml/itemProps4.xml><?xml version="1.0" encoding="utf-8"?>
<ds:datastoreItem xmlns:ds="http://schemas.openxmlformats.org/officeDocument/2006/customXml" ds:itemID="{0C57EAD5-DA13-4D9A-ACAD-1EB441FDC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3586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CESE-CdR</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Идеална визия за ИИ в сферата на труда и на работното място през 2035 г.</dc:title>
  <dc:subject>TCD</dc:subject>
  <dc:creator>Perpinan Haro Carmen</dc:creator>
  <cp:keywords>EESC-2024-01024-01-00-TCD-TRA-EN</cp:keywords>
  <dc:description>Rapporteur: SALIS-MADINIER - Original language: EN - Date of document: 18/11/2024 - Date of meeting:  - External documents:  - Administrator: MME DUMITRACHE Ana</dc:description>
  <cp:lastModifiedBy>Vignoli Rina</cp:lastModifiedBy>
  <cp:revision>2</cp:revision>
  <dcterms:created xsi:type="dcterms:W3CDTF">2024-11-27T10:02:00Z</dcterms:created>
  <dcterms:modified xsi:type="dcterms:W3CDTF">2024-11-27T10:02:00Z</dcterms:modified>
  <cp:category>SOC/803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14/11/2024</vt:lpwstr>
  </property>
  <property fmtid="{D5CDD505-2E9C-101B-9397-08002B2CF9AE}" pid="4" name="Pref_Time">
    <vt:lpwstr>09:42:28</vt:lpwstr>
  </property>
  <property fmtid="{D5CDD505-2E9C-101B-9397-08002B2CF9AE}" pid="5" name="Pref_User">
    <vt:lpwstr>amett</vt:lpwstr>
  </property>
  <property fmtid="{D5CDD505-2E9C-101B-9397-08002B2CF9AE}" pid="6" name="Pref_FileName">
    <vt:lpwstr>EESC-2024-01024-01-00-TCD-TRA-EN-CRR.docx</vt:lpwstr>
  </property>
  <property fmtid="{D5CDD505-2E9C-101B-9397-08002B2CF9AE}" pid="7" name="ContentTypeId">
    <vt:lpwstr>0x010100EA97B91038054C99906057A708A1480A00C3F19A95DDE2574C950D6652ED703BFE</vt:lpwstr>
  </property>
  <property fmtid="{D5CDD505-2E9C-101B-9397-08002B2CF9AE}" pid="8" name="_dlc_DocIdItemGuid">
    <vt:lpwstr>d281821d-f4b4-4d19-a3dd-5788f3f51ceb</vt:lpwstr>
  </property>
  <property fmtid="{D5CDD505-2E9C-101B-9397-08002B2CF9AE}" pid="9" name="AvailableTranslations">
    <vt:lpwstr>24;#ES|e7a6b05b-ae16-40c8-add9-68b64b03aeba;#5;#EN|f2175f21-25d7-44a3-96da-d6a61b075e1b;#32;#HU|6b229040-c589-4408-b4c1-4285663d20a8;#27;#SL|98a412ae-eb01-49e9-ae3d-585a81724cfc;#33;#ET|ff6c3f4c-b02c-4c3c-ab07-2c37995a7a0a;#29;#EL|6d4f4d51-af9b-4650-94b4-4276bee85c91;#23;#MT|7df99101-6854-4a26-b53a-b88c0da02c26;#22;#BG|1a1b3951-7821-4e6a-85f5-5673fc08bd2c;#30;#HR|2f555653-ed1a-4fe6-8362-9082d95989e5;#35;#FI|87606a43-d45f-42d6-b8c9-e1a3457db5b7;#16;#DA|5d49c027-8956-412b-aa16-e85a0f96ad0e;#26;#SK|46d9fce0-ef79-4f71-b89b-cd6aa82426b8;#36;#PT|50ccc04a-eadd-42ae-a0cb-acaf45f812ba;#28;#LV|46f7e311-5d9f-4663-b433-18aeccb7ace7;#17;#PL|1e03da61-4678-4e07-b136-b5024ca9197b;#25;#DE|f6b31e5a-26fa-4935-b661-318e46daf27e;#14;#FR|d2afafd3-4c81-4f60-8f52-ee33f2f54ff3;#21;#SV|c2ed69e7-a339-43d7-8f22-d93680a92aa0;#18;#GA|762d2456-c427-4ecb-b312-af3dad8e258c;#43;#CS|72f9705b-0217-4fd3-bea2-cbc7ed80e26e;#31;#NL|55c6556c-b4f4-441d-9acf-c498d4f838bd;#34;#LT|a7ff5ce7-6123-4f68-865a-a57c31810414;#12;#IT|0774613c-01ed-4e5d-a25d-11d2388de825;#37;#RO|feb747a2-64cd-4299-af12-4833ddc30497</vt:lpwstr>
  </property>
  <property fmtid="{D5CDD505-2E9C-101B-9397-08002B2CF9AE}" pid="10" name="DocumentType_0">
    <vt:lpwstr>TCD|cd9d6eb6-3f4f-424a-b2d1-57c9d450eaaf</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1024</vt:i4>
  </property>
  <property fmtid="{D5CDD505-2E9C-101B-9397-08002B2CF9AE}" pid="14" name="DocumentVersion">
    <vt:i4>0</vt:i4>
  </property>
  <property fmtid="{D5CDD505-2E9C-101B-9397-08002B2CF9AE}" pid="15" name="DossierNumber">
    <vt:i4>803</vt:i4>
  </property>
  <property fmtid="{D5CDD505-2E9C-101B-9397-08002B2CF9AE}" pid="16" name="DocumentStatus">
    <vt:lpwstr>3;#TRA|150d2a88-1431-44e6-a8ca-0bb753ab8672</vt:lpwstr>
  </property>
  <property fmtid="{D5CDD505-2E9C-101B-9397-08002B2CF9AE}" pid="17" name="DossierName">
    <vt:lpwstr>49;#SOC|13795804-ecbd-4ce5-9693-9b8be1981b20</vt:lpwstr>
  </property>
  <property fmtid="{D5CDD505-2E9C-101B-9397-08002B2CF9AE}" pid="18" name="RequestingService">
    <vt:lpwstr>Emploi, affaires sociales, citoyenneté</vt:lpwstr>
  </property>
  <property fmtid="{D5CDD505-2E9C-101B-9397-08002B2CF9AE}" pid="19" name="Confidentiality">
    <vt:lpwstr>6;#Unrestricted|826e22d7-d029-4ec0-a450-0c28ff673572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4" name="AvailableTranslations_0">
    <vt:lpwstr>EN|f2175f21-25d7-44a3-96da-d6a61b075e1b;EL|6d4f4d51-af9b-4650-94b4-4276bee85c91;SK|46d9fce0-ef79-4f71-b89b-cd6aa82426b8;PT|50ccc04a-eadd-42ae-a0cb-acaf45f812ba;LV|46f7e311-5d9f-4663-b433-18aeccb7ace7;PL|1e03da61-4678-4e07-b136-b5024ca9197b;DE|f6b31e5a-26fa-4935-b661-318e46daf27e;SV|c2ed69e7-a339-43d7-8f22-d93680a92aa0;GA|762d2456-c427-4ecb-b312-af3dad8e258c;CS|72f9705b-0217-4fd3-bea2-cbc7ed80e26e;IT|0774613c-01ed-4e5d-a25d-11d2388de825;RO|feb747a2-64cd-4299-af12-4833ddc30497</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36;#PT|50ccc04a-eadd-42ae-a0cb-acaf45f812ba;#43;#CS|72f9705b-0217-4fd3-bea2-cbc7ed80e26e;#29;#EL|6d4f4d51-af9b-4650-94b4-4276bee85c91;#28;#LV|46f7e311-5d9f-4663-b433-18aeccb7ace7;#26;#SK|46d9fce0-ef79-4f71-b89b-cd6aa82426b8;#25;#DE|f6b31e5a-26fa-4935-b661-318e46daf27e;#37;#RO|feb747a2-64cd-4299-af12-4833ddc30497;#21;#SV|c2ed69e7-a339-43d7-8f22-d93680a92aa0;#18;#GA|762d2456-c427-4ecb-b312-af3dad8e258c;#17;#PL|1e03da61-4678-4e07-b136-b5024ca9197b;#13;#TCD|cd9d6eb6-3f4f-424a-b2d1-57c9d450eaaf;#49;#SOC|13795804-ecbd-4ce5-9693-9b8be1981b20;#8;#Final|ea5e6674-7b27-4bac-b091-73adbb394efe;#6;#Unrestricted|826e22d7-d029-4ec0-a450-0c28ff673572;#5;#EN|f2175f21-25d7-44a3-96da-d6a61b075e1b;#3;#TRA|150d2a88-1431-44e6-a8ca-0bb753ab8672;#1;#EESC|422833ec-8d7e-4e65-8e4e-8bed07ffb729;#12;#IT|0774613c-01ed-4e5d-a25d-11d2388de825</vt:lpwstr>
  </property>
  <property fmtid="{D5CDD505-2E9C-101B-9397-08002B2CF9AE}" pid="28" name="Rapporteur">
    <vt:lpwstr>SALIS-MADINIER</vt:lpwstr>
  </property>
  <property fmtid="{D5CDD505-2E9C-101B-9397-08002B2CF9AE}" pid="29" name="VersionStatus_0">
    <vt:lpwstr>Final|ea5e6674-7b27-4bac-b091-73adbb394efe</vt:lpwstr>
  </property>
  <property fmtid="{D5CDD505-2E9C-101B-9397-08002B2CF9AE}" pid="30" name="VersionStatus">
    <vt:lpwstr>8;#Final|ea5e6674-7b27-4bac-b091-73adbb394efe</vt:lpwstr>
  </property>
  <property fmtid="{D5CDD505-2E9C-101B-9397-08002B2CF9AE}" pid="31" name="DocumentYear">
    <vt:i4>2024</vt:i4>
  </property>
  <property fmtid="{D5CDD505-2E9C-101B-9397-08002B2CF9AE}" pid="32" name="FicheNumber">
    <vt:i4>11314</vt:i4>
  </property>
  <property fmtid="{D5CDD505-2E9C-101B-9397-08002B2CF9AE}" pid="33" name="DocumentPart">
    <vt:i4>1</vt:i4>
  </property>
  <property fmtid="{D5CDD505-2E9C-101B-9397-08002B2CF9AE}" pid="34" name="DocumentSource">
    <vt:lpwstr>1;#EESC|422833ec-8d7e-4e65-8e4e-8bed07ffb729</vt:lpwstr>
  </property>
  <property fmtid="{D5CDD505-2E9C-101B-9397-08002B2CF9AE}" pid="35" name="DocumentType">
    <vt:lpwstr>13;#TCD|cd9d6eb6-3f4f-424a-b2d1-57c9d450eaaf</vt:lpwstr>
  </property>
  <property fmtid="{D5CDD505-2E9C-101B-9397-08002B2CF9AE}" pid="36" name="DocumentLanguage">
    <vt:lpwstr>22;#BG|1a1b3951-7821-4e6a-85f5-5673fc08bd2c</vt:lpwstr>
  </property>
</Properties>
</file>