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6620C5" w14:paraId="02555730" w14:textId="40F36A89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106</w:t>
      </w:r>
      <w:r w:rsidR="006A7C3F">
        <w:rPr>
          <w:b/>
        </w:rPr>
        <w:t>7</w:t>
      </w:r>
    </w:p>
    <w:p w:rsidRPr="00F5134A" w:rsidR="00F5134A" w:rsidP="00B26EA2" w:rsidRDefault="006A7C3F" w14:paraId="73CC0A56" w14:textId="1DDECFB1">
      <w:pPr>
        <w:jc w:val="right"/>
        <w:rPr>
          <w:b/>
        </w:rPr>
      </w:pPr>
      <w:r>
        <w:rPr>
          <w:b/>
        </w:rPr>
        <w:t>Fight against counterfeiting</w:t>
      </w:r>
    </w:p>
    <w:p w:rsidRPr="00A67235" w:rsidR="000E4B6B" w:rsidP="0015330A" w:rsidRDefault="000E4B6B" w14:paraId="1EFE7F2B" w14:textId="1AE58FD8">
      <w:pPr>
        <w:jc w:val="right"/>
      </w:pP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65E50571">
      <w:pPr>
        <w:jc w:val="right"/>
      </w:pPr>
      <w:r w:rsidRPr="00A67235">
        <w:t xml:space="preserve">Brussels, </w:t>
      </w:r>
      <w:r w:rsidR="006A7C3F">
        <w:t>23</w:t>
      </w:r>
      <w:r w:rsidR="006620C5">
        <w:t xml:space="preserve"> </w:t>
      </w:r>
      <w:r w:rsidR="006A7C3F">
        <w:t>October</w:t>
      </w:r>
      <w:r w:rsidR="006620C5">
        <w:t xml:space="preserve"> 2024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6A7C3F" w:rsidP="006A7C3F" w:rsidRDefault="00964A13" w14:paraId="7A16D064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6A7C3F" w:rsidR="006A7C3F">
        <w:rPr>
          <w:b/>
          <w:bCs/>
        </w:rPr>
        <w:t xml:space="preserve">Commission Recommendation on measures to combat counterfeiting </w:t>
      </w:r>
    </w:p>
    <w:p w:rsidRPr="006A7C3F" w:rsidR="006A7C3F" w:rsidP="006A7C3F" w:rsidRDefault="006A7C3F" w14:paraId="7C00A583" w14:textId="526B5132">
      <w:pPr>
        <w:jc w:val="center"/>
        <w:rPr>
          <w:b/>
          <w:bCs/>
        </w:rPr>
      </w:pPr>
      <w:r w:rsidRPr="006A7C3F">
        <w:rPr>
          <w:b/>
          <w:bCs/>
        </w:rPr>
        <w:t>and enhance the enforcement of intellectual property rights</w:t>
      </w:r>
    </w:p>
    <w:p w:rsidRPr="006A7C3F" w:rsidR="006A7C3F" w:rsidP="006A7C3F" w:rsidRDefault="006A7C3F" w14:paraId="6DE4BABD" w14:textId="4A4D4890">
      <w:pPr>
        <w:jc w:val="center"/>
      </w:pPr>
      <w:r w:rsidRPr="006A7C3F">
        <w:t>[C(2024) 1739 final]</w:t>
      </w:r>
    </w:p>
    <w:p w:rsidRPr="00A67235" w:rsidR="00964A13" w:rsidP="006A7C3F" w:rsidRDefault="00964A13" w14:paraId="6EA6F05A" w14:textId="046D3DB3">
      <w:pPr>
        <w:jc w:val="center"/>
      </w:pPr>
      <w:r w:rsidRPr="00A67235">
        <w:t>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F5134A" w14:paraId="0FA745B1" w14:textId="5BDB14CE">
      <w:pPr>
        <w:jc w:val="center"/>
        <w:rPr>
          <w:bCs/>
        </w:rPr>
      </w:pPr>
      <w:r>
        <w:t>59</w:t>
      </w:r>
      <w:r w:rsidR="006A7C3F">
        <w:t>1</w:t>
      </w:r>
      <w:r w:rsidR="006A7C3F">
        <w:rPr>
          <w:vertAlign w:val="superscript"/>
        </w:rPr>
        <w:t>st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6A7C3F">
        <w:rPr>
          <w:bCs/>
        </w:rPr>
        <w:t>23</w:t>
      </w:r>
      <w:r>
        <w:rPr>
          <w:bCs/>
        </w:rPr>
        <w:t xml:space="preserve"> – </w:t>
      </w:r>
      <w:r w:rsidR="006A7C3F">
        <w:rPr>
          <w:bCs/>
        </w:rPr>
        <w:t>24</w:t>
      </w:r>
      <w:r>
        <w:rPr>
          <w:bCs/>
        </w:rPr>
        <w:t xml:space="preserve"> </w:t>
      </w:r>
      <w:r w:rsidR="006A7C3F">
        <w:rPr>
          <w:bCs/>
        </w:rPr>
        <w:t>October</w:t>
      </w:r>
      <w:r>
        <w:rPr>
          <w:bCs/>
        </w:rPr>
        <w:t xml:space="preserve"> 2024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6671DD29">
      <w:pPr>
        <w:jc w:val="center"/>
      </w:pPr>
      <w:r w:rsidRPr="00A67235">
        <w:t xml:space="preserve">Meeting of </w:t>
      </w:r>
      <w:r w:rsidR="006A7C3F">
        <w:t>23</w:t>
      </w:r>
      <w:r w:rsidR="00F5134A">
        <w:t xml:space="preserve"> </w:t>
      </w:r>
      <w:r w:rsidR="006A7C3F">
        <w:t>October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8A49B2C">
      <w:pPr>
        <w:pStyle w:val="Footer"/>
        <w:jc w:val="center"/>
      </w:pPr>
      <w:r w:rsidRPr="00A67235">
        <w:t>Agenda item</w:t>
      </w:r>
      <w:r w:rsidR="00F5134A">
        <w:t xml:space="preserve"> </w:t>
      </w:r>
      <w:r w:rsidR="006A7C3F">
        <w:t>17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51049496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6A7C3F">
        <w:t>17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="006A7C3F" w:rsidP="006A7C3F" w:rsidRDefault="006A7C3F" w14:paraId="548156BF" w14:textId="45164E06">
      <w:pPr>
        <w:ind w:left="1430"/>
        <w:rPr>
          <w:i/>
          <w:iCs/>
        </w:rPr>
      </w:pPr>
      <w:r w:rsidRPr="006A7C3F">
        <w:rPr>
          <w:i/>
          <w:iCs/>
        </w:rPr>
        <w:t>Commission Recommendation on measures to combat counterfeiting and enhance the enforcement of intellectual property rights</w:t>
      </w:r>
    </w:p>
    <w:p w:rsidRPr="00F5134A" w:rsidR="000E4B6B" w:rsidP="006A7C3F" w:rsidRDefault="006A7C3F" w14:paraId="305301AD" w14:textId="6B1F73CD">
      <w:pPr>
        <w:ind w:left="1430"/>
      </w:pPr>
      <w:r w:rsidRPr="006A7C3F">
        <w:t>C(2024) 1739 final</w:t>
      </w:r>
      <w:r w:rsidRPr="00F5134A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59E0FC76">
      <w:r w:rsidRPr="00A67235">
        <w:t xml:space="preserve">The preliminary work had been carried out by the Section for </w:t>
      </w:r>
      <w:r w:rsidR="00F5134A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F5134A" w:rsidR="00F5134A">
        <w:rPr>
          <w:b/>
          <w:bCs/>
        </w:rPr>
        <w:t>Ms Sandra Parthie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="00F5134A">
        <w:rPr>
          <w:b/>
          <w:bCs/>
        </w:rPr>
        <w:t>M</w:t>
      </w:r>
      <w:r w:rsidR="006A7C3F">
        <w:rPr>
          <w:b/>
          <w:bCs/>
        </w:rPr>
        <w:t>r</w:t>
      </w:r>
      <w:r w:rsidR="00F5134A">
        <w:rPr>
          <w:b/>
          <w:bCs/>
        </w:rPr>
        <w:t xml:space="preserve"> </w:t>
      </w:r>
      <w:r w:rsidR="006A7C3F">
        <w:rPr>
          <w:b/>
          <w:bCs/>
        </w:rPr>
        <w:t>Bruno Choix</w:t>
      </w:r>
      <w:r w:rsidR="00F5134A">
        <w:rPr>
          <w:b/>
          <w:bCs/>
        </w:rPr>
        <w:t>.</w:t>
      </w:r>
    </w:p>
    <w:p w:rsidRPr="00A67235" w:rsidR="000E4B6B" w:rsidP="00EC0F0F" w:rsidRDefault="000E4B6B" w14:paraId="2708AAF4" w14:textId="77777777"/>
    <w:p w:rsidR="00F5134A" w:rsidP="00F5134A" w:rsidRDefault="00F5134A" w14:paraId="1FC60D49" w14:textId="282989F4">
      <w:r>
        <w:t>The rapporteur presented the opinion.</w:t>
      </w:r>
    </w:p>
    <w:p w:rsidR="00F5134A" w:rsidP="00F5134A" w:rsidRDefault="00F5134A" w14:paraId="0BF87055" w14:textId="77777777"/>
    <w:p w:rsidR="0085499C" w:rsidP="0085499C" w:rsidRDefault="00F5134A" w14:paraId="58CD69BC" w14:textId="37E4329F">
      <w:r>
        <w:t xml:space="preserve">In the ensuing debate, </w:t>
      </w:r>
      <w:r w:rsidRPr="00304B41" w:rsidR="006A7C3F">
        <w:rPr>
          <w:b/>
          <w:bCs/>
        </w:rPr>
        <w:t>Mr</w:t>
      </w:r>
      <w:r w:rsidRPr="00304B41" w:rsidR="00945092">
        <w:rPr>
          <w:b/>
          <w:bCs/>
        </w:rPr>
        <w:t xml:space="preserve"> Marco Wagener</w:t>
      </w:r>
      <w:r w:rsidR="00945092">
        <w:t xml:space="preserve"> </w:t>
      </w:r>
      <w:r>
        <w:t>raised the following issue:</w:t>
      </w:r>
    </w:p>
    <w:p w:rsidR="0085499C" w:rsidP="0085499C" w:rsidRDefault="0085499C" w14:paraId="5997DF74" w14:textId="49B91181"/>
    <w:p w:rsidR="00060A97" w:rsidP="00704A3E" w:rsidRDefault="00945092" w14:paraId="62E5B9AE" w14:textId="6B00B512">
      <w:pPr>
        <w:pStyle w:val="ListParagraph"/>
        <w:numPr>
          <w:ilvl w:val="0"/>
          <w:numId w:val="7"/>
        </w:numPr>
      </w:pPr>
      <w:r>
        <w:t xml:space="preserve">counterfeited products can be dangerous, but </w:t>
      </w:r>
      <w:r w:rsidR="00044406">
        <w:t xml:space="preserve">it should </w:t>
      </w:r>
      <w:r w:rsidR="00B62CCE">
        <w:t xml:space="preserve">also </w:t>
      </w:r>
      <w:r w:rsidR="00044406">
        <w:t xml:space="preserve">be noted that </w:t>
      </w:r>
      <w:r>
        <w:t>their production often takes place under conditions that do not respect labour law</w:t>
      </w:r>
      <w:r w:rsidR="00044406">
        <w:t>s,</w:t>
      </w:r>
      <w:r>
        <w:t xml:space="preserve"> and it is very positive that the opinion takes this into account</w:t>
      </w:r>
      <w:r w:rsidR="00044406">
        <w:t>.</w:t>
      </w:r>
    </w:p>
    <w:p w:rsidR="00F5134A" w:rsidP="00F5134A" w:rsidRDefault="00F5134A" w14:paraId="46FB00A3" w14:textId="77777777"/>
    <w:p w:rsidR="00F5134A" w:rsidP="00F5134A" w:rsidRDefault="00F5134A" w14:paraId="265437EC" w14:textId="0041204E">
      <w:r>
        <w:t xml:space="preserve">The Assembly then examined the opinion on the basis of the amendment tabled by </w:t>
      </w:r>
      <w:r w:rsidRPr="00304B41" w:rsidR="00304B41">
        <w:rPr>
          <w:b/>
          <w:bCs/>
        </w:rPr>
        <w:t xml:space="preserve">Mr </w:t>
      </w:r>
      <w:r w:rsidRPr="00304B41" w:rsidR="006A7C3F">
        <w:rPr>
          <w:b/>
          <w:bCs/>
        </w:rPr>
        <w:t>Wauthier Robyns</w:t>
      </w:r>
      <w:r w:rsidR="006A7C3F">
        <w:t xml:space="preserve"> and the rapporteur </w:t>
      </w:r>
      <w:r>
        <w:t>(EESC-2024-0</w:t>
      </w:r>
      <w:r w:rsidR="006A7C3F">
        <w:t>1676</w:t>
      </w:r>
      <w:r>
        <w:t>-01-00-AMP-TRA)</w:t>
      </w:r>
      <w:r w:rsidR="00C872C9">
        <w:t xml:space="preserve"> </w:t>
      </w:r>
    </w:p>
    <w:p w:rsidR="00F5134A" w:rsidP="00F5134A" w:rsidRDefault="00F5134A" w14:paraId="07F20FE3" w14:textId="77777777"/>
    <w:p w:rsidR="00F5134A" w:rsidP="00F5134A" w:rsidRDefault="00F5134A" w14:paraId="6C581EF3" w14:textId="23C9CA87">
      <w:r>
        <w:t>a)</w:t>
      </w:r>
      <w:r>
        <w:tab/>
      </w:r>
      <w:r w:rsidRPr="00F5134A">
        <w:rPr>
          <w:b/>
          <w:bCs/>
        </w:rPr>
        <w:t xml:space="preserve">Point </w:t>
      </w:r>
      <w:r w:rsidR="006A7C3F">
        <w:rPr>
          <w:b/>
          <w:bCs/>
        </w:rPr>
        <w:t>1</w:t>
      </w:r>
      <w:r w:rsidRPr="00F5134A">
        <w:rPr>
          <w:b/>
          <w:bCs/>
        </w:rPr>
        <w:t>.</w:t>
      </w:r>
      <w:r w:rsidR="006A7C3F">
        <w:rPr>
          <w:b/>
          <w:bCs/>
        </w:rPr>
        <w:t>2</w:t>
      </w:r>
      <w:r w:rsidRPr="00F5134A">
        <w:rPr>
          <w:b/>
          <w:bCs/>
        </w:rPr>
        <w:t xml:space="preserve"> (Amendment </w:t>
      </w:r>
      <w:r w:rsidR="00C872C9">
        <w:rPr>
          <w:b/>
          <w:bCs/>
        </w:rPr>
        <w:t>1</w:t>
      </w:r>
      <w:r w:rsidRPr="00F5134A">
        <w:rPr>
          <w:b/>
          <w:bCs/>
        </w:rPr>
        <w:t>)</w:t>
      </w:r>
    </w:p>
    <w:p w:rsidR="00F5134A" w:rsidP="00F5134A" w:rsidRDefault="00F5134A" w14:paraId="0BA845EB" w14:textId="77777777"/>
    <w:p w:rsidRPr="00A67235" w:rsidR="000E4B6B" w:rsidP="00F5134A" w:rsidRDefault="00F5134A" w14:paraId="2FBD0349" w14:textId="518F02BD">
      <w:r>
        <w:t>Amend as follows:</w:t>
      </w:r>
    </w:p>
    <w:p w:rsidR="00F5134A" w:rsidP="00EC0F0F" w:rsidRDefault="00F5134A" w14:paraId="52B2B3C9" w14:textId="77777777"/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51"/>
        <w:gridCol w:w="4652"/>
      </w:tblGrid>
      <w:tr w:rsidRPr="00E76121" w:rsidR="006A7C3F" w:rsidTr="001A18CB" w14:paraId="148D27CA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76121" w:rsidR="006A7C3F" w:rsidP="001A18CB" w:rsidRDefault="006A7C3F" w14:paraId="318E4A03" w14:textId="77777777">
            <w:pPr>
              <w:jc w:val="center"/>
              <w:rPr>
                <w:b/>
                <w:bCs/>
                <w:i/>
              </w:rPr>
            </w:pPr>
            <w:r w:rsidRPr="00E76121">
              <w:rPr>
                <w:b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76121" w:rsidR="006A7C3F" w:rsidP="001A18CB" w:rsidRDefault="006A7C3F" w14:paraId="3ABA34EC" w14:textId="77777777">
            <w:pPr>
              <w:jc w:val="center"/>
              <w:rPr>
                <w:b/>
                <w:bCs/>
                <w:i/>
              </w:rPr>
            </w:pPr>
            <w:r w:rsidRPr="00E76121">
              <w:rPr>
                <w:b/>
                <w:i/>
              </w:rPr>
              <w:t>Amendment</w:t>
            </w:r>
          </w:p>
        </w:tc>
      </w:tr>
      <w:tr w:rsidRPr="00E76121" w:rsidR="006A7C3F" w:rsidTr="001A18CB" w14:paraId="3239AE86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76121" w:rsidR="006A7C3F" w:rsidP="001A18CB" w:rsidRDefault="006A7C3F" w14:paraId="063C32FF" w14:textId="77777777">
            <w:pPr>
              <w:spacing w:before="80" w:after="80"/>
              <w:ind w:left="80" w:right="80"/>
            </w:pPr>
            <w:r w:rsidRPr="00E76121">
              <w:rPr>
                <w:b/>
                <w:i/>
              </w:rPr>
              <w:t>Increase the amount</w:t>
            </w:r>
            <w:r w:rsidRPr="00E76121">
              <w:t xml:space="preserve"> of </w:t>
            </w:r>
            <w:r w:rsidRPr="00E76121">
              <w:rPr>
                <w:b/>
                <w:i/>
              </w:rPr>
              <w:t>the</w:t>
            </w:r>
            <w:r w:rsidRPr="00E76121">
              <w:t xml:space="preserve"> damages and </w:t>
            </w:r>
            <w:r w:rsidRPr="00E76121">
              <w:rPr>
                <w:b/>
                <w:i/>
              </w:rPr>
              <w:t>compensation granted in counterfeit cases</w:t>
            </w:r>
            <w:r w:rsidRPr="00E76121">
              <w:t xml:space="preserve">. The EESC believes that more can still be done to support SMEs by </w:t>
            </w:r>
            <w:r w:rsidRPr="00E76121">
              <w:rPr>
                <w:b/>
                <w:i/>
              </w:rPr>
              <w:t>increasing</w:t>
            </w:r>
            <w:r w:rsidRPr="00E76121">
              <w:t xml:space="preserve"> the amount of the damages and compensation granted in counterfeit cases.</w:t>
            </w:r>
            <w:r w:rsidRPr="00E76121">
              <w:rPr>
                <w:b/>
                <w:i/>
              </w:rPr>
              <w:t xml:space="preserve"> It should be recommended that Member States (that do not currently do so) recognise punitive damages and interest in their national legislation.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76121" w:rsidR="006A7C3F" w:rsidP="001A18CB" w:rsidRDefault="006A7C3F" w14:paraId="4E7D2678" w14:textId="77777777">
            <w:pPr>
              <w:spacing w:before="80" w:after="80"/>
              <w:ind w:left="80" w:right="80"/>
            </w:pPr>
            <w:r w:rsidRPr="00E76121">
              <w:rPr>
                <w:b/>
                <w:i/>
              </w:rPr>
              <w:t xml:space="preserve">Step up dissuasion through a combination of greater use </w:t>
            </w:r>
            <w:r w:rsidRPr="00E76121">
              <w:t xml:space="preserve">of </w:t>
            </w:r>
            <w:r w:rsidRPr="00E76121">
              <w:rPr>
                <w:b/>
                <w:i/>
              </w:rPr>
              <w:t>civil</w:t>
            </w:r>
            <w:r w:rsidRPr="00E76121">
              <w:t xml:space="preserve"> damages and </w:t>
            </w:r>
            <w:r w:rsidRPr="00E76121">
              <w:rPr>
                <w:b/>
                <w:i/>
              </w:rPr>
              <w:t>administrative and criminal penalties</w:t>
            </w:r>
            <w:r w:rsidRPr="00E76121">
              <w:t xml:space="preserve">. The EESC believes that more can still be done to support SMEs </w:t>
            </w:r>
            <w:r w:rsidRPr="00E76121">
              <w:rPr>
                <w:b/>
                <w:i/>
              </w:rPr>
              <w:t>in particular</w:t>
            </w:r>
            <w:r w:rsidRPr="00E76121">
              <w:t xml:space="preserve"> by </w:t>
            </w:r>
            <w:r w:rsidRPr="00E76121">
              <w:rPr>
                <w:b/>
                <w:i/>
              </w:rPr>
              <w:t>ensuring</w:t>
            </w:r>
            <w:r w:rsidRPr="00E76121">
              <w:t xml:space="preserve"> </w:t>
            </w:r>
            <w:r w:rsidRPr="00E76121">
              <w:rPr>
                <w:b/>
                <w:i/>
              </w:rPr>
              <w:t>that</w:t>
            </w:r>
            <w:r w:rsidRPr="00E76121">
              <w:t xml:space="preserve"> the amount of the damages and compensation granted in counterfeit cases </w:t>
            </w:r>
            <w:r w:rsidRPr="00E76121">
              <w:rPr>
                <w:b/>
                <w:i/>
              </w:rPr>
              <w:t>fully covers the past, present and future damage caused, on the one hand, and by ensuring that these</w:t>
            </w:r>
            <w:r w:rsidRPr="00E76121">
              <w:t xml:space="preserve"> </w:t>
            </w:r>
            <w:r w:rsidRPr="00E76121">
              <w:rPr>
                <w:b/>
                <w:i/>
              </w:rPr>
              <w:t>administrative and criminal penalties constitute enough</w:t>
            </w:r>
            <w:r w:rsidRPr="00E76121">
              <w:t xml:space="preserve"> </w:t>
            </w:r>
            <w:r w:rsidRPr="00E76121">
              <w:rPr>
                <w:b/>
                <w:i/>
              </w:rPr>
              <w:t>of a deterrent, on the other.</w:t>
            </w:r>
          </w:p>
        </w:tc>
      </w:tr>
    </w:tbl>
    <w:p w:rsidR="00F5134A" w:rsidP="00EC0F0F" w:rsidRDefault="00F5134A" w14:paraId="26EF7726" w14:textId="77777777"/>
    <w:p w:rsidR="00F5134A" w:rsidP="00EC0F0F" w:rsidRDefault="00F5134A" w14:paraId="02CCF0FA" w14:textId="464929B3">
      <w:r w:rsidRPr="00A94F0F">
        <w:t xml:space="preserve">The amendment was accepted by </w:t>
      </w:r>
      <w:r w:rsidR="006A7C3F">
        <w:t xml:space="preserve">the rapporteur and </w:t>
      </w:r>
      <w:r w:rsidRPr="00A94F0F">
        <w:t>the Assembly.</w:t>
      </w:r>
    </w:p>
    <w:p w:rsidR="000F5471" w:rsidP="00EC0F0F" w:rsidRDefault="000F5471" w14:paraId="4B8E9C27" w14:textId="77777777"/>
    <w:p w:rsidRPr="00A67235" w:rsidR="000E4B6B" w:rsidP="00EC0F0F" w:rsidRDefault="000E4B6B" w14:paraId="0133C75D" w14:textId="38518943">
      <w:r w:rsidRPr="00A67235">
        <w:t xml:space="preserve">The opinion was adopted </w:t>
      </w:r>
      <w:r w:rsidR="00E3487E">
        <w:t>unanimously</w:t>
      </w:r>
      <w:r w:rsidR="0010466E">
        <w:t>.</w:t>
      </w:r>
      <w:r w:rsidR="00AA043E">
        <w:t xml:space="preserve">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3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541F0241" w:rsidR="00964A13" w:rsidRPr="00964A13" w:rsidRDefault="005E4615" w:rsidP="00964A13">
    <w:pPr>
      <w:pStyle w:val="Footer"/>
    </w:pPr>
    <w:r>
      <w:t>INT/106</w:t>
    </w:r>
    <w:r w:rsidR="006A7C3F">
      <w:t>7</w:t>
    </w:r>
    <w:r>
      <w:t xml:space="preserve"> – </w:t>
    </w:r>
    <w:r w:rsidR="00964A13">
      <w:t>EESC-</w:t>
    </w:r>
    <w:r w:rsidR="00F5134A">
      <w:t>2024</w:t>
    </w:r>
    <w:r w:rsidR="00964A13">
      <w:t>-</w:t>
    </w:r>
    <w:r w:rsidR="00F5134A">
      <w:t>0</w:t>
    </w:r>
    <w:r w:rsidR="006A7C3F">
      <w:t>1676</w:t>
    </w:r>
    <w:r w:rsidR="00964A13">
      <w:t>-</w:t>
    </w:r>
    <w:r w:rsidR="00F5134A">
      <w:t>00</w:t>
    </w:r>
    <w:r w:rsidR="00964A13">
      <w:t>-</w:t>
    </w:r>
    <w:r w:rsidR="00F5134A">
      <w:t>00</w:t>
    </w:r>
    <w:r w:rsidR="00964A13">
      <w:t>-CR-REF (</w:t>
    </w:r>
    <w:r w:rsidR="00F5134A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3259C5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3259C5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3259C5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E2524FE"/>
    <w:multiLevelType w:val="hybridMultilevel"/>
    <w:tmpl w:val="F6C2FD18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A05740"/>
    <w:multiLevelType w:val="hybridMultilevel"/>
    <w:tmpl w:val="0C4C26E8"/>
    <w:lvl w:ilvl="0" w:tplc="DA6CF7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C2C"/>
    <w:multiLevelType w:val="hybridMultilevel"/>
    <w:tmpl w:val="6ADA932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72FF9"/>
    <w:multiLevelType w:val="hybridMultilevel"/>
    <w:tmpl w:val="3CA055C6"/>
    <w:lvl w:ilvl="0" w:tplc="08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3649F"/>
    <w:rsid w:val="00044406"/>
    <w:rsid w:val="00060A97"/>
    <w:rsid w:val="000944D8"/>
    <w:rsid w:val="000966D7"/>
    <w:rsid w:val="000B3441"/>
    <w:rsid w:val="000D6AA3"/>
    <w:rsid w:val="000E4B6B"/>
    <w:rsid w:val="000F03D6"/>
    <w:rsid w:val="000F5471"/>
    <w:rsid w:val="0010466E"/>
    <w:rsid w:val="00143A71"/>
    <w:rsid w:val="0015330A"/>
    <w:rsid w:val="00165632"/>
    <w:rsid w:val="001766AB"/>
    <w:rsid w:val="00177DAC"/>
    <w:rsid w:val="001B23E4"/>
    <w:rsid w:val="001C7254"/>
    <w:rsid w:val="002346F9"/>
    <w:rsid w:val="002601CF"/>
    <w:rsid w:val="00273FDB"/>
    <w:rsid w:val="002743BB"/>
    <w:rsid w:val="002925F3"/>
    <w:rsid w:val="00297572"/>
    <w:rsid w:val="00301E8B"/>
    <w:rsid w:val="00304B41"/>
    <w:rsid w:val="00320C0B"/>
    <w:rsid w:val="003259C5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54D79"/>
    <w:rsid w:val="00564B0D"/>
    <w:rsid w:val="00590C1E"/>
    <w:rsid w:val="005E1A79"/>
    <w:rsid w:val="005E4615"/>
    <w:rsid w:val="00646E27"/>
    <w:rsid w:val="006620C5"/>
    <w:rsid w:val="006A7C3F"/>
    <w:rsid w:val="00704A3E"/>
    <w:rsid w:val="0073571F"/>
    <w:rsid w:val="00754E50"/>
    <w:rsid w:val="007C6A55"/>
    <w:rsid w:val="007F7F54"/>
    <w:rsid w:val="00815851"/>
    <w:rsid w:val="00826375"/>
    <w:rsid w:val="0085499C"/>
    <w:rsid w:val="00862EFF"/>
    <w:rsid w:val="008A371F"/>
    <w:rsid w:val="008E0097"/>
    <w:rsid w:val="008F2211"/>
    <w:rsid w:val="00911202"/>
    <w:rsid w:val="009326E3"/>
    <w:rsid w:val="00945092"/>
    <w:rsid w:val="00961F04"/>
    <w:rsid w:val="00964A13"/>
    <w:rsid w:val="009E138D"/>
    <w:rsid w:val="009F39AD"/>
    <w:rsid w:val="00A14D3A"/>
    <w:rsid w:val="00A41B96"/>
    <w:rsid w:val="00A53158"/>
    <w:rsid w:val="00A64D59"/>
    <w:rsid w:val="00A67235"/>
    <w:rsid w:val="00A8654D"/>
    <w:rsid w:val="00AA043E"/>
    <w:rsid w:val="00B26EA2"/>
    <w:rsid w:val="00B5559E"/>
    <w:rsid w:val="00B62CCE"/>
    <w:rsid w:val="00BE7410"/>
    <w:rsid w:val="00C05B64"/>
    <w:rsid w:val="00C4683E"/>
    <w:rsid w:val="00C872C9"/>
    <w:rsid w:val="00C87758"/>
    <w:rsid w:val="00CD3BAF"/>
    <w:rsid w:val="00CF7C78"/>
    <w:rsid w:val="00D54F5F"/>
    <w:rsid w:val="00D806A2"/>
    <w:rsid w:val="00DD05A8"/>
    <w:rsid w:val="00E24886"/>
    <w:rsid w:val="00E3487E"/>
    <w:rsid w:val="00E55BBF"/>
    <w:rsid w:val="00E623E0"/>
    <w:rsid w:val="00E70261"/>
    <w:rsid w:val="00EC0F0F"/>
    <w:rsid w:val="00ED6BB4"/>
    <w:rsid w:val="00F01EB5"/>
    <w:rsid w:val="00F5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C9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F5134A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51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F7M6YNZUATRX-917472228-12162</_dlc_DocId>
    <_dlc_DocIdUrl xmlns="59ace41b-6786-4ce3-be71-52c27066c6ef">
      <Url>http://dm/eesc/2024/_layouts/15/DocIdRedir.aspx?ID=F7M6YNZUATRX-917472228-12162</Url>
      <Description>F7M6YNZUATRX-917472228-12162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2024-10-24T12:00:00+00:00</ProductionDate>
    <FicheYear xmlns="59ace41b-6786-4ce3-be71-52c27066c6ef">2024</FicheYear>
    <DocumentNumber xmlns="14d11ec3-fd82-4994-a217-1a91de9b2d2a">1676</DocumentNumber>
    <DossierNumber xmlns="59ace41b-6786-4ce3-be71-52c27066c6ef">1067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82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CHOIX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10156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2024-10-23T12:00:00+00:00</AdoptionDate>
    <RequestingService xmlns="59ace41b-6786-4ce3-be71-52c27066c6ef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59ace41b-6786-4ce3-be71-52c27066c6ef">0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1B48C-A970-4797-BB37-3C4AFFCE709F}"/>
</file>

<file path=customXml/itemProps2.xml><?xml version="1.0" encoding="utf-8"?>
<ds:datastoreItem xmlns:ds="http://schemas.openxmlformats.org/officeDocument/2006/customXml" ds:itemID="{DA77ED5D-2A5B-43E9-BC51-7D1BE655D25A}"/>
</file>

<file path=customXml/itemProps3.xml><?xml version="1.0" encoding="utf-8"?>
<ds:datastoreItem xmlns:ds="http://schemas.openxmlformats.org/officeDocument/2006/customXml" ds:itemID="{D8DDA710-BCE5-48C6-9011-7BADADE139FB}"/>
</file>

<file path=customXml/itemProps4.xml><?xml version="1.0" encoding="utf-8"?>
<ds:datastoreItem xmlns:ds="http://schemas.openxmlformats.org/officeDocument/2006/customXml" ds:itemID="{8B80AFF7-2016-4DB6-8C3F-141171011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against counterfeiting</dc:title>
  <dc:subject>Record of proceedings</dc:subject>
  <dc:creator>Hilary Morris</dc:creator>
  <cp:keywords>EESC-2024-01676-00-00-CR-TRA-EN</cp:keywords>
  <dc:description>Rapporteur: - CHOIX Original language: - EN Date of document: - 24/10/2024 Date of meeting: -  External documents: - C(2024)1739- final Administrator responsible: -  TESSAROLO ANNALISA</dc:description>
  <cp:lastModifiedBy>TDriveSVCUserProd</cp:lastModifiedBy>
  <cp:revision>32</cp:revision>
  <cp:lastPrinted>2004-02-16T15:16:00Z</cp:lastPrinted>
  <dcterms:created xsi:type="dcterms:W3CDTF">2024-09-18T07:48:00Z</dcterms:created>
  <dcterms:modified xsi:type="dcterms:W3CDTF">2024-10-24T10:12:00Z</dcterms:modified>
  <cp:category>INT/1067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992277c2-986e-42ab-89bb-aa9c5b23c3e6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1676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ssierNumber">
    <vt:i4>1067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82;#INT|e1edfecb-ed43-427b-bb02-d45fe6645386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82;#INT|e1edfecb-ed43-427b-bb02-d45fe6645386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0" name="Rapporteur">
    <vt:lpwstr>CHOIX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10156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2024-10-23T12:00:00Z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