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608F" w:rsidR="004D7AC0" w:rsidP="004D7AC0" w:rsidRDefault="006A5354" w14:paraId="4982DD4D" w14:textId="1FB8D61B">
      <w:pPr>
        <w:jc w:val="center"/>
      </w:pPr>
      <w:r w:rsidRPr="008C608F">
        <w:rPr>
          <w:noProof/>
        </w:rPr>
        <w:drawing>
          <wp:inline distT="0" distB="0" distL="0" distR="0" wp14:anchorId="1E93EE92" wp14:editId="0157C8A3">
            <wp:extent cx="1792605" cy="1239520"/>
            <wp:effectExtent l="0" t="0" r="0" b="0"/>
            <wp:docPr id="1" name="Picture 1" title="EESCLogo_BG"/>
            <wp:cNvGraphicFramePr/>
            <a:graphic xmlns:a="http://schemas.openxmlformats.org/drawingml/2006/main">
              <a:graphicData uri="http://schemas.openxmlformats.org/drawingml/2006/picture">
                <pic:pic xmlns:pic="http://schemas.openxmlformats.org/drawingml/2006/picture">
                  <pic:nvPicPr>
                    <pic:cNvPr id="1" name="Picture 1" title="EESCLogo_B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8C608F" w:rsidR="004D7AC0">
        <w:rPr>
          <w:noProof/>
          <w:sz w:val="20"/>
        </w:rPr>
        <mc:AlternateContent>
          <mc:Choice Requires="wps">
            <w:drawing>
              <wp:anchor distT="0" distB="0" distL="114300" distR="114300" simplePos="0" relativeHeight="251659264" behindDoc="1" locked="0" layoutInCell="0" allowOverlap="1" wp14:editId="10FA88D4"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BG</w:t>
                      </w:r>
                    </w:p>
                  </w:txbxContent>
                </v:textbox>
                <w10:wrap anchorx="page" anchory="page"/>
              </v:shape>
            </w:pict>
          </mc:Fallback>
        </mc:AlternateContent>
      </w:r>
    </w:p>
    <w:p w:rsidRPr="008C608F" w:rsidR="004D7AC0" w:rsidP="004D7AC0" w:rsidRDefault="004D7AC0" w14:paraId="4982DD4E" w14:textId="77777777"/>
    <w:p w:rsidRPr="008C608F" w:rsidR="004D7AC0" w:rsidP="004D7AC0" w:rsidRDefault="004D7AC0" w14:paraId="4982DD4F" w14:textId="20B7D64E">
      <w:pPr>
        <w:jc w:val="right"/>
      </w:pPr>
      <w:r w:rsidRPr="008C608F">
        <w:t>Брюксел, 9 октомври 2024 г.</w:t>
      </w:r>
    </w:p>
    <w:p w:rsidRPr="008C608F" w:rsidR="004D7AC0" w:rsidP="004D7AC0" w:rsidRDefault="004D7AC0" w14:paraId="4982DD50" w14:textId="77777777"/>
    <w:p w:rsidRPr="008C608F" w:rsidR="004D7AC0" w:rsidP="004D7AC0" w:rsidRDefault="004D7AC0" w14:paraId="4982DD51" w14:textId="77777777"/>
    <w:p w:rsidRPr="008C608F"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Pr="008C608F" w:rsidR="003066BE" w:rsidP="00600C84" w:rsidRDefault="008C47BA" w14:paraId="4982DD53" w14:textId="47A54241">
            <w:pPr>
              <w:snapToGrid w:val="0"/>
              <w:jc w:val="center"/>
              <w:rPr>
                <w:b/>
                <w:sz w:val="32"/>
                <w:szCs w:val="32"/>
              </w:rPr>
            </w:pPr>
            <w:r w:rsidRPr="008C608F">
              <w:rPr>
                <w:b/>
                <w:sz w:val="32"/>
              </w:rPr>
              <w:t>590-а ПЛЕНАРНА СЕСИЯ</w:t>
            </w:r>
          </w:p>
          <w:p w:rsidRPr="008C608F" w:rsidR="003066BE" w:rsidP="00600C84" w:rsidRDefault="003066BE" w14:paraId="4982DD54" w14:textId="77777777">
            <w:pPr>
              <w:snapToGrid w:val="0"/>
              <w:jc w:val="center"/>
              <w:rPr>
                <w:b/>
                <w:sz w:val="32"/>
                <w:szCs w:val="32"/>
              </w:rPr>
            </w:pPr>
          </w:p>
          <w:p w:rsidRPr="008C608F" w:rsidR="003066BE" w:rsidP="00600C84" w:rsidRDefault="008C608F" w14:paraId="4982DD55" w14:textId="2204719F">
            <w:pPr>
              <w:snapToGrid w:val="0"/>
              <w:jc w:val="center"/>
              <w:rPr>
                <w:b/>
                <w:sz w:val="32"/>
                <w:szCs w:val="32"/>
              </w:rPr>
            </w:pPr>
            <w:r>
              <w:rPr>
                <w:b/>
                <w:sz w:val="32"/>
                <w:lang w:val="en-US"/>
              </w:rPr>
              <w:t>18</w:t>
            </w:r>
            <w:r w:rsidRPr="008C608F" w:rsidR="002673F7">
              <w:rPr>
                <w:b/>
                <w:sz w:val="32"/>
              </w:rPr>
              <w:t xml:space="preserve"> и </w:t>
            </w:r>
            <w:r>
              <w:rPr>
                <w:b/>
                <w:sz w:val="32"/>
                <w:lang w:val="en-US"/>
              </w:rPr>
              <w:t>19</w:t>
            </w:r>
            <w:r w:rsidRPr="008C608F" w:rsidR="002673F7">
              <w:rPr>
                <w:b/>
                <w:sz w:val="32"/>
              </w:rPr>
              <w:t xml:space="preserve"> септември 2024 г.</w:t>
            </w:r>
          </w:p>
          <w:p w:rsidRPr="008C608F" w:rsidR="003066BE" w:rsidP="00600C84" w:rsidRDefault="003066BE" w14:paraId="4982DD56" w14:textId="77777777">
            <w:pPr>
              <w:snapToGrid w:val="0"/>
              <w:jc w:val="center"/>
              <w:rPr>
                <w:b/>
                <w:sz w:val="32"/>
                <w:szCs w:val="32"/>
              </w:rPr>
            </w:pPr>
          </w:p>
          <w:p w:rsidRPr="008C608F" w:rsidR="004D7AC0" w:rsidP="00600C84" w:rsidRDefault="00754027" w14:paraId="4982DD57" w14:textId="5A35E792">
            <w:pPr>
              <w:snapToGrid w:val="0"/>
              <w:jc w:val="center"/>
              <w:rPr>
                <w:rFonts w:eastAsia="MS Mincho"/>
                <w:b/>
                <w:sz w:val="32"/>
                <w:szCs w:val="32"/>
              </w:rPr>
            </w:pPr>
            <w:r w:rsidRPr="008C608F">
              <w:rPr>
                <w:b/>
                <w:sz w:val="32"/>
              </w:rPr>
              <w:t>ОБОБЩЕНИЕ НА ПРИЕТИТЕ СТАНОВИЩА, РЕЗОЛЮЦИИ И ИНФОРМАЦИОННИ ДОКЛАДИ / ДОКЛАДИ ЗА ОЦЕНКА</w:t>
            </w:r>
          </w:p>
          <w:p w:rsidR="004D7AC0" w:rsidP="00600C84" w:rsidRDefault="004D7AC0" w14:paraId="4982DD58" w14:textId="77777777">
            <w:pPr>
              <w:snapToGrid w:val="0"/>
            </w:pPr>
          </w:p>
        </w:tc>
      </w:tr>
      <w:tr w:rsidRPr="008C608F"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C608F" w:rsidR="004D7AC0" w:rsidP="00600C84" w:rsidRDefault="004D7AC0" w14:paraId="4982DD5A" w14:textId="0C0FF99D">
            <w:pPr>
              <w:snapToGrid w:val="0"/>
              <w:jc w:val="center"/>
            </w:pPr>
            <w:r w:rsidRPr="008C608F">
              <w:t>Настоящият документ е достъпен на всички официални езици на Европейския съюз на уебсайта на ЕИСК на следния адрес:</w:t>
            </w:r>
            <w:r w:rsidRPr="008C608F">
              <w:br/>
            </w:r>
            <w:r w:rsidRPr="008C608F">
              <w:br/>
            </w:r>
            <w:hyperlink w:history="1" r:id="rId12">
              <w:r w:rsidRPr="008C608F">
                <w:rPr>
                  <w:rStyle w:val="Hyperlink"/>
                </w:rPr>
                <w:t>https://www.eesc.europa.eu/bg/our-work/opinions-information-reports/plenary-session-summaries</w:t>
              </w:r>
            </w:hyperlink>
          </w:p>
          <w:p w:rsidRPr="008C608F" w:rsidR="004D7AC0" w:rsidP="00600C84" w:rsidRDefault="004D7AC0" w14:paraId="4982DD5C" w14:textId="77777777">
            <w:pPr>
              <w:snapToGrid w:val="0"/>
              <w:jc w:val="center"/>
              <w:rPr>
                <w:rFonts w:eastAsia="SimSun"/>
              </w:rPr>
            </w:pPr>
          </w:p>
          <w:p w:rsidRPr="008C608F" w:rsidR="004D7AC0" w:rsidP="00600C84" w:rsidRDefault="004D7AC0" w14:paraId="4982DD5D" w14:textId="77777777">
            <w:pPr>
              <w:snapToGrid w:val="0"/>
              <w:jc w:val="center"/>
            </w:pPr>
            <w:r w:rsidRPr="008C608F">
              <w:t>Изброените становища могат да бъдат намерени онлайн чрез търсачката на ЕИСК:</w:t>
            </w:r>
            <w:r w:rsidRPr="008C608F">
              <w:br/>
            </w:r>
            <w:r w:rsidRPr="008C608F">
              <w:br/>
            </w:r>
            <w:hyperlink w:history="1" r:id="rId13">
              <w:r w:rsidRPr="008C608F">
                <w:rPr>
                  <w:rStyle w:val="Hyperlink"/>
                </w:rPr>
                <w:t>https://dmsearch.eesc.europa.eu/search/opinion</w:t>
              </w:r>
            </w:hyperlink>
          </w:p>
          <w:p w:rsidRPr="008C608F" w:rsidR="004D7AC0" w:rsidP="00600C84" w:rsidRDefault="004D7AC0" w14:paraId="4982DD5E" w14:textId="77777777">
            <w:pPr>
              <w:snapToGrid w:val="0"/>
              <w:jc w:val="center"/>
            </w:pPr>
          </w:p>
        </w:tc>
      </w:tr>
    </w:tbl>
    <w:p w:rsidRPr="008C608F" w:rsidR="004D7AC0" w:rsidP="004D7AC0" w:rsidRDefault="004D7AC0" w14:paraId="4982DD60" w14:textId="77777777"/>
    <w:p w:rsidRPr="008C608F" w:rsidR="004D7AC0" w:rsidP="004D7AC0" w:rsidRDefault="004D7AC0" w14:paraId="4982DD61" w14:textId="77777777"/>
    <w:p w:rsidRPr="008C608F" w:rsidR="004D7AC0" w:rsidP="004D7AC0" w:rsidRDefault="004D7AC0" w14:paraId="4982DD62" w14:textId="72DC7F56">
      <w:pPr>
        <w:sectPr w:rsidRPr="008C608F" w:rsidR="004D7AC0" w:rsidSect="008C608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8C608F" w:rsidR="004D7AC0" w:rsidP="004D7AC0" w:rsidRDefault="004D7AC0" w14:paraId="4982DD63" w14:textId="77777777">
      <w:pPr>
        <w:rPr>
          <w:b/>
        </w:rPr>
      </w:pPr>
      <w:r w:rsidRPr="008C608F">
        <w:rPr>
          <w:b/>
        </w:rPr>
        <w:lastRenderedPageBreak/>
        <w:t>Съдържание:</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8C608F" w:rsidR="004D7AC0" w:rsidP="004D7AC0" w:rsidRDefault="004D7AC0" w14:paraId="4982DD64" w14:textId="77777777">
          <w:pPr>
            <w:pStyle w:val="TOCHeading"/>
            <w:rPr>
              <w:rFonts w:ascii="Times New Roman" w:hAnsi="Times New Roman" w:cs="Times New Roman"/>
              <w:color w:val="auto"/>
              <w:sz w:val="22"/>
              <w:szCs w:val="22"/>
            </w:rPr>
          </w:pPr>
        </w:p>
        <w:p w:rsidRPr="008C608F" w:rsidR="0050355C" w:rsidRDefault="004D7AC0" w14:paraId="1E70CE04" w14:textId="2E98ADE8">
          <w:pPr>
            <w:pStyle w:val="TOC1"/>
            <w:tabs>
              <w:tab w:val="left" w:pos="440"/>
              <w:tab w:val="right" w:leader="dot" w:pos="9061"/>
            </w:tabs>
            <w:rPr>
              <w:rFonts w:eastAsiaTheme="minorEastAsia"/>
              <w:noProof/>
              <w:lang w:val="en-US"/>
            </w:rPr>
          </w:pPr>
          <w:r w:rsidRPr="008C608F">
            <w:fldChar w:fldCharType="begin"/>
          </w:r>
          <w:r w:rsidRPr="008C608F">
            <w:instrText xml:space="preserve"> TOC \o "1-3" \h \z \u </w:instrText>
          </w:r>
          <w:r w:rsidRPr="008C608F">
            <w:fldChar w:fldCharType="separate"/>
          </w:r>
          <w:hyperlink w:history="1" w:anchor="_Toc179362834">
            <w:r w:rsidRPr="008C608F" w:rsidR="0050355C">
              <w:rPr>
                <w:rStyle w:val="Hyperlink"/>
                <w:b/>
                <w:noProof/>
              </w:rPr>
              <w:t>1.</w:t>
            </w:r>
            <w:r w:rsidRPr="008C608F" w:rsidR="0050355C">
              <w:rPr>
                <w:rFonts w:eastAsiaTheme="minorEastAsia"/>
                <w:noProof/>
                <w:lang w:val="en-US"/>
              </w:rPr>
              <w:tab/>
            </w:r>
            <w:r w:rsidRPr="008C608F" w:rsidR="0050355C">
              <w:rPr>
                <w:rStyle w:val="Hyperlink"/>
                <w:b/>
                <w:noProof/>
              </w:rPr>
              <w:t>РЕЗОЛЮЦИЯ</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_Toc179362834 \h </w:instrText>
            </w:r>
            <w:r w:rsidRPr="008C608F" w:rsidR="0050355C">
              <w:rPr>
                <w:noProof/>
                <w:webHidden/>
              </w:rPr>
            </w:r>
            <w:r w:rsidRPr="008C608F" w:rsidR="0050355C">
              <w:rPr>
                <w:noProof/>
                <w:webHidden/>
              </w:rPr>
              <w:fldChar w:fldCharType="separate"/>
            </w:r>
            <w:r w:rsidR="00FE1A6A">
              <w:rPr>
                <w:noProof/>
                <w:webHidden/>
              </w:rPr>
              <w:t>3</w:t>
            </w:r>
            <w:r w:rsidRPr="008C608F" w:rsidR="0050355C">
              <w:rPr>
                <w:noProof/>
                <w:webHidden/>
              </w:rPr>
              <w:fldChar w:fldCharType="end"/>
            </w:r>
          </w:hyperlink>
        </w:p>
        <w:p w:rsidRPr="008C608F" w:rsidR="0050355C" w:rsidP="0050355C" w:rsidRDefault="00257091" w14:paraId="689C39DB" w14:textId="57EFA510">
          <w:pPr>
            <w:pStyle w:val="TOC1"/>
            <w:tabs>
              <w:tab w:val="left" w:pos="440"/>
              <w:tab w:val="right" w:leader="dot" w:pos="9061"/>
            </w:tabs>
            <w:ind w:left="440" w:hanging="440"/>
            <w:rPr>
              <w:rFonts w:eastAsiaTheme="minorEastAsia"/>
              <w:noProof/>
              <w:lang w:val="en-US"/>
            </w:rPr>
          </w:pPr>
          <w:hyperlink w:history="1" w:anchor="_Toc179362835">
            <w:r w:rsidRPr="008C608F" w:rsidR="0050355C">
              <w:rPr>
                <w:rStyle w:val="Hyperlink"/>
                <w:b/>
                <w:noProof/>
              </w:rPr>
              <w:t>2.</w:t>
            </w:r>
            <w:r w:rsidRPr="008C608F" w:rsidR="0050355C">
              <w:rPr>
                <w:rFonts w:eastAsiaTheme="minorEastAsia"/>
                <w:noProof/>
                <w:lang w:val="en-US"/>
              </w:rPr>
              <w:tab/>
            </w:r>
            <w:r w:rsidRPr="008C608F" w:rsidR="0050355C">
              <w:rPr>
                <w:rStyle w:val="Hyperlink"/>
                <w:b/>
                <w:noProof/>
              </w:rPr>
              <w:t>ИКОНОМИЧЕСКИ И ПАРИЧЕН СЪЮЗ, ИКОНОМИЧЕСКО И СОЦИАЛНО СБЛИЖАВАНЕ</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_Toc179362835 \h </w:instrText>
            </w:r>
            <w:r w:rsidRPr="008C608F" w:rsidR="0050355C">
              <w:rPr>
                <w:noProof/>
                <w:webHidden/>
              </w:rPr>
            </w:r>
            <w:r w:rsidRPr="008C608F" w:rsidR="0050355C">
              <w:rPr>
                <w:noProof/>
                <w:webHidden/>
              </w:rPr>
              <w:fldChar w:fldCharType="separate"/>
            </w:r>
            <w:r w:rsidR="00FE1A6A">
              <w:rPr>
                <w:noProof/>
                <w:webHidden/>
              </w:rPr>
              <w:t>4</w:t>
            </w:r>
            <w:r w:rsidRPr="008C608F" w:rsidR="0050355C">
              <w:rPr>
                <w:noProof/>
                <w:webHidden/>
              </w:rPr>
              <w:fldChar w:fldCharType="end"/>
            </w:r>
          </w:hyperlink>
        </w:p>
        <w:p w:rsidRPr="008C608F" w:rsidR="0050355C" w:rsidRDefault="00257091" w14:paraId="3488CC34" w14:textId="45624F95">
          <w:pPr>
            <w:pStyle w:val="TOC1"/>
            <w:tabs>
              <w:tab w:val="left" w:pos="440"/>
              <w:tab w:val="right" w:leader="dot" w:pos="9061"/>
            </w:tabs>
            <w:rPr>
              <w:rFonts w:eastAsiaTheme="minorEastAsia"/>
              <w:noProof/>
              <w:lang w:val="en-US"/>
            </w:rPr>
          </w:pPr>
          <w:hyperlink w:history="1" w:anchor="_Toc179362845">
            <w:r w:rsidRPr="008C608F" w:rsidR="0050355C">
              <w:rPr>
                <w:rStyle w:val="Hyperlink"/>
                <w:b/>
                <w:noProof/>
              </w:rPr>
              <w:t>3.</w:t>
            </w:r>
            <w:r w:rsidRPr="008C608F" w:rsidR="0050355C">
              <w:rPr>
                <w:rFonts w:eastAsiaTheme="minorEastAsia"/>
                <w:noProof/>
                <w:lang w:val="en-US"/>
              </w:rPr>
              <w:tab/>
            </w:r>
            <w:r w:rsidRPr="008C608F" w:rsidR="0050355C">
              <w:rPr>
                <w:rStyle w:val="Hyperlink"/>
                <w:b/>
                <w:noProof/>
              </w:rPr>
              <w:t>ЗАЕТОСТ, СОЦИАЛНИ ВЪПРОСИ И ГРАЖДАНСТВО</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_Toc179362845 \h </w:instrText>
            </w:r>
            <w:r w:rsidRPr="008C608F" w:rsidR="0050355C">
              <w:rPr>
                <w:noProof/>
                <w:webHidden/>
              </w:rPr>
            </w:r>
            <w:r w:rsidRPr="008C608F" w:rsidR="0050355C">
              <w:rPr>
                <w:noProof/>
                <w:webHidden/>
              </w:rPr>
              <w:fldChar w:fldCharType="separate"/>
            </w:r>
            <w:r w:rsidR="00FE1A6A">
              <w:rPr>
                <w:noProof/>
                <w:webHidden/>
              </w:rPr>
              <w:t>7</w:t>
            </w:r>
            <w:r w:rsidRPr="008C608F" w:rsidR="0050355C">
              <w:rPr>
                <w:noProof/>
                <w:webHidden/>
              </w:rPr>
              <w:fldChar w:fldCharType="end"/>
            </w:r>
          </w:hyperlink>
        </w:p>
        <w:p w:rsidRPr="008C608F" w:rsidR="0050355C" w:rsidP="0050355C" w:rsidRDefault="00257091" w14:paraId="634BA75B" w14:textId="2F301B82">
          <w:pPr>
            <w:pStyle w:val="TOC1"/>
            <w:tabs>
              <w:tab w:val="left" w:pos="440"/>
              <w:tab w:val="right" w:leader="dot" w:pos="9061"/>
            </w:tabs>
            <w:ind w:left="440" w:hanging="440"/>
            <w:rPr>
              <w:rFonts w:eastAsiaTheme="minorEastAsia"/>
              <w:noProof/>
              <w:lang w:val="en-US"/>
            </w:rPr>
          </w:pPr>
          <w:hyperlink w:history="1" w:anchor="_Toc179362856">
            <w:r w:rsidRPr="008C608F" w:rsidR="0050355C">
              <w:rPr>
                <w:rStyle w:val="Hyperlink"/>
                <w:b/>
                <w:noProof/>
              </w:rPr>
              <w:t>4.</w:t>
            </w:r>
            <w:r w:rsidRPr="008C608F" w:rsidR="0050355C">
              <w:rPr>
                <w:rFonts w:eastAsiaTheme="minorEastAsia"/>
                <w:noProof/>
                <w:lang w:val="en-US"/>
              </w:rPr>
              <w:tab/>
            </w:r>
            <w:r w:rsidRPr="008C608F" w:rsidR="0050355C">
              <w:rPr>
                <w:rStyle w:val="Hyperlink"/>
                <w:b/>
                <w:noProof/>
              </w:rPr>
              <w:t>ТРАНСПОРТ, ЕНЕРГЕТИКА, ИНФРАСТРУКТУРИ, ИНФОРМАЦИОННО ОБЩЕСТВО</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_Toc179362856 \h </w:instrText>
            </w:r>
            <w:r w:rsidRPr="008C608F" w:rsidR="0050355C">
              <w:rPr>
                <w:noProof/>
                <w:webHidden/>
              </w:rPr>
            </w:r>
            <w:r w:rsidRPr="008C608F" w:rsidR="0050355C">
              <w:rPr>
                <w:noProof/>
                <w:webHidden/>
              </w:rPr>
              <w:fldChar w:fldCharType="separate"/>
            </w:r>
            <w:r w:rsidR="00FE1A6A">
              <w:rPr>
                <w:noProof/>
                <w:webHidden/>
              </w:rPr>
              <w:t>17</w:t>
            </w:r>
            <w:r w:rsidRPr="008C608F" w:rsidR="0050355C">
              <w:rPr>
                <w:noProof/>
                <w:webHidden/>
              </w:rPr>
              <w:fldChar w:fldCharType="end"/>
            </w:r>
          </w:hyperlink>
        </w:p>
        <w:p w:rsidRPr="008C608F" w:rsidR="0050355C" w:rsidRDefault="00257091" w14:paraId="686047D1" w14:textId="76D300D9">
          <w:pPr>
            <w:pStyle w:val="TOC1"/>
            <w:tabs>
              <w:tab w:val="left" w:pos="440"/>
              <w:tab w:val="right" w:leader="dot" w:pos="9061"/>
            </w:tabs>
            <w:rPr>
              <w:rFonts w:eastAsiaTheme="minorEastAsia"/>
              <w:noProof/>
              <w:lang w:val="en-US"/>
            </w:rPr>
          </w:pPr>
          <w:hyperlink w:history="1" w:anchor="_Toc179362857">
            <w:r w:rsidRPr="008C608F" w:rsidR="0050355C">
              <w:rPr>
                <w:rStyle w:val="Hyperlink"/>
                <w:b/>
                <w:noProof/>
              </w:rPr>
              <w:t>5.</w:t>
            </w:r>
            <w:r w:rsidRPr="008C608F" w:rsidR="0050355C">
              <w:rPr>
                <w:rFonts w:eastAsiaTheme="minorEastAsia"/>
                <w:noProof/>
                <w:lang w:val="en-US"/>
              </w:rPr>
              <w:tab/>
            </w:r>
            <w:r w:rsidRPr="008C608F" w:rsidR="0050355C">
              <w:rPr>
                <w:rStyle w:val="Hyperlink"/>
                <w:b/>
                <w:noProof/>
              </w:rPr>
              <w:t>ЕДИНЕН ПАЗАР, ПРОИЗВОДСТВО И ПОТРЕБЛЕНИЕ</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_Toc179362857 \h </w:instrText>
            </w:r>
            <w:r w:rsidRPr="008C608F" w:rsidR="0050355C">
              <w:rPr>
                <w:noProof/>
                <w:webHidden/>
              </w:rPr>
            </w:r>
            <w:r w:rsidRPr="008C608F" w:rsidR="0050355C">
              <w:rPr>
                <w:noProof/>
                <w:webHidden/>
              </w:rPr>
              <w:fldChar w:fldCharType="separate"/>
            </w:r>
            <w:r w:rsidR="00FE1A6A">
              <w:rPr>
                <w:noProof/>
                <w:webHidden/>
              </w:rPr>
              <w:t>20</w:t>
            </w:r>
            <w:r w:rsidRPr="008C608F" w:rsidR="0050355C">
              <w:rPr>
                <w:noProof/>
                <w:webHidden/>
              </w:rPr>
              <w:fldChar w:fldCharType="end"/>
            </w:r>
          </w:hyperlink>
        </w:p>
        <w:p w:rsidRPr="008C608F" w:rsidR="0050355C" w:rsidRDefault="00257091" w14:paraId="50AFFD22" w14:textId="4BD5E07C">
          <w:pPr>
            <w:pStyle w:val="TOC1"/>
            <w:tabs>
              <w:tab w:val="left" w:pos="440"/>
              <w:tab w:val="right" w:leader="dot" w:pos="9061"/>
            </w:tabs>
            <w:rPr>
              <w:rFonts w:eastAsiaTheme="minorEastAsia"/>
              <w:noProof/>
              <w:lang w:val="en-US"/>
            </w:rPr>
          </w:pPr>
          <w:hyperlink w:history="1" w:anchor="_Toc179362858">
            <w:r w:rsidRPr="008C608F" w:rsidR="0050355C">
              <w:rPr>
                <w:rStyle w:val="Hyperlink"/>
                <w:b/>
                <w:noProof/>
              </w:rPr>
              <w:t>6.</w:t>
            </w:r>
            <w:r w:rsidRPr="008C608F" w:rsidR="0050355C">
              <w:rPr>
                <w:rFonts w:eastAsiaTheme="minorEastAsia"/>
                <w:noProof/>
                <w:lang w:val="en-US"/>
              </w:rPr>
              <w:tab/>
            </w:r>
            <w:r w:rsidRPr="008C608F" w:rsidR="0050355C">
              <w:rPr>
                <w:rStyle w:val="Hyperlink"/>
                <w:b/>
                <w:noProof/>
              </w:rPr>
              <w:t>ЗЕМЕДЕЛИЕ, РАЗВИТИЕ НА СЕЛСКИТЕ РАЙОНИ, ОКОЛНА СРЕДА</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_Toc179362858 \h </w:instrText>
            </w:r>
            <w:r w:rsidRPr="008C608F" w:rsidR="0050355C">
              <w:rPr>
                <w:noProof/>
                <w:webHidden/>
              </w:rPr>
            </w:r>
            <w:r w:rsidRPr="008C608F" w:rsidR="0050355C">
              <w:rPr>
                <w:noProof/>
                <w:webHidden/>
              </w:rPr>
              <w:fldChar w:fldCharType="separate"/>
            </w:r>
            <w:r w:rsidR="00FE1A6A">
              <w:rPr>
                <w:noProof/>
                <w:webHidden/>
              </w:rPr>
              <w:t>24</w:t>
            </w:r>
            <w:r w:rsidRPr="008C608F" w:rsidR="0050355C">
              <w:rPr>
                <w:noProof/>
                <w:webHidden/>
              </w:rPr>
              <w:fldChar w:fldCharType="end"/>
            </w:r>
          </w:hyperlink>
        </w:p>
        <w:p w:rsidRPr="008C608F" w:rsidR="0050355C" w:rsidRDefault="00257091" w14:paraId="07D5944E" w14:textId="33E3ED7D">
          <w:pPr>
            <w:pStyle w:val="TOC1"/>
            <w:tabs>
              <w:tab w:val="left" w:pos="440"/>
              <w:tab w:val="right" w:leader="dot" w:pos="9061"/>
            </w:tabs>
            <w:rPr>
              <w:rFonts w:eastAsiaTheme="minorEastAsia"/>
              <w:noProof/>
              <w:lang w:val="en-US"/>
            </w:rPr>
          </w:pPr>
          <w:hyperlink w:history="1" w:anchor="_Toc179362891">
            <w:r w:rsidRPr="008C608F" w:rsidR="0050355C">
              <w:rPr>
                <w:rStyle w:val="Hyperlink"/>
                <w:b/>
                <w:noProof/>
              </w:rPr>
              <w:t>7.</w:t>
            </w:r>
            <w:r w:rsidRPr="008C608F" w:rsidR="0050355C">
              <w:rPr>
                <w:rFonts w:eastAsiaTheme="minorEastAsia"/>
                <w:noProof/>
                <w:lang w:val="en-US"/>
              </w:rPr>
              <w:tab/>
            </w:r>
            <w:r w:rsidRPr="008C608F" w:rsidR="0050355C">
              <w:rPr>
                <w:rStyle w:val="Hyperlink"/>
                <w:b/>
                <w:noProof/>
              </w:rPr>
              <w:t>ВЪНШНИ ОТНОШЕНИЯ</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_Toc179362891 \h </w:instrText>
            </w:r>
            <w:r w:rsidRPr="008C608F" w:rsidR="0050355C">
              <w:rPr>
                <w:noProof/>
                <w:webHidden/>
              </w:rPr>
            </w:r>
            <w:r w:rsidRPr="008C608F" w:rsidR="0050355C">
              <w:rPr>
                <w:noProof/>
                <w:webHidden/>
              </w:rPr>
              <w:fldChar w:fldCharType="separate"/>
            </w:r>
            <w:r w:rsidR="00FE1A6A">
              <w:rPr>
                <w:noProof/>
                <w:webHidden/>
              </w:rPr>
              <w:t>32</w:t>
            </w:r>
            <w:r w:rsidRPr="008C608F" w:rsidR="0050355C">
              <w:rPr>
                <w:noProof/>
                <w:webHidden/>
              </w:rPr>
              <w:fldChar w:fldCharType="end"/>
            </w:r>
          </w:hyperlink>
        </w:p>
        <w:p w:rsidRPr="008C608F" w:rsidR="0050355C" w:rsidRDefault="00257091" w14:paraId="1823A7B1" w14:textId="79E6DE16">
          <w:pPr>
            <w:pStyle w:val="TOC1"/>
            <w:tabs>
              <w:tab w:val="left" w:pos="440"/>
              <w:tab w:val="right" w:leader="dot" w:pos="9061"/>
            </w:tabs>
            <w:rPr>
              <w:rFonts w:eastAsiaTheme="minorEastAsia"/>
              <w:noProof/>
              <w:lang w:val="en-US"/>
            </w:rPr>
          </w:pPr>
          <w:hyperlink w:history="1" w:anchor="_Toc179362902">
            <w:r w:rsidRPr="008C608F" w:rsidR="0050355C">
              <w:rPr>
                <w:rStyle w:val="Hyperlink"/>
                <w:b/>
                <w:noProof/>
              </w:rPr>
              <w:t>8.</w:t>
            </w:r>
            <w:r w:rsidRPr="008C608F" w:rsidR="0050355C">
              <w:rPr>
                <w:rFonts w:eastAsiaTheme="minorEastAsia"/>
                <w:noProof/>
                <w:lang w:val="en-US"/>
              </w:rPr>
              <w:tab/>
            </w:r>
            <w:r w:rsidRPr="008C608F" w:rsidR="0050355C">
              <w:rPr>
                <w:rStyle w:val="Hyperlink"/>
                <w:b/>
                <w:noProof/>
              </w:rPr>
              <w:t>КОНСУЛТАТИВНА КОМИСИЯ ПО ИНДУСТРИАЛНИ ПРОМЕНИ</w:t>
            </w:r>
            <w:r w:rsidRPr="008C608F" w:rsidR="0050355C">
              <w:rPr>
                <w:noProof/>
                <w:webHidden/>
              </w:rPr>
              <w:tab/>
            </w:r>
            <w:r w:rsidRPr="008C608F" w:rsidR="0050355C">
              <w:rPr>
                <w:noProof/>
                <w:webHidden/>
              </w:rPr>
              <w:fldChar w:fldCharType="begin"/>
            </w:r>
            <w:r w:rsidRPr="008C608F" w:rsidR="0050355C">
              <w:rPr>
                <w:noProof/>
                <w:webHidden/>
              </w:rPr>
              <w:instrText xml:space="preserve"> PAGEREF _Toc179362902 \h </w:instrText>
            </w:r>
            <w:r w:rsidRPr="008C608F" w:rsidR="0050355C">
              <w:rPr>
                <w:noProof/>
                <w:webHidden/>
              </w:rPr>
            </w:r>
            <w:r w:rsidRPr="008C608F" w:rsidR="0050355C">
              <w:rPr>
                <w:noProof/>
                <w:webHidden/>
              </w:rPr>
              <w:fldChar w:fldCharType="separate"/>
            </w:r>
            <w:r w:rsidR="00FE1A6A">
              <w:rPr>
                <w:noProof/>
                <w:webHidden/>
              </w:rPr>
              <w:t>36</w:t>
            </w:r>
            <w:r w:rsidRPr="008C608F" w:rsidR="0050355C">
              <w:rPr>
                <w:noProof/>
                <w:webHidden/>
              </w:rPr>
              <w:fldChar w:fldCharType="end"/>
            </w:r>
          </w:hyperlink>
        </w:p>
        <w:p w:rsidRPr="008C608F" w:rsidR="004D7AC0" w:rsidP="004D7AC0" w:rsidRDefault="004D7AC0" w14:paraId="4982DD6A" w14:textId="2AE4F869">
          <w:r w:rsidRPr="008C608F">
            <w:rPr>
              <w:b/>
            </w:rPr>
            <w:fldChar w:fldCharType="end"/>
          </w:r>
        </w:p>
      </w:sdtContent>
    </w:sdt>
    <w:p w:rsidRPr="008C608F" w:rsidR="004D7AC0" w:rsidP="004D7AC0" w:rsidRDefault="004D7AC0" w14:paraId="4982DD6B" w14:textId="77777777"/>
    <w:p w:rsidRPr="008C608F" w:rsidR="004D7AC0" w:rsidP="004D7AC0" w:rsidRDefault="004D7AC0" w14:paraId="4982DD6C" w14:textId="320B0F01">
      <w:pPr>
        <w:spacing w:after="160" w:line="259" w:lineRule="auto"/>
        <w:jc w:val="left"/>
      </w:pPr>
      <w:r w:rsidRPr="008C608F">
        <w:br w:type="page"/>
      </w:r>
    </w:p>
    <w:p w:rsidRPr="008C608F" w:rsidR="002673F7" w:rsidP="004D7AC0" w:rsidRDefault="002673F7" w14:paraId="2C14AA4D" w14:textId="2AF2A0E3">
      <w:pPr>
        <w:pStyle w:val="Heading1"/>
        <w:rPr>
          <w:b/>
        </w:rPr>
      </w:pPr>
      <w:bookmarkStart w:name="_Toc179362834" w:id="0"/>
      <w:r w:rsidRPr="008C608F">
        <w:rPr>
          <w:b/>
        </w:rPr>
        <w:lastRenderedPageBreak/>
        <w:t>РЕЗОЛЮЦИЯ</w:t>
      </w:r>
      <w:bookmarkEnd w:id="0"/>
    </w:p>
    <w:p w:rsidRPr="008C608F" w:rsidR="002673F7" w:rsidP="002673F7" w:rsidRDefault="002673F7" w14:paraId="3912EA4C" w14:textId="5657EB09"/>
    <w:p w:rsidRPr="008C608F" w:rsidR="00BC7CE9" w:rsidP="00BC7CE9" w:rsidRDefault="00BC7CE9" w14:paraId="2AEB510A" w14:textId="77777777">
      <w:pPr>
        <w:widowControl w:val="0"/>
        <w:numPr>
          <w:ilvl w:val="0"/>
          <w:numId w:val="4"/>
        </w:numPr>
        <w:overflowPunct w:val="0"/>
        <w:autoSpaceDE w:val="0"/>
        <w:autoSpaceDN w:val="0"/>
        <w:adjustRightInd w:val="0"/>
        <w:ind w:hanging="567"/>
        <w:textAlignment w:val="baseline"/>
        <w:rPr>
          <w:sz w:val="24"/>
          <w:szCs w:val="24"/>
        </w:rPr>
      </w:pPr>
      <w:r w:rsidRPr="008C608F">
        <w:rPr>
          <w:b/>
          <w:i/>
          <w:sz w:val="28"/>
        </w:rPr>
        <w:t>Резолюция на ЕИСК „Очертаване на демократичния напредък на ЕС: резолюция за следващия законодателен мандат“</w:t>
      </w:r>
    </w:p>
    <w:p w:rsidRPr="008C608F" w:rsidR="00BC7CE9" w:rsidP="00BC7CE9" w:rsidRDefault="00BC7CE9" w14:paraId="2090AD73"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518"/>
        <w:gridCol w:w="6129"/>
      </w:tblGrid>
      <w:tr w:rsidRPr="00BC7CE9" w:rsidR="00BC7CE9" w:rsidTr="00261678" w14:paraId="7EF74445" w14:textId="77777777">
        <w:tc>
          <w:tcPr>
            <w:tcW w:w="2518" w:type="dxa"/>
          </w:tcPr>
          <w:p w:rsidRPr="00BC7CE9" w:rsidR="00BC7CE9" w:rsidP="00BC7CE9" w:rsidRDefault="00BC7CE9" w14:paraId="695ACCD2" w14:textId="36682D0F">
            <w:pPr>
              <w:tabs>
                <w:tab w:val="center" w:pos="284"/>
              </w:tabs>
              <w:overflowPunct w:val="0"/>
              <w:autoSpaceDE w:val="0"/>
              <w:autoSpaceDN w:val="0"/>
              <w:adjustRightInd w:val="0"/>
              <w:ind w:left="266" w:hanging="266"/>
              <w:textAlignment w:val="baseline"/>
              <w:rPr>
                <w:b/>
              </w:rPr>
            </w:pPr>
            <w:r w:rsidRPr="008C608F">
              <w:rPr>
                <w:b/>
              </w:rPr>
              <w:t>Докладчици:</w:t>
            </w:r>
          </w:p>
        </w:tc>
        <w:tc>
          <w:tcPr>
            <w:tcW w:w="6129" w:type="dxa"/>
          </w:tcPr>
          <w:p w:rsidRPr="008C608F" w:rsidR="00BC7CE9" w:rsidP="00BC7CE9" w:rsidRDefault="00BC7CE9" w14:paraId="5B708F65" w14:textId="77777777">
            <w:pPr>
              <w:tabs>
                <w:tab w:val="center" w:pos="284"/>
              </w:tabs>
              <w:overflowPunct w:val="0"/>
              <w:autoSpaceDE w:val="0"/>
              <w:autoSpaceDN w:val="0"/>
              <w:adjustRightInd w:val="0"/>
              <w:ind w:left="266" w:hanging="266"/>
              <w:textAlignment w:val="baseline"/>
            </w:pPr>
            <w:r w:rsidRPr="008C608F">
              <w:t>Christa SCHWENG (Група „Работодатели“ — AT)</w:t>
            </w:r>
          </w:p>
          <w:p w:rsidRPr="008C608F" w:rsidR="00BC7CE9" w:rsidP="00BC7CE9" w:rsidRDefault="00BC7CE9" w14:paraId="083A003E" w14:textId="77777777">
            <w:pPr>
              <w:tabs>
                <w:tab w:val="center" w:pos="284"/>
              </w:tabs>
              <w:overflowPunct w:val="0"/>
              <w:autoSpaceDE w:val="0"/>
              <w:autoSpaceDN w:val="0"/>
              <w:adjustRightInd w:val="0"/>
              <w:ind w:left="266" w:hanging="266"/>
              <w:textAlignment w:val="baseline"/>
            </w:pPr>
            <w:r w:rsidRPr="008C608F">
              <w:t>Cinzia DEL RIO (група „Работници“ — IT)</w:t>
            </w:r>
          </w:p>
          <w:p w:rsidRPr="00BC7CE9" w:rsidR="00BC7CE9" w:rsidP="00261678" w:rsidRDefault="00BC7CE9" w14:paraId="3428093D" w14:textId="77777777">
            <w:pPr>
              <w:overflowPunct w:val="0"/>
              <w:autoSpaceDE w:val="0"/>
              <w:autoSpaceDN w:val="0"/>
              <w:adjustRightInd w:val="0"/>
              <w:ind w:left="35"/>
              <w:textAlignment w:val="baseline"/>
            </w:pPr>
            <w:r w:rsidRPr="008C608F">
              <w:t>Ioannis VARDAKASTANIS (група „Организации на гражданското общество“ — EL)</w:t>
            </w:r>
          </w:p>
        </w:tc>
      </w:tr>
      <w:tr w:rsidRPr="00BC7CE9" w:rsidR="00BC7CE9" w:rsidTr="0015437C" w14:paraId="621C3017" w14:textId="77777777">
        <w:tc>
          <w:tcPr>
            <w:tcW w:w="8647" w:type="dxa"/>
            <w:gridSpan w:val="2"/>
          </w:tcPr>
          <w:p w:rsidRPr="00BC7CE9" w:rsidR="00BC7CE9" w:rsidP="00BC7CE9" w:rsidRDefault="00BC7CE9" w14:paraId="6F030679"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8C608F" w:rsidR="00BC7CE9" w:rsidTr="00261678" w14:paraId="47D627A8" w14:textId="77777777">
        <w:tc>
          <w:tcPr>
            <w:tcW w:w="2518" w:type="dxa"/>
          </w:tcPr>
          <w:p w:rsidRPr="00BC7CE9" w:rsidR="00BC7CE9" w:rsidP="00BC7CE9" w:rsidRDefault="00BC7CE9" w14:paraId="6E6DBDFE" w14:textId="55955870">
            <w:pPr>
              <w:tabs>
                <w:tab w:val="center" w:pos="284"/>
              </w:tabs>
              <w:overflowPunct w:val="0"/>
              <w:autoSpaceDE w:val="0"/>
              <w:autoSpaceDN w:val="0"/>
              <w:adjustRightInd w:val="0"/>
              <w:ind w:left="266" w:hanging="266"/>
              <w:textAlignment w:val="baseline"/>
              <w:rPr>
                <w:b/>
              </w:rPr>
            </w:pPr>
            <w:r w:rsidRPr="008C608F">
              <w:rPr>
                <w:b/>
              </w:rPr>
              <w:t>Отправни документи</w:t>
            </w:r>
          </w:p>
        </w:tc>
        <w:tc>
          <w:tcPr>
            <w:tcW w:w="6129" w:type="dxa"/>
          </w:tcPr>
          <w:p w:rsidRPr="008C608F" w:rsidR="00BC7CE9" w:rsidP="00BC7CE9" w:rsidRDefault="00BC7CE9" w14:paraId="031E98BC" w14:textId="7C883116">
            <w:pPr>
              <w:tabs>
                <w:tab w:val="center" w:pos="284"/>
              </w:tabs>
              <w:overflowPunct w:val="0"/>
              <w:autoSpaceDE w:val="0"/>
              <w:autoSpaceDN w:val="0"/>
              <w:adjustRightInd w:val="0"/>
              <w:ind w:left="266" w:hanging="266"/>
              <w:textAlignment w:val="baseline"/>
            </w:pPr>
            <w:r w:rsidRPr="008C608F">
              <w:t>EESC-2023-05601-00-00-RES</w:t>
            </w:r>
          </w:p>
        </w:tc>
      </w:tr>
    </w:tbl>
    <w:p w:rsidRPr="008C608F" w:rsidR="004175C7" w:rsidP="00BC7CE9" w:rsidRDefault="004175C7" w14:paraId="76AEC50A"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BC7CE9" w:rsidP="00BC7CE9" w:rsidRDefault="00BC7CE9" w14:paraId="1111B803" w14:textId="0FD024E3">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BC7CE9" w:rsidP="00BC7CE9" w:rsidRDefault="00BC7CE9" w14:paraId="6FCCF5B9"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BC7CE9" w:rsidP="00BC7CE9" w:rsidRDefault="00BC7CE9" w14:paraId="24FBA19C" w14:textId="77777777">
      <w:pPr>
        <w:overflowPunct w:val="0"/>
        <w:autoSpaceDE w:val="0"/>
        <w:autoSpaceDN w:val="0"/>
        <w:adjustRightInd w:val="0"/>
        <w:textAlignment w:val="baseline"/>
        <w:rPr>
          <w:bCs/>
          <w:iCs/>
        </w:rPr>
      </w:pPr>
      <w:r w:rsidRPr="008C608F">
        <w:t>ЕИСК:</w:t>
      </w:r>
    </w:p>
    <w:p w:rsidRPr="00BC7CE9" w:rsidR="00BC7CE9" w:rsidP="00B07E13" w:rsidRDefault="00BC7CE9" w14:paraId="44658481" w14:textId="77777777">
      <w:pPr>
        <w:numPr>
          <w:ilvl w:val="0"/>
          <w:numId w:val="20"/>
        </w:numPr>
        <w:overflowPunct w:val="0"/>
        <w:autoSpaceDE w:val="0"/>
        <w:autoSpaceDN w:val="0"/>
        <w:adjustRightInd w:val="0"/>
        <w:ind w:left="567" w:hanging="567"/>
        <w:contextualSpacing/>
        <w:textAlignment w:val="baseline"/>
        <w:rPr>
          <w:rFonts w:ascii="Calibri" w:hAnsi="Calibri"/>
          <w:bCs/>
          <w:iCs/>
        </w:rPr>
      </w:pPr>
      <w:r w:rsidRPr="008C608F">
        <w:t>призовава настоятелно, в контекста на настоящите многобройни кризи, новия Европейски парламент и новата Европейска комисия да се възползват от многообразието на представителството в ЕИСК, за да засилят международната позиция на ЕС, да укрепят институционалната архитектура на ЕС, да осигурят солидна опора за общите ни ценности и да поведат икономиката ни към устойчиво бъдеще на основата на напреднал и приобщаващ социален модел — нещо, което е от жизненоважно значение за напредъка, единството и конкурентоспособността;</w:t>
      </w:r>
    </w:p>
    <w:p w:rsidRPr="008C608F" w:rsidR="00BC7CE9" w:rsidP="00B07E13" w:rsidRDefault="00BC7CE9" w14:paraId="0599348A" w14:textId="77777777">
      <w:pPr>
        <w:numPr>
          <w:ilvl w:val="0"/>
          <w:numId w:val="20"/>
        </w:numPr>
        <w:overflowPunct w:val="0"/>
        <w:autoSpaceDE w:val="0"/>
        <w:autoSpaceDN w:val="0"/>
        <w:adjustRightInd w:val="0"/>
        <w:ind w:left="567" w:hanging="567"/>
        <w:textAlignment w:val="baseline"/>
      </w:pPr>
      <w:r w:rsidRPr="008C608F">
        <w:t>отправя искане към институциите на Европейския съюз в рамките на законодателния мандат, започващ през 2024 г., да създадат концепция за сигурност в шест направления, която да включва:</w:t>
      </w:r>
    </w:p>
    <w:p w:rsidRPr="008C608F" w:rsidR="00BC7CE9" w:rsidP="00B07E13" w:rsidRDefault="00BC7CE9" w14:paraId="61814648" w14:textId="77777777">
      <w:pPr>
        <w:numPr>
          <w:ilvl w:val="0"/>
          <w:numId w:val="6"/>
        </w:numPr>
        <w:overflowPunct w:val="0"/>
        <w:autoSpaceDE w:val="0"/>
        <w:autoSpaceDN w:val="0"/>
        <w:adjustRightInd w:val="0"/>
        <w:ind w:left="851" w:hanging="284"/>
        <w:textAlignment w:val="baseline"/>
      </w:pPr>
      <w:r w:rsidRPr="008C608F">
        <w:t>ЕС, който защитава гражданите си от външни заплахи;</w:t>
      </w:r>
    </w:p>
    <w:p w:rsidRPr="008C608F" w:rsidR="00BC7CE9" w:rsidP="00B07E13" w:rsidRDefault="00BC7CE9" w14:paraId="3772222E" w14:textId="77777777">
      <w:pPr>
        <w:numPr>
          <w:ilvl w:val="0"/>
          <w:numId w:val="6"/>
        </w:numPr>
        <w:overflowPunct w:val="0"/>
        <w:autoSpaceDE w:val="0"/>
        <w:autoSpaceDN w:val="0"/>
        <w:adjustRightInd w:val="0"/>
        <w:ind w:left="851" w:hanging="284"/>
        <w:textAlignment w:val="baseline"/>
      </w:pPr>
      <w:r w:rsidRPr="008C608F">
        <w:t>ЕС, който защитава хората от вътрешни рискове, основно свързани със здравето, демографските промени и бедността, и който осигурява достъпна, универсална социална закрила и благосъстояние в цяла Европа;</w:t>
      </w:r>
    </w:p>
    <w:p w:rsidRPr="008C608F" w:rsidR="00BC7CE9" w:rsidP="00B07E13" w:rsidRDefault="00BC7CE9" w14:paraId="30961960" w14:textId="77777777">
      <w:pPr>
        <w:numPr>
          <w:ilvl w:val="0"/>
          <w:numId w:val="6"/>
        </w:numPr>
        <w:overflowPunct w:val="0"/>
        <w:autoSpaceDE w:val="0"/>
        <w:autoSpaceDN w:val="0"/>
        <w:adjustRightInd w:val="0"/>
        <w:ind w:left="851" w:hanging="284"/>
        <w:textAlignment w:val="baseline"/>
      </w:pPr>
      <w:r w:rsidRPr="008C608F">
        <w:t>ЕС, който гарантира конкурентоспособна социална пазарна икономика, изградена върху екосистеми, които осигуряват производителност, иновации, качествени работни места и пълна заетост;</w:t>
      </w:r>
    </w:p>
    <w:p w:rsidRPr="008C608F" w:rsidR="00BC7CE9" w:rsidP="00B07E13" w:rsidRDefault="00BC7CE9" w14:paraId="0958497A" w14:textId="77777777">
      <w:pPr>
        <w:numPr>
          <w:ilvl w:val="0"/>
          <w:numId w:val="6"/>
        </w:numPr>
        <w:overflowPunct w:val="0"/>
        <w:autoSpaceDE w:val="0"/>
        <w:autoSpaceDN w:val="0"/>
        <w:adjustRightInd w:val="0"/>
        <w:ind w:left="851" w:hanging="284"/>
        <w:textAlignment w:val="baseline"/>
      </w:pPr>
      <w:r w:rsidRPr="008C608F">
        <w:t>ЕС, който създава устойчива икономика за всички;</w:t>
      </w:r>
    </w:p>
    <w:p w:rsidRPr="008C608F" w:rsidR="00BC7CE9" w:rsidP="00B07E13" w:rsidRDefault="00BC7CE9" w14:paraId="1B077961" w14:textId="77777777">
      <w:pPr>
        <w:numPr>
          <w:ilvl w:val="0"/>
          <w:numId w:val="6"/>
        </w:numPr>
        <w:overflowPunct w:val="0"/>
        <w:autoSpaceDE w:val="0"/>
        <w:autoSpaceDN w:val="0"/>
        <w:adjustRightInd w:val="0"/>
        <w:ind w:left="851" w:hanging="284"/>
        <w:textAlignment w:val="baseline"/>
      </w:pPr>
      <w:r w:rsidRPr="008C608F">
        <w:t>ЕС, който осигурява диалог и участие на социалните партньори, организираното гражданско общество и обществеността, за да се справи с предизвикателствата и трансформациите в днешния ден и в близко бъдеще;</w:t>
      </w:r>
    </w:p>
    <w:p w:rsidRPr="008C608F" w:rsidR="00BC7CE9" w:rsidP="00B07E13" w:rsidRDefault="00BC7CE9" w14:paraId="08C85097" w14:textId="77777777">
      <w:pPr>
        <w:numPr>
          <w:ilvl w:val="0"/>
          <w:numId w:val="6"/>
        </w:numPr>
        <w:overflowPunct w:val="0"/>
        <w:autoSpaceDE w:val="0"/>
        <w:autoSpaceDN w:val="0"/>
        <w:adjustRightInd w:val="0"/>
        <w:ind w:left="851" w:hanging="284"/>
        <w:textAlignment w:val="baseline"/>
      </w:pPr>
      <w:r w:rsidRPr="008C608F">
        <w:t>ЕС, който осигурява защита срещу настоящи и бъдещи рискове, свързани с изменението на климата, замърсяването и загубата на биологично разнообразие.</w:t>
      </w:r>
    </w:p>
    <w:p w:rsidRPr="008C608F" w:rsidR="00BC7CE9" w:rsidP="00BC7CE9" w:rsidRDefault="00BC7CE9" w14:paraId="07C855E0" w14:textId="77777777">
      <w:pPr>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2235"/>
        <w:gridCol w:w="4853"/>
      </w:tblGrid>
      <w:tr w:rsidRPr="004175C7" w:rsidR="00BC7CE9" w:rsidTr="00261678" w14:paraId="3D002220" w14:textId="77777777">
        <w:tc>
          <w:tcPr>
            <w:tcW w:w="2235" w:type="dxa"/>
          </w:tcPr>
          <w:p w:rsidRPr="004175C7" w:rsidR="00BC7CE9" w:rsidP="00BC7CE9" w:rsidRDefault="00BC7CE9" w14:paraId="2B931B83" w14:textId="3F23D0BD">
            <w:pPr>
              <w:overflowPunct w:val="0"/>
              <w:autoSpaceDE w:val="0"/>
              <w:autoSpaceDN w:val="0"/>
              <w:adjustRightInd w:val="0"/>
              <w:spacing w:line="240" w:lineRule="auto"/>
              <w:textAlignment w:val="baseline"/>
              <w:rPr>
                <w:i/>
              </w:rPr>
            </w:pPr>
            <w:r w:rsidRPr="008C608F">
              <w:rPr>
                <w:b/>
                <w:i/>
              </w:rPr>
              <w:t>За връзка:</w:t>
            </w:r>
          </w:p>
        </w:tc>
        <w:tc>
          <w:tcPr>
            <w:tcW w:w="4853" w:type="dxa"/>
          </w:tcPr>
          <w:p w:rsidRPr="004175C7" w:rsidR="00BC7CE9" w:rsidP="00BC7CE9" w:rsidRDefault="00BC7CE9" w14:paraId="45933FB7" w14:textId="5C40FA14">
            <w:pPr>
              <w:overflowPunct w:val="0"/>
              <w:autoSpaceDE w:val="0"/>
              <w:autoSpaceDN w:val="0"/>
              <w:adjustRightInd w:val="0"/>
              <w:spacing w:line="240" w:lineRule="auto"/>
              <w:textAlignment w:val="baseline"/>
              <w:rPr>
                <w:i/>
              </w:rPr>
            </w:pPr>
            <w:r w:rsidRPr="008C608F">
              <w:rPr>
                <w:i/>
              </w:rPr>
              <w:t>Gemma Amran</w:t>
            </w:r>
          </w:p>
        </w:tc>
      </w:tr>
      <w:tr w:rsidRPr="004175C7" w:rsidR="00BC7CE9" w:rsidTr="00261678" w14:paraId="516E06BC" w14:textId="77777777">
        <w:tc>
          <w:tcPr>
            <w:tcW w:w="2235" w:type="dxa"/>
          </w:tcPr>
          <w:p w:rsidRPr="004175C7" w:rsidR="00BC7CE9" w:rsidP="00BC7CE9" w:rsidRDefault="00BC7CE9" w14:paraId="492A0CE0" w14:textId="5C0BA5F2">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4853" w:type="dxa"/>
          </w:tcPr>
          <w:p w:rsidRPr="004175C7" w:rsidR="00BC7CE9" w:rsidP="00BC7CE9" w:rsidRDefault="00BC7CE9" w14:paraId="6D3CD2C0" w14:textId="77777777">
            <w:pPr>
              <w:overflowPunct w:val="0"/>
              <w:autoSpaceDE w:val="0"/>
              <w:autoSpaceDN w:val="0"/>
              <w:adjustRightInd w:val="0"/>
              <w:spacing w:line="240" w:lineRule="auto"/>
              <w:textAlignment w:val="baseline"/>
              <w:rPr>
                <w:i/>
              </w:rPr>
            </w:pPr>
            <w:r w:rsidRPr="008C608F">
              <w:rPr>
                <w:i/>
              </w:rPr>
              <w:t>+32 25469415</w:t>
            </w:r>
          </w:p>
        </w:tc>
      </w:tr>
      <w:tr w:rsidRPr="008C608F" w:rsidR="00BC7CE9" w:rsidTr="00261678" w14:paraId="6A3BA26C" w14:textId="77777777">
        <w:tc>
          <w:tcPr>
            <w:tcW w:w="2235" w:type="dxa"/>
          </w:tcPr>
          <w:p w:rsidRPr="004175C7" w:rsidR="00BC7CE9" w:rsidP="00BC7CE9" w:rsidRDefault="00D50E90" w14:paraId="05054539" w14:textId="3FEB8C49">
            <w:pPr>
              <w:overflowPunct w:val="0"/>
              <w:autoSpaceDE w:val="0"/>
              <w:autoSpaceDN w:val="0"/>
              <w:adjustRightInd w:val="0"/>
              <w:spacing w:line="240" w:lineRule="auto"/>
              <w:textAlignment w:val="baseline"/>
              <w:rPr>
                <w:i/>
              </w:rPr>
            </w:pPr>
            <w:r w:rsidRPr="008C608F">
              <w:rPr>
                <w:i/>
              </w:rPr>
              <w:t>Електронен адрес:</w:t>
            </w:r>
          </w:p>
        </w:tc>
        <w:tc>
          <w:tcPr>
            <w:tcW w:w="4853" w:type="dxa"/>
          </w:tcPr>
          <w:p w:rsidRPr="008C608F" w:rsidR="00BC7CE9" w:rsidP="00BC7CE9" w:rsidRDefault="00257091" w14:paraId="363D56E7" w14:textId="77777777">
            <w:pPr>
              <w:overflowPunct w:val="0"/>
              <w:autoSpaceDE w:val="0"/>
              <w:autoSpaceDN w:val="0"/>
              <w:adjustRightInd w:val="0"/>
              <w:spacing w:line="240" w:lineRule="auto"/>
              <w:textAlignment w:val="baseline"/>
            </w:pPr>
            <w:hyperlink w:history="1" r:id="rId20">
              <w:r w:rsidRPr="008C608F" w:rsidR="006A1AC2">
                <w:rPr>
                  <w:color w:val="0000FF"/>
                  <w:u w:val="single"/>
                </w:rPr>
                <w:t>Gemma.Amran@eesc.europa.eu</w:t>
              </w:r>
            </w:hyperlink>
          </w:p>
        </w:tc>
      </w:tr>
    </w:tbl>
    <w:p w:rsidRPr="008C608F" w:rsidR="002673F7" w:rsidRDefault="002673F7" w14:paraId="05E09868" w14:textId="51A666BF">
      <w:pPr>
        <w:spacing w:after="160" w:line="259" w:lineRule="auto"/>
        <w:jc w:val="left"/>
      </w:pPr>
      <w:r w:rsidRPr="008C608F">
        <w:br w:type="page"/>
      </w:r>
    </w:p>
    <w:p w:rsidRPr="008C608F" w:rsidR="004D7AC0" w:rsidP="00B07E13" w:rsidRDefault="004D7AC0" w14:paraId="4982DD6D" w14:textId="5F7524E1">
      <w:pPr>
        <w:pStyle w:val="Heading1"/>
        <w:keepNext/>
        <w:keepLines/>
        <w:rPr>
          <w:b/>
        </w:rPr>
      </w:pPr>
      <w:bookmarkStart w:name="_Toc179362835" w:id="1"/>
      <w:r w:rsidRPr="008C608F">
        <w:rPr>
          <w:b/>
        </w:rPr>
        <w:lastRenderedPageBreak/>
        <w:t>ИКОНОМИЧЕСКИ И ПАРИЧЕН СЪЮЗ, ИКОНОМИЧЕСКО И СОЦИАЛНО СБЛИЖАВАНЕ</w:t>
      </w:r>
      <w:bookmarkEnd w:id="1"/>
    </w:p>
    <w:p w:rsidRPr="008C608F" w:rsidR="00F52D24" w:rsidP="004F44E4" w:rsidRDefault="00F52D24" w14:paraId="1D43B004" w14:textId="77777777"/>
    <w:p w:rsidRPr="008C608F" w:rsidR="00151032" w:rsidP="00151032" w:rsidRDefault="00257091" w14:paraId="35B4911F" w14:textId="4A719D11">
      <w:pPr>
        <w:widowControl w:val="0"/>
        <w:numPr>
          <w:ilvl w:val="0"/>
          <w:numId w:val="4"/>
        </w:numPr>
        <w:overflowPunct w:val="0"/>
        <w:autoSpaceDE w:val="0"/>
        <w:autoSpaceDN w:val="0"/>
        <w:adjustRightInd w:val="0"/>
        <w:ind w:left="266" w:hanging="266"/>
        <w:textAlignment w:val="baseline"/>
        <w:rPr>
          <w:b/>
        </w:rPr>
      </w:pPr>
      <w:hyperlink w:history="1" r:id="rId21">
        <w:r w:rsidRPr="008C608F" w:rsidR="006A1AC2">
          <w:rPr>
            <w:b/>
            <w:i/>
            <w:color w:val="0000FF"/>
            <w:sz w:val="28"/>
            <w:u w:val="single"/>
          </w:rPr>
          <w:t>Електронно удостоверение за освобождаване от данък върху добавената стойност</w:t>
        </w:r>
      </w:hyperlink>
    </w:p>
    <w:p w:rsidRPr="008C608F" w:rsidR="00151032" w:rsidP="00151032" w:rsidRDefault="00151032" w14:paraId="6B30158C" w14:textId="77777777">
      <w:pPr>
        <w:widowControl w:val="0"/>
        <w:overflowPunct w:val="0"/>
        <w:autoSpaceDE w:val="0"/>
        <w:autoSpaceDN w:val="0"/>
        <w:adjustRightInd w:val="0"/>
        <w:ind w:left="266"/>
        <w:textAlignment w:val="baseline"/>
        <w:rPr>
          <w:b/>
          <w:lang w:val="en-GB"/>
        </w:rPr>
      </w:pPr>
    </w:p>
    <w:tbl>
      <w:tblPr>
        <w:tblW w:w="3438" w:type="pct"/>
        <w:tblLook w:val="04A0" w:firstRow="1" w:lastRow="0" w:firstColumn="1" w:lastColumn="0" w:noHBand="0" w:noVBand="1"/>
      </w:tblPr>
      <w:tblGrid>
        <w:gridCol w:w="2519"/>
        <w:gridCol w:w="3867"/>
      </w:tblGrid>
      <w:tr w:rsidRPr="00151032" w:rsidR="00151032" w:rsidTr="00261678" w14:paraId="4D73DFA7" w14:textId="77777777">
        <w:tc>
          <w:tcPr>
            <w:tcW w:w="1972" w:type="pct"/>
            <w:vMerge w:val="restart"/>
          </w:tcPr>
          <w:p w:rsidRPr="00151032" w:rsidR="00151032" w:rsidP="00151032" w:rsidRDefault="00151032" w14:paraId="38195FAA"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028" w:type="pct"/>
          </w:tcPr>
          <w:p w:rsidRPr="008C608F" w:rsidR="003A474F" w:rsidP="00151032" w:rsidRDefault="003A474F" w14:paraId="6B3E366B" w14:textId="12F9CEE8">
            <w:pPr>
              <w:tabs>
                <w:tab w:val="center" w:pos="284"/>
              </w:tabs>
              <w:overflowPunct w:val="0"/>
              <w:autoSpaceDE w:val="0"/>
              <w:autoSpaceDN w:val="0"/>
              <w:adjustRightInd w:val="0"/>
              <w:ind w:left="266" w:hanging="266"/>
              <w:textAlignment w:val="baseline"/>
            </w:pPr>
            <w:r w:rsidRPr="008C608F">
              <w:t>Становище от категория В</w:t>
            </w:r>
          </w:p>
          <w:p w:rsidRPr="00151032" w:rsidR="00151032" w:rsidP="00151032" w:rsidRDefault="00151032" w14:paraId="4077C2AB" w14:textId="03A37922">
            <w:pPr>
              <w:tabs>
                <w:tab w:val="center" w:pos="284"/>
              </w:tabs>
              <w:overflowPunct w:val="0"/>
              <w:autoSpaceDE w:val="0"/>
              <w:autoSpaceDN w:val="0"/>
              <w:adjustRightInd w:val="0"/>
              <w:ind w:left="266" w:hanging="266"/>
              <w:textAlignment w:val="baseline"/>
            </w:pPr>
            <w:r w:rsidRPr="008C608F">
              <w:t>COM(2024) 278 final</w:t>
            </w:r>
          </w:p>
        </w:tc>
      </w:tr>
      <w:tr w:rsidRPr="008C608F" w:rsidR="00151032" w:rsidTr="00261678" w14:paraId="0E02489C" w14:textId="77777777">
        <w:tc>
          <w:tcPr>
            <w:tcW w:w="1972" w:type="pct"/>
            <w:vMerge/>
          </w:tcPr>
          <w:p w:rsidRPr="00151032" w:rsidR="00151032" w:rsidP="00151032" w:rsidRDefault="00151032" w14:paraId="7157F915" w14:textId="77777777">
            <w:pPr>
              <w:tabs>
                <w:tab w:val="center" w:pos="284"/>
              </w:tabs>
              <w:overflowPunct w:val="0"/>
              <w:autoSpaceDE w:val="0"/>
              <w:autoSpaceDN w:val="0"/>
              <w:adjustRightInd w:val="0"/>
              <w:ind w:left="266" w:hanging="266"/>
              <w:textAlignment w:val="baseline"/>
              <w:rPr>
                <w:b/>
              </w:rPr>
            </w:pPr>
          </w:p>
        </w:tc>
        <w:tc>
          <w:tcPr>
            <w:tcW w:w="3028" w:type="pct"/>
          </w:tcPr>
          <w:p w:rsidRPr="008C608F" w:rsidR="00151032" w:rsidP="00151032" w:rsidRDefault="00151032" w14:paraId="56FB9EA7" w14:textId="77777777">
            <w:pPr>
              <w:tabs>
                <w:tab w:val="center" w:pos="284"/>
              </w:tabs>
              <w:overflowPunct w:val="0"/>
              <w:autoSpaceDE w:val="0"/>
              <w:autoSpaceDN w:val="0"/>
              <w:adjustRightInd w:val="0"/>
              <w:ind w:left="266" w:hanging="266"/>
              <w:textAlignment w:val="baseline"/>
            </w:pPr>
            <w:r w:rsidRPr="008C608F">
              <w:t>EESC-2024-03143-00-00-AC</w:t>
            </w:r>
          </w:p>
        </w:tc>
      </w:tr>
    </w:tbl>
    <w:p w:rsidRPr="008C608F" w:rsidR="00151032" w:rsidP="00151032" w:rsidRDefault="00151032" w14:paraId="08A83748" w14:textId="77777777">
      <w:pPr>
        <w:tabs>
          <w:tab w:val="center" w:pos="284"/>
        </w:tabs>
        <w:overflowPunct w:val="0"/>
        <w:autoSpaceDE w:val="0"/>
        <w:autoSpaceDN w:val="0"/>
        <w:adjustRightInd w:val="0"/>
        <w:ind w:left="266" w:hanging="266"/>
        <w:textAlignment w:val="baseline"/>
        <w:rPr>
          <w:lang w:val="en-GB"/>
        </w:rPr>
      </w:pPr>
    </w:p>
    <w:p w:rsidRPr="008C608F" w:rsidR="00151032" w:rsidP="00151032" w:rsidRDefault="00151032" w14:paraId="385D77E2"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151032" w:rsidP="00151032" w:rsidRDefault="00151032" w14:paraId="74CCF1D0"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151032" w:rsidP="00151032" w:rsidRDefault="00151032" w14:paraId="7565BB29" w14:textId="77777777">
      <w:pPr>
        <w:overflowPunct w:val="0"/>
        <w:autoSpaceDE w:val="0"/>
        <w:autoSpaceDN w:val="0"/>
        <w:adjustRightInd w:val="0"/>
        <w:textAlignment w:val="baseline"/>
        <w:rPr>
          <w:bCs/>
          <w:iCs/>
        </w:rPr>
      </w:pPr>
      <w:r w:rsidRPr="008C608F">
        <w:t xml:space="preserve">След като прецени, че съдържанието на предложението е напълно задоволително и тъй като вече е изразил своята гледна точка по въпроса за цифровизацията на процедурите във връзка с ДДС в друго свое становище относно </w:t>
      </w:r>
      <w:hyperlink w:history="1" r:id="rId22">
        <w:r w:rsidRPr="008C608F">
          <w:rPr>
            <w:i/>
            <w:color w:val="0000FF"/>
            <w:u w:val="single"/>
          </w:rPr>
          <w:t>„ДДС в ерата на цифровите технологии“</w:t>
        </w:r>
      </w:hyperlink>
      <w:r w:rsidRPr="008C608F">
        <w:t xml:space="preserve"> , прието през април 2023 г., Комитетът реши да приеме положително становище относно принципа на цифровизация на процедурите във връзка с ДДС.</w:t>
      </w:r>
    </w:p>
    <w:p w:rsidRPr="008C608F" w:rsidR="00151032" w:rsidP="00151032" w:rsidRDefault="00151032" w14:paraId="13276F37" w14:textId="77777777">
      <w:pPr>
        <w:widowControl w:val="0"/>
        <w:overflowPunct w:val="0"/>
        <w:autoSpaceDE w:val="0"/>
        <w:autoSpaceDN w:val="0"/>
        <w:adjustRightInd w:val="0"/>
        <w:ind w:left="709"/>
        <w:textAlignment w:val="baseline"/>
        <w:rPr>
          <w:lang w:val="en-GB"/>
        </w:rPr>
      </w:pPr>
    </w:p>
    <w:tbl>
      <w:tblPr>
        <w:tblW w:w="3516" w:type="pct"/>
        <w:tblLook w:val="04A0" w:firstRow="1" w:lastRow="0" w:firstColumn="1" w:lastColumn="0" w:noHBand="0" w:noVBand="1"/>
      </w:tblPr>
      <w:tblGrid>
        <w:gridCol w:w="2032"/>
        <w:gridCol w:w="4499"/>
      </w:tblGrid>
      <w:tr w:rsidRPr="004175C7" w:rsidR="00151032" w:rsidTr="0015437C" w14:paraId="3025771D" w14:textId="77777777">
        <w:tc>
          <w:tcPr>
            <w:tcW w:w="1556" w:type="pct"/>
          </w:tcPr>
          <w:p w:rsidRPr="004175C7" w:rsidR="00151032" w:rsidP="00151032" w:rsidRDefault="00151032" w14:paraId="6AE247AD"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151032" w:rsidP="00151032" w:rsidRDefault="00151032" w14:paraId="05E4A89E" w14:textId="2B46E467">
            <w:pPr>
              <w:overflowPunct w:val="0"/>
              <w:autoSpaceDE w:val="0"/>
              <w:autoSpaceDN w:val="0"/>
              <w:adjustRightInd w:val="0"/>
              <w:spacing w:line="240" w:lineRule="auto"/>
              <w:textAlignment w:val="baseline"/>
              <w:rPr>
                <w:i/>
              </w:rPr>
            </w:pPr>
            <w:r w:rsidRPr="008C608F">
              <w:rPr>
                <w:i/>
              </w:rPr>
              <w:t>Jüri Soosaar</w:t>
            </w:r>
          </w:p>
        </w:tc>
      </w:tr>
      <w:tr w:rsidRPr="004175C7" w:rsidR="00151032" w:rsidTr="0015437C" w14:paraId="641ACE80" w14:textId="77777777">
        <w:tc>
          <w:tcPr>
            <w:tcW w:w="1556" w:type="pct"/>
          </w:tcPr>
          <w:p w:rsidRPr="004175C7" w:rsidR="00151032" w:rsidP="00151032" w:rsidRDefault="00151032" w14:paraId="2857527A"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151032" w:rsidP="00151032" w:rsidRDefault="00151032" w14:paraId="3903DBFA" w14:textId="77777777">
            <w:pPr>
              <w:overflowPunct w:val="0"/>
              <w:autoSpaceDE w:val="0"/>
              <w:autoSpaceDN w:val="0"/>
              <w:adjustRightInd w:val="0"/>
              <w:spacing w:line="240" w:lineRule="auto"/>
              <w:textAlignment w:val="baseline"/>
              <w:rPr>
                <w:i/>
              </w:rPr>
            </w:pPr>
            <w:r w:rsidRPr="008C608F">
              <w:rPr>
                <w:i/>
              </w:rPr>
              <w:t>+32 25469628</w:t>
            </w:r>
          </w:p>
        </w:tc>
      </w:tr>
      <w:tr w:rsidRPr="008C608F" w:rsidR="00151032" w:rsidTr="0015437C" w14:paraId="1A76E378" w14:textId="77777777">
        <w:tc>
          <w:tcPr>
            <w:tcW w:w="1556" w:type="pct"/>
          </w:tcPr>
          <w:p w:rsidRPr="004175C7" w:rsidR="00151032" w:rsidP="00151032" w:rsidRDefault="003A474F" w14:paraId="7370E5AE" w14:textId="316ACCAB">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151032" w:rsidP="00151032" w:rsidRDefault="00257091" w14:paraId="4D28349A" w14:textId="693A8240">
            <w:pPr>
              <w:overflowPunct w:val="0"/>
              <w:autoSpaceDE w:val="0"/>
              <w:autoSpaceDN w:val="0"/>
              <w:adjustRightInd w:val="0"/>
              <w:spacing w:line="240" w:lineRule="auto"/>
              <w:textAlignment w:val="baseline"/>
              <w:rPr>
                <w:i/>
              </w:rPr>
            </w:pPr>
            <w:hyperlink w:history="1" r:id="rId23">
              <w:r w:rsidRPr="008C608F" w:rsidR="006A1AC2">
                <w:rPr>
                  <w:i/>
                  <w:color w:val="0000FF"/>
                  <w:u w:val="single"/>
                </w:rPr>
                <w:t>Juri.Soosaar@eesc.europa.eu</w:t>
              </w:r>
            </w:hyperlink>
          </w:p>
        </w:tc>
      </w:tr>
    </w:tbl>
    <w:p w:rsidRPr="008C608F" w:rsidR="004D7AC0" w:rsidP="004D7AC0" w:rsidRDefault="004D7AC0" w14:paraId="4982DD97" w14:textId="77777777">
      <w:pPr>
        <w:pStyle w:val="ListParagraph"/>
        <w:ind w:left="0"/>
      </w:pPr>
    </w:p>
    <w:p w:rsidR="008C608F" w:rsidRDefault="008C608F" w14:paraId="0F219D64" w14:textId="280702D5">
      <w:pPr>
        <w:spacing w:after="160" w:line="259" w:lineRule="auto"/>
        <w:jc w:val="left"/>
      </w:pPr>
      <w:r>
        <w:br w:type="page"/>
      </w:r>
    </w:p>
    <w:bookmarkStart w:name="_Toc178009554" w:id="2"/>
    <w:p w:rsidRPr="008C608F" w:rsidR="00327E1C" w:rsidP="00B07E13" w:rsidRDefault="006A1AC2" w14:paraId="77FB89A8" w14:textId="67D5F413">
      <w:pPr>
        <w:numPr>
          <w:ilvl w:val="0"/>
          <w:numId w:val="8"/>
        </w:numPr>
        <w:shd w:val="clear" w:color="auto" w:fill="FFFFFF"/>
        <w:ind w:left="357" w:hanging="357"/>
        <w:jc w:val="left"/>
        <w:outlineLvl w:val="0"/>
      </w:pPr>
      <w:r w:rsidRPr="008C608F">
        <w:lastRenderedPageBreak/>
        <w:fldChar w:fldCharType="begin"/>
      </w:r>
      <w:r w:rsidRPr="008C608F">
        <w:instrText xml:space="preserve"> HYPERLINK "https://www.eesc.europa.eu/bg/our-work/opinions-information-reports/opinions/eu-investment-fund-economic-resilience-and-sustainable-competitiveness" </w:instrText>
      </w:r>
      <w:r w:rsidRPr="008C608F">
        <w:fldChar w:fldCharType="separate"/>
      </w:r>
      <w:bookmarkStart w:name="_Toc179362836" w:id="3"/>
      <w:r w:rsidRPr="008C608F">
        <w:rPr>
          <w:b/>
          <w:i/>
          <w:color w:val="0000FF"/>
          <w:sz w:val="28"/>
          <w:u w:val="single"/>
        </w:rPr>
        <w:t>Инвестиционен фонд на ЕС за икономическа издръжливост и устойчива конкурентоспособност</w:t>
      </w:r>
      <w:bookmarkEnd w:id="2"/>
      <w:bookmarkEnd w:id="3"/>
      <w:r w:rsidRPr="008C608F">
        <w:rPr>
          <w:b/>
          <w:i/>
          <w:color w:val="0000FF"/>
          <w:sz w:val="28"/>
          <w:u w:val="single"/>
        </w:rPr>
        <w:fldChar w:fldCharType="end"/>
      </w:r>
    </w:p>
    <w:p w:rsidRPr="008C608F" w:rsidR="00327E1C" w:rsidP="00327E1C" w:rsidRDefault="00327E1C" w14:paraId="07DCF60F" w14:textId="0A85FFAC">
      <w:pPr>
        <w:widowControl w:val="0"/>
        <w:spacing w:line="259" w:lineRule="auto"/>
        <w:ind w:left="567"/>
        <w:jc w:val="left"/>
        <w:rPr>
          <w:rFonts w:eastAsia="Calibri"/>
          <w:b/>
          <w:sz w:val="16"/>
          <w:szCs w:val="16"/>
          <w:lang w:val="en-GB"/>
        </w:rPr>
      </w:pPr>
    </w:p>
    <w:tbl>
      <w:tblPr>
        <w:tblW w:w="0" w:type="auto"/>
        <w:tblLook w:val="04A0" w:firstRow="1" w:lastRow="0" w:firstColumn="1" w:lastColumn="0" w:noHBand="0" w:noVBand="1"/>
      </w:tblPr>
      <w:tblGrid>
        <w:gridCol w:w="2376"/>
        <w:gridCol w:w="6413"/>
      </w:tblGrid>
      <w:tr w:rsidRPr="004175C7" w:rsidR="00327E1C" w:rsidTr="00261678" w14:paraId="16F1A4E6" w14:textId="77777777">
        <w:tc>
          <w:tcPr>
            <w:tcW w:w="2376" w:type="dxa"/>
          </w:tcPr>
          <w:p w:rsidRPr="00B07E13" w:rsidR="00327E1C" w:rsidP="00B07E13" w:rsidRDefault="00327E1C" w14:paraId="42D85306" w14:textId="77777777">
            <w:pPr>
              <w:tabs>
                <w:tab w:val="center" w:pos="284"/>
              </w:tabs>
              <w:spacing w:line="259" w:lineRule="auto"/>
              <w:ind w:left="266" w:hanging="266"/>
              <w:jc w:val="left"/>
              <w:rPr>
                <w:rFonts w:eastAsia="Calibri"/>
                <w:b/>
                <w:szCs w:val="20"/>
              </w:rPr>
            </w:pPr>
            <w:r w:rsidRPr="008C608F">
              <w:rPr>
                <w:b/>
              </w:rPr>
              <w:t>Докладчик:</w:t>
            </w:r>
          </w:p>
        </w:tc>
        <w:tc>
          <w:tcPr>
            <w:tcW w:w="6413" w:type="dxa"/>
          </w:tcPr>
          <w:p w:rsidRPr="00B07E13" w:rsidR="00327E1C" w:rsidP="00B07E13" w:rsidRDefault="00327E1C" w14:paraId="7FF5E225" w14:textId="77777777">
            <w:pPr>
              <w:tabs>
                <w:tab w:val="center" w:pos="284"/>
              </w:tabs>
              <w:spacing w:line="259" w:lineRule="auto"/>
              <w:ind w:left="266" w:hanging="266"/>
              <w:jc w:val="left"/>
              <w:rPr>
                <w:rFonts w:eastAsia="Calibri"/>
                <w:szCs w:val="20"/>
              </w:rPr>
            </w:pPr>
            <w:r w:rsidRPr="008C608F">
              <w:t>Dominika BIЕGON (група „Работници“ — DE)</w:t>
            </w:r>
          </w:p>
        </w:tc>
      </w:tr>
      <w:tr w:rsidRPr="004175C7" w:rsidR="00327E1C" w:rsidTr="0015437C" w14:paraId="41382964" w14:textId="77777777">
        <w:tc>
          <w:tcPr>
            <w:tcW w:w="8789" w:type="dxa"/>
            <w:gridSpan w:val="2"/>
          </w:tcPr>
          <w:p w:rsidRPr="00B07E13" w:rsidR="00327E1C" w:rsidP="00B07E13" w:rsidRDefault="00327E1C" w14:paraId="4F4FBDFB" w14:textId="77777777">
            <w:pPr>
              <w:tabs>
                <w:tab w:val="center" w:pos="284"/>
              </w:tabs>
              <w:spacing w:line="160" w:lineRule="exact"/>
              <w:ind w:left="266" w:hanging="266"/>
              <w:jc w:val="left"/>
              <w:rPr>
                <w:rFonts w:eastAsia="Calibri"/>
                <w:szCs w:val="20"/>
                <w:lang w:val="en-GB"/>
              </w:rPr>
            </w:pPr>
          </w:p>
        </w:tc>
      </w:tr>
      <w:tr w:rsidRPr="008C608F" w:rsidR="00327E1C" w:rsidTr="00261678" w14:paraId="3E7FB510" w14:textId="77777777">
        <w:tc>
          <w:tcPr>
            <w:tcW w:w="2376" w:type="dxa"/>
          </w:tcPr>
          <w:p w:rsidRPr="00B07E13" w:rsidR="00327E1C" w:rsidP="00B07E13" w:rsidRDefault="00327E1C" w14:paraId="2298A7B0" w14:textId="1601747E">
            <w:pPr>
              <w:tabs>
                <w:tab w:val="center" w:pos="284"/>
              </w:tabs>
              <w:spacing w:line="259" w:lineRule="auto"/>
              <w:ind w:left="266" w:hanging="266"/>
              <w:jc w:val="left"/>
              <w:rPr>
                <w:rFonts w:eastAsia="Calibri"/>
                <w:b/>
                <w:szCs w:val="20"/>
              </w:rPr>
            </w:pPr>
            <w:r w:rsidRPr="008C608F">
              <w:rPr>
                <w:b/>
              </w:rPr>
              <w:t>Отправeн документ</w:t>
            </w:r>
          </w:p>
        </w:tc>
        <w:tc>
          <w:tcPr>
            <w:tcW w:w="6413" w:type="dxa"/>
          </w:tcPr>
          <w:p w:rsidRPr="008C608F" w:rsidR="00B82684" w:rsidP="0056095E" w:rsidRDefault="00B82684" w14:paraId="567979F8" w14:textId="4D256A62">
            <w:pPr>
              <w:tabs>
                <w:tab w:val="center" w:pos="284"/>
              </w:tabs>
              <w:spacing w:line="259" w:lineRule="auto"/>
              <w:jc w:val="left"/>
              <w:rPr>
                <w:rFonts w:eastAsia="Calibri"/>
                <w:szCs w:val="20"/>
              </w:rPr>
            </w:pPr>
            <w:r w:rsidRPr="008C608F">
              <w:t>Становище по собствена инициатива</w:t>
            </w:r>
          </w:p>
          <w:p w:rsidRPr="008C608F" w:rsidR="00327E1C" w:rsidP="00B07E13" w:rsidRDefault="00327E1C" w14:paraId="5565D3EB" w14:textId="50DEB55A">
            <w:pPr>
              <w:tabs>
                <w:tab w:val="center" w:pos="284"/>
              </w:tabs>
              <w:spacing w:line="259" w:lineRule="auto"/>
              <w:jc w:val="left"/>
              <w:rPr>
                <w:rFonts w:eastAsia="Calibri"/>
                <w:szCs w:val="20"/>
              </w:rPr>
            </w:pPr>
            <w:r w:rsidRPr="008C608F">
              <w:t>EESC-2024-00700-00-00-AC</w:t>
            </w:r>
          </w:p>
        </w:tc>
      </w:tr>
    </w:tbl>
    <w:p w:rsidRPr="008C608F" w:rsidR="0056095E" w:rsidP="007B5ACA" w:rsidRDefault="0056095E" w14:paraId="3CA2C141" w14:textId="77777777">
      <w:pPr>
        <w:keepNext/>
        <w:keepLines/>
        <w:tabs>
          <w:tab w:val="center" w:pos="284"/>
        </w:tabs>
        <w:spacing w:line="259" w:lineRule="auto"/>
        <w:ind w:left="266" w:hanging="266"/>
        <w:jc w:val="left"/>
        <w:rPr>
          <w:rFonts w:eastAsia="Calibri"/>
          <w:b/>
          <w:lang w:val="en-GB"/>
        </w:rPr>
      </w:pPr>
    </w:p>
    <w:p w:rsidRPr="008C608F" w:rsidR="00327E1C" w:rsidP="00B07E13" w:rsidRDefault="00327E1C" w14:paraId="19D8ADDE" w14:textId="4B274584">
      <w:pPr>
        <w:keepNext/>
        <w:keepLines/>
        <w:tabs>
          <w:tab w:val="center" w:pos="284"/>
        </w:tabs>
        <w:spacing w:line="259" w:lineRule="auto"/>
        <w:ind w:left="266" w:hanging="266"/>
        <w:jc w:val="left"/>
        <w:rPr>
          <w:rFonts w:eastAsia="Calibri"/>
          <w:b/>
        </w:rPr>
      </w:pPr>
      <w:r w:rsidRPr="008C608F">
        <w:rPr>
          <w:b/>
        </w:rPr>
        <w:t>Основни аспекти</w:t>
      </w:r>
    </w:p>
    <w:p w:rsidRPr="008C608F" w:rsidR="0056095E" w:rsidP="0056095E" w:rsidRDefault="0056095E" w14:paraId="7B22B501" w14:textId="77777777">
      <w:pPr>
        <w:spacing w:line="259" w:lineRule="auto"/>
        <w:rPr>
          <w:rFonts w:eastAsia="Calibri"/>
          <w:lang w:val="en-GB"/>
        </w:rPr>
      </w:pPr>
    </w:p>
    <w:p w:rsidRPr="008C608F" w:rsidR="003A474F" w:rsidP="00B07E13" w:rsidRDefault="00327E1C" w14:paraId="0FC4D6E9" w14:textId="5FACCE3E">
      <w:pPr>
        <w:rPr>
          <w:rFonts w:eastAsia="Calibri"/>
        </w:rPr>
      </w:pPr>
      <w:r w:rsidRPr="008C608F">
        <w:t>ЕИСК:</w:t>
      </w:r>
    </w:p>
    <w:p w:rsidRPr="008C608F" w:rsidR="00327E1C" w:rsidP="00B07E13" w:rsidRDefault="00327E1C" w14:paraId="2514174A" w14:textId="77777777">
      <w:pPr>
        <w:numPr>
          <w:ilvl w:val="0"/>
          <w:numId w:val="21"/>
        </w:numPr>
        <w:ind w:left="567" w:hanging="567"/>
        <w:outlineLvl w:val="1"/>
      </w:pPr>
      <w:bookmarkStart w:name="_Toc178009555" w:id="4"/>
      <w:bookmarkStart w:name="_Toc179362837" w:id="5"/>
      <w:r w:rsidRPr="008C608F">
        <w:t>счита, че въпреки че ЕС си е поставил амбициозни цели по отношение на декарбонизацията, цифровизацията, издръжливостта и устойчивата конкурентоспособност, недостигът на финансиране си остава „ахилесовата пета“ на тези амбиции;</w:t>
      </w:r>
      <w:bookmarkEnd w:id="4"/>
      <w:bookmarkEnd w:id="5"/>
    </w:p>
    <w:p w:rsidRPr="008C608F" w:rsidR="00327E1C" w:rsidP="00B07E13" w:rsidRDefault="00327E1C" w14:paraId="0ECE2CEE" w14:textId="77777777">
      <w:pPr>
        <w:numPr>
          <w:ilvl w:val="0"/>
          <w:numId w:val="21"/>
        </w:numPr>
        <w:ind w:left="567" w:hanging="567"/>
        <w:outlineLvl w:val="1"/>
      </w:pPr>
      <w:bookmarkStart w:name="_Toc178009556" w:id="6"/>
      <w:bookmarkStart w:name="_Toc179362838" w:id="7"/>
      <w:r w:rsidRPr="008C608F">
        <w:t>подчертава, че ЕС трябва да подобри рамковите условия за частни инвестиции в единния пазар, включително прилагане на основните компоненти на съюза на капиталовите пазари, завършване на изграждането на банковия съюз, интегриране на европейския енергиен пазар, ускоряване на процедурите за издаване на разрешения и намаляване на регулаторната тежест, като същевременно се запазят социалните стандарти;</w:t>
      </w:r>
      <w:bookmarkEnd w:id="6"/>
      <w:bookmarkEnd w:id="7"/>
      <w:r w:rsidRPr="008C608F">
        <w:t xml:space="preserve"> </w:t>
      </w:r>
    </w:p>
    <w:p w:rsidRPr="008C608F" w:rsidR="00327E1C" w:rsidP="00B07E13" w:rsidRDefault="00327E1C" w14:paraId="169E5F09" w14:textId="77777777">
      <w:pPr>
        <w:numPr>
          <w:ilvl w:val="0"/>
          <w:numId w:val="21"/>
        </w:numPr>
        <w:ind w:left="567" w:hanging="567"/>
        <w:outlineLvl w:val="1"/>
      </w:pPr>
      <w:bookmarkStart w:name="_Toc178009557" w:id="8"/>
      <w:bookmarkStart w:name="_Toc179362839" w:id="9"/>
      <w:r w:rsidRPr="008C608F">
        <w:t>подчертава, че е необходимо значително по размер публично финансиране за стимулиране на частните инвестиции в областите, в които все още няма стопанска реализация за въглеродно неутрални решения, и в стратегическите сектори, в които производството иначе би се осъществявало в конкуриращи се от геоикономическа гледна точка световни региони, в които би могло да се злоупотребява със зависимостите. Публичните средства са от ключово значение и за инвестициите в инфраструктура (напр. в мрежи или тръбопроводи за водород) и в други обществени блага, които участниците на пазара нямат стимул да предоставят;</w:t>
      </w:r>
      <w:bookmarkEnd w:id="8"/>
      <w:bookmarkEnd w:id="9"/>
    </w:p>
    <w:p w:rsidRPr="008C608F" w:rsidR="00327E1C" w:rsidP="00B07E13" w:rsidRDefault="00327E1C" w14:paraId="54B09510" w14:textId="77777777">
      <w:pPr>
        <w:numPr>
          <w:ilvl w:val="0"/>
          <w:numId w:val="21"/>
        </w:numPr>
        <w:ind w:left="567" w:hanging="567"/>
        <w:outlineLvl w:val="1"/>
      </w:pPr>
      <w:bookmarkStart w:name="_Toc178009558" w:id="10"/>
      <w:bookmarkStart w:name="_Toc179362840" w:id="11"/>
      <w:r w:rsidRPr="008C608F">
        <w:t>изразява съгласие, че за да се гарантира ефективно и благоприятстващо растежа прилагане на реформирания Пакт за стабилност и растеж, новата правна рамка, съсредоточена върху контролиране на равнищата на дълга и дефицита, трябва да бъде допълнена с целеви капацитет за инвестиции на равнището на ЕС с цел повишаване на устойчивата конкурентоспособност и икономическата издръжливост на единния пазар на ЕС;</w:t>
      </w:r>
      <w:bookmarkEnd w:id="10"/>
      <w:bookmarkEnd w:id="11"/>
    </w:p>
    <w:p w:rsidRPr="008C608F" w:rsidR="00327E1C" w:rsidP="00B07E13" w:rsidRDefault="00327E1C" w14:paraId="15537AE1" w14:textId="77777777">
      <w:pPr>
        <w:numPr>
          <w:ilvl w:val="0"/>
          <w:numId w:val="21"/>
        </w:numPr>
        <w:ind w:left="567" w:hanging="567"/>
        <w:outlineLvl w:val="1"/>
      </w:pPr>
      <w:bookmarkStart w:name="_Toc178009559" w:id="12"/>
      <w:bookmarkStart w:name="_Toc179362841" w:id="13"/>
      <w:r w:rsidRPr="008C608F">
        <w:t>предлага създаването на инвестиционен фонд на ЕС като част от следващата многогодишна финансова рамка с цел предоставяне на финансови ресурси за инвестиционни проекти от стратегически европейски интерес. Приоритизирането и изборът на допустими инвестиции следва да се ръководят от набор от критерии;</w:t>
      </w:r>
      <w:bookmarkEnd w:id="12"/>
      <w:bookmarkEnd w:id="13"/>
      <w:r w:rsidRPr="008C608F">
        <w:t xml:space="preserve"> </w:t>
      </w:r>
    </w:p>
    <w:p w:rsidRPr="008C608F" w:rsidR="00327E1C" w:rsidP="00B07E13" w:rsidRDefault="00327E1C" w14:paraId="3E9DCB13" w14:textId="77777777">
      <w:pPr>
        <w:numPr>
          <w:ilvl w:val="0"/>
          <w:numId w:val="21"/>
        </w:numPr>
        <w:ind w:left="567" w:hanging="567"/>
        <w:outlineLvl w:val="1"/>
      </w:pPr>
      <w:bookmarkStart w:name="_Toc178009560" w:id="14"/>
      <w:bookmarkStart w:name="_Toc179362842" w:id="15"/>
      <w:r w:rsidRPr="008C608F">
        <w:t>е определил четири области за инвестиции, които заслужават финансиране на равнището на ЕС по линия на бъдещ фонд за инвестиции на ЕС: а) трансгранични инфраструктурни проекти, б) инвестиции за завършване на енергийния съюз, в) инвестиции за укрепване на конкурентоспособността на европейските отрасли, г) инвестиции в квалификация и обучение;</w:t>
      </w:r>
      <w:bookmarkEnd w:id="14"/>
      <w:bookmarkEnd w:id="15"/>
    </w:p>
    <w:p w:rsidRPr="008C608F" w:rsidR="00327E1C" w:rsidP="00B07E13" w:rsidRDefault="00327E1C" w14:paraId="468480BA" w14:textId="77777777">
      <w:pPr>
        <w:numPr>
          <w:ilvl w:val="0"/>
          <w:numId w:val="21"/>
        </w:numPr>
        <w:ind w:left="567" w:hanging="567"/>
        <w:outlineLvl w:val="1"/>
      </w:pPr>
      <w:bookmarkStart w:name="_Toc178009561" w:id="16"/>
      <w:bookmarkStart w:name="_Toc179362843" w:id="17"/>
      <w:r w:rsidRPr="008C608F">
        <w:t xml:space="preserve">счита, че инвестиционният фонд на ЕС следва да се финансира от комбинация от ресурси (вноски на държавите членки, нови собствени ресурси и съвместно емитиране на дългови инструменти на ЕС) и следва да включва финансова подкрепа чрез нисколихвени заеми, </w:t>
      </w:r>
      <w:r w:rsidRPr="008C608F">
        <w:lastRenderedPageBreak/>
        <w:t>гаранции и целеви субсидии за предприятия, публични капиталови инвестиции и безвъзмездни средства и заеми;</w:t>
      </w:r>
      <w:bookmarkEnd w:id="16"/>
      <w:bookmarkEnd w:id="17"/>
      <w:r w:rsidRPr="008C608F">
        <w:t xml:space="preserve"> </w:t>
      </w:r>
    </w:p>
    <w:p w:rsidRPr="008C608F" w:rsidR="00327E1C" w:rsidP="00B07E13" w:rsidRDefault="00327E1C" w14:paraId="644B3DD4" w14:textId="2A43EAA7">
      <w:pPr>
        <w:numPr>
          <w:ilvl w:val="0"/>
          <w:numId w:val="21"/>
        </w:numPr>
        <w:ind w:left="567" w:hanging="567"/>
        <w:outlineLvl w:val="1"/>
      </w:pPr>
      <w:bookmarkStart w:name="_Toc178009562" w:id="18"/>
      <w:bookmarkStart w:name="_Toc179362844" w:id="19"/>
      <w:r w:rsidRPr="008C608F">
        <w:t>препоръчва отпускането на средства от предложения инвестиционен фонд на ЕС да бъде обвързано със социални критерии (напр. запазване на обекта и гаранции за заетост, мерки за квалификация и обучение, мерки за подобряване на участието на работниците или колективни трудови договори). Същевременно тези критерии трябва да зачитат различните форми на социален диалог в държавите членки и да не водят до неоправдана дискриминация срещу определени видове предприятия или държави членки.</w:t>
      </w:r>
      <w:bookmarkEnd w:id="18"/>
      <w:bookmarkEnd w:id="19"/>
      <w:r w:rsidRPr="008C608F">
        <w:t xml:space="preserve"> </w:t>
      </w:r>
    </w:p>
    <w:p w:rsidRPr="008C608F" w:rsidR="00327E1C" w:rsidRDefault="00327E1C" w14:paraId="358FDB30" w14:textId="77777777">
      <w:pPr>
        <w:ind w:left="567"/>
        <w:contextualSpacing/>
        <w:rPr>
          <w:lang w:val="en-GB"/>
        </w:rPr>
      </w:pPr>
    </w:p>
    <w:tbl>
      <w:tblPr>
        <w:tblW w:w="7036" w:type="dxa"/>
        <w:tblLook w:val="04A0" w:firstRow="1" w:lastRow="0" w:firstColumn="1" w:lastColumn="0" w:noHBand="0" w:noVBand="1"/>
      </w:tblPr>
      <w:tblGrid>
        <w:gridCol w:w="2235"/>
        <w:gridCol w:w="4801"/>
      </w:tblGrid>
      <w:tr w:rsidRPr="004175C7" w:rsidR="00327E1C" w:rsidTr="00261678" w14:paraId="06890F45" w14:textId="77777777">
        <w:trPr>
          <w:trHeight w:val="261"/>
        </w:trPr>
        <w:tc>
          <w:tcPr>
            <w:tcW w:w="2235" w:type="dxa"/>
          </w:tcPr>
          <w:p w:rsidRPr="00B07E13" w:rsidR="00327E1C" w:rsidP="00B07E13" w:rsidRDefault="00327E1C" w14:paraId="6AD88CDD" w14:textId="77777777">
            <w:pPr>
              <w:spacing w:line="240" w:lineRule="auto"/>
              <w:jc w:val="left"/>
              <w:rPr>
                <w:rFonts w:eastAsia="Calibri"/>
                <w:i/>
              </w:rPr>
            </w:pPr>
            <w:r w:rsidRPr="008C608F">
              <w:rPr>
                <w:b/>
                <w:i/>
              </w:rPr>
              <w:t>За връзка:</w:t>
            </w:r>
          </w:p>
        </w:tc>
        <w:tc>
          <w:tcPr>
            <w:tcW w:w="4801" w:type="dxa"/>
          </w:tcPr>
          <w:p w:rsidRPr="00B07E13" w:rsidR="00327E1C" w:rsidP="00B07E13" w:rsidRDefault="00327E1C" w14:paraId="10A0DE9E" w14:textId="03711052">
            <w:pPr>
              <w:spacing w:line="240" w:lineRule="auto"/>
              <w:jc w:val="left"/>
              <w:rPr>
                <w:rFonts w:eastAsia="Calibri"/>
                <w:b/>
                <w:bCs/>
                <w:i/>
                <w:iCs/>
              </w:rPr>
            </w:pPr>
            <w:r w:rsidRPr="008C608F">
              <w:rPr>
                <w:i/>
              </w:rPr>
              <w:t>Krisztina Perlaky-Tóth</w:t>
            </w:r>
          </w:p>
        </w:tc>
      </w:tr>
      <w:tr w:rsidRPr="004175C7" w:rsidR="00327E1C" w:rsidTr="00261678" w14:paraId="203C74B0" w14:textId="77777777">
        <w:trPr>
          <w:trHeight w:val="261"/>
        </w:trPr>
        <w:tc>
          <w:tcPr>
            <w:tcW w:w="2235" w:type="dxa"/>
          </w:tcPr>
          <w:p w:rsidRPr="00B07E13" w:rsidR="00327E1C" w:rsidP="00B07E13" w:rsidRDefault="00327E1C" w14:paraId="531B8290" w14:textId="77777777">
            <w:pPr>
              <w:spacing w:line="240" w:lineRule="auto"/>
              <w:jc w:val="left"/>
              <w:rPr>
                <w:rFonts w:eastAsia="Calibri"/>
                <w:i/>
              </w:rPr>
            </w:pPr>
            <w:r w:rsidRPr="008C608F">
              <w:rPr>
                <w:i/>
              </w:rPr>
              <w:t>Тел</w:t>
            </w:r>
            <w:r w:rsidRPr="008C608F">
              <w:rPr>
                <w:i/>
                <w:iCs/>
              </w:rPr>
              <w:t>.</w:t>
            </w:r>
          </w:p>
        </w:tc>
        <w:tc>
          <w:tcPr>
            <w:tcW w:w="4801" w:type="dxa"/>
          </w:tcPr>
          <w:p w:rsidRPr="00B07E13" w:rsidR="00327E1C" w:rsidP="00B07E13" w:rsidRDefault="00075DDE" w14:paraId="616CA680" w14:textId="4559FADC">
            <w:pPr>
              <w:spacing w:line="240" w:lineRule="auto"/>
              <w:jc w:val="left"/>
              <w:rPr>
                <w:rFonts w:eastAsia="Calibri"/>
                <w:i/>
                <w:iCs/>
              </w:rPr>
            </w:pPr>
            <w:r w:rsidRPr="008C608F">
              <w:rPr>
                <w:i/>
              </w:rPr>
              <w:t>+32 2 5469740</w:t>
            </w:r>
          </w:p>
        </w:tc>
      </w:tr>
      <w:tr w:rsidRPr="008C608F" w:rsidR="00327E1C" w:rsidTr="00261678" w14:paraId="103EC56C" w14:textId="77777777">
        <w:trPr>
          <w:trHeight w:val="65"/>
        </w:trPr>
        <w:tc>
          <w:tcPr>
            <w:tcW w:w="2235" w:type="dxa"/>
          </w:tcPr>
          <w:p w:rsidRPr="00B07E13" w:rsidR="00327E1C" w:rsidP="00B07E13" w:rsidRDefault="00327E1C" w14:paraId="4A5544E6" w14:textId="77777777">
            <w:pPr>
              <w:spacing w:line="240" w:lineRule="auto"/>
              <w:jc w:val="left"/>
              <w:rPr>
                <w:rFonts w:eastAsia="Calibri"/>
                <w:i/>
              </w:rPr>
            </w:pPr>
            <w:r w:rsidRPr="008C608F">
              <w:rPr>
                <w:i/>
              </w:rPr>
              <w:t>Електронен адрес:</w:t>
            </w:r>
          </w:p>
        </w:tc>
        <w:tc>
          <w:tcPr>
            <w:tcW w:w="4801" w:type="dxa"/>
          </w:tcPr>
          <w:p w:rsidRPr="008C608F" w:rsidR="00327E1C" w:rsidP="00B07E13" w:rsidRDefault="00257091" w14:paraId="444117E7" w14:textId="77777777">
            <w:pPr>
              <w:spacing w:line="240" w:lineRule="auto"/>
              <w:jc w:val="left"/>
              <w:rPr>
                <w:rFonts w:eastAsia="Calibri"/>
              </w:rPr>
            </w:pPr>
            <w:hyperlink w:history="1" r:id="rId24">
              <w:r w:rsidRPr="008C608F" w:rsidR="000127B6">
                <w:rPr>
                  <w:color w:val="0000FF"/>
                  <w:u w:val="single"/>
                </w:rPr>
                <w:t>Krisztina.PerlakyToth@eesc.europa.eu</w:t>
              </w:r>
            </w:hyperlink>
          </w:p>
        </w:tc>
      </w:tr>
    </w:tbl>
    <w:p w:rsidRPr="008C608F" w:rsidR="004D7AC0" w:rsidP="004D7AC0" w:rsidRDefault="004D7AC0" w14:paraId="4982DD98" w14:textId="7502FFF0">
      <w:pPr>
        <w:spacing w:after="160" w:line="259" w:lineRule="auto"/>
        <w:jc w:val="left"/>
      </w:pPr>
      <w:r w:rsidRPr="008C608F">
        <w:br w:type="page"/>
      </w:r>
    </w:p>
    <w:p w:rsidRPr="008C608F" w:rsidR="004D7AC0" w:rsidP="00B07E13" w:rsidRDefault="004D7AC0" w14:paraId="4982DD99" w14:textId="77777777">
      <w:pPr>
        <w:pStyle w:val="Heading1"/>
        <w:keepNext/>
        <w:keepLines/>
        <w:rPr>
          <w:b/>
        </w:rPr>
      </w:pPr>
      <w:bookmarkStart w:name="_Toc75527081" w:id="20"/>
      <w:bookmarkStart w:name="_Toc179362845" w:id="21"/>
      <w:r w:rsidRPr="008C608F">
        <w:rPr>
          <w:b/>
        </w:rPr>
        <w:lastRenderedPageBreak/>
        <w:t>ЗАЕТОСТ, СОЦИАЛНИ ВЪПРОСИ И ГРАЖДАНСТВО</w:t>
      </w:r>
      <w:bookmarkEnd w:id="20"/>
      <w:bookmarkEnd w:id="21"/>
    </w:p>
    <w:p w:rsidRPr="008C608F" w:rsidR="004D7AC0" w:rsidP="004F44E4" w:rsidRDefault="004D7AC0" w14:paraId="4982DD9A" w14:textId="77777777"/>
    <w:p w:rsidRPr="008C608F" w:rsidR="00327E1C" w:rsidP="00327E1C" w:rsidRDefault="00327E1C" w14:paraId="01FA66DE" w14:textId="2C829EBE">
      <w:pPr>
        <w:widowControl w:val="0"/>
        <w:numPr>
          <w:ilvl w:val="0"/>
          <w:numId w:val="4"/>
        </w:numPr>
        <w:overflowPunct w:val="0"/>
        <w:autoSpaceDE w:val="0"/>
        <w:autoSpaceDN w:val="0"/>
        <w:adjustRightInd w:val="0"/>
        <w:ind w:hanging="567"/>
        <w:textAlignment w:val="baseline"/>
      </w:pPr>
      <w:r w:rsidRPr="008C608F">
        <w:rPr>
          <w:b/>
          <w:i/>
          <w:sz w:val="28"/>
        </w:rPr>
        <w:fldChar w:fldCharType="begin"/>
      </w:r>
      <w:r w:rsidRPr="008C608F">
        <w:rPr>
          <w:b/>
          <w:i/>
          <w:sz w:val="28"/>
        </w:rPr>
        <w:instrText>HYPERLINK "https://www.eesc.europa.eu/bg/our-work/opinions-information-reports/opinions/ensuring-equal-opportunities-and-social-inclusion-access-culture-lifelong-learning-and-role-public-cultural-institutions"</w:instrText>
      </w:r>
      <w:r w:rsidRPr="008C608F">
        <w:rPr>
          <w:b/>
          <w:i/>
          <w:sz w:val="28"/>
        </w:rPr>
        <w:fldChar w:fldCharType="separate"/>
      </w:r>
      <w:r w:rsidRPr="008C608F">
        <w:rPr>
          <w:b/>
          <w:i/>
          <w:color w:val="0000FF"/>
          <w:sz w:val="28"/>
          <w:u w:val="single"/>
        </w:rPr>
        <w:t>Гарантиране на равни възможности и социално приобщаване по отношение на достъпа до култура и учене през целия живот и ролята на публичните културни институции в този процес</w:t>
      </w:r>
    </w:p>
    <w:p w:rsidRPr="008C608F" w:rsidR="00327E1C" w:rsidP="00327E1C" w:rsidRDefault="00327E1C" w14:paraId="7E48F543" w14:textId="77777777">
      <w:pPr>
        <w:widowControl w:val="0"/>
        <w:overflowPunct w:val="0"/>
        <w:autoSpaceDE w:val="0"/>
        <w:autoSpaceDN w:val="0"/>
        <w:adjustRightInd w:val="0"/>
        <w:ind w:left="567"/>
        <w:textAlignment w:val="baseline"/>
        <w:rPr>
          <w:b/>
          <w:i/>
        </w:rPr>
      </w:pPr>
      <w:r w:rsidRPr="008C608F">
        <w:rPr>
          <w:b/>
          <w:i/>
          <w:sz w:val="28"/>
        </w:rPr>
        <w:fldChar w:fldCharType="end"/>
      </w:r>
    </w:p>
    <w:tbl>
      <w:tblPr>
        <w:tblW w:w="4922" w:type="pct"/>
        <w:tblLook w:val="04A0" w:firstRow="1" w:lastRow="0" w:firstColumn="1" w:lastColumn="0" w:noHBand="0" w:noVBand="1"/>
      </w:tblPr>
      <w:tblGrid>
        <w:gridCol w:w="2518"/>
        <w:gridCol w:w="6624"/>
      </w:tblGrid>
      <w:tr w:rsidRPr="004175C7" w:rsidR="00327E1C" w:rsidTr="00261678" w14:paraId="042354E7" w14:textId="77777777">
        <w:tc>
          <w:tcPr>
            <w:tcW w:w="1377" w:type="pct"/>
          </w:tcPr>
          <w:p w:rsidRPr="004175C7" w:rsidR="00327E1C" w:rsidP="00327E1C" w:rsidRDefault="00327E1C" w14:paraId="4FF60866" w14:textId="77777777">
            <w:pPr>
              <w:overflowPunct w:val="0"/>
              <w:autoSpaceDE w:val="0"/>
              <w:autoSpaceDN w:val="0"/>
              <w:adjustRightInd w:val="0"/>
              <w:ind w:left="-113"/>
              <w:textAlignment w:val="baseline"/>
              <w:rPr>
                <w:b/>
              </w:rPr>
            </w:pPr>
            <w:r w:rsidRPr="008C608F">
              <w:rPr>
                <w:b/>
              </w:rPr>
              <w:t>Докладчик:</w:t>
            </w:r>
          </w:p>
        </w:tc>
        <w:tc>
          <w:tcPr>
            <w:tcW w:w="3623" w:type="pct"/>
          </w:tcPr>
          <w:p w:rsidRPr="004175C7" w:rsidR="007B5ACA" w:rsidP="00327E1C" w:rsidRDefault="00327E1C" w14:paraId="2CAD019B" w14:textId="5A57F895">
            <w:pPr>
              <w:tabs>
                <w:tab w:val="left" w:pos="4572"/>
              </w:tabs>
              <w:overflowPunct w:val="0"/>
              <w:autoSpaceDE w:val="0"/>
              <w:autoSpaceDN w:val="0"/>
              <w:adjustRightInd w:val="0"/>
              <w:ind w:left="-113" w:right="-823"/>
              <w:textAlignment w:val="baseline"/>
            </w:pPr>
            <w:r w:rsidRPr="008C608F">
              <w:t>Carlos Manuel TRINDADE (група „Работници“ — PT)</w:t>
            </w:r>
          </w:p>
        </w:tc>
      </w:tr>
      <w:tr w:rsidRPr="008C608F" w:rsidR="00327E1C" w:rsidTr="00261678" w14:paraId="4A3404E6" w14:textId="77777777">
        <w:tc>
          <w:tcPr>
            <w:tcW w:w="1377" w:type="pct"/>
          </w:tcPr>
          <w:p w:rsidRPr="004175C7" w:rsidR="00327E1C" w:rsidP="00327E1C" w:rsidRDefault="00327E1C" w14:paraId="5A7CE13B" w14:textId="77777777">
            <w:pPr>
              <w:overflowPunct w:val="0"/>
              <w:autoSpaceDE w:val="0"/>
              <w:autoSpaceDN w:val="0"/>
              <w:adjustRightInd w:val="0"/>
              <w:ind w:left="-113"/>
              <w:textAlignment w:val="baseline"/>
              <w:rPr>
                <w:b/>
              </w:rPr>
            </w:pPr>
            <w:r w:rsidRPr="008C608F">
              <w:rPr>
                <w:b/>
              </w:rPr>
              <w:t>Отправeн документ</w:t>
            </w:r>
          </w:p>
        </w:tc>
        <w:tc>
          <w:tcPr>
            <w:tcW w:w="3623" w:type="pct"/>
          </w:tcPr>
          <w:p w:rsidRPr="008C608F" w:rsidR="008943DA" w:rsidP="008943DA" w:rsidRDefault="008943DA" w14:paraId="0F8D6DF7" w14:textId="2336C9A3">
            <w:pPr>
              <w:tabs>
                <w:tab w:val="left" w:pos="4430"/>
              </w:tabs>
              <w:overflowPunct w:val="0"/>
              <w:autoSpaceDE w:val="0"/>
              <w:autoSpaceDN w:val="0"/>
              <w:adjustRightInd w:val="0"/>
              <w:ind w:left="-113" w:right="-823"/>
              <w:textAlignment w:val="baseline"/>
            </w:pPr>
            <w:r w:rsidRPr="008C608F">
              <w:t>Проучвателно становище по искане на унгарското председателство на Съвета на ЕС</w:t>
            </w:r>
          </w:p>
          <w:p w:rsidRPr="008C608F" w:rsidR="00327E1C" w:rsidP="00327E1C" w:rsidRDefault="00327E1C" w14:paraId="03D980EF" w14:textId="7BE85480">
            <w:pPr>
              <w:tabs>
                <w:tab w:val="left" w:pos="4430"/>
              </w:tabs>
              <w:overflowPunct w:val="0"/>
              <w:autoSpaceDE w:val="0"/>
              <w:autoSpaceDN w:val="0"/>
              <w:adjustRightInd w:val="0"/>
              <w:ind w:left="-113" w:right="-823"/>
              <w:textAlignment w:val="baseline"/>
            </w:pPr>
            <w:r w:rsidRPr="008C608F">
              <w:t>EESC-2024-01873-00-00-AC</w:t>
            </w:r>
          </w:p>
        </w:tc>
      </w:tr>
    </w:tbl>
    <w:p w:rsidRPr="008C608F" w:rsidR="007B5ACA" w:rsidP="00327E1C" w:rsidRDefault="007B5ACA" w14:paraId="3EC948D0"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327E1C" w:rsidP="00327E1C" w:rsidRDefault="00327E1C" w14:paraId="48ACCE9C" w14:textId="4654D056">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327E1C" w:rsidP="00327E1C" w:rsidRDefault="00327E1C" w14:paraId="287F1575" w14:textId="77777777">
      <w:pPr>
        <w:keepNext/>
        <w:keepLines/>
        <w:tabs>
          <w:tab w:val="center" w:pos="284"/>
        </w:tabs>
        <w:overflowPunct w:val="0"/>
        <w:autoSpaceDE w:val="0"/>
        <w:autoSpaceDN w:val="0"/>
        <w:adjustRightInd w:val="0"/>
        <w:ind w:left="266" w:hanging="266"/>
        <w:textAlignment w:val="baseline"/>
        <w:rPr>
          <w:sz w:val="18"/>
          <w:szCs w:val="16"/>
          <w:lang w:val="en-GB"/>
        </w:rPr>
      </w:pPr>
    </w:p>
    <w:p w:rsidRPr="008C608F" w:rsidR="00327E1C" w:rsidP="00327E1C" w:rsidRDefault="00327E1C" w14:paraId="2E66FABA" w14:textId="77777777">
      <w:pPr>
        <w:keepNext/>
        <w:keepLines/>
        <w:tabs>
          <w:tab w:val="center" w:pos="284"/>
        </w:tabs>
        <w:overflowPunct w:val="0"/>
        <w:autoSpaceDE w:val="0"/>
        <w:autoSpaceDN w:val="0"/>
        <w:adjustRightInd w:val="0"/>
        <w:ind w:left="266" w:hanging="266"/>
        <w:textAlignment w:val="baseline"/>
        <w:rPr>
          <w:szCs w:val="20"/>
        </w:rPr>
      </w:pPr>
      <w:r w:rsidRPr="008C608F">
        <w:t>ЕИСК:</w:t>
      </w:r>
    </w:p>
    <w:p w:rsidRPr="008C608F" w:rsidR="00327E1C" w:rsidP="00B07E13" w:rsidRDefault="00327E1C" w14:paraId="7F34938A" w14:textId="77777777">
      <w:pPr>
        <w:keepNext/>
        <w:keepLines/>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изразява подкрепа за съдържащата се в Договора за Европейския съюз визия, като подчертава ролята на културата за демокрацията, правата на човека и принципите на правовата държава, подкрепя работния план на ЕС за културата за периода 2023—2026 г. и приветства становището на Комитета на регионите относно културните политики;</w:t>
      </w:r>
    </w:p>
    <w:p w:rsidRPr="008C608F" w:rsidR="00327E1C" w:rsidP="00261678" w:rsidRDefault="00327E1C" w14:paraId="1F0D0501"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подкрепя цялостен подход към културата, при който се прави връзка между културното и гражданското участие, което е от основно значение за социалното сближаване и демокрацията. ЕИСК подчертава, че културата трябва да бъде достъпна за всички като обществено благо, и признава, че творческата свобода укрепва демокрацията, толерантността и устойчивостта;</w:t>
      </w:r>
    </w:p>
    <w:p w:rsidRPr="008C608F" w:rsidR="00327E1C" w:rsidP="00261678" w:rsidRDefault="00327E1C" w14:paraId="5185B22E"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призовава Комисията и държавите членки да приемат политики за намаляване на икономическите и образователните неравенства, тъй като тези фактори възпрепятстват участието в сферата на културата, особено в селските райони. Препоръчва също така да се създадат и укрепят програми за премахване на разнообразните бариери (физически, икономически, езикови и др.), за да се гарантира приобщаващо участие в сферата на културата, като се обръща специално внимание на маргинализираните и дискриминираните групи;</w:t>
      </w:r>
    </w:p>
    <w:p w:rsidRPr="008C608F" w:rsidR="00327E1C" w:rsidP="00261678" w:rsidRDefault="00327E1C" w14:paraId="11117F1B"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предлага ЕС и държавите членки да приемат бюджетни стратегии за подкрепа на културните политики в слабо населените селски райони като основен стълб на устойчивото развитие. Препоръчва публичните инвестиции и развитието на инфраструктурата да бъдат интегрирани в по-широка стратегия за съживяване на селските региони, привличане на частни инвестиции и увеличаване на участието в сферата на културата. Освен това ЕИСК препоръчва културните политики в селските райони да бъдат насочени към приобщаване на местните общности към вземането на решения, засилване на чувството за принадлежност, демократично участие и социално сближаване, като избягват мерки, които се налагат от горе надолу;</w:t>
      </w:r>
    </w:p>
    <w:p w:rsidRPr="008C608F" w:rsidR="00327E1C" w:rsidP="00261678" w:rsidRDefault="00327E1C" w14:paraId="6745F3F7"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подчертава значението на публичните културни политики за насърчаване на гражданския диалог между гражданското общество и властите, с който се насърчава развитието на селските райони и се укрепва социалното и териториалното сближаване. Подчертава също така необходимостта от механизми, които да насърчават социалния диалог, преговорите и колективното договаряне в селските райони, с цел стимулиране на икономиката, подобряване на условията на живот, засилване на демократичното участие и изграждане на устойчивост на общностите;</w:t>
      </w:r>
    </w:p>
    <w:p w:rsidRPr="008C608F" w:rsidR="00327E1C" w:rsidP="00261678" w:rsidRDefault="00327E1C" w14:paraId="01AD3DAD"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lastRenderedPageBreak/>
        <w:t>препоръчва обучението в сферата на културата и художественото творчество да бъде по-добре застъпено в програмите на училищата и насърчава специалистите в сферата на културата да се установяват в селските райони, за да стимулират местното развитие;</w:t>
      </w:r>
    </w:p>
    <w:p w:rsidRPr="008C608F" w:rsidR="00327E1C" w:rsidP="00261678" w:rsidRDefault="00327E1C" w14:paraId="6E23BB62"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призовава за широкообхватни кампании за цифрова и културна грамотност в селските райони с цел насърчаване на ученето през целия живот, борба с дезинформацията и отстояване на ценностите на ЕС;</w:t>
      </w:r>
    </w:p>
    <w:p w:rsidRPr="008C608F" w:rsidR="00327E1C" w:rsidP="00261678" w:rsidRDefault="00327E1C" w14:paraId="6BD89EE1" w14:textId="77777777">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предлага да се създаде Европейска година на селските райони, за да се подчертае техният културен и икономически принос;</w:t>
      </w:r>
    </w:p>
    <w:p w:rsidRPr="008C608F" w:rsidR="00327E1C" w:rsidP="00261678" w:rsidRDefault="00327E1C" w14:paraId="70540D74" w14:textId="09D46BAD">
      <w:pPr>
        <w:numPr>
          <w:ilvl w:val="0"/>
          <w:numId w:val="22"/>
        </w:numPr>
        <w:tabs>
          <w:tab w:val="center" w:pos="567"/>
        </w:tabs>
        <w:overflowPunct w:val="0"/>
        <w:autoSpaceDE w:val="0"/>
        <w:autoSpaceDN w:val="0"/>
        <w:adjustRightInd w:val="0"/>
        <w:spacing w:after="200" w:line="276" w:lineRule="auto"/>
        <w:ind w:left="567" w:hanging="567"/>
        <w:contextualSpacing/>
        <w:textAlignment w:val="baseline"/>
      </w:pPr>
      <w:r w:rsidRPr="008C608F">
        <w:t>възнамерява да оцени необходимостта от специален орган в структурата на ЕИСК, който да се занимава с въпросите на културата.</w:t>
      </w:r>
    </w:p>
    <w:p w:rsidRPr="008C608F" w:rsidR="007B5ACA" w:rsidP="00261678" w:rsidRDefault="007B5ACA" w14:paraId="35337882" w14:textId="77777777">
      <w:pPr>
        <w:tabs>
          <w:tab w:val="center" w:pos="284"/>
        </w:tabs>
        <w:overflowPunct w:val="0"/>
        <w:autoSpaceDE w:val="0"/>
        <w:autoSpaceDN w:val="0"/>
        <w:adjustRightInd w:val="0"/>
        <w:spacing w:after="200" w:line="276" w:lineRule="auto"/>
        <w:ind w:left="360"/>
        <w:contextualSpacing/>
        <w:textAlignment w:val="baseline"/>
        <w:rPr>
          <w:lang w:val="en-GB" w:eastAsia="zh-CN"/>
        </w:rPr>
      </w:pPr>
    </w:p>
    <w:tbl>
      <w:tblPr>
        <w:tblW w:w="3516" w:type="pct"/>
        <w:tblLook w:val="04A0" w:firstRow="1" w:lastRow="0" w:firstColumn="1" w:lastColumn="0" w:noHBand="0" w:noVBand="1"/>
      </w:tblPr>
      <w:tblGrid>
        <w:gridCol w:w="2032"/>
        <w:gridCol w:w="4499"/>
      </w:tblGrid>
      <w:tr w:rsidRPr="004175C7" w:rsidR="00327E1C" w:rsidTr="0015437C" w14:paraId="518D7676" w14:textId="77777777">
        <w:tc>
          <w:tcPr>
            <w:tcW w:w="1556" w:type="pct"/>
          </w:tcPr>
          <w:p w:rsidRPr="004175C7" w:rsidR="00327E1C" w:rsidP="00327E1C" w:rsidRDefault="00327E1C" w14:paraId="639514BF"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327E1C" w:rsidP="00327E1C" w:rsidRDefault="00327E1C" w14:paraId="6949DC18" w14:textId="5A4B9789">
            <w:pPr>
              <w:overflowPunct w:val="0"/>
              <w:autoSpaceDE w:val="0"/>
              <w:autoSpaceDN w:val="0"/>
              <w:adjustRightInd w:val="0"/>
              <w:spacing w:line="240" w:lineRule="auto"/>
              <w:textAlignment w:val="baseline"/>
              <w:rPr>
                <w:i/>
              </w:rPr>
            </w:pPr>
            <w:r w:rsidRPr="008C608F">
              <w:rPr>
                <w:i/>
              </w:rPr>
              <w:t>Alessia Cova</w:t>
            </w:r>
          </w:p>
        </w:tc>
      </w:tr>
      <w:tr w:rsidRPr="004175C7" w:rsidR="00327E1C" w:rsidTr="0015437C" w14:paraId="1FC4BD14" w14:textId="77777777">
        <w:tc>
          <w:tcPr>
            <w:tcW w:w="1556" w:type="pct"/>
          </w:tcPr>
          <w:p w:rsidRPr="004175C7" w:rsidR="00327E1C" w:rsidP="00327E1C" w:rsidRDefault="00327E1C" w14:paraId="3B065C5E"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327E1C" w:rsidP="00327E1C" w:rsidRDefault="00327E1C" w14:paraId="7E125145" w14:textId="77777777">
            <w:pPr>
              <w:overflowPunct w:val="0"/>
              <w:autoSpaceDE w:val="0"/>
              <w:autoSpaceDN w:val="0"/>
              <w:adjustRightInd w:val="0"/>
              <w:spacing w:line="240" w:lineRule="auto"/>
              <w:textAlignment w:val="baseline"/>
              <w:rPr>
                <w:i/>
              </w:rPr>
            </w:pPr>
            <w:r w:rsidRPr="008C608F">
              <w:rPr>
                <w:i/>
              </w:rPr>
              <w:t>+32 2546942</w:t>
            </w:r>
            <w:r w:rsidRPr="008C608F">
              <w:t>6</w:t>
            </w:r>
          </w:p>
        </w:tc>
      </w:tr>
      <w:tr w:rsidRPr="008C608F" w:rsidR="00327E1C" w:rsidTr="0015437C" w14:paraId="60E24F5F" w14:textId="77777777">
        <w:tc>
          <w:tcPr>
            <w:tcW w:w="1556" w:type="pct"/>
          </w:tcPr>
          <w:p w:rsidRPr="004175C7" w:rsidR="00327E1C" w:rsidP="00327E1C" w:rsidRDefault="00075DDE" w14:paraId="5996693A" w14:textId="1AFEB3AE">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327E1C" w:rsidP="00327E1C" w:rsidRDefault="00257091" w14:paraId="7A4FC26A" w14:textId="77777777">
            <w:pPr>
              <w:overflowPunct w:val="0"/>
              <w:autoSpaceDE w:val="0"/>
              <w:autoSpaceDN w:val="0"/>
              <w:adjustRightInd w:val="0"/>
              <w:spacing w:line="240" w:lineRule="auto"/>
              <w:textAlignment w:val="baseline"/>
              <w:rPr>
                <w:i/>
                <w:color w:val="0000FF"/>
                <w:u w:val="single"/>
              </w:rPr>
            </w:pPr>
            <w:hyperlink w:history="1" r:id="rId25">
              <w:r w:rsidRPr="008C608F" w:rsidR="006A1AC2">
                <w:rPr>
                  <w:i/>
                  <w:color w:val="0000FF"/>
                  <w:u w:val="single"/>
                </w:rPr>
                <w:t>Alessia.Cova@eesc.europa.eu</w:t>
              </w:r>
            </w:hyperlink>
          </w:p>
        </w:tc>
      </w:tr>
    </w:tbl>
    <w:p w:rsidRPr="008C608F" w:rsidR="006A1AC2" w:rsidP="004D7AC0" w:rsidRDefault="006A1AC2" w14:paraId="7B7E28B8" w14:textId="77777777">
      <w:pPr>
        <w:pStyle w:val="ListParagraph"/>
        <w:ind w:left="0"/>
      </w:pPr>
    </w:p>
    <w:p w:rsidR="008C608F" w:rsidRDefault="008C608F" w14:paraId="7912FB32" w14:textId="2AE9CE86">
      <w:pPr>
        <w:spacing w:after="160" w:line="259" w:lineRule="auto"/>
        <w:jc w:val="left"/>
      </w:pPr>
      <w:r>
        <w:br w:type="page"/>
      </w:r>
    </w:p>
    <w:p w:rsidRPr="008C608F" w:rsidR="00327E1C" w:rsidP="00B07E13" w:rsidRDefault="00257091" w14:paraId="759C8784" w14:textId="3DFF6BC1">
      <w:pPr>
        <w:keepNext/>
        <w:keepLines/>
        <w:widowControl w:val="0"/>
        <w:numPr>
          <w:ilvl w:val="0"/>
          <w:numId w:val="4"/>
        </w:numPr>
        <w:overflowPunct w:val="0"/>
        <w:autoSpaceDE w:val="0"/>
        <w:autoSpaceDN w:val="0"/>
        <w:adjustRightInd w:val="0"/>
        <w:ind w:hanging="567"/>
        <w:textAlignment w:val="baseline"/>
        <w:rPr>
          <w:sz w:val="24"/>
          <w:szCs w:val="24"/>
        </w:rPr>
      </w:pPr>
      <w:hyperlink w:history="1" r:id="rId26">
        <w:r w:rsidRPr="008C608F" w:rsidR="006A1AC2">
          <w:rPr>
            <w:b/>
            <w:i/>
            <w:color w:val="0000FF"/>
            <w:sz w:val="28"/>
            <w:u w:val="single"/>
          </w:rPr>
          <w:t>Услуги в общността в областта на психичното здраве</w:t>
        </w:r>
      </w:hyperlink>
    </w:p>
    <w:p w:rsidRPr="008C608F" w:rsidR="00327E1C" w:rsidP="00B07E13" w:rsidRDefault="00327E1C" w14:paraId="1107D09C" w14:textId="77777777">
      <w:pPr>
        <w:keepNext/>
        <w:keepLines/>
        <w:tabs>
          <w:tab w:val="center" w:pos="284"/>
        </w:tabs>
        <w:overflowPunct w:val="0"/>
        <w:autoSpaceDE w:val="0"/>
        <w:autoSpaceDN w:val="0"/>
        <w:adjustRightInd w:val="0"/>
        <w:ind w:left="266" w:hanging="266"/>
        <w:textAlignment w:val="baseline"/>
      </w:pPr>
    </w:p>
    <w:tbl>
      <w:tblPr>
        <w:tblW w:w="0" w:type="auto"/>
        <w:tblLook w:val="04A0" w:firstRow="1" w:lastRow="0" w:firstColumn="1" w:lastColumn="0" w:noHBand="0" w:noVBand="1"/>
      </w:tblPr>
      <w:tblGrid>
        <w:gridCol w:w="2376"/>
        <w:gridCol w:w="5562"/>
      </w:tblGrid>
      <w:tr w:rsidRPr="00327E1C" w:rsidR="00327E1C" w:rsidTr="00261678" w14:paraId="30675E61" w14:textId="77777777">
        <w:tc>
          <w:tcPr>
            <w:tcW w:w="2376" w:type="dxa"/>
          </w:tcPr>
          <w:p w:rsidRPr="00327E1C" w:rsidR="00327E1C" w:rsidP="00327E1C" w:rsidRDefault="00327E1C" w14:paraId="73DABBAC" w14:textId="0AD58F74">
            <w:pPr>
              <w:tabs>
                <w:tab w:val="center" w:pos="284"/>
              </w:tabs>
              <w:overflowPunct w:val="0"/>
              <w:autoSpaceDE w:val="0"/>
              <w:autoSpaceDN w:val="0"/>
              <w:adjustRightInd w:val="0"/>
              <w:ind w:left="266" w:hanging="266"/>
              <w:textAlignment w:val="baseline"/>
              <w:rPr>
                <w:b/>
              </w:rPr>
            </w:pPr>
            <w:r w:rsidRPr="008C608F">
              <w:rPr>
                <w:b/>
              </w:rPr>
              <w:t>Докладчик:</w:t>
            </w:r>
          </w:p>
        </w:tc>
        <w:tc>
          <w:tcPr>
            <w:tcW w:w="5562" w:type="dxa"/>
          </w:tcPr>
          <w:p w:rsidRPr="00327E1C" w:rsidR="00327E1C" w:rsidP="00261678" w:rsidRDefault="00327E1C" w14:paraId="295EAEDF" w14:textId="3DECFB6E">
            <w:pPr>
              <w:overflowPunct w:val="0"/>
              <w:autoSpaceDE w:val="0"/>
              <w:autoSpaceDN w:val="0"/>
              <w:adjustRightInd w:val="0"/>
              <w:ind w:right="-529"/>
              <w:textAlignment w:val="baseline"/>
            </w:pPr>
            <w:r w:rsidRPr="008C608F">
              <w:t>Pietro Vittorio BARBIERI (група „Организации на гражданското общество“ — IT)</w:t>
            </w:r>
          </w:p>
        </w:tc>
      </w:tr>
      <w:tr w:rsidRPr="00327E1C" w:rsidR="00327E1C" w:rsidTr="00261678" w14:paraId="5233ECD7" w14:textId="77777777">
        <w:tc>
          <w:tcPr>
            <w:tcW w:w="2376" w:type="dxa"/>
            <w:vMerge w:val="restart"/>
          </w:tcPr>
          <w:p w:rsidRPr="00327E1C" w:rsidR="00327E1C" w:rsidP="00327E1C" w:rsidRDefault="00327E1C" w14:paraId="28BDA075" w14:textId="47767DD5">
            <w:pPr>
              <w:tabs>
                <w:tab w:val="center" w:pos="284"/>
              </w:tabs>
              <w:overflowPunct w:val="0"/>
              <w:autoSpaceDE w:val="0"/>
              <w:autoSpaceDN w:val="0"/>
              <w:adjustRightInd w:val="0"/>
              <w:ind w:left="266" w:hanging="266"/>
              <w:textAlignment w:val="baseline"/>
              <w:rPr>
                <w:b/>
              </w:rPr>
            </w:pPr>
            <w:r w:rsidRPr="008C608F">
              <w:rPr>
                <w:b/>
              </w:rPr>
              <w:t>Отправни документи</w:t>
            </w:r>
          </w:p>
        </w:tc>
        <w:tc>
          <w:tcPr>
            <w:tcW w:w="5562" w:type="dxa"/>
          </w:tcPr>
          <w:p w:rsidRPr="00327E1C" w:rsidR="00327E1C" w:rsidP="00327E1C" w:rsidRDefault="00327E1C" w14:paraId="0DC17861" w14:textId="77777777">
            <w:pPr>
              <w:tabs>
                <w:tab w:val="center" w:pos="284"/>
              </w:tabs>
              <w:overflowPunct w:val="0"/>
              <w:autoSpaceDE w:val="0"/>
              <w:autoSpaceDN w:val="0"/>
              <w:adjustRightInd w:val="0"/>
              <w:ind w:left="266" w:hanging="266"/>
              <w:textAlignment w:val="baseline"/>
            </w:pPr>
            <w:r w:rsidRPr="008C608F">
              <w:t>Становище по собствена инициатива</w:t>
            </w:r>
          </w:p>
        </w:tc>
      </w:tr>
      <w:tr w:rsidRPr="008C608F" w:rsidR="00327E1C" w:rsidTr="00261678" w14:paraId="7C313C76" w14:textId="77777777">
        <w:tc>
          <w:tcPr>
            <w:tcW w:w="2376" w:type="dxa"/>
            <w:vMerge/>
          </w:tcPr>
          <w:p w:rsidRPr="00327E1C" w:rsidR="00327E1C" w:rsidP="00327E1C" w:rsidRDefault="00327E1C" w14:paraId="2D11D883" w14:textId="77777777">
            <w:pPr>
              <w:tabs>
                <w:tab w:val="center" w:pos="284"/>
              </w:tabs>
              <w:overflowPunct w:val="0"/>
              <w:autoSpaceDE w:val="0"/>
              <w:autoSpaceDN w:val="0"/>
              <w:adjustRightInd w:val="0"/>
              <w:ind w:left="266" w:hanging="266"/>
              <w:textAlignment w:val="baseline"/>
              <w:rPr>
                <w:b/>
                <w:lang w:val="en-GB"/>
              </w:rPr>
            </w:pPr>
          </w:p>
        </w:tc>
        <w:tc>
          <w:tcPr>
            <w:tcW w:w="5562" w:type="dxa"/>
          </w:tcPr>
          <w:p w:rsidRPr="008C608F" w:rsidR="00327E1C" w:rsidP="00327E1C" w:rsidRDefault="00327E1C" w14:paraId="20ABDC5A" w14:textId="27C62A2C">
            <w:pPr>
              <w:tabs>
                <w:tab w:val="center" w:pos="284"/>
              </w:tabs>
              <w:overflowPunct w:val="0"/>
              <w:autoSpaceDE w:val="0"/>
              <w:autoSpaceDN w:val="0"/>
              <w:adjustRightInd w:val="0"/>
              <w:ind w:left="266" w:hanging="266"/>
              <w:textAlignment w:val="baseline"/>
            </w:pPr>
            <w:r w:rsidRPr="008C608F">
              <w:t>EESC-2024-00431-00-00-AC</w:t>
            </w:r>
          </w:p>
        </w:tc>
      </w:tr>
    </w:tbl>
    <w:p w:rsidRPr="008C608F" w:rsidR="00327E1C" w:rsidP="00327E1C" w:rsidRDefault="00327E1C" w14:paraId="07E97DEC" w14:textId="77777777">
      <w:pPr>
        <w:tabs>
          <w:tab w:val="center" w:pos="284"/>
        </w:tabs>
        <w:overflowPunct w:val="0"/>
        <w:autoSpaceDE w:val="0"/>
        <w:autoSpaceDN w:val="0"/>
        <w:adjustRightInd w:val="0"/>
        <w:ind w:left="266" w:hanging="266"/>
        <w:textAlignment w:val="baseline"/>
        <w:rPr>
          <w:sz w:val="18"/>
          <w:szCs w:val="18"/>
          <w:lang w:val="en-GB"/>
        </w:rPr>
      </w:pPr>
    </w:p>
    <w:p w:rsidRPr="008C608F" w:rsidR="00327E1C" w:rsidP="00327E1C" w:rsidRDefault="00327E1C" w14:paraId="23906E60"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327E1C" w:rsidP="00327E1C" w:rsidRDefault="00327E1C" w14:paraId="76E70FB8" w14:textId="77777777">
      <w:pPr>
        <w:keepNext/>
        <w:keepLines/>
        <w:tabs>
          <w:tab w:val="center" w:pos="284"/>
        </w:tabs>
        <w:overflowPunct w:val="0"/>
        <w:autoSpaceDE w:val="0"/>
        <w:autoSpaceDN w:val="0"/>
        <w:adjustRightInd w:val="0"/>
        <w:ind w:left="266" w:hanging="266"/>
        <w:textAlignment w:val="baseline"/>
      </w:pPr>
    </w:p>
    <w:p w:rsidRPr="008C608F" w:rsidR="00327E1C" w:rsidP="00327E1C" w:rsidRDefault="00327E1C" w14:paraId="1953048D" w14:textId="77777777">
      <w:pPr>
        <w:overflowPunct w:val="0"/>
        <w:autoSpaceDE w:val="0"/>
        <w:autoSpaceDN w:val="0"/>
        <w:adjustRightInd w:val="0"/>
        <w:textAlignment w:val="baseline"/>
        <w:rPr>
          <w:bCs/>
          <w:iCs/>
        </w:rPr>
      </w:pPr>
      <w:r w:rsidRPr="008C608F">
        <w:t>ЕИСК:</w:t>
      </w:r>
    </w:p>
    <w:p w:rsidRPr="008C608F" w:rsidR="00327E1C" w:rsidP="00B07E13" w:rsidRDefault="00327E1C" w14:paraId="24F1C25B" w14:textId="77777777">
      <w:pPr>
        <w:numPr>
          <w:ilvl w:val="0"/>
          <w:numId w:val="23"/>
        </w:numPr>
        <w:overflowPunct w:val="0"/>
        <w:autoSpaceDE w:val="0"/>
        <w:autoSpaceDN w:val="0"/>
        <w:adjustRightInd w:val="0"/>
        <w:ind w:left="567" w:hanging="567"/>
        <w:textAlignment w:val="baseline"/>
        <w:outlineLvl w:val="1"/>
        <w:rPr>
          <w:szCs w:val="20"/>
        </w:rPr>
      </w:pPr>
      <w:bookmarkStart w:name="_Toc178009564" w:id="22"/>
      <w:bookmarkStart w:name="_Toc179362846" w:id="23"/>
      <w:r w:rsidRPr="008C608F">
        <w:t>смята, че важно да се насърчава грамотността в областта на психичното здраве за цялото общество с цел борба със стигматизирането и за ранна намеса и диагностициране на психичните заболявания;</w:t>
      </w:r>
      <w:bookmarkEnd w:id="22"/>
      <w:bookmarkEnd w:id="23"/>
    </w:p>
    <w:p w:rsidRPr="008C608F" w:rsidR="00327E1C" w:rsidP="00B07E13" w:rsidRDefault="00327E1C" w14:paraId="69B9DFAB" w14:textId="77777777">
      <w:pPr>
        <w:numPr>
          <w:ilvl w:val="0"/>
          <w:numId w:val="23"/>
        </w:numPr>
        <w:overflowPunct w:val="0"/>
        <w:autoSpaceDE w:val="0"/>
        <w:autoSpaceDN w:val="0"/>
        <w:adjustRightInd w:val="0"/>
        <w:ind w:left="567" w:hanging="567"/>
        <w:textAlignment w:val="baseline"/>
        <w:outlineLvl w:val="1"/>
        <w:rPr>
          <w:color w:val="000000"/>
          <w:szCs w:val="20"/>
        </w:rPr>
      </w:pPr>
      <w:bookmarkStart w:name="_Toc178009565" w:id="24"/>
      <w:bookmarkStart w:name="_Toc179362847" w:id="25"/>
      <w:r w:rsidRPr="008C608F">
        <w:t>счита, че политиките следва да се стремят към интегрирана система за психично здраве, основана на сътрудничество между секторите на образованието, заетостта, социалните грижи и грижите за психичното здраве;</w:t>
      </w:r>
      <w:bookmarkEnd w:id="24"/>
      <w:bookmarkEnd w:id="25"/>
    </w:p>
    <w:p w:rsidRPr="008C608F" w:rsidR="00327E1C" w:rsidP="00B07E13" w:rsidRDefault="00327E1C" w14:paraId="1AC68F52" w14:textId="77777777">
      <w:pPr>
        <w:numPr>
          <w:ilvl w:val="0"/>
          <w:numId w:val="23"/>
        </w:numPr>
        <w:overflowPunct w:val="0"/>
        <w:autoSpaceDE w:val="0"/>
        <w:autoSpaceDN w:val="0"/>
        <w:adjustRightInd w:val="0"/>
        <w:ind w:left="567" w:hanging="567"/>
        <w:textAlignment w:val="baseline"/>
        <w:outlineLvl w:val="1"/>
        <w:rPr>
          <w:rFonts w:eastAsiaTheme="minorEastAsia"/>
          <w:szCs w:val="20"/>
        </w:rPr>
      </w:pPr>
      <w:bookmarkStart w:name="_Toc178009566" w:id="26"/>
      <w:bookmarkStart w:name="_Toc179362848" w:id="27"/>
      <w:r w:rsidRPr="008C608F">
        <w:t>счита, че овластяването и подкрепата за самопредставителството са от ключово значение за гарантиране на пълноценното участие на хората и за съвместното изготвяне на стратегии и програми. Това следва да бъде придружено от техническа и финансова подкрепа за формите на самоуправление;</w:t>
      </w:r>
      <w:bookmarkEnd w:id="26"/>
      <w:bookmarkEnd w:id="27"/>
    </w:p>
    <w:p w:rsidRPr="008C608F" w:rsidR="00327E1C" w:rsidP="00B07E13" w:rsidRDefault="00327E1C" w14:paraId="4E74FB5B" w14:textId="77777777">
      <w:pPr>
        <w:numPr>
          <w:ilvl w:val="0"/>
          <w:numId w:val="23"/>
        </w:numPr>
        <w:overflowPunct w:val="0"/>
        <w:autoSpaceDE w:val="0"/>
        <w:autoSpaceDN w:val="0"/>
        <w:adjustRightInd w:val="0"/>
        <w:ind w:left="567" w:hanging="567"/>
        <w:textAlignment w:val="baseline"/>
        <w:outlineLvl w:val="1"/>
        <w:rPr>
          <w:szCs w:val="20"/>
        </w:rPr>
      </w:pPr>
      <w:bookmarkStart w:name="_Toc178009567" w:id="28"/>
      <w:bookmarkStart w:name="_Toc179362849" w:id="29"/>
      <w:r w:rsidRPr="008C608F">
        <w:t>насърчава държавите членки, местните общности, специалистите, организациите на гражданското общество (включително социалните партньори) и всички държавни и недържавни участници да изградят екосистема от услуги в общността в подкрепа на хората в цяла Европа, които страдат от проблеми на психичното здраве. Тази екосистема следва да се основава на модел на правата на човека и на достойнството на личността. Хоспитализациите в психиатрични болници следва да бъдат намалени, следва да се премахнат принудителните практики, да се води борба със стигматизирането, а персонализираните практики да заменят сегрегационните услуги;</w:t>
      </w:r>
      <w:bookmarkEnd w:id="28"/>
      <w:bookmarkEnd w:id="29"/>
    </w:p>
    <w:p w:rsidRPr="008C608F" w:rsidR="00327E1C" w:rsidP="00B07E13" w:rsidRDefault="00327E1C" w14:paraId="78DB9F3B" w14:textId="77777777">
      <w:pPr>
        <w:numPr>
          <w:ilvl w:val="0"/>
          <w:numId w:val="23"/>
        </w:numPr>
        <w:overflowPunct w:val="0"/>
        <w:autoSpaceDE w:val="0"/>
        <w:autoSpaceDN w:val="0"/>
        <w:adjustRightInd w:val="0"/>
        <w:spacing w:after="200" w:line="276" w:lineRule="auto"/>
        <w:ind w:left="567" w:hanging="567"/>
        <w:contextualSpacing/>
        <w:textAlignment w:val="baseline"/>
        <w:rPr>
          <w:rFonts w:eastAsiaTheme="minorEastAsia"/>
        </w:rPr>
      </w:pPr>
      <w:r w:rsidRPr="008C608F">
        <w:t>счита, че екосистемата следва да се основава на точни насоки: личният бюджет като двигател на разходите на държавите и общностите; диагностични и лечебни услуги, които са възможно най-близо до мястото на пребиваване на лицето; правото на лицето да избере да живее в несегрегирани условия, които никога не надвишават 3—5 легла; услуги в областта на заетостта, образованието и ученето през целия живот, които приемат подходящи и персонализирани стратегии; специалисти с подходящо обучение; и консултации от пациенти с подобни състояния. Установяването на ясни насоки е от основно значение, за да могат да се определят референтните стандарти;</w:t>
      </w:r>
    </w:p>
    <w:p w:rsidRPr="008C608F" w:rsidR="00327E1C" w:rsidP="00B07E13" w:rsidRDefault="00327E1C" w14:paraId="1C789E16" w14:textId="77777777">
      <w:pPr>
        <w:numPr>
          <w:ilvl w:val="0"/>
          <w:numId w:val="23"/>
        </w:numPr>
        <w:overflowPunct w:val="0"/>
        <w:autoSpaceDE w:val="0"/>
        <w:autoSpaceDN w:val="0"/>
        <w:adjustRightInd w:val="0"/>
        <w:spacing w:after="200" w:line="276" w:lineRule="auto"/>
        <w:ind w:left="567" w:hanging="567"/>
        <w:contextualSpacing/>
        <w:textAlignment w:val="baseline"/>
        <w:rPr>
          <w:rFonts w:eastAsiaTheme="minorEastAsia"/>
        </w:rPr>
      </w:pPr>
      <w:r w:rsidRPr="008C608F">
        <w:t>е убеден, че е необходимо да се получават дезагрегирани данни и икономически статистически данни за улесняване на националното и общностното планиране;</w:t>
      </w:r>
    </w:p>
    <w:p w:rsidRPr="008C608F" w:rsidR="00327E1C" w:rsidP="00B07E13" w:rsidRDefault="00327E1C" w14:paraId="5A556B03" w14:textId="77777777">
      <w:pPr>
        <w:numPr>
          <w:ilvl w:val="0"/>
          <w:numId w:val="23"/>
        </w:numPr>
        <w:overflowPunct w:val="0"/>
        <w:autoSpaceDE w:val="0"/>
        <w:autoSpaceDN w:val="0"/>
        <w:adjustRightInd w:val="0"/>
        <w:spacing w:after="200" w:line="276" w:lineRule="auto"/>
        <w:ind w:left="567" w:hanging="567"/>
        <w:contextualSpacing/>
        <w:textAlignment w:val="baseline"/>
        <w:rPr>
          <w:rFonts w:eastAsiaTheme="minorEastAsia"/>
        </w:rPr>
      </w:pPr>
      <w:r w:rsidRPr="008C608F">
        <w:t>смята, че инвестициите трябва да се правят на всички равнища за подкрепа в рамките на общността, и да се продължи с деинституционализацията;</w:t>
      </w:r>
    </w:p>
    <w:p w:rsidRPr="008C608F" w:rsidR="00327E1C" w:rsidP="00B07E13" w:rsidRDefault="00327E1C" w14:paraId="19F734B3" w14:textId="20B4E046">
      <w:pPr>
        <w:widowControl w:val="0"/>
        <w:numPr>
          <w:ilvl w:val="0"/>
          <w:numId w:val="23"/>
        </w:numPr>
        <w:overflowPunct w:val="0"/>
        <w:autoSpaceDE w:val="0"/>
        <w:autoSpaceDN w:val="0"/>
        <w:adjustRightInd w:val="0"/>
        <w:spacing w:after="200" w:line="276" w:lineRule="auto"/>
        <w:ind w:left="567" w:hanging="567"/>
        <w:contextualSpacing/>
        <w:textAlignment w:val="baseline"/>
      </w:pPr>
      <w:r w:rsidRPr="008C608F">
        <w:t xml:space="preserve">призовава европейските и международните институции, държавите членки, местните общности и организираното гражданско общество (включително социалните партньори) да предприемат спешни стъпки за организиране на прехода, като възложат ролята на главни участници на хората, които изпитват психични страдания, и на организациите, които ги представляват. </w:t>
      </w:r>
    </w:p>
    <w:p w:rsidRPr="008C608F" w:rsidR="007B5ACA" w:rsidP="00B07E13" w:rsidRDefault="007B5ACA" w14:paraId="560CA43C" w14:textId="77777777">
      <w:pPr>
        <w:widowControl w:val="0"/>
        <w:overflowPunct w:val="0"/>
        <w:autoSpaceDE w:val="0"/>
        <w:autoSpaceDN w:val="0"/>
        <w:adjustRightInd w:val="0"/>
        <w:spacing w:after="200" w:line="276" w:lineRule="auto"/>
        <w:ind w:left="927"/>
        <w:contextualSpacing/>
        <w:textAlignment w:val="baseline"/>
      </w:pPr>
    </w:p>
    <w:tbl>
      <w:tblPr>
        <w:tblW w:w="0" w:type="auto"/>
        <w:tblLook w:val="04A0" w:firstRow="1" w:lastRow="0" w:firstColumn="1" w:lastColumn="0" w:noHBand="0" w:noVBand="1"/>
      </w:tblPr>
      <w:tblGrid>
        <w:gridCol w:w="2235"/>
        <w:gridCol w:w="283"/>
        <w:gridCol w:w="3700"/>
      </w:tblGrid>
      <w:tr w:rsidRPr="004175C7" w:rsidR="00327E1C" w:rsidTr="00261678" w14:paraId="120E5C2E" w14:textId="77777777">
        <w:tc>
          <w:tcPr>
            <w:tcW w:w="2235" w:type="dxa"/>
          </w:tcPr>
          <w:p w:rsidRPr="004175C7" w:rsidR="00327E1C" w:rsidP="00327E1C" w:rsidRDefault="00327E1C" w14:paraId="3BAD6C01" w14:textId="784CB2FF">
            <w:pPr>
              <w:overflowPunct w:val="0"/>
              <w:autoSpaceDE w:val="0"/>
              <w:autoSpaceDN w:val="0"/>
              <w:adjustRightInd w:val="0"/>
              <w:spacing w:line="240" w:lineRule="auto"/>
              <w:textAlignment w:val="baseline"/>
              <w:rPr>
                <w:i/>
              </w:rPr>
            </w:pPr>
            <w:r w:rsidRPr="008C608F">
              <w:rPr>
                <w:b/>
                <w:i/>
              </w:rPr>
              <w:lastRenderedPageBreak/>
              <w:t>За връзка:</w:t>
            </w:r>
          </w:p>
        </w:tc>
        <w:tc>
          <w:tcPr>
            <w:tcW w:w="283" w:type="dxa"/>
          </w:tcPr>
          <w:p w:rsidRPr="004175C7" w:rsidR="00327E1C" w:rsidP="00327E1C" w:rsidRDefault="00327E1C" w14:paraId="071525F4" w14:textId="77777777">
            <w:pPr>
              <w:overflowPunct w:val="0"/>
              <w:autoSpaceDE w:val="0"/>
              <w:autoSpaceDN w:val="0"/>
              <w:adjustRightInd w:val="0"/>
              <w:spacing w:line="240" w:lineRule="auto"/>
              <w:textAlignment w:val="baseline"/>
              <w:rPr>
                <w:i/>
                <w:lang w:val="en-GB"/>
              </w:rPr>
            </w:pPr>
          </w:p>
        </w:tc>
        <w:tc>
          <w:tcPr>
            <w:tcW w:w="3700" w:type="dxa"/>
          </w:tcPr>
          <w:p w:rsidRPr="004175C7" w:rsidR="00327E1C" w:rsidP="00327E1C" w:rsidRDefault="00327E1C" w14:paraId="515DAEF9" w14:textId="05933947">
            <w:pPr>
              <w:overflowPunct w:val="0"/>
              <w:autoSpaceDE w:val="0"/>
              <w:autoSpaceDN w:val="0"/>
              <w:adjustRightInd w:val="0"/>
              <w:spacing w:line="240" w:lineRule="auto"/>
              <w:textAlignment w:val="baseline"/>
              <w:rPr>
                <w:i/>
              </w:rPr>
            </w:pPr>
            <w:r w:rsidRPr="008C608F">
              <w:rPr>
                <w:i/>
              </w:rPr>
              <w:t>Valeria Atzori</w:t>
            </w:r>
          </w:p>
        </w:tc>
      </w:tr>
      <w:tr w:rsidRPr="004175C7" w:rsidR="00327E1C" w:rsidTr="00261678" w14:paraId="09C13B74" w14:textId="77777777">
        <w:tc>
          <w:tcPr>
            <w:tcW w:w="2235" w:type="dxa"/>
          </w:tcPr>
          <w:p w:rsidRPr="004175C7" w:rsidR="00327E1C" w:rsidP="00327E1C" w:rsidRDefault="00327E1C" w14:paraId="4BF2FC65" w14:textId="317BD8BF">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283" w:type="dxa"/>
          </w:tcPr>
          <w:p w:rsidRPr="004175C7" w:rsidR="00327E1C" w:rsidP="00327E1C" w:rsidRDefault="00327E1C" w14:paraId="43C9848F" w14:textId="77777777">
            <w:pPr>
              <w:overflowPunct w:val="0"/>
              <w:autoSpaceDE w:val="0"/>
              <w:autoSpaceDN w:val="0"/>
              <w:adjustRightInd w:val="0"/>
              <w:spacing w:line="240" w:lineRule="auto"/>
              <w:textAlignment w:val="baseline"/>
              <w:rPr>
                <w:i/>
                <w:lang w:val="en-GB"/>
              </w:rPr>
            </w:pPr>
          </w:p>
        </w:tc>
        <w:tc>
          <w:tcPr>
            <w:tcW w:w="3700" w:type="dxa"/>
          </w:tcPr>
          <w:p w:rsidRPr="004175C7" w:rsidR="00327E1C" w:rsidP="00327E1C" w:rsidRDefault="00327E1C" w14:paraId="24EF41EF" w14:textId="77777777">
            <w:pPr>
              <w:overflowPunct w:val="0"/>
              <w:autoSpaceDE w:val="0"/>
              <w:autoSpaceDN w:val="0"/>
              <w:adjustRightInd w:val="0"/>
              <w:spacing w:line="240" w:lineRule="auto"/>
              <w:textAlignment w:val="baseline"/>
              <w:rPr>
                <w:i/>
              </w:rPr>
            </w:pPr>
            <w:r w:rsidRPr="008C608F">
              <w:rPr>
                <w:i/>
              </w:rPr>
              <w:t>+32 25468774</w:t>
            </w:r>
          </w:p>
        </w:tc>
      </w:tr>
      <w:tr w:rsidRPr="008C608F" w:rsidR="00327E1C" w:rsidTr="00261678" w14:paraId="5CCC1557" w14:textId="77777777">
        <w:tc>
          <w:tcPr>
            <w:tcW w:w="2235" w:type="dxa"/>
          </w:tcPr>
          <w:p w:rsidRPr="004175C7" w:rsidR="00327E1C" w:rsidP="00327E1C" w:rsidRDefault="007B5ACA" w14:paraId="55128B82" w14:textId="12CE045D">
            <w:pPr>
              <w:overflowPunct w:val="0"/>
              <w:autoSpaceDE w:val="0"/>
              <w:autoSpaceDN w:val="0"/>
              <w:adjustRightInd w:val="0"/>
              <w:spacing w:line="240" w:lineRule="auto"/>
              <w:textAlignment w:val="baseline"/>
              <w:rPr>
                <w:i/>
              </w:rPr>
            </w:pPr>
            <w:r w:rsidRPr="008C608F">
              <w:rPr>
                <w:i/>
              </w:rPr>
              <w:t>Електронен адрес:</w:t>
            </w:r>
          </w:p>
        </w:tc>
        <w:tc>
          <w:tcPr>
            <w:tcW w:w="283" w:type="dxa"/>
          </w:tcPr>
          <w:p w:rsidRPr="004175C7" w:rsidR="00327E1C" w:rsidP="00327E1C" w:rsidRDefault="00327E1C" w14:paraId="437EE72C" w14:textId="77777777">
            <w:pPr>
              <w:overflowPunct w:val="0"/>
              <w:autoSpaceDE w:val="0"/>
              <w:autoSpaceDN w:val="0"/>
              <w:adjustRightInd w:val="0"/>
              <w:spacing w:line="240" w:lineRule="auto"/>
              <w:textAlignment w:val="baseline"/>
              <w:rPr>
                <w:lang w:val="en-GB"/>
              </w:rPr>
            </w:pPr>
          </w:p>
        </w:tc>
        <w:tc>
          <w:tcPr>
            <w:tcW w:w="3700" w:type="dxa"/>
          </w:tcPr>
          <w:p w:rsidRPr="008C608F" w:rsidR="00327E1C" w:rsidP="00327E1C" w:rsidRDefault="00257091" w14:paraId="767760DE" w14:textId="77777777">
            <w:pPr>
              <w:overflowPunct w:val="0"/>
              <w:autoSpaceDE w:val="0"/>
              <w:autoSpaceDN w:val="0"/>
              <w:adjustRightInd w:val="0"/>
              <w:spacing w:line="240" w:lineRule="auto"/>
              <w:textAlignment w:val="baseline"/>
              <w:rPr>
                <w:i/>
                <w:iCs/>
              </w:rPr>
            </w:pPr>
            <w:hyperlink w:history="1" r:id="rId27">
              <w:r w:rsidRPr="008C608F" w:rsidR="006A1AC2">
                <w:rPr>
                  <w:i/>
                  <w:color w:val="0000FF"/>
                  <w:u w:val="single"/>
                </w:rPr>
                <w:t>Valeria.Atzori@eesc.europa.eu</w:t>
              </w:r>
            </w:hyperlink>
          </w:p>
        </w:tc>
      </w:tr>
    </w:tbl>
    <w:p w:rsidRPr="008C608F" w:rsidR="00327E1C" w:rsidRDefault="00327E1C" w14:paraId="14354E90" w14:textId="77777777">
      <w:pPr>
        <w:spacing w:after="160" w:line="259" w:lineRule="auto"/>
        <w:jc w:val="left"/>
      </w:pPr>
      <w:r w:rsidRPr="008C608F">
        <w:br w:type="page"/>
      </w:r>
    </w:p>
    <w:p w:rsidRPr="008C608F" w:rsidR="00737271" w:rsidP="00737271" w:rsidRDefault="00257091" w14:paraId="02D461C2" w14:textId="048A2BF2">
      <w:pPr>
        <w:widowControl w:val="0"/>
        <w:numPr>
          <w:ilvl w:val="0"/>
          <w:numId w:val="11"/>
        </w:numPr>
        <w:overflowPunct w:val="0"/>
        <w:autoSpaceDE w:val="0"/>
        <w:autoSpaceDN w:val="0"/>
        <w:adjustRightInd w:val="0"/>
        <w:ind w:left="567" w:hanging="567"/>
        <w:textAlignment w:val="baseline"/>
      </w:pPr>
      <w:hyperlink w:history="1" r:id="rId28">
        <w:r w:rsidRPr="008C608F" w:rsidR="006A1AC2">
          <w:rPr>
            <w:b/>
            <w:i/>
            <w:color w:val="0000FF"/>
            <w:sz w:val="28"/>
            <w:u w:val="single"/>
          </w:rPr>
          <w:t>Укрепване на последващите действия във връзка с диалога на ЕС по въпросите на младежта чрез насоки за мониторинг и прозрачност</w:t>
        </w:r>
      </w:hyperlink>
    </w:p>
    <w:p w:rsidRPr="008C608F" w:rsidR="00737271" w:rsidP="00737271" w:rsidRDefault="00737271" w14:paraId="28B70474" w14:textId="77777777">
      <w:pPr>
        <w:tabs>
          <w:tab w:val="center" w:pos="284"/>
        </w:tabs>
        <w:overflowPunct w:val="0"/>
        <w:autoSpaceDE w:val="0"/>
        <w:autoSpaceDN w:val="0"/>
        <w:adjustRightInd w:val="0"/>
        <w:ind w:left="567" w:hanging="567"/>
        <w:textAlignment w:val="baseline"/>
        <w:rPr>
          <w:lang w:val="pt-PT"/>
        </w:rPr>
      </w:pPr>
    </w:p>
    <w:tbl>
      <w:tblPr>
        <w:tblW w:w="0" w:type="auto"/>
        <w:tblLook w:val="04A0" w:firstRow="1" w:lastRow="0" w:firstColumn="1" w:lastColumn="0" w:noHBand="0" w:noVBand="1"/>
      </w:tblPr>
      <w:tblGrid>
        <w:gridCol w:w="2376"/>
        <w:gridCol w:w="6804"/>
      </w:tblGrid>
      <w:tr w:rsidRPr="004175C7" w:rsidR="00737271" w:rsidTr="00385966" w14:paraId="074E57AA" w14:textId="77777777">
        <w:tc>
          <w:tcPr>
            <w:tcW w:w="2376" w:type="dxa"/>
          </w:tcPr>
          <w:p w:rsidRPr="004175C7" w:rsidR="00737271" w:rsidP="00737271" w:rsidRDefault="00737271" w14:paraId="00405F46" w14:textId="43C49351">
            <w:pPr>
              <w:tabs>
                <w:tab w:val="center" w:pos="284"/>
              </w:tabs>
              <w:overflowPunct w:val="0"/>
              <w:autoSpaceDE w:val="0"/>
              <w:autoSpaceDN w:val="0"/>
              <w:adjustRightInd w:val="0"/>
              <w:ind w:left="567" w:hanging="567"/>
              <w:textAlignment w:val="baseline"/>
              <w:rPr>
                <w:b/>
              </w:rPr>
            </w:pPr>
            <w:r w:rsidRPr="008C608F">
              <w:rPr>
                <w:b/>
              </w:rPr>
              <w:t>Докладчик:</w:t>
            </w:r>
          </w:p>
        </w:tc>
        <w:tc>
          <w:tcPr>
            <w:tcW w:w="6804" w:type="dxa"/>
          </w:tcPr>
          <w:p w:rsidRPr="004175C7" w:rsidR="00737271" w:rsidP="00261678" w:rsidRDefault="00737271" w14:paraId="7B6FB3B6" w14:textId="7C86738B">
            <w:pPr>
              <w:overflowPunct w:val="0"/>
              <w:autoSpaceDE w:val="0"/>
              <w:autoSpaceDN w:val="0"/>
              <w:adjustRightInd w:val="0"/>
              <w:textAlignment w:val="baseline"/>
            </w:pPr>
            <w:r w:rsidRPr="008C608F">
              <w:t>Katrĩna LEITĀNE (група „Организации на гражданското общество“</w:t>
            </w:r>
            <w:r w:rsidRPr="008C608F" w:rsidR="00385966">
              <w:rPr>
                <w:lang w:val="en-GB"/>
              </w:rPr>
              <w:t> </w:t>
            </w:r>
            <w:r w:rsidRPr="008C608F">
              <w:t>— LV)</w:t>
            </w:r>
          </w:p>
        </w:tc>
      </w:tr>
      <w:tr w:rsidRPr="008C608F" w:rsidR="00737271" w:rsidTr="00385966" w14:paraId="6F1C7412" w14:textId="77777777">
        <w:tc>
          <w:tcPr>
            <w:tcW w:w="2376" w:type="dxa"/>
          </w:tcPr>
          <w:p w:rsidRPr="004175C7" w:rsidR="00737271" w:rsidP="00737271" w:rsidRDefault="00737271" w14:paraId="6385C2B0" w14:textId="77777777">
            <w:pPr>
              <w:tabs>
                <w:tab w:val="center" w:pos="284"/>
              </w:tabs>
              <w:overflowPunct w:val="0"/>
              <w:autoSpaceDE w:val="0"/>
              <w:autoSpaceDN w:val="0"/>
              <w:adjustRightInd w:val="0"/>
              <w:ind w:left="567" w:hanging="567"/>
              <w:textAlignment w:val="baseline"/>
              <w:rPr>
                <w:b/>
              </w:rPr>
            </w:pPr>
            <w:r w:rsidRPr="008C608F">
              <w:rPr>
                <w:b/>
              </w:rPr>
              <w:t>Отправeн документ</w:t>
            </w:r>
          </w:p>
        </w:tc>
        <w:tc>
          <w:tcPr>
            <w:tcW w:w="6804" w:type="dxa"/>
          </w:tcPr>
          <w:p w:rsidRPr="008C608F" w:rsidR="004E557A" w:rsidP="00737271" w:rsidRDefault="004E557A" w14:paraId="7F868AE8" w14:textId="44E168E5">
            <w:pPr>
              <w:tabs>
                <w:tab w:val="center" w:pos="284"/>
              </w:tabs>
              <w:overflowPunct w:val="0"/>
              <w:autoSpaceDE w:val="0"/>
              <w:autoSpaceDN w:val="0"/>
              <w:adjustRightInd w:val="0"/>
              <w:ind w:left="567" w:hanging="567"/>
              <w:textAlignment w:val="baseline"/>
            </w:pPr>
            <w:r w:rsidRPr="008C608F">
              <w:t>Становище по собствена инициатива</w:t>
            </w:r>
          </w:p>
          <w:p w:rsidRPr="008C608F" w:rsidR="00737271" w:rsidP="00737271" w:rsidRDefault="00737271" w14:paraId="1D8AC10B" w14:textId="2D8B7FE0">
            <w:pPr>
              <w:tabs>
                <w:tab w:val="center" w:pos="284"/>
              </w:tabs>
              <w:overflowPunct w:val="0"/>
              <w:autoSpaceDE w:val="0"/>
              <w:autoSpaceDN w:val="0"/>
              <w:adjustRightInd w:val="0"/>
              <w:ind w:left="567" w:hanging="567"/>
              <w:textAlignment w:val="baseline"/>
            </w:pPr>
            <w:r w:rsidRPr="008C608F">
              <w:t>EESC-2024-00527-00-00-AC</w:t>
            </w:r>
          </w:p>
        </w:tc>
      </w:tr>
    </w:tbl>
    <w:p w:rsidRPr="008C608F" w:rsidR="00737271" w:rsidP="00737271" w:rsidRDefault="00737271" w14:paraId="364D9E75"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737271" w:rsidP="00737271" w:rsidRDefault="00737271" w14:paraId="5AC4C26C"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737271" w:rsidP="00737271" w:rsidRDefault="00737271" w14:paraId="496393DB" w14:textId="77777777">
      <w:pPr>
        <w:overflowPunct w:val="0"/>
        <w:autoSpaceDE w:val="0"/>
        <w:autoSpaceDN w:val="0"/>
        <w:adjustRightInd w:val="0"/>
        <w:textAlignment w:val="baseline"/>
        <w:rPr>
          <w:szCs w:val="20"/>
          <w:lang w:val="en-GB"/>
        </w:rPr>
      </w:pPr>
    </w:p>
    <w:p w:rsidRPr="008C608F" w:rsidR="00737271" w:rsidP="00737271" w:rsidRDefault="00737271" w14:paraId="0C2C249C" w14:textId="44122995">
      <w:pPr>
        <w:overflowPunct w:val="0"/>
        <w:autoSpaceDE w:val="0"/>
        <w:autoSpaceDN w:val="0"/>
        <w:adjustRightInd w:val="0"/>
        <w:textAlignment w:val="baseline"/>
        <w:rPr>
          <w:szCs w:val="20"/>
        </w:rPr>
      </w:pPr>
      <w:r w:rsidRPr="008C608F">
        <w:t>ЕИСК:</w:t>
      </w:r>
    </w:p>
    <w:p w:rsidRPr="008C608F" w:rsidR="00737271" w:rsidP="00B07E13" w:rsidRDefault="00737271" w14:paraId="1485254E" w14:textId="77777777">
      <w:pPr>
        <w:numPr>
          <w:ilvl w:val="0"/>
          <w:numId w:val="24"/>
        </w:numPr>
        <w:overflowPunct w:val="0"/>
        <w:autoSpaceDE w:val="0"/>
        <w:autoSpaceDN w:val="0"/>
        <w:adjustRightInd w:val="0"/>
        <w:spacing w:after="200" w:line="276" w:lineRule="auto"/>
        <w:ind w:left="567" w:hanging="567"/>
        <w:contextualSpacing/>
        <w:textAlignment w:val="baseline"/>
      </w:pPr>
      <w:r w:rsidRPr="008C608F">
        <w:t xml:space="preserve">подчертава, че механизмите за участие на младите хора трябва да бъдат прозрачни за всички заинтересовани страни и че интересите и опасенията на младите хора трябва да се вземат предвид на всеки етап от цикъла на изготвяне на политики; </w:t>
      </w:r>
    </w:p>
    <w:p w:rsidRPr="008C608F" w:rsidR="00737271" w:rsidP="00B07E13" w:rsidRDefault="00737271" w14:paraId="52F4D064" w14:textId="77777777">
      <w:pPr>
        <w:numPr>
          <w:ilvl w:val="0"/>
          <w:numId w:val="24"/>
        </w:numPr>
        <w:overflowPunct w:val="0"/>
        <w:autoSpaceDE w:val="0"/>
        <w:autoSpaceDN w:val="0"/>
        <w:adjustRightInd w:val="0"/>
        <w:spacing w:after="200" w:line="276" w:lineRule="auto"/>
        <w:ind w:left="567" w:hanging="567"/>
        <w:contextualSpacing/>
        <w:textAlignment w:val="baseline"/>
      </w:pPr>
      <w:r w:rsidRPr="008C608F">
        <w:t>изтъква, че е важно всеки механизъм за младежко участие да разполага със стратегии за мониторинг и разпространение, за да бъдат младите хора информирани за въздействието от тяхното участие, включително в процесите по линия на диалога на ЕС по въпросите на младежта (ДЕСВМ);</w:t>
      </w:r>
    </w:p>
    <w:p w:rsidRPr="008C608F" w:rsidR="00737271" w:rsidP="00B07E13" w:rsidRDefault="00737271" w14:paraId="14EB68DE" w14:textId="77777777">
      <w:pPr>
        <w:numPr>
          <w:ilvl w:val="0"/>
          <w:numId w:val="24"/>
        </w:numPr>
        <w:overflowPunct w:val="0"/>
        <w:autoSpaceDE w:val="0"/>
        <w:autoSpaceDN w:val="0"/>
        <w:adjustRightInd w:val="0"/>
        <w:spacing w:after="200" w:line="276" w:lineRule="auto"/>
        <w:ind w:left="567" w:hanging="567"/>
        <w:contextualSpacing/>
        <w:textAlignment w:val="baseline"/>
      </w:pPr>
      <w:r w:rsidRPr="008C608F">
        <w:t xml:space="preserve">предлага да се изготвят насоки в подкрепа на мониторинга и разпространението на резултатите и въздействието на ДЕСВМ; такива насоки имат потенциала да подпомогнат изпълнението на целите на ДЕСВМ и да увеличат откритостта, прозрачността и отчетността пред десетките хиляди млади хора, които участват в процесите на ДЕСВМ, както и пред редицата други, за които резултатите и въздействието са от значение; </w:t>
      </w:r>
    </w:p>
    <w:p w:rsidRPr="008C608F" w:rsidR="00737271" w:rsidP="00B07E13" w:rsidRDefault="00737271" w14:paraId="2622CCA4" w14:textId="77777777">
      <w:pPr>
        <w:numPr>
          <w:ilvl w:val="0"/>
          <w:numId w:val="24"/>
        </w:numPr>
        <w:overflowPunct w:val="0"/>
        <w:autoSpaceDE w:val="0"/>
        <w:autoSpaceDN w:val="0"/>
        <w:adjustRightInd w:val="0"/>
        <w:spacing w:after="200" w:line="276" w:lineRule="auto"/>
        <w:ind w:left="567" w:hanging="567"/>
        <w:contextualSpacing/>
        <w:textAlignment w:val="baseline"/>
      </w:pPr>
      <w:r w:rsidRPr="008C608F">
        <w:t>предлага информацията относно резултатите от ДЕСВМ да се събира на предварително договорени интервали и да се съсредоточава върху всички цикли на ДЕСВМ, за да може да се проследяват резултатите от политиката и другите резултати, свързани с определен цикъл на ДЕСВМ;</w:t>
      </w:r>
    </w:p>
    <w:p w:rsidRPr="008C608F" w:rsidR="00737271" w:rsidP="00B07E13" w:rsidRDefault="00737271" w14:paraId="201167B4" w14:textId="77777777">
      <w:pPr>
        <w:numPr>
          <w:ilvl w:val="0"/>
          <w:numId w:val="24"/>
        </w:numPr>
        <w:overflowPunct w:val="0"/>
        <w:autoSpaceDE w:val="0"/>
        <w:autoSpaceDN w:val="0"/>
        <w:adjustRightInd w:val="0"/>
        <w:spacing w:after="200" w:line="276" w:lineRule="auto"/>
        <w:ind w:left="567" w:hanging="567"/>
        <w:contextualSpacing/>
        <w:textAlignment w:val="baseline"/>
      </w:pPr>
      <w:r w:rsidRPr="008C608F">
        <w:t>предлага да се създаде онлайн хранилище, в което да бъдат предоставяни на разположение събраните документи; хранилището следва да бъде лесно за ползване, със свободен достъп, безплатно, с възможност за търсене и редовно актуализирано;</w:t>
      </w:r>
    </w:p>
    <w:p w:rsidRPr="008C608F" w:rsidR="00737271" w:rsidP="00B07E13" w:rsidRDefault="00737271" w14:paraId="56C419BD" w14:textId="77777777">
      <w:pPr>
        <w:numPr>
          <w:ilvl w:val="0"/>
          <w:numId w:val="24"/>
        </w:numPr>
        <w:overflowPunct w:val="0"/>
        <w:autoSpaceDE w:val="0"/>
        <w:autoSpaceDN w:val="0"/>
        <w:adjustRightInd w:val="0"/>
        <w:spacing w:after="200" w:line="276" w:lineRule="auto"/>
        <w:ind w:left="567" w:hanging="567"/>
        <w:contextualSpacing/>
        <w:textAlignment w:val="baseline"/>
      </w:pPr>
      <w:r w:rsidRPr="008C608F">
        <w:t>призовава Комисията и държавите членки да подкрепят дългосрочното, устойчиво и добре функциониращо управление на ДЕСВМ, включително създаването на процеси за институционална памет и изграждане на капацитет. За да се постигне това, ЕИСК предлага да се създаде дългосрочен секретариат на ДЕСВМ, който да подпомага процесите на ДЕСВМ в различните председателства и постоянно да предоставя експертен опит и да осигурява администриране и управление на данни.</w:t>
      </w:r>
    </w:p>
    <w:p w:rsidRPr="008C608F" w:rsidR="00737271" w:rsidP="00737271" w:rsidRDefault="00737271" w14:paraId="24EC8772" w14:textId="77777777">
      <w:pPr>
        <w:spacing w:after="200" w:line="276" w:lineRule="auto"/>
        <w:ind w:left="720"/>
        <w:contextualSpacing/>
        <w:rPr>
          <w:lang w:val="en-GB" w:eastAsia="zh-CN"/>
        </w:rPr>
      </w:pPr>
    </w:p>
    <w:tbl>
      <w:tblPr>
        <w:tblW w:w="0" w:type="auto"/>
        <w:tblLook w:val="04A0" w:firstRow="1" w:lastRow="0" w:firstColumn="1" w:lastColumn="0" w:noHBand="0" w:noVBand="1"/>
      </w:tblPr>
      <w:tblGrid>
        <w:gridCol w:w="2093"/>
        <w:gridCol w:w="3742"/>
      </w:tblGrid>
      <w:tr w:rsidRPr="004175C7" w:rsidR="00737271" w:rsidTr="00261678" w14:paraId="5B4D9E30" w14:textId="77777777">
        <w:tc>
          <w:tcPr>
            <w:tcW w:w="2093" w:type="dxa"/>
          </w:tcPr>
          <w:p w:rsidRPr="004175C7" w:rsidR="00737271" w:rsidP="00737271" w:rsidRDefault="00737271" w14:paraId="2114F802" w14:textId="77777777">
            <w:pPr>
              <w:overflowPunct w:val="0"/>
              <w:autoSpaceDE w:val="0"/>
              <w:autoSpaceDN w:val="0"/>
              <w:adjustRightInd w:val="0"/>
              <w:spacing w:line="240" w:lineRule="auto"/>
              <w:textAlignment w:val="baseline"/>
              <w:rPr>
                <w:i/>
              </w:rPr>
            </w:pPr>
            <w:r w:rsidRPr="008C608F">
              <w:rPr>
                <w:b/>
                <w:i/>
              </w:rPr>
              <w:t>За връзка:</w:t>
            </w:r>
          </w:p>
        </w:tc>
        <w:tc>
          <w:tcPr>
            <w:tcW w:w="3742" w:type="dxa"/>
          </w:tcPr>
          <w:p w:rsidRPr="004175C7" w:rsidR="00737271" w:rsidP="00737271" w:rsidRDefault="00737271" w14:paraId="3C7B252A" w14:textId="77777777">
            <w:pPr>
              <w:overflowPunct w:val="0"/>
              <w:autoSpaceDE w:val="0"/>
              <w:autoSpaceDN w:val="0"/>
              <w:adjustRightInd w:val="0"/>
              <w:spacing w:line="240" w:lineRule="auto"/>
              <w:ind w:hanging="12"/>
              <w:textAlignment w:val="baseline"/>
              <w:rPr>
                <w:i/>
              </w:rPr>
            </w:pPr>
            <w:r w:rsidRPr="008C608F">
              <w:rPr>
                <w:i/>
              </w:rPr>
              <w:t>Sabrina Borg</w:t>
            </w:r>
          </w:p>
        </w:tc>
      </w:tr>
      <w:tr w:rsidRPr="004175C7" w:rsidR="00737271" w:rsidTr="00261678" w14:paraId="02C187FE" w14:textId="77777777">
        <w:tc>
          <w:tcPr>
            <w:tcW w:w="2093" w:type="dxa"/>
          </w:tcPr>
          <w:p w:rsidRPr="004175C7" w:rsidR="00737271" w:rsidP="00737271" w:rsidRDefault="00737271" w14:paraId="4BBA80C9"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742" w:type="dxa"/>
          </w:tcPr>
          <w:p w:rsidRPr="004175C7" w:rsidR="00737271" w:rsidP="00737271" w:rsidRDefault="00737271" w14:paraId="4CEB87B2" w14:textId="5B12D435">
            <w:pPr>
              <w:overflowPunct w:val="0"/>
              <w:autoSpaceDE w:val="0"/>
              <w:autoSpaceDN w:val="0"/>
              <w:adjustRightInd w:val="0"/>
              <w:spacing w:line="240" w:lineRule="auto"/>
              <w:textAlignment w:val="baseline"/>
              <w:rPr>
                <w:i/>
              </w:rPr>
            </w:pPr>
            <w:r w:rsidRPr="008C608F">
              <w:rPr>
                <w:i/>
              </w:rPr>
              <w:t>+32 25469727</w:t>
            </w:r>
          </w:p>
        </w:tc>
      </w:tr>
      <w:tr w:rsidRPr="008C608F" w:rsidR="00737271" w:rsidTr="00261678" w14:paraId="7419285E" w14:textId="77777777">
        <w:tc>
          <w:tcPr>
            <w:tcW w:w="2093" w:type="dxa"/>
          </w:tcPr>
          <w:p w:rsidRPr="004175C7" w:rsidR="00737271" w:rsidP="00737271" w:rsidRDefault="00737271" w14:paraId="558AC3F5" w14:textId="77777777">
            <w:pPr>
              <w:overflowPunct w:val="0"/>
              <w:autoSpaceDE w:val="0"/>
              <w:autoSpaceDN w:val="0"/>
              <w:adjustRightInd w:val="0"/>
              <w:spacing w:line="240" w:lineRule="auto"/>
              <w:textAlignment w:val="baseline"/>
              <w:rPr>
                <w:i/>
              </w:rPr>
            </w:pPr>
            <w:r w:rsidRPr="008C608F">
              <w:rPr>
                <w:i/>
              </w:rPr>
              <w:t>Електронен адрес:</w:t>
            </w:r>
          </w:p>
        </w:tc>
        <w:tc>
          <w:tcPr>
            <w:tcW w:w="3742" w:type="dxa"/>
          </w:tcPr>
          <w:p w:rsidRPr="008C608F" w:rsidR="00737271" w:rsidP="00737271" w:rsidRDefault="00257091" w14:paraId="478C800C" w14:textId="77777777">
            <w:pPr>
              <w:overflowPunct w:val="0"/>
              <w:autoSpaceDE w:val="0"/>
              <w:autoSpaceDN w:val="0"/>
              <w:adjustRightInd w:val="0"/>
              <w:spacing w:line="240" w:lineRule="auto"/>
              <w:textAlignment w:val="baseline"/>
              <w:rPr>
                <w:i/>
              </w:rPr>
            </w:pPr>
            <w:hyperlink w:history="1" r:id="rId29">
              <w:r w:rsidRPr="008C608F" w:rsidR="006A1AC2">
                <w:rPr>
                  <w:i/>
                  <w:color w:val="0000FF"/>
                  <w:u w:val="single"/>
                </w:rPr>
                <w:t>Sabrina.Borg@eesc.europa.eu</w:t>
              </w:r>
            </w:hyperlink>
          </w:p>
        </w:tc>
      </w:tr>
    </w:tbl>
    <w:p w:rsidRPr="008C608F" w:rsidR="00737271" w:rsidP="004D7AC0" w:rsidRDefault="00737271" w14:paraId="150BE2C1" w14:textId="51CA4479">
      <w:pPr>
        <w:pStyle w:val="ListParagraph"/>
        <w:ind w:left="0"/>
      </w:pPr>
    </w:p>
    <w:p w:rsidRPr="008C608F" w:rsidR="00737271" w:rsidRDefault="00737271" w14:paraId="57B1A8E7" w14:textId="77777777">
      <w:pPr>
        <w:spacing w:after="160" w:line="259" w:lineRule="auto"/>
        <w:jc w:val="left"/>
      </w:pPr>
      <w:r w:rsidRPr="008C608F">
        <w:br w:type="page"/>
      </w:r>
    </w:p>
    <w:p w:rsidRPr="008C608F" w:rsidR="00700711" w:rsidP="00700711" w:rsidRDefault="00257091" w14:paraId="125FE61D" w14:textId="43F6ADC3">
      <w:pPr>
        <w:widowControl w:val="0"/>
        <w:numPr>
          <w:ilvl w:val="0"/>
          <w:numId w:val="4"/>
        </w:numPr>
        <w:overflowPunct w:val="0"/>
        <w:autoSpaceDE w:val="0"/>
        <w:autoSpaceDN w:val="0"/>
        <w:adjustRightInd w:val="0"/>
        <w:ind w:hanging="567"/>
        <w:textAlignment w:val="baseline"/>
        <w:rPr>
          <w:sz w:val="24"/>
          <w:szCs w:val="24"/>
        </w:rPr>
      </w:pPr>
      <w:hyperlink w:history="1" r:id="rId30">
        <w:r w:rsidRPr="008C608F" w:rsidR="006A1AC2">
          <w:rPr>
            <w:b/>
            <w:i/>
            <w:color w:val="0000FF"/>
            <w:sz w:val="28"/>
            <w:u w:val="single"/>
          </w:rPr>
          <w:t>Социална интеграция на хората с увреждания и лицата с променена работоспособност</w:t>
        </w:r>
      </w:hyperlink>
    </w:p>
    <w:p w:rsidRPr="008C608F" w:rsidR="00C45BCC" w:rsidP="00700711" w:rsidRDefault="00C45BCC" w14:paraId="36D9E941" w14:textId="77777777">
      <w:pPr>
        <w:tabs>
          <w:tab w:val="center" w:pos="284"/>
        </w:tabs>
        <w:overflowPunct w:val="0"/>
        <w:autoSpaceDE w:val="0"/>
        <w:autoSpaceDN w:val="0"/>
        <w:adjustRightInd w:val="0"/>
        <w:ind w:left="266" w:hanging="266"/>
        <w:textAlignment w:val="baseline"/>
        <w:rPr>
          <w:b/>
          <w:lang w:val="en-GB"/>
        </w:rPr>
      </w:pPr>
    </w:p>
    <w:tbl>
      <w:tblPr>
        <w:tblW w:w="9072" w:type="dxa"/>
        <w:tblLook w:val="04A0" w:firstRow="1" w:lastRow="0" w:firstColumn="1" w:lastColumn="0" w:noHBand="0" w:noVBand="1"/>
      </w:tblPr>
      <w:tblGrid>
        <w:gridCol w:w="2376"/>
        <w:gridCol w:w="6696"/>
      </w:tblGrid>
      <w:tr w:rsidRPr="004175C7" w:rsidR="00700711" w:rsidTr="00261678" w14:paraId="3C9387ED" w14:textId="77777777">
        <w:tc>
          <w:tcPr>
            <w:tcW w:w="2376" w:type="dxa"/>
          </w:tcPr>
          <w:p w:rsidRPr="004175C7" w:rsidR="00700711" w:rsidP="00700711" w:rsidRDefault="00700711" w14:paraId="4E0600E8" w14:textId="6974EB9A">
            <w:pPr>
              <w:tabs>
                <w:tab w:val="center" w:pos="284"/>
              </w:tabs>
              <w:overflowPunct w:val="0"/>
              <w:autoSpaceDE w:val="0"/>
              <w:autoSpaceDN w:val="0"/>
              <w:adjustRightInd w:val="0"/>
              <w:ind w:left="266" w:hanging="266"/>
              <w:textAlignment w:val="baseline"/>
              <w:rPr>
                <w:b/>
              </w:rPr>
            </w:pPr>
            <w:r w:rsidRPr="008C608F">
              <w:rPr>
                <w:b/>
              </w:rPr>
              <w:t>Докладчик:</w:t>
            </w:r>
          </w:p>
        </w:tc>
        <w:tc>
          <w:tcPr>
            <w:tcW w:w="6696" w:type="dxa"/>
          </w:tcPr>
          <w:p w:rsidRPr="004175C7" w:rsidR="00700711" w:rsidP="00261678" w:rsidRDefault="00700711" w14:paraId="575D97C0" w14:textId="457F6403">
            <w:pPr>
              <w:overflowPunct w:val="0"/>
              <w:autoSpaceDE w:val="0"/>
              <w:autoSpaceDN w:val="0"/>
              <w:adjustRightInd w:val="0"/>
              <w:ind w:right="-529"/>
              <w:textAlignment w:val="baseline"/>
            </w:pPr>
            <w:r w:rsidRPr="008C608F">
              <w:t>Pietro Vittorio BARBIERI (група „Организации на гражданското общество“ — IT)</w:t>
            </w:r>
          </w:p>
        </w:tc>
      </w:tr>
      <w:tr w:rsidRPr="004175C7" w:rsidR="00700711" w:rsidTr="00B07E13" w14:paraId="5DBFE8F8" w14:textId="77777777">
        <w:tc>
          <w:tcPr>
            <w:tcW w:w="9072" w:type="dxa"/>
            <w:gridSpan w:val="2"/>
          </w:tcPr>
          <w:p w:rsidRPr="004175C7" w:rsidR="00700711" w:rsidP="00700711" w:rsidRDefault="00700711" w14:paraId="02D26D83"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4175C7" w:rsidR="00700711" w:rsidTr="00261678" w14:paraId="441A5471" w14:textId="77777777">
        <w:tc>
          <w:tcPr>
            <w:tcW w:w="2376" w:type="dxa"/>
            <w:vMerge w:val="restart"/>
          </w:tcPr>
          <w:p w:rsidRPr="004175C7" w:rsidR="00700711" w:rsidP="00700711" w:rsidRDefault="00700711" w14:paraId="26595CA5" w14:textId="432CA49A">
            <w:pPr>
              <w:tabs>
                <w:tab w:val="center" w:pos="284"/>
              </w:tabs>
              <w:overflowPunct w:val="0"/>
              <w:autoSpaceDE w:val="0"/>
              <w:autoSpaceDN w:val="0"/>
              <w:adjustRightInd w:val="0"/>
              <w:ind w:left="266" w:hanging="266"/>
              <w:textAlignment w:val="baseline"/>
              <w:rPr>
                <w:b/>
              </w:rPr>
            </w:pPr>
            <w:r w:rsidRPr="008C608F">
              <w:rPr>
                <w:b/>
              </w:rPr>
              <w:t xml:space="preserve">Отправни документи </w:t>
            </w:r>
          </w:p>
        </w:tc>
        <w:tc>
          <w:tcPr>
            <w:tcW w:w="6696" w:type="dxa"/>
          </w:tcPr>
          <w:p w:rsidRPr="004175C7" w:rsidR="00700711" w:rsidP="00B07E13" w:rsidRDefault="00700711" w14:paraId="4D43FBA9" w14:textId="17654F60">
            <w:pPr>
              <w:overflowPunct w:val="0"/>
              <w:autoSpaceDE w:val="0"/>
              <w:autoSpaceDN w:val="0"/>
              <w:adjustRightInd w:val="0"/>
              <w:ind w:left="33" w:hanging="33"/>
              <w:textAlignment w:val="baseline"/>
            </w:pPr>
            <w:r w:rsidRPr="008C608F">
              <w:t>Проучвателно становище по искане на унгарското председателство на Съвета на ЕС</w:t>
            </w:r>
          </w:p>
        </w:tc>
      </w:tr>
      <w:tr w:rsidRPr="008C608F" w:rsidR="00700711" w:rsidTr="00261678" w14:paraId="413353AF" w14:textId="77777777">
        <w:tc>
          <w:tcPr>
            <w:tcW w:w="2376" w:type="dxa"/>
            <w:vMerge/>
          </w:tcPr>
          <w:p w:rsidRPr="004175C7" w:rsidR="00700711" w:rsidP="00700711" w:rsidRDefault="00700711" w14:paraId="412648EB" w14:textId="77777777">
            <w:pPr>
              <w:tabs>
                <w:tab w:val="center" w:pos="284"/>
              </w:tabs>
              <w:overflowPunct w:val="0"/>
              <w:autoSpaceDE w:val="0"/>
              <w:autoSpaceDN w:val="0"/>
              <w:adjustRightInd w:val="0"/>
              <w:ind w:left="266" w:hanging="266"/>
              <w:textAlignment w:val="baseline"/>
              <w:rPr>
                <w:b/>
                <w:lang w:val="en-GB"/>
              </w:rPr>
            </w:pPr>
          </w:p>
        </w:tc>
        <w:tc>
          <w:tcPr>
            <w:tcW w:w="6696" w:type="dxa"/>
          </w:tcPr>
          <w:p w:rsidRPr="008C608F" w:rsidR="00700711" w:rsidP="00700711" w:rsidRDefault="00700711" w14:paraId="74C83F5A" w14:textId="22B375CC">
            <w:pPr>
              <w:tabs>
                <w:tab w:val="center" w:pos="284"/>
              </w:tabs>
              <w:overflowPunct w:val="0"/>
              <w:autoSpaceDE w:val="0"/>
              <w:autoSpaceDN w:val="0"/>
              <w:adjustRightInd w:val="0"/>
              <w:ind w:left="266" w:hanging="266"/>
              <w:textAlignment w:val="baseline"/>
            </w:pPr>
            <w:r w:rsidRPr="008C608F">
              <w:t>EESC-2024-01968-00-00-AC</w:t>
            </w:r>
          </w:p>
        </w:tc>
      </w:tr>
    </w:tbl>
    <w:p w:rsidRPr="008C608F" w:rsidR="00700711" w:rsidP="00700711" w:rsidRDefault="00700711" w14:paraId="691E414E" w14:textId="77777777">
      <w:pPr>
        <w:tabs>
          <w:tab w:val="center" w:pos="284"/>
        </w:tabs>
        <w:overflowPunct w:val="0"/>
        <w:autoSpaceDE w:val="0"/>
        <w:autoSpaceDN w:val="0"/>
        <w:adjustRightInd w:val="0"/>
        <w:ind w:left="266" w:hanging="266"/>
        <w:textAlignment w:val="baseline"/>
        <w:rPr>
          <w:lang w:val="en-GB"/>
        </w:rPr>
      </w:pPr>
    </w:p>
    <w:p w:rsidRPr="008C608F" w:rsidR="00700711" w:rsidP="00700711" w:rsidRDefault="00700711" w14:paraId="48BC3A48" w14:textId="59BAE262">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700711" w:rsidP="00700711" w:rsidRDefault="00700711" w14:paraId="7814BA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8C608F" w:rsidR="00700711" w:rsidP="00700711" w:rsidRDefault="00700711" w14:paraId="4E320253" w14:textId="77777777">
      <w:pPr>
        <w:overflowPunct w:val="0"/>
        <w:autoSpaceDE w:val="0"/>
        <w:autoSpaceDN w:val="0"/>
        <w:adjustRightInd w:val="0"/>
        <w:textAlignment w:val="baseline"/>
        <w:rPr>
          <w:bCs/>
          <w:iCs/>
        </w:rPr>
      </w:pPr>
      <w:r w:rsidRPr="008C608F">
        <w:t>ЕИСК:</w:t>
      </w:r>
    </w:p>
    <w:p w:rsidRPr="008C608F" w:rsidR="00700711" w:rsidP="00B07E13" w:rsidRDefault="00700711" w14:paraId="0409EC89"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изразява съжаление, че изключването от пазара на труда все още е широко разпространен проблем, който засяга особено жените с увреждания и хората с най-тежки увреждания, и счита, че решения като защитената заетост често водят до сегрегация;</w:t>
      </w:r>
    </w:p>
    <w:p w:rsidRPr="008C608F" w:rsidR="00700711" w:rsidP="00B07E13" w:rsidRDefault="00700711" w14:paraId="0BC3EAF6"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настоятелно призовава държавите членки да насърчават политики и мерки, които укрепват достъпа до отворения пазар на труда, както и Комисията да прилага съответните стратегически действия, предвидени в Пакета за заетостта на хората с увреждания;</w:t>
      </w:r>
    </w:p>
    <w:p w:rsidRPr="008C608F" w:rsidR="00700711" w:rsidP="00B07E13" w:rsidRDefault="00700711" w14:paraId="761992C4"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призовава държавите членки да засилят заетостта на хората с увреждания, например чрез съвместен фонд за разумни улеснения. Този фонд ще бъде финансиран от частни и публични работодатели, които не достигат наложените квоти;</w:t>
      </w:r>
    </w:p>
    <w:p w:rsidRPr="008C608F" w:rsidR="00700711" w:rsidP="00B07E13" w:rsidRDefault="00700711" w14:paraId="4E205A45"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счита, че насърчителните мерки, които могат да бъдат отнесени към държавните помощи, трябва да зависят от зачитането на правата на работника и да са в съответствие с указанията на КПХУ, на Комитета по заетостта към КПХУ и на Стратегията на ЕС за правата на хората с увреждания;</w:t>
      </w:r>
    </w:p>
    <w:p w:rsidRPr="008C608F" w:rsidR="00700711" w:rsidP="00B07E13" w:rsidRDefault="00700711" w14:paraId="4A33E6A7"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призовава сред положителните мерки за заетостта да се приемат стимули за самостоятелно предприемачество на хората с увреждания, както индивидуално, така и колективно;</w:t>
      </w:r>
    </w:p>
    <w:p w:rsidRPr="008C608F" w:rsidR="00700711" w:rsidP="00B07E13" w:rsidRDefault="00700711" w14:paraId="4424697D"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подкрепя приемането на единно и съгласувано законодателство и прилагане в сферата на разумните улеснения и разпространението на ръководството „Reasonable accommodation at work - Guidelines and good practices“ (Разумни улеснения на работното място – насоки и добри практики), което може да спомогне за повишаване на осведомеността и съответните умения;</w:t>
      </w:r>
    </w:p>
    <w:p w:rsidRPr="008C608F" w:rsidR="00700711" w:rsidP="00B07E13" w:rsidRDefault="00700711" w14:paraId="43EFAB90"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подчертава необходимостта от установяване на стандарти за откриване и сравняване на моделите, услугите и резултатите, активирани от националните служби по заетостта (ПСЗ) чрез сравнителен анализ, за идентифициране на добри практики въз основа на действителни данни и за насърчаване на взаимното обучение;</w:t>
      </w:r>
    </w:p>
    <w:p w:rsidRPr="008C608F" w:rsidR="00700711" w:rsidP="00B07E13" w:rsidRDefault="00700711" w14:paraId="5C959445" w14:textId="77777777">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настоятелно призовава за започване на специално събиране на количествени и качествени данни, които да бъдат полезни за очертаване на явлението и тенденциите;</w:t>
      </w:r>
    </w:p>
    <w:p w:rsidRPr="008C608F" w:rsidR="00700711" w:rsidP="00B07E13" w:rsidRDefault="00700711" w14:paraId="7165F68D" w14:textId="4543846F">
      <w:pPr>
        <w:widowControl w:val="0"/>
        <w:numPr>
          <w:ilvl w:val="0"/>
          <w:numId w:val="25"/>
        </w:numPr>
        <w:overflowPunct w:val="0"/>
        <w:autoSpaceDE w:val="0"/>
        <w:autoSpaceDN w:val="0"/>
        <w:adjustRightInd w:val="0"/>
        <w:spacing w:after="200" w:line="276" w:lineRule="auto"/>
        <w:ind w:left="567" w:hanging="567"/>
        <w:contextualSpacing/>
        <w:textAlignment w:val="baseline"/>
      </w:pPr>
      <w:r w:rsidRPr="008C608F">
        <w:t>обръща внимание на факта, че развитието на технологиите и изкуствения интелект може да подкрепи участието на хората с увреждания на отворения пазар; Комитетът настоятелно призовава за подкрепа на политиките, насочени към по-широко популяризиране на тези развития и към насърчаване на техния потенциал, достъпност и финансова достъпност.</w:t>
      </w:r>
    </w:p>
    <w:p w:rsidRPr="008C608F" w:rsidR="00412706" w:rsidP="00B07E13" w:rsidRDefault="00412706" w14:paraId="4A3C78DB" w14:textId="77777777">
      <w:pPr>
        <w:widowControl w:val="0"/>
        <w:overflowPunct w:val="0"/>
        <w:autoSpaceDE w:val="0"/>
        <w:autoSpaceDN w:val="0"/>
        <w:adjustRightInd w:val="0"/>
        <w:spacing w:after="200" w:line="276" w:lineRule="auto"/>
        <w:ind w:left="927"/>
        <w:contextualSpacing/>
        <w:textAlignment w:val="baseline"/>
        <w:rPr>
          <w:lang w:val="en-GB" w:eastAsia="zh-CN"/>
        </w:rPr>
      </w:pPr>
    </w:p>
    <w:tbl>
      <w:tblPr>
        <w:tblW w:w="0" w:type="auto"/>
        <w:tblLook w:val="04A0" w:firstRow="1" w:lastRow="0" w:firstColumn="1" w:lastColumn="0" w:noHBand="0" w:noVBand="1"/>
      </w:tblPr>
      <w:tblGrid>
        <w:gridCol w:w="2093"/>
        <w:gridCol w:w="3756"/>
      </w:tblGrid>
      <w:tr w:rsidRPr="004175C7" w:rsidR="004175C7" w:rsidTr="00261678" w14:paraId="1CEFFA18" w14:textId="77777777">
        <w:tc>
          <w:tcPr>
            <w:tcW w:w="2093" w:type="dxa"/>
          </w:tcPr>
          <w:p w:rsidRPr="004175C7" w:rsidR="004175C7" w:rsidP="00261678" w:rsidRDefault="004175C7" w14:paraId="6FB0771B" w14:textId="718BAA2E">
            <w:pPr>
              <w:keepNext/>
              <w:overflowPunct w:val="0"/>
              <w:autoSpaceDE w:val="0"/>
              <w:autoSpaceDN w:val="0"/>
              <w:adjustRightInd w:val="0"/>
              <w:spacing w:line="240" w:lineRule="auto"/>
              <w:textAlignment w:val="baseline"/>
              <w:rPr>
                <w:i/>
              </w:rPr>
            </w:pPr>
            <w:r w:rsidRPr="008C608F">
              <w:rPr>
                <w:b/>
                <w:i/>
              </w:rPr>
              <w:lastRenderedPageBreak/>
              <w:t>За връзка:</w:t>
            </w:r>
          </w:p>
        </w:tc>
        <w:tc>
          <w:tcPr>
            <w:tcW w:w="3756" w:type="dxa"/>
          </w:tcPr>
          <w:p w:rsidRPr="004175C7" w:rsidR="004175C7" w:rsidP="00261678" w:rsidRDefault="004175C7" w14:paraId="384728AB" w14:textId="2FAD3FEF">
            <w:pPr>
              <w:keepNext/>
              <w:overflowPunct w:val="0"/>
              <w:autoSpaceDE w:val="0"/>
              <w:autoSpaceDN w:val="0"/>
              <w:adjustRightInd w:val="0"/>
              <w:spacing w:line="240" w:lineRule="auto"/>
              <w:textAlignment w:val="baseline"/>
              <w:rPr>
                <w:i/>
              </w:rPr>
            </w:pPr>
            <w:r w:rsidRPr="008C608F">
              <w:rPr>
                <w:i/>
              </w:rPr>
              <w:t>Valeria Atzori</w:t>
            </w:r>
          </w:p>
        </w:tc>
      </w:tr>
      <w:tr w:rsidRPr="004175C7" w:rsidR="004175C7" w:rsidTr="00261678" w14:paraId="62D78CCA" w14:textId="77777777">
        <w:tc>
          <w:tcPr>
            <w:tcW w:w="2093" w:type="dxa"/>
          </w:tcPr>
          <w:p w:rsidRPr="004175C7" w:rsidR="004175C7" w:rsidP="00700711" w:rsidRDefault="004175C7" w14:paraId="3D5A399E" w14:textId="160CAC16">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756" w:type="dxa"/>
          </w:tcPr>
          <w:p w:rsidRPr="004175C7" w:rsidR="004175C7" w:rsidP="00700711" w:rsidRDefault="004175C7" w14:paraId="33DA901E" w14:textId="77777777">
            <w:pPr>
              <w:overflowPunct w:val="0"/>
              <w:autoSpaceDE w:val="0"/>
              <w:autoSpaceDN w:val="0"/>
              <w:adjustRightInd w:val="0"/>
              <w:spacing w:line="240" w:lineRule="auto"/>
              <w:textAlignment w:val="baseline"/>
              <w:rPr>
                <w:i/>
              </w:rPr>
            </w:pPr>
            <w:r w:rsidRPr="008C608F">
              <w:rPr>
                <w:i/>
              </w:rPr>
              <w:t>+32 25468774</w:t>
            </w:r>
          </w:p>
        </w:tc>
      </w:tr>
      <w:tr w:rsidRPr="008C608F" w:rsidR="004175C7" w:rsidTr="00261678" w14:paraId="1D0F665E" w14:textId="77777777">
        <w:tc>
          <w:tcPr>
            <w:tcW w:w="2093" w:type="dxa"/>
          </w:tcPr>
          <w:p w:rsidRPr="004175C7" w:rsidR="004175C7" w:rsidP="00700711" w:rsidRDefault="004175C7" w14:paraId="0240FC93" w14:textId="508EE70E">
            <w:pPr>
              <w:overflowPunct w:val="0"/>
              <w:autoSpaceDE w:val="0"/>
              <w:autoSpaceDN w:val="0"/>
              <w:adjustRightInd w:val="0"/>
              <w:spacing w:line="240" w:lineRule="auto"/>
              <w:textAlignment w:val="baseline"/>
              <w:rPr>
                <w:i/>
              </w:rPr>
            </w:pPr>
            <w:r w:rsidRPr="008C608F">
              <w:rPr>
                <w:i/>
              </w:rPr>
              <w:t>Електронен адрес:</w:t>
            </w:r>
          </w:p>
        </w:tc>
        <w:tc>
          <w:tcPr>
            <w:tcW w:w="3756" w:type="dxa"/>
          </w:tcPr>
          <w:p w:rsidRPr="008C608F" w:rsidR="004175C7" w:rsidP="00700711" w:rsidRDefault="00257091" w14:paraId="61CD53A9" w14:textId="77777777">
            <w:pPr>
              <w:overflowPunct w:val="0"/>
              <w:autoSpaceDE w:val="0"/>
              <w:autoSpaceDN w:val="0"/>
              <w:adjustRightInd w:val="0"/>
              <w:spacing w:line="240" w:lineRule="auto"/>
              <w:textAlignment w:val="baseline"/>
              <w:rPr>
                <w:i/>
                <w:iCs/>
              </w:rPr>
            </w:pPr>
            <w:hyperlink w:history="1" r:id="rId31">
              <w:r w:rsidRPr="008C608F" w:rsidR="004175C7">
                <w:rPr>
                  <w:i/>
                  <w:color w:val="0000FF"/>
                  <w:u w:val="single"/>
                </w:rPr>
                <w:t>Valeria.Atzori@eesc.europa.eu</w:t>
              </w:r>
            </w:hyperlink>
          </w:p>
        </w:tc>
      </w:tr>
    </w:tbl>
    <w:p w:rsidRPr="008C608F" w:rsidR="00700711" w:rsidRDefault="00700711" w14:paraId="4982DDC3" w14:textId="21826ABB">
      <w:pPr>
        <w:spacing w:after="160" w:line="259" w:lineRule="auto"/>
        <w:jc w:val="left"/>
      </w:pPr>
      <w:r w:rsidRPr="008C608F">
        <w:br w:type="page"/>
      </w:r>
    </w:p>
    <w:p w:rsidRPr="008C608F" w:rsidR="000311D9" w:rsidP="000311D9" w:rsidRDefault="00257091" w14:paraId="65E1ABFE" w14:textId="1542EC50">
      <w:pPr>
        <w:widowControl w:val="0"/>
        <w:numPr>
          <w:ilvl w:val="0"/>
          <w:numId w:val="11"/>
        </w:numPr>
        <w:overflowPunct w:val="0"/>
        <w:autoSpaceDE w:val="0"/>
        <w:autoSpaceDN w:val="0"/>
        <w:adjustRightInd w:val="0"/>
        <w:ind w:left="567" w:hanging="567"/>
        <w:textAlignment w:val="baseline"/>
      </w:pPr>
      <w:hyperlink w:history="1" r:id="rId32">
        <w:r w:rsidRPr="008C608F" w:rsidR="006A1AC2">
          <w:rPr>
            <w:b/>
            <w:i/>
            <w:color w:val="0000FF"/>
            <w:sz w:val="28"/>
            <w:u w:val="single"/>
          </w:rPr>
          <w:t>Въздействието на демографията върху социална Европа</w:t>
        </w:r>
      </w:hyperlink>
    </w:p>
    <w:p w:rsidRPr="008C608F" w:rsidR="000311D9" w:rsidP="000311D9" w:rsidRDefault="000311D9" w14:paraId="1D901A59" w14:textId="77777777">
      <w:pPr>
        <w:tabs>
          <w:tab w:val="center" w:pos="284"/>
        </w:tabs>
        <w:overflowPunct w:val="0"/>
        <w:autoSpaceDE w:val="0"/>
        <w:autoSpaceDN w:val="0"/>
        <w:adjustRightInd w:val="0"/>
        <w:ind w:left="567" w:hanging="567"/>
        <w:textAlignment w:val="baseline"/>
        <w:rPr>
          <w:sz w:val="16"/>
          <w:szCs w:val="16"/>
          <w:lang w:val="pt-PT"/>
        </w:rPr>
      </w:pPr>
    </w:p>
    <w:tbl>
      <w:tblPr>
        <w:tblW w:w="0" w:type="auto"/>
        <w:tblLook w:val="04A0" w:firstRow="1" w:lastRow="0" w:firstColumn="1" w:lastColumn="0" w:noHBand="0" w:noVBand="1"/>
      </w:tblPr>
      <w:tblGrid>
        <w:gridCol w:w="2376"/>
        <w:gridCol w:w="4995"/>
      </w:tblGrid>
      <w:tr w:rsidRPr="004175C7" w:rsidR="000311D9" w:rsidTr="00261678" w14:paraId="1CFBCD56" w14:textId="77777777">
        <w:tc>
          <w:tcPr>
            <w:tcW w:w="2376" w:type="dxa"/>
          </w:tcPr>
          <w:p w:rsidRPr="004175C7" w:rsidR="000311D9" w:rsidP="000311D9" w:rsidRDefault="000311D9" w14:paraId="538C407F" w14:textId="437085F0">
            <w:pPr>
              <w:tabs>
                <w:tab w:val="center" w:pos="284"/>
              </w:tabs>
              <w:overflowPunct w:val="0"/>
              <w:autoSpaceDE w:val="0"/>
              <w:autoSpaceDN w:val="0"/>
              <w:adjustRightInd w:val="0"/>
              <w:ind w:left="567" w:hanging="567"/>
              <w:textAlignment w:val="baseline"/>
              <w:rPr>
                <w:b/>
              </w:rPr>
            </w:pPr>
            <w:r w:rsidRPr="008C608F">
              <w:rPr>
                <w:b/>
              </w:rPr>
              <w:t>Докладчик:</w:t>
            </w:r>
          </w:p>
        </w:tc>
        <w:tc>
          <w:tcPr>
            <w:tcW w:w="4995" w:type="dxa"/>
          </w:tcPr>
          <w:p w:rsidRPr="004175C7" w:rsidR="000311D9" w:rsidP="00B07E13" w:rsidRDefault="000311D9" w14:paraId="1537E93F" w14:textId="4ECF2FF6">
            <w:pPr>
              <w:overflowPunct w:val="0"/>
              <w:autoSpaceDE w:val="0"/>
              <w:autoSpaceDN w:val="0"/>
              <w:adjustRightInd w:val="0"/>
              <w:ind w:left="567" w:hanging="567"/>
              <w:textAlignment w:val="baseline"/>
            </w:pPr>
            <w:r w:rsidRPr="008C608F">
              <w:t>Christa SCHWENG (Група „Работодатели“ — AT)</w:t>
            </w:r>
          </w:p>
        </w:tc>
      </w:tr>
      <w:tr w:rsidRPr="008C608F" w:rsidR="000311D9" w:rsidTr="00261678" w14:paraId="1EDC6D2B" w14:textId="77777777">
        <w:tc>
          <w:tcPr>
            <w:tcW w:w="2376" w:type="dxa"/>
          </w:tcPr>
          <w:p w:rsidRPr="004175C7" w:rsidR="000311D9" w:rsidP="000311D9" w:rsidRDefault="000311D9" w14:paraId="03011F9B" w14:textId="77777777">
            <w:pPr>
              <w:tabs>
                <w:tab w:val="center" w:pos="284"/>
              </w:tabs>
              <w:overflowPunct w:val="0"/>
              <w:autoSpaceDE w:val="0"/>
              <w:autoSpaceDN w:val="0"/>
              <w:adjustRightInd w:val="0"/>
              <w:ind w:left="567" w:hanging="567"/>
              <w:textAlignment w:val="baseline"/>
              <w:rPr>
                <w:b/>
              </w:rPr>
            </w:pPr>
            <w:r w:rsidRPr="008C608F">
              <w:rPr>
                <w:b/>
              </w:rPr>
              <w:t>Отправeн документ</w:t>
            </w:r>
          </w:p>
        </w:tc>
        <w:tc>
          <w:tcPr>
            <w:tcW w:w="4995" w:type="dxa"/>
          </w:tcPr>
          <w:p w:rsidRPr="008C608F" w:rsidR="00852A88" w:rsidP="000311D9" w:rsidRDefault="00852A88" w14:paraId="1D480DF9" w14:textId="4C27EB35">
            <w:pPr>
              <w:tabs>
                <w:tab w:val="center" w:pos="284"/>
              </w:tabs>
              <w:overflowPunct w:val="0"/>
              <w:autoSpaceDE w:val="0"/>
              <w:autoSpaceDN w:val="0"/>
              <w:adjustRightInd w:val="0"/>
              <w:ind w:left="567" w:hanging="567"/>
              <w:textAlignment w:val="baseline"/>
            </w:pPr>
            <w:r w:rsidRPr="008C608F">
              <w:t>Становище по собствена инициатива</w:t>
            </w:r>
          </w:p>
          <w:p w:rsidRPr="008C608F" w:rsidR="000311D9" w:rsidP="000311D9" w:rsidRDefault="000311D9" w14:paraId="5D263C19" w14:textId="7D6FE028">
            <w:pPr>
              <w:tabs>
                <w:tab w:val="center" w:pos="284"/>
              </w:tabs>
              <w:overflowPunct w:val="0"/>
              <w:autoSpaceDE w:val="0"/>
              <w:autoSpaceDN w:val="0"/>
              <w:adjustRightInd w:val="0"/>
              <w:ind w:left="567" w:hanging="567"/>
              <w:textAlignment w:val="baseline"/>
            </w:pPr>
            <w:r w:rsidRPr="008C608F">
              <w:t>EESC-2024-00523-00-00-AC</w:t>
            </w:r>
          </w:p>
        </w:tc>
      </w:tr>
    </w:tbl>
    <w:p w:rsidRPr="008C608F" w:rsidR="00AB6CDB" w:rsidP="000311D9" w:rsidRDefault="00AB6CDB" w14:paraId="4613CC74"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0311D9" w:rsidP="000311D9" w:rsidRDefault="000311D9" w14:paraId="7FFE6034" w14:textId="3DA38AE2">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0311D9" w:rsidP="000311D9" w:rsidRDefault="000311D9" w14:paraId="5CBDB97A" w14:textId="77777777">
      <w:pPr>
        <w:overflowPunct w:val="0"/>
        <w:autoSpaceDE w:val="0"/>
        <w:autoSpaceDN w:val="0"/>
        <w:adjustRightInd w:val="0"/>
        <w:textAlignment w:val="baseline"/>
        <w:rPr>
          <w:szCs w:val="20"/>
          <w:lang w:val="en-GB"/>
        </w:rPr>
      </w:pPr>
    </w:p>
    <w:p w:rsidRPr="008C608F" w:rsidR="000311D9" w:rsidP="000311D9" w:rsidRDefault="000311D9" w14:paraId="758170A2" w14:textId="77777777">
      <w:pPr>
        <w:overflowPunct w:val="0"/>
        <w:autoSpaceDE w:val="0"/>
        <w:autoSpaceDN w:val="0"/>
        <w:adjustRightInd w:val="0"/>
        <w:textAlignment w:val="baseline"/>
        <w:rPr>
          <w:szCs w:val="20"/>
        </w:rPr>
      </w:pPr>
      <w:r w:rsidRPr="008C608F">
        <w:t>ЕИСК:</w:t>
      </w:r>
    </w:p>
    <w:p w:rsidRPr="008C608F" w:rsidR="000311D9" w:rsidP="00B07E13" w:rsidRDefault="000311D9" w14:paraId="51F73C16" w14:textId="47F75F08">
      <w:pPr>
        <w:numPr>
          <w:ilvl w:val="0"/>
          <w:numId w:val="26"/>
        </w:numPr>
        <w:overflowPunct w:val="0"/>
        <w:autoSpaceDE w:val="0"/>
        <w:autoSpaceDN w:val="0"/>
        <w:adjustRightInd w:val="0"/>
        <w:spacing w:line="276" w:lineRule="auto"/>
        <w:ind w:left="567" w:hanging="567"/>
        <w:textAlignment w:val="baseline"/>
        <w:outlineLvl w:val="1"/>
        <w:rPr>
          <w:szCs w:val="20"/>
        </w:rPr>
      </w:pPr>
      <w:bookmarkStart w:name="_Toc178009568" w:id="30"/>
      <w:bookmarkStart w:name="_Toc179362850" w:id="31"/>
      <w:r w:rsidRPr="008C608F">
        <w:t xml:space="preserve">разглежда </w:t>
      </w:r>
      <w:r w:rsidRPr="008C608F">
        <w:rPr>
          <w:b/>
        </w:rPr>
        <w:t>демографските тенденции</w:t>
      </w:r>
      <w:r w:rsidRPr="008C608F">
        <w:t xml:space="preserve"> като </w:t>
      </w:r>
      <w:r w:rsidRPr="008C608F">
        <w:rPr>
          <w:b/>
        </w:rPr>
        <w:t>още едно трансформиращо предизвикателство за европейското общество</w:t>
      </w:r>
      <w:r w:rsidRPr="008C608F">
        <w:t xml:space="preserve"> наред с цифровата и екологичната трансформация;</w:t>
      </w:r>
      <w:bookmarkEnd w:id="30"/>
      <w:bookmarkEnd w:id="31"/>
    </w:p>
    <w:p w:rsidRPr="008C608F" w:rsidR="000311D9" w:rsidP="00B07E13" w:rsidRDefault="000311D9" w14:paraId="7AD5B6DA" w14:textId="7805A386">
      <w:pPr>
        <w:numPr>
          <w:ilvl w:val="0"/>
          <w:numId w:val="26"/>
        </w:numPr>
        <w:overflowPunct w:val="0"/>
        <w:autoSpaceDE w:val="0"/>
        <w:autoSpaceDN w:val="0"/>
        <w:adjustRightInd w:val="0"/>
        <w:spacing w:line="276" w:lineRule="auto"/>
        <w:ind w:left="567" w:hanging="567"/>
        <w:textAlignment w:val="baseline"/>
        <w:outlineLvl w:val="1"/>
        <w:rPr>
          <w:szCs w:val="20"/>
        </w:rPr>
      </w:pPr>
      <w:bookmarkStart w:name="_Toc178009569" w:id="32"/>
      <w:bookmarkStart w:name="_Toc179362851" w:id="33"/>
      <w:r w:rsidRPr="008C608F">
        <w:t xml:space="preserve">отбелязва, че през последните десетилетия Европейският съюз постигна </w:t>
      </w:r>
      <w:r w:rsidRPr="008C608F">
        <w:rPr>
          <w:b/>
        </w:rPr>
        <w:t>голяма продължителност на живота, високо равнище на образование и просперитет</w:t>
      </w:r>
      <w:r w:rsidRPr="008C608F">
        <w:t xml:space="preserve"> и </w:t>
      </w:r>
      <w:r w:rsidRPr="008C608F">
        <w:rPr>
          <w:b/>
        </w:rPr>
        <w:t>добро равнище на здраве в повечето, макар и не във всички региони</w:t>
      </w:r>
      <w:r w:rsidRPr="008C608F">
        <w:t xml:space="preserve">. </w:t>
      </w:r>
      <w:r w:rsidRPr="008C608F">
        <w:rPr>
          <w:b/>
        </w:rPr>
        <w:t>Всички държави членки</w:t>
      </w:r>
      <w:r w:rsidRPr="008C608F">
        <w:t xml:space="preserve"> обаче са изправени пред </w:t>
      </w:r>
      <w:r w:rsidRPr="008C608F">
        <w:rPr>
          <w:b/>
        </w:rPr>
        <w:t>множество демографски предизвикателства</w:t>
      </w:r>
      <w:r w:rsidRPr="008C608F">
        <w:t xml:space="preserve"> като </w:t>
      </w:r>
      <w:r w:rsidRPr="008C608F">
        <w:rPr>
          <w:b/>
        </w:rPr>
        <w:t>намаляване на населението</w:t>
      </w:r>
      <w:r w:rsidRPr="008C608F">
        <w:t xml:space="preserve">, </w:t>
      </w:r>
      <w:r w:rsidRPr="008C608F">
        <w:rPr>
          <w:b/>
        </w:rPr>
        <w:t>ниска раждаемост</w:t>
      </w:r>
      <w:r w:rsidRPr="008C608F">
        <w:t xml:space="preserve"> и </w:t>
      </w:r>
      <w:r w:rsidRPr="008C608F">
        <w:rPr>
          <w:b/>
        </w:rPr>
        <w:t>нарастващ дисбаланс между възрастовите групи и регионите</w:t>
      </w:r>
      <w:r w:rsidRPr="008C608F">
        <w:t>; тези предизвикателства изискват мерки;</w:t>
      </w:r>
      <w:bookmarkEnd w:id="32"/>
      <w:bookmarkEnd w:id="33"/>
    </w:p>
    <w:p w:rsidRPr="008C608F" w:rsidR="000311D9" w:rsidP="00B07E13" w:rsidRDefault="000311D9" w14:paraId="431458D6" w14:textId="0B5F41EC">
      <w:pPr>
        <w:numPr>
          <w:ilvl w:val="0"/>
          <w:numId w:val="26"/>
        </w:numPr>
        <w:overflowPunct w:val="0"/>
        <w:autoSpaceDE w:val="0"/>
        <w:autoSpaceDN w:val="0"/>
        <w:adjustRightInd w:val="0"/>
        <w:spacing w:line="276" w:lineRule="auto"/>
        <w:ind w:left="567" w:hanging="567"/>
        <w:textAlignment w:val="baseline"/>
        <w:outlineLvl w:val="1"/>
        <w:rPr>
          <w:szCs w:val="20"/>
        </w:rPr>
      </w:pPr>
      <w:bookmarkStart w:name="_Toc178009570" w:id="34"/>
      <w:bookmarkStart w:name="_Toc179362852" w:id="35"/>
      <w:r w:rsidRPr="008C608F">
        <w:t xml:space="preserve">посочва, че </w:t>
      </w:r>
      <w:r w:rsidRPr="008C608F">
        <w:rPr>
          <w:b/>
        </w:rPr>
        <w:t>демографските промени оказват влияние върху пазарите на труда, пенсионните системи</w:t>
      </w:r>
      <w:r w:rsidRPr="008C608F">
        <w:t xml:space="preserve"> и </w:t>
      </w:r>
      <w:r w:rsidRPr="008C608F">
        <w:rPr>
          <w:b/>
        </w:rPr>
        <w:t>системите за социална закрила</w:t>
      </w:r>
      <w:r w:rsidRPr="008C608F">
        <w:t xml:space="preserve">, както и върху </w:t>
      </w:r>
      <w:r w:rsidRPr="008C608F">
        <w:rPr>
          <w:b/>
        </w:rPr>
        <w:t>геополитическата позиция на Европа</w:t>
      </w:r>
      <w:r w:rsidRPr="008C608F">
        <w:t xml:space="preserve"> в света;</w:t>
      </w:r>
      <w:bookmarkEnd w:id="34"/>
      <w:bookmarkEnd w:id="35"/>
    </w:p>
    <w:p w:rsidRPr="008C608F" w:rsidR="000311D9" w:rsidP="00B07E13" w:rsidRDefault="000311D9" w14:paraId="7DC6171B" w14:textId="6070A01F">
      <w:pPr>
        <w:numPr>
          <w:ilvl w:val="0"/>
          <w:numId w:val="26"/>
        </w:numPr>
        <w:overflowPunct w:val="0"/>
        <w:autoSpaceDE w:val="0"/>
        <w:autoSpaceDN w:val="0"/>
        <w:adjustRightInd w:val="0"/>
        <w:spacing w:line="276" w:lineRule="auto"/>
        <w:ind w:left="567" w:hanging="567"/>
        <w:textAlignment w:val="baseline"/>
        <w:outlineLvl w:val="1"/>
        <w:rPr>
          <w:szCs w:val="20"/>
        </w:rPr>
      </w:pPr>
      <w:bookmarkStart w:name="_Toc178009571" w:id="36"/>
      <w:bookmarkStart w:name="_Toc179362853" w:id="37"/>
      <w:r w:rsidRPr="008C608F">
        <w:t xml:space="preserve">отбелязва, че едно </w:t>
      </w:r>
      <w:r w:rsidRPr="008C608F">
        <w:rPr>
          <w:b/>
        </w:rPr>
        <w:t>застаряващо</w:t>
      </w:r>
      <w:r w:rsidRPr="008C608F">
        <w:t xml:space="preserve"> </w:t>
      </w:r>
      <w:r w:rsidRPr="008C608F">
        <w:rPr>
          <w:b/>
        </w:rPr>
        <w:t>общество</w:t>
      </w:r>
      <w:r w:rsidRPr="008C608F">
        <w:t xml:space="preserve"> е изправено пред </w:t>
      </w:r>
      <w:r w:rsidRPr="008C608F">
        <w:rPr>
          <w:b/>
        </w:rPr>
        <w:t>различни предизвикателства</w:t>
      </w:r>
      <w:r w:rsidRPr="008C608F">
        <w:t xml:space="preserve"> в сравнение с общество с по-балансирано разпределение на хората по възраст. Зачитането на правото на достойно остаряване, наред с </w:t>
      </w:r>
      <w:r w:rsidRPr="008C608F">
        <w:rPr>
          <w:b/>
        </w:rPr>
        <w:t>подхода, основан на жизнения цикъл</w:t>
      </w:r>
      <w:r w:rsidRPr="008C608F">
        <w:t xml:space="preserve">, са </w:t>
      </w:r>
      <w:r w:rsidRPr="008C608F">
        <w:rPr>
          <w:b/>
        </w:rPr>
        <w:t>от съществено значение</w:t>
      </w:r>
      <w:r w:rsidRPr="008C608F">
        <w:t xml:space="preserve"> за справяне с тези предизвикателства;</w:t>
      </w:r>
      <w:bookmarkEnd w:id="36"/>
      <w:bookmarkEnd w:id="37"/>
    </w:p>
    <w:p w:rsidRPr="008C608F" w:rsidR="000311D9" w:rsidP="00B07E13" w:rsidRDefault="000311D9" w14:paraId="22109E40" w14:textId="5BBBB79A">
      <w:pPr>
        <w:numPr>
          <w:ilvl w:val="0"/>
          <w:numId w:val="26"/>
        </w:numPr>
        <w:overflowPunct w:val="0"/>
        <w:autoSpaceDE w:val="0"/>
        <w:autoSpaceDN w:val="0"/>
        <w:adjustRightInd w:val="0"/>
        <w:spacing w:line="276" w:lineRule="auto"/>
        <w:ind w:left="567" w:hanging="567"/>
        <w:textAlignment w:val="baseline"/>
        <w:outlineLvl w:val="1"/>
        <w:rPr>
          <w:szCs w:val="20"/>
        </w:rPr>
      </w:pPr>
      <w:bookmarkStart w:name="_Toc178009572" w:id="38"/>
      <w:bookmarkStart w:name="_Toc179362854" w:id="39"/>
      <w:r w:rsidRPr="008C608F">
        <w:t xml:space="preserve">отправя </w:t>
      </w:r>
      <w:r w:rsidRPr="008C608F">
        <w:rPr>
          <w:b/>
        </w:rPr>
        <w:t>предложения</w:t>
      </w:r>
      <w:r w:rsidRPr="008C608F">
        <w:t xml:space="preserve"> за постигане на </w:t>
      </w:r>
      <w:r w:rsidRPr="008C608F">
        <w:rPr>
          <w:b/>
        </w:rPr>
        <w:t>по-устойчиво развитие на обществото</w:t>
      </w:r>
      <w:r w:rsidRPr="008C608F">
        <w:t xml:space="preserve">, които включват: </w:t>
      </w:r>
      <w:r w:rsidRPr="008C608F">
        <w:rPr>
          <w:b/>
        </w:rPr>
        <w:t>стремеж към по-висока раждаемост, използване на пълния потенциал на пазара на труда, повишаване на финансовата</w:t>
      </w:r>
      <w:r w:rsidRPr="008C608F">
        <w:t xml:space="preserve"> </w:t>
      </w:r>
      <w:r w:rsidRPr="008C608F">
        <w:rPr>
          <w:b/>
        </w:rPr>
        <w:t xml:space="preserve">привлекателност на труда </w:t>
      </w:r>
      <w:r w:rsidRPr="008C608F">
        <w:t>чрез създаване на висококачествени</w:t>
      </w:r>
      <w:r w:rsidRPr="008C608F">
        <w:rPr>
          <w:b/>
        </w:rPr>
        <w:t xml:space="preserve">, </w:t>
      </w:r>
      <w:r w:rsidRPr="008C608F">
        <w:t xml:space="preserve">добре платени и продуктивни работни места, </w:t>
      </w:r>
      <w:r w:rsidRPr="008C608F">
        <w:rPr>
          <w:b/>
        </w:rPr>
        <w:t>подобряване на условията на труд, реформиране на</w:t>
      </w:r>
      <w:r w:rsidRPr="008C608F">
        <w:t xml:space="preserve"> </w:t>
      </w:r>
      <w:r w:rsidRPr="008C608F">
        <w:rPr>
          <w:b/>
        </w:rPr>
        <w:t>пенсионните системи и системите за полагане на грижи</w:t>
      </w:r>
      <w:r w:rsidRPr="008C608F">
        <w:t xml:space="preserve">, така че те да бъдат достъпни за всички, </w:t>
      </w:r>
      <w:r w:rsidRPr="008C608F">
        <w:rPr>
          <w:b/>
        </w:rPr>
        <w:t>укрепване на пътищата за легална миграция</w:t>
      </w:r>
      <w:r w:rsidRPr="008C608F">
        <w:t xml:space="preserve">, с цел привличане по-специално на чуждестранни таланти, като това се подкрепя от смели мерки за интеграция, </w:t>
      </w:r>
      <w:r w:rsidRPr="008C608F">
        <w:rPr>
          <w:b/>
        </w:rPr>
        <w:t>работа за по-голямо регионално и социално сближаване</w:t>
      </w:r>
      <w:r w:rsidRPr="008C608F">
        <w:t xml:space="preserve"> и анализ на факторите, които карат хората да напускат ЕС;</w:t>
      </w:r>
      <w:bookmarkEnd w:id="38"/>
      <w:bookmarkEnd w:id="39"/>
    </w:p>
    <w:p w:rsidRPr="008C608F" w:rsidR="000311D9" w:rsidP="00B07E13" w:rsidRDefault="000311D9" w14:paraId="7293C63A" w14:textId="77777777">
      <w:pPr>
        <w:numPr>
          <w:ilvl w:val="0"/>
          <w:numId w:val="26"/>
        </w:numPr>
        <w:overflowPunct w:val="0"/>
        <w:autoSpaceDE w:val="0"/>
        <w:autoSpaceDN w:val="0"/>
        <w:adjustRightInd w:val="0"/>
        <w:spacing w:line="276" w:lineRule="auto"/>
        <w:ind w:left="567" w:hanging="567"/>
        <w:textAlignment w:val="baseline"/>
        <w:outlineLvl w:val="1"/>
        <w:rPr>
          <w:szCs w:val="20"/>
        </w:rPr>
      </w:pPr>
      <w:bookmarkStart w:name="_Toc178009573" w:id="40"/>
      <w:bookmarkStart w:name="_Toc179362855" w:id="41"/>
      <w:r w:rsidRPr="008C608F">
        <w:t xml:space="preserve">препоръчва също така </w:t>
      </w:r>
      <w:r w:rsidRPr="008C608F">
        <w:rPr>
          <w:b/>
        </w:rPr>
        <w:t>европейският комисар, отговарящ за демографските въпроси</w:t>
      </w:r>
      <w:r w:rsidRPr="008C608F">
        <w:t xml:space="preserve">, да бъде подкрепен от подходяща структура в рамките на Европейската комисия и </w:t>
      </w:r>
      <w:r w:rsidRPr="008C608F">
        <w:rPr>
          <w:b/>
        </w:rPr>
        <w:t>да се създаде Европейска агенция по демографските въпроси</w:t>
      </w:r>
      <w:r w:rsidRPr="008C608F">
        <w:t xml:space="preserve">, която да осигурява научни изследвания и статистика в тази област, като същевременно осигурява </w:t>
      </w:r>
      <w:r w:rsidRPr="008C608F">
        <w:rPr>
          <w:b/>
        </w:rPr>
        <w:t>сътрудничеството със</w:t>
      </w:r>
      <w:r w:rsidRPr="008C608F">
        <w:t xml:space="preserve"> съществуващите агенции като </w:t>
      </w:r>
      <w:r w:rsidRPr="008C608F">
        <w:rPr>
          <w:b/>
        </w:rPr>
        <w:t>Cedefop</w:t>
      </w:r>
      <w:r w:rsidRPr="008C608F">
        <w:t xml:space="preserve"> и </w:t>
      </w:r>
      <w:r w:rsidRPr="008C608F">
        <w:rPr>
          <w:b/>
        </w:rPr>
        <w:t>Eurofound</w:t>
      </w:r>
      <w:r w:rsidRPr="008C608F">
        <w:t xml:space="preserve"> и </w:t>
      </w:r>
      <w:r w:rsidRPr="008C608F">
        <w:rPr>
          <w:b/>
        </w:rPr>
        <w:t>достатъчно финансиране</w:t>
      </w:r>
      <w:r w:rsidRPr="008C608F">
        <w:t xml:space="preserve"> за тях. Това би </w:t>
      </w:r>
      <w:r w:rsidRPr="008C608F">
        <w:rPr>
          <w:b/>
        </w:rPr>
        <w:t>улеснило включването на съображения, свързани с демографията,</w:t>
      </w:r>
      <w:r w:rsidRPr="008C608F">
        <w:t xml:space="preserve"> във </w:t>
      </w:r>
      <w:r w:rsidRPr="008C608F">
        <w:rPr>
          <w:b/>
        </w:rPr>
        <w:t>всички области на политика и оценки на въздействието, които имат отношение към този въпрос</w:t>
      </w:r>
      <w:r w:rsidRPr="008C608F">
        <w:t>.</w:t>
      </w:r>
      <w:bookmarkEnd w:id="40"/>
      <w:bookmarkEnd w:id="41"/>
    </w:p>
    <w:p w:rsidRPr="008C608F" w:rsidR="000311D9" w:rsidP="00261678" w:rsidRDefault="000311D9" w14:paraId="2A289C21" w14:textId="77777777">
      <w:pPr>
        <w:overflowPunct w:val="0"/>
        <w:autoSpaceDE w:val="0"/>
        <w:autoSpaceDN w:val="0"/>
        <w:adjustRightInd w:val="0"/>
        <w:spacing w:line="240" w:lineRule="auto"/>
        <w:textAlignment w:val="baseline"/>
        <w:rPr>
          <w:lang w:val="en-GB"/>
        </w:rPr>
      </w:pPr>
    </w:p>
    <w:tbl>
      <w:tblPr>
        <w:tblW w:w="0" w:type="auto"/>
        <w:tblLook w:val="04A0" w:firstRow="1" w:lastRow="0" w:firstColumn="1" w:lastColumn="0" w:noHBand="0" w:noVBand="1"/>
      </w:tblPr>
      <w:tblGrid>
        <w:gridCol w:w="2235"/>
        <w:gridCol w:w="3600"/>
      </w:tblGrid>
      <w:tr w:rsidRPr="004175C7" w:rsidR="000311D9" w:rsidTr="00261678" w14:paraId="57DA4957" w14:textId="77777777">
        <w:tc>
          <w:tcPr>
            <w:tcW w:w="2235" w:type="dxa"/>
          </w:tcPr>
          <w:p w:rsidRPr="004175C7" w:rsidR="000311D9" w:rsidP="000311D9" w:rsidRDefault="000311D9" w14:paraId="72FA579B" w14:textId="77777777">
            <w:pPr>
              <w:overflowPunct w:val="0"/>
              <w:autoSpaceDE w:val="0"/>
              <w:autoSpaceDN w:val="0"/>
              <w:adjustRightInd w:val="0"/>
              <w:spacing w:line="240" w:lineRule="auto"/>
              <w:textAlignment w:val="baseline"/>
              <w:rPr>
                <w:i/>
              </w:rPr>
            </w:pPr>
            <w:r w:rsidRPr="008C608F">
              <w:rPr>
                <w:b/>
                <w:i/>
              </w:rPr>
              <w:t>За връзка:</w:t>
            </w:r>
          </w:p>
        </w:tc>
        <w:tc>
          <w:tcPr>
            <w:tcW w:w="3600" w:type="dxa"/>
          </w:tcPr>
          <w:p w:rsidRPr="004175C7" w:rsidR="000311D9" w:rsidP="000311D9" w:rsidRDefault="000311D9" w14:paraId="08FFC94D" w14:textId="77777777">
            <w:pPr>
              <w:overflowPunct w:val="0"/>
              <w:autoSpaceDE w:val="0"/>
              <w:autoSpaceDN w:val="0"/>
              <w:adjustRightInd w:val="0"/>
              <w:spacing w:line="240" w:lineRule="auto"/>
              <w:ind w:hanging="12"/>
              <w:textAlignment w:val="baseline"/>
              <w:rPr>
                <w:i/>
              </w:rPr>
            </w:pPr>
            <w:r w:rsidRPr="008C608F">
              <w:rPr>
                <w:i/>
              </w:rPr>
              <w:t>Triin Aasmaa Gomes</w:t>
            </w:r>
          </w:p>
        </w:tc>
      </w:tr>
      <w:tr w:rsidRPr="004175C7" w:rsidR="000311D9" w:rsidTr="00261678" w14:paraId="69903293" w14:textId="77777777">
        <w:tc>
          <w:tcPr>
            <w:tcW w:w="2235" w:type="dxa"/>
          </w:tcPr>
          <w:p w:rsidRPr="004175C7" w:rsidR="000311D9" w:rsidP="000311D9" w:rsidRDefault="000311D9" w14:paraId="6C3C7B8D"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600" w:type="dxa"/>
          </w:tcPr>
          <w:p w:rsidRPr="004175C7" w:rsidR="000311D9" w:rsidP="000311D9" w:rsidRDefault="000311D9" w14:paraId="675CAE1B" w14:textId="72F1EC88">
            <w:pPr>
              <w:overflowPunct w:val="0"/>
              <w:autoSpaceDE w:val="0"/>
              <w:autoSpaceDN w:val="0"/>
              <w:adjustRightInd w:val="0"/>
              <w:spacing w:line="240" w:lineRule="auto"/>
              <w:textAlignment w:val="baseline"/>
              <w:rPr>
                <w:i/>
              </w:rPr>
            </w:pPr>
            <w:r w:rsidRPr="008C608F">
              <w:rPr>
                <w:i/>
              </w:rPr>
              <w:t>+32 25469524</w:t>
            </w:r>
          </w:p>
        </w:tc>
      </w:tr>
      <w:tr w:rsidRPr="008C608F" w:rsidR="000311D9" w:rsidTr="00261678" w14:paraId="7EA153E3" w14:textId="77777777">
        <w:tc>
          <w:tcPr>
            <w:tcW w:w="2235" w:type="dxa"/>
          </w:tcPr>
          <w:p w:rsidRPr="004175C7" w:rsidR="000311D9" w:rsidP="000311D9" w:rsidRDefault="000311D9" w14:paraId="5BF11967" w14:textId="77777777">
            <w:pPr>
              <w:overflowPunct w:val="0"/>
              <w:autoSpaceDE w:val="0"/>
              <w:autoSpaceDN w:val="0"/>
              <w:adjustRightInd w:val="0"/>
              <w:spacing w:line="240" w:lineRule="auto"/>
              <w:textAlignment w:val="baseline"/>
              <w:rPr>
                <w:i/>
              </w:rPr>
            </w:pPr>
            <w:r w:rsidRPr="008C608F">
              <w:rPr>
                <w:i/>
              </w:rPr>
              <w:t>Електронен адрес:</w:t>
            </w:r>
          </w:p>
        </w:tc>
        <w:tc>
          <w:tcPr>
            <w:tcW w:w="3600" w:type="dxa"/>
          </w:tcPr>
          <w:p w:rsidRPr="008C608F" w:rsidR="000311D9" w:rsidP="000311D9" w:rsidRDefault="00257091" w14:paraId="4B6862C1" w14:textId="77777777">
            <w:pPr>
              <w:overflowPunct w:val="0"/>
              <w:autoSpaceDE w:val="0"/>
              <w:autoSpaceDN w:val="0"/>
              <w:adjustRightInd w:val="0"/>
              <w:spacing w:line="240" w:lineRule="auto"/>
              <w:textAlignment w:val="baseline"/>
              <w:rPr>
                <w:i/>
              </w:rPr>
            </w:pPr>
            <w:hyperlink w:history="1" r:id="rId33">
              <w:r w:rsidRPr="008C608F" w:rsidR="006A1AC2">
                <w:rPr>
                  <w:i/>
                  <w:color w:val="0000FF"/>
                  <w:u w:val="single"/>
                </w:rPr>
                <w:t>Triin.AasmaaGomes@eesc.europa.eu</w:t>
              </w:r>
            </w:hyperlink>
          </w:p>
        </w:tc>
      </w:tr>
    </w:tbl>
    <w:p w:rsidRPr="008C608F" w:rsidR="00D73678" w:rsidP="00261678" w:rsidRDefault="00D73678" w14:paraId="4982DDC4" w14:textId="706ADF81">
      <w:pPr>
        <w:spacing w:after="160" w:line="240" w:lineRule="auto"/>
        <w:jc w:val="left"/>
      </w:pPr>
      <w:r w:rsidRPr="008C608F">
        <w:br w:type="page"/>
      </w:r>
    </w:p>
    <w:p w:rsidRPr="008C608F" w:rsidR="00D73678" w:rsidP="00D73678" w:rsidRDefault="00257091" w14:paraId="565AC21F" w14:textId="460C196A">
      <w:pPr>
        <w:widowControl w:val="0"/>
        <w:numPr>
          <w:ilvl w:val="0"/>
          <w:numId w:val="4"/>
        </w:numPr>
        <w:overflowPunct w:val="0"/>
        <w:autoSpaceDE w:val="0"/>
        <w:autoSpaceDN w:val="0"/>
        <w:adjustRightInd w:val="0"/>
        <w:ind w:hanging="567"/>
        <w:textAlignment w:val="baseline"/>
        <w:rPr>
          <w:sz w:val="24"/>
          <w:szCs w:val="24"/>
        </w:rPr>
      </w:pPr>
      <w:hyperlink w:history="1" r:id="rId34">
        <w:r w:rsidRPr="008C608F" w:rsidR="006A1AC2">
          <w:rPr>
            <w:b/>
            <w:i/>
            <w:color w:val="0000FF"/>
            <w:sz w:val="28"/>
            <w:u w:val="single"/>
          </w:rPr>
          <w:t>Насърчаване на солидарността между поколенията в Европа — към хоризонтален подход на ЕС</w:t>
        </w:r>
      </w:hyperlink>
    </w:p>
    <w:p w:rsidRPr="008C608F" w:rsidR="00D73678" w:rsidP="00D73678" w:rsidRDefault="00D73678" w14:paraId="72D605C3"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76"/>
        <w:gridCol w:w="6379"/>
      </w:tblGrid>
      <w:tr w:rsidRPr="00D73678" w:rsidR="00D73678" w:rsidTr="0001678A" w14:paraId="74C93B3E" w14:textId="77777777">
        <w:tc>
          <w:tcPr>
            <w:tcW w:w="2376" w:type="dxa"/>
          </w:tcPr>
          <w:p w:rsidRPr="00D73678" w:rsidR="00D73678" w:rsidP="00D73678" w:rsidRDefault="00D73678" w14:paraId="17A7F644" w14:textId="5937C2A9">
            <w:pPr>
              <w:tabs>
                <w:tab w:val="center" w:pos="284"/>
              </w:tabs>
              <w:overflowPunct w:val="0"/>
              <w:autoSpaceDE w:val="0"/>
              <w:autoSpaceDN w:val="0"/>
              <w:adjustRightInd w:val="0"/>
              <w:ind w:left="266" w:hanging="266"/>
              <w:textAlignment w:val="baseline"/>
              <w:rPr>
                <w:b/>
              </w:rPr>
            </w:pPr>
            <w:r w:rsidRPr="008C608F">
              <w:rPr>
                <w:b/>
              </w:rPr>
              <w:t>Докладчик:</w:t>
            </w:r>
          </w:p>
        </w:tc>
        <w:tc>
          <w:tcPr>
            <w:tcW w:w="6379" w:type="dxa"/>
          </w:tcPr>
          <w:p w:rsidRPr="00D73678" w:rsidR="00D73678" w:rsidP="00261678" w:rsidRDefault="00D73678" w14:paraId="219F3BE3" w14:textId="4B33AE5A">
            <w:pPr>
              <w:overflowPunct w:val="0"/>
              <w:autoSpaceDE w:val="0"/>
              <w:autoSpaceDN w:val="0"/>
              <w:adjustRightInd w:val="0"/>
              <w:ind w:left="31"/>
              <w:textAlignment w:val="baseline"/>
            </w:pPr>
            <w:r w:rsidRPr="008C608F">
              <w:t>Krzysztof BALON (група „Организации на гражданското общество“ — PL)</w:t>
            </w:r>
          </w:p>
        </w:tc>
      </w:tr>
      <w:tr w:rsidRPr="00D73678" w:rsidR="00D73678" w:rsidTr="0001678A" w14:paraId="048921F8" w14:textId="77777777">
        <w:tc>
          <w:tcPr>
            <w:tcW w:w="2376" w:type="dxa"/>
            <w:vMerge w:val="restart"/>
          </w:tcPr>
          <w:p w:rsidRPr="00D73678" w:rsidR="00D73678" w:rsidP="00D73678" w:rsidRDefault="00D73678" w14:paraId="26F60D21" w14:textId="18B48E2F">
            <w:pPr>
              <w:tabs>
                <w:tab w:val="center" w:pos="284"/>
              </w:tabs>
              <w:overflowPunct w:val="0"/>
              <w:autoSpaceDE w:val="0"/>
              <w:autoSpaceDN w:val="0"/>
              <w:adjustRightInd w:val="0"/>
              <w:ind w:left="266" w:hanging="266"/>
              <w:textAlignment w:val="baseline"/>
              <w:rPr>
                <w:b/>
              </w:rPr>
            </w:pPr>
            <w:r w:rsidRPr="008C608F">
              <w:rPr>
                <w:b/>
              </w:rPr>
              <w:t xml:space="preserve">Отправни документи </w:t>
            </w:r>
          </w:p>
        </w:tc>
        <w:tc>
          <w:tcPr>
            <w:tcW w:w="6379" w:type="dxa"/>
          </w:tcPr>
          <w:p w:rsidRPr="00D73678" w:rsidR="00D73678" w:rsidP="00D73678" w:rsidRDefault="00D73678" w14:paraId="48627757" w14:textId="77777777">
            <w:pPr>
              <w:tabs>
                <w:tab w:val="center" w:pos="284"/>
              </w:tabs>
              <w:overflowPunct w:val="0"/>
              <w:autoSpaceDE w:val="0"/>
              <w:autoSpaceDN w:val="0"/>
              <w:adjustRightInd w:val="0"/>
              <w:ind w:left="266" w:hanging="266"/>
              <w:textAlignment w:val="baseline"/>
            </w:pPr>
            <w:r w:rsidRPr="008C608F">
              <w:t>Становище по собствена инициатива</w:t>
            </w:r>
          </w:p>
        </w:tc>
      </w:tr>
      <w:tr w:rsidRPr="008C608F" w:rsidR="00D73678" w:rsidTr="0001678A" w14:paraId="179C9D5C" w14:textId="77777777">
        <w:tc>
          <w:tcPr>
            <w:tcW w:w="2376" w:type="dxa"/>
            <w:vMerge/>
          </w:tcPr>
          <w:p w:rsidRPr="00D73678" w:rsidR="00D73678" w:rsidP="00D73678" w:rsidRDefault="00D73678" w14:paraId="1BE8E703" w14:textId="77777777">
            <w:pPr>
              <w:tabs>
                <w:tab w:val="center" w:pos="284"/>
              </w:tabs>
              <w:overflowPunct w:val="0"/>
              <w:autoSpaceDE w:val="0"/>
              <w:autoSpaceDN w:val="0"/>
              <w:adjustRightInd w:val="0"/>
              <w:ind w:left="266" w:hanging="266"/>
              <w:textAlignment w:val="baseline"/>
              <w:rPr>
                <w:b/>
                <w:lang w:val="en-GB"/>
              </w:rPr>
            </w:pPr>
          </w:p>
        </w:tc>
        <w:tc>
          <w:tcPr>
            <w:tcW w:w="6379" w:type="dxa"/>
          </w:tcPr>
          <w:p w:rsidRPr="008C608F" w:rsidR="00D73678" w:rsidP="00D73678" w:rsidRDefault="00D73678" w14:paraId="50F30F3E" w14:textId="61BF7298">
            <w:pPr>
              <w:tabs>
                <w:tab w:val="center" w:pos="284"/>
              </w:tabs>
              <w:overflowPunct w:val="0"/>
              <w:autoSpaceDE w:val="0"/>
              <w:autoSpaceDN w:val="0"/>
              <w:adjustRightInd w:val="0"/>
              <w:ind w:left="266" w:hanging="266"/>
              <w:textAlignment w:val="baseline"/>
            </w:pPr>
            <w:r w:rsidRPr="008C608F">
              <w:t>EESC-2024-01348-00-00-AC</w:t>
            </w:r>
          </w:p>
        </w:tc>
      </w:tr>
    </w:tbl>
    <w:p w:rsidRPr="008C608F" w:rsidR="00E85982" w:rsidP="00D73678" w:rsidRDefault="00E85982" w14:paraId="7790D49C"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D73678" w:rsidP="00D73678" w:rsidRDefault="00D73678" w14:paraId="6E4D921C" w14:textId="089C230A">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D73678" w:rsidP="00D73678" w:rsidRDefault="00D73678" w14:paraId="30EB2526"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D73678" w:rsidP="00D73678" w:rsidRDefault="00D73678" w14:paraId="47FCE8B6" w14:textId="4403686C">
      <w:pPr>
        <w:overflowPunct w:val="0"/>
        <w:autoSpaceDE w:val="0"/>
        <w:autoSpaceDN w:val="0"/>
        <w:adjustRightInd w:val="0"/>
        <w:textAlignment w:val="baseline"/>
        <w:rPr>
          <w:bCs/>
          <w:iCs/>
        </w:rPr>
      </w:pPr>
      <w:r w:rsidRPr="008C608F">
        <w:t>ЕИСК:</w:t>
      </w:r>
    </w:p>
    <w:p w:rsidRPr="00D73678" w:rsidR="00D73678" w:rsidP="00B07E13" w:rsidRDefault="00D73678" w14:paraId="4C787A03"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rPr>
      </w:pPr>
      <w:r w:rsidRPr="008C608F">
        <w:t xml:space="preserve">подкрепя инициативата </w:t>
      </w:r>
      <w:r w:rsidRPr="008C608F">
        <w:rPr>
          <w:b/>
        </w:rPr>
        <w:t>29 април</w:t>
      </w:r>
      <w:r w:rsidRPr="008C608F">
        <w:t xml:space="preserve"> и занапред да се отбелязва като </w:t>
      </w:r>
      <w:r w:rsidRPr="008C608F">
        <w:rPr>
          <w:b/>
        </w:rPr>
        <w:t>Европейския ден на солидарността между поколенията</w:t>
      </w:r>
      <w:r w:rsidRPr="008C608F">
        <w:t xml:space="preserve"> и призовава Европейската комисия да възприеме</w:t>
      </w:r>
      <w:r w:rsidRPr="008C608F">
        <w:rPr>
          <w:b/>
        </w:rPr>
        <w:t xml:space="preserve"> координиран междусекторен подход на равнище ЕС към солидарността между поколенията</w:t>
      </w:r>
      <w:r w:rsidRPr="008C608F">
        <w:t>, който следва да бъде насочен към гарантирането на правата както на младите, така и на възрастните хора. Освен това солидарността между поколенията следва да бъде и един от критериите, с които да се оценява дали законодателството и другите документи на ЕС допринасят за целта, изложена в член 3, параграф 3 от ДЕС: „Съюзът (...) следва да насърчава (...) солидарността между поколенията.“;</w:t>
      </w:r>
    </w:p>
    <w:p w:rsidRPr="00D73678" w:rsidR="00D73678" w:rsidP="00B07E13" w:rsidRDefault="00D73678" w14:paraId="44EDB482"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rPr>
      </w:pPr>
      <w:r w:rsidRPr="008C608F">
        <w:t xml:space="preserve">приветства намерението </w:t>
      </w:r>
      <w:r w:rsidRPr="008C608F">
        <w:rPr>
          <w:b/>
        </w:rPr>
        <w:t>да се назначи член на Европейската комисия, отговарящ за справедливостта между поколенията</w:t>
      </w:r>
      <w:r w:rsidRPr="008C608F">
        <w:t xml:space="preserve">. ЕИСК ще разгледа възможността за организиране на Форум за солидарност между поколенията с цел обмен на информация и опит, оценка на съществуващите и разработваните нови концепции и стратегии за солидарността между поколенията, както и — в сътрудничество с Европейската комисия — наблюдение на изпълнението на съдържащите се в становището препоръки. </w:t>
      </w:r>
      <w:r w:rsidRPr="008C608F">
        <w:rPr>
          <w:b/>
        </w:rPr>
        <w:t>Участието на организациите на гражданското общество и социалните партньори е от ключово значение</w:t>
      </w:r>
      <w:r w:rsidRPr="008C608F">
        <w:t xml:space="preserve"> за изпълнението на препоръките, като се има предвид тяхната важна роля за насърчаване на солидарността между поколенията;</w:t>
      </w:r>
    </w:p>
    <w:p w:rsidRPr="00D73678" w:rsidR="00D73678" w:rsidP="00B07E13" w:rsidRDefault="00D73678" w14:paraId="6E32BCE2"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rPr>
      </w:pPr>
      <w:r w:rsidRPr="008C608F">
        <w:t xml:space="preserve">призовава Европейската комисия </w:t>
      </w:r>
      <w:r w:rsidRPr="008C608F">
        <w:rPr>
          <w:b/>
        </w:rPr>
        <w:t>да публикува Зелена книга относно солидарността между поколенията</w:t>
      </w:r>
      <w:r w:rsidRPr="008C608F">
        <w:t xml:space="preserve">, която в контекста на социалната държава може да включва предизвикателства, възможности и решения в различните области, посочени в становището; отправя искане </w:t>
      </w:r>
      <w:r w:rsidRPr="008C608F">
        <w:rPr>
          <w:b/>
        </w:rPr>
        <w:t>солидарността между поколенията да се определи като една от целите на Европейския социален фонд</w:t>
      </w:r>
      <w:r w:rsidRPr="008C608F">
        <w:t xml:space="preserve"> в многогодишната финансова рамка за периода 2027—2034 г. и регламентите за нейното изпълнение;</w:t>
      </w:r>
    </w:p>
    <w:p w:rsidRPr="00D73678" w:rsidR="00D73678" w:rsidP="00B07E13" w:rsidRDefault="00D73678" w14:paraId="2B852C41" w14:textId="77777777">
      <w:pPr>
        <w:widowControl w:val="0"/>
        <w:numPr>
          <w:ilvl w:val="0"/>
          <w:numId w:val="27"/>
        </w:numPr>
        <w:overflowPunct w:val="0"/>
        <w:autoSpaceDE w:val="0"/>
        <w:autoSpaceDN w:val="0"/>
        <w:adjustRightInd w:val="0"/>
        <w:ind w:left="567" w:hanging="567"/>
        <w:textAlignment w:val="baseline"/>
        <w:rPr>
          <w:rFonts w:asciiTheme="minorHAnsi" w:hAnsiTheme="minorHAnsi"/>
          <w:szCs w:val="20"/>
        </w:rPr>
      </w:pPr>
      <w:r w:rsidRPr="008C608F">
        <w:t xml:space="preserve">призовава Европейската комисия да приеме </w:t>
      </w:r>
      <w:r w:rsidRPr="008C608F">
        <w:rPr>
          <w:b/>
        </w:rPr>
        <w:t>препоръка, с която да призове държавите членки да вземат предвид аспектите на пазара на труда, свързани с отношенията между поколенията</w:t>
      </w:r>
      <w:r w:rsidRPr="008C608F">
        <w:t>; подчертава, че диалогът, справедливостта и солидарността между поколенията следва да бъдат обсъдени и включени в заключенията на Съвета на Европейския съюз.</w:t>
      </w:r>
    </w:p>
    <w:p w:rsidRPr="00D73678" w:rsidR="00D73678" w:rsidP="00D73678" w:rsidRDefault="00D73678" w14:paraId="2EFF80B9" w14:textId="77777777">
      <w:pPr>
        <w:widowControl w:val="0"/>
        <w:ind w:left="567"/>
        <w:contextualSpacing/>
        <w:jc w:val="left"/>
        <w:rPr>
          <w:rFonts w:ascii="Calibri" w:hAnsi="Calibri"/>
          <w:lang w:val="en-GB" w:eastAsia="zh-CN"/>
        </w:rPr>
      </w:pPr>
    </w:p>
    <w:tbl>
      <w:tblPr>
        <w:tblW w:w="0" w:type="auto"/>
        <w:tblLook w:val="04A0" w:firstRow="1" w:lastRow="0" w:firstColumn="1" w:lastColumn="0" w:noHBand="0" w:noVBand="1"/>
      </w:tblPr>
      <w:tblGrid>
        <w:gridCol w:w="2093"/>
        <w:gridCol w:w="4995"/>
      </w:tblGrid>
      <w:tr w:rsidRPr="004175C7" w:rsidR="00D73678" w:rsidTr="00261678" w14:paraId="2C736A2D" w14:textId="77777777">
        <w:tc>
          <w:tcPr>
            <w:tcW w:w="2093" w:type="dxa"/>
          </w:tcPr>
          <w:p w:rsidRPr="004175C7" w:rsidR="00D73678" w:rsidP="00D73678" w:rsidRDefault="00D73678" w14:paraId="1AF9FB26" w14:textId="68F8E6BC">
            <w:pPr>
              <w:overflowPunct w:val="0"/>
              <w:autoSpaceDE w:val="0"/>
              <w:autoSpaceDN w:val="0"/>
              <w:adjustRightInd w:val="0"/>
              <w:textAlignment w:val="baseline"/>
              <w:rPr>
                <w:i/>
              </w:rPr>
            </w:pPr>
            <w:r w:rsidRPr="008C608F">
              <w:rPr>
                <w:b/>
                <w:i/>
              </w:rPr>
              <w:t>За връзка:</w:t>
            </w:r>
          </w:p>
        </w:tc>
        <w:tc>
          <w:tcPr>
            <w:tcW w:w="4995" w:type="dxa"/>
          </w:tcPr>
          <w:p w:rsidRPr="004175C7" w:rsidR="00D73678" w:rsidP="00D73678" w:rsidRDefault="00D73678" w14:paraId="03248E4A" w14:textId="4B984467">
            <w:pPr>
              <w:overflowPunct w:val="0"/>
              <w:autoSpaceDE w:val="0"/>
              <w:autoSpaceDN w:val="0"/>
              <w:adjustRightInd w:val="0"/>
              <w:textAlignment w:val="baseline"/>
              <w:rPr>
                <w:i/>
              </w:rPr>
            </w:pPr>
            <w:r w:rsidRPr="008C608F">
              <w:rPr>
                <w:i/>
              </w:rPr>
              <w:t>Gabriela Grasu</w:t>
            </w:r>
          </w:p>
        </w:tc>
      </w:tr>
      <w:tr w:rsidRPr="004175C7" w:rsidR="00D73678" w:rsidTr="00261678" w14:paraId="47098042" w14:textId="77777777">
        <w:tc>
          <w:tcPr>
            <w:tcW w:w="2093" w:type="dxa"/>
          </w:tcPr>
          <w:p w:rsidRPr="004175C7" w:rsidR="00D73678" w:rsidP="00D73678" w:rsidRDefault="00D73678" w14:paraId="62BD0A27" w14:textId="2FB8ABAA">
            <w:pPr>
              <w:overflowPunct w:val="0"/>
              <w:autoSpaceDE w:val="0"/>
              <w:autoSpaceDN w:val="0"/>
              <w:adjustRightInd w:val="0"/>
              <w:textAlignment w:val="baseline"/>
              <w:rPr>
                <w:i/>
              </w:rPr>
            </w:pPr>
            <w:r w:rsidRPr="008C608F">
              <w:rPr>
                <w:i/>
              </w:rPr>
              <w:t>Тел</w:t>
            </w:r>
            <w:r w:rsidRPr="008C608F">
              <w:rPr>
                <w:i/>
                <w:iCs/>
              </w:rPr>
              <w:t>.</w:t>
            </w:r>
          </w:p>
        </w:tc>
        <w:tc>
          <w:tcPr>
            <w:tcW w:w="4995" w:type="dxa"/>
          </w:tcPr>
          <w:p w:rsidRPr="004175C7" w:rsidR="00D73678" w:rsidP="00D73678" w:rsidRDefault="00D73678" w14:paraId="093B67CB" w14:textId="0A999507">
            <w:pPr>
              <w:overflowPunct w:val="0"/>
              <w:autoSpaceDE w:val="0"/>
              <w:autoSpaceDN w:val="0"/>
              <w:adjustRightInd w:val="0"/>
              <w:textAlignment w:val="baseline"/>
              <w:rPr>
                <w:i/>
              </w:rPr>
            </w:pPr>
            <w:r w:rsidRPr="008C608F">
              <w:rPr>
                <w:i/>
              </w:rPr>
              <w:t>+32 25469162</w:t>
            </w:r>
          </w:p>
        </w:tc>
      </w:tr>
      <w:tr w:rsidRPr="008C608F" w:rsidR="00D73678" w:rsidTr="00261678" w14:paraId="0FAECBC0" w14:textId="77777777">
        <w:tc>
          <w:tcPr>
            <w:tcW w:w="2093" w:type="dxa"/>
          </w:tcPr>
          <w:p w:rsidRPr="004175C7" w:rsidR="00D73678" w:rsidP="00D73678" w:rsidRDefault="005714B9" w14:paraId="528A2F94" w14:textId="58C77E23">
            <w:pPr>
              <w:overflowPunct w:val="0"/>
              <w:autoSpaceDE w:val="0"/>
              <w:autoSpaceDN w:val="0"/>
              <w:adjustRightInd w:val="0"/>
              <w:textAlignment w:val="baseline"/>
              <w:rPr>
                <w:i/>
              </w:rPr>
            </w:pPr>
            <w:r w:rsidRPr="008C608F">
              <w:rPr>
                <w:i/>
              </w:rPr>
              <w:t>Електронен адрес:</w:t>
            </w:r>
          </w:p>
        </w:tc>
        <w:tc>
          <w:tcPr>
            <w:tcW w:w="4995" w:type="dxa"/>
          </w:tcPr>
          <w:p w:rsidRPr="008C608F" w:rsidR="00D73678" w:rsidP="00D73678" w:rsidRDefault="00257091" w14:paraId="1A50252C" w14:textId="77777777">
            <w:pPr>
              <w:overflowPunct w:val="0"/>
              <w:autoSpaceDE w:val="0"/>
              <w:autoSpaceDN w:val="0"/>
              <w:adjustRightInd w:val="0"/>
              <w:textAlignment w:val="baseline"/>
              <w:rPr>
                <w:i/>
                <w:iCs/>
              </w:rPr>
            </w:pPr>
            <w:hyperlink w:history="1" r:id="rId35">
              <w:r w:rsidRPr="008C608F" w:rsidR="006A1AC2">
                <w:rPr>
                  <w:i/>
                  <w:color w:val="0000FF"/>
                  <w:u w:val="single"/>
                </w:rPr>
                <w:t>Gabriela.Grasu@eesc.europa.eu</w:t>
              </w:r>
            </w:hyperlink>
          </w:p>
        </w:tc>
      </w:tr>
    </w:tbl>
    <w:p w:rsidRPr="008C608F" w:rsidR="00D73678" w:rsidP="004D7AC0" w:rsidRDefault="00D73678" w14:paraId="4F0D4AF4" w14:textId="342307A5">
      <w:pPr>
        <w:pStyle w:val="ListParagraph"/>
        <w:ind w:left="0"/>
      </w:pPr>
    </w:p>
    <w:p w:rsidRPr="008C608F" w:rsidR="00D73678" w:rsidRDefault="00D73678" w14:paraId="3EE9108B" w14:textId="77777777">
      <w:pPr>
        <w:spacing w:after="160" w:line="259" w:lineRule="auto"/>
        <w:jc w:val="left"/>
      </w:pPr>
      <w:r w:rsidRPr="008C608F">
        <w:br w:type="page"/>
      </w:r>
    </w:p>
    <w:p w:rsidRPr="008C608F" w:rsidR="00E24154" w:rsidP="00E24154" w:rsidRDefault="00257091" w14:paraId="7825F646" w14:textId="783EDE07">
      <w:pPr>
        <w:widowControl w:val="0"/>
        <w:numPr>
          <w:ilvl w:val="0"/>
          <w:numId w:val="11"/>
        </w:numPr>
        <w:overflowPunct w:val="0"/>
        <w:autoSpaceDE w:val="0"/>
        <w:autoSpaceDN w:val="0"/>
        <w:adjustRightInd w:val="0"/>
        <w:ind w:left="567" w:hanging="567"/>
        <w:textAlignment w:val="baseline"/>
      </w:pPr>
      <w:hyperlink w:history="1" r:id="rId36">
        <w:r w:rsidRPr="008C608F" w:rsidR="006A1AC2">
          <w:rPr>
            <w:b/>
            <w:i/>
            <w:color w:val="0000FF"/>
            <w:sz w:val="28"/>
            <w:u w:val="single"/>
          </w:rPr>
          <w:t>Европейска диплома за висше образование</w:t>
        </w:r>
      </w:hyperlink>
    </w:p>
    <w:p w:rsidRPr="008C608F" w:rsidR="00E24154" w:rsidP="00E24154" w:rsidRDefault="00E24154" w14:paraId="6365C560" w14:textId="77777777">
      <w:pPr>
        <w:tabs>
          <w:tab w:val="center" w:pos="284"/>
        </w:tabs>
        <w:overflowPunct w:val="0"/>
        <w:autoSpaceDE w:val="0"/>
        <w:autoSpaceDN w:val="0"/>
        <w:adjustRightInd w:val="0"/>
        <w:ind w:left="567" w:hanging="567"/>
        <w:textAlignment w:val="baseline"/>
        <w:rPr>
          <w:lang w:val="pt-PT"/>
        </w:rPr>
      </w:pPr>
    </w:p>
    <w:tbl>
      <w:tblPr>
        <w:tblW w:w="0" w:type="auto"/>
        <w:tblLook w:val="04A0" w:firstRow="1" w:lastRow="0" w:firstColumn="1" w:lastColumn="0" w:noHBand="0" w:noVBand="1"/>
      </w:tblPr>
      <w:tblGrid>
        <w:gridCol w:w="2235"/>
        <w:gridCol w:w="5136"/>
      </w:tblGrid>
      <w:tr w:rsidRPr="004175C7" w:rsidR="00E24154" w:rsidTr="00261678" w14:paraId="28AD5183" w14:textId="77777777">
        <w:tc>
          <w:tcPr>
            <w:tcW w:w="2235" w:type="dxa"/>
          </w:tcPr>
          <w:p w:rsidRPr="004175C7" w:rsidR="00E24154" w:rsidP="00E24154" w:rsidRDefault="00E24154" w14:paraId="2C277F49" w14:textId="1ED8A02A">
            <w:pPr>
              <w:tabs>
                <w:tab w:val="center" w:pos="284"/>
              </w:tabs>
              <w:overflowPunct w:val="0"/>
              <w:autoSpaceDE w:val="0"/>
              <w:autoSpaceDN w:val="0"/>
              <w:adjustRightInd w:val="0"/>
              <w:ind w:left="567" w:hanging="567"/>
              <w:textAlignment w:val="baseline"/>
              <w:rPr>
                <w:b/>
              </w:rPr>
            </w:pPr>
            <w:r w:rsidRPr="008C608F">
              <w:rPr>
                <w:b/>
              </w:rPr>
              <w:t>Докладчик:</w:t>
            </w:r>
          </w:p>
        </w:tc>
        <w:tc>
          <w:tcPr>
            <w:tcW w:w="5136" w:type="dxa"/>
          </w:tcPr>
          <w:p w:rsidRPr="004175C7" w:rsidR="00E24154" w:rsidP="00B07E13" w:rsidRDefault="00E24154" w14:paraId="0D198FC6" w14:textId="77853B34">
            <w:pPr>
              <w:overflowPunct w:val="0"/>
              <w:autoSpaceDE w:val="0"/>
              <w:autoSpaceDN w:val="0"/>
              <w:adjustRightInd w:val="0"/>
              <w:ind w:left="567" w:hanging="567"/>
              <w:textAlignment w:val="baseline"/>
            </w:pPr>
            <w:r w:rsidRPr="008C608F">
              <w:t>Tatjana Babrauskienė (група „Работници“ — LT)</w:t>
            </w:r>
          </w:p>
        </w:tc>
      </w:tr>
      <w:tr w:rsidRPr="008C608F" w:rsidR="00E24154" w:rsidTr="00261678" w14:paraId="5EBDE061" w14:textId="77777777">
        <w:tc>
          <w:tcPr>
            <w:tcW w:w="2235" w:type="dxa"/>
          </w:tcPr>
          <w:p w:rsidRPr="004175C7" w:rsidR="00E24154" w:rsidP="00E24154" w:rsidRDefault="00E24154" w14:paraId="1C1CCA00" w14:textId="77777777">
            <w:pPr>
              <w:tabs>
                <w:tab w:val="center" w:pos="284"/>
              </w:tabs>
              <w:overflowPunct w:val="0"/>
              <w:autoSpaceDE w:val="0"/>
              <w:autoSpaceDN w:val="0"/>
              <w:adjustRightInd w:val="0"/>
              <w:ind w:left="567" w:hanging="567"/>
              <w:textAlignment w:val="baseline"/>
              <w:rPr>
                <w:b/>
              </w:rPr>
            </w:pPr>
            <w:r w:rsidRPr="008C608F">
              <w:rPr>
                <w:b/>
              </w:rPr>
              <w:t>Отправeн документ</w:t>
            </w:r>
          </w:p>
        </w:tc>
        <w:tc>
          <w:tcPr>
            <w:tcW w:w="5136" w:type="dxa"/>
          </w:tcPr>
          <w:p w:rsidRPr="008C608F" w:rsidR="0017133A" w:rsidP="00E24154" w:rsidRDefault="0017133A" w14:paraId="7099E6AE" w14:textId="74B5DCEA">
            <w:pPr>
              <w:tabs>
                <w:tab w:val="center" w:pos="284"/>
              </w:tabs>
              <w:overflowPunct w:val="0"/>
              <w:autoSpaceDE w:val="0"/>
              <w:autoSpaceDN w:val="0"/>
              <w:adjustRightInd w:val="0"/>
              <w:ind w:left="567" w:hanging="567"/>
              <w:textAlignment w:val="baseline"/>
            </w:pPr>
            <w:r w:rsidRPr="008C608F">
              <w:t>COM(2024) 144 final</w:t>
            </w:r>
          </w:p>
          <w:p w:rsidRPr="008C608F" w:rsidR="0017133A" w:rsidP="00E24154" w:rsidRDefault="0017133A" w14:paraId="08F53CA4" w14:textId="3A6C6CFF">
            <w:pPr>
              <w:tabs>
                <w:tab w:val="center" w:pos="284"/>
              </w:tabs>
              <w:overflowPunct w:val="0"/>
              <w:autoSpaceDE w:val="0"/>
              <w:autoSpaceDN w:val="0"/>
              <w:adjustRightInd w:val="0"/>
              <w:ind w:left="567" w:hanging="567"/>
              <w:textAlignment w:val="baseline"/>
            </w:pPr>
            <w:r w:rsidRPr="008C608F">
              <w:t>COM(2024) 145 final</w:t>
            </w:r>
          </w:p>
          <w:p w:rsidRPr="008C608F" w:rsidR="0017133A" w:rsidP="00E24154" w:rsidRDefault="0017133A" w14:paraId="6C9E4DD2" w14:textId="469F4190">
            <w:pPr>
              <w:tabs>
                <w:tab w:val="center" w:pos="284"/>
              </w:tabs>
              <w:overflowPunct w:val="0"/>
              <w:autoSpaceDE w:val="0"/>
              <w:autoSpaceDN w:val="0"/>
              <w:adjustRightInd w:val="0"/>
              <w:ind w:left="567" w:hanging="567"/>
              <w:textAlignment w:val="baseline"/>
            </w:pPr>
            <w:r w:rsidRPr="008C608F">
              <w:t>COM(2024) 147 final</w:t>
            </w:r>
          </w:p>
          <w:p w:rsidRPr="008C608F" w:rsidR="00E24154" w:rsidP="00E24154" w:rsidRDefault="00E24154" w14:paraId="177E2E2B" w14:textId="4D3D32D3">
            <w:pPr>
              <w:tabs>
                <w:tab w:val="center" w:pos="284"/>
              </w:tabs>
              <w:overflowPunct w:val="0"/>
              <w:autoSpaceDE w:val="0"/>
              <w:autoSpaceDN w:val="0"/>
              <w:adjustRightInd w:val="0"/>
              <w:ind w:left="567" w:hanging="567"/>
              <w:textAlignment w:val="baseline"/>
            </w:pPr>
            <w:r w:rsidRPr="008C608F">
              <w:t>EESC-2024-01889-00-00-AC</w:t>
            </w:r>
          </w:p>
        </w:tc>
      </w:tr>
    </w:tbl>
    <w:p w:rsidRPr="008C608F" w:rsidR="00AB6CDB" w:rsidP="00E24154" w:rsidRDefault="00AB6CDB" w14:paraId="1D7E187A"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E24154" w:rsidP="00E24154" w:rsidRDefault="00E24154" w14:paraId="2E89C192" w14:textId="7326404F">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E24154" w:rsidP="00E24154" w:rsidRDefault="00E24154" w14:paraId="75D3BC4D" w14:textId="77777777">
      <w:pPr>
        <w:overflowPunct w:val="0"/>
        <w:autoSpaceDE w:val="0"/>
        <w:autoSpaceDN w:val="0"/>
        <w:adjustRightInd w:val="0"/>
        <w:textAlignment w:val="baseline"/>
        <w:rPr>
          <w:szCs w:val="20"/>
          <w:lang w:val="en-GB"/>
        </w:rPr>
      </w:pPr>
    </w:p>
    <w:p w:rsidRPr="008C608F" w:rsidR="00E24154" w:rsidP="00E24154" w:rsidRDefault="00E24154" w14:paraId="56EBD400" w14:textId="77777777">
      <w:pPr>
        <w:overflowPunct w:val="0"/>
        <w:autoSpaceDE w:val="0"/>
        <w:autoSpaceDN w:val="0"/>
        <w:adjustRightInd w:val="0"/>
        <w:textAlignment w:val="baseline"/>
        <w:rPr>
          <w:szCs w:val="20"/>
        </w:rPr>
      </w:pPr>
      <w:r w:rsidRPr="008C608F">
        <w:t>ЕИСК:</w:t>
      </w:r>
    </w:p>
    <w:p w:rsidRPr="008C608F" w:rsidR="00E24154" w:rsidP="00B07E13" w:rsidRDefault="00E24154" w14:paraId="60BDB01E"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 xml:space="preserve">счита, че държавите членки и висшите учебни заведения (ВУЗ) следва да подобрят качеството, справедливостта, равенството и социалното приобщаване във висшето образование, като адаптират препоръките към своя контекст; </w:t>
      </w:r>
    </w:p>
    <w:p w:rsidRPr="008C608F" w:rsidR="00E24154" w:rsidP="00B07E13" w:rsidRDefault="00E24154" w14:paraId="681A5061"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настоятелно призовава ЕС да гарантира академичната свобода и институционалната автономност;</w:t>
      </w:r>
    </w:p>
    <w:p w:rsidRPr="008C608F" w:rsidR="00E24154" w:rsidP="00B07E13" w:rsidRDefault="00E24154" w14:paraId="548A7F24"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 xml:space="preserve">подкрепя насърчаването на съвместни програми между ВУЗ в рамките на проектите на алианса на европейските университети и извън тях, като се гарантира осигуряване на качеството и се включват всички съответни заинтересовани страни в тяхното изпълнение; </w:t>
      </w:r>
    </w:p>
    <w:p w:rsidRPr="008C608F" w:rsidR="00E24154" w:rsidP="00B07E13" w:rsidRDefault="00E24154" w14:paraId="603C631D"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подчертава необходимостта от широко сътрудничество между заинтересованите страни с оглед на ефективното изпълнение на инициативите, като изтъква по-специално основните ценности на участието на студентите и персонала съгласно процеса от Болоня;</w:t>
      </w:r>
    </w:p>
    <w:p w:rsidRPr="008C608F" w:rsidR="00E24154" w:rsidP="00B07E13" w:rsidRDefault="00E24154" w14:paraId="07B343FA"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 xml:space="preserve">призовава за подобряване на наблюдението на равния достъп за по-слабо представените групи и групите в неравностойно социално-икономическо положение във висшето образование, по-специално по отношение на постоянните преподавателски длъжности, научноизследователските и ръководните длъжности; </w:t>
      </w:r>
    </w:p>
    <w:p w:rsidRPr="008C608F" w:rsidR="00E24154" w:rsidP="00B07E13" w:rsidRDefault="00E24154" w14:paraId="03438BA4"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се застъпва за европейска кариерна рамка, гарантираща сигурност на работното място, достойни условия на труд и равен достъп до академични длъжности, разработена в сътрудничество с организациите на гражданското общество, зачитаща социалния и гражданския диалог, академичните профсъюзи и социалните партньори;</w:t>
      </w:r>
    </w:p>
    <w:p w:rsidRPr="008C608F" w:rsidR="00E24154" w:rsidP="00B07E13" w:rsidRDefault="00E24154" w14:paraId="5150C06F"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призовава за засилване на полезните взаимодействия между европейската кариерна рамка за висшето образование и научните работници с цел подобряване на качеството на преподаването и научните изследвания;</w:t>
      </w:r>
    </w:p>
    <w:p w:rsidRPr="008C608F" w:rsidR="00E24154" w:rsidP="00B07E13" w:rsidRDefault="00E24154" w14:paraId="21F34276"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отправя призив съответните заинтересовани страни на пазара на труда да участват в определянето на програми за обучение, които имат особено значение за пазара на труда;</w:t>
      </w:r>
    </w:p>
    <w:p w:rsidRPr="008C608F" w:rsidR="00E24154" w:rsidP="00B07E13" w:rsidRDefault="00E24154" w14:paraId="0C497513"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изтъква значението на цифровизацията на висшето образование и услугите за студенти при зачитане на авторското право и отговорно използване на изкуствения интелект;</w:t>
      </w:r>
    </w:p>
    <w:p w:rsidRPr="008C608F" w:rsidR="00E24154" w:rsidP="00B07E13" w:rsidRDefault="00E24154" w14:paraId="791D02F6"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подчертава значението на многоезичието в съвместните програми за висше образование;</w:t>
      </w:r>
    </w:p>
    <w:p w:rsidRPr="008C608F" w:rsidR="00E24154" w:rsidP="00B07E13" w:rsidRDefault="00E24154" w14:paraId="690785E2" w14:textId="77777777">
      <w:pPr>
        <w:numPr>
          <w:ilvl w:val="0"/>
          <w:numId w:val="28"/>
        </w:numPr>
        <w:overflowPunct w:val="0"/>
        <w:autoSpaceDE w:val="0"/>
        <w:autoSpaceDN w:val="0"/>
        <w:adjustRightInd w:val="0"/>
        <w:spacing w:after="200" w:line="276" w:lineRule="auto"/>
        <w:ind w:left="567" w:hanging="567"/>
        <w:contextualSpacing/>
        <w:textAlignment w:val="baseline"/>
      </w:pPr>
      <w:r w:rsidRPr="008C608F">
        <w:t>подчертава необходимостта от адекватни ресурси за ефективното изпълнение на тези инициативи.</w:t>
      </w:r>
    </w:p>
    <w:p w:rsidRPr="008C608F" w:rsidR="00E24154" w:rsidP="00E24154" w:rsidRDefault="00E24154" w14:paraId="60A82C4E" w14:textId="77777777">
      <w:pPr>
        <w:overflowPunct w:val="0"/>
        <w:autoSpaceDE w:val="0"/>
        <w:autoSpaceDN w:val="0"/>
        <w:adjustRightInd w:val="0"/>
        <w:textAlignment w:val="baseline"/>
        <w:rPr>
          <w:lang w:val="en-GB"/>
        </w:rPr>
      </w:pPr>
    </w:p>
    <w:tbl>
      <w:tblPr>
        <w:tblW w:w="0" w:type="auto"/>
        <w:tblLook w:val="04A0" w:firstRow="1" w:lastRow="0" w:firstColumn="1" w:lastColumn="0" w:noHBand="0" w:noVBand="1"/>
      </w:tblPr>
      <w:tblGrid>
        <w:gridCol w:w="2093"/>
        <w:gridCol w:w="3742"/>
      </w:tblGrid>
      <w:tr w:rsidRPr="004175C7" w:rsidR="00E24154" w:rsidTr="00261678" w14:paraId="3FC89003" w14:textId="77777777">
        <w:tc>
          <w:tcPr>
            <w:tcW w:w="2093" w:type="dxa"/>
          </w:tcPr>
          <w:p w:rsidRPr="004175C7" w:rsidR="00E24154" w:rsidP="00E24154" w:rsidRDefault="00E24154" w14:paraId="2EB89A2F" w14:textId="77777777">
            <w:pPr>
              <w:overflowPunct w:val="0"/>
              <w:autoSpaceDE w:val="0"/>
              <w:autoSpaceDN w:val="0"/>
              <w:adjustRightInd w:val="0"/>
              <w:spacing w:line="240" w:lineRule="auto"/>
              <w:textAlignment w:val="baseline"/>
              <w:rPr>
                <w:i/>
              </w:rPr>
            </w:pPr>
            <w:r w:rsidRPr="008C608F">
              <w:rPr>
                <w:b/>
                <w:i/>
              </w:rPr>
              <w:t>За връзка:</w:t>
            </w:r>
          </w:p>
        </w:tc>
        <w:tc>
          <w:tcPr>
            <w:tcW w:w="3742" w:type="dxa"/>
          </w:tcPr>
          <w:p w:rsidRPr="004175C7" w:rsidR="00E24154" w:rsidP="00E24154" w:rsidRDefault="00E24154" w14:paraId="7AFFBB7C" w14:textId="77777777">
            <w:pPr>
              <w:overflowPunct w:val="0"/>
              <w:autoSpaceDE w:val="0"/>
              <w:autoSpaceDN w:val="0"/>
              <w:adjustRightInd w:val="0"/>
              <w:spacing w:line="240" w:lineRule="auto"/>
              <w:ind w:hanging="12"/>
              <w:textAlignment w:val="baseline"/>
              <w:rPr>
                <w:i/>
              </w:rPr>
            </w:pPr>
            <w:r w:rsidRPr="008C608F">
              <w:rPr>
                <w:i/>
              </w:rPr>
              <w:t>Sabrina Borg</w:t>
            </w:r>
          </w:p>
        </w:tc>
      </w:tr>
      <w:tr w:rsidRPr="004175C7" w:rsidR="00E24154" w:rsidTr="00261678" w14:paraId="42F700AF" w14:textId="77777777">
        <w:tc>
          <w:tcPr>
            <w:tcW w:w="2093" w:type="dxa"/>
          </w:tcPr>
          <w:p w:rsidRPr="004175C7" w:rsidR="00E24154" w:rsidP="00E24154" w:rsidRDefault="00E24154" w14:paraId="0C49A89F"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742" w:type="dxa"/>
          </w:tcPr>
          <w:p w:rsidRPr="004175C7" w:rsidR="00E24154" w:rsidP="00E24154" w:rsidRDefault="00E24154" w14:paraId="00D693F6" w14:textId="360A8211">
            <w:pPr>
              <w:overflowPunct w:val="0"/>
              <w:autoSpaceDE w:val="0"/>
              <w:autoSpaceDN w:val="0"/>
              <w:adjustRightInd w:val="0"/>
              <w:spacing w:line="240" w:lineRule="auto"/>
              <w:textAlignment w:val="baseline"/>
              <w:rPr>
                <w:i/>
              </w:rPr>
            </w:pPr>
            <w:r w:rsidRPr="008C608F">
              <w:rPr>
                <w:i/>
              </w:rPr>
              <w:t>+32 25469727</w:t>
            </w:r>
          </w:p>
        </w:tc>
      </w:tr>
      <w:tr w:rsidRPr="008C608F" w:rsidR="00E24154" w:rsidTr="00261678" w14:paraId="048D96F6" w14:textId="77777777">
        <w:tc>
          <w:tcPr>
            <w:tcW w:w="2093" w:type="dxa"/>
          </w:tcPr>
          <w:p w:rsidRPr="004175C7" w:rsidR="00E24154" w:rsidP="00E24154" w:rsidRDefault="00E24154" w14:paraId="18E21BE2" w14:textId="77777777">
            <w:pPr>
              <w:overflowPunct w:val="0"/>
              <w:autoSpaceDE w:val="0"/>
              <w:autoSpaceDN w:val="0"/>
              <w:adjustRightInd w:val="0"/>
              <w:spacing w:line="240" w:lineRule="auto"/>
              <w:textAlignment w:val="baseline"/>
              <w:rPr>
                <w:i/>
              </w:rPr>
            </w:pPr>
            <w:r w:rsidRPr="008C608F">
              <w:rPr>
                <w:i/>
              </w:rPr>
              <w:t>Електронен адрес:</w:t>
            </w:r>
          </w:p>
        </w:tc>
        <w:tc>
          <w:tcPr>
            <w:tcW w:w="3742" w:type="dxa"/>
          </w:tcPr>
          <w:p w:rsidRPr="008C608F" w:rsidR="00E24154" w:rsidP="00E24154" w:rsidRDefault="00257091" w14:paraId="35547808" w14:textId="77777777">
            <w:pPr>
              <w:overflowPunct w:val="0"/>
              <w:autoSpaceDE w:val="0"/>
              <w:autoSpaceDN w:val="0"/>
              <w:adjustRightInd w:val="0"/>
              <w:spacing w:line="240" w:lineRule="auto"/>
              <w:textAlignment w:val="baseline"/>
              <w:rPr>
                <w:i/>
              </w:rPr>
            </w:pPr>
            <w:hyperlink w:history="1" r:id="rId37">
              <w:r w:rsidRPr="008C608F" w:rsidR="006A1AC2">
                <w:rPr>
                  <w:i/>
                  <w:color w:val="0000FF"/>
                  <w:u w:val="single"/>
                </w:rPr>
                <w:t>Sabrina.Borg@eesc.europa.eu</w:t>
              </w:r>
            </w:hyperlink>
          </w:p>
        </w:tc>
      </w:tr>
    </w:tbl>
    <w:p w:rsidRPr="008C608F" w:rsidR="004D7AC0" w:rsidP="004D7AC0" w:rsidRDefault="004D7AC0" w14:paraId="70637F99" w14:textId="77777777">
      <w:pPr>
        <w:pStyle w:val="ListParagraph"/>
        <w:ind w:left="0"/>
      </w:pPr>
    </w:p>
    <w:p w:rsidRPr="008C608F" w:rsidR="004D7AC0" w:rsidP="004D7AC0" w:rsidRDefault="004D7AC0" w14:paraId="4982DDC5" w14:textId="77777777">
      <w:pPr>
        <w:spacing w:after="160" w:line="259" w:lineRule="auto"/>
        <w:jc w:val="left"/>
      </w:pPr>
      <w:r w:rsidRPr="008C608F">
        <w:br w:type="page"/>
      </w:r>
    </w:p>
    <w:p w:rsidRPr="008C608F" w:rsidR="004D7AC0" w:rsidP="00B07E13" w:rsidRDefault="004D7AC0" w14:paraId="4982DDC6" w14:textId="77777777">
      <w:pPr>
        <w:pStyle w:val="Heading1"/>
        <w:keepNext/>
        <w:keepLines/>
        <w:rPr>
          <w:b/>
        </w:rPr>
      </w:pPr>
      <w:bookmarkStart w:name="_Toc24617160" w:id="42"/>
      <w:bookmarkStart w:name="_Toc75527082" w:id="43"/>
      <w:bookmarkStart w:name="_Toc179362856" w:id="44"/>
      <w:r w:rsidRPr="008C608F">
        <w:rPr>
          <w:b/>
        </w:rPr>
        <w:lastRenderedPageBreak/>
        <w:t>ТРАНСПОРТ, ЕНЕРГЕТИКА, ИНФРАСТРУКТУРИ, ИНФОРМАЦИОННО ОБЩЕСТВО</w:t>
      </w:r>
      <w:bookmarkEnd w:id="42"/>
      <w:bookmarkEnd w:id="43"/>
      <w:bookmarkEnd w:id="44"/>
    </w:p>
    <w:p w:rsidRPr="008C608F" w:rsidR="004D7AC0" w:rsidP="004F44E4" w:rsidRDefault="004D7AC0" w14:paraId="4982DDC7" w14:textId="77777777"/>
    <w:p w:rsidRPr="008C608F" w:rsidR="00A76426" w:rsidP="00A76426" w:rsidRDefault="00257091" w14:paraId="4C477585" w14:textId="4C2C8E2E">
      <w:pPr>
        <w:widowControl w:val="0"/>
        <w:numPr>
          <w:ilvl w:val="0"/>
          <w:numId w:val="4"/>
        </w:numPr>
        <w:overflowPunct w:val="0"/>
        <w:autoSpaceDE w:val="0"/>
        <w:autoSpaceDN w:val="0"/>
        <w:adjustRightInd w:val="0"/>
        <w:ind w:hanging="567"/>
        <w:textAlignment w:val="baseline"/>
        <w:rPr>
          <w:sz w:val="20"/>
          <w:szCs w:val="20"/>
        </w:rPr>
      </w:pPr>
      <w:hyperlink w:history="1" r:id="rId38">
        <w:r w:rsidRPr="008C608F" w:rsidR="000127B6">
          <w:rPr>
            <w:b/>
            <w:i/>
            <w:color w:val="0000FF"/>
            <w:sz w:val="28"/>
            <w:u w:val="single"/>
          </w:rPr>
          <w:t>Права на универсална услуга в областта на електронните съобщения в Европейския съюз</w:t>
        </w:r>
      </w:hyperlink>
    </w:p>
    <w:p w:rsidRPr="008C608F" w:rsidR="00A76426" w:rsidP="00A76426" w:rsidRDefault="00A76426" w14:paraId="6C744A0D" w14:textId="77777777">
      <w:pPr>
        <w:tabs>
          <w:tab w:val="center" w:pos="284"/>
        </w:tabs>
        <w:overflowPunct w:val="0"/>
        <w:autoSpaceDE w:val="0"/>
        <w:autoSpaceDN w:val="0"/>
        <w:adjustRightInd w:val="0"/>
        <w:ind w:left="266" w:hanging="266"/>
        <w:textAlignment w:val="baseline"/>
        <w:rPr>
          <w:b/>
          <w:lang w:val="en-GB"/>
        </w:rPr>
      </w:pPr>
    </w:p>
    <w:tbl>
      <w:tblPr>
        <w:tblW w:w="0" w:type="auto"/>
        <w:tblInd w:w="-142" w:type="dxa"/>
        <w:tblLook w:val="04A0" w:firstRow="1" w:lastRow="0" w:firstColumn="1" w:lastColumn="0" w:noHBand="0" w:noVBand="1"/>
      </w:tblPr>
      <w:tblGrid>
        <w:gridCol w:w="2235"/>
        <w:gridCol w:w="6838"/>
      </w:tblGrid>
      <w:tr w:rsidRPr="004175C7" w:rsidR="00A76426" w:rsidTr="0015437C" w14:paraId="212B6B8F" w14:textId="77777777">
        <w:tc>
          <w:tcPr>
            <w:tcW w:w="2235" w:type="dxa"/>
          </w:tcPr>
          <w:p w:rsidRPr="004175C7" w:rsidR="00A76426" w:rsidP="00A76426" w:rsidRDefault="00A76426" w14:paraId="4449D3A7" w14:textId="77777777">
            <w:pPr>
              <w:tabs>
                <w:tab w:val="center" w:pos="284"/>
              </w:tabs>
              <w:overflowPunct w:val="0"/>
              <w:autoSpaceDE w:val="0"/>
              <w:autoSpaceDN w:val="0"/>
              <w:adjustRightInd w:val="0"/>
              <w:ind w:left="266" w:hanging="266"/>
              <w:textAlignment w:val="baseline"/>
              <w:rPr>
                <w:b/>
              </w:rPr>
            </w:pPr>
            <w:r w:rsidRPr="008C608F">
              <w:rPr>
                <w:b/>
              </w:rPr>
              <w:t xml:space="preserve">Докладчик: </w:t>
            </w:r>
          </w:p>
        </w:tc>
        <w:tc>
          <w:tcPr>
            <w:tcW w:w="6838" w:type="dxa"/>
          </w:tcPr>
          <w:p w:rsidRPr="004175C7" w:rsidR="00A76426" w:rsidP="00A76426" w:rsidRDefault="00A76426" w14:paraId="5F497C1E" w14:textId="645769E7">
            <w:pPr>
              <w:tabs>
                <w:tab w:val="center" w:pos="284"/>
              </w:tabs>
              <w:overflowPunct w:val="0"/>
              <w:autoSpaceDE w:val="0"/>
              <w:autoSpaceDN w:val="0"/>
              <w:adjustRightInd w:val="0"/>
              <w:ind w:left="266" w:hanging="266"/>
              <w:textAlignment w:val="baseline"/>
            </w:pPr>
            <w:r w:rsidRPr="008C608F">
              <w:t>Mateusz SZYMAŃSKI (група „Работници“ — PL)</w:t>
            </w:r>
          </w:p>
        </w:tc>
      </w:tr>
      <w:tr w:rsidRPr="008C608F" w:rsidR="00A76426" w:rsidTr="0015437C" w14:paraId="4BC40685" w14:textId="77777777">
        <w:tc>
          <w:tcPr>
            <w:tcW w:w="2235" w:type="dxa"/>
          </w:tcPr>
          <w:p w:rsidRPr="004175C7" w:rsidR="00A76426" w:rsidP="00A76426" w:rsidRDefault="00A76426" w14:paraId="72A15DBE"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6838" w:type="dxa"/>
          </w:tcPr>
          <w:p w:rsidRPr="008C608F" w:rsidR="00A76426" w:rsidP="00A76426" w:rsidRDefault="00A76426" w14:paraId="339626A7" w14:textId="0886B20A">
            <w:pPr>
              <w:tabs>
                <w:tab w:val="center" w:pos="0"/>
              </w:tabs>
              <w:overflowPunct w:val="0"/>
              <w:autoSpaceDE w:val="0"/>
              <w:autoSpaceDN w:val="0"/>
              <w:adjustRightInd w:val="0"/>
              <w:textAlignment w:val="baseline"/>
            </w:pPr>
            <w:r w:rsidRPr="008C608F">
              <w:t>Проучвателно становище по искане на Европейската комисия</w:t>
            </w:r>
          </w:p>
          <w:p w:rsidRPr="008C608F" w:rsidR="00A76426" w:rsidP="00A76426" w:rsidRDefault="00A76426" w14:paraId="2255AC69" w14:textId="3268EB6C">
            <w:pPr>
              <w:tabs>
                <w:tab w:val="center" w:pos="284"/>
              </w:tabs>
              <w:overflowPunct w:val="0"/>
              <w:autoSpaceDE w:val="0"/>
              <w:autoSpaceDN w:val="0"/>
              <w:adjustRightInd w:val="0"/>
              <w:ind w:left="266" w:hanging="266"/>
              <w:textAlignment w:val="baseline"/>
            </w:pPr>
            <w:r w:rsidRPr="008C608F">
              <w:t>EESC-2024-00224-00-00-AC</w:t>
            </w:r>
          </w:p>
        </w:tc>
      </w:tr>
    </w:tbl>
    <w:p w:rsidRPr="008C608F" w:rsidR="00AB6CDB" w:rsidP="00A76426" w:rsidRDefault="00AB6CDB" w14:paraId="582F33A9"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A76426" w:rsidP="00A76426" w:rsidRDefault="00A76426" w14:paraId="4602A9FA" w14:textId="7140A60D">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A76426" w:rsidP="00A76426" w:rsidRDefault="00A76426" w14:paraId="6F3FC59E"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A76426" w:rsidP="00A76426" w:rsidRDefault="00A76426" w14:paraId="7C8D2A84" w14:textId="77777777">
      <w:pPr>
        <w:overflowPunct w:val="0"/>
        <w:autoSpaceDE w:val="0"/>
        <w:autoSpaceDN w:val="0"/>
        <w:adjustRightInd w:val="0"/>
        <w:textAlignment w:val="baseline"/>
        <w:rPr>
          <w:bCs/>
          <w:iCs/>
        </w:rPr>
      </w:pPr>
      <w:r w:rsidRPr="008C608F">
        <w:t>ЕИСК:</w:t>
      </w:r>
    </w:p>
    <w:p w:rsidRPr="008C608F" w:rsidR="00A76426" w:rsidP="00B07E13" w:rsidRDefault="00A76426" w14:paraId="2D246B0A" w14:textId="77777777">
      <w:pPr>
        <w:numPr>
          <w:ilvl w:val="0"/>
          <w:numId w:val="29"/>
        </w:numPr>
        <w:overflowPunct w:val="0"/>
        <w:autoSpaceDE w:val="0"/>
        <w:autoSpaceDN w:val="0"/>
        <w:adjustRightInd w:val="0"/>
        <w:spacing w:after="200" w:line="276" w:lineRule="auto"/>
        <w:ind w:left="567" w:hanging="567"/>
        <w:contextualSpacing/>
        <w:textAlignment w:val="baseline"/>
        <w:rPr>
          <w:szCs w:val="20"/>
        </w:rPr>
      </w:pPr>
      <w:r w:rsidRPr="008C608F">
        <w:t>счита, че липсата на цифрови умения и цената представляват пречка пред достъпа до интернет, като създават проблем, свързан с цифрово изключване, който води до социални и икономически неравенства;</w:t>
      </w:r>
    </w:p>
    <w:p w:rsidRPr="008C608F" w:rsidR="00A76426" w:rsidP="00B07E13" w:rsidRDefault="00A76426" w14:paraId="692B1807" w14:textId="77777777">
      <w:pPr>
        <w:numPr>
          <w:ilvl w:val="0"/>
          <w:numId w:val="29"/>
        </w:numPr>
        <w:overflowPunct w:val="0"/>
        <w:autoSpaceDE w:val="0"/>
        <w:autoSpaceDN w:val="0"/>
        <w:adjustRightInd w:val="0"/>
        <w:spacing w:after="200" w:line="276" w:lineRule="auto"/>
        <w:ind w:left="567" w:hanging="567"/>
        <w:contextualSpacing/>
        <w:textAlignment w:val="baseline"/>
        <w:rPr>
          <w:szCs w:val="20"/>
        </w:rPr>
      </w:pPr>
      <w:r w:rsidRPr="008C608F">
        <w:t>подкрепя обвързващата цел за предоставяне на универсален достъп до интернет връзка от най-малко 100 Mb/s, позволяваща ефективно използване на бързо развиващите се основни цифрови услуги. Тази цел трябва да бъде преразглеждана в зависимост от техническото развитие;</w:t>
      </w:r>
    </w:p>
    <w:p w:rsidRPr="008C608F" w:rsidR="00A76426" w:rsidP="00B07E13" w:rsidRDefault="00A76426" w14:paraId="3545A3A1" w14:textId="77777777">
      <w:pPr>
        <w:numPr>
          <w:ilvl w:val="0"/>
          <w:numId w:val="29"/>
        </w:numPr>
        <w:overflowPunct w:val="0"/>
        <w:autoSpaceDE w:val="0"/>
        <w:autoSpaceDN w:val="0"/>
        <w:adjustRightInd w:val="0"/>
        <w:spacing w:after="200" w:line="276" w:lineRule="auto"/>
        <w:ind w:left="567" w:hanging="567"/>
        <w:contextualSpacing/>
        <w:textAlignment w:val="baseline"/>
        <w:rPr>
          <w:szCs w:val="20"/>
        </w:rPr>
      </w:pPr>
      <w:r w:rsidRPr="008C608F">
        <w:t>препоръчва държавите — членки на ЕС, да определят оператори на универсална услуга във всяка държава и да подкрепят универсалната свързаност, когато пазарните сили не са достатъчни;</w:t>
      </w:r>
    </w:p>
    <w:p w:rsidRPr="008C608F" w:rsidR="00A76426" w:rsidP="00B07E13" w:rsidRDefault="00A76426" w14:paraId="4BA31E38" w14:textId="77777777">
      <w:pPr>
        <w:numPr>
          <w:ilvl w:val="0"/>
          <w:numId w:val="29"/>
        </w:numPr>
        <w:overflowPunct w:val="0"/>
        <w:autoSpaceDE w:val="0"/>
        <w:autoSpaceDN w:val="0"/>
        <w:adjustRightInd w:val="0"/>
        <w:spacing w:after="200" w:line="276" w:lineRule="auto"/>
        <w:ind w:left="567" w:hanging="567"/>
        <w:contextualSpacing/>
        <w:textAlignment w:val="baseline"/>
        <w:rPr>
          <w:szCs w:val="20"/>
        </w:rPr>
      </w:pPr>
      <w:r w:rsidRPr="008C608F">
        <w:t>счита, че достъпът до интернет следва да се разглежда като основно право в съответствие с принципите на Европейския стълб на социалните права;</w:t>
      </w:r>
    </w:p>
    <w:p w:rsidRPr="008C608F" w:rsidR="00A76426" w:rsidP="00B07E13" w:rsidRDefault="00A76426" w14:paraId="4BCB362A" w14:textId="77777777">
      <w:pPr>
        <w:numPr>
          <w:ilvl w:val="0"/>
          <w:numId w:val="29"/>
        </w:numPr>
        <w:overflowPunct w:val="0"/>
        <w:autoSpaceDE w:val="0"/>
        <w:autoSpaceDN w:val="0"/>
        <w:adjustRightInd w:val="0"/>
        <w:spacing w:after="200" w:line="276" w:lineRule="auto"/>
        <w:ind w:left="567" w:hanging="567"/>
        <w:contextualSpacing/>
        <w:textAlignment w:val="baseline"/>
        <w:rPr>
          <w:szCs w:val="20"/>
        </w:rPr>
      </w:pPr>
      <w:r w:rsidRPr="008C608F">
        <w:t>тъй като нуждите от инвестиции в инфраструктурите са много големи, призовава да се обмисли въвеждането на правила, които да задължават платформите, генериращи големи обеми от данни, особено големите технологични дружества, да участват в покриването на разходите за поддръжка и развитие на мрежата и за гарантирането на нейната сигурност.</w:t>
      </w:r>
    </w:p>
    <w:p w:rsidRPr="008C608F" w:rsidR="00A76426" w:rsidP="00A76426" w:rsidRDefault="00A76426" w14:paraId="4DE9D1B5" w14:textId="77777777">
      <w:pPr>
        <w:widowControl w:val="0"/>
        <w:overflowPunct w:val="0"/>
        <w:autoSpaceDE w:val="0"/>
        <w:autoSpaceDN w:val="0"/>
        <w:adjustRightInd w:val="0"/>
        <w:ind w:left="709"/>
        <w:textAlignment w:val="baseline"/>
        <w:rPr>
          <w:lang w:val="en-GB"/>
        </w:rPr>
      </w:pPr>
    </w:p>
    <w:tbl>
      <w:tblPr>
        <w:tblW w:w="0" w:type="auto"/>
        <w:tblLook w:val="04A0" w:firstRow="1" w:lastRow="0" w:firstColumn="1" w:lastColumn="0" w:noHBand="0" w:noVBand="1"/>
      </w:tblPr>
      <w:tblGrid>
        <w:gridCol w:w="2093"/>
        <w:gridCol w:w="4995"/>
      </w:tblGrid>
      <w:tr w:rsidRPr="004175C7" w:rsidR="00A76426" w:rsidTr="00261678" w14:paraId="78E5AAA0" w14:textId="77777777">
        <w:tc>
          <w:tcPr>
            <w:tcW w:w="2093" w:type="dxa"/>
          </w:tcPr>
          <w:p w:rsidRPr="004175C7" w:rsidR="00A76426" w:rsidP="00A76426" w:rsidRDefault="00A76426" w14:paraId="1E1EEE8A" w14:textId="77777777">
            <w:pPr>
              <w:overflowPunct w:val="0"/>
              <w:autoSpaceDE w:val="0"/>
              <w:autoSpaceDN w:val="0"/>
              <w:adjustRightInd w:val="0"/>
              <w:spacing w:line="240" w:lineRule="auto"/>
              <w:textAlignment w:val="baseline"/>
              <w:rPr>
                <w:i/>
              </w:rPr>
            </w:pPr>
            <w:r w:rsidRPr="008C608F">
              <w:rPr>
                <w:b/>
                <w:i/>
              </w:rPr>
              <w:t>За връзка:</w:t>
            </w:r>
          </w:p>
        </w:tc>
        <w:tc>
          <w:tcPr>
            <w:tcW w:w="4995" w:type="dxa"/>
          </w:tcPr>
          <w:p w:rsidRPr="004175C7" w:rsidR="00A76426" w:rsidP="00A76426" w:rsidRDefault="00A76426" w14:paraId="23B1D92F" w14:textId="3F107E81">
            <w:pPr>
              <w:overflowPunct w:val="0"/>
              <w:autoSpaceDE w:val="0"/>
              <w:autoSpaceDN w:val="0"/>
              <w:adjustRightInd w:val="0"/>
              <w:spacing w:line="240" w:lineRule="auto"/>
              <w:textAlignment w:val="baseline"/>
              <w:rPr>
                <w:i/>
              </w:rPr>
            </w:pPr>
            <w:r w:rsidRPr="008C608F">
              <w:rPr>
                <w:i/>
              </w:rPr>
              <w:t>Alessandro Rizzi</w:t>
            </w:r>
          </w:p>
        </w:tc>
      </w:tr>
      <w:tr w:rsidRPr="004175C7" w:rsidR="00A76426" w:rsidTr="00261678" w14:paraId="3EFC838C" w14:textId="77777777">
        <w:tc>
          <w:tcPr>
            <w:tcW w:w="2093" w:type="dxa"/>
          </w:tcPr>
          <w:p w:rsidRPr="004175C7" w:rsidR="00A76426" w:rsidP="00A76426" w:rsidRDefault="00A76426" w14:paraId="1DCFB211"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4995" w:type="dxa"/>
          </w:tcPr>
          <w:p w:rsidRPr="004175C7" w:rsidR="00A76426" w:rsidP="00A76426" w:rsidRDefault="00A76426" w14:paraId="43EEE60E" w14:textId="77777777">
            <w:pPr>
              <w:overflowPunct w:val="0"/>
              <w:autoSpaceDE w:val="0"/>
              <w:autoSpaceDN w:val="0"/>
              <w:adjustRightInd w:val="0"/>
              <w:spacing w:line="240" w:lineRule="auto"/>
              <w:textAlignment w:val="baseline"/>
              <w:rPr>
                <w:i/>
              </w:rPr>
            </w:pPr>
            <w:r w:rsidRPr="008C608F">
              <w:rPr>
                <w:i/>
              </w:rPr>
              <w:t>+ 32 25468679</w:t>
            </w:r>
          </w:p>
        </w:tc>
      </w:tr>
      <w:tr w:rsidRPr="008C608F" w:rsidR="00A76426" w:rsidTr="00261678" w14:paraId="289ADF54" w14:textId="77777777">
        <w:tc>
          <w:tcPr>
            <w:tcW w:w="2093" w:type="dxa"/>
          </w:tcPr>
          <w:p w:rsidRPr="004175C7" w:rsidR="00A76426" w:rsidP="00A76426" w:rsidRDefault="00807CED" w14:paraId="784F713D" w14:textId="7E1C5424">
            <w:pPr>
              <w:overflowPunct w:val="0"/>
              <w:autoSpaceDE w:val="0"/>
              <w:autoSpaceDN w:val="0"/>
              <w:adjustRightInd w:val="0"/>
              <w:spacing w:line="240" w:lineRule="auto"/>
              <w:textAlignment w:val="baseline"/>
              <w:rPr>
                <w:i/>
              </w:rPr>
            </w:pPr>
            <w:r w:rsidRPr="008C608F">
              <w:rPr>
                <w:i/>
              </w:rPr>
              <w:t>Електронен адрес:</w:t>
            </w:r>
          </w:p>
        </w:tc>
        <w:tc>
          <w:tcPr>
            <w:tcW w:w="4995" w:type="dxa"/>
          </w:tcPr>
          <w:p w:rsidRPr="008C608F" w:rsidR="00A76426" w:rsidP="00A76426" w:rsidRDefault="00257091" w14:paraId="1AB83A22" w14:textId="77777777">
            <w:pPr>
              <w:overflowPunct w:val="0"/>
              <w:autoSpaceDE w:val="0"/>
              <w:autoSpaceDN w:val="0"/>
              <w:adjustRightInd w:val="0"/>
              <w:spacing w:line="240" w:lineRule="auto"/>
              <w:textAlignment w:val="baseline"/>
              <w:rPr>
                <w:i/>
              </w:rPr>
            </w:pPr>
            <w:hyperlink w:history="1" r:id="rId39">
              <w:r w:rsidRPr="008C608F" w:rsidR="006A1AC2">
                <w:rPr>
                  <w:i/>
                  <w:color w:val="0000FF"/>
                  <w:u w:val="single"/>
                </w:rPr>
                <w:t>Alessandro.Rizzi@eesc.europa.eu</w:t>
              </w:r>
            </w:hyperlink>
          </w:p>
        </w:tc>
      </w:tr>
    </w:tbl>
    <w:p w:rsidRPr="008C608F" w:rsidR="00A76426" w:rsidP="004D7AC0" w:rsidRDefault="00A76426" w14:paraId="4982DDF0" w14:textId="6EE5A54F">
      <w:pPr>
        <w:pStyle w:val="ListParagraph"/>
        <w:ind w:left="0"/>
      </w:pPr>
    </w:p>
    <w:p w:rsidRPr="008C608F" w:rsidR="00A76426" w:rsidRDefault="00A76426" w14:paraId="7B03B727" w14:textId="1FD4D4FA">
      <w:pPr>
        <w:spacing w:after="160" w:line="259" w:lineRule="auto"/>
        <w:jc w:val="left"/>
      </w:pPr>
    </w:p>
    <w:p w:rsidRPr="008C608F" w:rsidR="002608BA" w:rsidP="00261678" w:rsidRDefault="00257091" w14:paraId="6928A795" w14:textId="42FB43E0">
      <w:pPr>
        <w:keepNext/>
        <w:widowControl w:val="0"/>
        <w:numPr>
          <w:ilvl w:val="0"/>
          <w:numId w:val="4"/>
        </w:numPr>
        <w:overflowPunct w:val="0"/>
        <w:autoSpaceDE w:val="0"/>
        <w:autoSpaceDN w:val="0"/>
        <w:adjustRightInd w:val="0"/>
        <w:ind w:hanging="567"/>
        <w:textAlignment w:val="baseline"/>
        <w:rPr>
          <w:sz w:val="20"/>
          <w:szCs w:val="20"/>
        </w:rPr>
      </w:pPr>
      <w:hyperlink w:history="1" r:id="rId40">
        <w:r w:rsidRPr="008C608F" w:rsidR="006A1AC2">
          <w:rPr>
            <w:b/>
            <w:i/>
            <w:color w:val="0000FF"/>
            <w:sz w:val="28"/>
            <w:u w:val="single"/>
          </w:rPr>
          <w:t>Пакет за свързаност относно цифровите мрежи и инфраструктура</w:t>
        </w:r>
      </w:hyperlink>
    </w:p>
    <w:p w:rsidRPr="008C608F" w:rsidR="002608BA" w:rsidP="00261678" w:rsidRDefault="002608BA" w14:paraId="57B1F690" w14:textId="77777777">
      <w:pPr>
        <w:keepNext/>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518"/>
        <w:gridCol w:w="6379"/>
      </w:tblGrid>
      <w:tr w:rsidRPr="004175C7" w:rsidR="002608BA" w:rsidTr="0001678A" w14:paraId="094FF88A" w14:textId="77777777">
        <w:tc>
          <w:tcPr>
            <w:tcW w:w="2518" w:type="dxa"/>
          </w:tcPr>
          <w:p w:rsidRPr="004175C7" w:rsidR="002608BA" w:rsidP="00261678" w:rsidRDefault="002608BA" w14:paraId="614CE0AE" w14:textId="77777777">
            <w:pPr>
              <w:keepNext/>
              <w:tabs>
                <w:tab w:val="center" w:pos="284"/>
              </w:tabs>
              <w:overflowPunct w:val="0"/>
              <w:autoSpaceDE w:val="0"/>
              <w:autoSpaceDN w:val="0"/>
              <w:adjustRightInd w:val="0"/>
              <w:ind w:left="266" w:hanging="266"/>
              <w:textAlignment w:val="baseline"/>
              <w:rPr>
                <w:b/>
              </w:rPr>
            </w:pPr>
            <w:r w:rsidRPr="008C608F">
              <w:rPr>
                <w:b/>
              </w:rPr>
              <w:t>Докладчик:</w:t>
            </w:r>
          </w:p>
        </w:tc>
        <w:tc>
          <w:tcPr>
            <w:tcW w:w="6379" w:type="dxa"/>
          </w:tcPr>
          <w:p w:rsidRPr="004175C7" w:rsidR="002608BA" w:rsidP="00261678" w:rsidRDefault="002608BA" w14:paraId="5D546267" w14:textId="77777777">
            <w:pPr>
              <w:keepNext/>
              <w:tabs>
                <w:tab w:val="center" w:pos="284"/>
              </w:tabs>
              <w:overflowPunct w:val="0"/>
              <w:autoSpaceDE w:val="0"/>
              <w:autoSpaceDN w:val="0"/>
              <w:adjustRightInd w:val="0"/>
              <w:ind w:left="266" w:hanging="266"/>
              <w:textAlignment w:val="baseline"/>
            </w:pPr>
            <w:r w:rsidRPr="008C608F">
              <w:t>Isabel CAÑO AGUILAR (група „Работници“ — ES)</w:t>
            </w:r>
          </w:p>
        </w:tc>
      </w:tr>
      <w:tr w:rsidRPr="004175C7" w:rsidR="002608BA" w:rsidTr="0001678A" w14:paraId="7E573579" w14:textId="77777777">
        <w:tc>
          <w:tcPr>
            <w:tcW w:w="2518" w:type="dxa"/>
          </w:tcPr>
          <w:p w:rsidRPr="004175C7" w:rsidR="002608BA" w:rsidP="00261678" w:rsidRDefault="002608BA" w14:paraId="5BFE87EB" w14:textId="13F61B36">
            <w:pPr>
              <w:keepNext/>
              <w:tabs>
                <w:tab w:val="center" w:pos="284"/>
              </w:tabs>
              <w:overflowPunct w:val="0"/>
              <w:autoSpaceDE w:val="0"/>
              <w:autoSpaceDN w:val="0"/>
              <w:adjustRightInd w:val="0"/>
              <w:ind w:left="266" w:hanging="266"/>
              <w:textAlignment w:val="baseline"/>
              <w:rPr>
                <w:b/>
              </w:rPr>
            </w:pPr>
            <w:r w:rsidRPr="008C608F">
              <w:rPr>
                <w:b/>
              </w:rPr>
              <w:t>Съдокладчик</w:t>
            </w:r>
            <w:r w:rsidRPr="008C608F" w:rsidR="00261678">
              <w:rPr>
                <w:b/>
              </w:rPr>
              <w:t>:</w:t>
            </w:r>
          </w:p>
        </w:tc>
        <w:tc>
          <w:tcPr>
            <w:tcW w:w="6379" w:type="dxa"/>
          </w:tcPr>
          <w:p w:rsidRPr="004175C7" w:rsidR="002608BA" w:rsidP="00261678" w:rsidRDefault="002608BA" w14:paraId="4EB12EA4" w14:textId="77777777">
            <w:pPr>
              <w:keepNext/>
              <w:overflowPunct w:val="0"/>
              <w:autoSpaceDE w:val="0"/>
              <w:autoSpaceDN w:val="0"/>
              <w:adjustRightInd w:val="0"/>
              <w:ind w:left="3" w:hanging="3"/>
              <w:textAlignment w:val="baseline"/>
            </w:pPr>
            <w:r w:rsidRPr="008C608F">
              <w:t>Maurizio MENSi (група „Организации на гражданското общество“ — IT)</w:t>
            </w:r>
          </w:p>
        </w:tc>
      </w:tr>
      <w:tr w:rsidRPr="008C608F" w:rsidR="002608BA" w:rsidTr="0001678A" w14:paraId="299C099C" w14:textId="77777777">
        <w:tc>
          <w:tcPr>
            <w:tcW w:w="2518" w:type="dxa"/>
          </w:tcPr>
          <w:p w:rsidRPr="004175C7" w:rsidR="002608BA" w:rsidP="00261678" w:rsidRDefault="002608BA" w14:paraId="3197E581" w14:textId="77777777">
            <w:pPr>
              <w:keepNext/>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6379" w:type="dxa"/>
          </w:tcPr>
          <w:p w:rsidRPr="008C608F" w:rsidR="00BE0672" w:rsidP="00261678" w:rsidRDefault="00BE0672" w14:paraId="479F737F" w14:textId="2EC59796">
            <w:pPr>
              <w:keepNext/>
              <w:tabs>
                <w:tab w:val="center" w:pos="284"/>
              </w:tabs>
              <w:overflowPunct w:val="0"/>
              <w:autoSpaceDE w:val="0"/>
              <w:autoSpaceDN w:val="0"/>
              <w:adjustRightInd w:val="0"/>
              <w:ind w:left="266" w:hanging="266"/>
              <w:textAlignment w:val="baseline"/>
            </w:pPr>
            <w:r w:rsidRPr="008C608F">
              <w:t>Становище по собствена инициатива</w:t>
            </w:r>
          </w:p>
          <w:p w:rsidRPr="008C608F" w:rsidR="002608BA" w:rsidP="00261678" w:rsidRDefault="002608BA" w14:paraId="2B4C4FBF" w14:textId="29589D83">
            <w:pPr>
              <w:keepNext/>
              <w:tabs>
                <w:tab w:val="center" w:pos="284"/>
              </w:tabs>
              <w:overflowPunct w:val="0"/>
              <w:autoSpaceDE w:val="0"/>
              <w:autoSpaceDN w:val="0"/>
              <w:adjustRightInd w:val="0"/>
              <w:ind w:left="266" w:hanging="266"/>
              <w:textAlignment w:val="baseline"/>
            </w:pPr>
            <w:r w:rsidRPr="008C608F">
              <w:t>EESC-2024-01000-00-00-AC</w:t>
            </w:r>
          </w:p>
        </w:tc>
      </w:tr>
    </w:tbl>
    <w:p w:rsidRPr="008C608F" w:rsidR="002608BA" w:rsidP="00261678" w:rsidRDefault="002608BA" w14:paraId="62297A7D" w14:textId="77777777">
      <w:pPr>
        <w:keepNext/>
        <w:tabs>
          <w:tab w:val="center" w:pos="284"/>
        </w:tabs>
        <w:overflowPunct w:val="0"/>
        <w:autoSpaceDE w:val="0"/>
        <w:autoSpaceDN w:val="0"/>
        <w:adjustRightInd w:val="0"/>
        <w:ind w:left="266" w:hanging="266"/>
        <w:textAlignment w:val="baseline"/>
        <w:rPr>
          <w:lang w:val="en-GB"/>
        </w:rPr>
      </w:pPr>
    </w:p>
    <w:p w:rsidRPr="008C608F" w:rsidR="002608BA" w:rsidP="002608BA" w:rsidRDefault="002608BA" w14:paraId="6C4CFEED"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2608BA" w:rsidP="002608BA" w:rsidRDefault="002608BA" w14:paraId="60DCAB0E"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2608BA" w:rsidP="002608BA" w:rsidRDefault="002608BA" w14:paraId="0C9B13BA" w14:textId="77777777">
      <w:pPr>
        <w:overflowPunct w:val="0"/>
        <w:autoSpaceDE w:val="0"/>
        <w:autoSpaceDN w:val="0"/>
        <w:adjustRightInd w:val="0"/>
        <w:textAlignment w:val="baseline"/>
        <w:rPr>
          <w:bCs/>
          <w:iCs/>
        </w:rPr>
      </w:pPr>
      <w:r w:rsidRPr="008C608F">
        <w:t>ЕИСК:</w:t>
      </w:r>
    </w:p>
    <w:p w:rsidRPr="008C608F" w:rsidR="002608BA" w:rsidP="00B07E13" w:rsidRDefault="002608BA" w14:paraId="0F3E8656" w14:textId="77777777">
      <w:pPr>
        <w:widowControl w:val="0"/>
        <w:numPr>
          <w:ilvl w:val="0"/>
          <w:numId w:val="30"/>
        </w:numPr>
        <w:overflowPunct w:val="0"/>
        <w:autoSpaceDE w:val="0"/>
        <w:autoSpaceDN w:val="0"/>
        <w:adjustRightInd w:val="0"/>
        <w:ind w:left="567" w:hanging="567"/>
        <w:textAlignment w:val="baseline"/>
        <w:rPr>
          <w:bCs/>
          <w:iCs/>
        </w:rPr>
      </w:pPr>
      <w:r w:rsidRPr="008C608F">
        <w:t>подчертава значението на цифровата икономика за икономиката на ЕС и ползите от взаимосвързаността за дома, обществения транспорт, здравеопазването и междуличностните отношения;</w:t>
      </w:r>
    </w:p>
    <w:p w:rsidRPr="008C608F" w:rsidR="002608BA" w:rsidP="00B07E13" w:rsidRDefault="002608BA" w14:paraId="6CB44218" w14:textId="77777777">
      <w:pPr>
        <w:widowControl w:val="0"/>
        <w:numPr>
          <w:ilvl w:val="0"/>
          <w:numId w:val="30"/>
        </w:numPr>
        <w:overflowPunct w:val="0"/>
        <w:autoSpaceDE w:val="0"/>
        <w:autoSpaceDN w:val="0"/>
        <w:adjustRightInd w:val="0"/>
        <w:ind w:left="567" w:hanging="567"/>
        <w:textAlignment w:val="baseline"/>
        <w:rPr>
          <w:bCs/>
          <w:iCs/>
        </w:rPr>
      </w:pPr>
      <w:r w:rsidRPr="008C608F">
        <w:t>смята, че в новите технологични и пазарни условия е от съществено значение да се осигурят еднакви условия на конкуренция между всички участници в цифровата екосистема и да се гарантира еднаква защита за потребителите независимо от доставчика;</w:t>
      </w:r>
    </w:p>
    <w:p w:rsidRPr="008C608F" w:rsidR="002608BA" w:rsidP="00B07E13" w:rsidRDefault="002608BA" w14:paraId="5A587D0A" w14:textId="77777777">
      <w:pPr>
        <w:widowControl w:val="0"/>
        <w:numPr>
          <w:ilvl w:val="0"/>
          <w:numId w:val="30"/>
        </w:numPr>
        <w:overflowPunct w:val="0"/>
        <w:autoSpaceDE w:val="0"/>
        <w:autoSpaceDN w:val="0"/>
        <w:adjustRightInd w:val="0"/>
        <w:ind w:left="567" w:hanging="567"/>
        <w:textAlignment w:val="baseline"/>
        <w:rPr>
          <w:bCs/>
          <w:iCs/>
        </w:rPr>
      </w:pPr>
      <w:r w:rsidRPr="008C608F">
        <w:t>препоръчва създаването на силни оператори в пазарната икономика, които насърчават заетостта и социалния диалог в съответствие с европейските ценности;</w:t>
      </w:r>
    </w:p>
    <w:p w:rsidRPr="008C608F" w:rsidR="002608BA" w:rsidP="00B07E13" w:rsidRDefault="002608BA" w14:paraId="0FC1DF3F" w14:textId="77777777">
      <w:pPr>
        <w:widowControl w:val="0"/>
        <w:numPr>
          <w:ilvl w:val="0"/>
          <w:numId w:val="30"/>
        </w:numPr>
        <w:overflowPunct w:val="0"/>
        <w:autoSpaceDE w:val="0"/>
        <w:autoSpaceDN w:val="0"/>
        <w:adjustRightInd w:val="0"/>
        <w:ind w:left="567" w:hanging="567"/>
        <w:textAlignment w:val="baseline"/>
        <w:rPr>
          <w:bCs/>
          <w:iCs/>
        </w:rPr>
      </w:pPr>
      <w:r w:rsidRPr="008C608F">
        <w:t>подчертава, че за разгръщане на цифровите мрежи с голям капацитет, с помощта на които да постигнем целите, определени в политическата програма „Цифрово десетилетие“ до 2030 г., Европа се нуждае от значителни, координирани инвестиции в размер на над 200 милиарда евро от частния и публичния сектор;</w:t>
      </w:r>
    </w:p>
    <w:p w:rsidRPr="008C608F" w:rsidR="002608BA" w:rsidP="00B07E13" w:rsidRDefault="002608BA" w14:paraId="1B9E3BF8" w14:textId="77777777">
      <w:pPr>
        <w:widowControl w:val="0"/>
        <w:numPr>
          <w:ilvl w:val="0"/>
          <w:numId w:val="30"/>
        </w:numPr>
        <w:overflowPunct w:val="0"/>
        <w:autoSpaceDE w:val="0"/>
        <w:autoSpaceDN w:val="0"/>
        <w:adjustRightInd w:val="0"/>
        <w:ind w:left="567" w:hanging="567"/>
        <w:textAlignment w:val="baseline"/>
        <w:rPr>
          <w:bCs/>
          <w:iCs/>
        </w:rPr>
      </w:pPr>
      <w:r w:rsidRPr="008C608F">
        <w:t>подчертава, че за киберсигурността, сигурността и издръжливостта на критичната инфраструктура следва да се залага на надеждни доставчици, на разработването на стандарти за сигурност при свързаността „от край до край“, както и на по-висока степен на издръжливост и интеграция на всички нива: наземни, неназемни мрежи, мрежи за достъп и опорни мрежи, включително подводни кабелни инфраструктури.</w:t>
      </w:r>
    </w:p>
    <w:p w:rsidRPr="008C608F" w:rsidR="002608BA" w:rsidP="002608BA" w:rsidRDefault="002608BA" w14:paraId="6D17DDD3" w14:textId="77777777">
      <w:pPr>
        <w:widowControl w:val="0"/>
        <w:overflowPunct w:val="0"/>
        <w:autoSpaceDE w:val="0"/>
        <w:autoSpaceDN w:val="0"/>
        <w:adjustRightInd w:val="0"/>
        <w:ind w:left="709"/>
        <w:textAlignment w:val="baseline"/>
        <w:rPr>
          <w:szCs w:val="20"/>
          <w:lang w:val="en-GB"/>
        </w:rPr>
      </w:pPr>
    </w:p>
    <w:tbl>
      <w:tblPr>
        <w:tblW w:w="7088" w:type="dxa"/>
        <w:tblLook w:val="04A0" w:firstRow="1" w:lastRow="0" w:firstColumn="1" w:lastColumn="0" w:noHBand="0" w:noVBand="1"/>
      </w:tblPr>
      <w:tblGrid>
        <w:gridCol w:w="2093"/>
        <w:gridCol w:w="4995"/>
      </w:tblGrid>
      <w:tr w:rsidRPr="004175C7" w:rsidR="002608BA" w:rsidTr="00261678" w14:paraId="37C1713F" w14:textId="77777777">
        <w:tc>
          <w:tcPr>
            <w:tcW w:w="2093" w:type="dxa"/>
          </w:tcPr>
          <w:p w:rsidRPr="004175C7" w:rsidR="002608BA" w:rsidP="002608BA" w:rsidRDefault="002608BA" w14:paraId="47A5D02D" w14:textId="3C67C609">
            <w:pPr>
              <w:overflowPunct w:val="0"/>
              <w:autoSpaceDE w:val="0"/>
              <w:autoSpaceDN w:val="0"/>
              <w:adjustRightInd w:val="0"/>
              <w:spacing w:line="240" w:lineRule="auto"/>
              <w:textAlignment w:val="baseline"/>
              <w:rPr>
                <w:i/>
              </w:rPr>
            </w:pPr>
            <w:r w:rsidRPr="008C608F">
              <w:rPr>
                <w:b/>
                <w:i/>
              </w:rPr>
              <w:t>За връзка:</w:t>
            </w:r>
          </w:p>
        </w:tc>
        <w:tc>
          <w:tcPr>
            <w:tcW w:w="4995" w:type="dxa"/>
          </w:tcPr>
          <w:p w:rsidRPr="004175C7" w:rsidR="002608BA" w:rsidP="002608BA" w:rsidRDefault="002608BA" w14:paraId="3F30372C" w14:textId="7425230E">
            <w:pPr>
              <w:overflowPunct w:val="0"/>
              <w:autoSpaceDE w:val="0"/>
              <w:autoSpaceDN w:val="0"/>
              <w:adjustRightInd w:val="0"/>
              <w:spacing w:line="240" w:lineRule="auto"/>
              <w:textAlignment w:val="baseline"/>
              <w:rPr>
                <w:i/>
              </w:rPr>
            </w:pPr>
            <w:r w:rsidRPr="008C608F">
              <w:rPr>
                <w:i/>
              </w:rPr>
              <w:t>Albert Precup</w:t>
            </w:r>
          </w:p>
        </w:tc>
      </w:tr>
      <w:tr w:rsidRPr="004175C7" w:rsidR="002608BA" w:rsidTr="00261678" w14:paraId="6278AFAF" w14:textId="77777777">
        <w:tc>
          <w:tcPr>
            <w:tcW w:w="2093" w:type="dxa"/>
          </w:tcPr>
          <w:p w:rsidRPr="004175C7" w:rsidR="002608BA" w:rsidP="002608BA" w:rsidRDefault="002608BA" w14:paraId="132244B2"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4995" w:type="dxa"/>
          </w:tcPr>
          <w:p w:rsidRPr="004175C7" w:rsidR="002608BA" w:rsidP="002608BA" w:rsidRDefault="002608BA" w14:paraId="24B22D18" w14:textId="77777777">
            <w:pPr>
              <w:overflowPunct w:val="0"/>
              <w:autoSpaceDE w:val="0"/>
              <w:autoSpaceDN w:val="0"/>
              <w:adjustRightInd w:val="0"/>
              <w:spacing w:line="240" w:lineRule="auto"/>
              <w:textAlignment w:val="baseline"/>
              <w:rPr>
                <w:i/>
              </w:rPr>
            </w:pPr>
            <w:r w:rsidRPr="008C608F">
              <w:rPr>
                <w:i/>
              </w:rPr>
              <w:t>+32 25468679</w:t>
            </w:r>
          </w:p>
        </w:tc>
      </w:tr>
      <w:tr w:rsidRPr="008C608F" w:rsidR="002608BA" w:rsidTr="00261678" w14:paraId="518961F7" w14:textId="77777777">
        <w:tc>
          <w:tcPr>
            <w:tcW w:w="2093" w:type="dxa"/>
          </w:tcPr>
          <w:p w:rsidRPr="004175C7" w:rsidR="002608BA" w:rsidP="002608BA" w:rsidRDefault="0059010B" w14:paraId="4AF8AEBB" w14:textId="4FBEBD7B">
            <w:pPr>
              <w:overflowPunct w:val="0"/>
              <w:autoSpaceDE w:val="0"/>
              <w:autoSpaceDN w:val="0"/>
              <w:adjustRightInd w:val="0"/>
              <w:spacing w:line="240" w:lineRule="auto"/>
              <w:textAlignment w:val="baseline"/>
              <w:rPr>
                <w:i/>
              </w:rPr>
            </w:pPr>
            <w:r w:rsidRPr="008C608F">
              <w:rPr>
                <w:i/>
              </w:rPr>
              <w:t>Електронен адрес:</w:t>
            </w:r>
          </w:p>
        </w:tc>
        <w:tc>
          <w:tcPr>
            <w:tcW w:w="4995" w:type="dxa"/>
          </w:tcPr>
          <w:p w:rsidRPr="008C608F" w:rsidR="002608BA" w:rsidP="002608BA" w:rsidRDefault="00257091" w14:paraId="415413D3" w14:textId="6377F903">
            <w:pPr>
              <w:overflowPunct w:val="0"/>
              <w:autoSpaceDE w:val="0"/>
              <w:autoSpaceDN w:val="0"/>
              <w:adjustRightInd w:val="0"/>
              <w:spacing w:line="240" w:lineRule="auto"/>
              <w:textAlignment w:val="baseline"/>
              <w:rPr>
                <w:i/>
                <w:iCs/>
              </w:rPr>
            </w:pPr>
            <w:hyperlink w:history="1" r:id="rId41">
              <w:r w:rsidRPr="008C608F" w:rsidR="006A1AC2">
                <w:rPr>
                  <w:i/>
                  <w:color w:val="0000FF"/>
                  <w:u w:val="single"/>
                </w:rPr>
                <w:t>Albert.Precup@eesc.europa.eu</w:t>
              </w:r>
            </w:hyperlink>
          </w:p>
        </w:tc>
      </w:tr>
    </w:tbl>
    <w:p w:rsidRPr="008C608F" w:rsidR="004D7AC0" w:rsidP="004D7AC0" w:rsidRDefault="004D7AC0" w14:paraId="4982DDF1" w14:textId="77777777">
      <w:pPr>
        <w:pStyle w:val="ListParagraph"/>
        <w:ind w:left="0"/>
      </w:pPr>
    </w:p>
    <w:p w:rsidRPr="008C608F" w:rsidR="00E57317" w:rsidRDefault="00E57317" w14:paraId="73076A4B" w14:textId="0C98E66C">
      <w:pPr>
        <w:spacing w:after="160" w:line="259" w:lineRule="auto"/>
        <w:jc w:val="left"/>
      </w:pPr>
    </w:p>
    <w:p w:rsidRPr="008C608F" w:rsidR="00E57317" w:rsidP="00261678" w:rsidRDefault="00257091" w14:paraId="27EC8D65" w14:textId="60CC7A26">
      <w:pPr>
        <w:keepNext/>
        <w:widowControl w:val="0"/>
        <w:numPr>
          <w:ilvl w:val="0"/>
          <w:numId w:val="4"/>
        </w:numPr>
        <w:overflowPunct w:val="0"/>
        <w:autoSpaceDE w:val="0"/>
        <w:autoSpaceDN w:val="0"/>
        <w:adjustRightInd w:val="0"/>
        <w:ind w:hanging="567"/>
        <w:textAlignment w:val="baseline"/>
        <w:rPr>
          <w:b/>
          <w:bCs/>
          <w:i/>
          <w:iCs/>
          <w:sz w:val="28"/>
          <w:szCs w:val="28"/>
        </w:rPr>
      </w:pPr>
      <w:hyperlink w:history="1" r:id="rId42">
        <w:r w:rsidRPr="008C608F" w:rsidR="000127B6">
          <w:rPr>
            <w:b/>
            <w:i/>
            <w:color w:val="0000FF"/>
            <w:sz w:val="28"/>
            <w:u w:val="single"/>
          </w:rPr>
          <w:t>Водород — инфраструктура, нужди от развитие, финансиране, използване и ограничения</w:t>
        </w:r>
      </w:hyperlink>
    </w:p>
    <w:p w:rsidRPr="008C608F" w:rsidR="00E57317" w:rsidP="00261678" w:rsidRDefault="00E57317" w14:paraId="38F924E6" w14:textId="77777777">
      <w:pPr>
        <w:keepNext/>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235"/>
        <w:gridCol w:w="4853"/>
      </w:tblGrid>
      <w:tr w:rsidRPr="004175C7" w:rsidR="00E57317" w:rsidTr="00261678" w14:paraId="47C7FA3E" w14:textId="77777777">
        <w:tc>
          <w:tcPr>
            <w:tcW w:w="2235" w:type="dxa"/>
          </w:tcPr>
          <w:p w:rsidRPr="004175C7" w:rsidR="00E57317" w:rsidP="00261678" w:rsidRDefault="00E57317" w14:paraId="490950CA" w14:textId="77777777">
            <w:pPr>
              <w:keepNext/>
              <w:tabs>
                <w:tab w:val="center" w:pos="284"/>
              </w:tabs>
              <w:overflowPunct w:val="0"/>
              <w:autoSpaceDE w:val="0"/>
              <w:autoSpaceDN w:val="0"/>
              <w:adjustRightInd w:val="0"/>
              <w:ind w:left="266" w:hanging="266"/>
              <w:textAlignment w:val="baseline"/>
              <w:rPr>
                <w:b/>
              </w:rPr>
            </w:pPr>
            <w:r w:rsidRPr="008C608F">
              <w:rPr>
                <w:b/>
              </w:rPr>
              <w:t>Докладчик:</w:t>
            </w:r>
          </w:p>
        </w:tc>
        <w:tc>
          <w:tcPr>
            <w:tcW w:w="4853" w:type="dxa"/>
          </w:tcPr>
          <w:p w:rsidRPr="004175C7" w:rsidR="00E57317" w:rsidP="00261678" w:rsidRDefault="00E57317" w14:paraId="056D28EF" w14:textId="1F76F77F">
            <w:pPr>
              <w:keepNext/>
              <w:tabs>
                <w:tab w:val="center" w:pos="284"/>
              </w:tabs>
              <w:overflowPunct w:val="0"/>
              <w:autoSpaceDE w:val="0"/>
              <w:autoSpaceDN w:val="0"/>
              <w:adjustRightInd w:val="0"/>
              <w:ind w:left="266" w:hanging="266"/>
              <w:textAlignment w:val="baseline"/>
            </w:pPr>
            <w:r w:rsidRPr="008C608F">
              <w:t>Thomas KATTNIG (група „Работници“ — AT)</w:t>
            </w:r>
          </w:p>
        </w:tc>
      </w:tr>
      <w:tr w:rsidRPr="008C608F" w:rsidR="00E57317" w:rsidTr="00261678" w14:paraId="19D2E68B" w14:textId="77777777">
        <w:tc>
          <w:tcPr>
            <w:tcW w:w="2235" w:type="dxa"/>
          </w:tcPr>
          <w:p w:rsidRPr="004175C7" w:rsidR="00E57317" w:rsidP="00261678" w:rsidRDefault="00E57317" w14:paraId="2B51203D" w14:textId="77777777">
            <w:pPr>
              <w:keepNext/>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4853" w:type="dxa"/>
          </w:tcPr>
          <w:p w:rsidRPr="008C608F" w:rsidR="00E57317" w:rsidP="00261678" w:rsidRDefault="00E57317" w14:paraId="624E94A2" w14:textId="77777777">
            <w:pPr>
              <w:keepNext/>
              <w:tabs>
                <w:tab w:val="center" w:pos="284"/>
              </w:tabs>
              <w:overflowPunct w:val="0"/>
              <w:autoSpaceDE w:val="0"/>
              <w:autoSpaceDN w:val="0"/>
              <w:adjustRightInd w:val="0"/>
              <w:ind w:left="266" w:hanging="266"/>
              <w:textAlignment w:val="baseline"/>
            </w:pPr>
            <w:r w:rsidRPr="008C608F">
              <w:t>Становище по собствена инициатива</w:t>
            </w:r>
          </w:p>
          <w:p w:rsidRPr="008C608F" w:rsidR="00E57317" w:rsidP="00261678" w:rsidRDefault="00E57317" w14:paraId="7BA8E7D6" w14:textId="77777777">
            <w:pPr>
              <w:keepNext/>
              <w:tabs>
                <w:tab w:val="center" w:pos="284"/>
              </w:tabs>
              <w:overflowPunct w:val="0"/>
              <w:autoSpaceDE w:val="0"/>
              <w:autoSpaceDN w:val="0"/>
              <w:adjustRightInd w:val="0"/>
              <w:ind w:left="266" w:hanging="266"/>
              <w:textAlignment w:val="baseline"/>
            </w:pPr>
            <w:r w:rsidRPr="008C608F">
              <w:t>EESC-2024-00335-00-00-AC</w:t>
            </w:r>
          </w:p>
        </w:tc>
      </w:tr>
    </w:tbl>
    <w:p w:rsidRPr="008C608F" w:rsidR="00E57317" w:rsidP="00261678" w:rsidRDefault="00E57317" w14:paraId="4AE32841" w14:textId="77777777">
      <w:pPr>
        <w:keepNext/>
        <w:tabs>
          <w:tab w:val="center" w:pos="284"/>
        </w:tabs>
        <w:overflowPunct w:val="0"/>
        <w:autoSpaceDE w:val="0"/>
        <w:autoSpaceDN w:val="0"/>
        <w:adjustRightInd w:val="0"/>
        <w:ind w:left="266" w:hanging="266"/>
        <w:textAlignment w:val="baseline"/>
        <w:rPr>
          <w:lang w:val="en-GB"/>
        </w:rPr>
      </w:pPr>
    </w:p>
    <w:p w:rsidRPr="008C608F" w:rsidR="00E57317" w:rsidP="00E57317" w:rsidRDefault="00E57317" w14:paraId="078C2394"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E57317" w:rsidP="00E57317" w:rsidRDefault="00E57317" w14:paraId="263D8FB4"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E57317" w:rsidP="00E57317" w:rsidRDefault="00E57317" w14:paraId="22BEA2F1" w14:textId="77777777">
      <w:pPr>
        <w:overflowPunct w:val="0"/>
        <w:autoSpaceDE w:val="0"/>
        <w:autoSpaceDN w:val="0"/>
        <w:adjustRightInd w:val="0"/>
        <w:textAlignment w:val="baseline"/>
        <w:rPr>
          <w:bCs/>
          <w:iCs/>
        </w:rPr>
      </w:pPr>
      <w:r w:rsidRPr="008C608F">
        <w:t>ЕИСК:</w:t>
      </w:r>
    </w:p>
    <w:p w:rsidRPr="008C608F" w:rsidR="00E57317" w:rsidP="00B07E13" w:rsidRDefault="00E57317" w14:paraId="1F6FEDB3" w14:textId="77777777">
      <w:pPr>
        <w:widowControl w:val="0"/>
        <w:numPr>
          <w:ilvl w:val="0"/>
          <w:numId w:val="31"/>
        </w:numPr>
        <w:overflowPunct w:val="0"/>
        <w:autoSpaceDE w:val="0"/>
        <w:autoSpaceDN w:val="0"/>
        <w:adjustRightInd w:val="0"/>
        <w:ind w:left="567" w:hanging="567"/>
        <w:textAlignment w:val="baseline"/>
        <w:rPr>
          <w:bCs/>
          <w:iCs/>
        </w:rPr>
      </w:pPr>
      <w:r w:rsidRPr="008C608F">
        <w:t>признава значението на бързото разгръщане на нисковъглероден водород от възобновяеми източници за бъдещата енергийна система, както и за икономическото и социалното благосъстояние на ЕС. Независимо от това използването на водород трябва на първо време да бъде насочено към трудни за електрифициране сектори и да служи като средство за акумулиране на енергия;</w:t>
      </w:r>
    </w:p>
    <w:p w:rsidRPr="008C608F" w:rsidR="00E57317" w:rsidP="00B07E13" w:rsidRDefault="00E57317" w14:paraId="23FEA340" w14:textId="77777777">
      <w:pPr>
        <w:widowControl w:val="0"/>
        <w:numPr>
          <w:ilvl w:val="0"/>
          <w:numId w:val="31"/>
        </w:numPr>
        <w:overflowPunct w:val="0"/>
        <w:autoSpaceDE w:val="0"/>
        <w:autoSpaceDN w:val="0"/>
        <w:adjustRightInd w:val="0"/>
        <w:ind w:left="567" w:hanging="567"/>
        <w:textAlignment w:val="baseline"/>
        <w:rPr>
          <w:bCs/>
          <w:iCs/>
        </w:rPr>
      </w:pPr>
      <w:r w:rsidRPr="008C608F">
        <w:t>подчертава, че публично финансиране би трябвало да се отпуска предимно за водород от възобновяеми източници, отговарящ на определението в Делегиран регламент (ЕС) 2023/1184 на Комисията. Въпреки това, особено по време на преходния период, ще трябва да се използват други форми на нисковъглероден водород от възобновяеми източници;</w:t>
      </w:r>
    </w:p>
    <w:p w:rsidRPr="008C608F" w:rsidR="00E57317" w:rsidP="00B07E13" w:rsidRDefault="00E57317" w14:paraId="7AC9A311" w14:textId="77777777">
      <w:pPr>
        <w:widowControl w:val="0"/>
        <w:numPr>
          <w:ilvl w:val="0"/>
          <w:numId w:val="31"/>
        </w:numPr>
        <w:overflowPunct w:val="0"/>
        <w:autoSpaceDE w:val="0"/>
        <w:autoSpaceDN w:val="0"/>
        <w:adjustRightInd w:val="0"/>
        <w:ind w:left="567" w:hanging="567"/>
        <w:textAlignment w:val="baseline"/>
        <w:rPr>
          <w:bCs/>
          <w:iCs/>
        </w:rPr>
      </w:pPr>
      <w:r w:rsidRPr="008C608F">
        <w:t>посочва, че схемите за сертифициране трябва да гарантират не само екологични критерии, но и социални стандарти. Тези стандарти трябва да включват справедливи и безопасни условия на труд и спазване на трудовите, социалните и синдикалните права;</w:t>
      </w:r>
    </w:p>
    <w:p w:rsidRPr="008C608F" w:rsidR="00E57317" w:rsidP="00B07E13" w:rsidRDefault="00E57317" w14:paraId="2481B4B2" w14:textId="77777777">
      <w:pPr>
        <w:widowControl w:val="0"/>
        <w:numPr>
          <w:ilvl w:val="0"/>
          <w:numId w:val="31"/>
        </w:numPr>
        <w:overflowPunct w:val="0"/>
        <w:autoSpaceDE w:val="0"/>
        <w:autoSpaceDN w:val="0"/>
        <w:adjustRightInd w:val="0"/>
        <w:ind w:left="567" w:hanging="567"/>
        <w:textAlignment w:val="baseline"/>
      </w:pPr>
      <w:r w:rsidRPr="008C608F">
        <w:t>осъзнава значението на газопроводната инфраструктура за бързото разгръщане на водорода. За да се постигне това, ефективното разпределяне на наличните средства ще бъде от значение. То ще изисква интелигентно и интегрирано планиране и регулаторен режим, който да дава възможност за необходимите инвестиции, като същевременно насърчава екологичната устойчивост и защитава ползвателите на мрежата;</w:t>
      </w:r>
    </w:p>
    <w:p w:rsidRPr="008C608F" w:rsidR="00E57317" w:rsidP="00B07E13" w:rsidRDefault="00E57317" w14:paraId="1EFDCB56" w14:textId="77777777">
      <w:pPr>
        <w:widowControl w:val="0"/>
        <w:numPr>
          <w:ilvl w:val="0"/>
          <w:numId w:val="31"/>
        </w:numPr>
        <w:overflowPunct w:val="0"/>
        <w:autoSpaceDE w:val="0"/>
        <w:autoSpaceDN w:val="0"/>
        <w:adjustRightInd w:val="0"/>
        <w:ind w:left="567" w:hanging="567"/>
        <w:textAlignment w:val="baseline"/>
        <w:rPr>
          <w:szCs w:val="20"/>
        </w:rPr>
      </w:pPr>
      <w:r w:rsidRPr="008C608F">
        <w:t>подчертава, че служителите ще трябва да преминат подходящо обучение, а работната сила ще трябва да бъде запазена посредством предлагане на добри условия на труд. Това би трябвало да даде възможност на операторите на газопреносни мрежи да експлоатират мрежи за водород и да създават полезни взаимодействия;</w:t>
      </w:r>
    </w:p>
    <w:p w:rsidRPr="008C608F" w:rsidR="00E57317" w:rsidP="00B07E13" w:rsidRDefault="00E57317" w14:paraId="096E5E57" w14:textId="77777777">
      <w:pPr>
        <w:widowControl w:val="0"/>
        <w:numPr>
          <w:ilvl w:val="0"/>
          <w:numId w:val="31"/>
        </w:numPr>
        <w:overflowPunct w:val="0"/>
        <w:autoSpaceDE w:val="0"/>
        <w:autoSpaceDN w:val="0"/>
        <w:adjustRightInd w:val="0"/>
        <w:ind w:left="567" w:hanging="567"/>
        <w:textAlignment w:val="baseline"/>
        <w:rPr>
          <w:szCs w:val="20"/>
        </w:rPr>
      </w:pPr>
      <w:r w:rsidRPr="008C608F">
        <w:t>посочва необходимостта да се избягва кръстосано субсидиране на водородните мрежи от страна на ползвателите на газопреносната мрежа, което е особено важно поради факта, че бъдещите ползватели на водородните мрежи не се днешните ползватели на газопреносната мрежа. Важно е да се прилага принципът „потребителят плаща“ и по този начин да се гарантира, че инфраструктурата за водород се финансира основно от своите ползватели. На ранните етапи от разгръщането държавното финансиране би могло да допълни финансирането, основано на принципа „потребителят плаща“, чрез мрежови тарифи.</w:t>
      </w:r>
    </w:p>
    <w:p w:rsidRPr="008C608F" w:rsidR="00E57317" w:rsidP="00E57317" w:rsidRDefault="00E57317" w14:paraId="6A25D6A4" w14:textId="77777777">
      <w:pPr>
        <w:widowControl w:val="0"/>
        <w:overflowPunct w:val="0"/>
        <w:autoSpaceDE w:val="0"/>
        <w:autoSpaceDN w:val="0"/>
        <w:adjustRightInd w:val="0"/>
        <w:ind w:left="709"/>
        <w:textAlignment w:val="baseline"/>
        <w:rPr>
          <w:lang w:val="en-GB"/>
        </w:rPr>
      </w:pPr>
    </w:p>
    <w:tbl>
      <w:tblPr>
        <w:tblW w:w="0" w:type="auto"/>
        <w:tblLook w:val="04A0" w:firstRow="1" w:lastRow="0" w:firstColumn="1" w:lastColumn="0" w:noHBand="0" w:noVBand="1"/>
      </w:tblPr>
      <w:tblGrid>
        <w:gridCol w:w="2093"/>
        <w:gridCol w:w="4995"/>
      </w:tblGrid>
      <w:tr w:rsidRPr="004175C7" w:rsidR="00E57317" w:rsidTr="00261678" w14:paraId="0526115B" w14:textId="77777777">
        <w:tc>
          <w:tcPr>
            <w:tcW w:w="2093" w:type="dxa"/>
          </w:tcPr>
          <w:p w:rsidRPr="004175C7" w:rsidR="00E57317" w:rsidP="00E57317" w:rsidRDefault="00E57317" w14:paraId="48A843C5" w14:textId="77777777">
            <w:pPr>
              <w:overflowPunct w:val="0"/>
              <w:autoSpaceDE w:val="0"/>
              <w:autoSpaceDN w:val="0"/>
              <w:adjustRightInd w:val="0"/>
              <w:spacing w:line="240" w:lineRule="auto"/>
              <w:textAlignment w:val="baseline"/>
              <w:rPr>
                <w:i/>
              </w:rPr>
            </w:pPr>
            <w:r w:rsidRPr="008C608F">
              <w:rPr>
                <w:b/>
                <w:i/>
              </w:rPr>
              <w:t>За връзка:</w:t>
            </w:r>
          </w:p>
        </w:tc>
        <w:tc>
          <w:tcPr>
            <w:tcW w:w="4995" w:type="dxa"/>
          </w:tcPr>
          <w:p w:rsidRPr="004175C7" w:rsidR="00E57317" w:rsidP="00E57317" w:rsidRDefault="00E57317" w14:paraId="7A3CAF82" w14:textId="77777777">
            <w:pPr>
              <w:overflowPunct w:val="0"/>
              <w:autoSpaceDE w:val="0"/>
              <w:autoSpaceDN w:val="0"/>
              <w:adjustRightInd w:val="0"/>
              <w:spacing w:line="240" w:lineRule="auto"/>
              <w:textAlignment w:val="baseline"/>
              <w:rPr>
                <w:i/>
              </w:rPr>
            </w:pPr>
            <w:r w:rsidRPr="008C608F">
              <w:rPr>
                <w:i/>
              </w:rPr>
              <w:t>Giorgia Bordignon</w:t>
            </w:r>
          </w:p>
        </w:tc>
      </w:tr>
      <w:tr w:rsidRPr="004175C7" w:rsidR="00E57317" w:rsidTr="00261678" w14:paraId="15087F71" w14:textId="77777777">
        <w:tc>
          <w:tcPr>
            <w:tcW w:w="2093" w:type="dxa"/>
          </w:tcPr>
          <w:p w:rsidRPr="004175C7" w:rsidR="00E57317" w:rsidP="00E57317" w:rsidRDefault="00E57317" w14:paraId="20747EBE"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4995" w:type="dxa"/>
          </w:tcPr>
          <w:p w:rsidRPr="004175C7" w:rsidR="00E57317" w:rsidP="00E57317" w:rsidRDefault="00E57317" w14:paraId="302EF8B8" w14:textId="320187FF">
            <w:pPr>
              <w:overflowPunct w:val="0"/>
              <w:autoSpaceDE w:val="0"/>
              <w:autoSpaceDN w:val="0"/>
              <w:adjustRightInd w:val="0"/>
              <w:spacing w:line="240" w:lineRule="auto"/>
              <w:textAlignment w:val="baseline"/>
              <w:rPr>
                <w:i/>
              </w:rPr>
            </w:pPr>
            <w:r w:rsidRPr="008C608F">
              <w:rPr>
                <w:i/>
              </w:rPr>
              <w:t>+32 25468535</w:t>
            </w:r>
          </w:p>
        </w:tc>
      </w:tr>
      <w:tr w:rsidRPr="008C608F" w:rsidR="00E57317" w:rsidTr="00261678" w14:paraId="105F9CD4" w14:textId="77777777">
        <w:tc>
          <w:tcPr>
            <w:tcW w:w="2093" w:type="dxa"/>
          </w:tcPr>
          <w:p w:rsidRPr="004175C7" w:rsidR="00E57317" w:rsidP="00E57317" w:rsidRDefault="001B2FD0" w14:paraId="020DC84E" w14:textId="7FCB18B3">
            <w:pPr>
              <w:overflowPunct w:val="0"/>
              <w:autoSpaceDE w:val="0"/>
              <w:autoSpaceDN w:val="0"/>
              <w:adjustRightInd w:val="0"/>
              <w:spacing w:line="240" w:lineRule="auto"/>
              <w:textAlignment w:val="baseline"/>
              <w:rPr>
                <w:i/>
              </w:rPr>
            </w:pPr>
            <w:r w:rsidRPr="008C608F">
              <w:rPr>
                <w:i/>
              </w:rPr>
              <w:t>Електронен адрес:</w:t>
            </w:r>
          </w:p>
        </w:tc>
        <w:tc>
          <w:tcPr>
            <w:tcW w:w="4995" w:type="dxa"/>
          </w:tcPr>
          <w:p w:rsidRPr="008C608F" w:rsidR="00E57317" w:rsidP="00E57317" w:rsidRDefault="00257091" w14:paraId="65C9F8EE" w14:textId="77777777">
            <w:pPr>
              <w:overflowPunct w:val="0"/>
              <w:autoSpaceDE w:val="0"/>
              <w:autoSpaceDN w:val="0"/>
              <w:adjustRightInd w:val="0"/>
              <w:spacing w:line="240" w:lineRule="auto"/>
              <w:textAlignment w:val="baseline"/>
              <w:rPr>
                <w:i/>
              </w:rPr>
            </w:pPr>
            <w:hyperlink w:history="1" r:id="rId43">
              <w:r w:rsidRPr="008C608F" w:rsidR="006A1AC2">
                <w:rPr>
                  <w:i/>
                  <w:color w:val="0000FF"/>
                  <w:u w:val="single"/>
                </w:rPr>
                <w:t>GiorgiaAndrea.Bordignon@eesc.europa.eu</w:t>
              </w:r>
            </w:hyperlink>
          </w:p>
        </w:tc>
      </w:tr>
    </w:tbl>
    <w:p w:rsidRPr="008C608F" w:rsidR="004D7AC0" w:rsidP="004D7AC0" w:rsidRDefault="004D7AC0" w14:paraId="4982DDF2" w14:textId="4F6C3444">
      <w:pPr>
        <w:spacing w:after="160" w:line="259" w:lineRule="auto"/>
        <w:jc w:val="left"/>
      </w:pPr>
      <w:r w:rsidRPr="008C608F">
        <w:br w:type="page"/>
      </w:r>
    </w:p>
    <w:p w:rsidRPr="008C608F" w:rsidR="004D7AC0" w:rsidP="00B07E13" w:rsidRDefault="004D7AC0" w14:paraId="4982DDF3" w14:textId="77777777">
      <w:pPr>
        <w:pStyle w:val="Heading1"/>
        <w:keepNext/>
        <w:keepLines/>
        <w:rPr>
          <w:b/>
        </w:rPr>
      </w:pPr>
      <w:bookmarkStart w:name="_Toc75527083" w:id="45"/>
      <w:bookmarkStart w:name="_Toc179362857" w:id="46"/>
      <w:r w:rsidRPr="008C608F">
        <w:rPr>
          <w:b/>
        </w:rPr>
        <w:lastRenderedPageBreak/>
        <w:t>ЕДИНЕН ПАЗАР, ПРОИЗВОДСТВО И ПОТРЕБЛЕНИЕ</w:t>
      </w:r>
      <w:bookmarkEnd w:id="45"/>
      <w:bookmarkEnd w:id="46"/>
    </w:p>
    <w:p w:rsidRPr="008C608F" w:rsidR="004D7AC0" w:rsidP="004F44E4" w:rsidRDefault="004D7AC0" w14:paraId="4982DE1C" w14:textId="174F4A78">
      <w:pPr>
        <w:pStyle w:val="ListParagraph"/>
        <w:ind w:left="0"/>
      </w:pPr>
    </w:p>
    <w:p w:rsidRPr="008C608F" w:rsidR="003E4C29" w:rsidP="003E4C29" w:rsidRDefault="00257091" w14:paraId="2340866E" w14:textId="2D7F8DC7">
      <w:pPr>
        <w:widowControl w:val="0"/>
        <w:numPr>
          <w:ilvl w:val="0"/>
          <w:numId w:val="4"/>
        </w:numPr>
        <w:overflowPunct w:val="0"/>
        <w:autoSpaceDE w:val="0"/>
        <w:autoSpaceDN w:val="0"/>
        <w:adjustRightInd w:val="0"/>
        <w:ind w:hanging="567"/>
        <w:textAlignment w:val="baseline"/>
        <w:rPr>
          <w:sz w:val="20"/>
          <w:szCs w:val="20"/>
        </w:rPr>
      </w:pPr>
      <w:hyperlink w:history="1" r:id="rId44">
        <w:r w:rsidRPr="008C608F" w:rsidR="006A1AC2">
          <w:rPr>
            <w:b/>
            <w:i/>
            <w:color w:val="0000FF"/>
            <w:sz w:val="28"/>
            <w:u w:val="single"/>
          </w:rPr>
          <w:t>Конкурентоспособност на предприятията и икономиката на ЕС</w:t>
        </w:r>
        <w:r w:rsidRPr="008C608F" w:rsidR="006A1AC2">
          <w:rPr>
            <w:b/>
            <w:i/>
            <w:color w:val="0000FF"/>
            <w:sz w:val="28"/>
            <w:u w:val="single"/>
          </w:rPr>
          <w:br/>
          <w:t>Европейски зелен пакт</w:t>
        </w:r>
      </w:hyperlink>
    </w:p>
    <w:p w:rsidRPr="008C608F" w:rsidR="003E4C29" w:rsidP="003E4C29" w:rsidRDefault="003E4C29" w14:paraId="7D71DEEF"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376"/>
        <w:gridCol w:w="6911"/>
      </w:tblGrid>
      <w:tr w:rsidRPr="004175C7" w:rsidR="003E4C29" w:rsidTr="00183E70" w14:paraId="217FCE4C" w14:textId="77777777">
        <w:trPr>
          <w:trHeight w:val="406"/>
        </w:trPr>
        <w:tc>
          <w:tcPr>
            <w:tcW w:w="1279" w:type="pct"/>
          </w:tcPr>
          <w:p w:rsidRPr="004175C7" w:rsidR="003E4C29" w:rsidP="003E4C29" w:rsidRDefault="003E4C29" w14:paraId="148260C7" w14:textId="12A2EE24">
            <w:pPr>
              <w:tabs>
                <w:tab w:val="center" w:pos="284"/>
              </w:tabs>
              <w:overflowPunct w:val="0"/>
              <w:autoSpaceDE w:val="0"/>
              <w:autoSpaceDN w:val="0"/>
              <w:adjustRightInd w:val="0"/>
              <w:ind w:left="266" w:hanging="266"/>
              <w:textAlignment w:val="baseline"/>
              <w:rPr>
                <w:b/>
              </w:rPr>
            </w:pPr>
            <w:r w:rsidRPr="008C608F">
              <w:rPr>
                <w:b/>
              </w:rPr>
              <w:t>Докладчи</w:t>
            </w:r>
            <w:r w:rsidRPr="008C608F" w:rsidR="001037CE">
              <w:rPr>
                <w:b/>
              </w:rPr>
              <w:t>к</w:t>
            </w:r>
            <w:r w:rsidRPr="008C608F">
              <w:rPr>
                <w:b/>
              </w:rPr>
              <w:t>:</w:t>
            </w:r>
          </w:p>
        </w:tc>
        <w:tc>
          <w:tcPr>
            <w:tcW w:w="3721" w:type="pct"/>
          </w:tcPr>
          <w:p w:rsidRPr="004175C7" w:rsidR="003E4C29" w:rsidP="003E4C29" w:rsidRDefault="003E4C29" w14:paraId="43B21296" w14:textId="66255D59">
            <w:pPr>
              <w:tabs>
                <w:tab w:val="center" w:pos="0"/>
              </w:tabs>
              <w:overflowPunct w:val="0"/>
              <w:autoSpaceDE w:val="0"/>
              <w:autoSpaceDN w:val="0"/>
              <w:adjustRightInd w:val="0"/>
              <w:ind w:left="266" w:hanging="266"/>
              <w:textAlignment w:val="baseline"/>
            </w:pPr>
            <w:r w:rsidRPr="008C608F">
              <w:t>Felipe MEDINA (група „Работодатели“ — ES)</w:t>
            </w:r>
          </w:p>
        </w:tc>
      </w:tr>
      <w:tr w:rsidRPr="008C608F" w:rsidR="003E4C29" w:rsidTr="00183E70" w14:paraId="4ED8FC20" w14:textId="77777777">
        <w:tc>
          <w:tcPr>
            <w:tcW w:w="1279" w:type="pct"/>
          </w:tcPr>
          <w:p w:rsidRPr="004175C7" w:rsidR="003E4C29" w:rsidP="003E4C29" w:rsidRDefault="003E4C29" w14:paraId="3F1A103A"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721" w:type="pct"/>
          </w:tcPr>
          <w:p w:rsidRPr="008C608F" w:rsidR="003E4C29" w:rsidP="00B07E13" w:rsidRDefault="003E4C29" w14:paraId="65ED5A02" w14:textId="4FAF2DF5">
            <w:pPr>
              <w:overflowPunct w:val="0"/>
              <w:autoSpaceDE w:val="0"/>
              <w:autoSpaceDN w:val="0"/>
              <w:adjustRightInd w:val="0"/>
              <w:textAlignment w:val="baseline"/>
            </w:pPr>
            <w:r w:rsidRPr="008C608F">
              <w:t>Проучвателно становище по искане на унгарското председателство на Съвета на ЕС</w:t>
            </w:r>
          </w:p>
          <w:p w:rsidRPr="008C608F" w:rsidR="003E4C29" w:rsidP="003E4C29" w:rsidRDefault="003E4C29" w14:paraId="5DA2EFDE" w14:textId="77777777">
            <w:pPr>
              <w:tabs>
                <w:tab w:val="center" w:pos="284"/>
              </w:tabs>
              <w:overflowPunct w:val="0"/>
              <w:autoSpaceDE w:val="0"/>
              <w:autoSpaceDN w:val="0"/>
              <w:adjustRightInd w:val="0"/>
              <w:ind w:left="266" w:hanging="266"/>
              <w:textAlignment w:val="baseline"/>
            </w:pPr>
            <w:r w:rsidRPr="008C608F">
              <w:t>EESC-2024-01789-00-00-AC</w:t>
            </w:r>
          </w:p>
        </w:tc>
      </w:tr>
    </w:tbl>
    <w:p w:rsidRPr="008C608F" w:rsidR="00AB6CDB" w:rsidP="003E4C29" w:rsidRDefault="00AB6CDB" w14:paraId="22412143"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3E4C29" w:rsidP="003E4C29" w:rsidRDefault="003E4C29" w14:paraId="1BF51705" w14:textId="54F3A656">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3E4C29" w:rsidP="003E4C29" w:rsidRDefault="003E4C29" w14:paraId="2480D856"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3E4C29" w:rsidP="003E4C29" w:rsidRDefault="003E4C29" w14:paraId="7DF81396" w14:textId="77777777">
      <w:pPr>
        <w:overflowPunct w:val="0"/>
        <w:autoSpaceDE w:val="0"/>
        <w:autoSpaceDN w:val="0"/>
        <w:adjustRightInd w:val="0"/>
        <w:textAlignment w:val="baseline"/>
        <w:rPr>
          <w:bCs/>
          <w:iCs/>
        </w:rPr>
      </w:pPr>
      <w:r w:rsidRPr="008C608F">
        <w:t>ЕИСК:</w:t>
      </w:r>
    </w:p>
    <w:p w:rsidRPr="008C608F" w:rsidR="003E4C29" w:rsidP="00B07E13" w:rsidRDefault="003E4C29" w14:paraId="739ED64F" w14:textId="77777777">
      <w:pPr>
        <w:numPr>
          <w:ilvl w:val="0"/>
          <w:numId w:val="32"/>
        </w:numPr>
        <w:overflowPunct w:val="0"/>
        <w:autoSpaceDE w:val="0"/>
        <w:autoSpaceDN w:val="0"/>
        <w:adjustRightInd w:val="0"/>
        <w:spacing w:after="200" w:line="276" w:lineRule="auto"/>
        <w:ind w:left="567" w:hanging="567"/>
        <w:contextualSpacing/>
        <w:textAlignment w:val="baseline"/>
        <w:rPr>
          <w:bCs/>
          <w:iCs/>
        </w:rPr>
      </w:pPr>
      <w:r w:rsidRPr="008C608F">
        <w:t xml:space="preserve">изтъква, че все още предстои </w:t>
      </w:r>
      <w:r w:rsidRPr="008C608F">
        <w:rPr>
          <w:b/>
        </w:rPr>
        <w:t>дълъг път, за да се постигнат крайните цели за декарбонизация</w:t>
      </w:r>
      <w:r w:rsidRPr="008C608F">
        <w:t xml:space="preserve"> и преход към по-устойчива икономика, определени от Комисията в нейната първоначална формулировка на Зеления пакт. </w:t>
      </w:r>
      <w:r w:rsidRPr="008C608F">
        <w:rPr>
          <w:b/>
        </w:rPr>
        <w:t>Дружествата се нуждаят от много повече сигурност</w:t>
      </w:r>
      <w:r w:rsidRPr="008C608F">
        <w:t>, глобално споразумение, насоки, усъвършенствани методи за отчетност и в крайна сметка от подкрепа от страна на законодателите;</w:t>
      </w:r>
    </w:p>
    <w:p w:rsidRPr="008C608F" w:rsidR="003E4C29" w:rsidP="00B07E13" w:rsidRDefault="003E4C29" w14:paraId="2F90823F" w14:textId="77777777">
      <w:pPr>
        <w:numPr>
          <w:ilvl w:val="0"/>
          <w:numId w:val="32"/>
        </w:numPr>
        <w:overflowPunct w:val="0"/>
        <w:autoSpaceDE w:val="0"/>
        <w:autoSpaceDN w:val="0"/>
        <w:adjustRightInd w:val="0"/>
        <w:spacing w:after="200" w:line="276" w:lineRule="auto"/>
        <w:ind w:left="567" w:hanging="567"/>
        <w:contextualSpacing/>
        <w:textAlignment w:val="baseline"/>
        <w:rPr>
          <w:bCs/>
          <w:iCs/>
        </w:rPr>
      </w:pPr>
      <w:r w:rsidRPr="008C608F">
        <w:t xml:space="preserve">подчертава, че е налице неотложна необходимост </w:t>
      </w:r>
      <w:r w:rsidRPr="008C608F">
        <w:rPr>
          <w:b/>
        </w:rPr>
        <w:t>публичните средства да бъдат стратегически разпределени</w:t>
      </w:r>
      <w:r w:rsidRPr="008C608F">
        <w:t xml:space="preserve"> за цели, които са договорени съвместно от европейските създатели на политики и гражданското общество. Тази инициатива трябва да бъде тясно свързана с промишлената стратегия;</w:t>
      </w:r>
    </w:p>
    <w:p w:rsidRPr="008C608F" w:rsidR="003E4C29" w:rsidP="00B07E13" w:rsidRDefault="003E4C29" w14:paraId="55E173F1" w14:textId="77777777">
      <w:pPr>
        <w:numPr>
          <w:ilvl w:val="0"/>
          <w:numId w:val="32"/>
        </w:numPr>
        <w:overflowPunct w:val="0"/>
        <w:autoSpaceDE w:val="0"/>
        <w:autoSpaceDN w:val="0"/>
        <w:adjustRightInd w:val="0"/>
        <w:spacing w:after="200" w:line="276" w:lineRule="auto"/>
        <w:ind w:left="567" w:hanging="567"/>
        <w:contextualSpacing/>
        <w:textAlignment w:val="baseline"/>
        <w:rPr>
          <w:bCs/>
          <w:iCs/>
        </w:rPr>
      </w:pPr>
      <w:r w:rsidRPr="008C608F">
        <w:t xml:space="preserve">подчертава, че </w:t>
      </w:r>
      <w:r w:rsidRPr="008C608F">
        <w:rPr>
          <w:b/>
        </w:rPr>
        <w:t>държавите членки се нуждаят от подкрепа на равнището на ЕС и принос от гражданското общество за подпомагане на дружествата</w:t>
      </w:r>
      <w:r w:rsidRPr="008C608F">
        <w:t xml:space="preserve"> чрез насоки, определяне на референтни показатели и споделен капацитет за учене, за да приемат и осъществяват структурните реформи, произтичащи от Зеления пакт: повишаване на равнищата на заетост, подобряване на достъпа до умения и труд, насърчаване на гъвкавостта и ефикасността на пазара на труда;</w:t>
      </w:r>
    </w:p>
    <w:p w:rsidRPr="008C608F" w:rsidR="003E4C29" w:rsidP="00B07E13" w:rsidRDefault="003E4C29" w14:paraId="4529C236" w14:textId="77777777">
      <w:pPr>
        <w:numPr>
          <w:ilvl w:val="0"/>
          <w:numId w:val="32"/>
        </w:numPr>
        <w:overflowPunct w:val="0"/>
        <w:autoSpaceDE w:val="0"/>
        <w:autoSpaceDN w:val="0"/>
        <w:adjustRightInd w:val="0"/>
        <w:spacing w:after="200" w:line="276" w:lineRule="auto"/>
        <w:ind w:left="567" w:hanging="567"/>
        <w:contextualSpacing/>
        <w:textAlignment w:val="baseline"/>
        <w:rPr>
          <w:bCs/>
          <w:iCs/>
        </w:rPr>
      </w:pPr>
      <w:r w:rsidRPr="008C608F">
        <w:t xml:space="preserve">насърчава лицата, изготвящи политиките, да възприемат </w:t>
      </w:r>
      <w:r w:rsidRPr="008C608F">
        <w:rPr>
          <w:b/>
        </w:rPr>
        <w:t>подход на сътрудничество и подход, при който не се пренебрегва никой</w:t>
      </w:r>
      <w:r w:rsidRPr="008C608F">
        <w:t>, тъй като преодоляването на общите предизвикателства и използването на силните страни на различните региони е от съществено значение;</w:t>
      </w:r>
    </w:p>
    <w:p w:rsidRPr="008C608F" w:rsidR="003E4C29" w:rsidP="00AB6CDB" w:rsidRDefault="003E4C29" w14:paraId="6E0C6D67" w14:textId="1DC94806">
      <w:pPr>
        <w:numPr>
          <w:ilvl w:val="0"/>
          <w:numId w:val="32"/>
        </w:numPr>
        <w:overflowPunct w:val="0"/>
        <w:autoSpaceDE w:val="0"/>
        <w:autoSpaceDN w:val="0"/>
        <w:adjustRightInd w:val="0"/>
        <w:spacing w:after="200" w:line="276" w:lineRule="auto"/>
        <w:ind w:left="567" w:hanging="567"/>
        <w:contextualSpacing/>
        <w:textAlignment w:val="baseline"/>
        <w:rPr>
          <w:bCs/>
          <w:iCs/>
        </w:rPr>
      </w:pPr>
      <w:r w:rsidRPr="008C608F">
        <w:t xml:space="preserve">препоръчва на ЕС да възприеме решително и ефективно </w:t>
      </w:r>
      <w:r w:rsidRPr="008C608F">
        <w:rPr>
          <w:b/>
        </w:rPr>
        <w:t>подход на партньорство</w:t>
      </w:r>
      <w:r w:rsidRPr="008C608F">
        <w:t xml:space="preserve">, за да могат </w:t>
      </w:r>
      <w:r w:rsidRPr="008C608F">
        <w:rPr>
          <w:b/>
        </w:rPr>
        <w:t>търговските ни партньори да се ангажират да спазват нашите социални, икономически и екологични стандарти</w:t>
      </w:r>
      <w:r w:rsidRPr="008C608F">
        <w:t>.</w:t>
      </w:r>
    </w:p>
    <w:p w:rsidRPr="008C608F" w:rsidR="00270BD5" w:rsidP="00B07E13" w:rsidRDefault="00270BD5" w14:paraId="4DDCBDD6" w14:textId="77777777">
      <w:pPr>
        <w:overflowPunct w:val="0"/>
        <w:autoSpaceDE w:val="0"/>
        <w:autoSpaceDN w:val="0"/>
        <w:adjustRightInd w:val="0"/>
        <w:spacing w:after="200" w:line="276" w:lineRule="auto"/>
        <w:ind w:left="284"/>
        <w:contextualSpacing/>
        <w:textAlignment w:val="baseline"/>
        <w:rPr>
          <w:bCs/>
          <w:iCs/>
          <w:lang w:val="en-GB"/>
        </w:rPr>
      </w:pPr>
    </w:p>
    <w:tbl>
      <w:tblPr>
        <w:tblW w:w="3516" w:type="pct"/>
        <w:tblLook w:val="04A0" w:firstRow="1" w:lastRow="0" w:firstColumn="1" w:lastColumn="0" w:noHBand="0" w:noVBand="1"/>
      </w:tblPr>
      <w:tblGrid>
        <w:gridCol w:w="2032"/>
        <w:gridCol w:w="4499"/>
      </w:tblGrid>
      <w:tr w:rsidRPr="004175C7" w:rsidR="003E4C29" w:rsidTr="0015437C" w14:paraId="138DE23C" w14:textId="77777777">
        <w:tc>
          <w:tcPr>
            <w:tcW w:w="1556" w:type="pct"/>
          </w:tcPr>
          <w:p w:rsidRPr="004175C7" w:rsidR="003E4C29" w:rsidP="003E4C29" w:rsidRDefault="003E4C29" w14:paraId="6DCDF5D0"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3E4C29" w:rsidP="003E4C29" w:rsidRDefault="003E4C29" w14:paraId="115C0DE6" w14:textId="77777777">
            <w:pPr>
              <w:overflowPunct w:val="0"/>
              <w:autoSpaceDE w:val="0"/>
              <w:autoSpaceDN w:val="0"/>
              <w:adjustRightInd w:val="0"/>
              <w:spacing w:line="240" w:lineRule="auto"/>
              <w:textAlignment w:val="baseline"/>
              <w:rPr>
                <w:i/>
              </w:rPr>
            </w:pPr>
            <w:r w:rsidRPr="008C608F">
              <w:rPr>
                <w:i/>
              </w:rPr>
              <w:t>Silvia Staffa</w:t>
            </w:r>
          </w:p>
        </w:tc>
      </w:tr>
      <w:tr w:rsidRPr="004175C7" w:rsidR="003E4C29" w:rsidTr="0015437C" w14:paraId="15896AE5" w14:textId="77777777">
        <w:tc>
          <w:tcPr>
            <w:tcW w:w="1556" w:type="pct"/>
          </w:tcPr>
          <w:p w:rsidRPr="004175C7" w:rsidR="003E4C29" w:rsidP="003E4C29" w:rsidRDefault="003E4C29" w14:paraId="452CDBAF"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3E4C29" w:rsidP="003E4C29" w:rsidRDefault="003E4C29" w14:paraId="64F491C7" w14:textId="427B1C8A">
            <w:pPr>
              <w:overflowPunct w:val="0"/>
              <w:autoSpaceDE w:val="0"/>
              <w:autoSpaceDN w:val="0"/>
              <w:adjustRightInd w:val="0"/>
              <w:spacing w:line="240" w:lineRule="auto"/>
              <w:textAlignment w:val="baseline"/>
              <w:rPr>
                <w:i/>
              </w:rPr>
            </w:pPr>
            <w:r w:rsidRPr="008C608F">
              <w:rPr>
                <w:i/>
              </w:rPr>
              <w:t>+32 25468378</w:t>
            </w:r>
          </w:p>
        </w:tc>
      </w:tr>
      <w:tr w:rsidRPr="008C608F" w:rsidR="003E4C29" w:rsidTr="0015437C" w14:paraId="2C2AC952" w14:textId="77777777">
        <w:tc>
          <w:tcPr>
            <w:tcW w:w="1556" w:type="pct"/>
          </w:tcPr>
          <w:p w:rsidRPr="004175C7" w:rsidR="003E4C29" w:rsidP="003E4C29" w:rsidRDefault="003E4C29" w14:paraId="53D6805F" w14:textId="77777777">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3E4C29" w:rsidP="003E4C29" w:rsidRDefault="00257091" w14:paraId="6707AAA7" w14:textId="77777777">
            <w:pPr>
              <w:overflowPunct w:val="0"/>
              <w:autoSpaceDE w:val="0"/>
              <w:autoSpaceDN w:val="0"/>
              <w:adjustRightInd w:val="0"/>
              <w:spacing w:line="240" w:lineRule="auto"/>
              <w:textAlignment w:val="baseline"/>
              <w:rPr>
                <w:i/>
                <w:iCs/>
              </w:rPr>
            </w:pPr>
            <w:hyperlink w:history="1" r:id="rId45">
              <w:r w:rsidRPr="008C608F" w:rsidR="006A1AC2">
                <w:rPr>
                  <w:i/>
                  <w:color w:val="0000FF"/>
                  <w:u w:val="single"/>
                </w:rPr>
                <w:t>Silvia.Staffa@eesc.europa.eu</w:t>
              </w:r>
            </w:hyperlink>
          </w:p>
        </w:tc>
      </w:tr>
    </w:tbl>
    <w:p w:rsidRPr="008C608F" w:rsidR="004D7AC0" w:rsidP="004D7AC0" w:rsidRDefault="004D7AC0" w14:paraId="4982DE1D" w14:textId="77777777">
      <w:pPr>
        <w:pStyle w:val="ListParagraph"/>
        <w:ind w:left="0"/>
        <w:rPr>
          <w:sz w:val="20"/>
          <w:szCs w:val="20"/>
        </w:rPr>
      </w:pPr>
    </w:p>
    <w:p w:rsidRPr="008C608F" w:rsidR="003E4C29" w:rsidRDefault="003E4C29" w14:paraId="39B04A94" w14:textId="77777777">
      <w:pPr>
        <w:spacing w:after="160" w:line="259" w:lineRule="auto"/>
        <w:jc w:val="left"/>
      </w:pPr>
      <w:r w:rsidRPr="008C608F">
        <w:br w:type="page"/>
      </w:r>
    </w:p>
    <w:p w:rsidRPr="008C608F" w:rsidR="003E4C29" w:rsidP="003E4C29" w:rsidRDefault="00257091" w14:paraId="24D6531D" w14:textId="0802A19E">
      <w:pPr>
        <w:widowControl w:val="0"/>
        <w:numPr>
          <w:ilvl w:val="0"/>
          <w:numId w:val="4"/>
        </w:numPr>
        <w:overflowPunct w:val="0"/>
        <w:autoSpaceDE w:val="0"/>
        <w:autoSpaceDN w:val="0"/>
        <w:adjustRightInd w:val="0"/>
        <w:ind w:left="266" w:hanging="266"/>
        <w:textAlignment w:val="baseline"/>
        <w:rPr>
          <w:b/>
          <w:bCs/>
          <w:i/>
          <w:iCs/>
          <w:sz w:val="28"/>
          <w:szCs w:val="28"/>
        </w:rPr>
      </w:pPr>
      <w:hyperlink w:tgtFrame="_blank" w:history="1" r:id="rId46">
        <w:r w:rsidRPr="008C608F" w:rsidR="006A1AC2">
          <w:rPr>
            <w:b/>
            <w:bCs/>
            <w:i/>
            <w:iCs/>
            <w:color w:val="0000FF"/>
            <w:sz w:val="28"/>
            <w:szCs w:val="28"/>
            <w:u w:val="single"/>
          </w:rPr>
          <w:t>Различия в областта на иновациите в ЕС/програми „Хоризонт 2020“ и „Хоризонт Европа“</w:t>
        </w:r>
      </w:hyperlink>
    </w:p>
    <w:p w:rsidRPr="008C608F" w:rsidR="00AB6CDB" w:rsidP="00B07E13" w:rsidRDefault="00AB6CDB" w14:paraId="531DE738" w14:textId="77777777">
      <w:pPr>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376"/>
        <w:gridCol w:w="6911"/>
      </w:tblGrid>
      <w:tr w:rsidRPr="004175C7" w:rsidR="003E4C29" w:rsidTr="00183E70" w14:paraId="5758057E" w14:textId="77777777">
        <w:tc>
          <w:tcPr>
            <w:tcW w:w="1279" w:type="pct"/>
          </w:tcPr>
          <w:p w:rsidRPr="004175C7" w:rsidR="003E4C29" w:rsidP="003E4C29" w:rsidRDefault="003E4C29" w14:paraId="0F356D81"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3721" w:type="pct"/>
          </w:tcPr>
          <w:p w:rsidRPr="004175C7" w:rsidR="003E4C29" w:rsidP="003E4C29" w:rsidRDefault="003E4C29" w14:paraId="6B7DE21B" w14:textId="750785C8">
            <w:pPr>
              <w:tabs>
                <w:tab w:val="center" w:pos="284"/>
              </w:tabs>
              <w:overflowPunct w:val="0"/>
              <w:autoSpaceDE w:val="0"/>
              <w:autoSpaceDN w:val="0"/>
              <w:adjustRightInd w:val="0"/>
              <w:ind w:left="266" w:hanging="266"/>
              <w:textAlignment w:val="baseline"/>
            </w:pPr>
            <w:r w:rsidRPr="008C608F">
              <w:t>Георги СТОЕВ (група „Работодатели“ – BG)</w:t>
            </w:r>
          </w:p>
        </w:tc>
      </w:tr>
      <w:tr w:rsidRPr="004175C7" w:rsidR="003E4C29" w:rsidTr="00183E70" w14:paraId="5831A3A0" w14:textId="77777777">
        <w:tc>
          <w:tcPr>
            <w:tcW w:w="1279" w:type="pct"/>
            <w:vMerge w:val="restart"/>
          </w:tcPr>
          <w:p w:rsidRPr="004175C7" w:rsidR="003E4C29" w:rsidP="003E4C29" w:rsidRDefault="003E4C29" w14:paraId="37F7C38D"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721" w:type="pct"/>
          </w:tcPr>
          <w:p w:rsidRPr="004175C7" w:rsidR="003E4C29" w:rsidP="00B07E13" w:rsidRDefault="003E4C29" w14:paraId="3715BE48" w14:textId="099ED27F">
            <w:pPr>
              <w:overflowPunct w:val="0"/>
              <w:autoSpaceDE w:val="0"/>
              <w:autoSpaceDN w:val="0"/>
              <w:adjustRightInd w:val="0"/>
              <w:textAlignment w:val="baseline"/>
            </w:pPr>
            <w:r w:rsidRPr="008C608F">
              <w:t>Проучвателно становище по искане на унгарското председателство на Съвета на ЕС</w:t>
            </w:r>
          </w:p>
        </w:tc>
      </w:tr>
      <w:tr w:rsidRPr="008C608F" w:rsidR="003E4C29" w:rsidTr="00183E70" w14:paraId="54CB2458" w14:textId="77777777">
        <w:tc>
          <w:tcPr>
            <w:tcW w:w="1279" w:type="pct"/>
            <w:vMerge/>
          </w:tcPr>
          <w:p w:rsidRPr="004175C7" w:rsidR="003E4C29" w:rsidP="003E4C29" w:rsidRDefault="003E4C29" w14:paraId="035F184E" w14:textId="77777777">
            <w:pPr>
              <w:tabs>
                <w:tab w:val="center" w:pos="284"/>
              </w:tabs>
              <w:overflowPunct w:val="0"/>
              <w:autoSpaceDE w:val="0"/>
              <w:autoSpaceDN w:val="0"/>
              <w:adjustRightInd w:val="0"/>
              <w:ind w:left="266" w:hanging="266"/>
              <w:textAlignment w:val="baseline"/>
              <w:rPr>
                <w:b/>
              </w:rPr>
            </w:pPr>
          </w:p>
        </w:tc>
        <w:tc>
          <w:tcPr>
            <w:tcW w:w="3721" w:type="pct"/>
          </w:tcPr>
          <w:p w:rsidRPr="008C608F" w:rsidR="003E4C29" w:rsidP="003E4C29" w:rsidRDefault="003E4C29" w14:paraId="72342061" w14:textId="77777777">
            <w:pPr>
              <w:tabs>
                <w:tab w:val="center" w:pos="284"/>
              </w:tabs>
              <w:overflowPunct w:val="0"/>
              <w:autoSpaceDE w:val="0"/>
              <w:autoSpaceDN w:val="0"/>
              <w:adjustRightInd w:val="0"/>
              <w:ind w:left="266" w:hanging="266"/>
              <w:textAlignment w:val="baseline"/>
            </w:pPr>
            <w:r w:rsidRPr="008C608F">
              <w:t>EESC-2024-01786-00-00-AC</w:t>
            </w:r>
          </w:p>
        </w:tc>
      </w:tr>
    </w:tbl>
    <w:p w:rsidRPr="008C608F" w:rsidR="003E4C29" w:rsidP="003E4C29" w:rsidRDefault="003E4C29" w14:paraId="103E2E98" w14:textId="77777777">
      <w:pPr>
        <w:tabs>
          <w:tab w:val="center" w:pos="284"/>
        </w:tabs>
        <w:overflowPunct w:val="0"/>
        <w:autoSpaceDE w:val="0"/>
        <w:autoSpaceDN w:val="0"/>
        <w:adjustRightInd w:val="0"/>
        <w:ind w:left="266" w:hanging="266"/>
        <w:textAlignment w:val="baseline"/>
        <w:rPr>
          <w:lang w:val="en-GB"/>
        </w:rPr>
      </w:pPr>
    </w:p>
    <w:p w:rsidRPr="008C608F" w:rsidR="003E4C29" w:rsidP="003E4C29" w:rsidRDefault="003E4C29" w14:paraId="3C8E42E7"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3E4C29" w:rsidP="003E4C29" w:rsidRDefault="003E4C29" w14:paraId="38A96EE9"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3E4C29" w:rsidP="003E4C29" w:rsidRDefault="003E4C29" w14:paraId="5710B610" w14:textId="77777777">
      <w:pPr>
        <w:overflowPunct w:val="0"/>
        <w:autoSpaceDE w:val="0"/>
        <w:autoSpaceDN w:val="0"/>
        <w:adjustRightInd w:val="0"/>
        <w:textAlignment w:val="baseline"/>
        <w:rPr>
          <w:bCs/>
          <w:iCs/>
        </w:rPr>
      </w:pPr>
      <w:r w:rsidRPr="008C608F">
        <w:t>ЕИСК:</w:t>
      </w:r>
    </w:p>
    <w:p w:rsidRPr="008C608F" w:rsidR="003E4C29" w:rsidP="00B07E13" w:rsidRDefault="003E4C29" w14:paraId="2FEE1CAF" w14:textId="6171049F">
      <w:pPr>
        <w:widowControl w:val="0"/>
        <w:numPr>
          <w:ilvl w:val="0"/>
          <w:numId w:val="33"/>
        </w:numPr>
        <w:overflowPunct w:val="0"/>
        <w:autoSpaceDE w:val="0"/>
        <w:autoSpaceDN w:val="0"/>
        <w:adjustRightInd w:val="0"/>
        <w:ind w:left="567" w:hanging="567"/>
        <w:textAlignment w:val="baseline"/>
        <w:rPr>
          <w:bCs/>
          <w:iCs/>
        </w:rPr>
      </w:pPr>
      <w:r w:rsidRPr="008C608F">
        <w:t xml:space="preserve">счита, че </w:t>
      </w:r>
      <w:r w:rsidRPr="008C608F">
        <w:rPr>
          <w:b/>
        </w:rPr>
        <w:t>за да се преодолеят различията в областта на иновациите между държавите</w:t>
      </w:r>
      <w:r w:rsidRPr="008C608F" w:rsidR="00890D82">
        <w:rPr>
          <w:b/>
          <w:lang w:val="en-GB"/>
        </w:rPr>
        <w:t> </w:t>
      </w:r>
      <w:r w:rsidRPr="008C608F">
        <w:rPr>
          <w:b/>
        </w:rPr>
        <w:t>— членки на ЕС</w:t>
      </w:r>
      <w:r w:rsidRPr="008C608F">
        <w:t>, трябва да бъдат решени три основни въпроса: 1)</w:t>
      </w:r>
      <w:r w:rsidRPr="008C608F" w:rsidR="00890D82">
        <w:rPr>
          <w:lang w:val="en-GB"/>
        </w:rPr>
        <w:t> </w:t>
      </w:r>
      <w:r w:rsidRPr="008C608F">
        <w:rPr>
          <w:b/>
        </w:rPr>
        <w:t>осигуряване на достъп до равнопоставено финансиране на научните изследвания и иновациите във всички държави членки</w:t>
      </w:r>
      <w:r w:rsidRPr="008C608F">
        <w:t xml:space="preserve">, 2) осигуряване на </w:t>
      </w:r>
      <w:r w:rsidRPr="008C608F">
        <w:rPr>
          <w:b/>
        </w:rPr>
        <w:t>достъп до адекватна инфраструктура за подпомагане на научните изследвания и специалистите</w:t>
      </w:r>
      <w:r w:rsidRPr="008C608F">
        <w:t xml:space="preserve"> и 3)</w:t>
      </w:r>
      <w:r w:rsidRPr="008C608F" w:rsidR="00890D82">
        <w:rPr>
          <w:lang w:val="en-GB"/>
        </w:rPr>
        <w:t> </w:t>
      </w:r>
      <w:r w:rsidRPr="008C608F">
        <w:rPr>
          <w:b/>
        </w:rPr>
        <w:t>справяне с тежестта на съфинансирането в различните държави членки</w:t>
      </w:r>
      <w:r w:rsidRPr="008C608F">
        <w:t>;</w:t>
      </w:r>
    </w:p>
    <w:p w:rsidRPr="008C608F" w:rsidR="003E4C29" w:rsidP="00B07E13" w:rsidRDefault="003E4C29" w14:paraId="5CCF440F" w14:textId="77777777">
      <w:pPr>
        <w:widowControl w:val="0"/>
        <w:numPr>
          <w:ilvl w:val="0"/>
          <w:numId w:val="33"/>
        </w:numPr>
        <w:overflowPunct w:val="0"/>
        <w:autoSpaceDE w:val="0"/>
        <w:autoSpaceDN w:val="0"/>
        <w:adjustRightInd w:val="0"/>
        <w:ind w:left="567" w:hanging="567"/>
        <w:textAlignment w:val="baseline"/>
        <w:rPr>
          <w:bCs/>
          <w:iCs/>
        </w:rPr>
      </w:pPr>
      <w:r w:rsidRPr="008C608F">
        <w:t xml:space="preserve">призовава Европейската комисия да разработи, с участието на предприятията, профсъюзите, организациите на гражданското общество и регионите, </w:t>
      </w:r>
      <w:r w:rsidRPr="008C608F">
        <w:rPr>
          <w:b/>
        </w:rPr>
        <w:t>план за действие за намаляване на бюрокрацията</w:t>
      </w:r>
      <w:r w:rsidRPr="008C608F">
        <w:t>, за да се установят припокриващите се разпоредби, да се намали тежестта, свързана със спазването на изискванията, и задълженията за докладване;</w:t>
      </w:r>
    </w:p>
    <w:p w:rsidRPr="008C608F" w:rsidR="003E4C29" w:rsidP="00B07E13" w:rsidRDefault="003E4C29" w14:paraId="1672CF2A" w14:textId="77777777">
      <w:pPr>
        <w:widowControl w:val="0"/>
        <w:numPr>
          <w:ilvl w:val="0"/>
          <w:numId w:val="33"/>
        </w:numPr>
        <w:overflowPunct w:val="0"/>
        <w:autoSpaceDE w:val="0"/>
        <w:autoSpaceDN w:val="0"/>
        <w:adjustRightInd w:val="0"/>
        <w:ind w:left="567" w:hanging="567"/>
        <w:textAlignment w:val="baseline"/>
        <w:rPr>
          <w:bCs/>
          <w:iCs/>
        </w:rPr>
      </w:pPr>
      <w:r w:rsidRPr="008C608F">
        <w:t>призовава Европейската комисия да предприеме последващи действия във връзка с инициативата</w:t>
      </w:r>
      <w:r w:rsidRPr="008C608F">
        <w:rPr>
          <w:i/>
          <w:iCs/>
        </w:rPr>
        <w:t xml:space="preserve"> </w:t>
      </w:r>
      <w:r w:rsidRPr="008C608F">
        <w:rPr>
          <w:b/>
          <w:i/>
          <w:iCs/>
        </w:rPr>
        <w:t>Teaming for Excellence</w:t>
      </w:r>
      <w:r w:rsidRPr="008C608F">
        <w:t xml:space="preserve"> (Работа в екип за високи постижения) </w:t>
      </w:r>
      <w:r w:rsidRPr="008C608F">
        <w:rPr>
          <w:b/>
        </w:rPr>
        <w:t>и преодоляването на различията в областта на иновациите между държавите членки</w:t>
      </w:r>
      <w:r w:rsidRPr="008C608F">
        <w:t xml:space="preserve">, по-специално в държавите със слаби показатели в областта на научните изследвания и иновациите, както и </w:t>
      </w:r>
      <w:r w:rsidRPr="008C608F">
        <w:rPr>
          <w:b/>
        </w:rPr>
        <w:t>в контекста на подготовката на следващата рамкова програма за научни изследвания</w:t>
      </w:r>
      <w:r w:rsidRPr="008C608F">
        <w:t>;</w:t>
      </w:r>
    </w:p>
    <w:p w:rsidRPr="008C608F" w:rsidR="003E4C29" w:rsidP="00B07E13" w:rsidRDefault="003E4C29" w14:paraId="4D823E52" w14:textId="77777777">
      <w:pPr>
        <w:widowControl w:val="0"/>
        <w:numPr>
          <w:ilvl w:val="0"/>
          <w:numId w:val="33"/>
        </w:numPr>
        <w:overflowPunct w:val="0"/>
        <w:autoSpaceDE w:val="0"/>
        <w:autoSpaceDN w:val="0"/>
        <w:adjustRightInd w:val="0"/>
        <w:ind w:left="567" w:hanging="567"/>
        <w:textAlignment w:val="baseline"/>
        <w:rPr>
          <w:bCs/>
          <w:iCs/>
        </w:rPr>
      </w:pPr>
      <w:r w:rsidRPr="008C608F">
        <w:t xml:space="preserve">се застъпва за </w:t>
      </w:r>
      <w:r w:rsidRPr="008C608F">
        <w:rPr>
          <w:b/>
        </w:rPr>
        <w:t>по-бързи и опростени процедури за планиране и одобрение</w:t>
      </w:r>
      <w:r w:rsidRPr="008C608F">
        <w:t xml:space="preserve"> и за по-нататъшно разширяване на прилагането на отворената наука в контекста на „Хоризонт Европа“;</w:t>
      </w:r>
    </w:p>
    <w:p w:rsidRPr="008C608F" w:rsidR="003E4C29" w:rsidP="00B07E13" w:rsidRDefault="003E4C29" w14:paraId="189DB53F" w14:textId="77777777">
      <w:pPr>
        <w:widowControl w:val="0"/>
        <w:numPr>
          <w:ilvl w:val="0"/>
          <w:numId w:val="33"/>
        </w:numPr>
        <w:overflowPunct w:val="0"/>
        <w:autoSpaceDE w:val="0"/>
        <w:autoSpaceDN w:val="0"/>
        <w:adjustRightInd w:val="0"/>
        <w:ind w:left="567" w:hanging="567"/>
        <w:textAlignment w:val="baseline"/>
        <w:rPr>
          <w:bCs/>
          <w:iCs/>
        </w:rPr>
      </w:pPr>
      <w:r w:rsidRPr="008C608F">
        <w:t xml:space="preserve">изтъква значението на </w:t>
      </w:r>
      <w:r w:rsidRPr="008C608F">
        <w:rPr>
          <w:b/>
        </w:rPr>
        <w:t>съгласуването на подкрепата</w:t>
      </w:r>
      <w:r w:rsidRPr="008C608F">
        <w:t xml:space="preserve">, например обучения, оценка на въздействието, ефективно участие на бенефициерите </w:t>
      </w:r>
      <w:r w:rsidRPr="008C608F">
        <w:rPr>
          <w:b/>
        </w:rPr>
        <w:t>и</w:t>
      </w:r>
      <w:r w:rsidRPr="008C608F">
        <w:t xml:space="preserve"> </w:t>
      </w:r>
      <w:r w:rsidRPr="008C608F">
        <w:rPr>
          <w:b/>
        </w:rPr>
        <w:t>осигуряване на възможност за участие на МСП</w:t>
      </w:r>
      <w:r w:rsidRPr="008C608F">
        <w:t xml:space="preserve"> чрез участието им в проекти с по-малък мащаб, което също така би дало възможност и насърчило допълнително тяхното участие и в по-големи проекти;</w:t>
      </w:r>
    </w:p>
    <w:p w:rsidRPr="008C608F" w:rsidR="003E4C29" w:rsidP="00B07E13" w:rsidRDefault="003E4C29" w14:paraId="753EE31D" w14:textId="77777777">
      <w:pPr>
        <w:widowControl w:val="0"/>
        <w:numPr>
          <w:ilvl w:val="0"/>
          <w:numId w:val="33"/>
        </w:numPr>
        <w:overflowPunct w:val="0"/>
        <w:autoSpaceDE w:val="0"/>
        <w:autoSpaceDN w:val="0"/>
        <w:adjustRightInd w:val="0"/>
        <w:ind w:left="567" w:hanging="567"/>
        <w:textAlignment w:val="baseline"/>
      </w:pPr>
      <w:r w:rsidRPr="008C608F">
        <w:t>препоръчва</w:t>
      </w:r>
      <w:r w:rsidRPr="008C608F">
        <w:rPr>
          <w:b/>
        </w:rPr>
        <w:t xml:space="preserve"> да се използват по-добре съществуващата рамка за мониторинг на ЕНП, Европейският сравнителен доклад за иновациите и Регионалният сравнителен доклад за иновациите</w:t>
      </w:r>
      <w:r w:rsidRPr="008C608F">
        <w:t>, насочени към подобряване на изпълнението, координацията и мониторинга на научните изследвания и иновациите, с подкрепата на социалните партньори и специализираните ОГО от държавите бенефициери.</w:t>
      </w:r>
    </w:p>
    <w:p w:rsidRPr="008C608F" w:rsidR="003E4C29" w:rsidP="003E4C29" w:rsidRDefault="003E4C29" w14:paraId="089BB657" w14:textId="77777777">
      <w:pPr>
        <w:widowControl w:val="0"/>
        <w:overflowPunct w:val="0"/>
        <w:autoSpaceDE w:val="0"/>
        <w:autoSpaceDN w:val="0"/>
        <w:adjustRightInd w:val="0"/>
        <w:ind w:left="709"/>
        <w:textAlignment w:val="baseline"/>
        <w:rPr>
          <w:szCs w:val="20"/>
          <w:lang w:val="en-GB"/>
        </w:rPr>
      </w:pPr>
    </w:p>
    <w:tbl>
      <w:tblPr>
        <w:tblW w:w="3516" w:type="pct"/>
        <w:tblLook w:val="04A0" w:firstRow="1" w:lastRow="0" w:firstColumn="1" w:lastColumn="0" w:noHBand="0" w:noVBand="1"/>
      </w:tblPr>
      <w:tblGrid>
        <w:gridCol w:w="2032"/>
        <w:gridCol w:w="4499"/>
      </w:tblGrid>
      <w:tr w:rsidRPr="004175C7" w:rsidR="003E4C29" w:rsidTr="0015437C" w14:paraId="123579B2" w14:textId="77777777">
        <w:tc>
          <w:tcPr>
            <w:tcW w:w="1556" w:type="pct"/>
          </w:tcPr>
          <w:p w:rsidRPr="004175C7" w:rsidR="003E4C29" w:rsidP="003E4C29" w:rsidRDefault="003E4C29" w14:paraId="723CBD8D"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3E4C29" w:rsidP="003E4C29" w:rsidRDefault="00183E70" w14:paraId="1F40C0E9" w14:textId="4056020D">
            <w:pPr>
              <w:overflowPunct w:val="0"/>
              <w:autoSpaceDE w:val="0"/>
              <w:autoSpaceDN w:val="0"/>
              <w:adjustRightInd w:val="0"/>
              <w:spacing w:line="240" w:lineRule="auto"/>
              <w:textAlignment w:val="baseline"/>
              <w:rPr>
                <w:i/>
              </w:rPr>
            </w:pPr>
            <w:r w:rsidRPr="008C608F">
              <w:rPr>
                <w:i/>
              </w:rPr>
              <w:t>Veronika Kadlecova</w:t>
            </w:r>
          </w:p>
        </w:tc>
      </w:tr>
      <w:tr w:rsidRPr="004175C7" w:rsidR="003E4C29" w:rsidTr="0015437C" w14:paraId="280094D3" w14:textId="77777777">
        <w:tc>
          <w:tcPr>
            <w:tcW w:w="1556" w:type="pct"/>
          </w:tcPr>
          <w:p w:rsidRPr="004175C7" w:rsidR="003E4C29" w:rsidP="003E4C29" w:rsidRDefault="003E4C29" w14:paraId="288A6D58"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3E4C29" w:rsidP="00B07E13" w:rsidRDefault="003E4C29" w14:paraId="61918DFA" w14:textId="52DB2209">
            <w:pPr>
              <w:overflowPunct w:val="0"/>
              <w:autoSpaceDE w:val="0"/>
              <w:autoSpaceDN w:val="0"/>
              <w:adjustRightInd w:val="0"/>
              <w:spacing w:line="240" w:lineRule="auto"/>
              <w:jc w:val="left"/>
              <w:textAlignment w:val="baseline"/>
              <w:rPr>
                <w:i/>
              </w:rPr>
            </w:pPr>
            <w:r w:rsidRPr="008C608F">
              <w:rPr>
                <w:i/>
              </w:rPr>
              <w:t>+32 25469113</w:t>
            </w:r>
          </w:p>
        </w:tc>
      </w:tr>
      <w:tr w:rsidRPr="008C608F" w:rsidR="003E4C29" w:rsidTr="0015437C" w14:paraId="5771A21D" w14:textId="77777777">
        <w:tc>
          <w:tcPr>
            <w:tcW w:w="1556" w:type="pct"/>
          </w:tcPr>
          <w:p w:rsidRPr="004175C7" w:rsidR="003E4C29" w:rsidP="003E4C29" w:rsidRDefault="00EF069D" w14:paraId="395A36CC" w14:textId="3CA44E94">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3E4C29" w:rsidP="003E4C29" w:rsidRDefault="00257091" w14:paraId="54F50946" w14:textId="77777777">
            <w:pPr>
              <w:overflowPunct w:val="0"/>
              <w:autoSpaceDE w:val="0"/>
              <w:autoSpaceDN w:val="0"/>
              <w:adjustRightInd w:val="0"/>
              <w:spacing w:line="240" w:lineRule="auto"/>
              <w:textAlignment w:val="baseline"/>
              <w:rPr>
                <w:i/>
              </w:rPr>
            </w:pPr>
            <w:hyperlink w:history="1" r:id="rId47">
              <w:r w:rsidRPr="008C608F" w:rsidR="006A1AC2">
                <w:rPr>
                  <w:i/>
                  <w:color w:val="0000FF"/>
                  <w:u w:val="single"/>
                </w:rPr>
                <w:t>Veronika.Kadlecova@eesc.europa.eu</w:t>
              </w:r>
            </w:hyperlink>
          </w:p>
        </w:tc>
      </w:tr>
    </w:tbl>
    <w:p w:rsidRPr="008C608F" w:rsidR="003E4C29" w:rsidRDefault="003E4C29" w14:paraId="59E68DCD" w14:textId="77777777">
      <w:pPr>
        <w:spacing w:after="160" w:line="259" w:lineRule="auto"/>
        <w:jc w:val="left"/>
      </w:pPr>
      <w:r w:rsidRPr="008C608F">
        <w:br w:type="page"/>
      </w:r>
    </w:p>
    <w:p w:rsidRPr="008C608F" w:rsidR="00330CFA" w:rsidP="00330CFA" w:rsidRDefault="00FB7F11" w14:paraId="15092F34" w14:textId="0667669A">
      <w:pPr>
        <w:widowControl w:val="0"/>
        <w:numPr>
          <w:ilvl w:val="0"/>
          <w:numId w:val="4"/>
        </w:numPr>
        <w:overflowPunct w:val="0"/>
        <w:autoSpaceDE w:val="0"/>
        <w:autoSpaceDN w:val="0"/>
        <w:adjustRightInd w:val="0"/>
        <w:ind w:left="266" w:hanging="266"/>
        <w:textAlignment w:val="baseline"/>
        <w:rPr>
          <w:b/>
        </w:rPr>
      </w:pPr>
      <w:r w:rsidRPr="008C608F">
        <w:rPr>
          <w:b/>
          <w:i/>
          <w:sz w:val="28"/>
        </w:rPr>
        <w:lastRenderedPageBreak/>
        <w:tab/>
      </w:r>
      <w:hyperlink w:tgtFrame="_blank" w:history="1" r:id="rId48">
        <w:r w:rsidRPr="008C608F">
          <w:rPr>
            <w:b/>
            <w:i/>
            <w:color w:val="0000FF"/>
            <w:sz w:val="28"/>
            <w:u w:val="single"/>
          </w:rPr>
          <w:t>По-строги изисквания за информиране на потребителите в ЕС</w:t>
        </w:r>
      </w:hyperlink>
    </w:p>
    <w:p w:rsidRPr="008C608F" w:rsidR="00AB6CDB" w:rsidP="00B07E13" w:rsidRDefault="00AB6CDB" w14:paraId="3923D965" w14:textId="77777777">
      <w:pPr>
        <w:widowControl w:val="0"/>
        <w:overflowPunct w:val="0"/>
        <w:autoSpaceDE w:val="0"/>
        <w:autoSpaceDN w:val="0"/>
        <w:adjustRightInd w:val="0"/>
        <w:ind w:left="266"/>
        <w:textAlignment w:val="baseline"/>
        <w:rPr>
          <w:b/>
          <w:lang w:val="en-GB"/>
        </w:rPr>
      </w:pPr>
    </w:p>
    <w:tbl>
      <w:tblPr>
        <w:tblW w:w="4766" w:type="pct"/>
        <w:tblLook w:val="04A0" w:firstRow="1" w:lastRow="0" w:firstColumn="1" w:lastColumn="0" w:noHBand="0" w:noVBand="1"/>
      </w:tblPr>
      <w:tblGrid>
        <w:gridCol w:w="2659"/>
        <w:gridCol w:w="6193"/>
      </w:tblGrid>
      <w:tr w:rsidRPr="004175C7" w:rsidR="00330CFA" w:rsidTr="00183E70" w14:paraId="708D653E" w14:textId="77777777">
        <w:tc>
          <w:tcPr>
            <w:tcW w:w="1502" w:type="pct"/>
          </w:tcPr>
          <w:p w:rsidRPr="004175C7" w:rsidR="00330CFA" w:rsidP="00330CFA" w:rsidRDefault="00330CFA" w14:paraId="5A7705D1"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3498" w:type="pct"/>
          </w:tcPr>
          <w:p w:rsidRPr="004175C7" w:rsidR="00330CFA" w:rsidP="00B07E13" w:rsidRDefault="00330CFA" w14:paraId="2CC3D9F5" w14:textId="47D7C576">
            <w:pPr>
              <w:overflowPunct w:val="0"/>
              <w:autoSpaceDE w:val="0"/>
              <w:autoSpaceDN w:val="0"/>
              <w:adjustRightInd w:val="0"/>
              <w:ind w:left="37" w:hanging="37"/>
              <w:textAlignment w:val="baseline"/>
            </w:pPr>
            <w:r w:rsidRPr="008C608F">
              <w:t>Bernardo HERNÁNDEZ BATALLER (Група на организациите на гражданското общество — ES)</w:t>
            </w:r>
          </w:p>
        </w:tc>
      </w:tr>
      <w:tr w:rsidRPr="004175C7" w:rsidR="00330CFA" w:rsidTr="00183E70" w14:paraId="298AD12B" w14:textId="77777777">
        <w:tc>
          <w:tcPr>
            <w:tcW w:w="1502" w:type="pct"/>
            <w:vMerge w:val="restart"/>
          </w:tcPr>
          <w:p w:rsidRPr="004175C7" w:rsidR="00330CFA" w:rsidP="00330CFA" w:rsidRDefault="00330CFA" w14:paraId="772C3703"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498" w:type="pct"/>
          </w:tcPr>
          <w:p w:rsidRPr="004175C7" w:rsidR="00330CFA" w:rsidP="00330CFA" w:rsidRDefault="00330CFA" w14:paraId="764754BD" w14:textId="77777777">
            <w:pPr>
              <w:tabs>
                <w:tab w:val="center" w:pos="284"/>
              </w:tabs>
              <w:overflowPunct w:val="0"/>
              <w:autoSpaceDE w:val="0"/>
              <w:autoSpaceDN w:val="0"/>
              <w:adjustRightInd w:val="0"/>
              <w:ind w:left="266" w:hanging="266"/>
              <w:textAlignment w:val="baseline"/>
            </w:pPr>
            <w:r w:rsidRPr="008C608F">
              <w:t>Становище по собствена инициатива</w:t>
            </w:r>
          </w:p>
        </w:tc>
      </w:tr>
      <w:tr w:rsidRPr="008C608F" w:rsidR="00330CFA" w:rsidTr="00183E70" w14:paraId="0585B067" w14:textId="77777777">
        <w:tc>
          <w:tcPr>
            <w:tcW w:w="1502" w:type="pct"/>
            <w:vMerge/>
          </w:tcPr>
          <w:p w:rsidRPr="004175C7" w:rsidR="00330CFA" w:rsidP="00330CFA" w:rsidRDefault="00330CFA" w14:paraId="4D8737DC" w14:textId="77777777">
            <w:pPr>
              <w:tabs>
                <w:tab w:val="center" w:pos="284"/>
              </w:tabs>
              <w:overflowPunct w:val="0"/>
              <w:autoSpaceDE w:val="0"/>
              <w:autoSpaceDN w:val="0"/>
              <w:adjustRightInd w:val="0"/>
              <w:ind w:left="266" w:hanging="266"/>
              <w:textAlignment w:val="baseline"/>
              <w:rPr>
                <w:b/>
              </w:rPr>
            </w:pPr>
          </w:p>
        </w:tc>
        <w:tc>
          <w:tcPr>
            <w:tcW w:w="3498" w:type="pct"/>
          </w:tcPr>
          <w:p w:rsidRPr="008C608F" w:rsidR="00330CFA" w:rsidP="00330CFA" w:rsidRDefault="00330CFA" w14:paraId="5776D993" w14:textId="77777777">
            <w:pPr>
              <w:tabs>
                <w:tab w:val="center" w:pos="284"/>
              </w:tabs>
              <w:overflowPunct w:val="0"/>
              <w:autoSpaceDE w:val="0"/>
              <w:autoSpaceDN w:val="0"/>
              <w:adjustRightInd w:val="0"/>
              <w:ind w:left="266" w:hanging="266"/>
              <w:textAlignment w:val="baseline"/>
            </w:pPr>
            <w:r w:rsidRPr="008C608F">
              <w:t>EESC-2024-00553-00-00-AC</w:t>
            </w:r>
          </w:p>
        </w:tc>
      </w:tr>
    </w:tbl>
    <w:p w:rsidRPr="008C608F" w:rsidR="00330CFA" w:rsidP="00330CFA" w:rsidRDefault="00330CFA" w14:paraId="74CD0448" w14:textId="77777777">
      <w:pPr>
        <w:tabs>
          <w:tab w:val="center" w:pos="284"/>
        </w:tabs>
        <w:overflowPunct w:val="0"/>
        <w:autoSpaceDE w:val="0"/>
        <w:autoSpaceDN w:val="0"/>
        <w:adjustRightInd w:val="0"/>
        <w:ind w:left="266" w:hanging="266"/>
        <w:textAlignment w:val="baseline"/>
        <w:rPr>
          <w:lang w:val="en-GB"/>
        </w:rPr>
      </w:pPr>
    </w:p>
    <w:p w:rsidRPr="008C608F" w:rsidR="00330CFA" w:rsidP="00330CFA" w:rsidRDefault="00330CFA" w14:paraId="782A2614"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330CFA" w:rsidP="00330CFA" w:rsidRDefault="00330CFA" w14:paraId="0403CB13"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330CFA" w:rsidP="00330CFA" w:rsidRDefault="00330CFA" w14:paraId="20924A7B" w14:textId="77777777">
      <w:pPr>
        <w:overflowPunct w:val="0"/>
        <w:autoSpaceDE w:val="0"/>
        <w:autoSpaceDN w:val="0"/>
        <w:adjustRightInd w:val="0"/>
        <w:textAlignment w:val="baseline"/>
        <w:rPr>
          <w:bCs/>
          <w:iCs/>
        </w:rPr>
      </w:pPr>
      <w:r w:rsidRPr="008C608F">
        <w:t>ЕИСК:</w:t>
      </w:r>
    </w:p>
    <w:p w:rsidRPr="008C608F" w:rsidR="00330CFA" w:rsidP="00B07E13" w:rsidRDefault="00330CFA" w14:paraId="616A6258" w14:textId="77777777">
      <w:pPr>
        <w:widowControl w:val="0"/>
        <w:numPr>
          <w:ilvl w:val="0"/>
          <w:numId w:val="34"/>
        </w:numPr>
        <w:overflowPunct w:val="0"/>
        <w:autoSpaceDE w:val="0"/>
        <w:autoSpaceDN w:val="0"/>
        <w:adjustRightInd w:val="0"/>
        <w:ind w:left="567" w:hanging="567"/>
        <w:textAlignment w:val="baseline"/>
        <w:rPr>
          <w:bCs/>
          <w:iCs/>
        </w:rPr>
      </w:pPr>
      <w:r w:rsidRPr="008C608F">
        <w:t xml:space="preserve">предлага да се осигури </w:t>
      </w:r>
      <w:r w:rsidRPr="008C608F">
        <w:rPr>
          <w:b/>
        </w:rPr>
        <w:t>достъпна, ясна и разбираема информация</w:t>
      </w:r>
      <w:r w:rsidRPr="008C608F">
        <w:t xml:space="preserve"> за всички граждани, особено за хората с </w:t>
      </w:r>
      <w:r w:rsidRPr="008C608F">
        <w:rPr>
          <w:b/>
        </w:rPr>
        <w:t>увреждания</w:t>
      </w:r>
      <w:r w:rsidRPr="008C608F">
        <w:t>, и когато става въпрос за стоки и услуги от трети държави. Това обаче не следва да създава ненужна бюрокрация за малките и средните предприятия;</w:t>
      </w:r>
    </w:p>
    <w:p w:rsidRPr="008C608F" w:rsidR="00330CFA" w:rsidP="00B07E13" w:rsidRDefault="00330CFA" w14:paraId="494BBA10" w14:textId="77777777">
      <w:pPr>
        <w:widowControl w:val="0"/>
        <w:numPr>
          <w:ilvl w:val="0"/>
          <w:numId w:val="34"/>
        </w:numPr>
        <w:overflowPunct w:val="0"/>
        <w:autoSpaceDE w:val="0"/>
        <w:autoSpaceDN w:val="0"/>
        <w:adjustRightInd w:val="0"/>
        <w:ind w:left="567" w:hanging="567"/>
        <w:textAlignment w:val="baseline"/>
        <w:rPr>
          <w:bCs/>
          <w:iCs/>
        </w:rPr>
      </w:pPr>
      <w:r w:rsidRPr="008C608F">
        <w:t xml:space="preserve">счита, че достиженията на правото на ЕС в областта на правата на потребителите се възприемат като сложни, фрагментирани и особено трудни за спазване от страна на малките предприятия. </w:t>
      </w:r>
      <w:r w:rsidRPr="008C608F">
        <w:rPr>
          <w:b/>
        </w:rPr>
        <w:t>Правилата на ЕС за защита на потребителите следва да бъдат опростени и рационализирани</w:t>
      </w:r>
      <w:r w:rsidRPr="008C608F">
        <w:t>, за да се улесни спазването им от страна на предприятията и запознаване на потребителите с правата им;</w:t>
      </w:r>
    </w:p>
    <w:p w:rsidRPr="008C608F" w:rsidR="00330CFA" w:rsidP="00B07E13" w:rsidRDefault="00330CFA" w14:paraId="792DC775" w14:textId="77777777">
      <w:pPr>
        <w:widowControl w:val="0"/>
        <w:numPr>
          <w:ilvl w:val="0"/>
          <w:numId w:val="34"/>
        </w:numPr>
        <w:overflowPunct w:val="0"/>
        <w:autoSpaceDE w:val="0"/>
        <w:autoSpaceDN w:val="0"/>
        <w:adjustRightInd w:val="0"/>
        <w:ind w:left="567" w:hanging="567"/>
        <w:textAlignment w:val="baseline"/>
        <w:rPr>
          <w:bCs/>
          <w:iCs/>
        </w:rPr>
      </w:pPr>
      <w:r w:rsidRPr="008C608F">
        <w:t xml:space="preserve">препоръчва, упражняването на правото на информация от потребителите в рамките на вътрешния пазар да може да бъде осъществено чрез използването на </w:t>
      </w:r>
      <w:r w:rsidRPr="008C608F">
        <w:rPr>
          <w:b/>
        </w:rPr>
        <w:t>интелигентни етикети</w:t>
      </w:r>
      <w:r w:rsidRPr="008C608F">
        <w:t xml:space="preserve"> за проследяване на състоянието на продуктите, като се насърчава цифровата трансформация чрез развитието на роботиката, изкуствения интелект, блоковата верига и виртуалната реалност;</w:t>
      </w:r>
    </w:p>
    <w:p w:rsidRPr="008C608F" w:rsidR="00330CFA" w:rsidP="00B07E13" w:rsidRDefault="00330CFA" w14:paraId="6C49D6ED" w14:textId="77777777">
      <w:pPr>
        <w:widowControl w:val="0"/>
        <w:numPr>
          <w:ilvl w:val="0"/>
          <w:numId w:val="34"/>
        </w:numPr>
        <w:overflowPunct w:val="0"/>
        <w:autoSpaceDE w:val="0"/>
        <w:autoSpaceDN w:val="0"/>
        <w:adjustRightInd w:val="0"/>
        <w:ind w:left="567" w:hanging="567"/>
        <w:textAlignment w:val="baseline"/>
      </w:pPr>
      <w:r w:rsidRPr="008C608F">
        <w:t xml:space="preserve">изразява своята загриженост относно действията на доставчиците на </w:t>
      </w:r>
      <w:r w:rsidRPr="008C608F">
        <w:rPr>
          <w:b/>
        </w:rPr>
        <w:t>услуги на платформи и онлайн търсачки</w:t>
      </w:r>
      <w:r w:rsidRPr="008C608F">
        <w:t>, що се отнася до правото на информация на потребителите и задължението да прилагат разумни, пропорционални и ефикасни мерки за ограничаване на системните рискове и незаконното съдържание, по-специално за защита на непълнолетните. Във връзка с това ЕИСК призовава за равенство между операторите от ЕС и операторите от трети държави при спазването на изискванията по цялата верига за създаване на стойност.</w:t>
      </w:r>
    </w:p>
    <w:p w:rsidRPr="008C608F" w:rsidR="00330CFA" w:rsidP="00330CFA" w:rsidRDefault="00330CFA" w14:paraId="67C73303" w14:textId="77777777">
      <w:pPr>
        <w:widowControl w:val="0"/>
        <w:overflowPunct w:val="0"/>
        <w:autoSpaceDE w:val="0"/>
        <w:autoSpaceDN w:val="0"/>
        <w:adjustRightInd w:val="0"/>
        <w:ind w:left="709"/>
        <w:textAlignment w:val="baseline"/>
        <w:rPr>
          <w:szCs w:val="20"/>
          <w:lang w:val="en-GB"/>
        </w:rPr>
      </w:pPr>
    </w:p>
    <w:tbl>
      <w:tblPr>
        <w:tblW w:w="3516" w:type="pct"/>
        <w:tblLook w:val="04A0" w:firstRow="1" w:lastRow="0" w:firstColumn="1" w:lastColumn="0" w:noHBand="0" w:noVBand="1"/>
      </w:tblPr>
      <w:tblGrid>
        <w:gridCol w:w="2032"/>
        <w:gridCol w:w="4499"/>
      </w:tblGrid>
      <w:tr w:rsidRPr="004175C7" w:rsidR="00330CFA" w:rsidTr="0015437C" w14:paraId="17CB2FA2" w14:textId="77777777">
        <w:tc>
          <w:tcPr>
            <w:tcW w:w="1556" w:type="pct"/>
          </w:tcPr>
          <w:p w:rsidRPr="004175C7" w:rsidR="00330CFA" w:rsidP="00330CFA" w:rsidRDefault="00330CFA" w14:paraId="5FFCF01A"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330CFA" w:rsidP="00330CFA" w:rsidRDefault="00330CFA" w14:paraId="0593F283" w14:textId="77777777">
            <w:pPr>
              <w:overflowPunct w:val="0"/>
              <w:autoSpaceDE w:val="0"/>
              <w:autoSpaceDN w:val="0"/>
              <w:adjustRightInd w:val="0"/>
              <w:spacing w:line="240" w:lineRule="auto"/>
              <w:textAlignment w:val="baseline"/>
              <w:rPr>
                <w:i/>
              </w:rPr>
            </w:pPr>
            <w:r w:rsidRPr="008C608F">
              <w:rPr>
                <w:i/>
              </w:rPr>
              <w:t>Yousra Asbouni El Ouahabi</w:t>
            </w:r>
          </w:p>
        </w:tc>
      </w:tr>
      <w:tr w:rsidRPr="004175C7" w:rsidR="00330CFA" w:rsidTr="0015437C" w14:paraId="3605352A" w14:textId="77777777">
        <w:tc>
          <w:tcPr>
            <w:tcW w:w="1556" w:type="pct"/>
          </w:tcPr>
          <w:p w:rsidRPr="004175C7" w:rsidR="00330CFA" w:rsidP="00330CFA" w:rsidRDefault="00330CFA" w14:paraId="68EF1B7D"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330CFA" w:rsidP="00330CFA" w:rsidRDefault="00330CFA" w14:paraId="37FE68BF" w14:textId="77777777">
            <w:pPr>
              <w:overflowPunct w:val="0"/>
              <w:autoSpaceDE w:val="0"/>
              <w:autoSpaceDN w:val="0"/>
              <w:adjustRightInd w:val="0"/>
              <w:spacing w:line="240" w:lineRule="auto"/>
              <w:textAlignment w:val="baseline"/>
              <w:rPr>
                <w:i/>
              </w:rPr>
            </w:pPr>
            <w:r w:rsidRPr="008C608F">
              <w:rPr>
                <w:i/>
              </w:rPr>
              <w:t>+32 25468485</w:t>
            </w:r>
          </w:p>
        </w:tc>
      </w:tr>
      <w:tr w:rsidRPr="008C608F" w:rsidR="00330CFA" w:rsidTr="0015437C" w14:paraId="670C6116" w14:textId="77777777">
        <w:tc>
          <w:tcPr>
            <w:tcW w:w="1556" w:type="pct"/>
          </w:tcPr>
          <w:p w:rsidRPr="004175C7" w:rsidR="00330CFA" w:rsidP="00330CFA" w:rsidRDefault="00FB7F11" w14:paraId="00D55491" w14:textId="3BBF1D74">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330CFA" w:rsidP="00330CFA" w:rsidRDefault="00257091" w14:paraId="1319FD05" w14:textId="77777777">
            <w:pPr>
              <w:overflowPunct w:val="0"/>
              <w:autoSpaceDE w:val="0"/>
              <w:autoSpaceDN w:val="0"/>
              <w:adjustRightInd w:val="0"/>
              <w:spacing w:line="240" w:lineRule="auto"/>
              <w:textAlignment w:val="baseline"/>
              <w:rPr>
                <w:i/>
              </w:rPr>
            </w:pPr>
            <w:hyperlink w:history="1" r:id="rId49">
              <w:r w:rsidRPr="008C608F" w:rsidR="006A1AC2">
                <w:rPr>
                  <w:i/>
                  <w:color w:val="0000FF"/>
                  <w:u w:val="single"/>
                </w:rPr>
                <w:t>Yousra.AsbouniElOuahabi@eesc.europa.eu</w:t>
              </w:r>
            </w:hyperlink>
          </w:p>
        </w:tc>
      </w:tr>
    </w:tbl>
    <w:p w:rsidRPr="008C608F" w:rsidR="00330CFA" w:rsidP="004D7AC0" w:rsidRDefault="00330CFA" w14:paraId="0DC7AFEB" w14:textId="77777777">
      <w:pPr>
        <w:spacing w:after="160" w:line="259" w:lineRule="auto"/>
        <w:jc w:val="left"/>
      </w:pPr>
    </w:p>
    <w:p w:rsidRPr="008C608F" w:rsidR="008D5222" w:rsidRDefault="008D5222" w14:paraId="75BBCF58" w14:textId="77777777">
      <w:pPr>
        <w:spacing w:after="160" w:line="259" w:lineRule="auto"/>
        <w:jc w:val="left"/>
      </w:pPr>
      <w:r w:rsidRPr="008C608F">
        <w:br w:type="page"/>
      </w:r>
    </w:p>
    <w:p w:rsidRPr="008C608F" w:rsidR="003A3FDA" w:rsidP="003A3FDA" w:rsidRDefault="00257091" w14:paraId="3953EFAF" w14:textId="2DD9BFF6">
      <w:pPr>
        <w:widowControl w:val="0"/>
        <w:numPr>
          <w:ilvl w:val="0"/>
          <w:numId w:val="4"/>
        </w:numPr>
        <w:overflowPunct w:val="0"/>
        <w:autoSpaceDE w:val="0"/>
        <w:autoSpaceDN w:val="0"/>
        <w:adjustRightInd w:val="0"/>
        <w:ind w:hanging="567"/>
        <w:textAlignment w:val="baseline"/>
        <w:rPr>
          <w:sz w:val="20"/>
          <w:szCs w:val="20"/>
        </w:rPr>
      </w:pPr>
      <w:hyperlink w:tgtFrame="_blank" w:history="1" r:id="rId50">
        <w:r w:rsidRPr="008C608F" w:rsidR="006A1AC2">
          <w:rPr>
            <w:b/>
            <w:i/>
            <w:color w:val="0000FF"/>
            <w:sz w:val="28"/>
            <w:u w:val="single"/>
          </w:rPr>
          <w:t>Адаптиране на Зеления пакт</w:t>
        </w:r>
      </w:hyperlink>
    </w:p>
    <w:p w:rsidRPr="008C608F" w:rsidR="003A3FDA" w:rsidP="003A3FDA" w:rsidRDefault="003A3FDA" w14:paraId="641EF10D" w14:textId="77777777">
      <w:pPr>
        <w:widowControl w:val="0"/>
        <w:overflowPunct w:val="0"/>
        <w:autoSpaceDE w:val="0"/>
        <w:autoSpaceDN w:val="0"/>
        <w:adjustRightInd w:val="0"/>
        <w:ind w:left="567"/>
        <w:textAlignment w:val="baseline"/>
        <w:rPr>
          <w:b/>
          <w:lang w:val="en-GB"/>
        </w:rPr>
      </w:pPr>
    </w:p>
    <w:tbl>
      <w:tblPr>
        <w:tblW w:w="0" w:type="auto"/>
        <w:tblLook w:val="04A0" w:firstRow="1" w:lastRow="0" w:firstColumn="1" w:lastColumn="0" w:noHBand="0" w:noVBand="1"/>
      </w:tblPr>
      <w:tblGrid>
        <w:gridCol w:w="2376"/>
        <w:gridCol w:w="5529"/>
      </w:tblGrid>
      <w:tr w:rsidRPr="004175C7" w:rsidR="003A3FDA" w:rsidTr="001037CE" w14:paraId="247D0877" w14:textId="77777777">
        <w:tc>
          <w:tcPr>
            <w:tcW w:w="2376" w:type="dxa"/>
          </w:tcPr>
          <w:p w:rsidRPr="004175C7" w:rsidR="003A3FDA" w:rsidP="003A3FDA" w:rsidRDefault="003A3FDA" w14:paraId="12126FD2"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5529" w:type="dxa"/>
          </w:tcPr>
          <w:p w:rsidRPr="004175C7" w:rsidR="003A3FDA" w:rsidP="003A3FDA" w:rsidRDefault="003A3FDA" w14:paraId="68587493" w14:textId="15A60B86">
            <w:pPr>
              <w:tabs>
                <w:tab w:val="center" w:pos="284"/>
              </w:tabs>
              <w:overflowPunct w:val="0"/>
              <w:autoSpaceDE w:val="0"/>
              <w:autoSpaceDN w:val="0"/>
              <w:adjustRightInd w:val="0"/>
              <w:ind w:left="266" w:hanging="266"/>
              <w:textAlignment w:val="baseline"/>
            </w:pPr>
            <w:r w:rsidRPr="008C608F">
              <w:t>Alena MASTANTUONO (група „Работодатели“ — CZ)</w:t>
            </w:r>
          </w:p>
        </w:tc>
      </w:tr>
      <w:tr w:rsidRPr="004175C7" w:rsidR="003A3FDA" w:rsidTr="001037CE" w14:paraId="6C477440" w14:textId="77777777">
        <w:tc>
          <w:tcPr>
            <w:tcW w:w="2376" w:type="dxa"/>
            <w:vMerge w:val="restart"/>
          </w:tcPr>
          <w:p w:rsidRPr="004175C7" w:rsidR="003A3FDA" w:rsidP="003A3FDA" w:rsidRDefault="003A3FDA" w14:paraId="00A23E89"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5529" w:type="dxa"/>
          </w:tcPr>
          <w:p w:rsidRPr="004175C7" w:rsidR="003A3FDA" w:rsidP="003A3FDA" w:rsidRDefault="003A3FDA" w14:paraId="6B45B541" w14:textId="77777777">
            <w:pPr>
              <w:tabs>
                <w:tab w:val="center" w:pos="284"/>
              </w:tabs>
              <w:overflowPunct w:val="0"/>
              <w:autoSpaceDE w:val="0"/>
              <w:autoSpaceDN w:val="0"/>
              <w:adjustRightInd w:val="0"/>
              <w:ind w:left="266" w:hanging="266"/>
              <w:textAlignment w:val="baseline"/>
            </w:pPr>
            <w:r w:rsidRPr="008C608F">
              <w:t>Становище по собствена инициатива</w:t>
            </w:r>
          </w:p>
        </w:tc>
      </w:tr>
      <w:tr w:rsidRPr="008C608F" w:rsidR="003A3FDA" w:rsidTr="001037CE" w14:paraId="263F6420" w14:textId="77777777">
        <w:tc>
          <w:tcPr>
            <w:tcW w:w="2376" w:type="dxa"/>
            <w:vMerge/>
          </w:tcPr>
          <w:p w:rsidRPr="004175C7" w:rsidR="003A3FDA" w:rsidP="003A3FDA" w:rsidRDefault="003A3FDA" w14:paraId="0C43A760" w14:textId="77777777">
            <w:pPr>
              <w:tabs>
                <w:tab w:val="center" w:pos="284"/>
              </w:tabs>
              <w:overflowPunct w:val="0"/>
              <w:autoSpaceDE w:val="0"/>
              <w:autoSpaceDN w:val="0"/>
              <w:adjustRightInd w:val="0"/>
              <w:ind w:left="266" w:hanging="266"/>
              <w:textAlignment w:val="baseline"/>
              <w:rPr>
                <w:b/>
              </w:rPr>
            </w:pPr>
          </w:p>
        </w:tc>
        <w:tc>
          <w:tcPr>
            <w:tcW w:w="5529" w:type="dxa"/>
          </w:tcPr>
          <w:p w:rsidRPr="008C608F" w:rsidR="003A3FDA" w:rsidP="003A3FDA" w:rsidRDefault="003A3FDA" w14:paraId="1A78C58D" w14:textId="1E14CE47">
            <w:pPr>
              <w:tabs>
                <w:tab w:val="center" w:pos="284"/>
              </w:tabs>
              <w:overflowPunct w:val="0"/>
              <w:autoSpaceDE w:val="0"/>
              <w:autoSpaceDN w:val="0"/>
              <w:adjustRightInd w:val="0"/>
              <w:ind w:left="266" w:hanging="266"/>
              <w:textAlignment w:val="baseline"/>
            </w:pPr>
            <w:r w:rsidRPr="008C608F">
              <w:t>EESC-2024-00975-00-00-AC</w:t>
            </w:r>
          </w:p>
        </w:tc>
      </w:tr>
    </w:tbl>
    <w:p w:rsidRPr="008C608F" w:rsidR="003A3FDA" w:rsidP="003A3FDA" w:rsidRDefault="003A3FDA" w14:paraId="68F0F86A" w14:textId="77777777">
      <w:pPr>
        <w:tabs>
          <w:tab w:val="center" w:pos="284"/>
        </w:tabs>
        <w:overflowPunct w:val="0"/>
        <w:autoSpaceDE w:val="0"/>
        <w:autoSpaceDN w:val="0"/>
        <w:adjustRightInd w:val="0"/>
        <w:ind w:left="266" w:hanging="266"/>
        <w:textAlignment w:val="baseline"/>
        <w:rPr>
          <w:lang w:val="en-GB"/>
        </w:rPr>
      </w:pPr>
    </w:p>
    <w:p w:rsidRPr="008C608F" w:rsidR="003A3FDA" w:rsidP="003A3FDA" w:rsidRDefault="003A3FDA" w14:paraId="7F76DDB6"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3A3FDA" w:rsidP="003A3FDA" w:rsidRDefault="003A3FDA" w14:paraId="0E247BD7"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3A3FDA" w:rsidP="003A3FDA" w:rsidRDefault="003A3FDA" w14:paraId="28AFB02A" w14:textId="77777777">
      <w:pPr>
        <w:overflowPunct w:val="0"/>
        <w:autoSpaceDE w:val="0"/>
        <w:autoSpaceDN w:val="0"/>
        <w:adjustRightInd w:val="0"/>
        <w:textAlignment w:val="baseline"/>
        <w:rPr>
          <w:bCs/>
          <w:iCs/>
        </w:rPr>
      </w:pPr>
      <w:r w:rsidRPr="008C608F">
        <w:t>ЕИСК:</w:t>
      </w:r>
    </w:p>
    <w:p w:rsidRPr="008C608F" w:rsidR="003A3FDA" w:rsidP="00B07E13" w:rsidRDefault="003A3FDA" w14:paraId="3A370D60" w14:textId="77777777">
      <w:pPr>
        <w:widowControl w:val="0"/>
        <w:numPr>
          <w:ilvl w:val="0"/>
          <w:numId w:val="35"/>
        </w:numPr>
        <w:overflowPunct w:val="0"/>
        <w:autoSpaceDE w:val="0"/>
        <w:autoSpaceDN w:val="0"/>
        <w:adjustRightInd w:val="0"/>
        <w:ind w:left="567" w:hanging="567"/>
        <w:textAlignment w:val="baseline"/>
        <w:rPr>
          <w:bCs/>
          <w:iCs/>
        </w:rPr>
      </w:pPr>
      <w:r w:rsidRPr="008C608F">
        <w:t>като подкрепя изцяло Зеления пакт и неговите цели, отбелязва необходимостта той да бъде оценен, за да се реагира на външните сътресения, геополитическата ситуация, технологичните, социалните и икономическите промени, както и на постигнатия до момента напредък;</w:t>
      </w:r>
    </w:p>
    <w:p w:rsidRPr="008C608F" w:rsidR="003A3FDA" w:rsidP="00B07E13" w:rsidRDefault="003A3FDA" w14:paraId="6D08E2FB" w14:textId="77777777">
      <w:pPr>
        <w:widowControl w:val="0"/>
        <w:numPr>
          <w:ilvl w:val="0"/>
          <w:numId w:val="35"/>
        </w:numPr>
        <w:overflowPunct w:val="0"/>
        <w:autoSpaceDE w:val="0"/>
        <w:autoSpaceDN w:val="0"/>
        <w:adjustRightInd w:val="0"/>
        <w:ind w:left="567" w:hanging="567"/>
        <w:textAlignment w:val="baseline"/>
        <w:rPr>
          <w:bCs/>
          <w:iCs/>
        </w:rPr>
      </w:pPr>
      <w:r w:rsidRPr="008C608F">
        <w:t>призовава Европейската комисия да извърши картографиране на приетите мерки по линия на Зеления пакт, за да се избегнат припокривания, конфликти и кумулативна тежест и да публикува онлайн информационно табло, което да отразява напредъка на всяка държава членка;</w:t>
      </w:r>
    </w:p>
    <w:p w:rsidRPr="008C608F" w:rsidR="003A3FDA" w:rsidP="00B07E13" w:rsidRDefault="003A3FDA" w14:paraId="08F89F7D" w14:textId="77777777">
      <w:pPr>
        <w:widowControl w:val="0"/>
        <w:numPr>
          <w:ilvl w:val="0"/>
          <w:numId w:val="35"/>
        </w:numPr>
        <w:overflowPunct w:val="0"/>
        <w:autoSpaceDE w:val="0"/>
        <w:autoSpaceDN w:val="0"/>
        <w:adjustRightInd w:val="0"/>
        <w:ind w:left="567" w:hanging="567"/>
        <w:textAlignment w:val="baseline"/>
        <w:rPr>
          <w:bCs/>
          <w:iCs/>
        </w:rPr>
      </w:pPr>
      <w:r w:rsidRPr="008C608F">
        <w:t>посочва, че самият Комитет следва да разполага с правомощия и да получи необходимите ресурси, за да изпълнява ролята на независим наблюдател на изпълнението на Зеления пакт, като може да създаде основана на факти картина на напредъка, постигнат в рамките на различните стълбове на Зеления пакт;</w:t>
      </w:r>
    </w:p>
    <w:p w:rsidRPr="008C608F" w:rsidR="003A3FDA" w:rsidP="00B07E13" w:rsidRDefault="003A3FDA" w14:paraId="450B2BE4" w14:textId="77777777">
      <w:pPr>
        <w:widowControl w:val="0"/>
        <w:numPr>
          <w:ilvl w:val="0"/>
          <w:numId w:val="35"/>
        </w:numPr>
        <w:overflowPunct w:val="0"/>
        <w:autoSpaceDE w:val="0"/>
        <w:autoSpaceDN w:val="0"/>
        <w:adjustRightInd w:val="0"/>
        <w:ind w:left="567" w:hanging="567"/>
        <w:textAlignment w:val="baseline"/>
        <w:rPr>
          <w:bCs/>
          <w:iCs/>
        </w:rPr>
      </w:pPr>
      <w:r w:rsidRPr="008C608F">
        <w:t>предоставя в становището набор от корективни мерки, насочени към премахване на припокриванията, противоречащите си разпоредби и прекомерната ненужна административна тежест;</w:t>
      </w:r>
    </w:p>
    <w:p w:rsidRPr="008C608F" w:rsidR="003A3FDA" w:rsidP="00B07E13" w:rsidRDefault="003A3FDA" w14:paraId="589FAD7B" w14:textId="77777777">
      <w:pPr>
        <w:widowControl w:val="0"/>
        <w:numPr>
          <w:ilvl w:val="0"/>
          <w:numId w:val="35"/>
        </w:numPr>
        <w:overflowPunct w:val="0"/>
        <w:autoSpaceDE w:val="0"/>
        <w:autoSpaceDN w:val="0"/>
        <w:adjustRightInd w:val="0"/>
        <w:ind w:left="567" w:hanging="567"/>
        <w:textAlignment w:val="baseline"/>
        <w:rPr>
          <w:bCs/>
          <w:iCs/>
        </w:rPr>
      </w:pPr>
      <w:r w:rsidRPr="008C608F">
        <w:t>подчертава, че справедливият преход следва да бъде в основата на следващата политическа програма на ЕС, като се разработи солидна рамка, която да може да насърчава неутрална по отношение на въглеродните емисии икономика, без да се застрашават допълнително социално-икономическите възможности на уязвимите хора и региони;</w:t>
      </w:r>
    </w:p>
    <w:p w:rsidRPr="003A3FDA" w:rsidR="003A3FDA" w:rsidP="00B07E13" w:rsidRDefault="003A3FDA" w14:paraId="00CF37DB" w14:textId="77777777">
      <w:pPr>
        <w:widowControl w:val="0"/>
        <w:numPr>
          <w:ilvl w:val="0"/>
          <w:numId w:val="35"/>
        </w:numPr>
        <w:overflowPunct w:val="0"/>
        <w:autoSpaceDE w:val="0"/>
        <w:autoSpaceDN w:val="0"/>
        <w:adjustRightInd w:val="0"/>
        <w:ind w:left="567" w:hanging="567"/>
        <w:textAlignment w:val="baseline"/>
        <w:rPr>
          <w:rFonts w:asciiTheme="minorHAnsi" w:hAnsiTheme="minorHAnsi"/>
          <w:szCs w:val="20"/>
        </w:rPr>
      </w:pPr>
      <w:r w:rsidRPr="008C608F">
        <w:t>призовава за по-амбициозен и систематичен подход към финансирането на инвестициите по линия на Зеления пакт, за да се гарантира солидното участие на частни финансови източници;</w:t>
      </w:r>
    </w:p>
    <w:p w:rsidRPr="008C608F" w:rsidR="003A3FDA" w:rsidP="00B07E13" w:rsidRDefault="003A3FDA" w14:paraId="289E7CD0" w14:textId="77777777">
      <w:pPr>
        <w:widowControl w:val="0"/>
        <w:numPr>
          <w:ilvl w:val="0"/>
          <w:numId w:val="35"/>
        </w:numPr>
        <w:overflowPunct w:val="0"/>
        <w:autoSpaceDE w:val="0"/>
        <w:autoSpaceDN w:val="0"/>
        <w:adjustRightInd w:val="0"/>
        <w:ind w:left="567" w:hanging="567"/>
        <w:textAlignment w:val="baseline"/>
        <w:rPr>
          <w:szCs w:val="20"/>
        </w:rPr>
      </w:pPr>
      <w:r w:rsidRPr="008C608F">
        <w:t>предлага да се използват всички временни източници в секторите, които трудно могат да бъдат декарбонизирани, въз основа на задълбочен анализ на разходите и ползите в дългосрочен план, а не да се изискват строго само източници и технологии с нулеви нетни емисии;</w:t>
      </w:r>
    </w:p>
    <w:p w:rsidRPr="003A3FDA" w:rsidR="003A3FDA" w:rsidP="00B07E13" w:rsidRDefault="003A3FDA" w14:paraId="63271080" w14:textId="77777777">
      <w:pPr>
        <w:widowControl w:val="0"/>
        <w:numPr>
          <w:ilvl w:val="0"/>
          <w:numId w:val="35"/>
        </w:numPr>
        <w:overflowPunct w:val="0"/>
        <w:autoSpaceDE w:val="0"/>
        <w:autoSpaceDN w:val="0"/>
        <w:adjustRightInd w:val="0"/>
        <w:ind w:left="567" w:hanging="567"/>
        <w:textAlignment w:val="baseline"/>
        <w:rPr>
          <w:rFonts w:asciiTheme="minorHAnsi" w:hAnsiTheme="minorHAnsi"/>
          <w:szCs w:val="20"/>
        </w:rPr>
      </w:pPr>
      <w:r w:rsidRPr="008C608F">
        <w:t>призовава Комисията да представи публично онлайн различните програми за финансиране по линия на Зеления пакт на едно място по изчерпателен и лесен за ползване начин, което ще позволи да се установи връзка между националните портали и съществуващите европейски портали и развитието на синергии между различните източници на финансиране.</w:t>
      </w:r>
    </w:p>
    <w:p w:rsidRPr="008C608F" w:rsidR="003A3FDA" w:rsidP="003A3FDA" w:rsidRDefault="003A3FDA" w14:paraId="6CB0FB24"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2093"/>
        <w:gridCol w:w="4995"/>
      </w:tblGrid>
      <w:tr w:rsidRPr="004175C7" w:rsidR="003A3FDA" w:rsidTr="00C46010" w14:paraId="072EBE8B" w14:textId="77777777">
        <w:tc>
          <w:tcPr>
            <w:tcW w:w="2093" w:type="dxa"/>
          </w:tcPr>
          <w:p w:rsidRPr="004175C7" w:rsidR="003A3FDA" w:rsidP="00C46010" w:rsidRDefault="003A3FDA" w14:paraId="5C9F872B" w14:textId="77777777">
            <w:pPr>
              <w:keepNext/>
              <w:overflowPunct w:val="0"/>
              <w:autoSpaceDE w:val="0"/>
              <w:autoSpaceDN w:val="0"/>
              <w:adjustRightInd w:val="0"/>
              <w:spacing w:line="240" w:lineRule="auto"/>
              <w:textAlignment w:val="baseline"/>
              <w:rPr>
                <w:i/>
              </w:rPr>
            </w:pPr>
            <w:r w:rsidRPr="008C608F">
              <w:rPr>
                <w:b/>
                <w:i/>
              </w:rPr>
              <w:t>За връзка:</w:t>
            </w:r>
          </w:p>
        </w:tc>
        <w:tc>
          <w:tcPr>
            <w:tcW w:w="4995" w:type="dxa"/>
          </w:tcPr>
          <w:p w:rsidRPr="004175C7" w:rsidR="003A3FDA" w:rsidP="00C46010" w:rsidRDefault="003A3FDA" w14:paraId="6F115675" w14:textId="77777777">
            <w:pPr>
              <w:keepNext/>
              <w:overflowPunct w:val="0"/>
              <w:autoSpaceDE w:val="0"/>
              <w:autoSpaceDN w:val="0"/>
              <w:adjustRightInd w:val="0"/>
              <w:spacing w:line="240" w:lineRule="auto"/>
              <w:textAlignment w:val="baseline"/>
              <w:rPr>
                <w:i/>
              </w:rPr>
            </w:pPr>
            <w:r w:rsidRPr="008C608F">
              <w:rPr>
                <w:i/>
              </w:rPr>
              <w:t>Marco Manfroni</w:t>
            </w:r>
          </w:p>
        </w:tc>
      </w:tr>
      <w:tr w:rsidRPr="004175C7" w:rsidR="003A3FDA" w:rsidTr="00C46010" w14:paraId="3D9232D1" w14:textId="77777777">
        <w:tc>
          <w:tcPr>
            <w:tcW w:w="2093" w:type="dxa"/>
          </w:tcPr>
          <w:p w:rsidRPr="004175C7" w:rsidR="003A3FDA" w:rsidP="00C46010" w:rsidRDefault="003A3FDA" w14:paraId="27508DAD" w14:textId="77777777">
            <w:pPr>
              <w:keepNext/>
              <w:overflowPunct w:val="0"/>
              <w:autoSpaceDE w:val="0"/>
              <w:autoSpaceDN w:val="0"/>
              <w:adjustRightInd w:val="0"/>
              <w:spacing w:line="240" w:lineRule="auto"/>
              <w:textAlignment w:val="baseline"/>
              <w:rPr>
                <w:i/>
              </w:rPr>
            </w:pPr>
            <w:r w:rsidRPr="008C608F">
              <w:rPr>
                <w:i/>
              </w:rPr>
              <w:t>Тел</w:t>
            </w:r>
            <w:r w:rsidRPr="008C608F">
              <w:rPr>
                <w:i/>
                <w:iCs/>
              </w:rPr>
              <w:t>.</w:t>
            </w:r>
          </w:p>
        </w:tc>
        <w:tc>
          <w:tcPr>
            <w:tcW w:w="4995" w:type="dxa"/>
          </w:tcPr>
          <w:p w:rsidRPr="004175C7" w:rsidR="003A3FDA" w:rsidP="00C46010" w:rsidRDefault="003A3FDA" w14:paraId="5857DBA5" w14:textId="1F3A2EEB">
            <w:pPr>
              <w:keepNext/>
              <w:overflowPunct w:val="0"/>
              <w:autoSpaceDE w:val="0"/>
              <w:autoSpaceDN w:val="0"/>
              <w:adjustRightInd w:val="0"/>
              <w:spacing w:line="240" w:lineRule="auto"/>
              <w:textAlignment w:val="baseline"/>
              <w:rPr>
                <w:i/>
              </w:rPr>
            </w:pPr>
            <w:r w:rsidRPr="008C608F">
              <w:rPr>
                <w:i/>
              </w:rPr>
              <w:t>+32 25469140</w:t>
            </w:r>
          </w:p>
        </w:tc>
      </w:tr>
      <w:tr w:rsidRPr="008C608F" w:rsidR="003A3FDA" w:rsidTr="00C46010" w14:paraId="01D734E7" w14:textId="77777777">
        <w:tc>
          <w:tcPr>
            <w:tcW w:w="2093" w:type="dxa"/>
          </w:tcPr>
          <w:p w:rsidRPr="004175C7" w:rsidR="003A3FDA" w:rsidP="003A3FDA" w:rsidRDefault="00EF5696" w14:paraId="2CB448A7" w14:textId="1626BEE5">
            <w:pPr>
              <w:overflowPunct w:val="0"/>
              <w:autoSpaceDE w:val="0"/>
              <w:autoSpaceDN w:val="0"/>
              <w:adjustRightInd w:val="0"/>
              <w:spacing w:line="240" w:lineRule="auto"/>
              <w:textAlignment w:val="baseline"/>
              <w:rPr>
                <w:i/>
              </w:rPr>
            </w:pPr>
            <w:r w:rsidRPr="008C608F">
              <w:rPr>
                <w:i/>
              </w:rPr>
              <w:t>Електронен адрес:</w:t>
            </w:r>
          </w:p>
        </w:tc>
        <w:tc>
          <w:tcPr>
            <w:tcW w:w="4995" w:type="dxa"/>
          </w:tcPr>
          <w:p w:rsidRPr="008C608F" w:rsidR="003A3FDA" w:rsidP="003A3FDA" w:rsidRDefault="00257091" w14:paraId="1B540882" w14:textId="77777777">
            <w:pPr>
              <w:overflowPunct w:val="0"/>
              <w:autoSpaceDE w:val="0"/>
              <w:autoSpaceDN w:val="0"/>
              <w:adjustRightInd w:val="0"/>
              <w:spacing w:line="240" w:lineRule="auto"/>
              <w:textAlignment w:val="baseline"/>
              <w:rPr>
                <w:i/>
              </w:rPr>
            </w:pPr>
            <w:hyperlink w:history="1" r:id="rId51">
              <w:r w:rsidRPr="008C608F" w:rsidR="006A1AC2">
                <w:rPr>
                  <w:i/>
                  <w:color w:val="0000FF"/>
                  <w:u w:val="single"/>
                </w:rPr>
                <w:t>Marco.Manfroni@eesc.europa.eu</w:t>
              </w:r>
            </w:hyperlink>
          </w:p>
        </w:tc>
      </w:tr>
    </w:tbl>
    <w:p w:rsidRPr="008C608F" w:rsidR="004D7AC0" w:rsidP="004D7AC0" w:rsidRDefault="004D7AC0" w14:paraId="4982DE1E" w14:textId="28AFA78F">
      <w:pPr>
        <w:spacing w:after="160" w:line="259" w:lineRule="auto"/>
        <w:jc w:val="left"/>
      </w:pPr>
      <w:r w:rsidRPr="008C608F">
        <w:br w:type="page"/>
      </w:r>
    </w:p>
    <w:p w:rsidRPr="008C608F" w:rsidR="004D7AC0" w:rsidP="004D7AC0" w:rsidRDefault="004D7AC0" w14:paraId="4982DE1F" w14:textId="77777777">
      <w:pPr>
        <w:pStyle w:val="Heading1"/>
        <w:rPr>
          <w:b/>
        </w:rPr>
      </w:pPr>
      <w:bookmarkStart w:name="_Toc70322234" w:id="47"/>
      <w:bookmarkStart w:name="_Toc75527084" w:id="48"/>
      <w:bookmarkStart w:name="_Toc179362858" w:id="49"/>
      <w:r w:rsidRPr="008C608F">
        <w:rPr>
          <w:b/>
        </w:rPr>
        <w:lastRenderedPageBreak/>
        <w:t>ЗЕМЕДЕЛИЕ, РАЗВИТИЕ НА СЕЛСКИТЕ РАЙОНИ, ОКОЛНА СРЕДА</w:t>
      </w:r>
      <w:bookmarkEnd w:id="47"/>
      <w:bookmarkEnd w:id="48"/>
      <w:bookmarkEnd w:id="49"/>
    </w:p>
    <w:p w:rsidRPr="008C608F" w:rsidR="004D7AC0" w:rsidP="004D7AC0" w:rsidRDefault="004D7AC0" w14:paraId="4982DE20" w14:textId="77777777"/>
    <w:p w:rsidRPr="008C608F" w:rsidR="00F03EB0" w:rsidP="00FE2881" w:rsidRDefault="00257091" w14:paraId="35A767AA" w14:textId="677622A4">
      <w:pPr>
        <w:widowControl w:val="0"/>
        <w:numPr>
          <w:ilvl w:val="0"/>
          <w:numId w:val="16"/>
        </w:numPr>
        <w:overflowPunct w:val="0"/>
        <w:autoSpaceDE w:val="0"/>
        <w:autoSpaceDN w:val="0"/>
        <w:adjustRightInd w:val="0"/>
        <w:ind w:hanging="720"/>
        <w:textAlignment w:val="baseline"/>
        <w:rPr>
          <w:b/>
          <w:bCs/>
          <w:i/>
          <w:iCs/>
          <w:sz w:val="28"/>
          <w:szCs w:val="28"/>
        </w:rPr>
      </w:pPr>
      <w:hyperlink w:history="1" r:id="rId52">
        <w:r w:rsidRPr="008C608F" w:rsidR="006A1AC2">
          <w:rPr>
            <w:b/>
            <w:i/>
            <w:color w:val="0000FF"/>
            <w:sz w:val="28"/>
            <w:u w:val="single"/>
          </w:rPr>
          <w:t>План за европейски зелен и социален пакт,</w:t>
        </w:r>
      </w:hyperlink>
      <w:r w:rsidRPr="008C608F" w:rsidR="006A1AC2">
        <w:t xml:space="preserve"> </w:t>
      </w:r>
      <w:r w:rsidRPr="008C608F" w:rsidR="006A1AC2">
        <w:rPr>
          <w:b/>
          <w:i/>
          <w:color w:val="0000FF"/>
          <w:sz w:val="28"/>
          <w:u w:val="single"/>
        </w:rPr>
        <w:t>основан на икономика на благосъстоянието</w:t>
      </w:r>
    </w:p>
    <w:p w:rsidRPr="008C608F" w:rsidR="00F03EB0" w:rsidP="00F03EB0" w:rsidRDefault="00F03EB0" w14:paraId="7240C483" w14:textId="77777777">
      <w:pPr>
        <w:tabs>
          <w:tab w:val="center" w:pos="284"/>
        </w:tabs>
        <w:overflowPunct w:val="0"/>
        <w:autoSpaceDE w:val="0"/>
        <w:autoSpaceDN w:val="0"/>
        <w:adjustRightInd w:val="0"/>
        <w:ind w:left="266" w:hanging="266"/>
        <w:textAlignment w:val="baseline"/>
        <w:rPr>
          <w:b/>
          <w:sz w:val="18"/>
          <w:szCs w:val="18"/>
          <w:lang w:val="en-GB"/>
        </w:rPr>
      </w:pPr>
    </w:p>
    <w:tbl>
      <w:tblPr>
        <w:tblW w:w="4010" w:type="pct"/>
        <w:tblLook w:val="04A0" w:firstRow="1" w:lastRow="0" w:firstColumn="1" w:lastColumn="0" w:noHBand="0" w:noVBand="1"/>
      </w:tblPr>
      <w:tblGrid>
        <w:gridCol w:w="2234"/>
        <w:gridCol w:w="5214"/>
      </w:tblGrid>
      <w:tr w:rsidRPr="004175C7" w:rsidR="00F03EB0" w:rsidTr="00C46010" w14:paraId="6F031C7A" w14:textId="77777777">
        <w:trPr>
          <w:trHeight w:val="227"/>
        </w:trPr>
        <w:tc>
          <w:tcPr>
            <w:tcW w:w="1500" w:type="pct"/>
          </w:tcPr>
          <w:p w:rsidRPr="004175C7" w:rsidR="00F03EB0" w:rsidP="00F03EB0" w:rsidRDefault="00F03EB0" w14:paraId="39BFDB0A"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3500" w:type="pct"/>
          </w:tcPr>
          <w:p w:rsidRPr="004175C7" w:rsidR="00F03EB0" w:rsidP="00F03EB0" w:rsidRDefault="00F03EB0" w14:paraId="1042D571" w14:textId="77777777">
            <w:pPr>
              <w:tabs>
                <w:tab w:val="center" w:pos="284"/>
              </w:tabs>
              <w:overflowPunct w:val="0"/>
              <w:autoSpaceDE w:val="0"/>
              <w:autoSpaceDN w:val="0"/>
              <w:adjustRightInd w:val="0"/>
              <w:ind w:left="266" w:hanging="266"/>
              <w:textAlignment w:val="baseline"/>
            </w:pPr>
            <w:r w:rsidRPr="008C608F">
              <w:t>Maria NIKOLOPOULOU (група „Работници“ — ES)</w:t>
            </w:r>
          </w:p>
        </w:tc>
      </w:tr>
      <w:tr w:rsidRPr="008C608F" w:rsidR="00F03EB0" w:rsidTr="00C46010" w14:paraId="6289F8A1" w14:textId="77777777">
        <w:trPr>
          <w:trHeight w:val="275"/>
        </w:trPr>
        <w:tc>
          <w:tcPr>
            <w:tcW w:w="1500" w:type="pct"/>
          </w:tcPr>
          <w:p w:rsidRPr="004175C7" w:rsidR="00F03EB0" w:rsidP="00F03EB0" w:rsidRDefault="00F03EB0" w14:paraId="656858A6"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500" w:type="pct"/>
          </w:tcPr>
          <w:p w:rsidRPr="008C608F" w:rsidR="00010755" w:rsidP="00F03EB0" w:rsidRDefault="00010755" w14:paraId="2332C59E" w14:textId="3C868AC4">
            <w:pPr>
              <w:tabs>
                <w:tab w:val="center" w:pos="284"/>
              </w:tabs>
              <w:overflowPunct w:val="0"/>
              <w:autoSpaceDE w:val="0"/>
              <w:autoSpaceDN w:val="0"/>
              <w:adjustRightInd w:val="0"/>
              <w:ind w:left="266" w:hanging="266"/>
              <w:textAlignment w:val="baseline"/>
            </w:pPr>
            <w:r w:rsidRPr="008C608F">
              <w:t>Становище по собствена инициатива</w:t>
            </w:r>
          </w:p>
          <w:p w:rsidRPr="008C608F" w:rsidR="00F03EB0" w:rsidP="00F03EB0" w:rsidRDefault="00F03EB0" w14:paraId="6F1DBA88" w14:textId="6DF9CCCD">
            <w:pPr>
              <w:tabs>
                <w:tab w:val="center" w:pos="284"/>
              </w:tabs>
              <w:overflowPunct w:val="0"/>
              <w:autoSpaceDE w:val="0"/>
              <w:autoSpaceDN w:val="0"/>
              <w:adjustRightInd w:val="0"/>
              <w:ind w:left="266" w:hanging="266"/>
              <w:textAlignment w:val="baseline"/>
            </w:pPr>
            <w:r w:rsidRPr="008C608F">
              <w:t>EESC-2024-01245-00-00-AC</w:t>
            </w:r>
          </w:p>
        </w:tc>
      </w:tr>
    </w:tbl>
    <w:p w:rsidRPr="008C608F" w:rsidR="0005550D" w:rsidP="00F03EB0" w:rsidRDefault="0005550D" w14:paraId="6F74266A" w14:textId="77777777">
      <w:pPr>
        <w:keepNext/>
        <w:keepLines/>
        <w:overflowPunct w:val="0"/>
        <w:autoSpaceDE w:val="0"/>
        <w:autoSpaceDN w:val="0"/>
        <w:adjustRightInd w:val="0"/>
        <w:ind w:left="266" w:hanging="266"/>
        <w:textAlignment w:val="baseline"/>
        <w:rPr>
          <w:b/>
          <w:lang w:val="en-GB"/>
        </w:rPr>
      </w:pPr>
    </w:p>
    <w:p w:rsidRPr="008C608F" w:rsidR="00F03EB0" w:rsidP="00F03EB0" w:rsidRDefault="00F03EB0" w14:paraId="3828F330" w14:textId="05BAEF1F">
      <w:pPr>
        <w:keepNext/>
        <w:keepLines/>
        <w:overflowPunct w:val="0"/>
        <w:autoSpaceDE w:val="0"/>
        <w:autoSpaceDN w:val="0"/>
        <w:adjustRightInd w:val="0"/>
        <w:ind w:left="266" w:hanging="266"/>
        <w:textAlignment w:val="baseline"/>
        <w:rPr>
          <w:b/>
        </w:rPr>
      </w:pPr>
      <w:r w:rsidRPr="008C608F">
        <w:rPr>
          <w:b/>
        </w:rPr>
        <w:t>Основни аспекти</w:t>
      </w:r>
    </w:p>
    <w:p w:rsidRPr="008C608F" w:rsidR="00F03EB0" w:rsidP="00F03EB0" w:rsidRDefault="00F03EB0" w14:paraId="16063DE6"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8C608F" w:rsidR="00F03EB0" w:rsidP="00F03EB0" w:rsidRDefault="00F03EB0" w14:paraId="088162A5" w14:textId="77777777">
      <w:pPr>
        <w:overflowPunct w:val="0"/>
        <w:autoSpaceDE w:val="0"/>
        <w:autoSpaceDN w:val="0"/>
        <w:adjustRightInd w:val="0"/>
        <w:textAlignment w:val="baseline"/>
        <w:rPr>
          <w:bCs/>
          <w:iCs/>
        </w:rPr>
      </w:pPr>
      <w:r w:rsidRPr="008C608F">
        <w:t>ЕИСК:</w:t>
      </w:r>
    </w:p>
    <w:p w:rsidRPr="00B42E98" w:rsidR="00F03EB0" w:rsidP="00B07E13" w:rsidRDefault="00F03EB0" w14:paraId="580417D5" w14:textId="77777777">
      <w:pPr>
        <w:pStyle w:val="ListParagraph"/>
        <w:numPr>
          <w:ilvl w:val="0"/>
          <w:numId w:val="36"/>
        </w:numPr>
        <w:overflowPunct w:val="0"/>
        <w:autoSpaceDE w:val="0"/>
        <w:autoSpaceDN w:val="0"/>
        <w:adjustRightInd w:val="0"/>
        <w:ind w:left="567" w:hanging="567"/>
        <w:textAlignment w:val="baseline"/>
        <w:rPr>
          <w:szCs w:val="20"/>
          <w:highlight w:val="white"/>
        </w:rPr>
      </w:pPr>
      <w:r w:rsidRPr="008C608F">
        <w:t>подчертава, че Европейският зелен пакт следва да възприеме по-широка обществена перспектива и да бъде укрепен, за да се насърчи икономиката на благосъстоянието, която обслужва както хората, така и планетата. Трябва да оставим зад себе си икономическия модел, основан на растежа на БВП, и да се застъпим за създаването на всеобхватна политическа рамка в подкрепа на една устойчива икономика, насочена към благосъстоянието на обществото и постигането на целите на ООН за устойчиво развитие, Парижкото споразумение и плана за биологичното многообразие;</w:t>
      </w:r>
    </w:p>
    <w:p w:rsidRPr="00B07E13" w:rsidR="00F03EB0" w:rsidP="00B07E13" w:rsidRDefault="00F03EB0" w14:paraId="3013374C" w14:textId="77777777">
      <w:pPr>
        <w:pStyle w:val="ListParagraph"/>
        <w:numPr>
          <w:ilvl w:val="0"/>
          <w:numId w:val="36"/>
        </w:numPr>
        <w:overflowPunct w:val="0"/>
        <w:autoSpaceDE w:val="0"/>
        <w:autoSpaceDN w:val="0"/>
        <w:adjustRightInd w:val="0"/>
        <w:ind w:left="567" w:hanging="567"/>
        <w:textAlignment w:val="baseline"/>
        <w:rPr>
          <w:szCs w:val="20"/>
          <w:highlight w:val="white"/>
        </w:rPr>
      </w:pPr>
      <w:r w:rsidRPr="008C608F">
        <w:t>счита, че за да се постигне икономика на благосъстоянието, публичните бюджети за инвестиции в ключови области на политиката, свързани с екологичния и справедливия преход, като образованието, социалната закрила и здравеопазването, ще трябва да бъде гарантирани, като се запазва балансиран подход между по-високите публични инвестиции и фискалната устойчивост, за да се избегнат мерки за строги икономии;</w:t>
      </w:r>
    </w:p>
    <w:p w:rsidRPr="00B07E13" w:rsidR="00F03EB0" w:rsidP="00B07E13" w:rsidRDefault="00F03EB0" w14:paraId="6C3D2E2E" w14:textId="77777777">
      <w:pPr>
        <w:pStyle w:val="ListParagraph"/>
        <w:numPr>
          <w:ilvl w:val="0"/>
          <w:numId w:val="36"/>
        </w:numPr>
        <w:overflowPunct w:val="0"/>
        <w:autoSpaceDE w:val="0"/>
        <w:autoSpaceDN w:val="0"/>
        <w:adjustRightInd w:val="0"/>
        <w:ind w:left="567" w:hanging="567"/>
        <w:textAlignment w:val="baseline"/>
        <w:rPr>
          <w:szCs w:val="20"/>
          <w:highlight w:val="white"/>
        </w:rPr>
      </w:pPr>
      <w:r w:rsidRPr="008C608F">
        <w:t>подчертава необходимостта да се привличат повече публични и частни инвестиции както от ЕС, така и от държавите членки за финансиране на прехода. Механизмите за увеличаване на бюджетите биха могли да включват справяне с отклонението от данъчно облагане, подобряване на събирането на данъци, незабавно прекратяване на нови вредни за околната среда субсидии и реформиране на съществуващите субсидии, както и по-бързо увеличаване на данъците върху изкопаемите горива, насърчаването на по-високи данъци върху най-богатите 1 % от населението в света и засилване на устойчивата икономическа дейност, която генерира ресурси;</w:t>
      </w:r>
    </w:p>
    <w:p w:rsidRPr="008C608F" w:rsidR="00F03EB0" w:rsidP="00B07E13" w:rsidRDefault="00F03EB0" w14:paraId="0221972C" w14:textId="77777777">
      <w:pPr>
        <w:pStyle w:val="ListParagraph"/>
        <w:numPr>
          <w:ilvl w:val="0"/>
          <w:numId w:val="36"/>
        </w:numPr>
        <w:overflowPunct w:val="0"/>
        <w:autoSpaceDE w:val="0"/>
        <w:autoSpaceDN w:val="0"/>
        <w:adjustRightInd w:val="0"/>
        <w:ind w:left="567" w:hanging="567"/>
        <w:textAlignment w:val="baseline"/>
        <w:rPr>
          <w:szCs w:val="20"/>
        </w:rPr>
      </w:pPr>
      <w:r w:rsidRPr="008C608F">
        <w:t>смята, че е необходимо да се ускори създаването на условия за насърчаваща инвестиционна среда, да се предостави достъп до чиста финансово достъпна енергия, да се предложат нови технологични решения, които допринасят за икономика с нулеви нетни емисии, и да се предоставя достатъчна техническа и финансова подкрепа и защитни мрежи за държавите членки, предприятията от засегнатите сектори, физическите лица и организациите на гражданското общество, които ще трябва да прилагат правилата;</w:t>
      </w:r>
    </w:p>
    <w:p w:rsidRPr="008C608F" w:rsidR="00F03EB0" w:rsidP="00B07E13" w:rsidRDefault="00F03EB0" w14:paraId="5DB11B38" w14:textId="77777777">
      <w:pPr>
        <w:pStyle w:val="ListParagraph"/>
        <w:numPr>
          <w:ilvl w:val="0"/>
          <w:numId w:val="36"/>
        </w:numPr>
        <w:overflowPunct w:val="0"/>
        <w:autoSpaceDE w:val="0"/>
        <w:autoSpaceDN w:val="0"/>
        <w:adjustRightInd w:val="0"/>
        <w:ind w:left="567" w:hanging="567"/>
        <w:textAlignment w:val="baseline"/>
        <w:rPr>
          <w:szCs w:val="20"/>
        </w:rPr>
      </w:pPr>
      <w:r w:rsidRPr="008C608F">
        <w:t>счита, че следва да има всеобщ достъп до образование, здравеопазване, социална закрила и жилищно настаняване на достъпни цени. Достъпът до основни ресурси като устойчиво произведената храна, чистата вода и енергия следва да бъде осигуряван по начин, който позволява на всички да водят устойчив начин на живот;</w:t>
      </w:r>
    </w:p>
    <w:p w:rsidRPr="008C608F" w:rsidR="00F03EB0" w:rsidP="00B07E13" w:rsidRDefault="00F03EB0" w14:paraId="6E6E21F0" w14:textId="77777777">
      <w:pPr>
        <w:pStyle w:val="ListParagraph"/>
        <w:numPr>
          <w:ilvl w:val="0"/>
          <w:numId w:val="36"/>
        </w:numPr>
        <w:overflowPunct w:val="0"/>
        <w:autoSpaceDE w:val="0"/>
        <w:autoSpaceDN w:val="0"/>
        <w:adjustRightInd w:val="0"/>
        <w:ind w:left="567" w:hanging="567"/>
        <w:textAlignment w:val="baseline"/>
        <w:rPr>
          <w:szCs w:val="20"/>
        </w:rPr>
      </w:pPr>
      <w:r w:rsidRPr="008C608F">
        <w:t xml:space="preserve">счита, че участието на гражданското общество следва да бъде засилено по съдържателен и приобщаващ начин, особено като се вземат предвид по-слабо представените групи като младите хора, жените, мигрантите и хората с увреждания. Това може да се постигне чрез </w:t>
      </w:r>
      <w:r w:rsidRPr="008C608F">
        <w:lastRenderedPageBreak/>
        <w:t>подобряване на достъпа до финансиране на организациите на гражданското общество, насърчаване на гражданското участие „от долу нагоре“ и укрепване на социалния диалог.</w:t>
      </w:r>
    </w:p>
    <w:p w:rsidRPr="008C608F" w:rsidR="00F03EB0" w:rsidP="00B07E13" w:rsidRDefault="00F03EB0" w14:paraId="1218E8EE" w14:textId="77777777">
      <w:pPr>
        <w:pStyle w:val="ListParagraph"/>
        <w:numPr>
          <w:ilvl w:val="0"/>
          <w:numId w:val="36"/>
        </w:numPr>
        <w:overflowPunct w:val="0"/>
        <w:autoSpaceDE w:val="0"/>
        <w:autoSpaceDN w:val="0"/>
        <w:adjustRightInd w:val="0"/>
        <w:ind w:left="567" w:hanging="567"/>
        <w:textAlignment w:val="baseline"/>
        <w:rPr>
          <w:bCs/>
          <w:iCs/>
        </w:rPr>
      </w:pPr>
      <w:r w:rsidRPr="008C608F">
        <w:t>призовава Европейската комисия да определи комисар по въпросите на бъдещите поколения.</w:t>
      </w:r>
    </w:p>
    <w:p w:rsidRPr="008C608F" w:rsidR="00F03EB0" w:rsidP="00F03EB0" w:rsidRDefault="00F03EB0" w14:paraId="60ACA5EF" w14:textId="77777777">
      <w:pPr>
        <w:widowControl w:val="0"/>
        <w:overflowPunct w:val="0"/>
        <w:autoSpaceDE w:val="0"/>
        <w:autoSpaceDN w:val="0"/>
        <w:adjustRightInd w:val="0"/>
        <w:ind w:left="284" w:hanging="284"/>
        <w:textAlignment w:val="baseline"/>
        <w:rPr>
          <w:sz w:val="16"/>
          <w:szCs w:val="16"/>
          <w:lang w:val="en-GB"/>
        </w:rPr>
      </w:pPr>
    </w:p>
    <w:tbl>
      <w:tblPr>
        <w:tblW w:w="3516" w:type="pct"/>
        <w:tblLook w:val="04A0" w:firstRow="1" w:lastRow="0" w:firstColumn="1" w:lastColumn="0" w:noHBand="0" w:noVBand="1"/>
      </w:tblPr>
      <w:tblGrid>
        <w:gridCol w:w="2032"/>
        <w:gridCol w:w="4499"/>
      </w:tblGrid>
      <w:tr w:rsidRPr="004175C7" w:rsidR="00F03EB0" w:rsidTr="0015437C" w14:paraId="1FFFF94A" w14:textId="77777777">
        <w:tc>
          <w:tcPr>
            <w:tcW w:w="1556" w:type="pct"/>
          </w:tcPr>
          <w:p w:rsidRPr="004175C7" w:rsidR="00F03EB0" w:rsidP="00F03EB0" w:rsidRDefault="00F03EB0" w14:paraId="5A66B9DC"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F03EB0" w:rsidP="00F03EB0" w:rsidRDefault="00F03EB0" w14:paraId="31F50650" w14:textId="4ED361B1">
            <w:pPr>
              <w:overflowPunct w:val="0"/>
              <w:autoSpaceDE w:val="0"/>
              <w:autoSpaceDN w:val="0"/>
              <w:adjustRightInd w:val="0"/>
              <w:spacing w:line="240" w:lineRule="auto"/>
              <w:textAlignment w:val="baseline"/>
              <w:rPr>
                <w:i/>
              </w:rPr>
            </w:pPr>
            <w:r w:rsidRPr="008C608F">
              <w:t>Caroline Verhelst</w:t>
            </w:r>
          </w:p>
        </w:tc>
      </w:tr>
      <w:tr w:rsidRPr="004175C7" w:rsidR="00F03EB0" w:rsidTr="0015437C" w14:paraId="59323CAF" w14:textId="77777777">
        <w:tc>
          <w:tcPr>
            <w:tcW w:w="1556" w:type="pct"/>
          </w:tcPr>
          <w:p w:rsidRPr="004175C7" w:rsidR="00F03EB0" w:rsidP="00F03EB0" w:rsidRDefault="00F03EB0" w14:paraId="3A0B57A3"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F03EB0" w:rsidP="00F03EB0" w:rsidRDefault="00F03EB0" w14:paraId="602DD431" w14:textId="77777777">
            <w:pPr>
              <w:overflowPunct w:val="0"/>
              <w:autoSpaceDE w:val="0"/>
              <w:autoSpaceDN w:val="0"/>
              <w:adjustRightInd w:val="0"/>
              <w:spacing w:line="240" w:lineRule="auto"/>
              <w:textAlignment w:val="baseline"/>
              <w:rPr>
                <w:i/>
              </w:rPr>
            </w:pPr>
            <w:r w:rsidRPr="008C608F">
              <w:rPr>
                <w:i/>
              </w:rPr>
              <w:t>+32 25469497</w:t>
            </w:r>
          </w:p>
        </w:tc>
      </w:tr>
      <w:tr w:rsidRPr="008C608F" w:rsidR="00F03EB0" w:rsidTr="0015437C" w14:paraId="6A41DAF0" w14:textId="77777777">
        <w:tc>
          <w:tcPr>
            <w:tcW w:w="1556" w:type="pct"/>
          </w:tcPr>
          <w:p w:rsidRPr="004175C7" w:rsidR="00F03EB0" w:rsidP="00F03EB0" w:rsidRDefault="000F0F74" w14:paraId="774EDA17" w14:textId="3A1BEA69">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F03EB0" w:rsidP="00F03EB0" w:rsidRDefault="00257091" w14:paraId="2711A05D" w14:textId="77777777">
            <w:pPr>
              <w:overflowPunct w:val="0"/>
              <w:autoSpaceDE w:val="0"/>
              <w:autoSpaceDN w:val="0"/>
              <w:adjustRightInd w:val="0"/>
              <w:spacing w:line="240" w:lineRule="auto"/>
              <w:textAlignment w:val="baseline"/>
              <w:rPr>
                <w:i/>
              </w:rPr>
            </w:pPr>
            <w:hyperlink w:history="1" r:id="rId53">
              <w:r w:rsidRPr="008C608F" w:rsidR="006A1AC2">
                <w:rPr>
                  <w:i/>
                  <w:color w:val="0000FF"/>
                  <w:u w:val="single"/>
                </w:rPr>
                <w:t>Caroline.Verhelst@eesc.europa.eu</w:t>
              </w:r>
            </w:hyperlink>
          </w:p>
        </w:tc>
      </w:tr>
    </w:tbl>
    <w:p w:rsidR="008C608F" w:rsidRDefault="008C608F" w14:paraId="76EDAB9B" w14:textId="72852C0F">
      <w:pPr>
        <w:spacing w:after="160" w:line="259" w:lineRule="auto"/>
        <w:jc w:val="left"/>
      </w:pPr>
    </w:p>
    <w:p w:rsidR="008C608F" w:rsidRDefault="008C608F" w14:paraId="79F82ACA" w14:textId="77777777">
      <w:pPr>
        <w:spacing w:after="160" w:line="259" w:lineRule="auto"/>
        <w:jc w:val="left"/>
      </w:pPr>
      <w:r>
        <w:br w:type="page"/>
      </w:r>
    </w:p>
    <w:p w:rsidRPr="008C608F" w:rsidR="00E40D64" w:rsidP="0005550D" w:rsidRDefault="00257091" w14:paraId="5ACF111A" w14:textId="11EB0763">
      <w:pPr>
        <w:widowControl w:val="0"/>
        <w:numPr>
          <w:ilvl w:val="0"/>
          <w:numId w:val="15"/>
        </w:numPr>
        <w:overflowPunct w:val="0"/>
        <w:autoSpaceDE w:val="0"/>
        <w:autoSpaceDN w:val="0"/>
        <w:adjustRightInd w:val="0"/>
        <w:ind w:left="567" w:hanging="567"/>
        <w:textAlignment w:val="baseline"/>
        <w:rPr>
          <w:sz w:val="20"/>
          <w:szCs w:val="20"/>
        </w:rPr>
      </w:pPr>
      <w:hyperlink w:history="1" r:id="rId54">
        <w:r w:rsidRPr="008C608F" w:rsidR="006A1AC2">
          <w:rPr>
            <w:b/>
            <w:i/>
            <w:color w:val="0000FF"/>
            <w:sz w:val="28"/>
            <w:u w:val="single"/>
          </w:rPr>
          <w:t>Всеобхватна стратегия за биологичното разнообразие на COP16</w:t>
        </w:r>
      </w:hyperlink>
      <w:r w:rsidRPr="008C608F" w:rsidR="006A1AC2">
        <w:t xml:space="preserve">: </w:t>
      </w:r>
      <w:r w:rsidRPr="008C608F" w:rsidR="006A1AC2">
        <w:rPr>
          <w:b/>
          <w:i/>
          <w:color w:val="0000FF"/>
          <w:sz w:val="28"/>
          <w:u w:val="single"/>
        </w:rPr>
        <w:t>обединяване на всички сектори в името на обща цел</w:t>
      </w:r>
    </w:p>
    <w:p w:rsidRPr="008C608F" w:rsidR="00E40D64" w:rsidP="00E40D64" w:rsidRDefault="00E40D64" w14:paraId="54CFFB45" w14:textId="77777777">
      <w:pPr>
        <w:tabs>
          <w:tab w:val="center" w:pos="284"/>
        </w:tabs>
        <w:overflowPunct w:val="0"/>
        <w:autoSpaceDE w:val="0"/>
        <w:autoSpaceDN w:val="0"/>
        <w:adjustRightInd w:val="0"/>
        <w:ind w:left="266" w:hanging="266"/>
        <w:textAlignment w:val="baseline"/>
        <w:rPr>
          <w:b/>
          <w:sz w:val="18"/>
          <w:szCs w:val="18"/>
          <w:lang w:val="en-GB"/>
        </w:rPr>
      </w:pPr>
    </w:p>
    <w:tbl>
      <w:tblPr>
        <w:tblW w:w="4942" w:type="pct"/>
        <w:tblLook w:val="04A0" w:firstRow="1" w:lastRow="0" w:firstColumn="1" w:lastColumn="0" w:noHBand="0" w:noVBand="1"/>
      </w:tblPr>
      <w:tblGrid>
        <w:gridCol w:w="2234"/>
        <w:gridCol w:w="6945"/>
      </w:tblGrid>
      <w:tr w:rsidRPr="004175C7" w:rsidR="00E40D64" w:rsidTr="001037CE" w14:paraId="2E9F8995" w14:textId="77777777">
        <w:trPr>
          <w:trHeight w:val="281"/>
        </w:trPr>
        <w:tc>
          <w:tcPr>
            <w:tcW w:w="1217" w:type="pct"/>
          </w:tcPr>
          <w:p w:rsidRPr="004175C7" w:rsidR="00E40D64" w:rsidP="00E40D64" w:rsidRDefault="00E40D64" w14:paraId="49E76453"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3783" w:type="pct"/>
          </w:tcPr>
          <w:p w:rsidRPr="004175C7" w:rsidR="00E40D64" w:rsidP="001037CE" w:rsidRDefault="00E40D64" w14:paraId="4D00B153" w14:textId="4D43EF92">
            <w:pPr>
              <w:overflowPunct w:val="0"/>
              <w:autoSpaceDE w:val="0"/>
              <w:autoSpaceDN w:val="0"/>
              <w:adjustRightInd w:val="0"/>
              <w:textAlignment w:val="baseline"/>
            </w:pPr>
            <w:r w:rsidRPr="008C608F">
              <w:t>Arnaud SCHWARTZ (група „Организации на гражданското общество“</w:t>
            </w:r>
            <w:r w:rsidRPr="008C608F" w:rsidR="001037CE">
              <w:t> </w:t>
            </w:r>
            <w:r w:rsidRPr="008C608F">
              <w:t>— FR)</w:t>
            </w:r>
          </w:p>
        </w:tc>
      </w:tr>
      <w:tr w:rsidRPr="008C608F" w:rsidR="00E40D64" w:rsidTr="001037CE" w14:paraId="7A3F8A43" w14:textId="77777777">
        <w:trPr>
          <w:trHeight w:val="275"/>
        </w:trPr>
        <w:tc>
          <w:tcPr>
            <w:tcW w:w="1217" w:type="pct"/>
          </w:tcPr>
          <w:p w:rsidRPr="004175C7" w:rsidR="00E40D64" w:rsidP="00E40D64" w:rsidRDefault="00E40D64" w14:paraId="396DD718"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783" w:type="pct"/>
          </w:tcPr>
          <w:p w:rsidRPr="008C608F" w:rsidR="007B157B" w:rsidP="00E40D64" w:rsidRDefault="007B157B" w14:paraId="1E5D61CD" w14:textId="3C81FDB2">
            <w:pPr>
              <w:tabs>
                <w:tab w:val="center" w:pos="284"/>
              </w:tabs>
              <w:overflowPunct w:val="0"/>
              <w:autoSpaceDE w:val="0"/>
              <w:autoSpaceDN w:val="0"/>
              <w:adjustRightInd w:val="0"/>
              <w:ind w:left="266" w:hanging="266"/>
              <w:textAlignment w:val="baseline"/>
            </w:pPr>
            <w:r w:rsidRPr="008C608F">
              <w:t>Становище по собствена инициатива</w:t>
            </w:r>
          </w:p>
          <w:p w:rsidRPr="008C608F" w:rsidR="00E40D64" w:rsidP="00E40D64" w:rsidRDefault="00E40D64" w14:paraId="45E195E0" w14:textId="3530709F">
            <w:pPr>
              <w:tabs>
                <w:tab w:val="center" w:pos="284"/>
              </w:tabs>
              <w:overflowPunct w:val="0"/>
              <w:autoSpaceDE w:val="0"/>
              <w:autoSpaceDN w:val="0"/>
              <w:adjustRightInd w:val="0"/>
              <w:ind w:left="266" w:hanging="266"/>
              <w:textAlignment w:val="baseline"/>
            </w:pPr>
            <w:r w:rsidRPr="008C608F">
              <w:t>EESC-2024-01184-00-00-AC</w:t>
            </w:r>
          </w:p>
        </w:tc>
      </w:tr>
    </w:tbl>
    <w:p w:rsidRPr="008C608F" w:rsidR="0005550D" w:rsidP="00E40D64" w:rsidRDefault="0005550D" w14:paraId="2F8D1046" w14:textId="77777777">
      <w:pPr>
        <w:keepNext/>
        <w:keepLines/>
        <w:overflowPunct w:val="0"/>
        <w:autoSpaceDE w:val="0"/>
        <w:autoSpaceDN w:val="0"/>
        <w:adjustRightInd w:val="0"/>
        <w:ind w:left="266" w:hanging="266"/>
        <w:textAlignment w:val="baseline"/>
        <w:rPr>
          <w:b/>
          <w:lang w:val="en-GB"/>
        </w:rPr>
      </w:pPr>
    </w:p>
    <w:p w:rsidRPr="008C608F" w:rsidR="00E40D64" w:rsidP="00E40D64" w:rsidRDefault="00E40D64" w14:paraId="1DACE8E1" w14:textId="794D8FA8">
      <w:pPr>
        <w:keepNext/>
        <w:keepLines/>
        <w:overflowPunct w:val="0"/>
        <w:autoSpaceDE w:val="0"/>
        <w:autoSpaceDN w:val="0"/>
        <w:adjustRightInd w:val="0"/>
        <w:ind w:left="266" w:hanging="266"/>
        <w:textAlignment w:val="baseline"/>
        <w:rPr>
          <w:b/>
        </w:rPr>
      </w:pPr>
      <w:r w:rsidRPr="008C608F">
        <w:rPr>
          <w:b/>
        </w:rPr>
        <w:t>Основни аспекти</w:t>
      </w:r>
    </w:p>
    <w:p w:rsidRPr="008C608F" w:rsidR="00B520E8" w:rsidP="00E40D64" w:rsidRDefault="00B520E8" w14:paraId="0C7FCFCE"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E40D64" w:rsidP="00E40D64" w:rsidRDefault="00E40D64" w14:paraId="6DB835CD" w14:textId="77777777">
      <w:pPr>
        <w:overflowPunct w:val="0"/>
        <w:autoSpaceDE w:val="0"/>
        <w:autoSpaceDN w:val="0"/>
        <w:adjustRightInd w:val="0"/>
        <w:textAlignment w:val="baseline"/>
        <w:rPr>
          <w:bCs/>
          <w:iCs/>
        </w:rPr>
      </w:pPr>
      <w:r w:rsidRPr="008C608F">
        <w:t>В контекста на подготовката на 16-ата конференция на страните по Конвенцията на ООН за биологичното разнообразие (КБР) ЕИСК:</w:t>
      </w:r>
    </w:p>
    <w:p w:rsidRPr="008C608F" w:rsidR="00E40D64" w:rsidP="00B07E13" w:rsidRDefault="00E40D64" w14:paraId="25664741"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78009577" w:id="50"/>
      <w:bookmarkStart w:name="_Toc179362859" w:id="51"/>
      <w:r w:rsidRPr="008C608F">
        <w:t>отчита факта, че биологичното разнообразие е предпоставка за дългосрочна продоволствена сигурност и устойчив икономически просперитет. Съществуването и просперитетът на човечеството ще зависят от способността ни да си сътрудничим и да зачитаме пределните възможности на планетата. ЕС има ключова роля както в границите на Съюза, така и извън тях, по-специално чрез законодателството и търговските споразумения на ЕС;</w:t>
      </w:r>
      <w:bookmarkEnd w:id="50"/>
      <w:bookmarkEnd w:id="51"/>
    </w:p>
    <w:p w:rsidRPr="008C608F" w:rsidR="00E40D64" w:rsidP="00B07E13" w:rsidRDefault="00E40D64" w14:paraId="5FC84F32"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78009578" w:id="52"/>
      <w:bookmarkStart w:name="_Toc179362860" w:id="53"/>
      <w:r w:rsidRPr="008C608F">
        <w:t>подчертава, че с цел да бъдат по-ефективни, политиките за насърчаване на биологичното разнообразие трябва да станат по-съгласувани и междусекторни, да бъдат по-добре интегрирани в програмите за климата и екологичната и продоволствената сигурност в ЕС и в световен мащаб, да обхващат не само екологичните, но и социалните и икономическите измерения и да получат необходимата финансова подкрепа;</w:t>
      </w:r>
      <w:bookmarkEnd w:id="52"/>
      <w:bookmarkEnd w:id="53"/>
    </w:p>
    <w:p w:rsidRPr="008C608F" w:rsidR="00E40D64" w:rsidP="00B07E13" w:rsidRDefault="00E40D64" w14:paraId="22930F0D"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78009579" w:id="54"/>
      <w:bookmarkStart w:name="_Toc179362861" w:id="55"/>
      <w:r w:rsidRPr="008C608F">
        <w:t>изтъква необходимостта от иновативно и ефективно публично, частно и смесено финансово подпомагане на най-важните и понякога уязвими заинтересовани страни (включително дребните земеделски стопани, коренното население и др.); глобална финансова архитектура със стандартизиран механизъм за докладване и нови показатели, в основата на които да стоят зачитането на пределните възможности на планетата, пренасочването на инвестициите към нисковъглеродни, издръжливи икономики и процъфтяващи екосистеми, както и отливът на инвестиции от „вредните за околната среда субсидии“;</w:t>
      </w:r>
      <w:bookmarkEnd w:id="54"/>
      <w:bookmarkEnd w:id="55"/>
    </w:p>
    <w:p w:rsidRPr="008C608F" w:rsidR="00E40D64" w:rsidP="00B07E13" w:rsidRDefault="00E40D64" w14:paraId="7EB5300C"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78009580" w:id="56"/>
      <w:bookmarkStart w:name="_Toc179362862" w:id="57"/>
      <w:r w:rsidRPr="008C608F">
        <w:t>призовава за разработването на подход „Едно здраве“ — между здравето на екосистемите, животните и хората съществува взаимна зависимост, тъй като те са част от една и съща природна екосистема;</w:t>
      </w:r>
      <w:bookmarkEnd w:id="56"/>
      <w:bookmarkEnd w:id="57"/>
    </w:p>
    <w:p w:rsidRPr="008C608F" w:rsidR="00E40D64" w:rsidP="00B07E13" w:rsidRDefault="00E40D64" w14:paraId="080143C2"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78009581" w:id="58"/>
      <w:bookmarkStart w:name="_Toc179362863" w:id="59"/>
      <w:r w:rsidRPr="008C608F">
        <w:t>подчертава, че изпълнението на международни споразумения като споразумението за климата и биологичното разнообразие и идентифицирането на действия в областта на климата с положително въздействие върху природата ще изисква по-приобщаващ модел на управление на всички равнища с ангажирането на ранен етап на множество заинтересовани страни, който да включва систематично, целенасочено и последователно участие на гражданите и ОГО, включително младите хора, частния сектор и академичните среди, като същевременно се гарантират научните изследвания, ефективни механизми за отчетност и справедлив достъп до правосъдие и данни;</w:t>
      </w:r>
      <w:bookmarkEnd w:id="58"/>
      <w:bookmarkEnd w:id="59"/>
    </w:p>
    <w:p w:rsidRPr="008C608F" w:rsidR="00E40D64" w:rsidP="00B07E13" w:rsidRDefault="00E40D64" w14:paraId="339125A5" w14:textId="77777777">
      <w:pPr>
        <w:pStyle w:val="ListParagraph"/>
        <w:numPr>
          <w:ilvl w:val="0"/>
          <w:numId w:val="41"/>
        </w:numPr>
        <w:overflowPunct w:val="0"/>
        <w:autoSpaceDE w:val="0"/>
        <w:autoSpaceDN w:val="0"/>
        <w:adjustRightInd w:val="0"/>
        <w:ind w:left="567" w:hanging="567"/>
        <w:textAlignment w:val="baseline"/>
        <w:outlineLvl w:val="1"/>
        <w:rPr>
          <w:szCs w:val="20"/>
        </w:rPr>
      </w:pPr>
      <w:bookmarkStart w:name="_Toc178009582" w:id="60"/>
      <w:bookmarkStart w:name="_Toc179362864" w:id="61"/>
      <w:r w:rsidRPr="008C608F">
        <w:t xml:space="preserve">призовава за интегрирана цялостна стратегия с амбициозни дългосрочни цели и планове — Програма за устойчиво развитие на ЕС до 2050 г. — за да се гарантира икономика на благосъстоянието, функционираща в рамките на пределните възможности на планетата. </w:t>
      </w:r>
      <w:r w:rsidRPr="008C608F">
        <w:lastRenderedPageBreak/>
        <w:t>Вместо да разглежда целите и целевите стойности поотделно, ЕС трябва да възприеме системен, междусекторен и основан на прогнозиране подход, с цел да намали сложността на политиките и да повиши тяхната ефективност;</w:t>
      </w:r>
      <w:bookmarkEnd w:id="60"/>
      <w:bookmarkEnd w:id="61"/>
    </w:p>
    <w:p w:rsidRPr="008C608F" w:rsidR="00E40D64" w:rsidP="00B07E13" w:rsidRDefault="00E40D64" w14:paraId="625DFF4F" w14:textId="77777777">
      <w:pPr>
        <w:pStyle w:val="ListParagraph"/>
        <w:numPr>
          <w:ilvl w:val="0"/>
          <w:numId w:val="41"/>
        </w:numPr>
        <w:overflowPunct w:val="0"/>
        <w:autoSpaceDE w:val="0"/>
        <w:autoSpaceDN w:val="0"/>
        <w:adjustRightInd w:val="0"/>
        <w:ind w:left="567" w:hanging="567"/>
        <w:textAlignment w:val="baseline"/>
        <w:outlineLvl w:val="1"/>
        <w:rPr>
          <w:bCs/>
          <w:iCs/>
        </w:rPr>
      </w:pPr>
      <w:bookmarkStart w:name="_Toc179362865" w:id="62"/>
      <w:r w:rsidRPr="008C608F">
        <w:t>призовава в Комисията да бъде създадена длъжността „изпълнителен заместник-председател, отговарящ за бъдещите поколения“, който да отговаря за насърчаването на дългосрочно, цялостно и системно мислене, което да се съсредоточава върху показатели за благосъстоянието и биологичното разнообразие, които да не се ограничават до данните за БВП, и систематично да ги взема под внимание.</w:t>
      </w:r>
      <w:bookmarkEnd w:id="62"/>
    </w:p>
    <w:p w:rsidRPr="008C608F" w:rsidR="00E40D64" w:rsidP="00E40D64" w:rsidRDefault="00E40D64" w14:paraId="4B1867C5" w14:textId="77777777">
      <w:pPr>
        <w:widowControl w:val="0"/>
        <w:overflowPunct w:val="0"/>
        <w:autoSpaceDE w:val="0"/>
        <w:autoSpaceDN w:val="0"/>
        <w:adjustRightInd w:val="0"/>
        <w:ind w:left="284" w:hanging="284"/>
        <w:textAlignment w:val="baseline"/>
        <w:rPr>
          <w:lang w:val="en-GB"/>
        </w:rPr>
      </w:pPr>
    </w:p>
    <w:tbl>
      <w:tblPr>
        <w:tblW w:w="3516" w:type="pct"/>
        <w:tblLook w:val="04A0" w:firstRow="1" w:lastRow="0" w:firstColumn="1" w:lastColumn="0" w:noHBand="0" w:noVBand="1"/>
      </w:tblPr>
      <w:tblGrid>
        <w:gridCol w:w="2032"/>
        <w:gridCol w:w="4499"/>
      </w:tblGrid>
      <w:tr w:rsidRPr="004175C7" w:rsidR="00E40D64" w:rsidTr="0015437C" w14:paraId="1C25440C" w14:textId="77777777">
        <w:tc>
          <w:tcPr>
            <w:tcW w:w="1556" w:type="pct"/>
          </w:tcPr>
          <w:p w:rsidRPr="004175C7" w:rsidR="00E40D64" w:rsidP="00E40D64" w:rsidRDefault="00E40D64" w14:paraId="0251C3E4"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4175C7" w:rsidR="00E40D64" w:rsidP="00E40D64" w:rsidRDefault="00E40D64" w14:paraId="15D4B4B5" w14:textId="530271F8">
            <w:pPr>
              <w:overflowPunct w:val="0"/>
              <w:autoSpaceDE w:val="0"/>
              <w:autoSpaceDN w:val="0"/>
              <w:adjustRightInd w:val="0"/>
              <w:spacing w:line="240" w:lineRule="auto"/>
              <w:textAlignment w:val="baseline"/>
              <w:rPr>
                <w:i/>
              </w:rPr>
            </w:pPr>
            <w:r w:rsidRPr="008C608F">
              <w:t>Gaia Bottoni</w:t>
            </w:r>
          </w:p>
        </w:tc>
      </w:tr>
      <w:tr w:rsidRPr="004175C7" w:rsidR="00E40D64" w:rsidTr="0015437C" w14:paraId="3218F6DC" w14:textId="77777777">
        <w:tc>
          <w:tcPr>
            <w:tcW w:w="1556" w:type="pct"/>
          </w:tcPr>
          <w:p w:rsidRPr="004175C7" w:rsidR="00E40D64" w:rsidP="00E40D64" w:rsidRDefault="00E40D64" w14:paraId="5CB044FE"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4175C7" w:rsidR="00E40D64" w:rsidP="00E40D64" w:rsidRDefault="00E40D64" w14:paraId="7153ACCC" w14:textId="77777777">
            <w:pPr>
              <w:overflowPunct w:val="0"/>
              <w:autoSpaceDE w:val="0"/>
              <w:autoSpaceDN w:val="0"/>
              <w:adjustRightInd w:val="0"/>
              <w:spacing w:line="240" w:lineRule="auto"/>
              <w:textAlignment w:val="baseline"/>
              <w:rPr>
                <w:i/>
              </w:rPr>
            </w:pPr>
            <w:r w:rsidRPr="008C608F">
              <w:rPr>
                <w:i/>
              </w:rPr>
              <w:t>+32 25469447</w:t>
            </w:r>
          </w:p>
        </w:tc>
      </w:tr>
      <w:tr w:rsidRPr="008C608F" w:rsidR="00E40D64" w:rsidTr="0015437C" w14:paraId="4407C77B" w14:textId="77777777">
        <w:tc>
          <w:tcPr>
            <w:tcW w:w="1556" w:type="pct"/>
          </w:tcPr>
          <w:p w:rsidRPr="004175C7" w:rsidR="00E40D64" w:rsidP="00E40D64" w:rsidRDefault="007810B5" w14:paraId="02C32D5E" w14:textId="00870B61">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E40D64" w:rsidP="00E40D64" w:rsidRDefault="00257091" w14:paraId="14B021A7" w14:textId="57CC4B5F">
            <w:pPr>
              <w:overflowPunct w:val="0"/>
              <w:autoSpaceDE w:val="0"/>
              <w:autoSpaceDN w:val="0"/>
              <w:adjustRightInd w:val="0"/>
              <w:spacing w:line="240" w:lineRule="auto"/>
              <w:textAlignment w:val="baseline"/>
              <w:rPr>
                <w:i/>
              </w:rPr>
            </w:pPr>
            <w:hyperlink w:history="1" r:id="rId55">
              <w:r w:rsidRPr="008C608F" w:rsidR="006A1AC2">
                <w:rPr>
                  <w:i/>
                  <w:color w:val="0000FF"/>
                  <w:u w:val="single"/>
                </w:rPr>
                <w:t>Gaia.Bottoni@eesc.europa.eu</w:t>
              </w:r>
            </w:hyperlink>
          </w:p>
        </w:tc>
      </w:tr>
    </w:tbl>
    <w:p w:rsidRPr="008C608F" w:rsidR="006A1AC2" w:rsidP="00B07E13" w:rsidRDefault="006A1AC2" w14:paraId="25B72FB5" w14:textId="77777777">
      <w:pPr>
        <w:spacing w:line="259" w:lineRule="auto"/>
        <w:jc w:val="left"/>
      </w:pPr>
    </w:p>
    <w:p w:rsidR="008C608F" w:rsidRDefault="008C608F" w14:paraId="327B18C7" w14:textId="44B7797E">
      <w:pPr>
        <w:spacing w:after="160" w:line="259" w:lineRule="auto"/>
        <w:jc w:val="left"/>
      </w:pPr>
      <w:r>
        <w:br w:type="page"/>
      </w:r>
    </w:p>
    <w:p w:rsidRPr="008C608F" w:rsidR="005D220F" w:rsidP="005D220F" w:rsidRDefault="00257091" w14:paraId="5679C887" w14:textId="354B092C">
      <w:pPr>
        <w:numPr>
          <w:ilvl w:val="0"/>
          <w:numId w:val="18"/>
        </w:numPr>
        <w:overflowPunct w:val="0"/>
        <w:autoSpaceDE w:val="0"/>
        <w:autoSpaceDN w:val="0"/>
        <w:adjustRightInd w:val="0"/>
        <w:spacing w:line="276" w:lineRule="auto"/>
        <w:ind w:left="425" w:hanging="357"/>
        <w:contextualSpacing/>
        <w:jc w:val="left"/>
        <w:textAlignment w:val="baseline"/>
        <w:rPr>
          <w:i/>
          <w:iCs/>
        </w:rPr>
      </w:pPr>
      <w:hyperlink w:history="1" r:id="rId56">
        <w:r w:rsidRPr="008C608F" w:rsidR="006A1AC2">
          <w:rPr>
            <w:b/>
            <w:i/>
            <w:color w:val="0000FF"/>
            <w:sz w:val="28"/>
            <w:u w:val="single"/>
          </w:rPr>
          <w:t>Финансиране на борбата с изменението на климата: нова пътна карта за постигане на високите амбиции в областта на климата и ЦУР</w:t>
        </w:r>
      </w:hyperlink>
    </w:p>
    <w:p w:rsidRPr="008C608F" w:rsidR="005D220F" w:rsidP="005D220F" w:rsidRDefault="005D220F" w14:paraId="190EC667" w14:textId="77777777">
      <w:pPr>
        <w:widowControl w:val="0"/>
        <w:overflowPunct w:val="0"/>
        <w:autoSpaceDE w:val="0"/>
        <w:autoSpaceDN w:val="0"/>
        <w:adjustRightInd w:val="0"/>
        <w:ind w:left="567"/>
        <w:textAlignment w:val="baseline"/>
        <w:rPr>
          <w:bCs/>
          <w:lang w:val="en-GB"/>
        </w:rPr>
      </w:pPr>
    </w:p>
    <w:tbl>
      <w:tblPr>
        <w:tblW w:w="9180" w:type="dxa"/>
        <w:tblLook w:val="04A0" w:firstRow="1" w:lastRow="0" w:firstColumn="1" w:lastColumn="0" w:noHBand="0" w:noVBand="1"/>
      </w:tblPr>
      <w:tblGrid>
        <w:gridCol w:w="2518"/>
        <w:gridCol w:w="6662"/>
      </w:tblGrid>
      <w:tr w:rsidRPr="004175C7" w:rsidR="005D220F" w:rsidTr="001037CE" w14:paraId="1110DB39" w14:textId="77777777">
        <w:tc>
          <w:tcPr>
            <w:tcW w:w="2518" w:type="dxa"/>
          </w:tcPr>
          <w:p w:rsidRPr="008C608F" w:rsidR="005D220F" w:rsidP="005D220F" w:rsidRDefault="005D220F" w14:paraId="66DE0B59" w14:textId="77777777">
            <w:pPr>
              <w:tabs>
                <w:tab w:val="center" w:pos="284"/>
              </w:tabs>
              <w:overflowPunct w:val="0"/>
              <w:autoSpaceDE w:val="0"/>
              <w:autoSpaceDN w:val="0"/>
              <w:adjustRightInd w:val="0"/>
              <w:ind w:left="266" w:hanging="266"/>
              <w:textAlignment w:val="baseline"/>
              <w:rPr>
                <w:b/>
              </w:rPr>
            </w:pPr>
            <w:r w:rsidRPr="008C608F">
              <w:rPr>
                <w:b/>
              </w:rPr>
              <w:t>Докладчик:</w:t>
            </w:r>
          </w:p>
          <w:p w:rsidRPr="00C46010" w:rsidR="005D220F" w:rsidP="005D220F" w:rsidRDefault="005D220F" w14:paraId="6F663C6E" w14:textId="4CC67065">
            <w:pPr>
              <w:tabs>
                <w:tab w:val="center" w:pos="284"/>
              </w:tabs>
              <w:overflowPunct w:val="0"/>
              <w:autoSpaceDE w:val="0"/>
              <w:autoSpaceDN w:val="0"/>
              <w:adjustRightInd w:val="0"/>
              <w:ind w:left="266" w:hanging="266"/>
              <w:textAlignment w:val="baseline"/>
              <w:rPr>
                <w:b/>
                <w:lang w:val="en-GB"/>
              </w:rPr>
            </w:pPr>
            <w:r w:rsidRPr="008C608F">
              <w:rPr>
                <w:b/>
              </w:rPr>
              <w:t>Съдокладчик</w:t>
            </w:r>
            <w:r w:rsidRPr="008C608F" w:rsidR="00C46010">
              <w:rPr>
                <w:b/>
                <w:lang w:val="en-GB"/>
              </w:rPr>
              <w:t>:</w:t>
            </w:r>
          </w:p>
        </w:tc>
        <w:tc>
          <w:tcPr>
            <w:tcW w:w="6662" w:type="dxa"/>
          </w:tcPr>
          <w:p w:rsidRPr="008C608F" w:rsidR="005D220F" w:rsidP="005D220F" w:rsidRDefault="005D220F" w14:paraId="402945C4" w14:textId="77777777">
            <w:pPr>
              <w:tabs>
                <w:tab w:val="center" w:pos="284"/>
              </w:tabs>
              <w:overflowPunct w:val="0"/>
              <w:autoSpaceDE w:val="0"/>
              <w:autoSpaceDN w:val="0"/>
              <w:adjustRightInd w:val="0"/>
              <w:ind w:left="266" w:hanging="266"/>
              <w:textAlignment w:val="baseline"/>
              <w:rPr>
                <w:b/>
                <w:bCs/>
              </w:rPr>
            </w:pPr>
            <w:r w:rsidRPr="008C608F">
              <w:t>Antje GERSTEIN (група „Работодатели“ — DE)</w:t>
            </w:r>
          </w:p>
          <w:p w:rsidRPr="004175C7" w:rsidR="005D220F" w:rsidP="005D220F" w:rsidRDefault="005D220F" w14:paraId="0A664926" w14:textId="22CCF362">
            <w:pPr>
              <w:overflowPunct w:val="0"/>
              <w:autoSpaceDE w:val="0"/>
              <w:autoSpaceDN w:val="0"/>
              <w:adjustRightInd w:val="0"/>
              <w:textAlignment w:val="baseline"/>
            </w:pPr>
            <w:r w:rsidRPr="008C608F">
              <w:t>Kęstutis KUPŠYS (група „Организации на гражданското общество“</w:t>
            </w:r>
            <w:r w:rsidRPr="008C608F" w:rsidR="001037CE">
              <w:t> </w:t>
            </w:r>
            <w:r w:rsidRPr="008C608F">
              <w:t>— LT)</w:t>
            </w:r>
          </w:p>
        </w:tc>
      </w:tr>
      <w:tr w:rsidRPr="008C608F" w:rsidR="005D220F" w:rsidTr="001037CE" w14:paraId="42B73177" w14:textId="77777777">
        <w:tc>
          <w:tcPr>
            <w:tcW w:w="2518" w:type="dxa"/>
          </w:tcPr>
          <w:p w:rsidRPr="004175C7" w:rsidR="005D220F" w:rsidP="005D220F" w:rsidRDefault="005D220F" w14:paraId="44F71640" w14:textId="77777777">
            <w:pPr>
              <w:tabs>
                <w:tab w:val="center" w:pos="284"/>
              </w:tabs>
              <w:overflowPunct w:val="0"/>
              <w:autoSpaceDE w:val="0"/>
              <w:autoSpaceDN w:val="0"/>
              <w:adjustRightInd w:val="0"/>
              <w:ind w:left="266" w:hanging="266"/>
              <w:textAlignment w:val="baseline"/>
              <w:rPr>
                <w:b/>
              </w:rPr>
            </w:pPr>
            <w:r w:rsidRPr="008C608F">
              <w:rPr>
                <w:b/>
              </w:rPr>
              <w:t>Отправни документи</w:t>
            </w:r>
          </w:p>
        </w:tc>
        <w:tc>
          <w:tcPr>
            <w:tcW w:w="6662" w:type="dxa"/>
          </w:tcPr>
          <w:p w:rsidRPr="008C608F" w:rsidR="002E4460" w:rsidP="005D220F" w:rsidRDefault="002E4460" w14:paraId="7DDCED46" w14:textId="44E7F5C1">
            <w:pPr>
              <w:tabs>
                <w:tab w:val="center" w:pos="284"/>
              </w:tabs>
              <w:overflowPunct w:val="0"/>
              <w:autoSpaceDE w:val="0"/>
              <w:autoSpaceDN w:val="0"/>
              <w:adjustRightInd w:val="0"/>
              <w:ind w:left="266" w:hanging="266"/>
              <w:textAlignment w:val="baseline"/>
            </w:pPr>
            <w:r w:rsidRPr="008C608F">
              <w:t>Становище по собствена инициатива</w:t>
            </w:r>
          </w:p>
          <w:p w:rsidRPr="008C608F" w:rsidR="005D220F" w:rsidP="005D220F" w:rsidRDefault="005D220F" w14:paraId="561D724F" w14:textId="1AABA4C5">
            <w:pPr>
              <w:tabs>
                <w:tab w:val="center" w:pos="284"/>
              </w:tabs>
              <w:overflowPunct w:val="0"/>
              <w:autoSpaceDE w:val="0"/>
              <w:autoSpaceDN w:val="0"/>
              <w:adjustRightInd w:val="0"/>
              <w:ind w:left="266" w:hanging="266"/>
              <w:textAlignment w:val="baseline"/>
            </w:pPr>
            <w:r w:rsidRPr="008C608F">
              <w:t>EESC-2024-00636-00-00-AC</w:t>
            </w:r>
          </w:p>
        </w:tc>
      </w:tr>
    </w:tbl>
    <w:p w:rsidRPr="008C608F" w:rsidR="005D220F" w:rsidP="005D220F" w:rsidRDefault="005D220F" w14:paraId="08F18A3C" w14:textId="77777777">
      <w:pPr>
        <w:keepNext/>
        <w:keepLines/>
        <w:tabs>
          <w:tab w:val="center" w:pos="284"/>
        </w:tabs>
        <w:overflowPunct w:val="0"/>
        <w:autoSpaceDE w:val="0"/>
        <w:autoSpaceDN w:val="0"/>
        <w:adjustRightInd w:val="0"/>
        <w:ind w:left="266" w:hanging="266"/>
        <w:textAlignment w:val="baseline"/>
        <w:rPr>
          <w:bCs/>
          <w:lang w:val="en-GB"/>
        </w:rPr>
      </w:pPr>
    </w:p>
    <w:p w:rsidRPr="008C608F" w:rsidR="005D220F" w:rsidP="005D220F" w:rsidRDefault="005D220F" w14:paraId="3550D7C5" w14:textId="77777777">
      <w:pPr>
        <w:keepNext/>
        <w:keepLines/>
        <w:tabs>
          <w:tab w:val="center" w:pos="284"/>
        </w:tabs>
        <w:overflowPunct w:val="0"/>
        <w:autoSpaceDE w:val="0"/>
        <w:autoSpaceDN w:val="0"/>
        <w:adjustRightInd w:val="0"/>
        <w:spacing w:line="276" w:lineRule="auto"/>
        <w:ind w:left="266" w:hanging="266"/>
        <w:textAlignment w:val="baseline"/>
        <w:rPr>
          <w:b/>
        </w:rPr>
      </w:pPr>
      <w:r w:rsidRPr="008C608F">
        <w:rPr>
          <w:b/>
        </w:rPr>
        <w:t>Основни аспекти</w:t>
      </w:r>
    </w:p>
    <w:p w:rsidRPr="008C608F" w:rsidR="005D220F" w:rsidP="005D220F" w:rsidRDefault="005D220F" w14:paraId="79726E57" w14:textId="77777777">
      <w:pPr>
        <w:keepNext/>
        <w:keepLines/>
        <w:tabs>
          <w:tab w:val="center" w:pos="284"/>
        </w:tabs>
        <w:overflowPunct w:val="0"/>
        <w:autoSpaceDE w:val="0"/>
        <w:autoSpaceDN w:val="0"/>
        <w:adjustRightInd w:val="0"/>
        <w:spacing w:line="276" w:lineRule="auto"/>
        <w:ind w:left="266" w:hanging="266"/>
        <w:textAlignment w:val="baseline"/>
        <w:rPr>
          <w:bCs/>
          <w:lang w:val="en-GB"/>
        </w:rPr>
      </w:pPr>
    </w:p>
    <w:p w:rsidRPr="008C608F" w:rsidR="005D220F" w:rsidP="005D220F" w:rsidRDefault="005D220F" w14:paraId="35FFEE47" w14:textId="77777777">
      <w:pPr>
        <w:overflowPunct w:val="0"/>
        <w:autoSpaceDE w:val="0"/>
        <w:autoSpaceDN w:val="0"/>
        <w:adjustRightInd w:val="0"/>
        <w:spacing w:line="240" w:lineRule="auto"/>
        <w:textAlignment w:val="baseline"/>
        <w:rPr>
          <w:bCs/>
          <w:iCs/>
        </w:rPr>
      </w:pPr>
      <w:r w:rsidRPr="008C608F">
        <w:t>ЕИСК:</w:t>
      </w:r>
    </w:p>
    <w:p w:rsidRPr="008C608F" w:rsidR="005D220F" w:rsidP="00B07E13" w:rsidRDefault="005D220F" w14:paraId="55C74EDB" w14:textId="77777777">
      <w:pPr>
        <w:pStyle w:val="ListParagraph"/>
        <w:numPr>
          <w:ilvl w:val="0"/>
          <w:numId w:val="43"/>
        </w:numPr>
        <w:overflowPunct w:val="0"/>
        <w:autoSpaceDE w:val="0"/>
        <w:autoSpaceDN w:val="0"/>
        <w:adjustRightInd w:val="0"/>
        <w:ind w:left="567" w:hanging="567"/>
        <w:textAlignment w:val="baseline"/>
        <w:outlineLvl w:val="1"/>
        <w:rPr>
          <w:spacing w:val="-4"/>
          <w:szCs w:val="20"/>
        </w:rPr>
      </w:pPr>
      <w:bookmarkStart w:name="_Toc178009583" w:id="63"/>
      <w:bookmarkStart w:name="_Toc179362866" w:id="64"/>
      <w:r w:rsidRPr="008C608F">
        <w:t xml:space="preserve">признава, че финансирането на борбата с изменението на климата е сложен механизъм за </w:t>
      </w:r>
      <w:r w:rsidRPr="008C608F">
        <w:rPr>
          <w:b/>
        </w:rPr>
        <w:t>мобилизиране на ресурси и улесняване на прехода към устойчиво бъдеще с ниски въглеродни емисии</w:t>
      </w:r>
      <w:r w:rsidRPr="008C608F">
        <w:t xml:space="preserve">. Това включва финансови ресурси, разпределени в рамките на действията в областта на климата </w:t>
      </w:r>
      <w:r w:rsidRPr="008C608F">
        <w:rPr>
          <w:b/>
        </w:rPr>
        <w:t>както за усилията за смекчаване, така и за адаптиране</w:t>
      </w:r>
      <w:r w:rsidRPr="008C608F">
        <w:t>, взаимосвързани с компенсациите (загуби и щети) и финансирането за справедлив преход;</w:t>
      </w:r>
      <w:bookmarkEnd w:id="63"/>
      <w:bookmarkEnd w:id="64"/>
    </w:p>
    <w:p w:rsidRPr="008C608F" w:rsidR="005D220F" w:rsidP="00B07E13" w:rsidRDefault="005D220F" w14:paraId="5A290D16" w14:textId="77777777">
      <w:pPr>
        <w:pStyle w:val="ListParagraph"/>
        <w:numPr>
          <w:ilvl w:val="0"/>
          <w:numId w:val="43"/>
        </w:numPr>
        <w:overflowPunct w:val="0"/>
        <w:autoSpaceDE w:val="0"/>
        <w:autoSpaceDN w:val="0"/>
        <w:adjustRightInd w:val="0"/>
        <w:ind w:left="567" w:hanging="567"/>
        <w:textAlignment w:val="baseline"/>
        <w:outlineLvl w:val="1"/>
        <w:rPr>
          <w:spacing w:val="-4"/>
          <w:szCs w:val="20"/>
        </w:rPr>
      </w:pPr>
      <w:bookmarkStart w:name="_Toc178009584" w:id="65"/>
      <w:bookmarkStart w:name="_Toc179362867" w:id="66"/>
      <w:r w:rsidRPr="008C608F">
        <w:t xml:space="preserve">подчертава важната роля на публичните финанси за адаптирането и </w:t>
      </w:r>
      <w:r w:rsidRPr="008C608F">
        <w:rPr>
          <w:b/>
        </w:rPr>
        <w:t>ангажираността както от страна на публичните, така и на частните участници за продължителни периоди от време</w:t>
      </w:r>
      <w:r w:rsidRPr="008C608F">
        <w:t>, което може да бъде предизвикателство;</w:t>
      </w:r>
      <w:bookmarkEnd w:id="65"/>
      <w:bookmarkEnd w:id="66"/>
    </w:p>
    <w:p w:rsidRPr="008C608F" w:rsidR="005D220F" w:rsidP="00B07E13" w:rsidRDefault="005D220F" w14:paraId="73E7E38D" w14:textId="77777777">
      <w:pPr>
        <w:pStyle w:val="ListParagraph"/>
        <w:numPr>
          <w:ilvl w:val="0"/>
          <w:numId w:val="43"/>
        </w:numPr>
        <w:overflowPunct w:val="0"/>
        <w:autoSpaceDE w:val="0"/>
        <w:autoSpaceDN w:val="0"/>
        <w:adjustRightInd w:val="0"/>
        <w:ind w:left="567" w:hanging="567"/>
        <w:textAlignment w:val="baseline"/>
        <w:outlineLvl w:val="1"/>
        <w:rPr>
          <w:spacing w:val="-4"/>
          <w:szCs w:val="20"/>
        </w:rPr>
      </w:pPr>
      <w:bookmarkStart w:name="_Toc178009585" w:id="67"/>
      <w:bookmarkStart w:name="_Toc179362868" w:id="68"/>
      <w:r w:rsidRPr="008C608F">
        <w:t xml:space="preserve">счита, че </w:t>
      </w:r>
      <w:r w:rsidRPr="008C608F">
        <w:rPr>
          <w:b/>
        </w:rPr>
        <w:t>достъпът на местните инициативи, движенията на местно равнище и социалните партньори до финансирането на борбата с изменението на климата е от жизненоважно значение за разрастването на действията в областта на климата</w:t>
      </w:r>
      <w:r w:rsidRPr="008C608F">
        <w:t xml:space="preserve"> и че това отразява опита на ЕС в осъществяването на значими промени и повишаването на издръжливостта на общностите;</w:t>
      </w:r>
      <w:bookmarkEnd w:id="67"/>
      <w:bookmarkEnd w:id="68"/>
    </w:p>
    <w:p w:rsidRPr="008C608F" w:rsidR="005D220F" w:rsidP="00B07E13" w:rsidRDefault="005D220F" w14:paraId="22117AE8" w14:textId="77777777">
      <w:pPr>
        <w:pStyle w:val="ListParagraph"/>
        <w:numPr>
          <w:ilvl w:val="0"/>
          <w:numId w:val="43"/>
        </w:numPr>
        <w:overflowPunct w:val="0"/>
        <w:autoSpaceDE w:val="0"/>
        <w:autoSpaceDN w:val="0"/>
        <w:adjustRightInd w:val="0"/>
        <w:ind w:left="567" w:hanging="567"/>
        <w:textAlignment w:val="baseline"/>
        <w:outlineLvl w:val="1"/>
        <w:rPr>
          <w:spacing w:val="-6"/>
          <w:szCs w:val="20"/>
        </w:rPr>
      </w:pPr>
      <w:bookmarkStart w:name="_Toc178009586" w:id="69"/>
      <w:bookmarkStart w:name="_Toc179362869" w:id="70"/>
      <w:r w:rsidRPr="008C608F">
        <w:t xml:space="preserve">призовава за стимулиране на </w:t>
      </w:r>
      <w:r w:rsidRPr="008C608F">
        <w:rPr>
          <w:b/>
        </w:rPr>
        <w:t>частния сектор да използва финансовите си ресурси</w:t>
      </w:r>
      <w:r w:rsidRPr="008C608F">
        <w:t xml:space="preserve"> и да участва активно в националните и регионалните планове за адаптиране и смекчаване на последиците от изменението на климата, като същевременно не се създава непропорционална тежест за публичните финанси и работниците;</w:t>
      </w:r>
      <w:bookmarkEnd w:id="69"/>
      <w:bookmarkEnd w:id="70"/>
    </w:p>
    <w:p w:rsidRPr="008C608F" w:rsidR="005D220F" w:rsidP="00B07E13" w:rsidRDefault="005D220F" w14:paraId="13A4D24D" w14:textId="77777777">
      <w:pPr>
        <w:pStyle w:val="ListParagraph"/>
        <w:numPr>
          <w:ilvl w:val="0"/>
          <w:numId w:val="43"/>
        </w:numPr>
        <w:overflowPunct w:val="0"/>
        <w:autoSpaceDE w:val="0"/>
        <w:autoSpaceDN w:val="0"/>
        <w:adjustRightInd w:val="0"/>
        <w:ind w:left="567" w:hanging="567"/>
        <w:textAlignment w:val="baseline"/>
        <w:outlineLvl w:val="1"/>
        <w:rPr>
          <w:spacing w:val="-4"/>
          <w:szCs w:val="20"/>
        </w:rPr>
      </w:pPr>
      <w:bookmarkStart w:name="_Toc178009587" w:id="71"/>
      <w:bookmarkStart w:name="_Toc179362870" w:id="72"/>
      <w:r w:rsidRPr="008C608F">
        <w:t xml:space="preserve">подкрепя ЕЦБ в ролята ѝ на влиятелен фактор, най-вече за улесняване на инвестициите в адаптирането към изменението на климата и за </w:t>
      </w:r>
      <w:r w:rsidRPr="008C608F">
        <w:rPr>
          <w:b/>
        </w:rPr>
        <w:t>гарантиране, че капиталовите потоци са приведени в съответствие с целите на Парижкото споразумение</w:t>
      </w:r>
      <w:r w:rsidRPr="008C608F">
        <w:t>;</w:t>
      </w:r>
      <w:bookmarkEnd w:id="71"/>
      <w:bookmarkEnd w:id="72"/>
    </w:p>
    <w:p w:rsidRPr="008C608F" w:rsidR="005D220F" w:rsidP="00B07E13" w:rsidRDefault="005D220F" w14:paraId="35249A68" w14:textId="77777777">
      <w:pPr>
        <w:pStyle w:val="ListParagraph"/>
        <w:numPr>
          <w:ilvl w:val="0"/>
          <w:numId w:val="43"/>
        </w:numPr>
        <w:overflowPunct w:val="0"/>
        <w:autoSpaceDE w:val="0"/>
        <w:autoSpaceDN w:val="0"/>
        <w:adjustRightInd w:val="0"/>
        <w:ind w:left="567" w:hanging="567"/>
        <w:textAlignment w:val="baseline"/>
        <w:outlineLvl w:val="1"/>
        <w:rPr>
          <w:spacing w:val="-4"/>
          <w:szCs w:val="20"/>
        </w:rPr>
      </w:pPr>
      <w:bookmarkStart w:name="_Toc178009588" w:id="73"/>
      <w:bookmarkStart w:name="_Toc179362871" w:id="74"/>
      <w:r w:rsidRPr="008C608F">
        <w:t xml:space="preserve">подчертава необходимостта от </w:t>
      </w:r>
      <w:r w:rsidRPr="008C608F">
        <w:rPr>
          <w:b/>
        </w:rPr>
        <w:t>опрощаване на дълга</w:t>
      </w:r>
      <w:r w:rsidRPr="008C608F">
        <w:t>, за да се прекъсне цикълът на задлъжнялост и недостатъчни инвестиции в адаптиране към изменението на климата (наред с другото), водещ до по-голяма уязвимост, и да се засили ролята на облигациите, свързани със ЦУР;</w:t>
      </w:r>
      <w:bookmarkEnd w:id="73"/>
      <w:bookmarkEnd w:id="74"/>
    </w:p>
    <w:p w:rsidRPr="008C608F" w:rsidR="005D220F" w:rsidP="00B07E13" w:rsidRDefault="005D220F" w14:paraId="584457BB" w14:textId="77777777">
      <w:pPr>
        <w:pStyle w:val="ListParagraph"/>
        <w:numPr>
          <w:ilvl w:val="0"/>
          <w:numId w:val="43"/>
        </w:numPr>
        <w:overflowPunct w:val="0"/>
        <w:autoSpaceDE w:val="0"/>
        <w:autoSpaceDN w:val="0"/>
        <w:adjustRightInd w:val="0"/>
        <w:ind w:left="567" w:hanging="567"/>
        <w:textAlignment w:val="baseline"/>
        <w:outlineLvl w:val="1"/>
        <w:rPr>
          <w:spacing w:val="-4"/>
          <w:szCs w:val="20"/>
        </w:rPr>
      </w:pPr>
      <w:bookmarkStart w:name="_Toc178009589" w:id="75"/>
      <w:bookmarkStart w:name="_Toc179362872" w:id="76"/>
      <w:r w:rsidRPr="008C608F">
        <w:t xml:space="preserve">изразява съгласие с неотдавнашните предложения на ЕС, според които преговорите по </w:t>
      </w:r>
      <w:r w:rsidRPr="008C608F">
        <w:rPr>
          <w:b/>
        </w:rPr>
        <w:t>новата колективна количествена цел</w:t>
      </w:r>
      <w:r w:rsidRPr="008C608F">
        <w:t xml:space="preserve"> (НККЦ) за финансиране на борбата с изменението на климата следва да бъдат насочени към това финансирането на борбата с изменението на климата да стане 1) по-пригодно за целта и по-благоприятно за биологичното разнообразие, 2) да има по-голямо въздействие, и 3) дава в по-голяма степен възможност да бъде целево насочено към най-уязвимите държави и общности;</w:t>
      </w:r>
      <w:bookmarkEnd w:id="75"/>
      <w:bookmarkEnd w:id="76"/>
    </w:p>
    <w:p w:rsidRPr="008C608F" w:rsidR="005D220F" w:rsidP="00B07E13" w:rsidRDefault="005D220F" w14:paraId="50E67381" w14:textId="77777777">
      <w:pPr>
        <w:pStyle w:val="ListParagraph"/>
        <w:numPr>
          <w:ilvl w:val="0"/>
          <w:numId w:val="43"/>
        </w:numPr>
        <w:overflowPunct w:val="0"/>
        <w:autoSpaceDE w:val="0"/>
        <w:autoSpaceDN w:val="0"/>
        <w:adjustRightInd w:val="0"/>
        <w:ind w:left="567" w:hanging="567"/>
        <w:textAlignment w:val="baseline"/>
        <w:outlineLvl w:val="1"/>
        <w:rPr>
          <w:szCs w:val="20"/>
        </w:rPr>
      </w:pPr>
      <w:bookmarkStart w:name="_Toc178009590" w:id="77"/>
      <w:bookmarkStart w:name="_Toc179362873" w:id="78"/>
      <w:r w:rsidRPr="008C608F">
        <w:lastRenderedPageBreak/>
        <w:t xml:space="preserve">смята, че концепцията за </w:t>
      </w:r>
      <w:r w:rsidRPr="008C608F">
        <w:rPr>
          <w:b/>
        </w:rPr>
        <w:t>справедлив преход</w:t>
      </w:r>
      <w:r w:rsidRPr="008C608F">
        <w:t xml:space="preserve"> следва да направлява разпределянето на всички потоци за финансиране на действията в областта на климата в съответствие с Парижкото споразумение, като се подчертава привеждането в съответствие с </w:t>
      </w:r>
      <w:r w:rsidRPr="008C608F">
        <w:rPr>
          <w:b/>
        </w:rPr>
        <w:t>пределните възможности на Земята, осигуряващи нейното безопасно и справедливо съществуване</w:t>
      </w:r>
      <w:r w:rsidRPr="008C608F">
        <w:t xml:space="preserve">, и по-широките социални и икономически цели, в чиято </w:t>
      </w:r>
      <w:r w:rsidRPr="008C608F">
        <w:rPr>
          <w:b/>
        </w:rPr>
        <w:t>основа следва да залегнат ЦУР</w:t>
      </w:r>
      <w:r w:rsidRPr="008C608F">
        <w:t>.</w:t>
      </w:r>
      <w:bookmarkEnd w:id="77"/>
      <w:bookmarkEnd w:id="78"/>
    </w:p>
    <w:p w:rsidRPr="008C608F" w:rsidR="005D220F" w:rsidP="005D220F" w:rsidRDefault="005D220F" w14:paraId="33E9FC26" w14:textId="77777777">
      <w:pPr>
        <w:overflowPunct w:val="0"/>
        <w:autoSpaceDE w:val="0"/>
        <w:autoSpaceDN w:val="0"/>
        <w:adjustRightInd w:val="0"/>
        <w:spacing w:line="240" w:lineRule="auto"/>
        <w:textAlignment w:val="baseline"/>
        <w:rPr>
          <w:lang w:val="en-GB"/>
        </w:rPr>
      </w:pPr>
    </w:p>
    <w:tbl>
      <w:tblPr>
        <w:tblW w:w="0" w:type="auto"/>
        <w:tblLook w:val="04A0" w:firstRow="1" w:lastRow="0" w:firstColumn="1" w:lastColumn="0" w:noHBand="0" w:noVBand="1"/>
      </w:tblPr>
      <w:tblGrid>
        <w:gridCol w:w="2235"/>
        <w:gridCol w:w="5069"/>
      </w:tblGrid>
      <w:tr w:rsidRPr="004175C7" w:rsidR="005D220F" w:rsidTr="00C46010" w14:paraId="30B2998E" w14:textId="77777777">
        <w:tc>
          <w:tcPr>
            <w:tcW w:w="2235" w:type="dxa"/>
          </w:tcPr>
          <w:p w:rsidRPr="004175C7" w:rsidR="005D220F" w:rsidP="005D220F" w:rsidRDefault="005D220F" w14:paraId="327B00F1" w14:textId="77777777">
            <w:pPr>
              <w:overflowPunct w:val="0"/>
              <w:autoSpaceDE w:val="0"/>
              <w:autoSpaceDN w:val="0"/>
              <w:adjustRightInd w:val="0"/>
              <w:spacing w:line="240" w:lineRule="auto"/>
              <w:ind w:left="32"/>
              <w:textAlignment w:val="baseline"/>
              <w:rPr>
                <w:i/>
              </w:rPr>
            </w:pPr>
            <w:r w:rsidRPr="008C608F">
              <w:rPr>
                <w:b/>
                <w:i/>
              </w:rPr>
              <w:t>За връзка:</w:t>
            </w:r>
          </w:p>
        </w:tc>
        <w:tc>
          <w:tcPr>
            <w:tcW w:w="5069" w:type="dxa"/>
          </w:tcPr>
          <w:p w:rsidRPr="004175C7" w:rsidR="005D220F" w:rsidP="005D220F" w:rsidRDefault="005D220F" w14:paraId="33DFEDCD" w14:textId="3102522D">
            <w:pPr>
              <w:overflowPunct w:val="0"/>
              <w:autoSpaceDE w:val="0"/>
              <w:autoSpaceDN w:val="0"/>
              <w:adjustRightInd w:val="0"/>
              <w:spacing w:line="240" w:lineRule="auto"/>
              <w:ind w:left="103"/>
              <w:textAlignment w:val="baseline"/>
              <w:rPr>
                <w:i/>
              </w:rPr>
            </w:pPr>
            <w:r w:rsidRPr="008C608F">
              <w:t>Anna Cameron</w:t>
            </w:r>
          </w:p>
        </w:tc>
      </w:tr>
      <w:tr w:rsidRPr="004175C7" w:rsidR="005D220F" w:rsidTr="00C46010" w14:paraId="44CAD41B" w14:textId="77777777">
        <w:tc>
          <w:tcPr>
            <w:tcW w:w="2235" w:type="dxa"/>
          </w:tcPr>
          <w:p w:rsidRPr="004175C7" w:rsidR="005D220F" w:rsidP="005D220F" w:rsidRDefault="005D220F" w14:paraId="4EB9AC62" w14:textId="77777777">
            <w:pPr>
              <w:overflowPunct w:val="0"/>
              <w:autoSpaceDE w:val="0"/>
              <w:autoSpaceDN w:val="0"/>
              <w:adjustRightInd w:val="0"/>
              <w:spacing w:line="240" w:lineRule="auto"/>
              <w:ind w:left="32"/>
              <w:textAlignment w:val="baseline"/>
              <w:rPr>
                <w:i/>
              </w:rPr>
            </w:pPr>
            <w:r w:rsidRPr="008C608F">
              <w:rPr>
                <w:i/>
              </w:rPr>
              <w:t>Тел</w:t>
            </w:r>
            <w:r w:rsidRPr="008C608F">
              <w:rPr>
                <w:i/>
                <w:iCs/>
              </w:rPr>
              <w:t>.</w:t>
            </w:r>
          </w:p>
        </w:tc>
        <w:tc>
          <w:tcPr>
            <w:tcW w:w="5069" w:type="dxa"/>
          </w:tcPr>
          <w:p w:rsidRPr="004175C7" w:rsidR="005D220F" w:rsidP="005D220F" w:rsidRDefault="005D220F" w14:paraId="44171699" w14:textId="77777777">
            <w:pPr>
              <w:overflowPunct w:val="0"/>
              <w:autoSpaceDE w:val="0"/>
              <w:autoSpaceDN w:val="0"/>
              <w:adjustRightInd w:val="0"/>
              <w:spacing w:line="240" w:lineRule="auto"/>
              <w:ind w:left="103"/>
              <w:textAlignment w:val="baseline"/>
              <w:rPr>
                <w:i/>
                <w:iCs/>
              </w:rPr>
            </w:pPr>
            <w:r w:rsidRPr="008C608F">
              <w:rPr>
                <w:i/>
              </w:rPr>
              <w:t>+32 25468228</w:t>
            </w:r>
          </w:p>
        </w:tc>
      </w:tr>
      <w:tr w:rsidRPr="008C608F" w:rsidR="005D220F" w:rsidTr="00C46010" w14:paraId="66D0DE73" w14:textId="77777777">
        <w:tc>
          <w:tcPr>
            <w:tcW w:w="2235" w:type="dxa"/>
          </w:tcPr>
          <w:p w:rsidRPr="004175C7" w:rsidR="005D220F" w:rsidP="005D220F" w:rsidRDefault="004E1104" w14:paraId="3437F88F" w14:textId="45DCCD7E">
            <w:pPr>
              <w:overflowPunct w:val="0"/>
              <w:autoSpaceDE w:val="0"/>
              <w:autoSpaceDN w:val="0"/>
              <w:adjustRightInd w:val="0"/>
              <w:spacing w:line="240" w:lineRule="auto"/>
              <w:ind w:left="32"/>
              <w:textAlignment w:val="baseline"/>
              <w:rPr>
                <w:i/>
              </w:rPr>
            </w:pPr>
            <w:r w:rsidRPr="008C608F">
              <w:rPr>
                <w:i/>
              </w:rPr>
              <w:t>Електронен адрес:</w:t>
            </w:r>
          </w:p>
        </w:tc>
        <w:tc>
          <w:tcPr>
            <w:tcW w:w="5069" w:type="dxa"/>
          </w:tcPr>
          <w:p w:rsidRPr="008C608F" w:rsidR="005D220F" w:rsidP="005D220F" w:rsidRDefault="00257091" w14:paraId="62475D3D" w14:textId="77777777">
            <w:pPr>
              <w:overflowPunct w:val="0"/>
              <w:autoSpaceDE w:val="0"/>
              <w:autoSpaceDN w:val="0"/>
              <w:adjustRightInd w:val="0"/>
              <w:spacing w:line="240" w:lineRule="auto"/>
              <w:ind w:left="103"/>
              <w:textAlignment w:val="baseline"/>
              <w:rPr>
                <w:i/>
                <w:iCs/>
                <w:color w:val="0000FF"/>
                <w:u w:val="single"/>
              </w:rPr>
            </w:pPr>
            <w:hyperlink w:history="1" r:id="rId57">
              <w:r w:rsidRPr="008C608F" w:rsidR="006A1AC2">
                <w:rPr>
                  <w:i/>
                  <w:color w:val="0000FF"/>
                  <w:u w:val="single"/>
                </w:rPr>
                <w:t>Anna.Cameron@eesc.europa.eu</w:t>
              </w:r>
            </w:hyperlink>
          </w:p>
        </w:tc>
      </w:tr>
    </w:tbl>
    <w:p w:rsidRPr="008C608F" w:rsidR="005D220F" w:rsidRDefault="005D220F" w14:paraId="493A5992" w14:textId="77777777">
      <w:pPr>
        <w:spacing w:after="160" w:line="259" w:lineRule="auto"/>
        <w:jc w:val="left"/>
      </w:pPr>
      <w:r w:rsidRPr="008C608F">
        <w:br w:type="page"/>
      </w:r>
    </w:p>
    <w:p w:rsidRPr="008C608F" w:rsidR="00C70B4C" w:rsidP="00C70B4C" w:rsidRDefault="00257091" w14:paraId="57BB5A11" w14:textId="42C42FE4">
      <w:pPr>
        <w:numPr>
          <w:ilvl w:val="0"/>
          <w:numId w:val="18"/>
        </w:numPr>
        <w:overflowPunct w:val="0"/>
        <w:autoSpaceDE w:val="0"/>
        <w:autoSpaceDN w:val="0"/>
        <w:adjustRightInd w:val="0"/>
        <w:spacing w:line="276" w:lineRule="auto"/>
        <w:ind w:left="425" w:hanging="357"/>
        <w:contextualSpacing/>
        <w:jc w:val="left"/>
        <w:textAlignment w:val="baseline"/>
        <w:rPr>
          <w:i/>
          <w:iCs/>
        </w:rPr>
      </w:pPr>
      <w:hyperlink w:history="1" r:id="rId58">
        <w:r w:rsidRPr="008C608F" w:rsidR="006A1AC2">
          <w:rPr>
            <w:b/>
            <w:i/>
            <w:color w:val="0000FF"/>
            <w:sz w:val="28"/>
            <w:u w:val="single"/>
          </w:rPr>
          <w:t>Справедлив преход за гарантиране на устойчиво бъдеще за системите на хранително-вкусовата промишленост на ЕС</w:t>
        </w:r>
      </w:hyperlink>
    </w:p>
    <w:p w:rsidRPr="008C608F" w:rsidR="00C70B4C" w:rsidP="00C70B4C" w:rsidRDefault="00C70B4C" w14:paraId="497B2A5F" w14:textId="77777777">
      <w:pPr>
        <w:widowControl w:val="0"/>
        <w:overflowPunct w:val="0"/>
        <w:autoSpaceDE w:val="0"/>
        <w:autoSpaceDN w:val="0"/>
        <w:adjustRightInd w:val="0"/>
        <w:ind w:left="567"/>
        <w:textAlignment w:val="baseline"/>
        <w:rPr>
          <w:bCs/>
          <w:sz w:val="16"/>
          <w:szCs w:val="16"/>
          <w:lang w:val="en-GB"/>
        </w:rPr>
      </w:pPr>
    </w:p>
    <w:tbl>
      <w:tblPr>
        <w:tblW w:w="0" w:type="auto"/>
        <w:tblLook w:val="04A0" w:firstRow="1" w:lastRow="0" w:firstColumn="1" w:lastColumn="0" w:noHBand="0" w:noVBand="1"/>
      </w:tblPr>
      <w:tblGrid>
        <w:gridCol w:w="2376"/>
        <w:gridCol w:w="6804"/>
      </w:tblGrid>
      <w:tr w:rsidRPr="004175C7" w:rsidR="00C70B4C" w:rsidTr="001037CE" w14:paraId="6A8D08A7" w14:textId="77777777">
        <w:tc>
          <w:tcPr>
            <w:tcW w:w="2376" w:type="dxa"/>
          </w:tcPr>
          <w:p w:rsidRPr="008C608F" w:rsidR="00C70B4C" w:rsidP="00C70B4C" w:rsidRDefault="00C70B4C" w14:paraId="15156371" w14:textId="77777777">
            <w:pPr>
              <w:tabs>
                <w:tab w:val="center" w:pos="284"/>
              </w:tabs>
              <w:overflowPunct w:val="0"/>
              <w:autoSpaceDE w:val="0"/>
              <w:autoSpaceDN w:val="0"/>
              <w:adjustRightInd w:val="0"/>
              <w:ind w:left="266" w:hanging="266"/>
              <w:textAlignment w:val="baseline"/>
              <w:rPr>
                <w:b/>
              </w:rPr>
            </w:pPr>
            <w:r w:rsidRPr="008C608F">
              <w:rPr>
                <w:b/>
              </w:rPr>
              <w:t>Докладчик:</w:t>
            </w:r>
          </w:p>
          <w:p w:rsidRPr="004175C7" w:rsidR="00C70B4C" w:rsidP="00C70B4C" w:rsidRDefault="00C70B4C" w14:paraId="7094B339" w14:textId="2F003D98">
            <w:pPr>
              <w:tabs>
                <w:tab w:val="center" w:pos="284"/>
              </w:tabs>
              <w:overflowPunct w:val="0"/>
              <w:autoSpaceDE w:val="0"/>
              <w:autoSpaceDN w:val="0"/>
              <w:adjustRightInd w:val="0"/>
              <w:ind w:left="266" w:hanging="266"/>
              <w:textAlignment w:val="baseline"/>
              <w:rPr>
                <w:b/>
              </w:rPr>
            </w:pPr>
            <w:r w:rsidRPr="008C608F">
              <w:rPr>
                <w:b/>
              </w:rPr>
              <w:t>Съдокладчик</w:t>
            </w:r>
            <w:r w:rsidRPr="008C608F" w:rsidR="001037CE">
              <w:rPr>
                <w:b/>
              </w:rPr>
              <w:t>:</w:t>
            </w:r>
          </w:p>
        </w:tc>
        <w:tc>
          <w:tcPr>
            <w:tcW w:w="6804" w:type="dxa"/>
          </w:tcPr>
          <w:p w:rsidRPr="008C608F" w:rsidR="00C70B4C" w:rsidP="00C70B4C" w:rsidRDefault="00C70B4C" w14:paraId="13AC955C" w14:textId="77777777">
            <w:pPr>
              <w:tabs>
                <w:tab w:val="center" w:pos="284"/>
              </w:tabs>
              <w:overflowPunct w:val="0"/>
              <w:autoSpaceDE w:val="0"/>
              <w:autoSpaceDN w:val="0"/>
              <w:adjustRightInd w:val="0"/>
              <w:ind w:left="266" w:hanging="266"/>
              <w:textAlignment w:val="baseline"/>
              <w:rPr>
                <w:b/>
                <w:bCs/>
              </w:rPr>
            </w:pPr>
            <w:r w:rsidRPr="008C608F">
              <w:t>Kerli ATS (група „Организации на гражданското общество“ — EE)</w:t>
            </w:r>
          </w:p>
          <w:p w:rsidRPr="004175C7" w:rsidR="00C70B4C" w:rsidP="00C70B4C" w:rsidRDefault="00C70B4C" w14:paraId="5EEAA371" w14:textId="77777777">
            <w:pPr>
              <w:overflowPunct w:val="0"/>
              <w:autoSpaceDE w:val="0"/>
              <w:autoSpaceDN w:val="0"/>
              <w:adjustRightInd w:val="0"/>
              <w:textAlignment w:val="baseline"/>
            </w:pPr>
            <w:r w:rsidRPr="008C608F">
              <w:t>Florian Marin (група „Работници“ — RO)</w:t>
            </w:r>
          </w:p>
        </w:tc>
      </w:tr>
      <w:tr w:rsidRPr="008C608F" w:rsidR="00C70B4C" w:rsidTr="001037CE" w14:paraId="7584DF22" w14:textId="77777777">
        <w:tc>
          <w:tcPr>
            <w:tcW w:w="2376" w:type="dxa"/>
          </w:tcPr>
          <w:p w:rsidRPr="004175C7" w:rsidR="00C70B4C" w:rsidP="00C70B4C" w:rsidRDefault="00C70B4C" w14:paraId="2DA502C7" w14:textId="77777777">
            <w:pPr>
              <w:tabs>
                <w:tab w:val="center" w:pos="284"/>
              </w:tabs>
              <w:overflowPunct w:val="0"/>
              <w:autoSpaceDE w:val="0"/>
              <w:autoSpaceDN w:val="0"/>
              <w:adjustRightInd w:val="0"/>
              <w:ind w:left="266" w:hanging="266"/>
              <w:textAlignment w:val="baseline"/>
              <w:rPr>
                <w:b/>
              </w:rPr>
            </w:pPr>
            <w:r w:rsidRPr="008C608F">
              <w:rPr>
                <w:b/>
              </w:rPr>
              <w:t>Отправни документи</w:t>
            </w:r>
          </w:p>
        </w:tc>
        <w:tc>
          <w:tcPr>
            <w:tcW w:w="6804" w:type="dxa"/>
          </w:tcPr>
          <w:p w:rsidRPr="008C608F" w:rsidR="00DE2877" w:rsidP="00C70B4C" w:rsidRDefault="00DE2877" w14:paraId="4C2E35DC" w14:textId="4B29CDB9">
            <w:pPr>
              <w:tabs>
                <w:tab w:val="center" w:pos="284"/>
              </w:tabs>
              <w:overflowPunct w:val="0"/>
              <w:autoSpaceDE w:val="0"/>
              <w:autoSpaceDN w:val="0"/>
              <w:adjustRightInd w:val="0"/>
              <w:ind w:left="266" w:hanging="266"/>
              <w:textAlignment w:val="baseline"/>
            </w:pPr>
            <w:r w:rsidRPr="008C608F">
              <w:t>Становище по собствена инициатива</w:t>
            </w:r>
          </w:p>
          <w:p w:rsidRPr="008C608F" w:rsidR="00C70B4C" w:rsidP="00C70B4C" w:rsidRDefault="00C70B4C" w14:paraId="2E686203" w14:textId="7B6E24DA">
            <w:pPr>
              <w:tabs>
                <w:tab w:val="center" w:pos="284"/>
              </w:tabs>
              <w:overflowPunct w:val="0"/>
              <w:autoSpaceDE w:val="0"/>
              <w:autoSpaceDN w:val="0"/>
              <w:adjustRightInd w:val="0"/>
              <w:ind w:left="266" w:hanging="266"/>
              <w:textAlignment w:val="baseline"/>
            </w:pPr>
            <w:r w:rsidRPr="008C608F">
              <w:t>EESC-2024-00599-00-00-AC</w:t>
            </w:r>
          </w:p>
        </w:tc>
      </w:tr>
    </w:tbl>
    <w:p w:rsidRPr="008C608F" w:rsidR="00C70B4C" w:rsidP="00C70B4C" w:rsidRDefault="00C70B4C" w14:paraId="05711796" w14:textId="77777777">
      <w:pPr>
        <w:keepNext/>
        <w:keepLines/>
        <w:tabs>
          <w:tab w:val="center" w:pos="284"/>
        </w:tabs>
        <w:overflowPunct w:val="0"/>
        <w:autoSpaceDE w:val="0"/>
        <w:autoSpaceDN w:val="0"/>
        <w:adjustRightInd w:val="0"/>
        <w:ind w:left="266" w:hanging="266"/>
        <w:textAlignment w:val="baseline"/>
        <w:rPr>
          <w:szCs w:val="20"/>
          <w:lang w:val="en-GB"/>
        </w:rPr>
      </w:pPr>
    </w:p>
    <w:p w:rsidRPr="008C608F" w:rsidR="00C70B4C" w:rsidP="00C70B4C" w:rsidRDefault="00C70B4C" w14:paraId="5EA28F43" w14:textId="77777777">
      <w:pPr>
        <w:keepNext/>
        <w:keepLines/>
        <w:tabs>
          <w:tab w:val="center" w:pos="284"/>
        </w:tabs>
        <w:overflowPunct w:val="0"/>
        <w:autoSpaceDE w:val="0"/>
        <w:autoSpaceDN w:val="0"/>
        <w:adjustRightInd w:val="0"/>
        <w:spacing w:line="276" w:lineRule="auto"/>
        <w:ind w:left="266" w:hanging="266"/>
        <w:textAlignment w:val="baseline"/>
        <w:rPr>
          <w:b/>
        </w:rPr>
      </w:pPr>
      <w:r w:rsidRPr="008C608F">
        <w:rPr>
          <w:b/>
        </w:rPr>
        <w:t>Основни аспекти</w:t>
      </w:r>
    </w:p>
    <w:p w:rsidRPr="008C608F" w:rsidR="00C70B4C" w:rsidP="00C70B4C" w:rsidRDefault="00C70B4C" w14:paraId="1D5ED8E8" w14:textId="77777777">
      <w:pPr>
        <w:keepNext/>
        <w:keepLines/>
        <w:tabs>
          <w:tab w:val="center" w:pos="284"/>
        </w:tabs>
        <w:overflowPunct w:val="0"/>
        <w:autoSpaceDE w:val="0"/>
        <w:autoSpaceDN w:val="0"/>
        <w:adjustRightInd w:val="0"/>
        <w:spacing w:line="276" w:lineRule="auto"/>
        <w:ind w:left="266" w:hanging="266"/>
        <w:textAlignment w:val="baseline"/>
        <w:rPr>
          <w:szCs w:val="20"/>
          <w:lang w:val="en-GB"/>
        </w:rPr>
      </w:pPr>
    </w:p>
    <w:p w:rsidRPr="008C608F" w:rsidR="00C70B4C" w:rsidP="00C70B4C" w:rsidRDefault="00C70B4C" w14:paraId="5AB3EE68" w14:textId="77777777">
      <w:pPr>
        <w:overflowPunct w:val="0"/>
        <w:autoSpaceDE w:val="0"/>
        <w:autoSpaceDN w:val="0"/>
        <w:adjustRightInd w:val="0"/>
        <w:spacing w:line="240" w:lineRule="auto"/>
        <w:textAlignment w:val="baseline"/>
        <w:rPr>
          <w:bCs/>
          <w:iCs/>
        </w:rPr>
      </w:pPr>
      <w:r w:rsidRPr="008C608F">
        <w:t>ЕИСК:</w:t>
      </w:r>
    </w:p>
    <w:p w:rsidRPr="008C608F" w:rsidR="00C70B4C" w:rsidP="00B07E13" w:rsidRDefault="00C70B4C" w14:paraId="4FE89429" w14:textId="77777777">
      <w:pPr>
        <w:pStyle w:val="ListParagraph"/>
        <w:numPr>
          <w:ilvl w:val="0"/>
          <w:numId w:val="44"/>
        </w:numPr>
        <w:overflowPunct w:val="0"/>
        <w:autoSpaceDE w:val="0"/>
        <w:autoSpaceDN w:val="0"/>
        <w:adjustRightInd w:val="0"/>
        <w:ind w:left="567" w:hanging="578"/>
        <w:textAlignment w:val="baseline"/>
        <w:outlineLvl w:val="1"/>
        <w:rPr>
          <w:spacing w:val="-4"/>
          <w:szCs w:val="20"/>
        </w:rPr>
      </w:pPr>
      <w:bookmarkStart w:name="_Toc178009591" w:id="79"/>
      <w:bookmarkStart w:name="_Toc179362874" w:id="80"/>
      <w:r w:rsidRPr="008C608F">
        <w:t xml:space="preserve">счита, че справедливият преход в системите на хранително-вкусовата промишленост трябва да обхваща последователно социалните, екологичните и икономическите аспекти, като се възприеме цялостен, координиран и интегриран подход. Справедливият преход следва да се основава на </w:t>
      </w:r>
      <w:r w:rsidRPr="008C608F">
        <w:rPr>
          <w:b/>
        </w:rPr>
        <w:t>принципите на справедливост при разпределението, признаване, участие, амбициозни цели в областта на околната среда и климата, правата на човека и „да не се пренебрегва никой“</w:t>
      </w:r>
      <w:r w:rsidRPr="008C608F">
        <w:t>;</w:t>
      </w:r>
      <w:bookmarkEnd w:id="79"/>
      <w:bookmarkEnd w:id="80"/>
    </w:p>
    <w:p w:rsidRPr="008C608F" w:rsidR="00C70B4C" w:rsidP="00B07E13" w:rsidRDefault="00C70B4C" w14:paraId="2888D6BE" w14:textId="77777777">
      <w:pPr>
        <w:pStyle w:val="ListParagraph"/>
        <w:numPr>
          <w:ilvl w:val="0"/>
          <w:numId w:val="44"/>
        </w:numPr>
        <w:overflowPunct w:val="0"/>
        <w:autoSpaceDE w:val="0"/>
        <w:autoSpaceDN w:val="0"/>
        <w:adjustRightInd w:val="0"/>
        <w:ind w:left="567" w:hanging="578"/>
        <w:textAlignment w:val="baseline"/>
        <w:outlineLvl w:val="1"/>
        <w:rPr>
          <w:spacing w:val="-4"/>
          <w:szCs w:val="20"/>
        </w:rPr>
      </w:pPr>
      <w:bookmarkStart w:name="_Toc178009592" w:id="81"/>
      <w:bookmarkStart w:name="_Toc179362875" w:id="82"/>
      <w:r w:rsidRPr="008C608F">
        <w:t xml:space="preserve">счита, че са необходими интегрирани публични политики, за да се гарантира, че </w:t>
      </w:r>
      <w:r w:rsidRPr="008C608F">
        <w:rPr>
          <w:b/>
        </w:rPr>
        <w:t>в основата на справедливия преход са всички заинтересовани страни</w:t>
      </w:r>
      <w:r w:rsidRPr="008C608F">
        <w:t>;</w:t>
      </w:r>
      <w:bookmarkEnd w:id="81"/>
      <w:bookmarkEnd w:id="82"/>
    </w:p>
    <w:p w:rsidRPr="008C608F" w:rsidR="00C70B4C" w:rsidP="00B07E13" w:rsidRDefault="00C70B4C" w14:paraId="24A2F571" w14:textId="77777777">
      <w:pPr>
        <w:pStyle w:val="ListParagraph"/>
        <w:numPr>
          <w:ilvl w:val="0"/>
          <w:numId w:val="44"/>
        </w:numPr>
        <w:overflowPunct w:val="0"/>
        <w:autoSpaceDE w:val="0"/>
        <w:autoSpaceDN w:val="0"/>
        <w:adjustRightInd w:val="0"/>
        <w:ind w:left="567" w:hanging="578"/>
        <w:textAlignment w:val="baseline"/>
        <w:outlineLvl w:val="1"/>
        <w:rPr>
          <w:spacing w:val="-4"/>
          <w:szCs w:val="20"/>
        </w:rPr>
      </w:pPr>
      <w:bookmarkStart w:name="_Toc178009593" w:id="83"/>
      <w:bookmarkStart w:name="_Toc179362876" w:id="84"/>
      <w:r w:rsidRPr="008C608F">
        <w:t xml:space="preserve">предлага </w:t>
      </w:r>
      <w:r w:rsidRPr="008C608F">
        <w:rPr>
          <w:b/>
        </w:rPr>
        <w:t>справедливостта по отношение на участието</w:t>
      </w:r>
      <w:r w:rsidRPr="008C608F">
        <w:t xml:space="preserve"> да бъде интегрирана във всички аспекти на справедливия преход на системите на хранително-вкусовата промишленост, за да се гарантират балансирани процеси, при които се отчитат реалностите на уязвимите участници;</w:t>
      </w:r>
      <w:bookmarkEnd w:id="83"/>
      <w:bookmarkEnd w:id="84"/>
    </w:p>
    <w:p w:rsidRPr="008C608F" w:rsidR="00C70B4C" w:rsidP="00B07E13" w:rsidRDefault="00C70B4C" w14:paraId="1AAEAF4B" w14:textId="77777777">
      <w:pPr>
        <w:pStyle w:val="ListParagraph"/>
        <w:numPr>
          <w:ilvl w:val="0"/>
          <w:numId w:val="44"/>
        </w:numPr>
        <w:overflowPunct w:val="0"/>
        <w:autoSpaceDE w:val="0"/>
        <w:autoSpaceDN w:val="0"/>
        <w:adjustRightInd w:val="0"/>
        <w:ind w:left="567" w:hanging="578"/>
        <w:textAlignment w:val="baseline"/>
        <w:outlineLvl w:val="1"/>
        <w:rPr>
          <w:spacing w:val="-4"/>
          <w:szCs w:val="20"/>
        </w:rPr>
      </w:pPr>
      <w:bookmarkStart w:name="_Toc178009594" w:id="85"/>
      <w:bookmarkStart w:name="_Toc179362877" w:id="86"/>
      <w:r w:rsidRPr="008C608F">
        <w:t xml:space="preserve">предлага справедливият преход да обхваща </w:t>
      </w:r>
      <w:r w:rsidRPr="008C608F">
        <w:rPr>
          <w:b/>
        </w:rPr>
        <w:t>защитата, зачитането и упражняването на всички права на работниците</w:t>
      </w:r>
      <w:r w:rsidRPr="008C608F">
        <w:t>, включително чрез укрепване и подкрепяне на механизми за обвързване с условия в социалната сфера, като тези в общата селскостопанска политика (ОСП), но също така и чрез гарантиране на доходи, осигуряващ жизнен минимум, на земеделските стопани и техните работници;</w:t>
      </w:r>
      <w:bookmarkEnd w:id="85"/>
      <w:bookmarkEnd w:id="86"/>
    </w:p>
    <w:p w:rsidRPr="008C608F" w:rsidR="00C70B4C" w:rsidP="00B07E13" w:rsidRDefault="00C70B4C" w14:paraId="3A878F69" w14:textId="77777777">
      <w:pPr>
        <w:pStyle w:val="ListParagraph"/>
        <w:numPr>
          <w:ilvl w:val="0"/>
          <w:numId w:val="44"/>
        </w:numPr>
        <w:overflowPunct w:val="0"/>
        <w:autoSpaceDE w:val="0"/>
        <w:autoSpaceDN w:val="0"/>
        <w:adjustRightInd w:val="0"/>
        <w:ind w:left="567" w:hanging="578"/>
        <w:textAlignment w:val="baseline"/>
        <w:outlineLvl w:val="1"/>
        <w:rPr>
          <w:spacing w:val="-4"/>
          <w:szCs w:val="20"/>
        </w:rPr>
      </w:pPr>
      <w:bookmarkStart w:name="_Toc178009595" w:id="87"/>
      <w:bookmarkStart w:name="_Toc179362878" w:id="88"/>
      <w:r w:rsidRPr="008C608F">
        <w:t>препоръчва да се справи със спешната необходимост от структурна трансформация на продоволствените системи на ЕС чрез:</w:t>
      </w:r>
      <w:bookmarkEnd w:id="87"/>
      <w:bookmarkEnd w:id="88"/>
    </w:p>
    <w:p w:rsidRPr="008C608F" w:rsidR="00C70B4C" w:rsidP="00B07E13" w:rsidRDefault="00C70B4C" w14:paraId="7D958DB3"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596" w:id="89"/>
      <w:bookmarkStart w:name="_Toc179362879" w:id="90"/>
      <w:r w:rsidRPr="008C608F">
        <w:t>възприемане на</w:t>
      </w:r>
      <w:r w:rsidRPr="008C608F">
        <w:rPr>
          <w:b/>
        </w:rPr>
        <w:t xml:space="preserve"> системен подход към законодателството и управлението на продоволствените системи на ЕС</w:t>
      </w:r>
      <w:r w:rsidRPr="008C608F">
        <w:t>, който не се ограничава до селскостопанското производство;</w:t>
      </w:r>
      <w:bookmarkEnd w:id="89"/>
      <w:bookmarkEnd w:id="90"/>
    </w:p>
    <w:p w:rsidRPr="008C608F" w:rsidR="00C70B4C" w:rsidP="00B07E13" w:rsidRDefault="00C70B4C" w14:paraId="6D6A1512"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597" w:id="91"/>
      <w:bookmarkStart w:name="_Toc179362880" w:id="92"/>
      <w:r w:rsidRPr="008C608F">
        <w:t xml:space="preserve">работа за </w:t>
      </w:r>
      <w:r w:rsidRPr="008C608F">
        <w:rPr>
          <w:b/>
        </w:rPr>
        <w:t>прилагането на доходи и заплати, гарантиращи жизнен минимум, в целия ЕС</w:t>
      </w:r>
      <w:r w:rsidRPr="008C608F">
        <w:t>, както и по хранителните вериги извън ЕС, които осигуряват храни за ЕС, и насърчаване на форми на финансова подкрепа и стабилизиране на цените, които гарантират достъпност и правото на храна за гражданите потребители;</w:t>
      </w:r>
      <w:bookmarkEnd w:id="91"/>
      <w:bookmarkEnd w:id="92"/>
    </w:p>
    <w:p w:rsidRPr="008C608F" w:rsidR="00C70B4C" w:rsidP="00B07E13" w:rsidRDefault="00C70B4C" w14:paraId="19B735EC"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598" w:id="93"/>
      <w:bookmarkStart w:name="_Toc179362881" w:id="94"/>
      <w:r w:rsidRPr="008C608F">
        <w:t xml:space="preserve">улесняване на </w:t>
      </w:r>
      <w:r w:rsidRPr="008C608F">
        <w:rPr>
          <w:b/>
        </w:rPr>
        <w:t>достъпа до земя за новите поколения земеделски стопани и дребни производители</w:t>
      </w:r>
      <w:r w:rsidRPr="008C608F">
        <w:t>;</w:t>
      </w:r>
      <w:bookmarkEnd w:id="93"/>
      <w:bookmarkEnd w:id="94"/>
    </w:p>
    <w:p w:rsidRPr="008C608F" w:rsidR="00C70B4C" w:rsidP="00B07E13" w:rsidRDefault="00C70B4C" w14:paraId="249C653E"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599" w:id="95"/>
      <w:bookmarkStart w:name="_Toc179362882" w:id="96"/>
      <w:r w:rsidRPr="008C608F">
        <w:rPr>
          <w:b/>
        </w:rPr>
        <w:t>преодоляване на неравенствата в рамките на ОСП</w:t>
      </w:r>
      <w:r w:rsidRPr="008C608F">
        <w:t xml:space="preserve"> като решаващ фактор за гарантирането на справедлив преход;</w:t>
      </w:r>
      <w:bookmarkEnd w:id="95"/>
      <w:bookmarkEnd w:id="96"/>
    </w:p>
    <w:p w:rsidRPr="008C608F" w:rsidR="00C70B4C" w:rsidP="00B07E13" w:rsidRDefault="00C70B4C" w14:paraId="1EE4D271"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0" w:id="97"/>
      <w:bookmarkStart w:name="_Toc179362883" w:id="98"/>
      <w:r w:rsidRPr="008C608F">
        <w:t>въвеждане на разпоредби за</w:t>
      </w:r>
      <w:r w:rsidRPr="008C608F">
        <w:rPr>
          <w:b/>
        </w:rPr>
        <w:t xml:space="preserve"> ограничаване на спекулациите</w:t>
      </w:r>
      <w:r w:rsidRPr="008C608F">
        <w:t xml:space="preserve"> и финансиализацията в продоволствените системи;</w:t>
      </w:r>
      <w:bookmarkEnd w:id="97"/>
      <w:bookmarkEnd w:id="98"/>
    </w:p>
    <w:p w:rsidRPr="008C608F" w:rsidR="00C70B4C" w:rsidP="00B07E13" w:rsidRDefault="00C70B4C" w14:paraId="4B6A0780"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1" w:id="99"/>
      <w:bookmarkStart w:name="_Toc179362884" w:id="100"/>
      <w:r w:rsidRPr="008C608F">
        <w:t xml:space="preserve">инвестиране в </w:t>
      </w:r>
      <w:r w:rsidRPr="008C608F">
        <w:rPr>
          <w:b/>
        </w:rPr>
        <w:t>научноизследователска и развойна дейност</w:t>
      </w:r>
      <w:r w:rsidRPr="008C608F">
        <w:t xml:space="preserve"> в областта на устойчивите практики и технологии;</w:t>
      </w:r>
      <w:bookmarkEnd w:id="99"/>
      <w:bookmarkEnd w:id="100"/>
    </w:p>
    <w:p w:rsidRPr="008C608F" w:rsidR="00C70B4C" w:rsidP="00B07E13" w:rsidRDefault="00C70B4C" w14:paraId="3DAE9A28"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2" w:id="101"/>
      <w:bookmarkStart w:name="_Toc179362885" w:id="102"/>
      <w:r w:rsidRPr="008C608F">
        <w:lastRenderedPageBreak/>
        <w:t xml:space="preserve">приемане на по-амбициозни и задължителни </w:t>
      </w:r>
      <w:r w:rsidRPr="008C608F">
        <w:rPr>
          <w:b/>
        </w:rPr>
        <w:t>стандарти за устойчиви и справедливи обществени поръчки за храни</w:t>
      </w:r>
      <w:r w:rsidRPr="008C608F">
        <w:t>;</w:t>
      </w:r>
      <w:bookmarkEnd w:id="101"/>
      <w:bookmarkEnd w:id="102"/>
    </w:p>
    <w:p w:rsidRPr="008C608F" w:rsidR="00C70B4C" w:rsidP="00B07E13" w:rsidRDefault="00C70B4C" w14:paraId="6E5CD682"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3" w:id="103"/>
      <w:bookmarkStart w:name="_Toc179362886" w:id="104"/>
      <w:r w:rsidRPr="008C608F">
        <w:t xml:space="preserve">признаване на значението на </w:t>
      </w:r>
      <w:r w:rsidRPr="008C608F">
        <w:rPr>
          <w:b/>
        </w:rPr>
        <w:t>репродуктивния труд и полагането на грижи</w:t>
      </w:r>
      <w:r w:rsidRPr="008C608F">
        <w:t xml:space="preserve"> по цялата продоволствена система, както и централното място на </w:t>
      </w:r>
      <w:r w:rsidRPr="008C608F">
        <w:rPr>
          <w:b/>
        </w:rPr>
        <w:t>жените и младите хора</w:t>
      </w:r>
      <w:r w:rsidRPr="008C608F">
        <w:t xml:space="preserve"> в настоящите и бъдещите системи на хранително-вкусовата промишленост;</w:t>
      </w:r>
      <w:bookmarkEnd w:id="103"/>
      <w:bookmarkEnd w:id="104"/>
    </w:p>
    <w:p w:rsidRPr="008C608F" w:rsidR="00C70B4C" w:rsidP="00B07E13" w:rsidRDefault="00C70B4C" w14:paraId="7A9E1B3B"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4" w:id="105"/>
      <w:bookmarkStart w:name="_Toc179362887" w:id="106"/>
      <w:r w:rsidRPr="008C608F">
        <w:t xml:space="preserve">подкрепа за практиките, които насърчават </w:t>
      </w:r>
      <w:r w:rsidRPr="008C608F">
        <w:rPr>
          <w:b/>
        </w:rPr>
        <w:t>биологичното разнообразие и опазването на природните ресурси</w:t>
      </w:r>
      <w:r w:rsidRPr="008C608F">
        <w:t>;</w:t>
      </w:r>
      <w:bookmarkEnd w:id="105"/>
      <w:bookmarkEnd w:id="106"/>
    </w:p>
    <w:p w:rsidRPr="008C608F" w:rsidR="00C70B4C" w:rsidP="00B07E13" w:rsidRDefault="00C70B4C" w14:paraId="1E8796C1"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5" w:id="107"/>
      <w:bookmarkStart w:name="_Toc179362888" w:id="108"/>
      <w:r w:rsidRPr="008C608F">
        <w:t xml:space="preserve">създаване на </w:t>
      </w:r>
      <w:r w:rsidRPr="008C608F">
        <w:rPr>
          <w:b/>
        </w:rPr>
        <w:t>фонд за справедлив преход в хранително-вкусовата промишленост</w:t>
      </w:r>
      <w:r w:rsidRPr="008C608F">
        <w:t xml:space="preserve"> и на </w:t>
      </w:r>
      <w:r w:rsidRPr="008C608F">
        <w:rPr>
          <w:b/>
        </w:rPr>
        <w:t>Обсерватория за справедлив преход в областта на храните</w:t>
      </w:r>
      <w:r w:rsidRPr="008C608F">
        <w:t>;</w:t>
      </w:r>
      <w:bookmarkEnd w:id="107"/>
      <w:bookmarkEnd w:id="108"/>
    </w:p>
    <w:p w:rsidRPr="008C608F" w:rsidR="00C70B4C" w:rsidP="00B07E13" w:rsidRDefault="00C70B4C" w14:paraId="52AF2861" w14:textId="77777777">
      <w:pPr>
        <w:pStyle w:val="ListParagraph"/>
        <w:numPr>
          <w:ilvl w:val="0"/>
          <w:numId w:val="45"/>
        </w:numPr>
        <w:overflowPunct w:val="0"/>
        <w:autoSpaceDE w:val="0"/>
        <w:autoSpaceDN w:val="0"/>
        <w:adjustRightInd w:val="0"/>
        <w:ind w:left="851" w:hanging="284"/>
        <w:textAlignment w:val="baseline"/>
        <w:outlineLvl w:val="1"/>
        <w:rPr>
          <w:spacing w:val="-4"/>
          <w:szCs w:val="20"/>
        </w:rPr>
      </w:pPr>
      <w:bookmarkStart w:name="_Toc178009606" w:id="109"/>
      <w:bookmarkStart w:name="_Toc179362889" w:id="110"/>
      <w:r w:rsidRPr="008C608F">
        <w:t xml:space="preserve">интегриране на </w:t>
      </w:r>
      <w:r w:rsidRPr="008C608F">
        <w:rPr>
          <w:b/>
        </w:rPr>
        <w:t>глобална перспектива</w:t>
      </w:r>
      <w:r w:rsidRPr="008C608F">
        <w:t xml:space="preserve"> за справедливия преход на ЕС в системите на хранително-вкусовата промишленост;</w:t>
      </w:r>
      <w:bookmarkEnd w:id="109"/>
      <w:bookmarkEnd w:id="110"/>
    </w:p>
    <w:p w:rsidRPr="008C608F" w:rsidR="00C70B4C" w:rsidP="00B07E13" w:rsidRDefault="00C70B4C" w14:paraId="24ACE8E8" w14:textId="77777777">
      <w:pPr>
        <w:pStyle w:val="ListParagraph"/>
        <w:numPr>
          <w:ilvl w:val="0"/>
          <w:numId w:val="45"/>
        </w:numPr>
        <w:overflowPunct w:val="0"/>
        <w:autoSpaceDE w:val="0"/>
        <w:autoSpaceDN w:val="0"/>
        <w:adjustRightInd w:val="0"/>
        <w:ind w:left="851" w:hanging="284"/>
        <w:textAlignment w:val="baseline"/>
        <w:outlineLvl w:val="1"/>
        <w:rPr>
          <w:szCs w:val="20"/>
        </w:rPr>
      </w:pPr>
      <w:bookmarkStart w:name="_Toc178009607" w:id="111"/>
      <w:bookmarkStart w:name="_Toc179362890" w:id="112"/>
      <w:r w:rsidRPr="008C608F">
        <w:t xml:space="preserve">насърчаване на </w:t>
      </w:r>
      <w:r w:rsidRPr="008C608F">
        <w:rPr>
          <w:b/>
        </w:rPr>
        <w:t>устойчиво потребление и образователни програми</w:t>
      </w:r>
      <w:r w:rsidRPr="008C608F">
        <w:t>.</w:t>
      </w:r>
      <w:bookmarkEnd w:id="111"/>
      <w:bookmarkEnd w:id="112"/>
    </w:p>
    <w:p w:rsidRPr="008C608F" w:rsidR="00C70B4C" w:rsidP="00C70B4C" w:rsidRDefault="00C70B4C" w14:paraId="186FD3B1" w14:textId="77777777">
      <w:pPr>
        <w:overflowPunct w:val="0"/>
        <w:autoSpaceDE w:val="0"/>
        <w:autoSpaceDN w:val="0"/>
        <w:adjustRightInd w:val="0"/>
        <w:spacing w:line="240" w:lineRule="auto"/>
        <w:textAlignment w:val="baseline"/>
        <w:rPr>
          <w:sz w:val="16"/>
          <w:szCs w:val="16"/>
          <w:lang w:val="en-GB"/>
        </w:rPr>
      </w:pPr>
    </w:p>
    <w:tbl>
      <w:tblPr>
        <w:tblW w:w="0" w:type="auto"/>
        <w:tblLook w:val="04A0" w:firstRow="1" w:lastRow="0" w:firstColumn="1" w:lastColumn="0" w:noHBand="0" w:noVBand="1"/>
      </w:tblPr>
      <w:tblGrid>
        <w:gridCol w:w="2376"/>
        <w:gridCol w:w="4928"/>
      </w:tblGrid>
      <w:tr w:rsidRPr="006A1AC2" w:rsidR="00C70B4C" w:rsidTr="00C46010" w14:paraId="305CE054" w14:textId="77777777">
        <w:tc>
          <w:tcPr>
            <w:tcW w:w="2376" w:type="dxa"/>
          </w:tcPr>
          <w:p w:rsidRPr="006A1AC2" w:rsidR="00C70B4C" w:rsidP="00C70B4C" w:rsidRDefault="00C70B4C" w14:paraId="1518E4C0" w14:textId="77777777">
            <w:pPr>
              <w:overflowPunct w:val="0"/>
              <w:autoSpaceDE w:val="0"/>
              <w:autoSpaceDN w:val="0"/>
              <w:adjustRightInd w:val="0"/>
              <w:spacing w:line="240" w:lineRule="auto"/>
              <w:ind w:left="142"/>
              <w:textAlignment w:val="baseline"/>
              <w:rPr>
                <w:i/>
              </w:rPr>
            </w:pPr>
            <w:r w:rsidRPr="008C608F">
              <w:rPr>
                <w:b/>
                <w:i/>
              </w:rPr>
              <w:t>За връзка:</w:t>
            </w:r>
          </w:p>
        </w:tc>
        <w:tc>
          <w:tcPr>
            <w:tcW w:w="4928" w:type="dxa"/>
          </w:tcPr>
          <w:p w:rsidRPr="006A1AC2" w:rsidR="00C70B4C" w:rsidP="00C70B4C" w:rsidRDefault="00C70B4C" w14:paraId="770C5D1C" w14:textId="398E8671">
            <w:pPr>
              <w:overflowPunct w:val="0"/>
              <w:autoSpaceDE w:val="0"/>
              <w:autoSpaceDN w:val="0"/>
              <w:adjustRightInd w:val="0"/>
              <w:spacing w:line="240" w:lineRule="auto"/>
              <w:ind w:left="71"/>
              <w:textAlignment w:val="baseline"/>
              <w:rPr>
                <w:i/>
              </w:rPr>
            </w:pPr>
            <w:r w:rsidRPr="008C608F">
              <w:t>Myrto Kolyva</w:t>
            </w:r>
          </w:p>
        </w:tc>
      </w:tr>
      <w:tr w:rsidRPr="006A1AC2" w:rsidR="00C70B4C" w:rsidTr="00C46010" w14:paraId="5270DF35" w14:textId="77777777">
        <w:tc>
          <w:tcPr>
            <w:tcW w:w="2376" w:type="dxa"/>
          </w:tcPr>
          <w:p w:rsidRPr="006A1AC2" w:rsidR="00C70B4C" w:rsidP="00C70B4C" w:rsidRDefault="00C70B4C" w14:paraId="7616B261" w14:textId="77777777">
            <w:pPr>
              <w:overflowPunct w:val="0"/>
              <w:autoSpaceDE w:val="0"/>
              <w:autoSpaceDN w:val="0"/>
              <w:adjustRightInd w:val="0"/>
              <w:spacing w:line="240" w:lineRule="auto"/>
              <w:ind w:left="142"/>
              <w:textAlignment w:val="baseline"/>
              <w:rPr>
                <w:i/>
              </w:rPr>
            </w:pPr>
            <w:r w:rsidRPr="008C608F">
              <w:rPr>
                <w:i/>
              </w:rPr>
              <w:t>Тел</w:t>
            </w:r>
            <w:r w:rsidRPr="008C608F">
              <w:rPr>
                <w:i/>
                <w:iCs/>
              </w:rPr>
              <w:t>.</w:t>
            </w:r>
          </w:p>
        </w:tc>
        <w:tc>
          <w:tcPr>
            <w:tcW w:w="4928" w:type="dxa"/>
          </w:tcPr>
          <w:p w:rsidRPr="006A1AC2" w:rsidR="00C70B4C" w:rsidP="00C70B4C" w:rsidRDefault="00C70B4C" w14:paraId="5FC63876" w14:textId="77777777">
            <w:pPr>
              <w:overflowPunct w:val="0"/>
              <w:autoSpaceDE w:val="0"/>
              <w:autoSpaceDN w:val="0"/>
              <w:adjustRightInd w:val="0"/>
              <w:spacing w:line="240" w:lineRule="auto"/>
              <w:ind w:left="71"/>
              <w:textAlignment w:val="baseline"/>
              <w:rPr>
                <w:i/>
                <w:iCs/>
              </w:rPr>
            </w:pPr>
            <w:r w:rsidRPr="008C608F">
              <w:rPr>
                <w:i/>
              </w:rPr>
              <w:t>+32 25468718</w:t>
            </w:r>
          </w:p>
        </w:tc>
      </w:tr>
      <w:tr w:rsidRPr="008C608F" w:rsidR="00C70B4C" w:rsidTr="00C46010" w14:paraId="1127C315" w14:textId="77777777">
        <w:tc>
          <w:tcPr>
            <w:tcW w:w="2376" w:type="dxa"/>
          </w:tcPr>
          <w:p w:rsidRPr="006A1AC2" w:rsidR="00C70B4C" w:rsidP="00C70B4C" w:rsidRDefault="00DE2877" w14:paraId="4F2FD403" w14:textId="4B88B608">
            <w:pPr>
              <w:overflowPunct w:val="0"/>
              <w:autoSpaceDE w:val="0"/>
              <w:autoSpaceDN w:val="0"/>
              <w:adjustRightInd w:val="0"/>
              <w:spacing w:line="240" w:lineRule="auto"/>
              <w:ind w:left="142"/>
              <w:textAlignment w:val="baseline"/>
              <w:rPr>
                <w:i/>
              </w:rPr>
            </w:pPr>
            <w:r w:rsidRPr="008C608F">
              <w:rPr>
                <w:i/>
              </w:rPr>
              <w:t>Електронен адрес:</w:t>
            </w:r>
          </w:p>
        </w:tc>
        <w:tc>
          <w:tcPr>
            <w:tcW w:w="4928" w:type="dxa"/>
          </w:tcPr>
          <w:p w:rsidRPr="008C608F" w:rsidR="00C70B4C" w:rsidP="00C70B4C" w:rsidRDefault="00257091" w14:paraId="78E5562C" w14:textId="77777777">
            <w:pPr>
              <w:overflowPunct w:val="0"/>
              <w:autoSpaceDE w:val="0"/>
              <w:autoSpaceDN w:val="0"/>
              <w:adjustRightInd w:val="0"/>
              <w:spacing w:line="240" w:lineRule="auto"/>
              <w:ind w:left="71"/>
              <w:textAlignment w:val="baseline"/>
              <w:rPr>
                <w:i/>
                <w:iCs/>
                <w:color w:val="0000FF"/>
                <w:u w:val="single"/>
              </w:rPr>
            </w:pPr>
            <w:hyperlink w:history="1" r:id="rId59">
              <w:r w:rsidRPr="008C608F" w:rsidR="006A1AC2">
                <w:rPr>
                  <w:i/>
                  <w:color w:val="0000FF"/>
                  <w:u w:val="single"/>
                </w:rPr>
                <w:t>Myrto.Kolyva@eesc.europa.eu</w:t>
              </w:r>
            </w:hyperlink>
          </w:p>
        </w:tc>
      </w:tr>
    </w:tbl>
    <w:p w:rsidRPr="008C608F" w:rsidR="00C70B4C" w:rsidRDefault="00C70B4C" w14:paraId="2B905F39" w14:textId="77777777">
      <w:pPr>
        <w:spacing w:after="160" w:line="259" w:lineRule="auto"/>
        <w:jc w:val="left"/>
      </w:pPr>
      <w:r w:rsidRPr="008C608F">
        <w:br w:type="page"/>
      </w:r>
    </w:p>
    <w:p w:rsidRPr="008C608F" w:rsidR="007F5784" w:rsidP="00B07E13" w:rsidRDefault="007F5784" w14:paraId="14026A78" w14:textId="4FAE1588">
      <w:pPr>
        <w:pStyle w:val="Heading1"/>
        <w:keepNext/>
        <w:keepLines/>
        <w:rPr>
          <w:b/>
        </w:rPr>
      </w:pPr>
      <w:bookmarkStart w:name="_Toc179362891" w:id="113"/>
      <w:r w:rsidRPr="008C608F">
        <w:rPr>
          <w:b/>
        </w:rPr>
        <w:lastRenderedPageBreak/>
        <w:t>ВЪНШНИ ОТНОШЕНИЯ</w:t>
      </w:r>
      <w:bookmarkEnd w:id="113"/>
    </w:p>
    <w:p w:rsidRPr="008C608F" w:rsidR="007F5784" w:rsidP="004F44E4" w:rsidRDefault="007F5784" w14:paraId="3BBB3E68" w14:textId="77777777"/>
    <w:p w:rsidRPr="008C608F" w:rsidR="00495789" w:rsidP="00495789" w:rsidRDefault="00257091" w14:paraId="55BEF0BC" w14:textId="56BC2E0B">
      <w:pPr>
        <w:widowControl w:val="0"/>
        <w:numPr>
          <w:ilvl w:val="0"/>
          <w:numId w:val="4"/>
        </w:numPr>
        <w:overflowPunct w:val="0"/>
        <w:autoSpaceDE w:val="0"/>
        <w:autoSpaceDN w:val="0"/>
        <w:adjustRightInd w:val="0"/>
        <w:ind w:hanging="567"/>
        <w:textAlignment w:val="baseline"/>
        <w:rPr>
          <w:b/>
          <w:bCs/>
          <w:i/>
          <w:iCs/>
          <w:sz w:val="28"/>
          <w:szCs w:val="28"/>
        </w:rPr>
      </w:pPr>
      <w:hyperlink w:history="1" r:id="rId60">
        <w:r w:rsidRPr="008C608F" w:rsidR="006A1AC2">
          <w:rPr>
            <w:b/>
            <w:i/>
            <w:color w:val="0000FF"/>
            <w:sz w:val="28"/>
            <w:u w:val="single"/>
          </w:rPr>
          <w:t>Проправяне на пътя за присъединяването на Западните Балкани към ЕС</w:t>
        </w:r>
      </w:hyperlink>
    </w:p>
    <w:p w:rsidRPr="008C608F" w:rsidR="00495789" w:rsidP="00495789" w:rsidRDefault="00495789" w14:paraId="19263DEE"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2376"/>
        <w:gridCol w:w="6804"/>
      </w:tblGrid>
      <w:tr w:rsidRPr="00495789" w:rsidR="00495789" w:rsidTr="001037CE" w14:paraId="48113772" w14:textId="77777777">
        <w:tc>
          <w:tcPr>
            <w:tcW w:w="2376" w:type="dxa"/>
          </w:tcPr>
          <w:p w:rsidRPr="00495789" w:rsidR="00495789" w:rsidP="00495789" w:rsidRDefault="00495789" w14:paraId="6B22A0EF"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6804" w:type="dxa"/>
          </w:tcPr>
          <w:p w:rsidRPr="00495789" w:rsidR="00495789" w:rsidP="00495789" w:rsidRDefault="00495789" w14:paraId="2A84E9FC" w14:textId="0C3F2D5F">
            <w:pPr>
              <w:tabs>
                <w:tab w:val="center" w:pos="284"/>
              </w:tabs>
              <w:overflowPunct w:val="0"/>
              <w:autoSpaceDE w:val="0"/>
              <w:autoSpaceDN w:val="0"/>
              <w:adjustRightInd w:val="0"/>
              <w:ind w:left="266" w:hanging="266"/>
              <w:textAlignment w:val="baseline"/>
            </w:pPr>
            <w:r w:rsidRPr="008C608F">
              <w:t>Andrej ZORKO (група „Работници“ — SI)</w:t>
            </w:r>
          </w:p>
        </w:tc>
      </w:tr>
      <w:tr w:rsidRPr="00495789" w:rsidR="00495789" w:rsidTr="001037CE" w14:paraId="347421EE" w14:textId="77777777">
        <w:tc>
          <w:tcPr>
            <w:tcW w:w="2376" w:type="dxa"/>
          </w:tcPr>
          <w:p w:rsidRPr="00C46010" w:rsidR="00495789" w:rsidP="00495789" w:rsidRDefault="00495789" w14:paraId="5788F484" w14:textId="5CC0CE99">
            <w:pPr>
              <w:tabs>
                <w:tab w:val="center" w:pos="284"/>
              </w:tabs>
              <w:overflowPunct w:val="0"/>
              <w:autoSpaceDE w:val="0"/>
              <w:autoSpaceDN w:val="0"/>
              <w:adjustRightInd w:val="0"/>
              <w:ind w:left="266" w:hanging="266"/>
              <w:textAlignment w:val="baseline"/>
              <w:rPr>
                <w:b/>
                <w:lang w:val="en-GB"/>
              </w:rPr>
            </w:pPr>
            <w:r w:rsidRPr="008C608F">
              <w:rPr>
                <w:b/>
              </w:rPr>
              <w:t>Съдокладчик</w:t>
            </w:r>
            <w:r w:rsidRPr="008C608F" w:rsidR="00C46010">
              <w:rPr>
                <w:b/>
                <w:lang w:val="en-GB"/>
              </w:rPr>
              <w:t>:</w:t>
            </w:r>
          </w:p>
        </w:tc>
        <w:tc>
          <w:tcPr>
            <w:tcW w:w="6804" w:type="dxa"/>
          </w:tcPr>
          <w:p w:rsidRPr="00495789" w:rsidR="00495789" w:rsidP="00C46010" w:rsidRDefault="00495789" w14:paraId="3C195F91" w14:textId="43D42626">
            <w:pPr>
              <w:overflowPunct w:val="0"/>
              <w:autoSpaceDE w:val="0"/>
              <w:autoSpaceDN w:val="0"/>
              <w:adjustRightInd w:val="0"/>
              <w:ind w:left="39"/>
              <w:textAlignment w:val="baseline"/>
            </w:pPr>
            <w:r w:rsidRPr="008C608F">
              <w:t>Ionuţ SIBIAN (Група „Организации на гражданското общество“</w:t>
            </w:r>
            <w:r w:rsidRPr="008C608F" w:rsidR="00C46010">
              <w:rPr>
                <w:lang w:val="en-GB"/>
              </w:rPr>
              <w:t> </w:t>
            </w:r>
            <w:r w:rsidRPr="008C608F" w:rsidR="001037CE">
              <w:noBreakHyphen/>
            </w:r>
            <w:r w:rsidRPr="008C608F" w:rsidR="001037CE">
              <w:rPr>
                <w:lang w:val="en-GB"/>
              </w:rPr>
              <w:t> </w:t>
            </w:r>
            <w:r w:rsidRPr="008C608F">
              <w:t>RO)</w:t>
            </w:r>
          </w:p>
        </w:tc>
      </w:tr>
      <w:tr w:rsidRPr="008C608F" w:rsidR="00495789" w:rsidTr="001037CE" w14:paraId="7D58FE59" w14:textId="77777777">
        <w:tc>
          <w:tcPr>
            <w:tcW w:w="2376" w:type="dxa"/>
          </w:tcPr>
          <w:p w:rsidRPr="00495789" w:rsidR="00495789" w:rsidP="00495789" w:rsidRDefault="00495789" w14:paraId="6B0C5D5C"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6804" w:type="dxa"/>
          </w:tcPr>
          <w:p w:rsidRPr="008C608F" w:rsidR="00F35182" w:rsidP="00C46010" w:rsidRDefault="00F35182" w14:paraId="764CD1A0" w14:textId="10A8E6E2">
            <w:pPr>
              <w:overflowPunct w:val="0"/>
              <w:autoSpaceDE w:val="0"/>
              <w:autoSpaceDN w:val="0"/>
              <w:adjustRightInd w:val="0"/>
              <w:ind w:left="39"/>
              <w:textAlignment w:val="baseline"/>
            </w:pPr>
            <w:r w:rsidRPr="008C608F">
              <w:t>Проучвателно становище по искане на унгарското председателство на Съвета на ЕС</w:t>
            </w:r>
          </w:p>
          <w:p w:rsidRPr="008C608F" w:rsidR="00495789" w:rsidP="00495789" w:rsidRDefault="00495789" w14:paraId="54668DC1" w14:textId="0AA1A53D">
            <w:pPr>
              <w:tabs>
                <w:tab w:val="center" w:pos="284"/>
              </w:tabs>
              <w:overflowPunct w:val="0"/>
              <w:autoSpaceDE w:val="0"/>
              <w:autoSpaceDN w:val="0"/>
              <w:adjustRightInd w:val="0"/>
              <w:ind w:left="266" w:hanging="266"/>
              <w:textAlignment w:val="baseline"/>
            </w:pPr>
            <w:r w:rsidRPr="008C608F">
              <w:t>EESC-2024-02217-00-00-AC</w:t>
            </w:r>
          </w:p>
        </w:tc>
      </w:tr>
    </w:tbl>
    <w:p w:rsidRPr="008C608F" w:rsidR="004175C7" w:rsidP="00495789" w:rsidRDefault="004175C7" w14:paraId="7F2EDD6F"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495789" w:rsidP="00495789" w:rsidRDefault="00495789" w14:paraId="2496B8E2" w14:textId="49CA1241">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495789" w:rsidP="00495789" w:rsidRDefault="00495789" w14:paraId="453F75CA"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495789" w:rsidP="00495789" w:rsidRDefault="00495789" w14:paraId="2E96AF5C" w14:textId="77777777">
      <w:pPr>
        <w:overflowPunct w:val="0"/>
        <w:autoSpaceDE w:val="0"/>
        <w:autoSpaceDN w:val="0"/>
        <w:adjustRightInd w:val="0"/>
        <w:textAlignment w:val="baseline"/>
        <w:rPr>
          <w:bCs/>
          <w:iCs/>
        </w:rPr>
      </w:pPr>
      <w:r w:rsidRPr="008C608F">
        <w:t>ЕИСК:</w:t>
      </w:r>
    </w:p>
    <w:p w:rsidRPr="008C608F" w:rsidR="00495789" w:rsidP="00B07E13" w:rsidRDefault="00495789" w14:paraId="4978FC8B" w14:textId="77777777">
      <w:pPr>
        <w:widowControl w:val="0"/>
        <w:numPr>
          <w:ilvl w:val="0"/>
          <w:numId w:val="46"/>
        </w:numPr>
        <w:overflowPunct w:val="0"/>
        <w:autoSpaceDE w:val="0"/>
        <w:autoSpaceDN w:val="0"/>
        <w:adjustRightInd w:val="0"/>
        <w:ind w:left="567" w:hanging="567"/>
        <w:textAlignment w:val="baseline"/>
        <w:rPr>
          <w:bCs/>
          <w:iCs/>
        </w:rPr>
      </w:pPr>
      <w:r w:rsidRPr="008C608F">
        <w:t>отново заявява, че улесняването на интегрирането на Западните Балкани в Европейския съюз е стратегически приоритет за ЕС. Това налага надежден и основан на заслугите процес на присъединяване, който би укрепил ЕС както в политически, така и в социално-икономически план;</w:t>
      </w:r>
    </w:p>
    <w:p w:rsidRPr="008C608F" w:rsidR="00495789" w:rsidP="00B07E13" w:rsidRDefault="00495789" w14:paraId="417D2DAC" w14:textId="77777777">
      <w:pPr>
        <w:widowControl w:val="0"/>
        <w:numPr>
          <w:ilvl w:val="0"/>
          <w:numId w:val="46"/>
        </w:numPr>
        <w:overflowPunct w:val="0"/>
        <w:autoSpaceDE w:val="0"/>
        <w:autoSpaceDN w:val="0"/>
        <w:adjustRightInd w:val="0"/>
        <w:ind w:left="567" w:hanging="567"/>
        <w:textAlignment w:val="baseline"/>
        <w:rPr>
          <w:bCs/>
          <w:iCs/>
        </w:rPr>
      </w:pPr>
      <w:r w:rsidRPr="008C608F">
        <w:t>е твърдо убеден, че постепенният, предвидим и основан на заслугите подход за извличане на все по-големи ползи в процеса на присъединяване към ЕС е най-добрият начин да се върви към разширяване на ЕС;</w:t>
      </w:r>
    </w:p>
    <w:p w:rsidRPr="008C608F" w:rsidR="00495789" w:rsidP="00B07E13" w:rsidRDefault="00495789" w14:paraId="7A4DFCC4" w14:textId="77777777">
      <w:pPr>
        <w:widowControl w:val="0"/>
        <w:numPr>
          <w:ilvl w:val="0"/>
          <w:numId w:val="46"/>
        </w:numPr>
        <w:overflowPunct w:val="0"/>
        <w:autoSpaceDE w:val="0"/>
        <w:autoSpaceDN w:val="0"/>
        <w:adjustRightInd w:val="0"/>
        <w:ind w:left="567" w:hanging="567"/>
        <w:textAlignment w:val="baseline"/>
        <w:rPr>
          <w:bCs/>
          <w:iCs/>
        </w:rPr>
      </w:pPr>
      <w:r w:rsidRPr="008C608F">
        <w:t>в качеството си на първия орган на ЕС, привлякъл за участие представители от страните кандидатки в ежедневната си работа, призовава останалите органи и институции на ЕС да се възползват в най-голяма степен от новата методология за присъединяване и да включат представители на страните кандидатки и потенциални кандидатки в своята работа;</w:t>
      </w:r>
    </w:p>
    <w:p w:rsidRPr="008C608F" w:rsidR="00495789" w:rsidP="00B07E13" w:rsidRDefault="00495789" w14:paraId="1CE6F0E1" w14:textId="77777777">
      <w:pPr>
        <w:widowControl w:val="0"/>
        <w:numPr>
          <w:ilvl w:val="0"/>
          <w:numId w:val="46"/>
        </w:numPr>
        <w:overflowPunct w:val="0"/>
        <w:autoSpaceDE w:val="0"/>
        <w:autoSpaceDN w:val="0"/>
        <w:adjustRightInd w:val="0"/>
        <w:ind w:left="567" w:hanging="567"/>
        <w:textAlignment w:val="baseline"/>
        <w:rPr>
          <w:szCs w:val="20"/>
        </w:rPr>
      </w:pPr>
      <w:r w:rsidRPr="008C608F">
        <w:t>приветства приемането на инструмента за реформи и растеж за Западните Балкани и призовава по време на изпълнението му своевременно да се търси и надлежно да се отчита приносът на социалните партньори и организациите на гражданското общество; препоръчва на Комисията да издаде ясни и прозрачни насоки относно начина на прилагане на предложения пакет от мерки за обвързване с условия и подкрепя оценяването както на предимствата, така и на недостатъците на ранната пазарна интеграция, без да се забравят изискванията относно социалните и трудовите стандарти в съответствие с европейския социален модел;</w:t>
      </w:r>
    </w:p>
    <w:p w:rsidRPr="008C608F" w:rsidR="00495789" w:rsidP="00B07E13" w:rsidRDefault="00495789" w14:paraId="62B39D03" w14:textId="77777777">
      <w:pPr>
        <w:widowControl w:val="0"/>
        <w:numPr>
          <w:ilvl w:val="0"/>
          <w:numId w:val="46"/>
        </w:numPr>
        <w:overflowPunct w:val="0"/>
        <w:autoSpaceDE w:val="0"/>
        <w:autoSpaceDN w:val="0"/>
        <w:adjustRightInd w:val="0"/>
        <w:ind w:left="567" w:hanging="567"/>
        <w:textAlignment w:val="baseline"/>
        <w:rPr>
          <w:bCs/>
          <w:iCs/>
        </w:rPr>
      </w:pPr>
      <w:r w:rsidRPr="008C608F">
        <w:t>подчертава необходимостта да се обърне внимание на социалното измерение на екологичния преход към приобщаващи и справедливи икономика и общество и призовава за засилване на програмите на ЕС и регионалните структури, с цел да се обхванат повече млади хора в региона на Западните Балкани;</w:t>
      </w:r>
    </w:p>
    <w:p w:rsidRPr="008C608F" w:rsidR="00495789" w:rsidP="00B07E13" w:rsidRDefault="00495789" w14:paraId="1F9B5B8D" w14:textId="77777777">
      <w:pPr>
        <w:widowControl w:val="0"/>
        <w:numPr>
          <w:ilvl w:val="0"/>
          <w:numId w:val="46"/>
        </w:numPr>
        <w:overflowPunct w:val="0"/>
        <w:autoSpaceDE w:val="0"/>
        <w:autoSpaceDN w:val="0"/>
        <w:adjustRightInd w:val="0"/>
        <w:ind w:left="567" w:hanging="567"/>
        <w:textAlignment w:val="baseline"/>
        <w:rPr>
          <w:bCs/>
          <w:iCs/>
          <w:szCs w:val="20"/>
        </w:rPr>
      </w:pPr>
      <w:r w:rsidRPr="008C608F">
        <w:t xml:space="preserve">подчертава значението на систематичното, съдържателно и навременно включване на социалните партньори и организациите на гражданското общество в преговорите за присъединяване към ЕС и в този контекст отбелязва важната роля на съвместните консултативни комитети на гражданското общество (СКК); настоятелно призовава Комисията да разгледа явните опити за потискане на гражданското пространство и да отрази тези въпроси по-отчетливо в стратегията за разширяване и в докладите по </w:t>
      </w:r>
      <w:r w:rsidRPr="008C608F">
        <w:lastRenderedPageBreak/>
        <w:t>държави;</w:t>
      </w:r>
    </w:p>
    <w:p w:rsidRPr="008C608F" w:rsidR="00495789" w:rsidP="00B07E13" w:rsidRDefault="00495789" w14:paraId="41DD5875" w14:textId="77777777">
      <w:pPr>
        <w:widowControl w:val="0"/>
        <w:numPr>
          <w:ilvl w:val="0"/>
          <w:numId w:val="47"/>
        </w:numPr>
        <w:overflowPunct w:val="0"/>
        <w:autoSpaceDE w:val="0"/>
        <w:autoSpaceDN w:val="0"/>
        <w:adjustRightInd w:val="0"/>
        <w:ind w:left="567" w:hanging="567"/>
        <w:textAlignment w:val="baseline"/>
        <w:rPr>
          <w:bCs/>
          <w:iCs/>
        </w:rPr>
      </w:pPr>
      <w:r w:rsidRPr="008C608F">
        <w:t>признава, че за да бъде успешно разширяването, успоредно с подготовката на страните кандидатки за присъединяване, ЕС трябва да се реформира и да бъде готов да включи повече членове. Институциите на ЕС трябва да предоставят надеждна информация за очакваното въздействие на разширяването върху гражданите както в ЕС, така и в страните кандидатки.</w:t>
      </w:r>
    </w:p>
    <w:p w:rsidRPr="008C608F" w:rsidR="00495789" w:rsidP="00495789" w:rsidRDefault="00495789" w14:paraId="639750AD" w14:textId="77777777">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2093"/>
        <w:gridCol w:w="4995"/>
      </w:tblGrid>
      <w:tr w:rsidRPr="00495789" w:rsidR="00495789" w:rsidTr="00C46010" w14:paraId="73CA5529" w14:textId="77777777">
        <w:tc>
          <w:tcPr>
            <w:tcW w:w="2093" w:type="dxa"/>
          </w:tcPr>
          <w:p w:rsidRPr="00495789" w:rsidR="00495789" w:rsidP="00495789" w:rsidRDefault="00495789" w14:paraId="3EFEE453" w14:textId="77777777">
            <w:pPr>
              <w:overflowPunct w:val="0"/>
              <w:autoSpaceDE w:val="0"/>
              <w:autoSpaceDN w:val="0"/>
              <w:adjustRightInd w:val="0"/>
              <w:spacing w:line="240" w:lineRule="auto"/>
              <w:textAlignment w:val="baseline"/>
              <w:rPr>
                <w:i/>
              </w:rPr>
            </w:pPr>
            <w:r w:rsidRPr="008C608F">
              <w:rPr>
                <w:b/>
                <w:i/>
              </w:rPr>
              <w:t>За връзка:</w:t>
            </w:r>
          </w:p>
        </w:tc>
        <w:tc>
          <w:tcPr>
            <w:tcW w:w="4995" w:type="dxa"/>
          </w:tcPr>
          <w:p w:rsidRPr="00495789" w:rsidR="00495789" w:rsidP="00495789" w:rsidRDefault="00495789" w14:paraId="538A1812" w14:textId="77777777">
            <w:pPr>
              <w:overflowPunct w:val="0"/>
              <w:autoSpaceDE w:val="0"/>
              <w:autoSpaceDN w:val="0"/>
              <w:adjustRightInd w:val="0"/>
              <w:spacing w:line="240" w:lineRule="auto"/>
              <w:textAlignment w:val="baseline"/>
              <w:rPr>
                <w:i/>
              </w:rPr>
            </w:pPr>
            <w:r w:rsidRPr="008C608F">
              <w:rPr>
                <w:i/>
              </w:rPr>
              <w:t>David Hoić</w:t>
            </w:r>
          </w:p>
        </w:tc>
      </w:tr>
      <w:tr w:rsidRPr="00495789" w:rsidR="00495789" w:rsidTr="00C46010" w14:paraId="694B46A7" w14:textId="77777777">
        <w:tc>
          <w:tcPr>
            <w:tcW w:w="2093" w:type="dxa"/>
          </w:tcPr>
          <w:p w:rsidRPr="00495789" w:rsidR="00495789" w:rsidP="00495789" w:rsidRDefault="00495789" w14:paraId="3431F1F1"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4995" w:type="dxa"/>
          </w:tcPr>
          <w:p w:rsidRPr="00495789" w:rsidR="00495789" w:rsidP="00495789" w:rsidRDefault="00495789" w14:paraId="7B1B81B0" w14:textId="57594BB6">
            <w:pPr>
              <w:overflowPunct w:val="0"/>
              <w:autoSpaceDE w:val="0"/>
              <w:autoSpaceDN w:val="0"/>
              <w:adjustRightInd w:val="0"/>
              <w:spacing w:line="240" w:lineRule="auto"/>
              <w:textAlignment w:val="baseline"/>
              <w:rPr>
                <w:i/>
              </w:rPr>
            </w:pPr>
            <w:r w:rsidRPr="008C608F">
              <w:rPr>
                <w:i/>
              </w:rPr>
              <w:t>+32 25469069</w:t>
            </w:r>
          </w:p>
        </w:tc>
      </w:tr>
      <w:tr w:rsidRPr="008C608F" w:rsidR="00495789" w:rsidTr="00C46010" w14:paraId="407E2AD6" w14:textId="77777777">
        <w:tc>
          <w:tcPr>
            <w:tcW w:w="2093" w:type="dxa"/>
          </w:tcPr>
          <w:p w:rsidRPr="00495789" w:rsidR="00495789" w:rsidP="00495789" w:rsidRDefault="00D14F30" w14:paraId="07E26F7B" w14:textId="17BA6BB2">
            <w:pPr>
              <w:overflowPunct w:val="0"/>
              <w:autoSpaceDE w:val="0"/>
              <w:autoSpaceDN w:val="0"/>
              <w:adjustRightInd w:val="0"/>
              <w:spacing w:line="240" w:lineRule="auto"/>
              <w:textAlignment w:val="baseline"/>
              <w:rPr>
                <w:i/>
              </w:rPr>
            </w:pPr>
            <w:r w:rsidRPr="008C608F">
              <w:rPr>
                <w:i/>
              </w:rPr>
              <w:t>Електронен адрес:</w:t>
            </w:r>
          </w:p>
        </w:tc>
        <w:tc>
          <w:tcPr>
            <w:tcW w:w="4995" w:type="dxa"/>
          </w:tcPr>
          <w:p w:rsidRPr="008C608F" w:rsidR="00495789" w:rsidP="00495789" w:rsidRDefault="00257091" w14:paraId="14DB69FF" w14:textId="77777777">
            <w:pPr>
              <w:overflowPunct w:val="0"/>
              <w:autoSpaceDE w:val="0"/>
              <w:autoSpaceDN w:val="0"/>
              <w:adjustRightInd w:val="0"/>
              <w:spacing w:line="240" w:lineRule="auto"/>
              <w:textAlignment w:val="baseline"/>
              <w:rPr>
                <w:i/>
              </w:rPr>
            </w:pPr>
            <w:hyperlink w:history="1" r:id="rId61">
              <w:r w:rsidRPr="008C608F" w:rsidR="006A1AC2">
                <w:rPr>
                  <w:i/>
                  <w:color w:val="0000FF"/>
                  <w:u w:val="single"/>
                </w:rPr>
                <w:t>David.Hoic@eesc.europa.eu</w:t>
              </w:r>
            </w:hyperlink>
          </w:p>
        </w:tc>
      </w:tr>
    </w:tbl>
    <w:p w:rsidR="008C608F" w:rsidRDefault="008C608F" w14:paraId="17F0D8B6" w14:textId="6A5B2AFD">
      <w:pPr>
        <w:spacing w:after="160" w:line="259" w:lineRule="auto"/>
        <w:jc w:val="left"/>
        <w:rPr>
          <w:sz w:val="16"/>
          <w:szCs w:val="16"/>
        </w:rPr>
      </w:pPr>
    </w:p>
    <w:p w:rsidR="008C608F" w:rsidRDefault="008C608F" w14:paraId="468D1017" w14:textId="77777777">
      <w:pPr>
        <w:spacing w:after="160" w:line="259" w:lineRule="auto"/>
        <w:jc w:val="left"/>
        <w:rPr>
          <w:sz w:val="16"/>
          <w:szCs w:val="16"/>
        </w:rPr>
      </w:pPr>
      <w:r>
        <w:rPr>
          <w:sz w:val="16"/>
          <w:szCs w:val="16"/>
        </w:rPr>
        <w:br w:type="page"/>
      </w:r>
    </w:p>
    <w:p w:rsidRPr="008C608F" w:rsidR="00983331" w:rsidP="00983331" w:rsidRDefault="00257091" w14:paraId="3B38EDAC" w14:textId="6BD14DA6">
      <w:pPr>
        <w:widowControl w:val="0"/>
        <w:numPr>
          <w:ilvl w:val="0"/>
          <w:numId w:val="4"/>
        </w:numPr>
        <w:overflowPunct w:val="0"/>
        <w:autoSpaceDE w:val="0"/>
        <w:autoSpaceDN w:val="0"/>
        <w:adjustRightInd w:val="0"/>
        <w:ind w:hanging="567"/>
        <w:textAlignment w:val="baseline"/>
        <w:rPr>
          <w:b/>
          <w:bCs/>
          <w:i/>
          <w:iCs/>
          <w:sz w:val="28"/>
          <w:szCs w:val="28"/>
        </w:rPr>
      </w:pPr>
      <w:hyperlink w:history="1" r:id="rId62">
        <w:r w:rsidRPr="008C608F" w:rsidR="006A1AC2">
          <w:rPr>
            <w:b/>
            <w:i/>
            <w:color w:val="0000FF"/>
            <w:sz w:val="28"/>
            <w:u w:val="single"/>
          </w:rPr>
          <w:t>Обезлесяване на Амазонската екваториална гора — въздействие върху изменението на климата и околната среда в световен мащаб; последици за предприятията, работниците и населението</w:t>
        </w:r>
      </w:hyperlink>
    </w:p>
    <w:p w:rsidRPr="008C608F" w:rsidR="00983331" w:rsidP="00983331" w:rsidRDefault="00983331" w14:paraId="1202C16B"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377"/>
        <w:gridCol w:w="6800"/>
      </w:tblGrid>
      <w:tr w:rsidRPr="00983331" w:rsidR="00983331" w:rsidTr="00C46010" w14:paraId="1E88B4BE" w14:textId="77777777">
        <w:tc>
          <w:tcPr>
            <w:tcW w:w="1295" w:type="pct"/>
          </w:tcPr>
          <w:p w:rsidRPr="00983331" w:rsidR="00983331" w:rsidP="00983331" w:rsidRDefault="00983331" w14:paraId="0EC2E8DC" w14:textId="77777777">
            <w:pPr>
              <w:tabs>
                <w:tab w:val="center" w:pos="284"/>
              </w:tabs>
              <w:overflowPunct w:val="0"/>
              <w:autoSpaceDE w:val="0"/>
              <w:autoSpaceDN w:val="0"/>
              <w:adjustRightInd w:val="0"/>
              <w:ind w:left="266" w:hanging="266"/>
              <w:textAlignment w:val="baseline"/>
              <w:rPr>
                <w:b/>
              </w:rPr>
            </w:pPr>
            <w:r w:rsidRPr="008C608F">
              <w:rPr>
                <w:b/>
              </w:rPr>
              <w:t>Докладчици:</w:t>
            </w:r>
          </w:p>
        </w:tc>
        <w:tc>
          <w:tcPr>
            <w:tcW w:w="3705" w:type="pct"/>
          </w:tcPr>
          <w:p w:rsidRPr="008C608F" w:rsidR="00983331" w:rsidP="00983331" w:rsidRDefault="00983331" w14:paraId="666C023B" w14:textId="77777777">
            <w:pPr>
              <w:tabs>
                <w:tab w:val="center" w:pos="284"/>
              </w:tabs>
              <w:overflowPunct w:val="0"/>
              <w:autoSpaceDE w:val="0"/>
              <w:autoSpaceDN w:val="0"/>
              <w:adjustRightInd w:val="0"/>
              <w:ind w:left="266" w:hanging="266"/>
              <w:textAlignment w:val="baseline"/>
            </w:pPr>
            <w:r w:rsidRPr="008C608F">
              <w:t>John COMER (група „Организации на гражданското общество“ — IE)</w:t>
            </w:r>
          </w:p>
          <w:p w:rsidRPr="008C608F" w:rsidR="00983331" w:rsidP="00983331" w:rsidRDefault="00983331" w14:paraId="589E881E" w14:textId="77777777">
            <w:pPr>
              <w:tabs>
                <w:tab w:val="center" w:pos="284"/>
              </w:tabs>
              <w:overflowPunct w:val="0"/>
              <w:autoSpaceDE w:val="0"/>
              <w:autoSpaceDN w:val="0"/>
              <w:adjustRightInd w:val="0"/>
              <w:ind w:left="266" w:hanging="266"/>
              <w:textAlignment w:val="baseline"/>
            </w:pPr>
            <w:r w:rsidRPr="008C608F">
              <w:t>Josep PUXEU ROCAMORA (група „Работодатели“ — ES)</w:t>
            </w:r>
          </w:p>
          <w:p w:rsidRPr="00983331" w:rsidR="00983331" w:rsidP="00983331" w:rsidRDefault="00983331" w14:paraId="54D8DC4F" w14:textId="77777777">
            <w:pPr>
              <w:tabs>
                <w:tab w:val="center" w:pos="284"/>
              </w:tabs>
              <w:overflowPunct w:val="0"/>
              <w:autoSpaceDE w:val="0"/>
              <w:autoSpaceDN w:val="0"/>
              <w:adjustRightInd w:val="0"/>
              <w:ind w:left="266" w:hanging="266"/>
              <w:textAlignment w:val="baseline"/>
            </w:pPr>
            <w:r w:rsidRPr="008C608F">
              <w:t>Carlos SILVA (група „Работници“ — PT)</w:t>
            </w:r>
          </w:p>
        </w:tc>
      </w:tr>
      <w:tr w:rsidRPr="008C608F" w:rsidR="00983331" w:rsidTr="00C46010" w14:paraId="3D3AE39D" w14:textId="77777777">
        <w:tc>
          <w:tcPr>
            <w:tcW w:w="1295" w:type="pct"/>
          </w:tcPr>
          <w:p w:rsidRPr="00983331" w:rsidR="00983331" w:rsidP="00983331" w:rsidRDefault="00983331" w14:paraId="502B4BCA"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705" w:type="pct"/>
          </w:tcPr>
          <w:p w:rsidRPr="008C608F" w:rsidR="00983331" w:rsidP="00983331" w:rsidRDefault="00983331" w14:paraId="28075D8D" w14:textId="579CC0DB">
            <w:pPr>
              <w:tabs>
                <w:tab w:val="center" w:pos="284"/>
              </w:tabs>
              <w:overflowPunct w:val="0"/>
              <w:autoSpaceDE w:val="0"/>
              <w:autoSpaceDN w:val="0"/>
              <w:adjustRightInd w:val="0"/>
              <w:ind w:left="266" w:hanging="266"/>
              <w:jc w:val="left"/>
              <w:textAlignment w:val="baseline"/>
            </w:pPr>
            <w:r w:rsidRPr="008C608F">
              <w:t>Становище по собствена инициатива</w:t>
            </w:r>
          </w:p>
          <w:p w:rsidRPr="008C608F" w:rsidR="00983331" w:rsidP="00983331" w:rsidRDefault="00983331" w14:paraId="3D9CA38B" w14:textId="77777777">
            <w:pPr>
              <w:tabs>
                <w:tab w:val="center" w:pos="284"/>
              </w:tabs>
              <w:overflowPunct w:val="0"/>
              <w:autoSpaceDE w:val="0"/>
              <w:autoSpaceDN w:val="0"/>
              <w:adjustRightInd w:val="0"/>
              <w:ind w:left="266" w:hanging="266"/>
              <w:jc w:val="left"/>
              <w:textAlignment w:val="baseline"/>
            </w:pPr>
            <w:r w:rsidRPr="008C608F">
              <w:t>EESC-2024-01183-00-00-AC</w:t>
            </w:r>
          </w:p>
        </w:tc>
      </w:tr>
    </w:tbl>
    <w:p w:rsidRPr="008C608F" w:rsidR="00983331" w:rsidP="00983331" w:rsidRDefault="00983331" w14:paraId="173AC8E4" w14:textId="77777777">
      <w:pPr>
        <w:tabs>
          <w:tab w:val="center" w:pos="284"/>
        </w:tabs>
        <w:overflowPunct w:val="0"/>
        <w:autoSpaceDE w:val="0"/>
        <w:autoSpaceDN w:val="0"/>
        <w:adjustRightInd w:val="0"/>
        <w:ind w:left="266" w:hanging="266"/>
        <w:textAlignment w:val="baseline"/>
        <w:rPr>
          <w:lang w:val="en-GB"/>
        </w:rPr>
      </w:pPr>
    </w:p>
    <w:p w:rsidRPr="008C608F" w:rsidR="00983331" w:rsidP="00983331" w:rsidRDefault="00983331" w14:paraId="453997E9"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983331" w:rsidP="00983331" w:rsidRDefault="00983331" w14:paraId="4D85B19E"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983331" w:rsidP="00983331" w:rsidRDefault="00983331" w14:paraId="1CFBCA6D" w14:textId="2C1A005E">
      <w:pPr>
        <w:overflowPunct w:val="0"/>
        <w:autoSpaceDE w:val="0"/>
        <w:autoSpaceDN w:val="0"/>
        <w:adjustRightInd w:val="0"/>
        <w:textAlignment w:val="baseline"/>
        <w:rPr>
          <w:bCs/>
          <w:iCs/>
        </w:rPr>
      </w:pPr>
      <w:r w:rsidRPr="008C608F">
        <w:t>ЕИСК:</w:t>
      </w:r>
    </w:p>
    <w:p w:rsidRPr="008C608F" w:rsidR="00983331" w:rsidP="00B07E13" w:rsidRDefault="00983331" w14:paraId="02916AC7" w14:textId="77777777">
      <w:pPr>
        <w:widowControl w:val="0"/>
        <w:numPr>
          <w:ilvl w:val="0"/>
          <w:numId w:val="48"/>
        </w:numPr>
        <w:overflowPunct w:val="0"/>
        <w:autoSpaceDE w:val="0"/>
        <w:autoSpaceDN w:val="0"/>
        <w:adjustRightInd w:val="0"/>
        <w:ind w:left="567" w:hanging="567"/>
        <w:textAlignment w:val="baseline"/>
        <w:outlineLvl w:val="1"/>
      </w:pPr>
      <w:bookmarkStart w:name="_Toc178009609" w:id="114"/>
      <w:bookmarkStart w:name="_Toc179362892" w:id="115"/>
      <w:r w:rsidRPr="008C608F">
        <w:t>изразява загриженост относно връзката между обезлесяването на тропическите гори на Амазония и глобалното изменение на климата;</w:t>
      </w:r>
      <w:bookmarkEnd w:id="114"/>
      <w:bookmarkEnd w:id="115"/>
    </w:p>
    <w:p w:rsidRPr="008C608F" w:rsidR="00983331" w:rsidP="00B07E13" w:rsidRDefault="00983331" w14:paraId="1FBA0A18"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0" w:id="116"/>
      <w:bookmarkStart w:name="_Toc179362893" w:id="117"/>
      <w:r w:rsidRPr="008C608F">
        <w:t>Подчертава необходимостта да се разработят ефективни политики за смекчаване на изменението на климата, като същевременно се зачитат изискванията за справедлив преход и човешките, социалните и екологичните права на местните общности. Подкрепата за уязвимите общности трябва да бъде основна част от решенията за опазване на Амазонската екваториална гора, като същевременно се насърчават устойчивото развитие и търговията;</w:t>
      </w:r>
      <w:bookmarkEnd w:id="116"/>
      <w:bookmarkEnd w:id="117"/>
    </w:p>
    <w:p w:rsidRPr="008C608F" w:rsidR="00983331" w:rsidP="00B07E13" w:rsidRDefault="00983331" w14:paraId="3F21FE3B"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1" w:id="118"/>
      <w:bookmarkStart w:name="_Toc179362894" w:id="119"/>
      <w:r w:rsidRPr="008C608F">
        <w:t>счита, че мерките за справяне с обезлесяването трябва да обхващат всички основни стоки, представляващи риск за горите, и трябва да включват действия по отношение на предлагането и на търсенето, като се управляват както търговията, така и производството. Тези мерки ще трябва да се прилагат чрез съгласувани системи за мониторинг, проследимост и прозрачност;</w:t>
      </w:r>
      <w:bookmarkEnd w:id="118"/>
      <w:bookmarkEnd w:id="119"/>
    </w:p>
    <w:p w:rsidRPr="008C608F" w:rsidR="00983331" w:rsidP="00B07E13" w:rsidRDefault="00983331" w14:paraId="1623012B"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2" w:id="120"/>
      <w:bookmarkStart w:name="_Toc179362895" w:id="121"/>
      <w:r w:rsidRPr="008C608F">
        <w:t>Подчертава, че по-ефективното сътрудничество с държавите от Латинска Америка е геополитически, екологичен и геоикономически императив за Европейския съюз. Необходимо е да се работи с всички държави, които споделят биома на Амазония, особено Бразилия;</w:t>
      </w:r>
      <w:bookmarkEnd w:id="120"/>
      <w:bookmarkEnd w:id="121"/>
      <w:r w:rsidRPr="008C608F">
        <w:t xml:space="preserve"> </w:t>
      </w:r>
    </w:p>
    <w:p w:rsidRPr="008C608F" w:rsidR="00983331" w:rsidP="00B07E13" w:rsidRDefault="00983331" w14:paraId="57F07908"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3" w:id="122"/>
      <w:bookmarkStart w:name="_Toc179362896" w:id="123"/>
      <w:r w:rsidRPr="008C608F">
        <w:t>изразява увереност, че подписването на балансирано споразумение между Меркосур и ЕС ще създаде стабилна рамка за насърчаване на търговията, като същевременно се гарантират екологичните и трудовите аспекти, включително борбата с обезлесяването. Търговията не би трябвало да се извършва за сметка на околната среда или условията на труд. Споразумението трябва да насърчава устойчивото развитие и да стимулира задълбочената интеграция между двете страни, да изгражда модерни и усъвършенствани регионални вериги за създаване на стойност, да намали търговските разходи и да намали несигурността;</w:t>
      </w:r>
      <w:bookmarkEnd w:id="122"/>
      <w:bookmarkEnd w:id="123"/>
    </w:p>
    <w:p w:rsidRPr="008C608F" w:rsidR="00983331" w:rsidP="00B07E13" w:rsidRDefault="00983331" w14:paraId="3F5FFA67"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4" w:id="124"/>
      <w:bookmarkStart w:name="_Toc179362897" w:id="125"/>
      <w:r w:rsidRPr="008C608F">
        <w:t>е готов да улеснява партньорството като развива съдържателен диалог с партньорите в държавите от Латинска Америка и изгражда доверие по отношение на разбирането, че преходът към устойчиво земеползване може да бъде стъпка към по-голям просперитет;</w:t>
      </w:r>
      <w:bookmarkEnd w:id="124"/>
      <w:bookmarkEnd w:id="125"/>
    </w:p>
    <w:p w:rsidRPr="008C608F" w:rsidR="00983331" w:rsidP="00B07E13" w:rsidRDefault="00983331" w14:paraId="60161ABB"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5" w:id="126"/>
      <w:bookmarkStart w:name="_Toc179362898" w:id="127"/>
      <w:r w:rsidRPr="008C608F">
        <w:t xml:space="preserve">признава ролята на южноамериканските държави в борбата с обезлесяването, и по-специално усилията, положени досега от правителството на Бразилия, което постави </w:t>
      </w:r>
      <w:r w:rsidRPr="008C608F">
        <w:lastRenderedPageBreak/>
        <w:t>въпроса за околната среда в центъра на политическата си програма;</w:t>
      </w:r>
      <w:bookmarkEnd w:id="126"/>
      <w:bookmarkEnd w:id="127"/>
    </w:p>
    <w:p w:rsidRPr="008C608F" w:rsidR="00983331" w:rsidP="00B07E13" w:rsidRDefault="00983331" w14:paraId="4B0C658E" w14:textId="77777777">
      <w:pPr>
        <w:widowControl w:val="0"/>
        <w:numPr>
          <w:ilvl w:val="0"/>
          <w:numId w:val="48"/>
        </w:numPr>
        <w:overflowPunct w:val="0"/>
        <w:autoSpaceDE w:val="0"/>
        <w:autoSpaceDN w:val="0"/>
        <w:adjustRightInd w:val="0"/>
        <w:ind w:left="567" w:hanging="567"/>
        <w:textAlignment w:val="baseline"/>
        <w:outlineLvl w:val="1"/>
        <w:rPr>
          <w:szCs w:val="20"/>
        </w:rPr>
      </w:pPr>
      <w:bookmarkStart w:name="_Toc178009616" w:id="128"/>
      <w:bookmarkStart w:name="_Toc179362899" w:id="129"/>
      <w:r w:rsidRPr="008C608F">
        <w:t>настоява, че би трябвало да се предприемат мерки при пълно зачитане на суверенитета на латиноамериканските партньори, прозрачността и с грижа за тяхното компенсиране, тъй като опазването на тропическите гори е отговорност на всички държави, предвид общите ползи от наличието на постоянни гори;</w:t>
      </w:r>
      <w:bookmarkEnd w:id="128"/>
      <w:bookmarkEnd w:id="129"/>
    </w:p>
    <w:p w:rsidRPr="008C608F" w:rsidR="00983331" w:rsidP="00B07E13" w:rsidRDefault="00983331" w14:paraId="35A0C876" w14:textId="77777777">
      <w:pPr>
        <w:widowControl w:val="0"/>
        <w:numPr>
          <w:ilvl w:val="0"/>
          <w:numId w:val="48"/>
        </w:numPr>
        <w:overflowPunct w:val="0"/>
        <w:autoSpaceDE w:val="0"/>
        <w:autoSpaceDN w:val="0"/>
        <w:adjustRightInd w:val="0"/>
        <w:ind w:left="567" w:hanging="567"/>
        <w:textAlignment w:val="baseline"/>
        <w:outlineLvl w:val="1"/>
      </w:pPr>
      <w:bookmarkStart w:name="_Toc178009617" w:id="130"/>
      <w:bookmarkStart w:name="_Toc179362900" w:id="131"/>
      <w:r w:rsidRPr="008C608F">
        <w:t>счита, че най-голямото предизвикателство пред дипломацията на ЕС по въпросите на климата е да се работи заедно с държавите партньори за повишаване на техните амбиции в областта на климата, като същевременно се подкрепят най-уязвимите. Изменението на климата трябва да се разглежда както като екологичен, така и като социален проблем, който се нуждае от решения за преодоляване на множество предизвикателства, в това число борбата с бедността и неравенството, продоволствената несигурност, несигурния достъп до вода, загубата на биологично разнообразие и здравните кризи;</w:t>
      </w:r>
      <w:bookmarkEnd w:id="130"/>
      <w:bookmarkEnd w:id="131"/>
    </w:p>
    <w:p w:rsidRPr="008C608F" w:rsidR="00983331" w:rsidP="00B07E13" w:rsidRDefault="00983331" w14:paraId="74372278" w14:textId="77777777">
      <w:pPr>
        <w:widowControl w:val="0"/>
        <w:numPr>
          <w:ilvl w:val="0"/>
          <w:numId w:val="48"/>
        </w:numPr>
        <w:overflowPunct w:val="0"/>
        <w:autoSpaceDE w:val="0"/>
        <w:autoSpaceDN w:val="0"/>
        <w:adjustRightInd w:val="0"/>
        <w:ind w:left="567" w:hanging="567"/>
        <w:textAlignment w:val="baseline"/>
        <w:outlineLvl w:val="1"/>
        <w:rPr>
          <w:b/>
          <w:bCs/>
          <w:szCs w:val="20"/>
        </w:rPr>
      </w:pPr>
      <w:bookmarkStart w:name="_Toc179362901" w:id="132"/>
      <w:r w:rsidRPr="008C608F">
        <w:t>признава, че не всички държави разполагат с финансовия и технологичния капацитет или с ресурси, за да поемат по пътя на климатичния преход. ЕС трябва да оглави мобилизирането на публични и частни финансови източници, за да подпомага на партньорите при управлението на въздействието на Европейския зелен пакт, включително по отношение на неговите икономически, екологични и социални аспекти.</w:t>
      </w:r>
      <w:bookmarkEnd w:id="132"/>
    </w:p>
    <w:p w:rsidRPr="008C608F" w:rsidR="00983331" w:rsidP="006122B1" w:rsidRDefault="00983331" w14:paraId="02323A00" w14:textId="77777777">
      <w:pPr>
        <w:widowControl w:val="0"/>
        <w:overflowPunct w:val="0"/>
        <w:autoSpaceDE w:val="0"/>
        <w:autoSpaceDN w:val="0"/>
        <w:adjustRightInd w:val="0"/>
        <w:ind w:left="284" w:hanging="284"/>
        <w:textAlignment w:val="baseline"/>
        <w:rPr>
          <w:bCs/>
          <w:iCs/>
          <w:sz w:val="16"/>
          <w:szCs w:val="16"/>
          <w:lang w:val="en-GB"/>
        </w:rPr>
      </w:pPr>
    </w:p>
    <w:tbl>
      <w:tblPr>
        <w:tblW w:w="3516" w:type="pct"/>
        <w:tblLook w:val="04A0" w:firstRow="1" w:lastRow="0" w:firstColumn="1" w:lastColumn="0" w:noHBand="0" w:noVBand="1"/>
      </w:tblPr>
      <w:tblGrid>
        <w:gridCol w:w="2032"/>
        <w:gridCol w:w="4499"/>
      </w:tblGrid>
      <w:tr w:rsidRPr="00983331" w:rsidR="00983331" w:rsidTr="0015437C" w14:paraId="33BC245D" w14:textId="77777777">
        <w:tc>
          <w:tcPr>
            <w:tcW w:w="1556" w:type="pct"/>
          </w:tcPr>
          <w:p w:rsidRPr="00983331" w:rsidR="00983331" w:rsidP="00983331" w:rsidRDefault="00983331" w14:paraId="5BE7D4C2" w14:textId="77777777">
            <w:pPr>
              <w:overflowPunct w:val="0"/>
              <w:autoSpaceDE w:val="0"/>
              <w:autoSpaceDN w:val="0"/>
              <w:adjustRightInd w:val="0"/>
              <w:spacing w:line="240" w:lineRule="auto"/>
              <w:textAlignment w:val="baseline"/>
              <w:rPr>
                <w:i/>
              </w:rPr>
            </w:pPr>
            <w:r w:rsidRPr="008C608F">
              <w:rPr>
                <w:b/>
                <w:i/>
              </w:rPr>
              <w:t>За връзка:</w:t>
            </w:r>
          </w:p>
        </w:tc>
        <w:tc>
          <w:tcPr>
            <w:tcW w:w="3444" w:type="pct"/>
          </w:tcPr>
          <w:p w:rsidRPr="00983331" w:rsidR="00983331" w:rsidP="00983331" w:rsidRDefault="00983331" w14:paraId="67DA109C" w14:textId="77777777">
            <w:pPr>
              <w:overflowPunct w:val="0"/>
              <w:autoSpaceDE w:val="0"/>
              <w:autoSpaceDN w:val="0"/>
              <w:adjustRightInd w:val="0"/>
              <w:spacing w:line="240" w:lineRule="auto"/>
              <w:textAlignment w:val="baseline"/>
              <w:rPr>
                <w:i/>
              </w:rPr>
            </w:pPr>
            <w:r w:rsidRPr="008C608F">
              <w:rPr>
                <w:i/>
              </w:rPr>
              <w:t>Ewa Tomaszewska</w:t>
            </w:r>
          </w:p>
        </w:tc>
      </w:tr>
      <w:tr w:rsidRPr="00983331" w:rsidR="00983331" w:rsidTr="0015437C" w14:paraId="00E0DE1E" w14:textId="77777777">
        <w:tc>
          <w:tcPr>
            <w:tcW w:w="1556" w:type="pct"/>
          </w:tcPr>
          <w:p w:rsidRPr="00983331" w:rsidR="00983331" w:rsidP="00983331" w:rsidRDefault="00983331" w14:paraId="53CBC8A5"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444" w:type="pct"/>
          </w:tcPr>
          <w:p w:rsidRPr="00983331" w:rsidR="00983331" w:rsidP="00983331" w:rsidRDefault="00983331" w14:paraId="4BDD3902" w14:textId="77777777">
            <w:pPr>
              <w:overflowPunct w:val="0"/>
              <w:autoSpaceDE w:val="0"/>
              <w:autoSpaceDN w:val="0"/>
              <w:adjustRightInd w:val="0"/>
              <w:spacing w:line="240" w:lineRule="auto"/>
              <w:textAlignment w:val="baseline"/>
              <w:rPr>
                <w:i/>
              </w:rPr>
            </w:pPr>
            <w:r w:rsidRPr="008C608F">
              <w:rPr>
                <w:i/>
              </w:rPr>
              <w:t>+32 25469724</w:t>
            </w:r>
          </w:p>
        </w:tc>
      </w:tr>
      <w:tr w:rsidRPr="008C608F" w:rsidR="00983331" w:rsidTr="0015437C" w14:paraId="3AC07FCA" w14:textId="77777777">
        <w:tc>
          <w:tcPr>
            <w:tcW w:w="1556" w:type="pct"/>
          </w:tcPr>
          <w:p w:rsidRPr="00983331" w:rsidR="00983331" w:rsidP="00983331" w:rsidRDefault="00983331" w14:paraId="4DB5D6F3" w14:textId="77777777">
            <w:pPr>
              <w:overflowPunct w:val="0"/>
              <w:autoSpaceDE w:val="0"/>
              <w:autoSpaceDN w:val="0"/>
              <w:adjustRightInd w:val="0"/>
              <w:spacing w:line="240" w:lineRule="auto"/>
              <w:textAlignment w:val="baseline"/>
              <w:rPr>
                <w:i/>
              </w:rPr>
            </w:pPr>
            <w:r w:rsidRPr="008C608F">
              <w:rPr>
                <w:i/>
              </w:rPr>
              <w:t>Електронен адрес:</w:t>
            </w:r>
          </w:p>
        </w:tc>
        <w:tc>
          <w:tcPr>
            <w:tcW w:w="3444" w:type="pct"/>
          </w:tcPr>
          <w:p w:rsidRPr="008C608F" w:rsidR="00983331" w:rsidP="00983331" w:rsidRDefault="00257091" w14:paraId="54040F01" w14:textId="77777777">
            <w:pPr>
              <w:overflowPunct w:val="0"/>
              <w:autoSpaceDE w:val="0"/>
              <w:autoSpaceDN w:val="0"/>
              <w:adjustRightInd w:val="0"/>
              <w:spacing w:line="240" w:lineRule="auto"/>
              <w:textAlignment w:val="baseline"/>
              <w:rPr>
                <w:i/>
                <w:iCs/>
              </w:rPr>
            </w:pPr>
            <w:hyperlink w:history="1" r:id="rId63">
              <w:r w:rsidRPr="008C608F" w:rsidR="006A1AC2">
                <w:rPr>
                  <w:i/>
                  <w:color w:val="0000FF"/>
                  <w:u w:val="single"/>
                </w:rPr>
                <w:t>Ewa.Tomaszewska@eesc.europa.eu</w:t>
              </w:r>
            </w:hyperlink>
          </w:p>
        </w:tc>
      </w:tr>
    </w:tbl>
    <w:p w:rsidRPr="008C608F" w:rsidR="00983331" w:rsidP="007F5784" w:rsidRDefault="00983331" w14:paraId="59F802DF" w14:textId="7FA8EAA3">
      <w:pPr>
        <w:spacing w:after="160" w:line="259" w:lineRule="auto"/>
        <w:jc w:val="left"/>
      </w:pPr>
    </w:p>
    <w:p w:rsidRPr="008C608F" w:rsidR="00BA5B45" w:rsidRDefault="00BA5B45" w14:paraId="4464305F" w14:textId="56F70F15">
      <w:pPr>
        <w:spacing w:after="160" w:line="259" w:lineRule="auto"/>
        <w:jc w:val="left"/>
      </w:pPr>
      <w:r w:rsidRPr="008C608F">
        <w:br w:type="page"/>
      </w:r>
    </w:p>
    <w:p w:rsidRPr="008C608F" w:rsidR="006D2C8A" w:rsidP="00B07E13" w:rsidRDefault="006D2C8A" w14:paraId="528C73AA" w14:textId="46DE726B">
      <w:pPr>
        <w:pStyle w:val="Heading1"/>
        <w:keepNext/>
        <w:keepLines/>
        <w:rPr>
          <w:b/>
        </w:rPr>
      </w:pPr>
      <w:bookmarkStart w:name="_Toc179362902" w:id="133"/>
      <w:r w:rsidRPr="008C608F">
        <w:rPr>
          <w:b/>
          <w:color w:val="222A35" w:themeColor="text2" w:themeShade="80"/>
        </w:rPr>
        <w:lastRenderedPageBreak/>
        <w:t>КОНСУЛТАТИВНА КОМИСИЯ ПО ИНДУСТРИАЛНИ ПРОМЕНИ</w:t>
      </w:r>
      <w:bookmarkEnd w:id="133"/>
    </w:p>
    <w:p w:rsidRPr="008C608F" w:rsidR="006D2C8A" w:rsidP="004F44E4" w:rsidRDefault="006D2C8A" w14:paraId="713E272F" w14:textId="77777777"/>
    <w:p w:rsidRPr="008C608F" w:rsidR="004F208D" w:rsidP="004F208D" w:rsidRDefault="00257091" w14:paraId="50F948DF" w14:textId="339F6C99">
      <w:pPr>
        <w:widowControl w:val="0"/>
        <w:numPr>
          <w:ilvl w:val="0"/>
          <w:numId w:val="4"/>
        </w:numPr>
        <w:overflowPunct w:val="0"/>
        <w:autoSpaceDE w:val="0"/>
        <w:autoSpaceDN w:val="0"/>
        <w:adjustRightInd w:val="0"/>
        <w:ind w:hanging="567"/>
        <w:textAlignment w:val="baseline"/>
        <w:rPr>
          <w:sz w:val="20"/>
          <w:szCs w:val="20"/>
        </w:rPr>
      </w:pPr>
      <w:hyperlink w:history="1" r:id="rId64">
        <w:r w:rsidRPr="008C608F" w:rsidR="006A1AC2">
          <w:rPr>
            <w:b/>
            <w:i/>
            <w:color w:val="0000FF"/>
            <w:sz w:val="28"/>
            <w:u w:val="single"/>
          </w:rPr>
          <w:t>Секторни инициативи и обща конкурентоспособност на ЕС</w:t>
        </w:r>
      </w:hyperlink>
    </w:p>
    <w:p w:rsidRPr="008C608F" w:rsidR="004F208D" w:rsidP="004F208D" w:rsidRDefault="004F208D" w14:paraId="066D8548" w14:textId="77777777">
      <w:pPr>
        <w:tabs>
          <w:tab w:val="center" w:pos="284"/>
        </w:tabs>
        <w:overflowPunct w:val="0"/>
        <w:autoSpaceDE w:val="0"/>
        <w:autoSpaceDN w:val="0"/>
        <w:adjustRightInd w:val="0"/>
        <w:ind w:left="266" w:hanging="266"/>
        <w:textAlignment w:val="baseline"/>
        <w:rPr>
          <w:b/>
          <w:lang w:val="en-GB"/>
        </w:rPr>
      </w:pPr>
    </w:p>
    <w:tbl>
      <w:tblPr>
        <w:tblW w:w="4922" w:type="pct"/>
        <w:tblLook w:val="04A0" w:firstRow="1" w:lastRow="0" w:firstColumn="1" w:lastColumn="0" w:noHBand="0" w:noVBand="1"/>
      </w:tblPr>
      <w:tblGrid>
        <w:gridCol w:w="2375"/>
        <w:gridCol w:w="6767"/>
      </w:tblGrid>
      <w:tr w:rsidRPr="004F208D" w:rsidR="004F208D" w:rsidTr="00C46010" w14:paraId="1636CDF6" w14:textId="77777777">
        <w:tc>
          <w:tcPr>
            <w:tcW w:w="1299" w:type="pct"/>
          </w:tcPr>
          <w:p w:rsidRPr="004F208D" w:rsidR="004F208D" w:rsidP="004F208D" w:rsidRDefault="004F208D" w14:paraId="329ECEB5" w14:textId="77777777">
            <w:pPr>
              <w:tabs>
                <w:tab w:val="center" w:pos="284"/>
              </w:tabs>
              <w:overflowPunct w:val="0"/>
              <w:autoSpaceDE w:val="0"/>
              <w:autoSpaceDN w:val="0"/>
              <w:adjustRightInd w:val="0"/>
              <w:ind w:left="266" w:hanging="266"/>
              <w:textAlignment w:val="baseline"/>
              <w:rPr>
                <w:b/>
              </w:rPr>
            </w:pPr>
            <w:r w:rsidRPr="008C608F">
              <w:rPr>
                <w:b/>
              </w:rPr>
              <w:t>Докладчик:</w:t>
            </w:r>
          </w:p>
        </w:tc>
        <w:tc>
          <w:tcPr>
            <w:tcW w:w="3701" w:type="pct"/>
          </w:tcPr>
          <w:p w:rsidRPr="00B07E13" w:rsidR="004F208D" w:rsidP="004F208D" w:rsidRDefault="004F208D" w14:paraId="116CCE66" w14:textId="0615F7A9">
            <w:pPr>
              <w:tabs>
                <w:tab w:val="center" w:pos="284"/>
              </w:tabs>
              <w:overflowPunct w:val="0"/>
              <w:autoSpaceDE w:val="0"/>
              <w:autoSpaceDN w:val="0"/>
              <w:adjustRightInd w:val="0"/>
              <w:ind w:left="266" w:hanging="266"/>
              <w:textAlignment w:val="baseline"/>
            </w:pPr>
            <w:r w:rsidRPr="008C608F">
              <w:t>András EDELÉNYI (група „Работодатели“ — HU)</w:t>
            </w:r>
          </w:p>
        </w:tc>
      </w:tr>
      <w:tr w:rsidRPr="004F208D" w:rsidR="004F208D" w:rsidTr="00C46010" w14:paraId="36A27BE3" w14:textId="77777777">
        <w:tc>
          <w:tcPr>
            <w:tcW w:w="1299" w:type="pct"/>
          </w:tcPr>
          <w:p w:rsidRPr="00C46010" w:rsidR="004F208D" w:rsidP="004F208D" w:rsidRDefault="004F208D" w14:paraId="4F8824F7" w14:textId="760E526B">
            <w:pPr>
              <w:tabs>
                <w:tab w:val="center" w:pos="284"/>
              </w:tabs>
              <w:overflowPunct w:val="0"/>
              <w:autoSpaceDE w:val="0"/>
              <w:autoSpaceDN w:val="0"/>
              <w:adjustRightInd w:val="0"/>
              <w:ind w:left="266" w:hanging="266"/>
              <w:textAlignment w:val="baseline"/>
              <w:rPr>
                <w:b/>
                <w:lang w:val="en-GB"/>
              </w:rPr>
            </w:pPr>
            <w:r w:rsidRPr="008C608F">
              <w:rPr>
                <w:b/>
              </w:rPr>
              <w:t>Съдокладчик</w:t>
            </w:r>
            <w:r w:rsidRPr="008C608F" w:rsidR="00C46010">
              <w:rPr>
                <w:b/>
                <w:lang w:val="en-GB"/>
              </w:rPr>
              <w:t>:</w:t>
            </w:r>
          </w:p>
        </w:tc>
        <w:tc>
          <w:tcPr>
            <w:tcW w:w="3701" w:type="pct"/>
          </w:tcPr>
          <w:p w:rsidRPr="00B07E13" w:rsidR="004F208D" w:rsidP="004F208D" w:rsidRDefault="004F208D" w14:paraId="34FF0653" w14:textId="13CACC37">
            <w:pPr>
              <w:tabs>
                <w:tab w:val="center" w:pos="284"/>
              </w:tabs>
              <w:overflowPunct w:val="0"/>
              <w:autoSpaceDE w:val="0"/>
              <w:autoSpaceDN w:val="0"/>
              <w:adjustRightInd w:val="0"/>
              <w:ind w:left="266" w:hanging="266"/>
              <w:textAlignment w:val="baseline"/>
            </w:pPr>
            <w:r w:rsidRPr="008C608F">
              <w:t>Guido NELISSEN (Кат. 2 — BE)</w:t>
            </w:r>
          </w:p>
        </w:tc>
      </w:tr>
      <w:tr w:rsidRPr="004F208D" w:rsidR="004F208D" w:rsidTr="00B07E13" w14:paraId="10CACB9F" w14:textId="77777777">
        <w:tc>
          <w:tcPr>
            <w:tcW w:w="5000" w:type="pct"/>
            <w:gridSpan w:val="2"/>
          </w:tcPr>
          <w:p w:rsidRPr="004F208D" w:rsidR="004F208D" w:rsidP="004F208D" w:rsidRDefault="004F208D" w14:paraId="12779639" w14:textId="77777777">
            <w:pPr>
              <w:tabs>
                <w:tab w:val="center" w:pos="284"/>
              </w:tabs>
              <w:overflowPunct w:val="0"/>
              <w:autoSpaceDE w:val="0"/>
              <w:autoSpaceDN w:val="0"/>
              <w:adjustRightInd w:val="0"/>
              <w:spacing w:line="160" w:lineRule="exact"/>
              <w:ind w:left="266" w:hanging="266"/>
              <w:textAlignment w:val="baseline"/>
            </w:pPr>
          </w:p>
        </w:tc>
      </w:tr>
      <w:tr w:rsidRPr="008C608F" w:rsidR="004F208D" w:rsidTr="00C46010" w14:paraId="034D2A4B" w14:textId="77777777">
        <w:tc>
          <w:tcPr>
            <w:tcW w:w="1299" w:type="pct"/>
          </w:tcPr>
          <w:p w:rsidRPr="004F208D" w:rsidR="004F208D" w:rsidP="004F208D" w:rsidRDefault="004F208D" w14:paraId="4EF24E1B" w14:textId="77777777">
            <w:pPr>
              <w:tabs>
                <w:tab w:val="center" w:pos="284"/>
              </w:tabs>
              <w:overflowPunct w:val="0"/>
              <w:autoSpaceDE w:val="0"/>
              <w:autoSpaceDN w:val="0"/>
              <w:adjustRightInd w:val="0"/>
              <w:ind w:left="266" w:hanging="266"/>
              <w:textAlignment w:val="baseline"/>
              <w:rPr>
                <w:b/>
              </w:rPr>
            </w:pPr>
            <w:r w:rsidRPr="008C608F">
              <w:rPr>
                <w:b/>
              </w:rPr>
              <w:t>Отправeн документ</w:t>
            </w:r>
          </w:p>
        </w:tc>
        <w:tc>
          <w:tcPr>
            <w:tcW w:w="3701" w:type="pct"/>
          </w:tcPr>
          <w:p w:rsidRPr="008C608F" w:rsidR="00511DE3" w:rsidP="00C46010" w:rsidRDefault="00511DE3" w14:paraId="773DC45A" w14:textId="2F06C4EA">
            <w:pPr>
              <w:overflowPunct w:val="0"/>
              <w:autoSpaceDE w:val="0"/>
              <w:autoSpaceDN w:val="0"/>
              <w:adjustRightInd w:val="0"/>
              <w:ind w:left="31"/>
              <w:textAlignment w:val="baseline"/>
            </w:pPr>
            <w:r w:rsidRPr="008C608F">
              <w:t>Проучвателно становище по искане на унгарското председателство на Съвета на ЕС</w:t>
            </w:r>
          </w:p>
          <w:p w:rsidRPr="008C608F" w:rsidR="004F208D" w:rsidP="00511DE3" w:rsidRDefault="004F208D" w14:paraId="40AB3641" w14:textId="44B5384D">
            <w:pPr>
              <w:tabs>
                <w:tab w:val="center" w:pos="284"/>
              </w:tabs>
              <w:overflowPunct w:val="0"/>
              <w:autoSpaceDE w:val="0"/>
              <w:autoSpaceDN w:val="0"/>
              <w:adjustRightInd w:val="0"/>
              <w:ind w:left="266" w:right="-391" w:hanging="266"/>
              <w:textAlignment w:val="baseline"/>
            </w:pPr>
            <w:r w:rsidRPr="008C608F">
              <w:t>EESC-2024-01815-00-00-AC</w:t>
            </w:r>
          </w:p>
        </w:tc>
      </w:tr>
    </w:tbl>
    <w:p w:rsidRPr="008C608F" w:rsidR="004F208D" w:rsidP="004F208D" w:rsidRDefault="004F208D" w14:paraId="5333BCB7" w14:textId="77777777">
      <w:pPr>
        <w:tabs>
          <w:tab w:val="center" w:pos="284"/>
        </w:tabs>
        <w:overflowPunct w:val="0"/>
        <w:autoSpaceDE w:val="0"/>
        <w:autoSpaceDN w:val="0"/>
        <w:adjustRightInd w:val="0"/>
        <w:ind w:left="266" w:hanging="266"/>
        <w:textAlignment w:val="baseline"/>
        <w:rPr>
          <w:lang w:val="en-GB"/>
        </w:rPr>
      </w:pPr>
    </w:p>
    <w:p w:rsidRPr="008C608F" w:rsidR="004F208D" w:rsidP="004F208D" w:rsidRDefault="004F208D" w14:paraId="02DBACC6" w14:textId="77777777">
      <w:pPr>
        <w:keepNext/>
        <w:keepLines/>
        <w:tabs>
          <w:tab w:val="center" w:pos="284"/>
        </w:tabs>
        <w:overflowPunct w:val="0"/>
        <w:autoSpaceDE w:val="0"/>
        <w:autoSpaceDN w:val="0"/>
        <w:adjustRightInd w:val="0"/>
        <w:ind w:left="266" w:hanging="266"/>
        <w:textAlignment w:val="baseline"/>
        <w:rPr>
          <w:b/>
        </w:rPr>
      </w:pPr>
      <w:r w:rsidRPr="008C608F">
        <w:rPr>
          <w:b/>
        </w:rPr>
        <w:t>Основни аспекти</w:t>
      </w:r>
    </w:p>
    <w:p w:rsidRPr="008C608F" w:rsidR="004F208D" w:rsidP="004F208D" w:rsidRDefault="004F208D" w14:paraId="407FD7CF" w14:textId="77777777">
      <w:pPr>
        <w:keepNext/>
        <w:keepLines/>
        <w:tabs>
          <w:tab w:val="center" w:pos="284"/>
        </w:tabs>
        <w:overflowPunct w:val="0"/>
        <w:autoSpaceDE w:val="0"/>
        <w:autoSpaceDN w:val="0"/>
        <w:adjustRightInd w:val="0"/>
        <w:ind w:left="266" w:hanging="266"/>
        <w:textAlignment w:val="baseline"/>
        <w:rPr>
          <w:b/>
          <w:lang w:val="en-GB"/>
        </w:rPr>
      </w:pPr>
    </w:p>
    <w:p w:rsidRPr="008C608F" w:rsidR="004F208D" w:rsidP="004F208D" w:rsidRDefault="004F208D" w14:paraId="0386FCAB" w14:textId="356FBD81">
      <w:pPr>
        <w:overflowPunct w:val="0"/>
        <w:autoSpaceDE w:val="0"/>
        <w:autoSpaceDN w:val="0"/>
        <w:adjustRightInd w:val="0"/>
        <w:textAlignment w:val="baseline"/>
        <w:rPr>
          <w:bCs/>
          <w:iCs/>
        </w:rPr>
      </w:pPr>
      <w:r w:rsidRPr="008C608F">
        <w:t>ЕИСК:</w:t>
      </w:r>
    </w:p>
    <w:p w:rsidRPr="008C608F" w:rsidR="004F208D" w:rsidP="00B07E13" w:rsidRDefault="004F208D" w14:paraId="6C97D5C7"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отбелязва, че </w:t>
      </w:r>
      <w:r w:rsidRPr="008C608F">
        <w:rPr>
          <w:b/>
        </w:rPr>
        <w:t>обхватът на конкурентоспособността</w:t>
      </w:r>
      <w:r w:rsidRPr="008C608F">
        <w:t xml:space="preserve"> се промени бързо, като производителността и ефективността бяха допълнени от устойчивостта, интелигентността и издръжливостта. Необходима е силна промишлена база, за да се намерят решения за бъдещето;</w:t>
      </w:r>
    </w:p>
    <w:p w:rsidRPr="008C608F" w:rsidR="004F208D" w:rsidP="00B07E13" w:rsidRDefault="004F208D" w14:paraId="17F13333"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наблюдава, че </w:t>
      </w:r>
      <w:r w:rsidRPr="008C608F">
        <w:rPr>
          <w:b/>
        </w:rPr>
        <w:t>секторните/вертикалните политики</w:t>
      </w:r>
      <w:r w:rsidRPr="008C608F">
        <w:t xml:space="preserve"> стават все по-важни, като предоставят насоки и подкрепа на ключови екосистеми, чрез законодателни, финансови и институционални инструменти;</w:t>
      </w:r>
    </w:p>
    <w:p w:rsidRPr="008C608F" w:rsidR="004F208D" w:rsidP="00B07E13" w:rsidRDefault="004F208D" w14:paraId="1B45E167"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подчертава, че </w:t>
      </w:r>
      <w:r w:rsidRPr="008C608F">
        <w:rPr>
          <w:b/>
        </w:rPr>
        <w:t>конкурентоспособността на ЕС е подложена на натиск</w:t>
      </w:r>
      <w:r w:rsidRPr="008C608F">
        <w:t xml:space="preserve">, особено в енергоемките отрасли и информационните технологии, както и поради меркантилните политики на трети държави; </w:t>
      </w:r>
    </w:p>
    <w:p w:rsidRPr="008C608F" w:rsidR="004F208D" w:rsidP="00B07E13" w:rsidRDefault="004F208D" w14:paraId="62E4F6E5"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е убеден, че </w:t>
      </w:r>
      <w:r w:rsidRPr="008C608F">
        <w:rPr>
          <w:b/>
        </w:rPr>
        <w:t xml:space="preserve">промишлената политика на Европа трябва да продължи да укрепва движещите сили на конкурентоспособността: </w:t>
      </w:r>
      <w:r w:rsidRPr="008C608F">
        <w:t xml:space="preserve">насърчаване на инвестициите, осигуряване на достъп до сигурна и финансово достъпна нисковъглеродна енергия, оползотворяване на потенциала на цифровата трансформация, овластяване на човешкия капитал, насърчаване на иновациите и научноизследователската и развойната дейност, по-добро регулиране и консолидиране на единния пазар, осигуряване на справедлив достъп до ключови ресурси чрез защитени вериги на доставки. Това трябва да се направи с оглед </w:t>
      </w:r>
      <w:r w:rsidRPr="008C608F">
        <w:rPr>
          <w:b/>
        </w:rPr>
        <w:t>запазване, възстановяване и по-нататъшно развитие на промишлените способности на ЕС, като същевременно се запазват и създадат качествени работни места;</w:t>
      </w:r>
    </w:p>
    <w:p w:rsidRPr="008C608F" w:rsidR="004F208D" w:rsidP="00B07E13" w:rsidRDefault="004F208D" w14:paraId="04E09E2A"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изтъква, че </w:t>
      </w:r>
      <w:r w:rsidRPr="008C608F">
        <w:rPr>
          <w:b/>
        </w:rPr>
        <w:t>подкрепата на финансовата политика</w:t>
      </w:r>
      <w:r w:rsidRPr="008C608F">
        <w:t xml:space="preserve"> трябва да включва интегрирани в по-голяма степен финансиране и държавна помощ, като същевременно насърчава публично-частните екосистеми, осигурява публичен надзор и гарантира ефективно разпределение на ресурсите;</w:t>
      </w:r>
    </w:p>
    <w:p w:rsidRPr="008C608F" w:rsidR="004F208D" w:rsidP="00B07E13" w:rsidRDefault="004F208D" w14:paraId="3820651C"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подчертава, че </w:t>
      </w:r>
      <w:r w:rsidRPr="008C608F">
        <w:rPr>
          <w:b/>
        </w:rPr>
        <w:t>единният пазар трябва да бъде завършен, правилата му – да се прилагат, а пазарните бариери – да бъдат премахнати</w:t>
      </w:r>
      <w:r w:rsidRPr="008C608F">
        <w:t xml:space="preserve">. </w:t>
      </w:r>
      <w:r w:rsidRPr="008C608F">
        <w:rPr>
          <w:b/>
        </w:rPr>
        <w:t>Финансовите, комуникационните и енергийните пазари следва да бъдат интегрирани и допълнени от секторите на здравеопазването и цифровите технологии, както и от „петата свобода“ на НИРД и иновациите;</w:t>
      </w:r>
    </w:p>
    <w:p w:rsidRPr="008C608F" w:rsidR="004F208D" w:rsidP="00B07E13" w:rsidRDefault="004F208D" w14:paraId="4DD3B152"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смята, че </w:t>
      </w:r>
      <w:r w:rsidRPr="008C608F">
        <w:rPr>
          <w:b/>
        </w:rPr>
        <w:t>разходите за НИРД следва да съответстват на тези на конкурентите на ЕС в световен мащаб</w:t>
      </w:r>
      <w:r w:rsidRPr="008C608F">
        <w:t xml:space="preserve"> и да бъдат насочени към области от неговите промишлени екосистеми и движещи сили на иновациите, където може да се създаде най-голяма добавена </w:t>
      </w:r>
      <w:r w:rsidRPr="008C608F">
        <w:lastRenderedPageBreak/>
        <w:t>стойност;</w:t>
      </w:r>
    </w:p>
    <w:p w:rsidRPr="008C608F" w:rsidR="004F208D" w:rsidP="00B07E13" w:rsidRDefault="004F208D" w14:paraId="4D4681F0" w14:textId="77777777">
      <w:pPr>
        <w:widowControl w:val="0"/>
        <w:numPr>
          <w:ilvl w:val="0"/>
          <w:numId w:val="49"/>
        </w:numPr>
        <w:overflowPunct w:val="0"/>
        <w:autoSpaceDE w:val="0"/>
        <w:autoSpaceDN w:val="0"/>
        <w:adjustRightInd w:val="0"/>
        <w:ind w:left="567" w:hanging="567"/>
        <w:textAlignment w:val="baseline"/>
        <w:rPr>
          <w:bCs/>
          <w:iCs/>
        </w:rPr>
      </w:pPr>
      <w:r w:rsidRPr="008C608F">
        <w:t xml:space="preserve">призовава следващата Комисия да разработи и приложи </w:t>
      </w:r>
      <w:r w:rsidRPr="008C608F">
        <w:rPr>
          <w:b/>
        </w:rPr>
        <w:t>Промишлен пакт заедно с Новия пакт за конкурентоспособността</w:t>
      </w:r>
      <w:r w:rsidRPr="008C608F">
        <w:t xml:space="preserve"> въз основа на постиженията на европейския социален модел.</w:t>
      </w:r>
    </w:p>
    <w:p w:rsidRPr="008C608F" w:rsidR="004F208D" w:rsidP="004F208D" w:rsidRDefault="004F208D" w14:paraId="24F3A44A" w14:textId="77777777">
      <w:pPr>
        <w:widowControl w:val="0"/>
        <w:overflowPunct w:val="0"/>
        <w:autoSpaceDE w:val="0"/>
        <w:autoSpaceDN w:val="0"/>
        <w:adjustRightInd w:val="0"/>
        <w:ind w:left="709"/>
        <w:textAlignment w:val="baseline"/>
        <w:rPr>
          <w:szCs w:val="20"/>
          <w:lang w:val="en-GB"/>
        </w:rPr>
      </w:pPr>
    </w:p>
    <w:tbl>
      <w:tblPr>
        <w:tblW w:w="3516" w:type="pct"/>
        <w:tblLook w:val="04A0" w:firstRow="1" w:lastRow="0" w:firstColumn="1" w:lastColumn="0" w:noHBand="0" w:noVBand="1"/>
      </w:tblPr>
      <w:tblGrid>
        <w:gridCol w:w="2235"/>
        <w:gridCol w:w="4296"/>
      </w:tblGrid>
      <w:tr w:rsidRPr="004F208D" w:rsidR="004F208D" w:rsidTr="00C46010" w14:paraId="05E95F62" w14:textId="77777777">
        <w:tc>
          <w:tcPr>
            <w:tcW w:w="1711" w:type="pct"/>
          </w:tcPr>
          <w:p w:rsidRPr="004F208D" w:rsidR="004F208D" w:rsidP="004F208D" w:rsidRDefault="004F208D" w14:paraId="31F26507" w14:textId="77777777">
            <w:pPr>
              <w:overflowPunct w:val="0"/>
              <w:autoSpaceDE w:val="0"/>
              <w:autoSpaceDN w:val="0"/>
              <w:adjustRightInd w:val="0"/>
              <w:spacing w:line="240" w:lineRule="auto"/>
              <w:textAlignment w:val="baseline"/>
              <w:rPr>
                <w:i/>
              </w:rPr>
            </w:pPr>
            <w:r w:rsidRPr="008C608F">
              <w:rPr>
                <w:b/>
                <w:i/>
              </w:rPr>
              <w:t>За връзка:</w:t>
            </w:r>
          </w:p>
        </w:tc>
        <w:tc>
          <w:tcPr>
            <w:tcW w:w="3289" w:type="pct"/>
          </w:tcPr>
          <w:p w:rsidRPr="00B07E13" w:rsidR="004F208D" w:rsidP="004F208D" w:rsidRDefault="004F208D" w14:paraId="3B1A9596" w14:textId="6E72582B">
            <w:pPr>
              <w:overflowPunct w:val="0"/>
              <w:autoSpaceDE w:val="0"/>
              <w:autoSpaceDN w:val="0"/>
              <w:adjustRightInd w:val="0"/>
              <w:spacing w:line="240" w:lineRule="auto"/>
              <w:textAlignment w:val="baseline"/>
              <w:rPr>
                <w:i/>
              </w:rPr>
            </w:pPr>
            <w:r w:rsidRPr="008C608F">
              <w:rPr>
                <w:i/>
              </w:rPr>
              <w:t>Adam Dorywalski</w:t>
            </w:r>
          </w:p>
        </w:tc>
      </w:tr>
      <w:tr w:rsidRPr="004F208D" w:rsidR="004F208D" w:rsidTr="00C46010" w14:paraId="421E22DA" w14:textId="77777777">
        <w:tc>
          <w:tcPr>
            <w:tcW w:w="1711" w:type="pct"/>
          </w:tcPr>
          <w:p w:rsidRPr="004F208D" w:rsidR="004F208D" w:rsidP="004F208D" w:rsidRDefault="004F208D" w14:paraId="64FCD571" w14:textId="77777777">
            <w:pPr>
              <w:overflowPunct w:val="0"/>
              <w:autoSpaceDE w:val="0"/>
              <w:autoSpaceDN w:val="0"/>
              <w:adjustRightInd w:val="0"/>
              <w:spacing w:line="240" w:lineRule="auto"/>
              <w:textAlignment w:val="baseline"/>
              <w:rPr>
                <w:i/>
              </w:rPr>
            </w:pPr>
            <w:r w:rsidRPr="008C608F">
              <w:rPr>
                <w:i/>
              </w:rPr>
              <w:t>Тел</w:t>
            </w:r>
            <w:r w:rsidRPr="008C608F">
              <w:rPr>
                <w:i/>
                <w:iCs/>
              </w:rPr>
              <w:t>.</w:t>
            </w:r>
          </w:p>
        </w:tc>
        <w:tc>
          <w:tcPr>
            <w:tcW w:w="3289" w:type="pct"/>
          </w:tcPr>
          <w:p w:rsidRPr="004F208D" w:rsidR="004F208D" w:rsidP="004F208D" w:rsidRDefault="004F208D" w14:paraId="52953BA6" w14:textId="77777777">
            <w:pPr>
              <w:overflowPunct w:val="0"/>
              <w:autoSpaceDE w:val="0"/>
              <w:autoSpaceDN w:val="0"/>
              <w:adjustRightInd w:val="0"/>
              <w:spacing w:line="240" w:lineRule="auto"/>
              <w:textAlignment w:val="baseline"/>
              <w:rPr>
                <w:i/>
              </w:rPr>
            </w:pPr>
            <w:r w:rsidRPr="008C608F">
              <w:rPr>
                <w:i/>
              </w:rPr>
              <w:t>+32 25469397</w:t>
            </w:r>
          </w:p>
        </w:tc>
      </w:tr>
      <w:tr w:rsidRPr="008C608F" w:rsidR="004F208D" w:rsidTr="00C46010" w14:paraId="415DA04A" w14:textId="77777777">
        <w:tc>
          <w:tcPr>
            <w:tcW w:w="1711" w:type="pct"/>
          </w:tcPr>
          <w:p w:rsidRPr="004F208D" w:rsidR="004F208D" w:rsidP="004F208D" w:rsidRDefault="004F208D" w14:paraId="192BCCFB" w14:textId="77777777">
            <w:pPr>
              <w:overflowPunct w:val="0"/>
              <w:autoSpaceDE w:val="0"/>
              <w:autoSpaceDN w:val="0"/>
              <w:adjustRightInd w:val="0"/>
              <w:spacing w:line="240" w:lineRule="auto"/>
              <w:textAlignment w:val="baseline"/>
              <w:rPr>
                <w:i/>
              </w:rPr>
            </w:pPr>
            <w:r w:rsidRPr="008C608F">
              <w:rPr>
                <w:i/>
              </w:rPr>
              <w:t>Електронен адрес:</w:t>
            </w:r>
          </w:p>
        </w:tc>
        <w:tc>
          <w:tcPr>
            <w:tcW w:w="3289" w:type="pct"/>
          </w:tcPr>
          <w:p w:rsidRPr="008C608F" w:rsidR="004F208D" w:rsidP="004F208D" w:rsidRDefault="00257091" w14:paraId="40636D1C" w14:textId="77777777">
            <w:pPr>
              <w:overflowPunct w:val="0"/>
              <w:autoSpaceDE w:val="0"/>
              <w:autoSpaceDN w:val="0"/>
              <w:adjustRightInd w:val="0"/>
              <w:spacing w:line="240" w:lineRule="auto"/>
              <w:textAlignment w:val="baseline"/>
              <w:rPr>
                <w:i/>
              </w:rPr>
            </w:pPr>
            <w:hyperlink w:history="1" r:id="rId65">
              <w:r w:rsidRPr="008C608F" w:rsidR="006A1AC2">
                <w:rPr>
                  <w:i/>
                  <w:color w:val="0000FF"/>
                  <w:u w:val="single"/>
                </w:rPr>
                <w:t>Adam.Dorywalski@eesc.europa.eu</w:t>
              </w:r>
            </w:hyperlink>
          </w:p>
        </w:tc>
      </w:tr>
    </w:tbl>
    <w:p w:rsidRPr="008C608F" w:rsidR="00CA2A2A" w:rsidP="00B07E13" w:rsidRDefault="00CA2A2A" w14:paraId="11CEC952" w14:textId="77777777">
      <w:pPr>
        <w:spacing w:after="160" w:line="259" w:lineRule="auto"/>
        <w:jc w:val="center"/>
      </w:pPr>
    </w:p>
    <w:p w:rsidRPr="008C608F" w:rsidR="000D394D" w:rsidP="00B07E13" w:rsidRDefault="000127B6" w14:paraId="2E28EF19" w14:textId="5964F9C4">
      <w:pPr>
        <w:spacing w:after="160" w:line="259" w:lineRule="auto"/>
        <w:jc w:val="center"/>
      </w:pPr>
      <w:r w:rsidRPr="008C608F">
        <w:t>_____________</w:t>
      </w:r>
    </w:p>
    <w:sectPr w:rsidRPr="008C608F" w:rsidR="000D394D" w:rsidSect="008C608F">
      <w:headerReference w:type="even" r:id="rId66"/>
      <w:headerReference w:type="default" r:id="rId67"/>
      <w:footerReference w:type="even" r:id="rId68"/>
      <w:footerReference w:type="default" r:id="rId69"/>
      <w:headerReference w:type="first" r:id="rId70"/>
      <w:footerReference w:type="first" r:id="rId71"/>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0106" w14:textId="77777777" w:rsidR="006A1AC2" w:rsidRPr="008C608F" w:rsidRDefault="006A1AC2" w:rsidP="008C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8E43018" w:rsidR="00B518C9" w:rsidRPr="008C608F" w:rsidRDefault="008C608F" w:rsidP="008C608F">
    <w:pPr>
      <w:pStyle w:val="Footer"/>
    </w:pPr>
    <w:r>
      <w:t xml:space="preserve">EESC-2024-02813-00-01-TCD-TRA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FE1A6A">
        <w:rPr>
          <w:noProof/>
        </w:rPr>
        <w:instrText>37</w:instrText>
      </w:r>
    </w:fldSimple>
    <w:r>
      <w:instrText xml:space="preserve"> -0 </w:instrText>
    </w:r>
    <w:r>
      <w:fldChar w:fldCharType="separate"/>
    </w:r>
    <w:r w:rsidR="00FE1A6A">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C405" w14:textId="77777777" w:rsidR="006A1AC2" w:rsidRPr="008C608F" w:rsidRDefault="006A1AC2" w:rsidP="008C60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B9B8" w14:textId="77777777" w:rsidR="00F32856" w:rsidRPr="008C608F" w:rsidRDefault="00F32856" w:rsidP="008C60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5BF1" w14:textId="68D31CC9" w:rsidR="00F32856" w:rsidRPr="008C608F" w:rsidRDefault="008C608F" w:rsidP="008C608F">
    <w:pPr>
      <w:pStyle w:val="Footer"/>
    </w:pPr>
    <w:r>
      <w:t xml:space="preserve">EESC-2024-02813-00-01-TCD-TRA (EN) </w:t>
    </w:r>
    <w:r>
      <w:fldChar w:fldCharType="begin"/>
    </w:r>
    <w:r>
      <w:instrText xml:space="preserve"> PAGE  \* Arabic  \* MERGEFORMAT </w:instrText>
    </w:r>
    <w:r>
      <w:fldChar w:fldCharType="separate"/>
    </w:r>
    <w:r>
      <w:rPr>
        <w:noProof/>
      </w:rPr>
      <w:t>16</w:t>
    </w:r>
    <w:r>
      <w:fldChar w:fldCharType="end"/>
    </w:r>
    <w:r>
      <w:t>/</w:t>
    </w:r>
    <w:r>
      <w:fldChar w:fldCharType="begin"/>
    </w:r>
    <w:r>
      <w:instrText xml:space="preserve"> = </w:instrText>
    </w:r>
    <w:fldSimple w:instr=" NUMPAGES ">
      <w:r w:rsidR="00257091">
        <w:rPr>
          <w:noProof/>
        </w:rPr>
        <w:instrText>37</w:instrText>
      </w:r>
    </w:fldSimple>
    <w:r>
      <w:instrText xml:space="preserve"> -0 </w:instrText>
    </w:r>
    <w:r>
      <w:fldChar w:fldCharType="separate"/>
    </w:r>
    <w:r w:rsidR="00257091">
      <w:rPr>
        <w:noProof/>
      </w:rPr>
      <w:t>37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6E26" w14:textId="77777777" w:rsidR="00F32856" w:rsidRPr="008C608F" w:rsidRDefault="00F32856" w:rsidP="008C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C6A8" w14:textId="77777777" w:rsidR="006A1AC2" w:rsidRPr="008C608F" w:rsidRDefault="006A1AC2" w:rsidP="008C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1EED" w14:textId="77777777" w:rsidR="006A1AC2" w:rsidRPr="008C608F" w:rsidRDefault="006A1AC2" w:rsidP="008C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75F8" w14:textId="77777777" w:rsidR="006A1AC2" w:rsidRPr="008C608F" w:rsidRDefault="006A1AC2" w:rsidP="008C60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B623" w14:textId="77777777" w:rsidR="00F32856" w:rsidRPr="008C608F" w:rsidRDefault="00F32856" w:rsidP="008C60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50FD8" w14:textId="77777777" w:rsidR="00F32856" w:rsidRPr="008C608F" w:rsidRDefault="00F32856" w:rsidP="008C60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CD4E" w14:textId="77777777" w:rsidR="00F32856" w:rsidRPr="008C608F" w:rsidRDefault="00F32856" w:rsidP="008C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3E55E2"/>
    <w:multiLevelType w:val="hybridMultilevel"/>
    <w:tmpl w:val="F16C79F8"/>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87E6765"/>
    <w:multiLevelType w:val="hybridMultilevel"/>
    <w:tmpl w:val="9522A9D6"/>
    <w:lvl w:ilvl="0" w:tplc="C62E6A1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9372297"/>
    <w:multiLevelType w:val="hybridMultilevel"/>
    <w:tmpl w:val="5C0C97FA"/>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96C2836"/>
    <w:multiLevelType w:val="hybridMultilevel"/>
    <w:tmpl w:val="8F3EA9A0"/>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09D14DAA"/>
    <w:multiLevelType w:val="hybridMultilevel"/>
    <w:tmpl w:val="4D18F94C"/>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9F47E58"/>
    <w:multiLevelType w:val="hybridMultilevel"/>
    <w:tmpl w:val="A120CD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FF5560A"/>
    <w:multiLevelType w:val="multilevel"/>
    <w:tmpl w:val="1DE2C6F0"/>
    <w:lvl w:ilvl="0">
      <w:start w:val="1"/>
      <w:numFmt w:val="decimal"/>
      <w:lvlText w:val="%1."/>
      <w:legacy w:legacy="1" w:legacySpace="0" w:legacyIndent="0"/>
      <w:lvlJc w:val="left"/>
    </w:lvl>
    <w:lvl w:ilvl="1">
      <w:start w:val="1"/>
      <w:numFmt w:val="bullet"/>
      <w:lvlText w:val="–"/>
      <w:lvlJc w:val="left"/>
      <w:rPr>
        <w:rFonts w:ascii="Times New Roman" w:hAnsi="Times New Roman" w:hint="default"/>
        <w:b w:val="0"/>
        <w:i w:val="0"/>
        <w:color w:val="auto"/>
        <w:sz w:val="22"/>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10D91762"/>
    <w:multiLevelType w:val="hybridMultilevel"/>
    <w:tmpl w:val="885C9588"/>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6562909"/>
    <w:multiLevelType w:val="hybridMultilevel"/>
    <w:tmpl w:val="D06A137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17815CA7"/>
    <w:multiLevelType w:val="hybridMultilevel"/>
    <w:tmpl w:val="77A6A17A"/>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1EAD089C"/>
    <w:multiLevelType w:val="hybridMultilevel"/>
    <w:tmpl w:val="11BEEC44"/>
    <w:lvl w:ilvl="0" w:tplc="C62E6A1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04D6347"/>
    <w:multiLevelType w:val="hybridMultilevel"/>
    <w:tmpl w:val="BE962CAC"/>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26E97245"/>
    <w:multiLevelType w:val="hybridMultilevel"/>
    <w:tmpl w:val="298058E8"/>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7EA7861"/>
    <w:multiLevelType w:val="hybridMultilevel"/>
    <w:tmpl w:val="DF76392A"/>
    <w:lvl w:ilvl="0" w:tplc="C62E6A1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263427D"/>
    <w:multiLevelType w:val="hybridMultilevel"/>
    <w:tmpl w:val="D4E845C8"/>
    <w:lvl w:ilvl="0" w:tplc="C62E6A14">
      <w:start w:val="1"/>
      <w:numFmt w:val="bullet"/>
      <w:lvlText w:val=""/>
      <w:lvlJc w:val="left"/>
      <w:pPr>
        <w:ind w:left="709" w:hanging="360"/>
      </w:pPr>
      <w:rPr>
        <w:rFonts w:ascii="Symbol" w:hAnsi="Symbol" w:hint="default"/>
      </w:rPr>
    </w:lvl>
    <w:lvl w:ilvl="1" w:tplc="080C0003" w:tentative="1">
      <w:start w:val="1"/>
      <w:numFmt w:val="bullet"/>
      <w:lvlText w:val="o"/>
      <w:lvlJc w:val="left"/>
      <w:pPr>
        <w:ind w:left="1429" w:hanging="360"/>
      </w:pPr>
      <w:rPr>
        <w:rFonts w:ascii="Courier New" w:hAnsi="Courier New" w:cs="Courier New" w:hint="default"/>
      </w:rPr>
    </w:lvl>
    <w:lvl w:ilvl="2" w:tplc="080C0005" w:tentative="1">
      <w:start w:val="1"/>
      <w:numFmt w:val="bullet"/>
      <w:lvlText w:val=""/>
      <w:lvlJc w:val="left"/>
      <w:pPr>
        <w:ind w:left="2149" w:hanging="360"/>
      </w:pPr>
      <w:rPr>
        <w:rFonts w:ascii="Wingdings" w:hAnsi="Wingdings" w:hint="default"/>
      </w:rPr>
    </w:lvl>
    <w:lvl w:ilvl="3" w:tplc="080C0001" w:tentative="1">
      <w:start w:val="1"/>
      <w:numFmt w:val="bullet"/>
      <w:lvlText w:val=""/>
      <w:lvlJc w:val="left"/>
      <w:pPr>
        <w:ind w:left="2869" w:hanging="360"/>
      </w:pPr>
      <w:rPr>
        <w:rFonts w:ascii="Symbol" w:hAnsi="Symbol" w:hint="default"/>
      </w:rPr>
    </w:lvl>
    <w:lvl w:ilvl="4" w:tplc="080C0003" w:tentative="1">
      <w:start w:val="1"/>
      <w:numFmt w:val="bullet"/>
      <w:lvlText w:val="o"/>
      <w:lvlJc w:val="left"/>
      <w:pPr>
        <w:ind w:left="3589" w:hanging="360"/>
      </w:pPr>
      <w:rPr>
        <w:rFonts w:ascii="Courier New" w:hAnsi="Courier New" w:cs="Courier New" w:hint="default"/>
      </w:rPr>
    </w:lvl>
    <w:lvl w:ilvl="5" w:tplc="080C0005" w:tentative="1">
      <w:start w:val="1"/>
      <w:numFmt w:val="bullet"/>
      <w:lvlText w:val=""/>
      <w:lvlJc w:val="left"/>
      <w:pPr>
        <w:ind w:left="4309" w:hanging="360"/>
      </w:pPr>
      <w:rPr>
        <w:rFonts w:ascii="Wingdings" w:hAnsi="Wingdings" w:hint="default"/>
      </w:rPr>
    </w:lvl>
    <w:lvl w:ilvl="6" w:tplc="080C0001" w:tentative="1">
      <w:start w:val="1"/>
      <w:numFmt w:val="bullet"/>
      <w:lvlText w:val=""/>
      <w:lvlJc w:val="left"/>
      <w:pPr>
        <w:ind w:left="5029" w:hanging="360"/>
      </w:pPr>
      <w:rPr>
        <w:rFonts w:ascii="Symbol" w:hAnsi="Symbol" w:hint="default"/>
      </w:rPr>
    </w:lvl>
    <w:lvl w:ilvl="7" w:tplc="080C0003" w:tentative="1">
      <w:start w:val="1"/>
      <w:numFmt w:val="bullet"/>
      <w:lvlText w:val="o"/>
      <w:lvlJc w:val="left"/>
      <w:pPr>
        <w:ind w:left="5749" w:hanging="360"/>
      </w:pPr>
      <w:rPr>
        <w:rFonts w:ascii="Courier New" w:hAnsi="Courier New" w:cs="Courier New" w:hint="default"/>
      </w:rPr>
    </w:lvl>
    <w:lvl w:ilvl="8" w:tplc="080C0005" w:tentative="1">
      <w:start w:val="1"/>
      <w:numFmt w:val="bullet"/>
      <w:lvlText w:val=""/>
      <w:lvlJc w:val="left"/>
      <w:pPr>
        <w:ind w:left="6469" w:hanging="360"/>
      </w:pPr>
      <w:rPr>
        <w:rFonts w:ascii="Wingdings" w:hAnsi="Wingdings" w:hint="default"/>
      </w:rPr>
    </w:lvl>
  </w:abstractNum>
  <w:abstractNum w:abstractNumId="18" w15:restartNumberingAfterBreak="0">
    <w:nsid w:val="36214A14"/>
    <w:multiLevelType w:val="hybridMultilevel"/>
    <w:tmpl w:val="28B27FB2"/>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74A4C7E"/>
    <w:multiLevelType w:val="hybridMultilevel"/>
    <w:tmpl w:val="7584CD4C"/>
    <w:lvl w:ilvl="0" w:tplc="C62E6A14">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38DB6668"/>
    <w:multiLevelType w:val="hybridMultilevel"/>
    <w:tmpl w:val="C38C8C9E"/>
    <w:lvl w:ilvl="0" w:tplc="C62E6A14">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B0858B5"/>
    <w:multiLevelType w:val="hybridMultilevel"/>
    <w:tmpl w:val="C03658D2"/>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CA076C3"/>
    <w:multiLevelType w:val="hybridMultilevel"/>
    <w:tmpl w:val="B0728190"/>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CAC5826"/>
    <w:multiLevelType w:val="hybridMultilevel"/>
    <w:tmpl w:val="02A84E5E"/>
    <w:lvl w:ilvl="0" w:tplc="C62E6A14">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24" w15:restartNumberingAfterBreak="0">
    <w:nsid w:val="3E7668FC"/>
    <w:multiLevelType w:val="hybridMultilevel"/>
    <w:tmpl w:val="A5B8FFB6"/>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ED4093C"/>
    <w:multiLevelType w:val="hybridMultilevel"/>
    <w:tmpl w:val="D0A60E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40F54635"/>
    <w:multiLevelType w:val="hybridMultilevel"/>
    <w:tmpl w:val="DCC4E5D2"/>
    <w:lvl w:ilvl="0" w:tplc="C62E6A14">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8" w15:restartNumberingAfterBreak="0">
    <w:nsid w:val="45A755A8"/>
    <w:multiLevelType w:val="hybridMultilevel"/>
    <w:tmpl w:val="A0267F4E"/>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9AE6831"/>
    <w:multiLevelType w:val="hybridMultilevel"/>
    <w:tmpl w:val="E536FAD4"/>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1724111"/>
    <w:multiLevelType w:val="hybridMultilevel"/>
    <w:tmpl w:val="B8646F2A"/>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51E204C9"/>
    <w:multiLevelType w:val="hybridMultilevel"/>
    <w:tmpl w:val="7250FBCE"/>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35C47E4"/>
    <w:multiLevelType w:val="hybridMultilevel"/>
    <w:tmpl w:val="83FAA85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3" w15:restartNumberingAfterBreak="0">
    <w:nsid w:val="556C4AB2"/>
    <w:multiLevelType w:val="hybridMultilevel"/>
    <w:tmpl w:val="CAEC3E72"/>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590E35F9"/>
    <w:multiLevelType w:val="hybridMultilevel"/>
    <w:tmpl w:val="A8CC075C"/>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93B6E16"/>
    <w:multiLevelType w:val="hybridMultilevel"/>
    <w:tmpl w:val="146249FC"/>
    <w:lvl w:ilvl="0" w:tplc="C62E6A14">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A885E27"/>
    <w:multiLevelType w:val="hybridMultilevel"/>
    <w:tmpl w:val="A7F4E050"/>
    <w:lvl w:ilvl="0" w:tplc="C62E6A1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3AA3058"/>
    <w:multiLevelType w:val="hybridMultilevel"/>
    <w:tmpl w:val="C6DEBA18"/>
    <w:lvl w:ilvl="0" w:tplc="C62E6A1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0" w15:restartNumberingAfterBreak="0">
    <w:nsid w:val="6FEF69DF"/>
    <w:multiLevelType w:val="hybridMultilevel"/>
    <w:tmpl w:val="C0BC73A6"/>
    <w:lvl w:ilvl="0" w:tplc="C62E6A14">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2114F1D"/>
    <w:multiLevelType w:val="hybridMultilevel"/>
    <w:tmpl w:val="9758B4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6252AF3"/>
    <w:multiLevelType w:val="hybridMultilevel"/>
    <w:tmpl w:val="C114967C"/>
    <w:lvl w:ilvl="0" w:tplc="0FC8D510">
      <w:start w:val="1"/>
      <w:numFmt w:val="bullet"/>
      <w:lvlText w:val=""/>
      <w:lvlJc w:val="left"/>
      <w:pPr>
        <w:ind w:left="720" w:hanging="360"/>
      </w:pPr>
      <w:rPr>
        <w:rFonts w:ascii="Symbol" w:hAnsi="Symbol" w:hint="default"/>
        <w:color w:val="auto"/>
      </w:rPr>
    </w:lvl>
    <w:lvl w:ilvl="1" w:tplc="0FC8D510">
      <w:start w:val="1"/>
      <w:numFmt w:val="bullet"/>
      <w:lvlText w:val=""/>
      <w:lvlJc w:val="left"/>
      <w:pPr>
        <w:ind w:left="144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5" w15:restartNumberingAfterBreak="0">
    <w:nsid w:val="7B786D86"/>
    <w:multiLevelType w:val="singleLevel"/>
    <w:tmpl w:val="080C0001"/>
    <w:lvl w:ilvl="0">
      <w:start w:val="1"/>
      <w:numFmt w:val="bullet"/>
      <w:lvlText w:val=""/>
      <w:lvlJc w:val="left"/>
      <w:pPr>
        <w:ind w:left="720" w:hanging="360"/>
      </w:pPr>
      <w:rPr>
        <w:rFonts w:ascii="Symbol" w:hAnsi="Symbol" w:hint="default"/>
      </w:rPr>
    </w:lvl>
  </w:abstractNum>
  <w:abstractNum w:abstractNumId="46" w15:restartNumberingAfterBreak="0">
    <w:nsid w:val="7EE6231A"/>
    <w:multiLevelType w:val="hybridMultilevel"/>
    <w:tmpl w:val="CD5E0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39"/>
  </w:num>
  <w:num w:numId="3">
    <w:abstractNumId w:val="43"/>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41"/>
  </w:num>
  <w:num w:numId="6">
    <w:abstractNumId w:val="23"/>
  </w:num>
  <w:num w:numId="7">
    <w:abstractNumId w:val="7"/>
  </w:num>
  <w:num w:numId="8">
    <w:abstractNumId w:val="18"/>
  </w:num>
  <w:num w:numId="9">
    <w:abstractNumId w:val="37"/>
  </w:num>
  <w:num w:numId="10">
    <w:abstractNumId w:val="46"/>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5"/>
  </w:num>
  <w:num w:numId="13">
    <w:abstractNumId w:val="31"/>
  </w:num>
  <w:num w:numId="14">
    <w:abstractNumId w:val="44"/>
  </w:num>
  <w:num w:numId="15">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16">
    <w:abstractNumId w:val="45"/>
  </w:num>
  <w:num w:numId="17">
    <w:abstractNumId w:val="42"/>
  </w:num>
  <w:num w:numId="18">
    <w:abstractNumId w:val="26"/>
  </w:num>
  <w:num w:numId="19">
    <w:abstractNumId w:val="8"/>
  </w:num>
  <w:num w:numId="20">
    <w:abstractNumId w:val="16"/>
  </w:num>
  <w:num w:numId="21">
    <w:abstractNumId w:val="19"/>
  </w:num>
  <w:num w:numId="22">
    <w:abstractNumId w:val="9"/>
  </w:num>
  <w:num w:numId="23">
    <w:abstractNumId w:val="36"/>
  </w:num>
  <w:num w:numId="24">
    <w:abstractNumId w:val="12"/>
  </w:num>
  <w:num w:numId="25">
    <w:abstractNumId w:val="3"/>
  </w:num>
  <w:num w:numId="26">
    <w:abstractNumId w:val="38"/>
  </w:num>
  <w:num w:numId="27">
    <w:abstractNumId w:val="35"/>
  </w:num>
  <w:num w:numId="28">
    <w:abstractNumId w:val="20"/>
  </w:num>
  <w:num w:numId="29">
    <w:abstractNumId w:val="13"/>
  </w:num>
  <w:num w:numId="30">
    <w:abstractNumId w:val="32"/>
  </w:num>
  <w:num w:numId="31">
    <w:abstractNumId w:val="10"/>
  </w:num>
  <w:num w:numId="32">
    <w:abstractNumId w:val="30"/>
  </w:num>
  <w:num w:numId="33">
    <w:abstractNumId w:val="33"/>
  </w:num>
  <w:num w:numId="34">
    <w:abstractNumId w:val="22"/>
  </w:num>
  <w:num w:numId="35">
    <w:abstractNumId w:val="11"/>
  </w:num>
  <w:num w:numId="36">
    <w:abstractNumId w:val="6"/>
  </w:num>
  <w:num w:numId="37">
    <w:abstractNumId w:val="24"/>
  </w:num>
  <w:num w:numId="38">
    <w:abstractNumId w:val="28"/>
  </w:num>
  <w:num w:numId="39">
    <w:abstractNumId w:val="21"/>
  </w:num>
  <w:num w:numId="40">
    <w:abstractNumId w:val="29"/>
  </w:num>
  <w:num w:numId="41">
    <w:abstractNumId w:val="27"/>
  </w:num>
  <w:num w:numId="42">
    <w:abstractNumId w:val="25"/>
  </w:num>
  <w:num w:numId="43">
    <w:abstractNumId w:val="4"/>
  </w:num>
  <w:num w:numId="44">
    <w:abstractNumId w:val="40"/>
  </w:num>
  <w:num w:numId="45">
    <w:abstractNumId w:val="17"/>
  </w:num>
  <w:num w:numId="46">
    <w:abstractNumId w:val="5"/>
  </w:num>
  <w:num w:numId="47">
    <w:abstractNumId w:val="14"/>
  </w:num>
  <w:num w:numId="48">
    <w:abstractNumId w:val="2"/>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302"/>
    <w:rsid w:val="00010755"/>
    <w:rsid w:val="00010A4D"/>
    <w:rsid w:val="000127B6"/>
    <w:rsid w:val="000139C0"/>
    <w:rsid w:val="0001678A"/>
    <w:rsid w:val="0002198C"/>
    <w:rsid w:val="000311D9"/>
    <w:rsid w:val="0005550D"/>
    <w:rsid w:val="00060058"/>
    <w:rsid w:val="00063DFF"/>
    <w:rsid w:val="00064723"/>
    <w:rsid w:val="00072A85"/>
    <w:rsid w:val="00075DDE"/>
    <w:rsid w:val="00076FEA"/>
    <w:rsid w:val="000842A7"/>
    <w:rsid w:val="00097638"/>
    <w:rsid w:val="000C5A8B"/>
    <w:rsid w:val="000D394D"/>
    <w:rsid w:val="000D430F"/>
    <w:rsid w:val="000E1E59"/>
    <w:rsid w:val="000F0F74"/>
    <w:rsid w:val="001037CE"/>
    <w:rsid w:val="00133070"/>
    <w:rsid w:val="00147198"/>
    <w:rsid w:val="00151032"/>
    <w:rsid w:val="00154A7F"/>
    <w:rsid w:val="0017133A"/>
    <w:rsid w:val="00183E70"/>
    <w:rsid w:val="001B1F1D"/>
    <w:rsid w:val="001B2FD0"/>
    <w:rsid w:val="001C322E"/>
    <w:rsid w:val="001E391D"/>
    <w:rsid w:val="00206313"/>
    <w:rsid w:val="00235EB1"/>
    <w:rsid w:val="00236879"/>
    <w:rsid w:val="0023768A"/>
    <w:rsid w:val="00257091"/>
    <w:rsid w:val="002608BA"/>
    <w:rsid w:val="00261678"/>
    <w:rsid w:val="002673F7"/>
    <w:rsid w:val="00270BD5"/>
    <w:rsid w:val="002A5636"/>
    <w:rsid w:val="002A60CB"/>
    <w:rsid w:val="002B7981"/>
    <w:rsid w:val="002D1891"/>
    <w:rsid w:val="002D6198"/>
    <w:rsid w:val="002E4460"/>
    <w:rsid w:val="003066BE"/>
    <w:rsid w:val="0031123C"/>
    <w:rsid w:val="003227CC"/>
    <w:rsid w:val="0032562B"/>
    <w:rsid w:val="00327E1C"/>
    <w:rsid w:val="00330CFA"/>
    <w:rsid w:val="003337BA"/>
    <w:rsid w:val="00385966"/>
    <w:rsid w:val="003A3FDA"/>
    <w:rsid w:val="003A474F"/>
    <w:rsid w:val="003A64A6"/>
    <w:rsid w:val="003C24AB"/>
    <w:rsid w:val="003E3CA2"/>
    <w:rsid w:val="003E4C29"/>
    <w:rsid w:val="003E5661"/>
    <w:rsid w:val="003F326D"/>
    <w:rsid w:val="003F79EF"/>
    <w:rsid w:val="00412706"/>
    <w:rsid w:val="004175C7"/>
    <w:rsid w:val="0043191A"/>
    <w:rsid w:val="004521E2"/>
    <w:rsid w:val="0045501A"/>
    <w:rsid w:val="004616D9"/>
    <w:rsid w:val="00495789"/>
    <w:rsid w:val="004A5CD7"/>
    <w:rsid w:val="004D6AA3"/>
    <w:rsid w:val="004D7AC0"/>
    <w:rsid w:val="004E1104"/>
    <w:rsid w:val="004E557A"/>
    <w:rsid w:val="004E6555"/>
    <w:rsid w:val="004E70AF"/>
    <w:rsid w:val="004F208D"/>
    <w:rsid w:val="004F3D44"/>
    <w:rsid w:val="004F44E4"/>
    <w:rsid w:val="0050355C"/>
    <w:rsid w:val="00507085"/>
    <w:rsid w:val="00511DE3"/>
    <w:rsid w:val="00512F32"/>
    <w:rsid w:val="005307E7"/>
    <w:rsid w:val="00532089"/>
    <w:rsid w:val="0054576E"/>
    <w:rsid w:val="00557589"/>
    <w:rsid w:val="0056095E"/>
    <w:rsid w:val="0056252F"/>
    <w:rsid w:val="005714B9"/>
    <w:rsid w:val="00586B4B"/>
    <w:rsid w:val="0059010B"/>
    <w:rsid w:val="005A0BDA"/>
    <w:rsid w:val="005C5604"/>
    <w:rsid w:val="005D181D"/>
    <w:rsid w:val="005D19B4"/>
    <w:rsid w:val="005D220F"/>
    <w:rsid w:val="005D4DC8"/>
    <w:rsid w:val="005E7651"/>
    <w:rsid w:val="005F115E"/>
    <w:rsid w:val="006122B1"/>
    <w:rsid w:val="0061752E"/>
    <w:rsid w:val="00621F79"/>
    <w:rsid w:val="006249B6"/>
    <w:rsid w:val="00625CA3"/>
    <w:rsid w:val="00641262"/>
    <w:rsid w:val="006535D9"/>
    <w:rsid w:val="00692DF0"/>
    <w:rsid w:val="006A1AC2"/>
    <w:rsid w:val="006A5354"/>
    <w:rsid w:val="006A6A0C"/>
    <w:rsid w:val="006D2C8A"/>
    <w:rsid w:val="006D2D64"/>
    <w:rsid w:val="006F1DF9"/>
    <w:rsid w:val="006F41A3"/>
    <w:rsid w:val="006F6754"/>
    <w:rsid w:val="00700711"/>
    <w:rsid w:val="00712A38"/>
    <w:rsid w:val="007216F7"/>
    <w:rsid w:val="00737271"/>
    <w:rsid w:val="00750D3B"/>
    <w:rsid w:val="00754027"/>
    <w:rsid w:val="00757670"/>
    <w:rsid w:val="00766B1A"/>
    <w:rsid w:val="007810B5"/>
    <w:rsid w:val="007833CB"/>
    <w:rsid w:val="007A127F"/>
    <w:rsid w:val="007B157B"/>
    <w:rsid w:val="007B5ACA"/>
    <w:rsid w:val="007D7907"/>
    <w:rsid w:val="007E3BCB"/>
    <w:rsid w:val="007F5784"/>
    <w:rsid w:val="00807CED"/>
    <w:rsid w:val="00831D96"/>
    <w:rsid w:val="00845F24"/>
    <w:rsid w:val="008470F5"/>
    <w:rsid w:val="00852A88"/>
    <w:rsid w:val="0087129B"/>
    <w:rsid w:val="00876B38"/>
    <w:rsid w:val="00877059"/>
    <w:rsid w:val="0088219D"/>
    <w:rsid w:val="00885409"/>
    <w:rsid w:val="00890D82"/>
    <w:rsid w:val="008943DA"/>
    <w:rsid w:val="008A6620"/>
    <w:rsid w:val="008C47BA"/>
    <w:rsid w:val="008C4F61"/>
    <w:rsid w:val="008C608F"/>
    <w:rsid w:val="008D2193"/>
    <w:rsid w:val="008D5222"/>
    <w:rsid w:val="008E52D1"/>
    <w:rsid w:val="009416E3"/>
    <w:rsid w:val="00983331"/>
    <w:rsid w:val="00990E94"/>
    <w:rsid w:val="00994DD3"/>
    <w:rsid w:val="009B5279"/>
    <w:rsid w:val="009C0019"/>
    <w:rsid w:val="009D29DE"/>
    <w:rsid w:val="009F3A36"/>
    <w:rsid w:val="009F46E9"/>
    <w:rsid w:val="00A0429F"/>
    <w:rsid w:val="00A1413A"/>
    <w:rsid w:val="00A1632C"/>
    <w:rsid w:val="00A20E9D"/>
    <w:rsid w:val="00A272B2"/>
    <w:rsid w:val="00A50553"/>
    <w:rsid w:val="00A53F9B"/>
    <w:rsid w:val="00A76426"/>
    <w:rsid w:val="00A805AA"/>
    <w:rsid w:val="00AA430D"/>
    <w:rsid w:val="00AA65DC"/>
    <w:rsid w:val="00AB6CDB"/>
    <w:rsid w:val="00AC23D4"/>
    <w:rsid w:val="00AC7312"/>
    <w:rsid w:val="00AD320D"/>
    <w:rsid w:val="00AE4F3D"/>
    <w:rsid w:val="00B07E13"/>
    <w:rsid w:val="00B203DA"/>
    <w:rsid w:val="00B2333B"/>
    <w:rsid w:val="00B34664"/>
    <w:rsid w:val="00B42E98"/>
    <w:rsid w:val="00B46B45"/>
    <w:rsid w:val="00B518C9"/>
    <w:rsid w:val="00B520E8"/>
    <w:rsid w:val="00B52CE3"/>
    <w:rsid w:val="00B55A53"/>
    <w:rsid w:val="00B75F7C"/>
    <w:rsid w:val="00B82684"/>
    <w:rsid w:val="00BA5B45"/>
    <w:rsid w:val="00BC21DF"/>
    <w:rsid w:val="00BC6104"/>
    <w:rsid w:val="00BC79F5"/>
    <w:rsid w:val="00BC7CE9"/>
    <w:rsid w:val="00BE0672"/>
    <w:rsid w:val="00BE54B3"/>
    <w:rsid w:val="00C008B4"/>
    <w:rsid w:val="00C12517"/>
    <w:rsid w:val="00C166E8"/>
    <w:rsid w:val="00C178AD"/>
    <w:rsid w:val="00C17ABD"/>
    <w:rsid w:val="00C24EDC"/>
    <w:rsid w:val="00C26C67"/>
    <w:rsid w:val="00C45BCC"/>
    <w:rsid w:val="00C46010"/>
    <w:rsid w:val="00C70B4C"/>
    <w:rsid w:val="00C72301"/>
    <w:rsid w:val="00C821A5"/>
    <w:rsid w:val="00CA021F"/>
    <w:rsid w:val="00CA2A2A"/>
    <w:rsid w:val="00CB57CE"/>
    <w:rsid w:val="00CE749A"/>
    <w:rsid w:val="00CF7F32"/>
    <w:rsid w:val="00D10240"/>
    <w:rsid w:val="00D14F30"/>
    <w:rsid w:val="00D16683"/>
    <w:rsid w:val="00D34924"/>
    <w:rsid w:val="00D43613"/>
    <w:rsid w:val="00D50E90"/>
    <w:rsid w:val="00D7076A"/>
    <w:rsid w:val="00D73678"/>
    <w:rsid w:val="00D75E64"/>
    <w:rsid w:val="00D81F5E"/>
    <w:rsid w:val="00D92269"/>
    <w:rsid w:val="00DA5185"/>
    <w:rsid w:val="00DD2B4D"/>
    <w:rsid w:val="00DD77BE"/>
    <w:rsid w:val="00DE176A"/>
    <w:rsid w:val="00DE2877"/>
    <w:rsid w:val="00E00A6B"/>
    <w:rsid w:val="00E07297"/>
    <w:rsid w:val="00E13A99"/>
    <w:rsid w:val="00E24154"/>
    <w:rsid w:val="00E3232E"/>
    <w:rsid w:val="00E40D64"/>
    <w:rsid w:val="00E47D6F"/>
    <w:rsid w:val="00E544AD"/>
    <w:rsid w:val="00E57317"/>
    <w:rsid w:val="00E671C0"/>
    <w:rsid w:val="00E73443"/>
    <w:rsid w:val="00E77899"/>
    <w:rsid w:val="00E77F43"/>
    <w:rsid w:val="00E85982"/>
    <w:rsid w:val="00E96EED"/>
    <w:rsid w:val="00ED3DF6"/>
    <w:rsid w:val="00ED623E"/>
    <w:rsid w:val="00EE1A93"/>
    <w:rsid w:val="00EF069D"/>
    <w:rsid w:val="00EF5696"/>
    <w:rsid w:val="00F03EB0"/>
    <w:rsid w:val="00F32856"/>
    <w:rsid w:val="00F35182"/>
    <w:rsid w:val="00F46322"/>
    <w:rsid w:val="00F52D24"/>
    <w:rsid w:val="00F745EE"/>
    <w:rsid w:val="00F83C17"/>
    <w:rsid w:val="00F96D7F"/>
    <w:rsid w:val="00F97324"/>
    <w:rsid w:val="00FA4CB6"/>
    <w:rsid w:val="00FA69F1"/>
    <w:rsid w:val="00FB7F11"/>
    <w:rsid w:val="00FC456F"/>
    <w:rsid w:val="00FE1A6A"/>
    <w:rsid w:val="00FE24A1"/>
    <w:rsid w:val="00FE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856"/>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32856"/>
    <w:pPr>
      <w:numPr>
        <w:numId w:val="1"/>
      </w:numPr>
      <w:ind w:left="567" w:hanging="567"/>
      <w:outlineLvl w:val="0"/>
    </w:pPr>
    <w:rPr>
      <w:kern w:val="28"/>
    </w:rPr>
  </w:style>
  <w:style w:type="paragraph" w:styleId="Heading2">
    <w:name w:val="heading 2"/>
    <w:basedOn w:val="Normal"/>
    <w:next w:val="Normal"/>
    <w:link w:val="Heading2Char"/>
    <w:qFormat/>
    <w:rsid w:val="00F32856"/>
    <w:pPr>
      <w:numPr>
        <w:ilvl w:val="1"/>
        <w:numId w:val="1"/>
      </w:numPr>
      <w:ind w:left="567" w:hanging="567"/>
      <w:outlineLvl w:val="1"/>
    </w:pPr>
  </w:style>
  <w:style w:type="paragraph" w:styleId="Heading3">
    <w:name w:val="heading 3"/>
    <w:basedOn w:val="Normal"/>
    <w:next w:val="Normal"/>
    <w:link w:val="Heading3Char"/>
    <w:qFormat/>
    <w:rsid w:val="00F32856"/>
    <w:pPr>
      <w:numPr>
        <w:ilvl w:val="2"/>
        <w:numId w:val="1"/>
      </w:numPr>
      <w:ind w:left="567" w:hanging="567"/>
      <w:outlineLvl w:val="2"/>
    </w:pPr>
  </w:style>
  <w:style w:type="paragraph" w:styleId="Heading4">
    <w:name w:val="heading 4"/>
    <w:basedOn w:val="Normal"/>
    <w:next w:val="Normal"/>
    <w:link w:val="Heading4Char"/>
    <w:qFormat/>
    <w:rsid w:val="00F32856"/>
    <w:pPr>
      <w:numPr>
        <w:ilvl w:val="3"/>
        <w:numId w:val="1"/>
      </w:numPr>
      <w:ind w:left="567" w:hanging="567"/>
      <w:outlineLvl w:val="3"/>
    </w:pPr>
  </w:style>
  <w:style w:type="paragraph" w:styleId="Heading5">
    <w:name w:val="heading 5"/>
    <w:basedOn w:val="Normal"/>
    <w:next w:val="Normal"/>
    <w:link w:val="Heading5Char"/>
    <w:qFormat/>
    <w:rsid w:val="00F32856"/>
    <w:pPr>
      <w:numPr>
        <w:ilvl w:val="4"/>
        <w:numId w:val="1"/>
      </w:numPr>
      <w:ind w:left="567" w:hanging="567"/>
      <w:outlineLvl w:val="4"/>
    </w:pPr>
  </w:style>
  <w:style w:type="paragraph" w:styleId="Heading6">
    <w:name w:val="heading 6"/>
    <w:basedOn w:val="Normal"/>
    <w:next w:val="Normal"/>
    <w:link w:val="Heading6Char"/>
    <w:qFormat/>
    <w:rsid w:val="00F32856"/>
    <w:pPr>
      <w:numPr>
        <w:ilvl w:val="5"/>
        <w:numId w:val="1"/>
      </w:numPr>
      <w:ind w:left="567" w:hanging="567"/>
      <w:outlineLvl w:val="5"/>
    </w:pPr>
  </w:style>
  <w:style w:type="paragraph" w:styleId="Heading7">
    <w:name w:val="heading 7"/>
    <w:basedOn w:val="Normal"/>
    <w:next w:val="Normal"/>
    <w:link w:val="Heading7Char"/>
    <w:qFormat/>
    <w:rsid w:val="00F32856"/>
    <w:pPr>
      <w:numPr>
        <w:ilvl w:val="6"/>
        <w:numId w:val="1"/>
      </w:numPr>
      <w:ind w:left="567" w:hanging="567"/>
      <w:outlineLvl w:val="6"/>
    </w:pPr>
  </w:style>
  <w:style w:type="paragraph" w:styleId="Heading8">
    <w:name w:val="heading 8"/>
    <w:basedOn w:val="Normal"/>
    <w:next w:val="Normal"/>
    <w:link w:val="Heading8Char"/>
    <w:qFormat/>
    <w:rsid w:val="00F32856"/>
    <w:pPr>
      <w:numPr>
        <w:ilvl w:val="7"/>
        <w:numId w:val="1"/>
      </w:numPr>
      <w:ind w:left="567" w:hanging="567"/>
      <w:outlineLvl w:val="7"/>
    </w:pPr>
  </w:style>
  <w:style w:type="paragraph" w:styleId="Heading9">
    <w:name w:val="heading 9"/>
    <w:basedOn w:val="Normal"/>
    <w:next w:val="Normal"/>
    <w:link w:val="Heading9Char"/>
    <w:qFormat/>
    <w:rsid w:val="00F32856"/>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F32856"/>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F32856"/>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F32856"/>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F32856"/>
    <w:pPr>
      <w:ind w:left="720"/>
    </w:pPr>
    <w:rPr>
      <w:i/>
    </w:rPr>
  </w:style>
  <w:style w:type="character" w:styleId="FootnoteReference">
    <w:name w:val="footnote reference"/>
    <w:basedOn w:val="DefaultParagraphFont"/>
    <w:unhideWhenUsed/>
    <w:qFormat/>
    <w:rsid w:val="00F32856"/>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TOC2">
    <w:name w:val="toc 2"/>
    <w:basedOn w:val="Normal"/>
    <w:next w:val="Normal"/>
    <w:autoRedefine/>
    <w:uiPriority w:val="39"/>
    <w:unhideWhenUsed/>
    <w:rsid w:val="00AD320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bg/our-work/opinions-information-reports/opinions/services-de-sante-mentale-de-proximite" TargetMode="External"/><Relationship Id="rId21" Type="http://schemas.openxmlformats.org/officeDocument/2006/relationships/hyperlink" Target="https://www.eesc.europa.eu/bg/our-work/opinions-information-reports/opinions/electronic-value-added-tax-exemption-certificate" TargetMode="External"/><Relationship Id="rId42" Type="http://schemas.openxmlformats.org/officeDocument/2006/relationships/hyperlink" Target="https://www.eesc.europa.eu/bg/our-work/opinions-information-reports/opinions/hydrogene-infrastructures-deploiement-financement-utilisation-et-limites" TargetMode="External"/><Relationship Id="rId47" Type="http://schemas.openxmlformats.org/officeDocument/2006/relationships/hyperlink" Target="mailto:Veronika.Kadlecova@eesc.europa.eu" TargetMode="External"/><Relationship Id="rId63" Type="http://schemas.openxmlformats.org/officeDocument/2006/relationships/hyperlink" Target="mailto:Ewa.Tomaszewska@eesc.europa.eu" TargetMode="External"/><Relationship Id="rId68" Type="http://schemas.openxmlformats.org/officeDocument/2006/relationships/footer" Target="footer4.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Krisztina.PerlakyToth@eesc.europa.eu" TargetMode="External"/><Relationship Id="rId32" Type="http://schemas.openxmlformats.org/officeDocument/2006/relationships/hyperlink" Target="https://www.eesc.europa.eu/bg/our-work/opinions-information-reports/opinions/impact-demography-social-europe" TargetMode="External"/><Relationship Id="rId37" Type="http://schemas.openxmlformats.org/officeDocument/2006/relationships/hyperlink" Target="mailto:Sabrina.Borg@eesc.europa.eu" TargetMode="External"/><Relationship Id="rId40" Type="http://schemas.openxmlformats.org/officeDocument/2006/relationships/hyperlink" Target="https://www.eesc.europa.eu/bg/our-work/opinions-information-reports/opinions/connectivity-package-digital-networks-and-infrastructure" TargetMode="External"/><Relationship Id="rId45" Type="http://schemas.openxmlformats.org/officeDocument/2006/relationships/hyperlink" Target="mailto:Silvia.Staffa@eesc.europa.eu" TargetMode="External"/><Relationship Id="rId53" Type="http://schemas.openxmlformats.org/officeDocument/2006/relationships/hyperlink" Target="mailto:Caroline.Verhelst@eesc.europa.eu" TargetMode="External"/><Relationship Id="rId58" Type="http://schemas.openxmlformats.org/officeDocument/2006/relationships/hyperlink" Target="https://www.eesc.europa.eu/bg/our-work/opinions-information-reports/opinions/just-transition-ensure-sustainable-future-eu-agri-food-systems" TargetMode="External"/><Relationship Id="rId66" Type="http://schemas.openxmlformats.org/officeDocument/2006/relationships/header" Target="header4.xml"/><Relationship Id="rId74" Type="http://schemas.openxmlformats.org/officeDocument/2006/relationships/customXml" Target="../customXml/item1.xml"/><Relationship Id="rId5" Type="http://schemas.openxmlformats.org/officeDocument/2006/relationships/numbering" Target="numbering.xml"/><Relationship Id="rId61" Type="http://schemas.openxmlformats.org/officeDocument/2006/relationships/hyperlink" Target="mailto:David.Hoic@eesc.europa.eu"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bg/our-work/opinions-information-reports/opinions/vat-digital-age" TargetMode="External"/><Relationship Id="rId27" Type="http://schemas.openxmlformats.org/officeDocument/2006/relationships/hyperlink" Target="mailto:Valeria.Atzori@eesc.europa.eu" TargetMode="External"/><Relationship Id="rId30" Type="http://schemas.openxmlformats.org/officeDocument/2006/relationships/hyperlink" Target="https://www.eesc.europa.eu/bg/our-work/opinions-information-reports/opinions/promoting-social-integration-persons-disabilities-and-persons-changed-working-capacity" TargetMode="External"/><Relationship Id="rId35" Type="http://schemas.openxmlformats.org/officeDocument/2006/relationships/hyperlink" Target="mailto:Gabriela.Grasu@eesc.europa.eu" TargetMode="External"/><Relationship Id="rId43" Type="http://schemas.openxmlformats.org/officeDocument/2006/relationships/hyperlink" Target="mailto:GiorgiaAndrea.Bordignon@eesc.europa.eu" TargetMode="External"/><Relationship Id="rId48" Type="http://schemas.openxmlformats.org/officeDocument/2006/relationships/hyperlink" Target="https://www.eesc.europa.eu/bg/our-work/opinions-information-reports/opinions/renforcer-les-exigences-en-matiere-dinformation-des-consommateurs-dans-lue" TargetMode="External"/><Relationship Id="rId56" Type="http://schemas.openxmlformats.org/officeDocument/2006/relationships/hyperlink" Target="https://www.eesc.europa.eu/bg/our-work/opinions-information-reports/opinions/climate-finance-new-roadmap-deliver-high-climate-ambition-and-sdgs" TargetMode="External"/><Relationship Id="rId64" Type="http://schemas.openxmlformats.org/officeDocument/2006/relationships/hyperlink" Target="https://www.eesc.europa.eu/bg/our-work/opinions-information-reports/opinions/sectoral-initiatives-and-overall-competitiveness-eu" TargetMode="External"/><Relationship Id="rId69" Type="http://schemas.openxmlformats.org/officeDocument/2006/relationships/footer" Target="footer5.xml"/><Relationship Id="rId77"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hyperlink" Target="mailto:Marco.Manfroni@eesc.europa.eu" TargetMode="External"/><Relationship Id="rId72" Type="http://schemas.openxmlformats.org/officeDocument/2006/relationships/fontTable" Target="fontTable.xml"/><Relationship Id="rId12" Type="http://schemas.openxmlformats.org/officeDocument/2006/relationships/hyperlink" Target="https://www.eesc.europa.eu/bg/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Triin.AasmaaGomes@eesc.europa.eu" TargetMode="External"/><Relationship Id="rId38" Type="http://schemas.openxmlformats.org/officeDocument/2006/relationships/hyperlink" Target="https://www.eesc.europa.eu/bg/our-work/opinions-information-reports/opinions/droits-en-matiere-de-service-universel-dans-le-domaine-des-communications-electroniques-au-sein-de-lunion-europeenne" TargetMode="External"/><Relationship Id="rId46" Type="http://schemas.openxmlformats.org/officeDocument/2006/relationships/hyperlink" Target="https://www.eesc.europa.eu/bg/our-work/opinions-information-reports/opinions/results-and-experiences-efforts-close-innovation-gap-eu-light-horizon-2020-and-horizon-europe-programme" TargetMode="External"/><Relationship Id="rId59" Type="http://schemas.openxmlformats.org/officeDocument/2006/relationships/hyperlink" Target="mailto:Myrto.Kolyva@eesc.europa.eu" TargetMode="External"/><Relationship Id="rId67" Type="http://schemas.openxmlformats.org/officeDocument/2006/relationships/header" Target="header5.xml"/><Relationship Id="rId20" Type="http://schemas.openxmlformats.org/officeDocument/2006/relationships/hyperlink" Target="mailto:Gemma.Amran@eesc.europa.eu" TargetMode="External"/><Relationship Id="rId41" Type="http://schemas.openxmlformats.org/officeDocument/2006/relationships/hyperlink" Target="mailto:Alessandro.Rizzi@eesc.europa.eu" TargetMode="External"/><Relationship Id="rId54" Type="http://schemas.openxmlformats.org/officeDocument/2006/relationships/hyperlink" Target="https://www.eesc.europa.eu/bg/our-work/opinions-information-reports/opinions/comprehensive-strategy-biodiversity-cop16-bringing-all-sectors-together-common-goal" TargetMode="External"/><Relationship Id="rId62" Type="http://schemas.openxmlformats.org/officeDocument/2006/relationships/hyperlink" Target="https://www.eesc.europa.eu/bg/our-work/opinions-information-reports/opinions/deforestation-amazon-rainforest-impact-climate-change-and-global-environment-consequences-companies-workers-and" TargetMode="External"/><Relationship Id="rId70" Type="http://schemas.openxmlformats.org/officeDocument/2006/relationships/header" Target="header6.xml"/><Relationship Id="rId75"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bg/our-work/opinions-information-reports/opinions/renforcer-laccompagnement-du-dialogue-de-lue-en-faveur-de-la-jeunesse-au-moyen-de-lignes-directrices-en-matiere-de-suivi" TargetMode="External"/><Relationship Id="rId36" Type="http://schemas.openxmlformats.org/officeDocument/2006/relationships/hyperlink" Target="https://www.eesc.europa.eu/bg/our-work/opinions-information-reports/opinions?populate=A+joint+European+degree&amp;related_policies_target_id=All&amp;related_sections=All&amp;opinion_status=All&amp;opinion_type=All&amp;rapporteur=&amp;plenary_session=0&amp;opinion_reference=&amp;field_year_value=&amp;related_events=All&amp;related_observatories=All&amp;body_references_file_name=All&amp;field_body_references_file_nr_value=" TargetMode="External"/><Relationship Id="rId49" Type="http://schemas.openxmlformats.org/officeDocument/2006/relationships/hyperlink" Target="mailto:Yousra.AsbouniElOuahabi@eesc.europa.eu" TargetMode="External"/><Relationship Id="rId57" Type="http://schemas.openxmlformats.org/officeDocument/2006/relationships/hyperlink" Target="mailto:Anna.Cameron@eesc.europa.eu" TargetMode="External"/><Relationship Id="rId10" Type="http://schemas.openxmlformats.org/officeDocument/2006/relationships/endnotes" Target="endnotes.xml"/><Relationship Id="rId31" Type="http://schemas.openxmlformats.org/officeDocument/2006/relationships/hyperlink" Target="mailto:Valeria.Atzori@eesc.europa.eu" TargetMode="External"/><Relationship Id="rId44" Type="http://schemas.openxmlformats.org/officeDocument/2006/relationships/hyperlink" Target="https://www.eesc.europa.eu/bg/our-work/opinions-information-reports/opinions/what-eu-policies-are-needed-enterprisesbusiness-become-competitive-fair-sustainable-stronger-and-more-resilient-way" TargetMode="External"/><Relationship Id="rId52" Type="http://schemas.openxmlformats.org/officeDocument/2006/relationships/hyperlink" Target="https://www.eesc.europa.eu/bg/our-work/opinions-information-reports/opinions/blueprint-european-green-and-social-deal-based-wellbeing-economy" TargetMode="External"/><Relationship Id="rId60" Type="http://schemas.openxmlformats.org/officeDocument/2006/relationships/hyperlink" Target="https://www.eesc.europa.eu/bg/our-work/opinions-information-reports/opinions/paving-way-eu-accession-western-balkans" TargetMode="External"/><Relationship Id="rId65" Type="http://schemas.openxmlformats.org/officeDocument/2006/relationships/hyperlink" Target="mailto:Adam.Dorywalski@eesc.europa.eu" TargetMode="External"/><Relationship Id="rId73" Type="http://schemas.openxmlformats.org/officeDocument/2006/relationships/theme" Target="theme/theme1.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Alessandro.Rizzi@eesc.europa.eu" TargetMode="External"/><Relationship Id="rId34" Type="http://schemas.openxmlformats.org/officeDocument/2006/relationships/hyperlink" Target="https://www.eesc.europa.eu/bg/our-work/opinions-information-reports/opinions/promoting-european-intergenerational-solidarity-towards-eu-horizontal-approach" TargetMode="External"/><Relationship Id="rId50" Type="http://schemas.openxmlformats.org/officeDocument/2006/relationships/hyperlink" Target="https://www.eesc.europa.eu/bg/our-work/opinions-information-reports/opinions/how-recalibrate-green-deal-it-fits-purpose" TargetMode="External"/><Relationship Id="rId55" Type="http://schemas.openxmlformats.org/officeDocument/2006/relationships/hyperlink" Target="mailto:Gaia.Bottoni@eesc.europa.eu" TargetMode="External"/><Relationship Id="rId76" Type="http://schemas.openxmlformats.org/officeDocument/2006/relationships/customXml" Target="../customXml/item3.xml"/><Relationship Id="rId7" Type="http://schemas.openxmlformats.org/officeDocument/2006/relationships/settings" Target="setting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F7M6YNZUATRX-789077548-6443</_dlc_DocId>
    <_dlc_DocIdUrl xmlns="59ace41b-6786-4ce3-be71-52c27066c6ef">
      <Url>http://dm/eesc/2024/_layouts/15/DocIdRedir.aspx?ID=F7M6YNZUATRX-789077548-6443</Url>
      <Description>F7M6YNZUATRX-789077548-6443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2024-10-14T12:00:00+00:00</ProductionDate>
    <DocumentNumber xmlns="36007a90-28ab-40da-967b-595e4ec83007">2813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2024-10-23T12:00:00+00:00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10099</FicheNumber>
    <OriginalSender xmlns="59ace41b-6786-4ce3-be71-52c27066c6ef">
      <UserInfo>
        <DisplayName>Ilieva Albena</DisplayName>
        <AccountId>1557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591</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24FADD-476A-4E2D-8B30-596595C840EA}"/>
</file>

<file path=customXml/itemProps2.xml><?xml version="1.0" encoding="utf-8"?>
<ds:datastoreItem xmlns:ds="http://schemas.openxmlformats.org/officeDocument/2006/customXml" ds:itemID="{8D4C030A-255F-44DA-BCB8-3D4728EB6D55}"/>
</file>

<file path=customXml/itemProps3.xml><?xml version="1.0" encoding="utf-8"?>
<ds:datastoreItem xmlns:ds="http://schemas.openxmlformats.org/officeDocument/2006/customXml" ds:itemID="{1D129D48-6313-4D05-A3F0-BFF1594D6A16}"/>
</file>

<file path=customXml/itemProps4.xml><?xml version="1.0" encoding="utf-8"?>
<ds:datastoreItem xmlns:ds="http://schemas.openxmlformats.org/officeDocument/2006/customXml" ds:itemID="{E15A5731-11E0-40A7-B6E9-201D24D492A0}"/>
</file>

<file path=docProps/app.xml><?xml version="1.0" encoding="utf-8"?>
<Properties xmlns="http://schemas.openxmlformats.org/officeDocument/2006/extended-properties" xmlns:vt="http://schemas.openxmlformats.org/officeDocument/2006/docPropsVTypes">
  <Template>Normal.dotm</Template>
  <TotalTime>0</TotalTime>
  <Pages>37</Pages>
  <Words>10461</Words>
  <Characters>59629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69951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Обобщение на приетите становища - 590-а пленарна сесия - септември 2024 г.</dc:title>
  <dc:subject>TCD</dc:subject>
  <dc:creator>Nieddu Emma</dc:creator>
  <cp:keywords>EESC-2024-02813-00-01-TCD-TRA-EN</cp:keywords>
  <dc:description>Rapporteur:  - Original language: EN - Date of document: 14/10/2024 - Date of meeting: 30/23/2024 14:30 - External documents:  - Administrator: MME TAMASAUSKIENE Julija</dc:description>
  <cp:lastModifiedBy>Ilieva Albena</cp:lastModifiedBy>
  <cp:revision>5</cp:revision>
  <dcterms:created xsi:type="dcterms:W3CDTF">2024-10-14T09:46:00Z</dcterms:created>
  <dcterms:modified xsi:type="dcterms:W3CDTF">2024-10-14T09:47:00Z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02/10/2024, 02/05/2022, 02/05/2022, 28/06/2021</vt:lpwstr>
  </property>
  <property fmtid="{D5CDD505-2E9C-101B-9397-08002B2CF9AE}" pid="4" name="Pref_Time">
    <vt:lpwstr>09:08:00, 12:28:29, 12:25:37, 08:41:48</vt:lpwstr>
  </property>
  <property fmtid="{D5CDD505-2E9C-101B-9397-08002B2CF9AE}" pid="5" name="Pref_User">
    <vt:lpwstr>amett, enied, enied, enied</vt:lpwstr>
  </property>
  <property fmtid="{D5CDD505-2E9C-101B-9397-08002B2CF9AE}" pid="6" name="Pref_FileName">
    <vt:lpwstr>EESC-2024-02813-00-00-TCD-ORI.docx, Summary of opinions.docx, COR-EESC-2022-02370-00-00-ADMIN-ORI.docx, Synthese des avis Template.docx</vt:lpwstr>
  </property>
  <property fmtid="{D5CDD505-2E9C-101B-9397-08002B2CF9AE}" pid="7" name="ContentTypeId">
    <vt:lpwstr>0x010100EA97B91038054C99906057A708A1480A00C9C698F2971CE54890F427AFE3EB568F</vt:lpwstr>
  </property>
  <property fmtid="{D5CDD505-2E9C-101B-9397-08002B2CF9AE}" pid="8" name="_dlc_DocIdItemGuid">
    <vt:lpwstr>8d376889-8e89-4332-a3e3-2a587295dd5b</vt:lpwstr>
  </property>
  <property fmtid="{D5CDD505-2E9C-101B-9397-08002B2CF9AE}" pid="9" name="AvailableTranslations">
    <vt:lpwstr>32;#HU|6b229040-c589-4408-b4c1-4285663d20a8;#31;#NL|55c6556c-b4f4-441d-9acf-c498d4f838bd;#34;#LT|a7ff5ce7-6123-4f68-865a-a57c31810414;#17;#PL|1e03da61-4678-4e07-b136-b5024ca9197b;#22;#BG|1a1b3951-7821-4e6a-85f5-5673fc08bd2c;#33;#ET|ff6c3f4c-b02c-4c3c-ab07-2c37995a7a0a;#29;#EL|6d4f4d51-af9b-4650-94b4-4276bee85c91;#43;#CS|72f9705b-0217-4fd3-bea2-cbc7ed80e26e;#28;#LV|46f7e311-5d9f-4663-b433-18aeccb7ace7;#12;#IT|0774613c-01ed-4e5d-a25d-11d2388de825;#35;#FI|87606a43-d45f-42d6-b8c9-e1a3457db5b7;#5;#EN|f2175f21-25d7-44a3-96da-d6a61b075e1b;#36;#PT|50ccc04a-eadd-42ae-a0cb-acaf45f812ba;#30;#HR|2f555653-ed1a-4fe6-8362-9082d95989e5;#14;#FR|d2afafd3-4c81-4f60-8f52-ee33f2f54ff3;#24;#ES|e7a6b05b-ae16-40c8-add9-68b64b03aeba;#25;#DE|f6b31e5a-26fa-4935-b661-318e46daf27e;#37;#RO|feb747a2-64cd-4299-af12-4833ddc30497;#16;#DA|5d49c027-8956-412b-aa16-e85a0f96ad0e;#21;#SV|c2ed69e7-a339-43d7-8f22-d93680a92aa0;#26;#SK|46d9fce0-ef79-4f71-b89b-cd6aa82426b8;#27;#SL|98a412ae-eb01-49e9-ae3d-585a81724cfc</vt:lpwstr>
  </property>
  <property fmtid="{D5CDD505-2E9C-101B-9397-08002B2CF9AE}" pid="10" name="DocumentType_0">
    <vt:lpwstr>TCD|cd9d6eb6-3f4f-424a-b2d1-57c9d450eaaf</vt:lpwstr>
  </property>
  <property fmtid="{D5CDD505-2E9C-101B-9397-08002B2CF9AE}" pid="11" name="MeetingNumber">
    <vt:i4>591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2024-10-23T12:00:00Z</vt:filetime>
  </property>
  <property fmtid="{D5CDD505-2E9C-101B-9397-08002B2CF9AE}" pid="29" name="AvailableTranslations_0">
    <vt:lpwstr>HU|6b229040-c589-4408-b4c1-4285663d20a8;NL|55c6556c-b4f4-441d-9acf-c498d4f838bd;EN|f2175f21-25d7-44a3-96da-d6a61b075e1b;RO|feb747a2-64cd-4299-af12-4833ddc30497;SL|98a412ae-eb01-49e9-ae3d-585a81724cfc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37;#RO|feb747a2-64cd-4299-af12-4833ddc30497;#32;#HU|6b229040-c589-4408-b4c1-4285663d20a8;#31;#NL|55c6556c-b4f4-441d-9acf-c498d4f838bd;#13;#TCD|cd9d6eb6-3f4f-424a-b2d1-57c9d450eaaf;#27;#SL|98a412ae-eb01-49e9-ae3d-585a81724cfc;#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10099</vt:i4>
  </property>
  <property fmtid="{D5CDD505-2E9C-101B-9397-08002B2CF9AE}" pid="37" name="DocumentLanguage">
    <vt:lpwstr>22;#BG|1a1b3951-7821-4e6a-85f5-5673fc08bd2c</vt:lpwstr>
  </property>
  <property fmtid="{D5CDD505-2E9C-101B-9397-08002B2CF9AE}" pid="38" name="_docset_NoMedatataSyncRequired">
    <vt:lpwstr>False</vt:lpwstr>
  </property>
</Properties>
</file>