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10CD7" w14:textId="01469B60" w:rsidR="00FC5ABB" w:rsidRPr="00DB5512" w:rsidRDefault="0042120B" w:rsidP="0042120B">
      <w:pPr>
        <w:keepLines/>
        <w:pBdr>
          <w:top w:val="nil"/>
          <w:left w:val="nil"/>
          <w:bottom w:val="nil"/>
          <w:right w:val="nil"/>
          <w:between w:val="nil"/>
        </w:pBdr>
        <w:spacing w:after="60" w:line="240" w:lineRule="auto"/>
        <w:ind w:left="-567"/>
        <w:jc w:val="center"/>
        <w:rPr>
          <w:color w:val="000000"/>
          <w:sz w:val="16"/>
          <w:szCs w:val="16"/>
        </w:rPr>
      </w:pPr>
      <w:bookmarkStart w:id="0" w:name="_Hlk164247943"/>
      <w:bookmarkStart w:id="1" w:name="_Hlk139869172"/>
      <w:bookmarkEnd w:id="0"/>
      <w:r w:rsidRPr="00DB5512">
        <w:rPr>
          <w:rFonts w:ascii="Verdana" w:hAnsi="Verdana"/>
          <w:noProof/>
          <w:sz w:val="20"/>
        </w:rPr>
        <w:drawing>
          <wp:inline distT="0" distB="0" distL="0" distR="0" wp14:anchorId="0CC35492" wp14:editId="3C901C56">
            <wp:extent cx="5731510" cy="1389380"/>
            <wp:effectExtent l="0" t="0" r="254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C-PressRelease-EN-wordheader.jpg"/>
                    <pic:cNvPicPr/>
                  </pic:nvPicPr>
                  <pic:blipFill>
                    <a:blip r:embed="rId8">
                      <a:extLst>
                        <a:ext uri="{28A0092B-C50C-407E-A947-70E740481C1C}">
                          <a14:useLocalDpi xmlns:a14="http://schemas.microsoft.com/office/drawing/2010/main" val="0"/>
                        </a:ext>
                      </a:extLst>
                    </a:blip>
                    <a:stretch>
                      <a:fillRect/>
                    </a:stretch>
                  </pic:blipFill>
                  <pic:spPr>
                    <a:xfrm>
                      <a:off x="0" y="0"/>
                      <a:ext cx="5731510" cy="1389380"/>
                    </a:xfrm>
                    <a:prstGeom prst="rect">
                      <a:avLst/>
                    </a:prstGeom>
                  </pic:spPr>
                </pic:pic>
              </a:graphicData>
            </a:graphic>
          </wp:inline>
        </w:drawing>
      </w:r>
    </w:p>
    <w:p w14:paraId="3EC67B95" w14:textId="77777777" w:rsidR="00FC5ABB" w:rsidRPr="00DB5512" w:rsidRDefault="00FC5ABB">
      <w:pPr>
        <w:keepLines/>
        <w:pBdr>
          <w:top w:val="nil"/>
          <w:left w:val="nil"/>
          <w:bottom w:val="nil"/>
          <w:right w:val="nil"/>
          <w:between w:val="nil"/>
        </w:pBdr>
        <w:spacing w:after="60" w:line="240" w:lineRule="auto"/>
        <w:ind w:left="567" w:hanging="567"/>
        <w:rPr>
          <w:color w:val="000000"/>
          <w:sz w:val="16"/>
          <w:szCs w:val="16"/>
        </w:rPr>
      </w:pPr>
    </w:p>
    <w:tbl>
      <w:tblPr>
        <w:tblStyle w:val="a"/>
        <w:tblW w:w="9073" w:type="dxa"/>
        <w:tblLayout w:type="fixed"/>
        <w:tblLook w:val="0000" w:firstRow="0" w:lastRow="0" w:firstColumn="0" w:lastColumn="0" w:noHBand="0" w:noVBand="0"/>
      </w:tblPr>
      <w:tblGrid>
        <w:gridCol w:w="5047"/>
        <w:gridCol w:w="4026"/>
      </w:tblGrid>
      <w:tr w:rsidR="00FC5ABB" w:rsidRPr="00DB5512" w14:paraId="64A9763A" w14:textId="77777777">
        <w:tc>
          <w:tcPr>
            <w:tcW w:w="5047" w:type="dxa"/>
          </w:tcPr>
          <w:p w14:paraId="5F7FD70C" w14:textId="659B8B03" w:rsidR="00FC5ABB" w:rsidRPr="00DB5512" w:rsidRDefault="000834B4">
            <w:pPr>
              <w:spacing w:line="240" w:lineRule="auto"/>
              <w:rPr>
                <w:rFonts w:ascii="Verdana" w:eastAsia="Verdana" w:hAnsi="Verdana" w:cs="Verdana"/>
                <w:b/>
                <w:sz w:val="18"/>
                <w:szCs w:val="18"/>
              </w:rPr>
            </w:pPr>
            <w:r w:rsidRPr="00DB5512">
              <w:rPr>
                <w:rFonts w:ascii="Verdana" w:eastAsia="Verdana" w:hAnsi="Verdana" w:cs="Verdana"/>
                <w:b/>
                <w:sz w:val="18"/>
                <w:szCs w:val="18"/>
              </w:rPr>
              <w:t xml:space="preserve">No </w:t>
            </w:r>
            <w:r w:rsidR="000C0B2E">
              <w:rPr>
                <w:rFonts w:ascii="Verdana" w:eastAsia="Verdana" w:hAnsi="Verdana" w:cs="Verdana"/>
                <w:b/>
                <w:sz w:val="18"/>
                <w:szCs w:val="18"/>
              </w:rPr>
              <w:t>48</w:t>
            </w:r>
            <w:r w:rsidR="00861084" w:rsidRPr="00DB5512">
              <w:rPr>
                <w:rFonts w:ascii="Verdana" w:eastAsia="Verdana" w:hAnsi="Verdana" w:cs="Verdana"/>
                <w:b/>
                <w:sz w:val="18"/>
                <w:szCs w:val="18"/>
              </w:rPr>
              <w:t xml:space="preserve"> </w:t>
            </w:r>
            <w:r w:rsidRPr="00DB5512">
              <w:rPr>
                <w:rFonts w:ascii="Verdana" w:eastAsia="Verdana" w:hAnsi="Verdana" w:cs="Verdana"/>
                <w:b/>
                <w:sz w:val="18"/>
                <w:szCs w:val="18"/>
              </w:rPr>
              <w:t>/ 20</w:t>
            </w:r>
            <w:r w:rsidR="00A40BFD" w:rsidRPr="00DB5512">
              <w:rPr>
                <w:rFonts w:ascii="Verdana" w:eastAsia="Verdana" w:hAnsi="Verdana" w:cs="Verdana"/>
                <w:b/>
                <w:sz w:val="18"/>
                <w:szCs w:val="18"/>
              </w:rPr>
              <w:t>2</w:t>
            </w:r>
            <w:r w:rsidR="00A30E97" w:rsidRPr="00DB5512">
              <w:rPr>
                <w:rFonts w:ascii="Verdana" w:eastAsia="Verdana" w:hAnsi="Verdana" w:cs="Verdana"/>
                <w:b/>
                <w:sz w:val="18"/>
                <w:szCs w:val="18"/>
              </w:rPr>
              <w:t>4</w:t>
            </w:r>
          </w:p>
        </w:tc>
        <w:tc>
          <w:tcPr>
            <w:tcW w:w="4026" w:type="dxa"/>
          </w:tcPr>
          <w:p w14:paraId="4669D1FB" w14:textId="7ED3F54D" w:rsidR="00FC5ABB" w:rsidRPr="00DB5512" w:rsidRDefault="00FF0652">
            <w:pPr>
              <w:spacing w:line="240" w:lineRule="auto"/>
              <w:jc w:val="right"/>
              <w:rPr>
                <w:rFonts w:ascii="Verdana" w:eastAsia="Verdana" w:hAnsi="Verdana" w:cs="Verdana"/>
                <w:b/>
                <w:sz w:val="18"/>
                <w:szCs w:val="18"/>
              </w:rPr>
            </w:pPr>
            <w:r w:rsidRPr="00DB5512">
              <w:rPr>
                <w:rFonts w:ascii="Verdana" w:eastAsia="Verdana" w:hAnsi="Verdana" w:cs="Verdana"/>
                <w:b/>
                <w:sz w:val="18"/>
                <w:szCs w:val="18"/>
              </w:rPr>
              <w:t>26</w:t>
            </w:r>
            <w:r w:rsidR="000834B4" w:rsidRPr="00DB5512">
              <w:rPr>
                <w:rFonts w:ascii="Verdana" w:eastAsia="Verdana" w:hAnsi="Verdana" w:cs="Verdana"/>
                <w:b/>
                <w:sz w:val="18"/>
                <w:szCs w:val="18"/>
              </w:rPr>
              <w:t xml:space="preserve"> </w:t>
            </w:r>
            <w:r w:rsidRPr="00DB5512">
              <w:rPr>
                <w:rFonts w:ascii="Verdana" w:eastAsia="Verdana" w:hAnsi="Verdana" w:cs="Verdana"/>
                <w:b/>
                <w:sz w:val="18"/>
                <w:szCs w:val="18"/>
              </w:rPr>
              <w:t>September</w:t>
            </w:r>
            <w:r w:rsidR="000834B4" w:rsidRPr="00DB5512">
              <w:rPr>
                <w:rFonts w:ascii="Verdana" w:eastAsia="Verdana" w:hAnsi="Verdana" w:cs="Verdana"/>
                <w:b/>
                <w:sz w:val="18"/>
                <w:szCs w:val="18"/>
              </w:rPr>
              <w:t xml:space="preserve"> 202</w:t>
            </w:r>
            <w:r w:rsidRPr="00DB5512">
              <w:rPr>
                <w:rFonts w:ascii="Verdana" w:eastAsia="Verdana" w:hAnsi="Verdana" w:cs="Verdana"/>
                <w:b/>
                <w:sz w:val="18"/>
                <w:szCs w:val="18"/>
              </w:rPr>
              <w:t>4</w:t>
            </w:r>
          </w:p>
        </w:tc>
      </w:tr>
    </w:tbl>
    <w:p w14:paraId="54298C6D" w14:textId="77777777" w:rsidR="00FC5ABB" w:rsidRPr="00DB5512" w:rsidRDefault="00FC5ABB">
      <w:pPr>
        <w:keepLines/>
        <w:pBdr>
          <w:top w:val="nil"/>
          <w:left w:val="nil"/>
          <w:bottom w:val="nil"/>
          <w:right w:val="nil"/>
          <w:between w:val="nil"/>
        </w:pBdr>
        <w:spacing w:after="60" w:line="240" w:lineRule="auto"/>
        <w:ind w:left="567" w:hanging="567"/>
        <w:rPr>
          <w:color w:val="000000"/>
          <w:sz w:val="16"/>
          <w:szCs w:val="16"/>
        </w:rPr>
      </w:pPr>
    </w:p>
    <w:p w14:paraId="58FD0704" w14:textId="77777777" w:rsidR="00FC5ABB" w:rsidRPr="00DB5512" w:rsidRDefault="00FC5ABB">
      <w:pPr>
        <w:jc w:val="center"/>
        <w:rPr>
          <w:rFonts w:ascii="Verdana" w:eastAsia="Verdana" w:hAnsi="Verdana" w:cs="Verdana"/>
          <w:b/>
          <w:color w:val="0070C0"/>
          <w:sz w:val="24"/>
          <w:szCs w:val="24"/>
        </w:rPr>
      </w:pPr>
    </w:p>
    <w:p w14:paraId="0604AA1C" w14:textId="03C52FFD" w:rsidR="00CE0574" w:rsidRPr="00DB5512" w:rsidRDefault="000834B4" w:rsidP="004D5055">
      <w:pPr>
        <w:jc w:val="center"/>
        <w:rPr>
          <w:rFonts w:ascii="Verdana" w:eastAsia="Verdana" w:hAnsi="Verdana" w:cs="Verdana"/>
          <w:b/>
          <w:sz w:val="24"/>
          <w:szCs w:val="24"/>
        </w:rPr>
      </w:pPr>
      <w:bookmarkStart w:id="2" w:name="_Hlk139639856"/>
      <w:r w:rsidRPr="00DB5512">
        <w:rPr>
          <w:rFonts w:ascii="Verdana" w:eastAsia="Verdana" w:hAnsi="Verdana" w:cs="Verdana"/>
          <w:b/>
          <w:color w:val="0070C0"/>
          <w:sz w:val="28"/>
          <w:szCs w:val="28"/>
        </w:rPr>
        <w:t xml:space="preserve">EESC </w:t>
      </w:r>
      <w:r w:rsidR="001A2495" w:rsidRPr="00DB5512">
        <w:rPr>
          <w:rFonts w:ascii="Verdana" w:eastAsia="Verdana" w:hAnsi="Verdana" w:cs="Verdana"/>
          <w:b/>
          <w:color w:val="0070C0"/>
          <w:sz w:val="28"/>
          <w:szCs w:val="28"/>
        </w:rPr>
        <w:t>opens applications for</w:t>
      </w:r>
      <w:r w:rsidR="009E7EF4" w:rsidRPr="00DB5512">
        <w:rPr>
          <w:rFonts w:ascii="Verdana" w:eastAsia="Verdana" w:hAnsi="Verdana" w:cs="Verdana"/>
          <w:b/>
          <w:color w:val="0070C0"/>
          <w:sz w:val="28"/>
          <w:szCs w:val="28"/>
        </w:rPr>
        <w:t xml:space="preserve"> </w:t>
      </w:r>
      <w:r w:rsidR="00112B67" w:rsidRPr="00DB5512">
        <w:rPr>
          <w:rFonts w:ascii="Verdana" w:eastAsia="Verdana" w:hAnsi="Verdana" w:cs="Verdana"/>
          <w:b/>
          <w:color w:val="0070C0"/>
          <w:sz w:val="28"/>
          <w:szCs w:val="28"/>
        </w:rPr>
        <w:t xml:space="preserve">its </w:t>
      </w:r>
      <w:r w:rsidRPr="00DB5512">
        <w:rPr>
          <w:rFonts w:ascii="Verdana" w:eastAsia="Verdana" w:hAnsi="Verdana" w:cs="Verdana"/>
          <w:b/>
          <w:color w:val="0070C0"/>
          <w:sz w:val="28"/>
          <w:szCs w:val="28"/>
        </w:rPr>
        <w:t xml:space="preserve">Civil Society Prize </w:t>
      </w:r>
      <w:r w:rsidR="006F6682" w:rsidRPr="00DB5512">
        <w:rPr>
          <w:rFonts w:ascii="Verdana" w:eastAsia="Verdana" w:hAnsi="Verdana" w:cs="Verdana"/>
          <w:b/>
          <w:color w:val="0070C0"/>
          <w:sz w:val="28"/>
          <w:szCs w:val="28"/>
        </w:rPr>
        <w:t xml:space="preserve">on </w:t>
      </w:r>
      <w:r w:rsidR="00FF0652" w:rsidRPr="00DB5512">
        <w:rPr>
          <w:rFonts w:ascii="Verdana" w:eastAsia="Verdana" w:hAnsi="Verdana" w:cs="Verdana"/>
          <w:b/>
          <w:color w:val="0070C0"/>
          <w:sz w:val="28"/>
          <w:szCs w:val="28"/>
        </w:rPr>
        <w:t>combating harmful polarisation of European society</w:t>
      </w:r>
      <w:r w:rsidR="00CE0574" w:rsidRPr="00DB5512">
        <w:rPr>
          <w:rFonts w:ascii="Verdana" w:eastAsia="Verdana" w:hAnsi="Verdana" w:cs="Verdana"/>
          <w:b/>
          <w:color w:val="0070C0"/>
          <w:sz w:val="24"/>
          <w:szCs w:val="24"/>
        </w:rPr>
        <w:t xml:space="preserve"> </w:t>
      </w:r>
    </w:p>
    <w:bookmarkEnd w:id="2"/>
    <w:p w14:paraId="5449D043" w14:textId="77777777" w:rsidR="00FC5ABB" w:rsidRPr="00DB5512" w:rsidRDefault="00FC5ABB" w:rsidP="004D5055">
      <w:pPr>
        <w:rPr>
          <w:rFonts w:ascii="Verdana" w:eastAsia="Verdana" w:hAnsi="Verdana" w:cs="Verdana"/>
          <w:b/>
        </w:rPr>
      </w:pPr>
    </w:p>
    <w:p w14:paraId="5838A3FB" w14:textId="5AEEB9D3" w:rsidR="00EF2A9D" w:rsidRPr="00DB5512" w:rsidRDefault="00EF2A9D" w:rsidP="004D5055">
      <w:pPr>
        <w:spacing w:before="120" w:after="120"/>
        <w:rPr>
          <w:rFonts w:ascii="Verdana" w:eastAsia="Verdana" w:hAnsi="Verdana" w:cs="Verdana"/>
          <w:b/>
        </w:rPr>
      </w:pPr>
      <w:r w:rsidRPr="00DB5512">
        <w:rPr>
          <w:rFonts w:ascii="Verdana" w:eastAsia="Verdana" w:hAnsi="Verdana" w:cs="Verdana"/>
          <w:b/>
          <w:color w:val="002060"/>
        </w:rPr>
        <w:t xml:space="preserve">Civil society organisations, individuals and </w:t>
      </w:r>
      <w:r w:rsidR="009E7EF4" w:rsidRPr="00DB5512">
        <w:rPr>
          <w:rFonts w:ascii="Verdana" w:eastAsia="Verdana" w:hAnsi="Verdana" w:cs="Verdana"/>
          <w:b/>
          <w:color w:val="002060"/>
        </w:rPr>
        <w:t xml:space="preserve">private </w:t>
      </w:r>
      <w:r w:rsidRPr="00DB5512">
        <w:rPr>
          <w:rFonts w:ascii="Verdana" w:eastAsia="Verdana" w:hAnsi="Verdana" w:cs="Verdana"/>
          <w:b/>
          <w:color w:val="002060"/>
        </w:rPr>
        <w:t>companies can now enter their non-profit projects for the</w:t>
      </w:r>
      <w:r w:rsidR="009E7EF4" w:rsidRPr="00DB5512">
        <w:rPr>
          <w:rFonts w:ascii="Verdana" w:eastAsia="Verdana" w:hAnsi="Verdana" w:cs="Verdana"/>
          <w:b/>
          <w:color w:val="002060"/>
        </w:rPr>
        <w:t xml:space="preserve"> EESC</w:t>
      </w:r>
      <w:r w:rsidR="00DB5512">
        <w:rPr>
          <w:rFonts w:ascii="Verdana" w:eastAsia="Verdana" w:hAnsi="Verdana" w:cs="Verdana"/>
          <w:b/>
          <w:color w:val="002060"/>
        </w:rPr>
        <w:t>’</w:t>
      </w:r>
      <w:r w:rsidR="009E7EF4" w:rsidRPr="00DB5512">
        <w:rPr>
          <w:rFonts w:ascii="Verdana" w:eastAsia="Verdana" w:hAnsi="Verdana" w:cs="Verdana"/>
          <w:b/>
          <w:color w:val="002060"/>
        </w:rPr>
        <w:t xml:space="preserve">s prize dedicated to </w:t>
      </w:r>
      <w:r w:rsidR="00DD37FB" w:rsidRPr="00DB5512">
        <w:rPr>
          <w:rFonts w:ascii="Verdana" w:eastAsia="Verdana" w:hAnsi="Verdana" w:cs="Verdana"/>
          <w:b/>
          <w:color w:val="002060"/>
        </w:rPr>
        <w:t>combating the harmful polarisation of European society</w:t>
      </w:r>
    </w:p>
    <w:p w14:paraId="3578D21B" w14:textId="77777777" w:rsidR="00FC5ABB" w:rsidRPr="00DB5512" w:rsidRDefault="00FC5ABB" w:rsidP="004D5055">
      <w:pPr>
        <w:spacing w:before="120" w:after="120"/>
        <w:rPr>
          <w:rFonts w:ascii="Verdana" w:eastAsia="Verdana" w:hAnsi="Verdana" w:cs="Verdana"/>
          <w:b/>
        </w:rPr>
      </w:pPr>
    </w:p>
    <w:p w14:paraId="00A603B3" w14:textId="7EE6F526" w:rsidR="00D57E6C" w:rsidRPr="00DB5512" w:rsidRDefault="000834B4" w:rsidP="004D5055">
      <w:pPr>
        <w:spacing w:before="120" w:after="120"/>
        <w:rPr>
          <w:rFonts w:ascii="Verdana" w:eastAsia="Verdana" w:hAnsi="Verdana" w:cs="Verdana"/>
          <w:sz w:val="18"/>
          <w:szCs w:val="18"/>
        </w:rPr>
      </w:pPr>
      <w:r w:rsidRPr="00DB5512">
        <w:rPr>
          <w:rFonts w:ascii="Verdana" w:eastAsia="Verdana" w:hAnsi="Verdana" w:cs="Verdana"/>
          <w:sz w:val="18"/>
          <w:szCs w:val="18"/>
        </w:rPr>
        <w:t xml:space="preserve">The </w:t>
      </w:r>
      <w:r w:rsidRPr="00DB5512">
        <w:rPr>
          <w:rFonts w:ascii="Verdana" w:eastAsia="Verdana" w:hAnsi="Verdana" w:cs="Verdana"/>
          <w:b/>
          <w:bCs/>
          <w:sz w:val="18"/>
          <w:szCs w:val="18"/>
        </w:rPr>
        <w:t>European Economic and Social Committee (EESC)</w:t>
      </w:r>
      <w:r w:rsidR="00EF2A9D" w:rsidRPr="00DB5512">
        <w:rPr>
          <w:rFonts w:ascii="Verdana" w:eastAsia="Verdana" w:hAnsi="Verdana" w:cs="Verdana"/>
          <w:sz w:val="18"/>
          <w:szCs w:val="18"/>
        </w:rPr>
        <w:t xml:space="preserve"> </w:t>
      </w:r>
      <w:r w:rsidR="009E7EF4" w:rsidRPr="00DB5512">
        <w:rPr>
          <w:rFonts w:ascii="Verdana" w:eastAsia="Verdana" w:hAnsi="Verdana" w:cs="Verdana"/>
          <w:sz w:val="18"/>
          <w:szCs w:val="18"/>
        </w:rPr>
        <w:t>has launched</w:t>
      </w:r>
      <w:r w:rsidR="00A451F2" w:rsidRPr="00DB5512">
        <w:rPr>
          <w:rFonts w:ascii="Verdana" w:eastAsia="Verdana" w:hAnsi="Verdana" w:cs="Verdana"/>
          <w:sz w:val="18"/>
          <w:szCs w:val="18"/>
        </w:rPr>
        <w:t xml:space="preserve"> </w:t>
      </w:r>
      <w:r w:rsidRPr="00DB5512">
        <w:rPr>
          <w:rFonts w:ascii="Verdana" w:eastAsia="Verdana" w:hAnsi="Verdana" w:cs="Verdana"/>
          <w:sz w:val="18"/>
          <w:szCs w:val="18"/>
        </w:rPr>
        <w:t xml:space="preserve">its </w:t>
      </w:r>
      <w:r w:rsidR="007D4906" w:rsidRPr="00DB5512">
        <w:rPr>
          <w:rFonts w:ascii="Verdana" w:eastAsia="Verdana" w:hAnsi="Verdana" w:cs="Verdana"/>
          <w:sz w:val="18"/>
          <w:szCs w:val="18"/>
        </w:rPr>
        <w:t>1</w:t>
      </w:r>
      <w:r w:rsidR="00DD37FB" w:rsidRPr="00DB5512">
        <w:rPr>
          <w:rFonts w:ascii="Verdana" w:eastAsia="Verdana" w:hAnsi="Verdana" w:cs="Verdana"/>
          <w:sz w:val="18"/>
          <w:szCs w:val="18"/>
        </w:rPr>
        <w:t>5</w:t>
      </w:r>
      <w:r w:rsidR="007D4906" w:rsidRPr="00FD60D2">
        <w:rPr>
          <w:rFonts w:ascii="Verdana" w:eastAsia="Verdana" w:hAnsi="Verdana" w:cs="Verdana"/>
          <w:sz w:val="18"/>
          <w:szCs w:val="18"/>
        </w:rPr>
        <w:t>th</w:t>
      </w:r>
      <w:r w:rsidR="007D4906" w:rsidRPr="00DB5512">
        <w:rPr>
          <w:rFonts w:ascii="Verdana" w:eastAsia="Verdana" w:hAnsi="Verdana" w:cs="Verdana"/>
          <w:sz w:val="18"/>
          <w:szCs w:val="18"/>
        </w:rPr>
        <w:t xml:space="preserve"> </w:t>
      </w:r>
      <w:r w:rsidRPr="00DB5512">
        <w:rPr>
          <w:rFonts w:ascii="Verdana" w:eastAsia="Verdana" w:hAnsi="Verdana" w:cs="Verdana"/>
          <w:sz w:val="18"/>
          <w:szCs w:val="18"/>
        </w:rPr>
        <w:t xml:space="preserve">Civil Society Prize. </w:t>
      </w:r>
      <w:r w:rsidR="00D57E6C" w:rsidRPr="00DB5512">
        <w:rPr>
          <w:rFonts w:ascii="Verdana" w:eastAsia="Verdana" w:hAnsi="Verdana" w:cs="Verdana"/>
          <w:sz w:val="18"/>
          <w:szCs w:val="18"/>
        </w:rPr>
        <w:t xml:space="preserve">The specific objective of this edition is to reward effective, innovative and creative non-for-profit initiatives/activities carried out in the EU </w:t>
      </w:r>
      <w:r w:rsidR="00946A45">
        <w:rPr>
          <w:rFonts w:ascii="Verdana" w:eastAsia="Verdana" w:hAnsi="Verdana" w:cs="Verdana"/>
          <w:sz w:val="18"/>
          <w:szCs w:val="18"/>
        </w:rPr>
        <w:t>that</w:t>
      </w:r>
      <w:r w:rsidR="00946A45" w:rsidRPr="00DB5512">
        <w:rPr>
          <w:rFonts w:ascii="Verdana" w:eastAsia="Verdana" w:hAnsi="Verdana" w:cs="Verdana"/>
          <w:sz w:val="18"/>
          <w:szCs w:val="18"/>
        </w:rPr>
        <w:t xml:space="preserve"> </w:t>
      </w:r>
      <w:r w:rsidR="00D57E6C" w:rsidRPr="00DB5512">
        <w:rPr>
          <w:rFonts w:ascii="Verdana" w:eastAsia="Verdana" w:hAnsi="Verdana" w:cs="Verdana"/>
          <w:b/>
          <w:bCs/>
          <w:sz w:val="18"/>
          <w:szCs w:val="18"/>
        </w:rPr>
        <w:t>combat harmful polarisation of European society</w:t>
      </w:r>
      <w:r w:rsidR="00D57E6C" w:rsidRPr="00DB5512">
        <w:rPr>
          <w:rFonts w:ascii="Verdana" w:eastAsia="Verdana" w:hAnsi="Verdana" w:cs="Verdana"/>
          <w:sz w:val="18"/>
          <w:szCs w:val="18"/>
        </w:rPr>
        <w:t xml:space="preserve">. </w:t>
      </w:r>
    </w:p>
    <w:p w14:paraId="4EDE6FF2" w14:textId="32CF4318" w:rsidR="00A451F2" w:rsidRPr="00DB5512" w:rsidRDefault="00336B9D" w:rsidP="004D5055">
      <w:pPr>
        <w:spacing w:before="120" w:after="120"/>
        <w:rPr>
          <w:rFonts w:ascii="Verdana" w:eastAsia="Verdana" w:hAnsi="Verdana" w:cs="Verdana"/>
          <w:sz w:val="18"/>
          <w:szCs w:val="18"/>
        </w:rPr>
      </w:pPr>
      <w:r w:rsidRPr="00DB5512">
        <w:rPr>
          <w:rFonts w:ascii="Verdana" w:eastAsia="Verdana" w:hAnsi="Verdana" w:cs="Verdana"/>
          <w:sz w:val="18"/>
          <w:szCs w:val="18"/>
        </w:rPr>
        <w:t xml:space="preserve">A total of </w:t>
      </w:r>
      <w:r w:rsidRPr="00DB5512">
        <w:rPr>
          <w:rFonts w:ascii="Verdana" w:eastAsia="Verdana" w:hAnsi="Verdana" w:cs="Verdana"/>
          <w:b/>
          <w:sz w:val="18"/>
          <w:szCs w:val="18"/>
        </w:rPr>
        <w:t>EUR 50 000</w:t>
      </w:r>
      <w:r w:rsidRPr="00DB5512">
        <w:rPr>
          <w:rFonts w:ascii="Verdana" w:eastAsia="Verdana" w:hAnsi="Verdana" w:cs="Verdana"/>
          <w:sz w:val="18"/>
          <w:szCs w:val="18"/>
        </w:rPr>
        <w:t xml:space="preserve"> will be awarded to a maximum of five winners. </w:t>
      </w:r>
    </w:p>
    <w:p w14:paraId="3A6EDEBA" w14:textId="7D57C0B7" w:rsidR="00A451F2" w:rsidRPr="00DB5512" w:rsidRDefault="00A451F2" w:rsidP="004D5055">
      <w:pPr>
        <w:spacing w:before="120" w:after="120"/>
        <w:rPr>
          <w:rFonts w:ascii="Verdana" w:eastAsia="Verdana" w:hAnsi="Verdana" w:cs="Verdana"/>
          <w:b/>
          <w:sz w:val="18"/>
          <w:szCs w:val="18"/>
        </w:rPr>
      </w:pPr>
      <w:r w:rsidRPr="00DB5512">
        <w:rPr>
          <w:rFonts w:ascii="Verdana" w:eastAsia="Verdana" w:hAnsi="Verdana" w:cs="Verdana"/>
          <w:sz w:val="18"/>
          <w:szCs w:val="18"/>
        </w:rPr>
        <w:t xml:space="preserve">The </w:t>
      </w:r>
      <w:r w:rsidRPr="00DB5512">
        <w:rPr>
          <w:rFonts w:ascii="Verdana" w:eastAsia="Verdana" w:hAnsi="Verdana" w:cs="Verdana"/>
          <w:b/>
          <w:sz w:val="18"/>
          <w:szCs w:val="18"/>
        </w:rPr>
        <w:t>deadline for entries is 10</w:t>
      </w:r>
      <w:r w:rsidR="00DB5512">
        <w:rPr>
          <w:rFonts w:ascii="Verdana" w:eastAsia="Verdana" w:hAnsi="Verdana" w:cs="Verdana"/>
          <w:b/>
          <w:sz w:val="18"/>
          <w:szCs w:val="18"/>
        </w:rPr>
        <w:t>:00</w:t>
      </w:r>
      <w:r w:rsidRPr="00DB5512">
        <w:rPr>
          <w:rFonts w:ascii="Verdana" w:eastAsia="Verdana" w:hAnsi="Verdana" w:cs="Verdana"/>
          <w:b/>
          <w:sz w:val="18"/>
          <w:szCs w:val="18"/>
        </w:rPr>
        <w:t xml:space="preserve"> (Brussels time) on </w:t>
      </w:r>
      <w:r w:rsidR="00D57E6C" w:rsidRPr="00DB5512">
        <w:rPr>
          <w:rFonts w:ascii="Verdana" w:eastAsia="Verdana" w:hAnsi="Verdana" w:cs="Verdana"/>
          <w:b/>
          <w:sz w:val="18"/>
          <w:szCs w:val="18"/>
        </w:rPr>
        <w:t>7 Nov</w:t>
      </w:r>
      <w:r w:rsidRPr="00DB5512">
        <w:rPr>
          <w:rFonts w:ascii="Verdana" w:eastAsia="Verdana" w:hAnsi="Verdana" w:cs="Verdana"/>
          <w:b/>
          <w:sz w:val="18"/>
          <w:szCs w:val="18"/>
        </w:rPr>
        <w:t>ember 202</w:t>
      </w:r>
      <w:r w:rsidR="00D57E6C" w:rsidRPr="00DB5512">
        <w:rPr>
          <w:rFonts w:ascii="Verdana" w:eastAsia="Verdana" w:hAnsi="Verdana" w:cs="Verdana"/>
          <w:b/>
          <w:sz w:val="18"/>
          <w:szCs w:val="18"/>
        </w:rPr>
        <w:t>4</w:t>
      </w:r>
      <w:r w:rsidRPr="00DB5512">
        <w:rPr>
          <w:rFonts w:ascii="Verdana" w:eastAsia="Verdana" w:hAnsi="Verdana" w:cs="Verdana"/>
          <w:b/>
          <w:sz w:val="18"/>
          <w:szCs w:val="18"/>
        </w:rPr>
        <w:t xml:space="preserve">. </w:t>
      </w:r>
    </w:p>
    <w:p w14:paraId="4CD36719" w14:textId="386DADE7" w:rsidR="001A1B02" w:rsidRPr="00DB5512" w:rsidRDefault="00336B9D" w:rsidP="004D5055">
      <w:pPr>
        <w:spacing w:before="120" w:after="120"/>
        <w:rPr>
          <w:rFonts w:ascii="Verdana" w:eastAsia="Verdana" w:hAnsi="Verdana" w:cs="Verdana"/>
          <w:sz w:val="18"/>
          <w:szCs w:val="18"/>
        </w:rPr>
      </w:pPr>
      <w:r w:rsidRPr="00DB5512">
        <w:rPr>
          <w:rFonts w:ascii="Verdana" w:eastAsia="Verdana" w:hAnsi="Verdana" w:cs="Verdana"/>
          <w:sz w:val="18"/>
          <w:szCs w:val="18"/>
        </w:rPr>
        <w:t xml:space="preserve">The award ceremony is likely to take place </w:t>
      </w:r>
      <w:r w:rsidR="00016AD3" w:rsidRPr="00DB5512">
        <w:rPr>
          <w:rFonts w:ascii="Verdana" w:eastAsia="Verdana" w:hAnsi="Verdana" w:cs="Verdana"/>
          <w:sz w:val="18"/>
          <w:szCs w:val="18"/>
        </w:rPr>
        <w:t xml:space="preserve">during the EESC Civil Society Week in </w:t>
      </w:r>
      <w:r w:rsidR="00D57E6C" w:rsidRPr="00DB5512">
        <w:rPr>
          <w:rFonts w:ascii="Verdana" w:eastAsia="Verdana" w:hAnsi="Verdana" w:cs="Verdana"/>
          <w:sz w:val="18"/>
          <w:szCs w:val="18"/>
        </w:rPr>
        <w:t>March</w:t>
      </w:r>
      <w:r w:rsidR="00016AD3" w:rsidRPr="00DB5512">
        <w:rPr>
          <w:rFonts w:ascii="Verdana" w:eastAsia="Verdana" w:hAnsi="Verdana" w:cs="Verdana"/>
          <w:sz w:val="18"/>
          <w:szCs w:val="18"/>
        </w:rPr>
        <w:t xml:space="preserve"> 202</w:t>
      </w:r>
      <w:r w:rsidR="00D57E6C" w:rsidRPr="00DB5512">
        <w:rPr>
          <w:rFonts w:ascii="Verdana" w:eastAsia="Verdana" w:hAnsi="Verdana" w:cs="Verdana"/>
          <w:sz w:val="18"/>
          <w:szCs w:val="18"/>
        </w:rPr>
        <w:t>5</w:t>
      </w:r>
      <w:r w:rsidR="009E7EF4" w:rsidRPr="00DB5512">
        <w:rPr>
          <w:rFonts w:ascii="Verdana" w:eastAsia="Verdana" w:hAnsi="Verdana" w:cs="Verdana"/>
          <w:sz w:val="18"/>
          <w:szCs w:val="18"/>
        </w:rPr>
        <w:t>.</w:t>
      </w:r>
    </w:p>
    <w:p w14:paraId="4FCE83FD" w14:textId="783CBB9D" w:rsidR="00336B9D" w:rsidRPr="00DB5512" w:rsidRDefault="009903E7" w:rsidP="004D5055">
      <w:pPr>
        <w:spacing w:before="120" w:after="120"/>
        <w:rPr>
          <w:rFonts w:ascii="Verdana" w:eastAsia="Verdana" w:hAnsi="Verdana" w:cs="Verdana"/>
          <w:sz w:val="18"/>
          <w:szCs w:val="18"/>
        </w:rPr>
      </w:pPr>
      <w:r w:rsidRPr="00DB5512">
        <w:rPr>
          <w:rFonts w:ascii="Verdana" w:eastAsia="Verdana" w:hAnsi="Verdana" w:cs="Verdana"/>
          <w:sz w:val="18"/>
          <w:szCs w:val="18"/>
        </w:rPr>
        <w:t>The aim of the EESC</w:t>
      </w:r>
      <w:r w:rsidR="00DB5512">
        <w:rPr>
          <w:rFonts w:ascii="Verdana" w:eastAsia="Verdana" w:hAnsi="Verdana" w:cs="Verdana"/>
          <w:sz w:val="18"/>
          <w:szCs w:val="18"/>
        </w:rPr>
        <w:t>’</w:t>
      </w:r>
      <w:r w:rsidRPr="00DB5512">
        <w:rPr>
          <w:rFonts w:ascii="Verdana" w:eastAsia="Verdana" w:hAnsi="Verdana" w:cs="Verdana"/>
          <w:sz w:val="18"/>
          <w:szCs w:val="18"/>
        </w:rPr>
        <w:t>s flagship Civil Society Prize is to raise awareness of civil society</w:t>
      </w:r>
      <w:r w:rsidR="00DB5512">
        <w:rPr>
          <w:rFonts w:ascii="Verdana" w:eastAsia="Verdana" w:hAnsi="Verdana" w:cs="Verdana"/>
          <w:sz w:val="18"/>
          <w:szCs w:val="18"/>
        </w:rPr>
        <w:t>’</w:t>
      </w:r>
      <w:r w:rsidRPr="00DB5512">
        <w:rPr>
          <w:rFonts w:ascii="Verdana" w:eastAsia="Verdana" w:hAnsi="Verdana" w:cs="Verdana"/>
          <w:sz w:val="18"/>
          <w:szCs w:val="18"/>
        </w:rPr>
        <w:t xml:space="preserve">s outstanding contribution to creating a European identity and citizenship and to promoting the common values that bolster European integration. </w:t>
      </w:r>
      <w:r w:rsidR="007D4906" w:rsidRPr="00DB5512">
        <w:rPr>
          <w:rFonts w:ascii="Verdana" w:eastAsia="Verdana" w:hAnsi="Verdana" w:cs="Verdana"/>
          <w:sz w:val="18"/>
          <w:szCs w:val="18"/>
        </w:rPr>
        <w:t>Each year,</w:t>
      </w:r>
      <w:r w:rsidR="00CE0574" w:rsidRPr="00DB5512">
        <w:rPr>
          <w:rFonts w:ascii="Verdana" w:eastAsia="Verdana" w:hAnsi="Verdana" w:cs="Verdana"/>
          <w:sz w:val="18"/>
          <w:szCs w:val="18"/>
        </w:rPr>
        <w:t xml:space="preserve"> </w:t>
      </w:r>
      <w:r w:rsidRPr="00DB5512">
        <w:rPr>
          <w:rFonts w:ascii="Verdana" w:eastAsia="Verdana" w:hAnsi="Verdana" w:cs="Verdana"/>
          <w:sz w:val="18"/>
          <w:szCs w:val="18"/>
        </w:rPr>
        <w:t xml:space="preserve">the prize focuses on a different theme </w:t>
      </w:r>
      <w:r w:rsidR="00E94BAF" w:rsidRPr="00DB5512">
        <w:rPr>
          <w:rFonts w:ascii="Verdana" w:eastAsia="Verdana" w:hAnsi="Verdana" w:cs="Verdana"/>
          <w:sz w:val="18"/>
          <w:szCs w:val="18"/>
        </w:rPr>
        <w:t>particularly relevant</w:t>
      </w:r>
      <w:r w:rsidR="001A1B02" w:rsidRPr="00DB5512">
        <w:rPr>
          <w:rFonts w:ascii="Verdana" w:eastAsia="Verdana" w:hAnsi="Verdana" w:cs="Verdana"/>
          <w:sz w:val="18"/>
          <w:szCs w:val="18"/>
        </w:rPr>
        <w:t xml:space="preserve"> </w:t>
      </w:r>
      <w:r w:rsidRPr="00DB5512">
        <w:rPr>
          <w:rFonts w:ascii="Verdana" w:eastAsia="Verdana" w:hAnsi="Verdana" w:cs="Verdana"/>
          <w:sz w:val="18"/>
          <w:szCs w:val="18"/>
        </w:rPr>
        <w:t>to the EU.</w:t>
      </w:r>
    </w:p>
    <w:p w14:paraId="35E6B35A" w14:textId="77777777" w:rsidR="009903E7" w:rsidRPr="00DB5512" w:rsidRDefault="009903E7" w:rsidP="004D5055">
      <w:pPr>
        <w:spacing w:before="120" w:after="120"/>
        <w:rPr>
          <w:rFonts w:ascii="Verdana" w:eastAsia="Verdana" w:hAnsi="Verdana" w:cs="Verdana"/>
          <w:b/>
          <w:bCs/>
          <w:sz w:val="18"/>
          <w:szCs w:val="18"/>
        </w:rPr>
      </w:pPr>
    </w:p>
    <w:p w14:paraId="36CFDB98" w14:textId="62B5387A" w:rsidR="00A40BFD" w:rsidRPr="00DB5512" w:rsidRDefault="00A40BFD" w:rsidP="004D5055">
      <w:pPr>
        <w:spacing w:before="120" w:after="120"/>
        <w:rPr>
          <w:rFonts w:ascii="Verdana" w:eastAsia="Verdana" w:hAnsi="Verdana" w:cs="Verdana"/>
          <w:b/>
          <w:bCs/>
          <w:sz w:val="18"/>
          <w:szCs w:val="18"/>
        </w:rPr>
      </w:pPr>
      <w:r w:rsidRPr="00DB5512">
        <w:rPr>
          <w:rFonts w:ascii="Verdana" w:eastAsia="Verdana" w:hAnsi="Verdana" w:cs="Verdana"/>
          <w:b/>
          <w:bCs/>
          <w:sz w:val="18"/>
          <w:szCs w:val="18"/>
        </w:rPr>
        <w:t>WHO CAN APPLY?</w:t>
      </w:r>
    </w:p>
    <w:p w14:paraId="342F4B43" w14:textId="21E5E956" w:rsidR="009E7EF4" w:rsidRPr="00DB5512" w:rsidRDefault="000834B4" w:rsidP="004D5055">
      <w:pPr>
        <w:spacing w:before="120" w:after="120"/>
        <w:rPr>
          <w:rFonts w:ascii="Verdana" w:eastAsia="Verdana" w:hAnsi="Verdana" w:cs="Verdana"/>
          <w:sz w:val="18"/>
          <w:szCs w:val="18"/>
        </w:rPr>
      </w:pPr>
      <w:r w:rsidRPr="00DB5512">
        <w:rPr>
          <w:rFonts w:ascii="Verdana" w:eastAsia="Verdana" w:hAnsi="Verdana" w:cs="Verdana"/>
          <w:sz w:val="18"/>
          <w:szCs w:val="18"/>
        </w:rPr>
        <w:t>Applications can be submitted by all civil society organisations officially registered within the European Union and acting at local, regional, national or European level. The prize is also open to individuals who reside in the EU</w:t>
      </w:r>
      <w:r w:rsidR="00893CCF" w:rsidRPr="00DB5512">
        <w:rPr>
          <w:rFonts w:ascii="Verdana" w:eastAsia="Verdana" w:hAnsi="Verdana" w:cs="Verdana"/>
          <w:sz w:val="18"/>
          <w:szCs w:val="18"/>
        </w:rPr>
        <w:t>, as well as to c</w:t>
      </w:r>
      <w:r w:rsidR="00EF2A9D" w:rsidRPr="00DB5512">
        <w:rPr>
          <w:rFonts w:ascii="Verdana" w:eastAsia="Verdana" w:hAnsi="Verdana" w:cs="Verdana"/>
          <w:sz w:val="18"/>
          <w:szCs w:val="18"/>
        </w:rPr>
        <w:t>ompanies</w:t>
      </w:r>
      <w:r w:rsidR="009E7EF4" w:rsidRPr="00DB5512">
        <w:rPr>
          <w:rFonts w:ascii="Verdana" w:eastAsia="Verdana" w:hAnsi="Verdana" w:cs="Verdana"/>
          <w:sz w:val="18"/>
          <w:szCs w:val="18"/>
        </w:rPr>
        <w:t xml:space="preserve"> </w:t>
      </w:r>
      <w:r w:rsidR="00A40BFD" w:rsidRPr="00DB5512">
        <w:rPr>
          <w:rFonts w:ascii="Verdana" w:eastAsia="Verdana" w:hAnsi="Verdana" w:cs="Verdana"/>
          <w:sz w:val="18"/>
          <w:szCs w:val="18"/>
        </w:rPr>
        <w:t xml:space="preserve">registered or operating </w:t>
      </w:r>
      <w:r w:rsidR="00E94BAF" w:rsidRPr="00DB5512">
        <w:rPr>
          <w:rFonts w:ascii="Verdana" w:eastAsia="Verdana" w:hAnsi="Verdana" w:cs="Verdana"/>
          <w:sz w:val="18"/>
          <w:szCs w:val="18"/>
        </w:rPr>
        <w:t>within</w:t>
      </w:r>
      <w:r w:rsidR="00A451F2" w:rsidRPr="00DB5512">
        <w:rPr>
          <w:rFonts w:ascii="Verdana" w:eastAsia="Verdana" w:hAnsi="Verdana" w:cs="Verdana"/>
          <w:sz w:val="18"/>
          <w:szCs w:val="18"/>
        </w:rPr>
        <w:t xml:space="preserve"> the EU</w:t>
      </w:r>
      <w:r w:rsidR="00893CCF" w:rsidRPr="00DB5512">
        <w:rPr>
          <w:rFonts w:ascii="Verdana" w:eastAsia="Verdana" w:hAnsi="Verdana" w:cs="Verdana"/>
          <w:sz w:val="18"/>
          <w:szCs w:val="18"/>
        </w:rPr>
        <w:t>, provided that their projects are strictly not-for-profit</w:t>
      </w:r>
      <w:r w:rsidRPr="00DB5512">
        <w:rPr>
          <w:rFonts w:ascii="Verdana" w:eastAsia="Verdana" w:hAnsi="Verdana" w:cs="Verdana"/>
          <w:sz w:val="18"/>
          <w:szCs w:val="18"/>
        </w:rPr>
        <w:t xml:space="preserve">. </w:t>
      </w:r>
    </w:p>
    <w:p w14:paraId="0F53A380" w14:textId="6BB20540" w:rsidR="001A1B02" w:rsidRPr="00DB5512" w:rsidRDefault="00A451F2" w:rsidP="004D5055">
      <w:pPr>
        <w:spacing w:before="120" w:after="120"/>
        <w:rPr>
          <w:rFonts w:ascii="Verdana" w:eastAsia="Verdana" w:hAnsi="Verdana" w:cs="Verdana"/>
          <w:sz w:val="18"/>
          <w:szCs w:val="18"/>
        </w:rPr>
      </w:pPr>
      <w:r w:rsidRPr="00DB5512">
        <w:rPr>
          <w:rFonts w:ascii="Verdana" w:eastAsia="Verdana" w:hAnsi="Verdana" w:cs="Verdana"/>
          <w:sz w:val="18"/>
          <w:szCs w:val="18"/>
        </w:rPr>
        <w:t>All e</w:t>
      </w:r>
      <w:r w:rsidR="000834B4" w:rsidRPr="00DB5512">
        <w:rPr>
          <w:rFonts w:ascii="Verdana" w:eastAsia="Verdana" w:hAnsi="Verdana" w:cs="Verdana"/>
          <w:sz w:val="18"/>
          <w:szCs w:val="18"/>
        </w:rPr>
        <w:t xml:space="preserve">ligible initiatives and projects have to </w:t>
      </w:r>
      <w:r w:rsidR="00E94BAF" w:rsidRPr="00DB5512">
        <w:rPr>
          <w:rFonts w:ascii="Verdana" w:eastAsia="Verdana" w:hAnsi="Verdana" w:cs="Verdana"/>
          <w:sz w:val="18"/>
          <w:szCs w:val="18"/>
        </w:rPr>
        <w:t xml:space="preserve">be </w:t>
      </w:r>
      <w:r w:rsidRPr="00DB5512">
        <w:rPr>
          <w:rFonts w:ascii="Verdana" w:eastAsia="Verdana" w:hAnsi="Verdana" w:cs="Verdana"/>
          <w:sz w:val="18"/>
          <w:szCs w:val="18"/>
        </w:rPr>
        <w:t xml:space="preserve">carried out in the EU. </w:t>
      </w:r>
      <w:r w:rsidR="000834B4" w:rsidRPr="00DB5512">
        <w:rPr>
          <w:rFonts w:ascii="Verdana" w:eastAsia="Verdana" w:hAnsi="Verdana" w:cs="Verdana"/>
          <w:sz w:val="18"/>
          <w:szCs w:val="18"/>
        </w:rPr>
        <w:t>The</w:t>
      </w:r>
      <w:r w:rsidR="00893CCF" w:rsidRPr="00DB5512">
        <w:rPr>
          <w:rFonts w:ascii="Verdana" w:eastAsia="Verdana" w:hAnsi="Verdana" w:cs="Verdana"/>
          <w:sz w:val="18"/>
          <w:szCs w:val="18"/>
        </w:rPr>
        <w:t>y</w:t>
      </w:r>
      <w:r w:rsidR="000834B4" w:rsidRPr="00DB5512">
        <w:rPr>
          <w:rFonts w:ascii="Verdana" w:eastAsia="Verdana" w:hAnsi="Verdana" w:cs="Verdana"/>
          <w:sz w:val="18"/>
          <w:szCs w:val="18"/>
        </w:rPr>
        <w:t xml:space="preserve"> must have already been implemented or still</w:t>
      </w:r>
      <w:r w:rsidR="004E3CCD" w:rsidRPr="00DB5512">
        <w:rPr>
          <w:rFonts w:ascii="Verdana" w:eastAsia="Verdana" w:hAnsi="Verdana" w:cs="Verdana"/>
          <w:sz w:val="18"/>
          <w:szCs w:val="18"/>
        </w:rPr>
        <w:t xml:space="preserve"> be</w:t>
      </w:r>
      <w:r w:rsidR="000834B4" w:rsidRPr="00DB5512">
        <w:rPr>
          <w:rFonts w:ascii="Verdana" w:eastAsia="Verdana" w:hAnsi="Verdana" w:cs="Verdana"/>
          <w:sz w:val="18"/>
          <w:szCs w:val="18"/>
        </w:rPr>
        <w:t xml:space="preserve"> ongoing. Those which </w:t>
      </w:r>
      <w:r w:rsidR="00535BE0">
        <w:rPr>
          <w:rFonts w:ascii="Verdana" w:eastAsia="Verdana" w:hAnsi="Verdana" w:cs="Verdana"/>
          <w:sz w:val="18"/>
          <w:szCs w:val="18"/>
        </w:rPr>
        <w:t>have been</w:t>
      </w:r>
      <w:r w:rsidR="00535BE0" w:rsidRPr="00DB5512">
        <w:rPr>
          <w:rFonts w:ascii="Verdana" w:eastAsia="Verdana" w:hAnsi="Verdana" w:cs="Verdana"/>
          <w:sz w:val="18"/>
          <w:szCs w:val="18"/>
        </w:rPr>
        <w:t xml:space="preserve"> </w:t>
      </w:r>
      <w:r w:rsidR="000834B4" w:rsidRPr="00DB5512">
        <w:rPr>
          <w:rFonts w:ascii="Verdana" w:eastAsia="Verdana" w:hAnsi="Verdana" w:cs="Verdana"/>
          <w:sz w:val="18"/>
          <w:szCs w:val="18"/>
        </w:rPr>
        <w:t xml:space="preserve">planned but </w:t>
      </w:r>
      <w:r w:rsidR="00535BE0">
        <w:rPr>
          <w:rFonts w:ascii="Verdana" w:eastAsia="Verdana" w:hAnsi="Verdana" w:cs="Verdana"/>
          <w:sz w:val="18"/>
          <w:szCs w:val="18"/>
        </w:rPr>
        <w:t>whose</w:t>
      </w:r>
      <w:r w:rsidR="000834B4" w:rsidRPr="00DB5512">
        <w:rPr>
          <w:rFonts w:ascii="Verdana" w:eastAsia="Verdana" w:hAnsi="Verdana" w:cs="Verdana"/>
          <w:sz w:val="18"/>
          <w:szCs w:val="18"/>
        </w:rPr>
        <w:t xml:space="preserve"> implementation </w:t>
      </w:r>
      <w:r w:rsidR="00535BE0">
        <w:rPr>
          <w:rFonts w:ascii="Verdana" w:eastAsia="Verdana" w:hAnsi="Verdana" w:cs="Verdana"/>
          <w:sz w:val="18"/>
          <w:szCs w:val="18"/>
        </w:rPr>
        <w:t xml:space="preserve">has not started </w:t>
      </w:r>
      <w:r w:rsidR="000834B4" w:rsidRPr="00DB5512">
        <w:rPr>
          <w:rFonts w:ascii="Verdana" w:eastAsia="Verdana" w:hAnsi="Verdana" w:cs="Verdana"/>
          <w:sz w:val="18"/>
          <w:szCs w:val="18"/>
        </w:rPr>
        <w:t xml:space="preserve">by </w:t>
      </w:r>
      <w:r w:rsidR="00D22ED5" w:rsidRPr="00DB5512">
        <w:rPr>
          <w:rFonts w:ascii="Verdana" w:eastAsia="Verdana" w:hAnsi="Verdana" w:cs="Verdana"/>
          <w:sz w:val="18"/>
          <w:szCs w:val="18"/>
        </w:rPr>
        <w:t>7</w:t>
      </w:r>
      <w:r w:rsidR="000834B4" w:rsidRPr="00DB5512">
        <w:rPr>
          <w:rFonts w:ascii="Verdana" w:eastAsia="Verdana" w:hAnsi="Verdana" w:cs="Verdana"/>
          <w:sz w:val="18"/>
          <w:szCs w:val="18"/>
        </w:rPr>
        <w:t> </w:t>
      </w:r>
      <w:r w:rsidR="00D22ED5" w:rsidRPr="00DB5512">
        <w:rPr>
          <w:rFonts w:ascii="Verdana" w:eastAsia="Verdana" w:hAnsi="Verdana" w:cs="Verdana"/>
          <w:sz w:val="18"/>
          <w:szCs w:val="18"/>
        </w:rPr>
        <w:t>Nov</w:t>
      </w:r>
      <w:r w:rsidR="001A2495" w:rsidRPr="00DB5512">
        <w:rPr>
          <w:rFonts w:ascii="Verdana" w:eastAsia="Verdana" w:hAnsi="Verdana" w:cs="Verdana"/>
          <w:sz w:val="18"/>
          <w:szCs w:val="18"/>
        </w:rPr>
        <w:t>ember</w:t>
      </w:r>
      <w:r w:rsidR="000834B4" w:rsidRPr="00DB5512">
        <w:rPr>
          <w:rFonts w:ascii="Verdana" w:eastAsia="Verdana" w:hAnsi="Verdana" w:cs="Verdana"/>
          <w:sz w:val="18"/>
          <w:szCs w:val="18"/>
        </w:rPr>
        <w:t xml:space="preserve"> 202</w:t>
      </w:r>
      <w:r w:rsidR="00D22ED5" w:rsidRPr="00DB5512">
        <w:rPr>
          <w:rFonts w:ascii="Verdana" w:eastAsia="Verdana" w:hAnsi="Verdana" w:cs="Verdana"/>
          <w:sz w:val="18"/>
          <w:szCs w:val="18"/>
        </w:rPr>
        <w:t>4</w:t>
      </w:r>
      <w:r w:rsidR="000834B4" w:rsidRPr="00DB5512">
        <w:rPr>
          <w:rFonts w:ascii="Verdana" w:eastAsia="Verdana" w:hAnsi="Verdana" w:cs="Verdana"/>
          <w:sz w:val="18"/>
          <w:szCs w:val="18"/>
        </w:rPr>
        <w:t xml:space="preserve"> will be excluded.</w:t>
      </w:r>
    </w:p>
    <w:p w14:paraId="0F39DC5B" w14:textId="08CC63E5" w:rsidR="001A1B02" w:rsidRPr="00DB5512" w:rsidRDefault="001A1B02" w:rsidP="004D5055">
      <w:pPr>
        <w:spacing w:before="120" w:after="120"/>
        <w:rPr>
          <w:rFonts w:ascii="Verdana" w:eastAsia="Verdana" w:hAnsi="Verdana" w:cs="Verdana"/>
          <w:sz w:val="18"/>
          <w:szCs w:val="18"/>
        </w:rPr>
      </w:pPr>
      <w:r w:rsidRPr="00DB5512">
        <w:rPr>
          <w:rFonts w:ascii="Verdana" w:eastAsia="Verdana" w:hAnsi="Verdana" w:cs="Verdana"/>
          <w:sz w:val="18"/>
          <w:szCs w:val="18"/>
        </w:rPr>
        <w:t xml:space="preserve">The full description of requirements and the </w:t>
      </w:r>
      <w:hyperlink r:id="rId9" w:history="1">
        <w:r w:rsidRPr="00DB5512">
          <w:rPr>
            <w:rStyle w:val="Hyperlink"/>
            <w:rFonts w:ascii="Verdana" w:eastAsia="Verdana" w:hAnsi="Verdana" w:cs="Verdana"/>
            <w:sz w:val="18"/>
            <w:szCs w:val="18"/>
          </w:rPr>
          <w:t>online application form</w:t>
        </w:r>
      </w:hyperlink>
      <w:r w:rsidRPr="00DB5512">
        <w:rPr>
          <w:rFonts w:ascii="Verdana" w:eastAsia="Verdana" w:hAnsi="Verdana" w:cs="Verdana"/>
          <w:sz w:val="18"/>
          <w:szCs w:val="18"/>
        </w:rPr>
        <w:t xml:space="preserve"> are available on our </w:t>
      </w:r>
      <w:hyperlink r:id="rId10" w:history="1">
        <w:r w:rsidRPr="00DB5512">
          <w:rPr>
            <w:rStyle w:val="Hyperlink"/>
            <w:rFonts w:ascii="Verdana" w:eastAsia="Verdana" w:hAnsi="Verdana" w:cs="Verdana"/>
            <w:sz w:val="18"/>
            <w:szCs w:val="18"/>
          </w:rPr>
          <w:t>webpage</w:t>
        </w:r>
      </w:hyperlink>
      <w:r w:rsidRPr="00DB5512">
        <w:rPr>
          <w:rFonts w:ascii="Verdana" w:eastAsia="Verdana" w:hAnsi="Verdana" w:cs="Verdana"/>
          <w:sz w:val="18"/>
          <w:szCs w:val="18"/>
        </w:rPr>
        <w:t>.</w:t>
      </w:r>
    </w:p>
    <w:p w14:paraId="39C75A36" w14:textId="77777777" w:rsidR="001A1B02" w:rsidRPr="00DB5512" w:rsidRDefault="001A1B02" w:rsidP="004D5055">
      <w:pPr>
        <w:spacing w:before="120" w:after="120"/>
        <w:rPr>
          <w:rFonts w:ascii="Verdana" w:eastAsia="Verdana" w:hAnsi="Verdana" w:cs="Verdana"/>
          <w:b/>
          <w:bCs/>
          <w:sz w:val="18"/>
          <w:szCs w:val="18"/>
        </w:rPr>
      </w:pPr>
    </w:p>
    <w:p w14:paraId="58785A76" w14:textId="77777777" w:rsidR="00EF174D" w:rsidRPr="00DB5512" w:rsidRDefault="00EF174D" w:rsidP="004D5055">
      <w:pPr>
        <w:spacing w:before="120" w:after="120"/>
        <w:rPr>
          <w:rFonts w:ascii="Verdana" w:eastAsia="Verdana" w:hAnsi="Verdana" w:cs="Verdana"/>
          <w:b/>
          <w:bCs/>
          <w:sz w:val="18"/>
          <w:szCs w:val="18"/>
        </w:rPr>
      </w:pPr>
    </w:p>
    <w:p w14:paraId="2BFA7F1C" w14:textId="0C35429D" w:rsidR="00EF174D" w:rsidRPr="00DB5512" w:rsidRDefault="00A40BFD" w:rsidP="004D5055">
      <w:pPr>
        <w:spacing w:before="120" w:after="120"/>
        <w:rPr>
          <w:rFonts w:ascii="Verdana" w:eastAsia="Verdana" w:hAnsi="Verdana" w:cs="Verdana"/>
          <w:b/>
          <w:bCs/>
          <w:sz w:val="18"/>
          <w:szCs w:val="18"/>
        </w:rPr>
      </w:pPr>
      <w:r w:rsidRPr="00DB5512">
        <w:rPr>
          <w:rFonts w:ascii="Verdana" w:eastAsia="Verdana" w:hAnsi="Verdana" w:cs="Verdana"/>
          <w:b/>
          <w:bCs/>
          <w:sz w:val="18"/>
          <w:szCs w:val="18"/>
        </w:rPr>
        <w:lastRenderedPageBreak/>
        <w:t xml:space="preserve">WHICH PROJECT THEMES ARE ELIGIBLE? </w:t>
      </w:r>
    </w:p>
    <w:p w14:paraId="2EAE4C53" w14:textId="010C404F" w:rsidR="00EF174D" w:rsidRPr="00DB5512" w:rsidRDefault="00EF174D" w:rsidP="004D5055">
      <w:pPr>
        <w:spacing w:before="120" w:after="120"/>
        <w:rPr>
          <w:rFonts w:ascii="Verdana" w:eastAsia="Verdana" w:hAnsi="Verdana" w:cs="Verdana"/>
          <w:sz w:val="18"/>
          <w:szCs w:val="18"/>
        </w:rPr>
      </w:pPr>
      <w:r w:rsidRPr="00DB5512">
        <w:rPr>
          <w:rFonts w:ascii="Verdana" w:eastAsia="Verdana" w:hAnsi="Verdana" w:cs="Verdana"/>
          <w:sz w:val="18"/>
          <w:szCs w:val="18"/>
        </w:rPr>
        <w:t xml:space="preserve">To be eligible, the entries must cover at least one of the issues listed in the eligibility criteria published </w:t>
      </w:r>
      <w:r w:rsidR="00E55F7B" w:rsidRPr="00DB5512">
        <w:rPr>
          <w:rFonts w:ascii="Verdana" w:eastAsia="Verdana" w:hAnsi="Verdana" w:cs="Verdana"/>
          <w:sz w:val="18"/>
          <w:szCs w:val="18"/>
        </w:rPr>
        <w:t xml:space="preserve">in the </w:t>
      </w:r>
      <w:r w:rsidR="00DB5512">
        <w:rPr>
          <w:rFonts w:ascii="Verdana" w:eastAsia="Verdana" w:hAnsi="Verdana" w:cs="Verdana"/>
          <w:sz w:val="18"/>
          <w:szCs w:val="18"/>
        </w:rPr>
        <w:t>r</w:t>
      </w:r>
      <w:r w:rsidR="00CF0A04" w:rsidRPr="00DB5512">
        <w:rPr>
          <w:rFonts w:ascii="Verdana" w:eastAsia="Verdana" w:hAnsi="Verdana" w:cs="Verdana"/>
          <w:sz w:val="18"/>
          <w:szCs w:val="18"/>
        </w:rPr>
        <w:t>ules governing the 1</w:t>
      </w:r>
      <w:r w:rsidR="005111A8" w:rsidRPr="00DB5512">
        <w:rPr>
          <w:rFonts w:ascii="Verdana" w:eastAsia="Verdana" w:hAnsi="Verdana" w:cs="Verdana"/>
          <w:sz w:val="18"/>
          <w:szCs w:val="18"/>
        </w:rPr>
        <w:t>5</w:t>
      </w:r>
      <w:r w:rsidR="00CF0A04" w:rsidRPr="00DB5512">
        <w:rPr>
          <w:rFonts w:ascii="Verdana" w:eastAsia="Verdana" w:hAnsi="Verdana" w:cs="Verdana"/>
          <w:sz w:val="18"/>
          <w:szCs w:val="18"/>
        </w:rPr>
        <w:t>th EESC Civil Society Prize, available on the EESC</w:t>
      </w:r>
      <w:r w:rsidR="00DB5512">
        <w:rPr>
          <w:rFonts w:ascii="Verdana" w:eastAsia="Verdana" w:hAnsi="Verdana" w:cs="Verdana"/>
          <w:sz w:val="18"/>
          <w:szCs w:val="18"/>
        </w:rPr>
        <w:t>’</w:t>
      </w:r>
      <w:r w:rsidR="00CF0A04" w:rsidRPr="00DB5512">
        <w:rPr>
          <w:rFonts w:ascii="Verdana" w:eastAsia="Verdana" w:hAnsi="Verdana" w:cs="Verdana"/>
          <w:sz w:val="18"/>
          <w:szCs w:val="18"/>
        </w:rPr>
        <w:t xml:space="preserve">s dedicated </w:t>
      </w:r>
      <w:hyperlink r:id="rId11" w:history="1">
        <w:r w:rsidR="00CF0A04" w:rsidRPr="00DB5512">
          <w:rPr>
            <w:rStyle w:val="Hyperlink"/>
            <w:rFonts w:ascii="Verdana" w:eastAsia="Verdana" w:hAnsi="Verdana" w:cs="Verdana"/>
            <w:sz w:val="18"/>
            <w:szCs w:val="18"/>
          </w:rPr>
          <w:t>web page</w:t>
        </w:r>
      </w:hyperlink>
      <w:r w:rsidR="00CF0A04" w:rsidRPr="00DB5512">
        <w:rPr>
          <w:rFonts w:ascii="Verdana" w:eastAsia="Verdana" w:hAnsi="Verdana" w:cs="Verdana"/>
          <w:sz w:val="18"/>
          <w:szCs w:val="18"/>
        </w:rPr>
        <w:t>.</w:t>
      </w:r>
    </w:p>
    <w:p w14:paraId="22856B4A" w14:textId="265CA123" w:rsidR="00726A21" w:rsidRPr="00DB5512" w:rsidRDefault="006471F4" w:rsidP="004D5055">
      <w:pPr>
        <w:spacing w:before="120" w:after="120"/>
        <w:rPr>
          <w:rFonts w:ascii="Verdana" w:eastAsia="Verdana" w:hAnsi="Verdana" w:cs="Verdana"/>
          <w:sz w:val="18"/>
          <w:szCs w:val="18"/>
        </w:rPr>
      </w:pPr>
      <w:r w:rsidRPr="00DB5512">
        <w:rPr>
          <w:rFonts w:ascii="Verdana" w:eastAsia="Verdana" w:hAnsi="Verdana" w:cs="Verdana"/>
          <w:sz w:val="18"/>
          <w:szCs w:val="18"/>
        </w:rPr>
        <w:t>The activities/initiatives proposed for the prize can cover a wide range of themes, such as</w:t>
      </w:r>
      <w:r w:rsidR="00726A21" w:rsidRPr="00DB5512">
        <w:rPr>
          <w:rFonts w:ascii="Verdana" w:eastAsia="Verdana" w:hAnsi="Verdana" w:cs="Verdana"/>
          <w:sz w:val="18"/>
          <w:szCs w:val="18"/>
        </w:rPr>
        <w:t>:</w:t>
      </w:r>
    </w:p>
    <w:p w14:paraId="7BFA29EC" w14:textId="77777777" w:rsidR="00726A21" w:rsidRPr="00DB5512" w:rsidRDefault="006471F4" w:rsidP="004D5055">
      <w:pPr>
        <w:pStyle w:val="ListParagraph"/>
        <w:numPr>
          <w:ilvl w:val="0"/>
          <w:numId w:val="2"/>
        </w:numPr>
        <w:spacing w:before="120" w:after="120"/>
        <w:rPr>
          <w:rFonts w:ascii="Verdana" w:eastAsia="Verdana" w:hAnsi="Verdana" w:cs="Verdana"/>
          <w:sz w:val="18"/>
          <w:szCs w:val="18"/>
        </w:rPr>
      </w:pPr>
      <w:r w:rsidRPr="00DB5512">
        <w:rPr>
          <w:rFonts w:ascii="Verdana" w:eastAsia="Verdana" w:hAnsi="Verdana" w:cs="Verdana"/>
          <w:sz w:val="18"/>
          <w:szCs w:val="18"/>
        </w:rPr>
        <w:t xml:space="preserve">identifying the individual and collective determinants of harmful polarisation and patterns that lead to de-escalation of tense situations; </w:t>
      </w:r>
    </w:p>
    <w:p w14:paraId="1F930F11" w14:textId="32AEB0AC" w:rsidR="00726A21" w:rsidRPr="00DB5512" w:rsidRDefault="006471F4" w:rsidP="004D5055">
      <w:pPr>
        <w:pStyle w:val="ListParagraph"/>
        <w:numPr>
          <w:ilvl w:val="0"/>
          <w:numId w:val="2"/>
        </w:numPr>
        <w:spacing w:before="120" w:after="120"/>
        <w:rPr>
          <w:rFonts w:ascii="Verdana" w:eastAsia="Verdana" w:hAnsi="Verdana" w:cs="Verdana"/>
          <w:sz w:val="18"/>
          <w:szCs w:val="18"/>
        </w:rPr>
      </w:pPr>
      <w:r w:rsidRPr="00DB5512">
        <w:rPr>
          <w:rFonts w:ascii="Verdana" w:eastAsia="Verdana" w:hAnsi="Verdana" w:cs="Verdana"/>
          <w:sz w:val="18"/>
          <w:szCs w:val="18"/>
        </w:rPr>
        <w:t xml:space="preserve">fostering transparency </w:t>
      </w:r>
      <w:r w:rsidR="00726A21" w:rsidRPr="00DB5512">
        <w:rPr>
          <w:rFonts w:ascii="Verdana" w:eastAsia="Verdana" w:hAnsi="Verdana" w:cs="Verdana"/>
          <w:sz w:val="18"/>
          <w:szCs w:val="18"/>
        </w:rPr>
        <w:t>surrounding</w:t>
      </w:r>
      <w:r w:rsidRPr="00DB5512">
        <w:rPr>
          <w:rFonts w:ascii="Verdana" w:eastAsia="Verdana" w:hAnsi="Verdana" w:cs="Verdana"/>
          <w:sz w:val="18"/>
          <w:szCs w:val="18"/>
        </w:rPr>
        <w:t xml:space="preserve"> the funding of organisations, in particular those </w:t>
      </w:r>
      <w:r w:rsidR="001C6F17">
        <w:rPr>
          <w:rFonts w:ascii="Verdana" w:eastAsia="Verdana" w:hAnsi="Verdana" w:cs="Verdana"/>
          <w:sz w:val="18"/>
          <w:szCs w:val="18"/>
        </w:rPr>
        <w:t>that</w:t>
      </w:r>
      <w:r w:rsidR="001C6F17" w:rsidRPr="00DB5512">
        <w:rPr>
          <w:rFonts w:ascii="Verdana" w:eastAsia="Verdana" w:hAnsi="Verdana" w:cs="Verdana"/>
          <w:sz w:val="18"/>
          <w:szCs w:val="18"/>
        </w:rPr>
        <w:t xml:space="preserve"> </w:t>
      </w:r>
      <w:r w:rsidRPr="00DB5512">
        <w:rPr>
          <w:rFonts w:ascii="Verdana" w:eastAsia="Verdana" w:hAnsi="Verdana" w:cs="Verdana"/>
          <w:sz w:val="18"/>
          <w:szCs w:val="18"/>
        </w:rPr>
        <w:t>polarise society</w:t>
      </w:r>
      <w:r w:rsidR="00DB5512">
        <w:rPr>
          <w:rFonts w:ascii="Verdana" w:eastAsia="Verdana" w:hAnsi="Verdana" w:cs="Verdana"/>
          <w:sz w:val="18"/>
          <w:szCs w:val="18"/>
        </w:rPr>
        <w:t xml:space="preserve"> or</w:t>
      </w:r>
      <w:r w:rsidRPr="00DB5512">
        <w:rPr>
          <w:rFonts w:ascii="Verdana" w:eastAsia="Verdana" w:hAnsi="Verdana" w:cs="Verdana"/>
          <w:sz w:val="18"/>
          <w:szCs w:val="18"/>
        </w:rPr>
        <w:t xml:space="preserve"> foster disinformation, violence or radicalisation;</w:t>
      </w:r>
    </w:p>
    <w:p w14:paraId="6CDAF101" w14:textId="3EE9909D" w:rsidR="00726A21" w:rsidRPr="00DB5512" w:rsidRDefault="006471F4" w:rsidP="004D5055">
      <w:pPr>
        <w:pStyle w:val="ListParagraph"/>
        <w:numPr>
          <w:ilvl w:val="0"/>
          <w:numId w:val="2"/>
        </w:numPr>
        <w:spacing w:before="120" w:after="120"/>
        <w:rPr>
          <w:rFonts w:ascii="Verdana" w:eastAsia="Verdana" w:hAnsi="Verdana" w:cs="Verdana"/>
          <w:sz w:val="18"/>
          <w:szCs w:val="18"/>
        </w:rPr>
      </w:pPr>
      <w:r w:rsidRPr="00DB5512">
        <w:rPr>
          <w:rFonts w:ascii="Verdana" w:eastAsia="Verdana" w:hAnsi="Verdana" w:cs="Verdana"/>
          <w:sz w:val="18"/>
          <w:szCs w:val="18"/>
        </w:rPr>
        <w:t xml:space="preserve">combating shrinking media plurality; </w:t>
      </w:r>
    </w:p>
    <w:p w14:paraId="1715BFF9" w14:textId="215D9D05" w:rsidR="00726A21" w:rsidRPr="00DB5512" w:rsidRDefault="006471F4" w:rsidP="004D5055">
      <w:pPr>
        <w:pStyle w:val="ListParagraph"/>
        <w:numPr>
          <w:ilvl w:val="0"/>
          <w:numId w:val="2"/>
        </w:numPr>
        <w:spacing w:before="120" w:after="120"/>
        <w:rPr>
          <w:rFonts w:ascii="Verdana" w:eastAsia="Verdana" w:hAnsi="Verdana" w:cs="Verdana"/>
          <w:sz w:val="18"/>
          <w:szCs w:val="18"/>
        </w:rPr>
      </w:pPr>
      <w:r w:rsidRPr="00DB5512">
        <w:rPr>
          <w:rFonts w:ascii="Verdana" w:eastAsia="Verdana" w:hAnsi="Verdana" w:cs="Verdana"/>
          <w:sz w:val="18"/>
          <w:szCs w:val="18"/>
        </w:rPr>
        <w:t xml:space="preserve">promoting media freedom, diversity and independence; </w:t>
      </w:r>
    </w:p>
    <w:p w14:paraId="725E56AF" w14:textId="098A05B1" w:rsidR="00726A21" w:rsidRPr="00DB5512" w:rsidRDefault="006471F4" w:rsidP="004D5055">
      <w:pPr>
        <w:pStyle w:val="ListParagraph"/>
        <w:numPr>
          <w:ilvl w:val="0"/>
          <w:numId w:val="2"/>
        </w:numPr>
        <w:spacing w:before="120" w:after="120"/>
        <w:rPr>
          <w:rFonts w:ascii="Verdana" w:eastAsia="Verdana" w:hAnsi="Verdana" w:cs="Verdana"/>
          <w:sz w:val="18"/>
          <w:szCs w:val="18"/>
        </w:rPr>
      </w:pPr>
      <w:r w:rsidRPr="00DB5512">
        <w:rPr>
          <w:rFonts w:ascii="Verdana" w:eastAsia="Verdana" w:hAnsi="Verdana" w:cs="Verdana"/>
          <w:sz w:val="18"/>
          <w:szCs w:val="18"/>
        </w:rPr>
        <w:t>promoting transparency of content moderation incl</w:t>
      </w:r>
      <w:r w:rsidR="00726A21" w:rsidRPr="00DB5512">
        <w:rPr>
          <w:rFonts w:ascii="Verdana" w:eastAsia="Verdana" w:hAnsi="Verdana" w:cs="Verdana"/>
          <w:sz w:val="18"/>
          <w:szCs w:val="18"/>
        </w:rPr>
        <w:t>uding</w:t>
      </w:r>
      <w:r w:rsidRPr="00DB5512">
        <w:rPr>
          <w:rFonts w:ascii="Verdana" w:eastAsia="Verdana" w:hAnsi="Verdana" w:cs="Verdana"/>
          <w:sz w:val="18"/>
          <w:szCs w:val="18"/>
        </w:rPr>
        <w:t xml:space="preserve"> on online platforms</w:t>
      </w:r>
      <w:r w:rsidR="00DB5512">
        <w:rPr>
          <w:rFonts w:ascii="Verdana" w:eastAsia="Verdana" w:hAnsi="Verdana" w:cs="Verdana"/>
          <w:sz w:val="18"/>
          <w:szCs w:val="18"/>
        </w:rPr>
        <w:t>;</w:t>
      </w:r>
    </w:p>
    <w:p w14:paraId="0DD1AA3F" w14:textId="77777777" w:rsidR="00726A21" w:rsidRPr="00DB5512" w:rsidRDefault="006471F4" w:rsidP="004D5055">
      <w:pPr>
        <w:pStyle w:val="ListParagraph"/>
        <w:numPr>
          <w:ilvl w:val="0"/>
          <w:numId w:val="2"/>
        </w:numPr>
        <w:spacing w:before="120" w:after="120"/>
        <w:rPr>
          <w:rFonts w:ascii="Verdana" w:eastAsia="Verdana" w:hAnsi="Verdana" w:cs="Verdana"/>
          <w:sz w:val="18"/>
          <w:szCs w:val="18"/>
        </w:rPr>
      </w:pPr>
      <w:r w:rsidRPr="00DB5512">
        <w:rPr>
          <w:rFonts w:ascii="Verdana" w:eastAsia="Verdana" w:hAnsi="Verdana" w:cs="Verdana"/>
          <w:sz w:val="18"/>
          <w:szCs w:val="18"/>
        </w:rPr>
        <w:t xml:space="preserve">countering disinformation and fake news; </w:t>
      </w:r>
    </w:p>
    <w:p w14:paraId="1D8AE9CB" w14:textId="72BC8694" w:rsidR="00726A21" w:rsidRPr="00DB5512" w:rsidRDefault="006471F4" w:rsidP="004D5055">
      <w:pPr>
        <w:pStyle w:val="ListParagraph"/>
        <w:numPr>
          <w:ilvl w:val="0"/>
          <w:numId w:val="2"/>
        </w:numPr>
        <w:spacing w:before="120" w:after="120"/>
        <w:rPr>
          <w:rFonts w:ascii="Verdana" w:eastAsia="Verdana" w:hAnsi="Verdana" w:cs="Verdana"/>
          <w:sz w:val="18"/>
          <w:szCs w:val="18"/>
        </w:rPr>
      </w:pPr>
      <w:r w:rsidRPr="00DB5512">
        <w:rPr>
          <w:rFonts w:ascii="Verdana" w:eastAsia="Verdana" w:hAnsi="Verdana" w:cs="Verdana"/>
          <w:sz w:val="18"/>
          <w:szCs w:val="18"/>
        </w:rPr>
        <w:t>strengthening media literacy</w:t>
      </w:r>
      <w:r w:rsidR="00726A21" w:rsidRPr="00DB5512">
        <w:rPr>
          <w:rFonts w:ascii="Verdana" w:eastAsia="Verdana" w:hAnsi="Verdana" w:cs="Verdana"/>
          <w:sz w:val="18"/>
          <w:szCs w:val="18"/>
        </w:rPr>
        <w:t xml:space="preserve">, </w:t>
      </w:r>
      <w:r w:rsidRPr="00DB5512">
        <w:rPr>
          <w:rFonts w:ascii="Verdana" w:eastAsia="Verdana" w:hAnsi="Verdana" w:cs="Verdana"/>
          <w:sz w:val="18"/>
          <w:szCs w:val="18"/>
        </w:rPr>
        <w:t>fostering critical thinking and enhancing citizens</w:t>
      </w:r>
      <w:r w:rsidR="00DB5512">
        <w:rPr>
          <w:rFonts w:ascii="Verdana" w:eastAsia="Verdana" w:hAnsi="Verdana" w:cs="Verdana"/>
          <w:sz w:val="18"/>
          <w:szCs w:val="18"/>
        </w:rPr>
        <w:t>’</w:t>
      </w:r>
      <w:r w:rsidRPr="00DB5512">
        <w:rPr>
          <w:rFonts w:ascii="Verdana" w:eastAsia="Verdana" w:hAnsi="Verdana" w:cs="Verdana"/>
          <w:sz w:val="18"/>
          <w:szCs w:val="18"/>
        </w:rPr>
        <w:t xml:space="preserve"> resilience to disinformation</w:t>
      </w:r>
      <w:r w:rsidR="00DB5512">
        <w:rPr>
          <w:rFonts w:ascii="Verdana" w:eastAsia="Verdana" w:hAnsi="Verdana" w:cs="Verdana"/>
          <w:sz w:val="18"/>
          <w:szCs w:val="18"/>
        </w:rPr>
        <w:t>;</w:t>
      </w:r>
    </w:p>
    <w:p w14:paraId="37DFFCD9" w14:textId="4583E2A3" w:rsidR="00726A21" w:rsidRPr="00DB5512" w:rsidRDefault="006471F4" w:rsidP="004D5055">
      <w:pPr>
        <w:pStyle w:val="ListParagraph"/>
        <w:numPr>
          <w:ilvl w:val="0"/>
          <w:numId w:val="2"/>
        </w:numPr>
        <w:spacing w:before="120" w:after="120"/>
        <w:rPr>
          <w:rFonts w:ascii="Verdana" w:eastAsia="Verdana" w:hAnsi="Verdana" w:cs="Verdana"/>
          <w:sz w:val="18"/>
          <w:szCs w:val="18"/>
        </w:rPr>
      </w:pPr>
      <w:r w:rsidRPr="00DB5512">
        <w:rPr>
          <w:rFonts w:ascii="Verdana" w:eastAsia="Verdana" w:hAnsi="Verdana" w:cs="Verdana"/>
          <w:sz w:val="18"/>
          <w:szCs w:val="18"/>
        </w:rPr>
        <w:t xml:space="preserve">promoting narratives and actions </w:t>
      </w:r>
      <w:r w:rsidR="001C6F17">
        <w:rPr>
          <w:rFonts w:ascii="Verdana" w:eastAsia="Verdana" w:hAnsi="Verdana" w:cs="Verdana"/>
          <w:sz w:val="18"/>
          <w:szCs w:val="18"/>
        </w:rPr>
        <w:t>that</w:t>
      </w:r>
      <w:r w:rsidR="001C6F17" w:rsidRPr="00DB5512">
        <w:rPr>
          <w:rFonts w:ascii="Verdana" w:eastAsia="Verdana" w:hAnsi="Verdana" w:cs="Verdana"/>
          <w:sz w:val="18"/>
          <w:szCs w:val="18"/>
        </w:rPr>
        <w:t xml:space="preserve"> </w:t>
      </w:r>
      <w:r w:rsidRPr="00DB5512">
        <w:rPr>
          <w:rFonts w:ascii="Verdana" w:eastAsia="Verdana" w:hAnsi="Verdana" w:cs="Verdana"/>
          <w:sz w:val="18"/>
          <w:szCs w:val="18"/>
        </w:rPr>
        <w:t>combat racism and xenophobia and support an inclusive attitude towards minorities and disadvantaged groups of any kind</w:t>
      </w:r>
      <w:r w:rsidR="00DB5512">
        <w:rPr>
          <w:rFonts w:ascii="Verdana" w:eastAsia="Verdana" w:hAnsi="Verdana" w:cs="Verdana"/>
          <w:sz w:val="18"/>
          <w:szCs w:val="18"/>
        </w:rPr>
        <w:t>;</w:t>
      </w:r>
    </w:p>
    <w:p w14:paraId="75391718" w14:textId="50B6BCF3" w:rsidR="00EF174D" w:rsidRPr="00DB5512" w:rsidRDefault="006471F4" w:rsidP="004D5055">
      <w:pPr>
        <w:pStyle w:val="ListParagraph"/>
        <w:numPr>
          <w:ilvl w:val="0"/>
          <w:numId w:val="2"/>
        </w:numPr>
        <w:spacing w:before="120" w:after="120"/>
        <w:rPr>
          <w:rFonts w:ascii="Verdana" w:eastAsia="Verdana" w:hAnsi="Verdana" w:cs="Verdana"/>
          <w:sz w:val="18"/>
          <w:szCs w:val="18"/>
        </w:rPr>
      </w:pPr>
      <w:r w:rsidRPr="00DB5512">
        <w:rPr>
          <w:rFonts w:ascii="Verdana" w:eastAsia="Verdana" w:hAnsi="Verdana" w:cs="Verdana"/>
          <w:sz w:val="18"/>
          <w:szCs w:val="18"/>
        </w:rPr>
        <w:t xml:space="preserve">preventing vulnerable people from </w:t>
      </w:r>
      <w:r w:rsidR="00726A21" w:rsidRPr="00DB5512">
        <w:rPr>
          <w:rFonts w:ascii="Verdana" w:eastAsia="Verdana" w:hAnsi="Verdana" w:cs="Verdana"/>
          <w:sz w:val="18"/>
          <w:szCs w:val="18"/>
        </w:rPr>
        <w:t xml:space="preserve">becoming </w:t>
      </w:r>
      <w:r w:rsidRPr="00DB5512">
        <w:rPr>
          <w:rFonts w:ascii="Verdana" w:eastAsia="Verdana" w:hAnsi="Verdana" w:cs="Verdana"/>
          <w:sz w:val="18"/>
          <w:szCs w:val="18"/>
        </w:rPr>
        <w:t>radical</w:t>
      </w:r>
      <w:r w:rsidR="00726A21" w:rsidRPr="00DB5512">
        <w:rPr>
          <w:rFonts w:ascii="Verdana" w:eastAsia="Verdana" w:hAnsi="Verdana" w:cs="Verdana"/>
          <w:sz w:val="18"/>
          <w:szCs w:val="18"/>
        </w:rPr>
        <w:t>ised and</w:t>
      </w:r>
      <w:r w:rsidRPr="00DB5512">
        <w:rPr>
          <w:rFonts w:ascii="Verdana" w:eastAsia="Verdana" w:hAnsi="Verdana" w:cs="Verdana"/>
          <w:sz w:val="18"/>
          <w:szCs w:val="18"/>
        </w:rPr>
        <w:t xml:space="preserve"> bringing radicalised </w:t>
      </w:r>
      <w:r w:rsidR="00726A21" w:rsidRPr="00DB5512">
        <w:rPr>
          <w:rFonts w:ascii="Verdana" w:eastAsia="Verdana" w:hAnsi="Verdana" w:cs="Verdana"/>
          <w:sz w:val="18"/>
          <w:szCs w:val="18"/>
        </w:rPr>
        <w:t>individuals</w:t>
      </w:r>
      <w:r w:rsidRPr="00DB5512">
        <w:rPr>
          <w:rFonts w:ascii="Verdana" w:eastAsia="Verdana" w:hAnsi="Verdana" w:cs="Verdana"/>
          <w:sz w:val="18"/>
          <w:szCs w:val="18"/>
        </w:rPr>
        <w:t xml:space="preserve"> </w:t>
      </w:r>
      <w:r w:rsidR="00DB5512">
        <w:rPr>
          <w:rFonts w:ascii="Verdana" w:eastAsia="Verdana" w:hAnsi="Verdana" w:cs="Verdana"/>
          <w:sz w:val="18"/>
          <w:szCs w:val="18"/>
        </w:rPr>
        <w:t>‘</w:t>
      </w:r>
      <w:r w:rsidRPr="00DB5512">
        <w:rPr>
          <w:rFonts w:ascii="Verdana" w:eastAsia="Verdana" w:hAnsi="Verdana" w:cs="Verdana"/>
          <w:sz w:val="18"/>
          <w:szCs w:val="18"/>
        </w:rPr>
        <w:t>back into society</w:t>
      </w:r>
      <w:r w:rsidR="00DB5512">
        <w:rPr>
          <w:rFonts w:ascii="Verdana" w:eastAsia="Verdana" w:hAnsi="Verdana" w:cs="Verdana"/>
          <w:sz w:val="18"/>
          <w:szCs w:val="18"/>
        </w:rPr>
        <w:t>’</w:t>
      </w:r>
      <w:r w:rsidR="00726A21" w:rsidRPr="00DB5512">
        <w:rPr>
          <w:rFonts w:ascii="Verdana" w:eastAsia="Verdana" w:hAnsi="Verdana" w:cs="Verdana"/>
          <w:sz w:val="18"/>
          <w:szCs w:val="18"/>
        </w:rPr>
        <w:t>.</w:t>
      </w:r>
    </w:p>
    <w:p w14:paraId="3834FB56" w14:textId="02BDAA44" w:rsidR="00E55F7B" w:rsidRPr="00DB5512" w:rsidRDefault="00E55F7B" w:rsidP="004D5055">
      <w:pPr>
        <w:spacing w:before="120" w:after="120"/>
        <w:rPr>
          <w:rFonts w:ascii="Verdana" w:eastAsia="Verdana" w:hAnsi="Verdana" w:cs="Verdana"/>
          <w:b/>
          <w:bCs/>
          <w:sz w:val="20"/>
          <w:szCs w:val="20"/>
        </w:rPr>
      </w:pPr>
      <w:r w:rsidRPr="00DB5512">
        <w:rPr>
          <w:rFonts w:ascii="Verdana" w:eastAsia="Verdana" w:hAnsi="Verdana" w:cs="Verdana"/>
          <w:b/>
          <w:bCs/>
          <w:sz w:val="20"/>
          <w:szCs w:val="20"/>
        </w:rPr>
        <w:t>To apply</w:t>
      </w:r>
      <w:r w:rsidR="00DA2B33" w:rsidRPr="00DB5512">
        <w:rPr>
          <w:rFonts w:ascii="Verdana" w:eastAsia="Verdana" w:hAnsi="Verdana" w:cs="Verdana"/>
          <w:b/>
          <w:bCs/>
          <w:sz w:val="20"/>
          <w:szCs w:val="20"/>
        </w:rPr>
        <w:t>,</w:t>
      </w:r>
      <w:r w:rsidRPr="00DB5512">
        <w:rPr>
          <w:rFonts w:ascii="Verdana" w:eastAsia="Verdana" w:hAnsi="Verdana" w:cs="Verdana"/>
          <w:b/>
          <w:bCs/>
          <w:sz w:val="20"/>
          <w:szCs w:val="20"/>
        </w:rPr>
        <w:t xml:space="preserve"> click </w:t>
      </w:r>
      <w:hyperlink r:id="rId12" w:history="1">
        <w:r w:rsidRPr="00DB5512">
          <w:rPr>
            <w:rStyle w:val="Hyperlink"/>
            <w:rFonts w:ascii="Verdana" w:eastAsia="Verdana" w:hAnsi="Verdana" w:cs="Verdana"/>
            <w:b/>
            <w:bCs/>
            <w:sz w:val="20"/>
            <w:szCs w:val="20"/>
          </w:rPr>
          <w:t>here</w:t>
        </w:r>
      </w:hyperlink>
      <w:r w:rsidRPr="00DB5512">
        <w:rPr>
          <w:rFonts w:ascii="Verdana" w:eastAsia="Verdana" w:hAnsi="Verdana" w:cs="Verdana"/>
          <w:b/>
          <w:bCs/>
          <w:sz w:val="20"/>
          <w:szCs w:val="20"/>
        </w:rPr>
        <w:t>.</w:t>
      </w:r>
    </w:p>
    <w:p w14:paraId="7E4B45B7" w14:textId="77777777" w:rsidR="00CF0A04" w:rsidRPr="00DB5512" w:rsidRDefault="00CF0A04" w:rsidP="004D5055">
      <w:pPr>
        <w:spacing w:before="120" w:after="120"/>
        <w:rPr>
          <w:rFonts w:ascii="Verdana" w:eastAsia="Verdana" w:hAnsi="Verdana" w:cs="Verdana"/>
          <w:b/>
          <w:sz w:val="18"/>
          <w:szCs w:val="18"/>
        </w:rPr>
      </w:pPr>
    </w:p>
    <w:p w14:paraId="71156C1C" w14:textId="598272FD" w:rsidR="00FC5ABB" w:rsidRPr="00DB5512" w:rsidRDefault="000834B4" w:rsidP="004D5055">
      <w:pPr>
        <w:spacing w:before="120" w:after="120"/>
        <w:rPr>
          <w:rFonts w:ascii="Verdana" w:eastAsia="Verdana" w:hAnsi="Verdana" w:cs="Verdana"/>
          <w:b/>
          <w:sz w:val="18"/>
          <w:szCs w:val="18"/>
        </w:rPr>
      </w:pPr>
      <w:r w:rsidRPr="00DB5512">
        <w:rPr>
          <w:rFonts w:ascii="Verdana" w:eastAsia="Verdana" w:hAnsi="Verdana" w:cs="Verdana"/>
          <w:b/>
          <w:sz w:val="18"/>
          <w:szCs w:val="18"/>
        </w:rPr>
        <w:t>MORE ABOUT THE THEME OF THIS YEAR</w:t>
      </w:r>
      <w:r w:rsidR="00DB5512">
        <w:rPr>
          <w:rFonts w:ascii="Verdana" w:eastAsia="Verdana" w:hAnsi="Verdana" w:cs="Verdana"/>
          <w:b/>
          <w:sz w:val="18"/>
          <w:szCs w:val="18"/>
        </w:rPr>
        <w:t>’</w:t>
      </w:r>
      <w:r w:rsidRPr="00DB5512">
        <w:rPr>
          <w:rFonts w:ascii="Verdana" w:eastAsia="Verdana" w:hAnsi="Verdana" w:cs="Verdana"/>
          <w:b/>
          <w:sz w:val="18"/>
          <w:szCs w:val="18"/>
        </w:rPr>
        <w:t xml:space="preserve">S PRIZE </w:t>
      </w:r>
    </w:p>
    <w:p w14:paraId="458AD7E3" w14:textId="776C4BBF" w:rsidR="00D8003F" w:rsidRPr="00DB5512" w:rsidRDefault="00D8003F" w:rsidP="004D5055">
      <w:pPr>
        <w:spacing w:before="120" w:after="120"/>
        <w:rPr>
          <w:rFonts w:ascii="Verdana" w:eastAsia="Verdana" w:hAnsi="Verdana" w:cs="Verdana"/>
          <w:bCs/>
          <w:sz w:val="18"/>
          <w:szCs w:val="18"/>
        </w:rPr>
      </w:pPr>
      <w:r w:rsidRPr="00DB5512">
        <w:rPr>
          <w:rFonts w:ascii="Verdana" w:eastAsia="Verdana" w:hAnsi="Verdana" w:cs="Verdana"/>
          <w:bCs/>
          <w:sz w:val="18"/>
          <w:szCs w:val="18"/>
        </w:rPr>
        <w:t xml:space="preserve">Polarisation refers to the sharpening of opinions or positions. It can be based on specific ideologies or refer to a specific issue. It is a multifaceted phenomenon which is not necessarily negative. Polarisation can be part of an open and pluralistic society </w:t>
      </w:r>
      <w:r w:rsidR="00832E67">
        <w:rPr>
          <w:rFonts w:ascii="Verdana" w:eastAsia="Verdana" w:hAnsi="Verdana" w:cs="Verdana"/>
          <w:bCs/>
          <w:sz w:val="18"/>
          <w:szCs w:val="18"/>
        </w:rPr>
        <w:t>that</w:t>
      </w:r>
      <w:r w:rsidR="00832E67" w:rsidRPr="00DB5512">
        <w:rPr>
          <w:rFonts w:ascii="Verdana" w:eastAsia="Verdana" w:hAnsi="Verdana" w:cs="Verdana"/>
          <w:bCs/>
          <w:sz w:val="18"/>
          <w:szCs w:val="18"/>
        </w:rPr>
        <w:t xml:space="preserve"> </w:t>
      </w:r>
      <w:r w:rsidRPr="00DB5512">
        <w:rPr>
          <w:rFonts w:ascii="Verdana" w:eastAsia="Verdana" w:hAnsi="Verdana" w:cs="Verdana"/>
          <w:bCs/>
          <w:sz w:val="18"/>
          <w:szCs w:val="18"/>
        </w:rPr>
        <w:t xml:space="preserve">leaves space for freedom of expression on issues </w:t>
      </w:r>
      <w:r w:rsidR="00832E67">
        <w:rPr>
          <w:rFonts w:ascii="Verdana" w:eastAsia="Verdana" w:hAnsi="Verdana" w:cs="Verdana"/>
          <w:bCs/>
          <w:sz w:val="18"/>
          <w:szCs w:val="18"/>
        </w:rPr>
        <w:t>that</w:t>
      </w:r>
      <w:r w:rsidR="00832E67" w:rsidRPr="00DB5512">
        <w:rPr>
          <w:rFonts w:ascii="Verdana" w:eastAsia="Verdana" w:hAnsi="Verdana" w:cs="Verdana"/>
          <w:bCs/>
          <w:sz w:val="18"/>
          <w:szCs w:val="18"/>
        </w:rPr>
        <w:t xml:space="preserve"> </w:t>
      </w:r>
      <w:r w:rsidRPr="00DB5512">
        <w:rPr>
          <w:rFonts w:ascii="Verdana" w:eastAsia="Verdana" w:hAnsi="Verdana" w:cs="Verdana"/>
          <w:bCs/>
          <w:sz w:val="18"/>
          <w:szCs w:val="18"/>
        </w:rPr>
        <w:t xml:space="preserve">are relevant or sensitive for public opinion. </w:t>
      </w:r>
      <w:r w:rsidR="00832E67">
        <w:rPr>
          <w:rFonts w:ascii="Verdana" w:eastAsia="Verdana" w:hAnsi="Verdana" w:cs="Verdana"/>
          <w:bCs/>
          <w:sz w:val="18"/>
          <w:szCs w:val="18"/>
        </w:rPr>
        <w:t>O</w:t>
      </w:r>
      <w:r w:rsidRPr="00DB5512">
        <w:rPr>
          <w:rFonts w:ascii="Verdana" w:eastAsia="Verdana" w:hAnsi="Verdana" w:cs="Verdana"/>
          <w:bCs/>
          <w:sz w:val="18"/>
          <w:szCs w:val="18"/>
        </w:rPr>
        <w:t xml:space="preserve">pen dialogue is an essential characteristic of a living democracy. The formulation of different, even sharp opinions and of disagreement can enrich the democratic debate, foster activism and be a driver of change. </w:t>
      </w:r>
    </w:p>
    <w:p w14:paraId="146D9DA1" w14:textId="7C60DC23" w:rsidR="00D8003F" w:rsidRPr="00DB5512" w:rsidRDefault="00D8003F" w:rsidP="004D5055">
      <w:pPr>
        <w:spacing w:before="120" w:after="120"/>
        <w:rPr>
          <w:rFonts w:ascii="Verdana" w:eastAsia="Verdana" w:hAnsi="Verdana" w:cs="Verdana"/>
          <w:bCs/>
          <w:sz w:val="18"/>
          <w:szCs w:val="18"/>
        </w:rPr>
      </w:pPr>
      <w:r w:rsidRPr="00DB5512">
        <w:rPr>
          <w:rFonts w:ascii="Verdana" w:eastAsia="Verdana" w:hAnsi="Verdana" w:cs="Verdana"/>
          <w:bCs/>
          <w:sz w:val="18"/>
          <w:szCs w:val="18"/>
        </w:rPr>
        <w:t>However, as pointed out in an EESC study</w:t>
      </w:r>
      <w:r w:rsidR="00534E94" w:rsidRPr="00DB5512">
        <w:rPr>
          <w:rStyle w:val="FootnoteReference"/>
          <w:rFonts w:ascii="Verdana" w:eastAsia="Verdana" w:hAnsi="Verdana" w:cs="Verdana"/>
          <w:bCs/>
          <w:sz w:val="18"/>
          <w:szCs w:val="18"/>
        </w:rPr>
        <w:footnoteReference w:id="1"/>
      </w:r>
      <w:r w:rsidRPr="00DB5512">
        <w:rPr>
          <w:rFonts w:ascii="Verdana" w:eastAsia="Verdana" w:hAnsi="Verdana" w:cs="Verdana"/>
          <w:bCs/>
          <w:sz w:val="18"/>
          <w:szCs w:val="18"/>
        </w:rPr>
        <w:t>, both governments and civil society are becoming more confrontational, more polarised and less open to compromise. Polarisation often leads to a growing mutual distrust between like-minded groups and even to hostility. When polarisation is linked with hate, it does not lead to enriching debates</w:t>
      </w:r>
      <w:r w:rsidR="00534E94" w:rsidRPr="00DB5512">
        <w:rPr>
          <w:rFonts w:ascii="Verdana" w:eastAsia="Verdana" w:hAnsi="Verdana" w:cs="Verdana"/>
          <w:bCs/>
          <w:sz w:val="18"/>
          <w:szCs w:val="18"/>
        </w:rPr>
        <w:t xml:space="preserve"> and</w:t>
      </w:r>
      <w:r w:rsidRPr="00DB5512">
        <w:rPr>
          <w:rFonts w:ascii="Verdana" w:eastAsia="Verdana" w:hAnsi="Verdana" w:cs="Verdana"/>
          <w:bCs/>
          <w:sz w:val="18"/>
          <w:szCs w:val="18"/>
        </w:rPr>
        <w:t xml:space="preserve"> usually mak</w:t>
      </w:r>
      <w:r w:rsidR="00534E94" w:rsidRPr="00DB5512">
        <w:rPr>
          <w:rFonts w:ascii="Verdana" w:eastAsia="Verdana" w:hAnsi="Verdana" w:cs="Verdana"/>
          <w:bCs/>
          <w:sz w:val="18"/>
          <w:szCs w:val="18"/>
        </w:rPr>
        <w:t>es</w:t>
      </w:r>
      <w:r w:rsidRPr="00DB5512">
        <w:rPr>
          <w:rFonts w:ascii="Verdana" w:eastAsia="Verdana" w:hAnsi="Verdana" w:cs="Verdana"/>
          <w:bCs/>
          <w:sz w:val="18"/>
          <w:szCs w:val="18"/>
        </w:rPr>
        <w:t xml:space="preserve"> it impossible to find common ground. This type of polarisation is harmful for societal relations, increases social tensions, hampers cohesion, fosters mistrust in political institutions and puts democracy at risk.</w:t>
      </w:r>
    </w:p>
    <w:p w14:paraId="337B7487" w14:textId="613370B6" w:rsidR="00D8003F" w:rsidRPr="00DB5512" w:rsidRDefault="00D8003F" w:rsidP="004D5055">
      <w:pPr>
        <w:spacing w:before="120" w:after="120"/>
        <w:rPr>
          <w:rFonts w:ascii="Verdana" w:eastAsia="Verdana" w:hAnsi="Verdana" w:cs="Verdana"/>
          <w:bCs/>
          <w:sz w:val="18"/>
          <w:szCs w:val="18"/>
        </w:rPr>
      </w:pPr>
      <w:r w:rsidRPr="00DB5512">
        <w:rPr>
          <w:rFonts w:ascii="Verdana" w:eastAsia="Verdana" w:hAnsi="Verdana" w:cs="Verdana"/>
          <w:bCs/>
          <w:sz w:val="18"/>
          <w:szCs w:val="18"/>
        </w:rPr>
        <w:t>Multiple cris</w:t>
      </w:r>
      <w:r w:rsidR="00534E94" w:rsidRPr="00DB5512">
        <w:rPr>
          <w:rFonts w:ascii="Verdana" w:eastAsia="Verdana" w:hAnsi="Verdana" w:cs="Verdana"/>
          <w:bCs/>
          <w:sz w:val="18"/>
          <w:szCs w:val="18"/>
        </w:rPr>
        <w:t>e</w:t>
      </w:r>
      <w:r w:rsidRPr="00DB5512">
        <w:rPr>
          <w:rFonts w:ascii="Verdana" w:eastAsia="Verdana" w:hAnsi="Verdana" w:cs="Verdana"/>
          <w:bCs/>
          <w:sz w:val="18"/>
          <w:szCs w:val="18"/>
        </w:rPr>
        <w:t xml:space="preserve">s such as the </w:t>
      </w:r>
      <w:r w:rsidR="00534E94" w:rsidRPr="00DB5512">
        <w:rPr>
          <w:rFonts w:ascii="Verdana" w:eastAsia="Verdana" w:hAnsi="Verdana" w:cs="Verdana"/>
          <w:bCs/>
          <w:sz w:val="18"/>
          <w:szCs w:val="18"/>
        </w:rPr>
        <w:t xml:space="preserve">COVID-19 </w:t>
      </w:r>
      <w:r w:rsidRPr="00DB5512">
        <w:rPr>
          <w:rFonts w:ascii="Verdana" w:eastAsia="Verdana" w:hAnsi="Verdana" w:cs="Verdana"/>
          <w:bCs/>
          <w:sz w:val="18"/>
          <w:szCs w:val="18"/>
        </w:rPr>
        <w:t>pandemic, the energy crisis, the cost of living</w:t>
      </w:r>
      <w:r w:rsidR="00534E94" w:rsidRPr="00DB5512">
        <w:rPr>
          <w:rFonts w:ascii="Verdana" w:eastAsia="Verdana" w:hAnsi="Verdana" w:cs="Verdana"/>
          <w:bCs/>
          <w:sz w:val="18"/>
          <w:szCs w:val="18"/>
        </w:rPr>
        <w:t xml:space="preserve"> crisis</w:t>
      </w:r>
      <w:r w:rsidRPr="00DB5512">
        <w:rPr>
          <w:rFonts w:ascii="Verdana" w:eastAsia="Verdana" w:hAnsi="Verdana" w:cs="Verdana"/>
          <w:bCs/>
          <w:sz w:val="18"/>
          <w:szCs w:val="18"/>
        </w:rPr>
        <w:t xml:space="preserve">, the war in Ukraine, </w:t>
      </w:r>
      <w:r w:rsidR="00534E94" w:rsidRPr="00DB5512">
        <w:rPr>
          <w:rFonts w:ascii="Verdana" w:eastAsia="Verdana" w:hAnsi="Verdana" w:cs="Verdana"/>
          <w:bCs/>
          <w:sz w:val="18"/>
          <w:szCs w:val="18"/>
        </w:rPr>
        <w:t>coupled</w:t>
      </w:r>
      <w:r w:rsidRPr="00DB5512">
        <w:rPr>
          <w:rFonts w:ascii="Verdana" w:eastAsia="Verdana" w:hAnsi="Verdana" w:cs="Verdana"/>
          <w:bCs/>
          <w:sz w:val="18"/>
          <w:szCs w:val="18"/>
        </w:rPr>
        <w:t xml:space="preserve"> with social instability, economic decline and </w:t>
      </w:r>
      <w:r w:rsidR="00534E94" w:rsidRPr="00DB5512">
        <w:rPr>
          <w:rFonts w:ascii="Verdana" w:eastAsia="Verdana" w:hAnsi="Verdana" w:cs="Verdana"/>
          <w:bCs/>
          <w:sz w:val="18"/>
          <w:szCs w:val="18"/>
        </w:rPr>
        <w:t>a growing</w:t>
      </w:r>
      <w:r w:rsidRPr="00DB5512">
        <w:rPr>
          <w:rFonts w:ascii="Verdana" w:eastAsia="Verdana" w:hAnsi="Verdana" w:cs="Verdana"/>
          <w:bCs/>
          <w:sz w:val="18"/>
          <w:szCs w:val="18"/>
        </w:rPr>
        <w:t xml:space="preserve"> mistrust in public services and public authorities </w:t>
      </w:r>
      <w:r w:rsidR="00726A21" w:rsidRPr="00DB5512">
        <w:rPr>
          <w:rFonts w:ascii="Verdana" w:eastAsia="Verdana" w:hAnsi="Verdana" w:cs="Verdana"/>
          <w:bCs/>
          <w:sz w:val="18"/>
          <w:szCs w:val="18"/>
        </w:rPr>
        <w:t xml:space="preserve">all </w:t>
      </w:r>
      <w:r w:rsidR="00534E94" w:rsidRPr="00DB5512">
        <w:rPr>
          <w:rFonts w:ascii="Verdana" w:eastAsia="Verdana" w:hAnsi="Verdana" w:cs="Verdana"/>
          <w:bCs/>
          <w:sz w:val="18"/>
          <w:szCs w:val="18"/>
        </w:rPr>
        <w:t>provide</w:t>
      </w:r>
      <w:r w:rsidRPr="00DB5512">
        <w:rPr>
          <w:rFonts w:ascii="Verdana" w:eastAsia="Verdana" w:hAnsi="Verdana" w:cs="Verdana"/>
          <w:bCs/>
          <w:sz w:val="18"/>
          <w:szCs w:val="18"/>
        </w:rPr>
        <w:t xml:space="preserve"> a </w:t>
      </w:r>
      <w:r w:rsidR="00534E94" w:rsidRPr="00DB5512">
        <w:rPr>
          <w:rFonts w:ascii="Verdana" w:eastAsia="Verdana" w:hAnsi="Verdana" w:cs="Verdana"/>
          <w:bCs/>
          <w:sz w:val="18"/>
          <w:szCs w:val="18"/>
        </w:rPr>
        <w:t xml:space="preserve">potential </w:t>
      </w:r>
      <w:r w:rsidRPr="00DB5512">
        <w:rPr>
          <w:rFonts w:ascii="Verdana" w:eastAsia="Verdana" w:hAnsi="Verdana" w:cs="Verdana"/>
          <w:bCs/>
          <w:sz w:val="18"/>
          <w:szCs w:val="18"/>
        </w:rPr>
        <w:t xml:space="preserve">breeding ground for harmful polarisation. </w:t>
      </w:r>
    </w:p>
    <w:p w14:paraId="2D6C6F6E" w14:textId="549F4A9F" w:rsidR="00D8003F" w:rsidRPr="00DB5512" w:rsidRDefault="00534E94" w:rsidP="004D5055">
      <w:pPr>
        <w:spacing w:before="120" w:after="120"/>
        <w:rPr>
          <w:rFonts w:ascii="Verdana" w:eastAsia="Verdana" w:hAnsi="Verdana" w:cs="Verdana"/>
          <w:bCs/>
          <w:sz w:val="18"/>
          <w:szCs w:val="18"/>
        </w:rPr>
      </w:pPr>
      <w:r w:rsidRPr="00DB5512">
        <w:rPr>
          <w:rFonts w:ascii="Verdana" w:eastAsia="Verdana" w:hAnsi="Verdana" w:cs="Verdana"/>
          <w:bCs/>
          <w:sz w:val="18"/>
          <w:szCs w:val="18"/>
        </w:rPr>
        <w:t>P</w:t>
      </w:r>
      <w:r w:rsidR="00D8003F" w:rsidRPr="00DB5512">
        <w:rPr>
          <w:rFonts w:ascii="Verdana" w:eastAsia="Verdana" w:hAnsi="Verdana" w:cs="Verdana"/>
          <w:bCs/>
          <w:sz w:val="18"/>
          <w:szCs w:val="18"/>
        </w:rPr>
        <w:t>ublic authorities</w:t>
      </w:r>
      <w:r w:rsidRPr="00DB5512">
        <w:rPr>
          <w:rFonts w:ascii="Verdana" w:eastAsia="Verdana" w:hAnsi="Verdana" w:cs="Verdana"/>
          <w:bCs/>
          <w:sz w:val="18"/>
          <w:szCs w:val="18"/>
        </w:rPr>
        <w:t xml:space="preserve"> and</w:t>
      </w:r>
      <w:r w:rsidR="00D8003F" w:rsidRPr="00DB5512">
        <w:rPr>
          <w:rFonts w:ascii="Verdana" w:eastAsia="Verdana" w:hAnsi="Verdana" w:cs="Verdana"/>
          <w:bCs/>
          <w:sz w:val="18"/>
          <w:szCs w:val="18"/>
        </w:rPr>
        <w:t xml:space="preserve"> civil society </w:t>
      </w:r>
      <w:r w:rsidRPr="00DB5512">
        <w:rPr>
          <w:rFonts w:ascii="Verdana" w:eastAsia="Verdana" w:hAnsi="Verdana" w:cs="Verdana"/>
          <w:bCs/>
          <w:sz w:val="18"/>
          <w:szCs w:val="18"/>
        </w:rPr>
        <w:t xml:space="preserve">can </w:t>
      </w:r>
      <w:r w:rsidR="00D8003F" w:rsidRPr="00DB5512">
        <w:rPr>
          <w:rFonts w:ascii="Verdana" w:eastAsia="Verdana" w:hAnsi="Verdana" w:cs="Verdana"/>
          <w:bCs/>
          <w:sz w:val="18"/>
          <w:szCs w:val="18"/>
        </w:rPr>
        <w:t xml:space="preserve">play an important role in monitoring hotbeds of online and offline polarisation and </w:t>
      </w:r>
      <w:r w:rsidRPr="00DB5512">
        <w:rPr>
          <w:rFonts w:ascii="Verdana" w:eastAsia="Verdana" w:hAnsi="Verdana" w:cs="Verdana"/>
          <w:bCs/>
          <w:sz w:val="18"/>
          <w:szCs w:val="18"/>
        </w:rPr>
        <w:t>may help</w:t>
      </w:r>
      <w:r w:rsidR="00D8003F" w:rsidRPr="00DB5512">
        <w:rPr>
          <w:rFonts w:ascii="Verdana" w:eastAsia="Verdana" w:hAnsi="Verdana" w:cs="Verdana"/>
          <w:bCs/>
          <w:sz w:val="18"/>
          <w:szCs w:val="18"/>
        </w:rPr>
        <w:t xml:space="preserve"> pr</w:t>
      </w:r>
      <w:r w:rsidRPr="00DB5512">
        <w:rPr>
          <w:rFonts w:ascii="Verdana" w:eastAsia="Verdana" w:hAnsi="Verdana" w:cs="Verdana"/>
          <w:bCs/>
          <w:sz w:val="18"/>
          <w:szCs w:val="18"/>
        </w:rPr>
        <w:t>otect</w:t>
      </w:r>
      <w:r w:rsidR="00D8003F" w:rsidRPr="00DB5512">
        <w:rPr>
          <w:rFonts w:ascii="Verdana" w:eastAsia="Verdana" w:hAnsi="Verdana" w:cs="Verdana"/>
          <w:bCs/>
          <w:sz w:val="18"/>
          <w:szCs w:val="18"/>
        </w:rPr>
        <w:t xml:space="preserve"> liberal democracy from authoritarian</w:t>
      </w:r>
      <w:r w:rsidRPr="00DB5512">
        <w:rPr>
          <w:rFonts w:ascii="Verdana" w:eastAsia="Verdana" w:hAnsi="Verdana" w:cs="Verdana"/>
          <w:bCs/>
          <w:sz w:val="18"/>
          <w:szCs w:val="18"/>
        </w:rPr>
        <w:t xml:space="preserve"> trends</w:t>
      </w:r>
      <w:r w:rsidR="00D8003F" w:rsidRPr="00DB5512">
        <w:rPr>
          <w:rFonts w:ascii="Verdana" w:eastAsia="Verdana" w:hAnsi="Verdana" w:cs="Verdana"/>
          <w:bCs/>
          <w:sz w:val="18"/>
          <w:szCs w:val="18"/>
        </w:rPr>
        <w:t xml:space="preserve">. For this reason, the EESC has decided to award its 15th civil society prize to non-profit initiatives </w:t>
      </w:r>
      <w:r w:rsidR="006D4FD0">
        <w:rPr>
          <w:rFonts w:ascii="Verdana" w:eastAsia="Verdana" w:hAnsi="Verdana" w:cs="Verdana"/>
          <w:bCs/>
          <w:sz w:val="18"/>
          <w:szCs w:val="18"/>
        </w:rPr>
        <w:t>that</w:t>
      </w:r>
      <w:r w:rsidR="006D4FD0" w:rsidRPr="00DB5512">
        <w:rPr>
          <w:rFonts w:ascii="Verdana" w:eastAsia="Verdana" w:hAnsi="Verdana" w:cs="Verdana"/>
          <w:bCs/>
          <w:sz w:val="18"/>
          <w:szCs w:val="18"/>
        </w:rPr>
        <w:t xml:space="preserve"> </w:t>
      </w:r>
      <w:r w:rsidR="00D8003F" w:rsidRPr="00DB5512">
        <w:rPr>
          <w:rFonts w:ascii="Verdana" w:eastAsia="Verdana" w:hAnsi="Verdana" w:cs="Verdana"/>
          <w:bCs/>
          <w:sz w:val="18"/>
          <w:szCs w:val="18"/>
        </w:rPr>
        <w:t xml:space="preserve">intervene effectively by implementing preventive, early-warning and </w:t>
      </w:r>
      <w:r w:rsidRPr="00DB5512">
        <w:rPr>
          <w:rFonts w:ascii="Verdana" w:eastAsia="Verdana" w:hAnsi="Verdana" w:cs="Verdana"/>
          <w:bCs/>
          <w:sz w:val="18"/>
          <w:szCs w:val="18"/>
        </w:rPr>
        <w:t>(</w:t>
      </w:r>
      <w:r w:rsidR="00D8003F" w:rsidRPr="00DB5512">
        <w:rPr>
          <w:rFonts w:ascii="Verdana" w:eastAsia="Verdana" w:hAnsi="Verdana" w:cs="Verdana"/>
          <w:bCs/>
          <w:sz w:val="18"/>
          <w:szCs w:val="18"/>
        </w:rPr>
        <w:t>where needed</w:t>
      </w:r>
      <w:r w:rsidRPr="00DB5512">
        <w:rPr>
          <w:rFonts w:ascii="Verdana" w:eastAsia="Verdana" w:hAnsi="Verdana" w:cs="Verdana"/>
          <w:bCs/>
          <w:sz w:val="18"/>
          <w:szCs w:val="18"/>
        </w:rPr>
        <w:t>)</w:t>
      </w:r>
      <w:r w:rsidR="00D8003F" w:rsidRPr="00DB5512">
        <w:rPr>
          <w:rFonts w:ascii="Verdana" w:eastAsia="Verdana" w:hAnsi="Verdana" w:cs="Verdana"/>
          <w:bCs/>
          <w:sz w:val="18"/>
          <w:szCs w:val="18"/>
        </w:rPr>
        <w:t xml:space="preserve"> de-escalation measures </w:t>
      </w:r>
      <w:r w:rsidR="006D4FD0">
        <w:rPr>
          <w:rFonts w:ascii="Verdana" w:eastAsia="Verdana" w:hAnsi="Verdana" w:cs="Verdana"/>
          <w:bCs/>
          <w:sz w:val="18"/>
          <w:szCs w:val="18"/>
        </w:rPr>
        <w:t>that</w:t>
      </w:r>
      <w:r w:rsidR="006D4FD0" w:rsidRPr="00DB5512">
        <w:rPr>
          <w:rFonts w:ascii="Verdana" w:eastAsia="Verdana" w:hAnsi="Verdana" w:cs="Verdana"/>
          <w:bCs/>
          <w:sz w:val="18"/>
          <w:szCs w:val="18"/>
        </w:rPr>
        <w:t xml:space="preserve"> </w:t>
      </w:r>
      <w:r w:rsidRPr="00DB5512">
        <w:rPr>
          <w:rFonts w:ascii="Verdana" w:eastAsia="Verdana" w:hAnsi="Verdana" w:cs="Verdana"/>
          <w:bCs/>
          <w:sz w:val="18"/>
          <w:szCs w:val="18"/>
        </w:rPr>
        <w:t>ensure</w:t>
      </w:r>
      <w:r w:rsidR="00D8003F" w:rsidRPr="00DB5512">
        <w:rPr>
          <w:rFonts w:ascii="Verdana" w:eastAsia="Verdana" w:hAnsi="Verdana" w:cs="Verdana"/>
          <w:bCs/>
          <w:sz w:val="18"/>
          <w:szCs w:val="18"/>
        </w:rPr>
        <w:t xml:space="preserve"> democratic values are respected, polarisation does not become harmful and that one-sided narratives </w:t>
      </w:r>
      <w:r w:rsidRPr="00DB5512">
        <w:rPr>
          <w:rFonts w:ascii="Verdana" w:eastAsia="Verdana" w:hAnsi="Verdana" w:cs="Verdana"/>
          <w:bCs/>
          <w:sz w:val="18"/>
          <w:szCs w:val="18"/>
        </w:rPr>
        <w:t xml:space="preserve">do not lead </w:t>
      </w:r>
      <w:r w:rsidR="00D8003F" w:rsidRPr="00DB5512">
        <w:rPr>
          <w:rFonts w:ascii="Verdana" w:eastAsia="Verdana" w:hAnsi="Verdana" w:cs="Verdana"/>
          <w:bCs/>
          <w:sz w:val="18"/>
          <w:szCs w:val="18"/>
        </w:rPr>
        <w:t xml:space="preserve">to </w:t>
      </w:r>
      <w:r w:rsidRPr="00DB5512">
        <w:rPr>
          <w:rFonts w:ascii="Verdana" w:eastAsia="Verdana" w:hAnsi="Verdana" w:cs="Verdana"/>
          <w:bCs/>
          <w:sz w:val="18"/>
          <w:szCs w:val="18"/>
        </w:rPr>
        <w:t xml:space="preserve">acts of </w:t>
      </w:r>
      <w:r w:rsidR="00D8003F" w:rsidRPr="00DB5512">
        <w:rPr>
          <w:rFonts w:ascii="Verdana" w:eastAsia="Verdana" w:hAnsi="Verdana" w:cs="Verdana"/>
          <w:bCs/>
          <w:sz w:val="18"/>
          <w:szCs w:val="18"/>
        </w:rPr>
        <w:t>violence.</w:t>
      </w:r>
    </w:p>
    <w:p w14:paraId="417A0FAC" w14:textId="77777777" w:rsidR="00EF174D" w:rsidRPr="00DB5512" w:rsidRDefault="00EF174D" w:rsidP="004D5055">
      <w:pPr>
        <w:spacing w:before="120" w:after="120"/>
        <w:rPr>
          <w:rFonts w:ascii="Verdana" w:eastAsia="Verdana" w:hAnsi="Verdana" w:cs="Verdana"/>
          <w:bCs/>
          <w:sz w:val="18"/>
          <w:szCs w:val="18"/>
        </w:rPr>
      </w:pPr>
    </w:p>
    <w:p w14:paraId="2BC54AAE" w14:textId="77777777" w:rsidR="00FC5ABB" w:rsidRPr="00DB5512" w:rsidRDefault="00FC5ABB" w:rsidP="004D5055">
      <w:pPr>
        <w:spacing w:before="120" w:after="120"/>
        <w:rPr>
          <w:rFonts w:ascii="Verdana" w:eastAsia="Verdana" w:hAnsi="Verdana" w:cs="Verdana"/>
          <w:sz w:val="18"/>
          <w:szCs w:val="18"/>
        </w:rPr>
      </w:pPr>
    </w:p>
    <w:p w14:paraId="5CF4419D" w14:textId="77777777" w:rsidR="00D8003F" w:rsidRPr="00DB5512" w:rsidRDefault="00E55F7B" w:rsidP="004D5055">
      <w:pPr>
        <w:spacing w:before="120" w:after="120"/>
        <w:rPr>
          <w:rFonts w:ascii="Verdana" w:eastAsia="Verdana" w:hAnsi="Verdana" w:cs="Verdana"/>
          <w:b/>
          <w:sz w:val="18"/>
          <w:szCs w:val="18"/>
        </w:rPr>
      </w:pPr>
      <w:r w:rsidRPr="00DB5512">
        <w:rPr>
          <w:rFonts w:ascii="Verdana" w:eastAsia="Verdana" w:hAnsi="Verdana" w:cs="Verdana"/>
          <w:b/>
          <w:sz w:val="18"/>
          <w:szCs w:val="18"/>
        </w:rPr>
        <w:t>PREVIOUS CIVIL SOCIETY PRIZES</w:t>
      </w:r>
    </w:p>
    <w:p w14:paraId="652EA3B5" w14:textId="4F4FD5B1" w:rsidR="00E55F7B" w:rsidRPr="00DB5512" w:rsidRDefault="00FD60D2" w:rsidP="004D5055">
      <w:pPr>
        <w:spacing w:before="120" w:after="120"/>
        <w:rPr>
          <w:rFonts w:ascii="Verdana" w:eastAsia="Verdana" w:hAnsi="Verdana" w:cs="Verdana"/>
          <w:b/>
          <w:sz w:val="18"/>
          <w:szCs w:val="18"/>
        </w:rPr>
      </w:pPr>
      <w:r>
        <w:rPr>
          <w:rFonts w:ascii="Verdana" w:eastAsia="Verdana" w:hAnsi="Verdana" w:cs="Verdana"/>
          <w:sz w:val="18"/>
          <w:szCs w:val="18"/>
        </w:rPr>
        <w:t>The 14</w:t>
      </w:r>
      <w:r w:rsidRPr="006D79C6">
        <w:rPr>
          <w:rFonts w:ascii="Verdana" w:eastAsia="Verdana" w:hAnsi="Verdana" w:cs="Verdana"/>
          <w:sz w:val="18"/>
          <w:szCs w:val="18"/>
          <w:vertAlign w:val="superscript"/>
        </w:rPr>
        <w:t>th</w:t>
      </w:r>
      <w:r>
        <w:rPr>
          <w:rFonts w:ascii="Verdana" w:eastAsia="Verdana" w:hAnsi="Verdana" w:cs="Verdana"/>
          <w:sz w:val="18"/>
          <w:szCs w:val="18"/>
        </w:rPr>
        <w:t xml:space="preserve"> edition saw the first </w:t>
      </w:r>
      <w:r w:rsidR="006471F4" w:rsidRPr="00DB5512">
        <w:rPr>
          <w:rFonts w:ascii="Verdana" w:eastAsia="Verdana" w:hAnsi="Verdana" w:cs="Verdana"/>
          <w:sz w:val="18"/>
          <w:szCs w:val="18"/>
        </w:rPr>
        <w:t xml:space="preserve">prize go to the </w:t>
      </w:r>
      <w:proofErr w:type="spellStart"/>
      <w:r w:rsidR="006471F4" w:rsidRPr="00DB5512">
        <w:rPr>
          <w:rFonts w:ascii="Verdana" w:eastAsia="Verdana" w:hAnsi="Verdana" w:cs="Verdana"/>
          <w:sz w:val="18"/>
          <w:szCs w:val="18"/>
        </w:rPr>
        <w:t>AgeWell</w:t>
      </w:r>
      <w:proofErr w:type="spellEnd"/>
      <w:r w:rsidR="006471F4" w:rsidRPr="00DB5512">
        <w:rPr>
          <w:rFonts w:ascii="Verdana" w:eastAsia="Verdana" w:hAnsi="Verdana" w:cs="Verdana"/>
          <w:sz w:val="18"/>
          <w:szCs w:val="18"/>
        </w:rPr>
        <w:t xml:space="preserve"> project by the Third Age Foundation.</w:t>
      </w:r>
      <w:r w:rsidR="00D57E6C" w:rsidRPr="00DB5512">
        <w:rPr>
          <w:rFonts w:ascii="Verdana" w:eastAsia="Verdana" w:hAnsi="Verdana" w:cs="Verdana"/>
          <w:sz w:val="18"/>
          <w:szCs w:val="18"/>
        </w:rPr>
        <w:t xml:space="preserve"> </w:t>
      </w:r>
      <w:r w:rsidR="00E55F7B" w:rsidRPr="00DB5512">
        <w:rPr>
          <w:rFonts w:ascii="Verdana" w:eastAsia="Verdana" w:hAnsi="Verdana" w:cs="Verdana"/>
          <w:sz w:val="18"/>
          <w:szCs w:val="18"/>
        </w:rPr>
        <w:t xml:space="preserve">In 2022, the EESC exceptionally awarded </w:t>
      </w:r>
      <w:r w:rsidR="009814E4" w:rsidRPr="00DB5512">
        <w:rPr>
          <w:rFonts w:ascii="Verdana" w:eastAsia="Verdana" w:hAnsi="Verdana" w:cs="Verdana"/>
          <w:sz w:val="18"/>
          <w:szCs w:val="18"/>
        </w:rPr>
        <w:t xml:space="preserve">a </w:t>
      </w:r>
      <w:r w:rsidR="00E55F7B" w:rsidRPr="00DB5512">
        <w:rPr>
          <w:rFonts w:ascii="Verdana" w:eastAsia="Verdana" w:hAnsi="Verdana" w:cs="Verdana"/>
          <w:sz w:val="18"/>
          <w:szCs w:val="18"/>
        </w:rPr>
        <w:t xml:space="preserve">prize </w:t>
      </w:r>
      <w:r w:rsidR="009814E4" w:rsidRPr="00DB5512">
        <w:rPr>
          <w:rFonts w:ascii="Verdana" w:eastAsia="Verdana" w:hAnsi="Verdana" w:cs="Verdana"/>
          <w:sz w:val="18"/>
          <w:szCs w:val="18"/>
        </w:rPr>
        <w:t xml:space="preserve">for </w:t>
      </w:r>
      <w:r w:rsidR="00E55F7B" w:rsidRPr="00DB5512">
        <w:rPr>
          <w:rFonts w:ascii="Verdana" w:eastAsia="Verdana" w:hAnsi="Verdana" w:cs="Verdana"/>
          <w:sz w:val="18"/>
          <w:szCs w:val="18"/>
        </w:rPr>
        <w:t>two themes</w:t>
      </w:r>
      <w:r w:rsidR="009814E4" w:rsidRPr="00DB5512">
        <w:rPr>
          <w:rFonts w:ascii="Verdana" w:eastAsia="Verdana" w:hAnsi="Verdana" w:cs="Verdana"/>
          <w:sz w:val="18"/>
          <w:szCs w:val="18"/>
        </w:rPr>
        <w:t>:</w:t>
      </w:r>
      <w:r w:rsidR="00E55F7B" w:rsidRPr="00DB5512">
        <w:rPr>
          <w:rFonts w:ascii="Verdana" w:eastAsia="Verdana" w:hAnsi="Verdana" w:cs="Verdana"/>
          <w:sz w:val="18"/>
          <w:szCs w:val="18"/>
        </w:rPr>
        <w:t xml:space="preserve"> youth and Ukraine. In 2021, the prize honoured climate projects promoting a just transition. In 2020, the EESC replaced its Civil Society Prize with a one-off Civil Solidarity Prize dedicated to the fight against COVID-19. Other topics in the past </w:t>
      </w:r>
      <w:r w:rsidR="009814E4" w:rsidRPr="00DB5512">
        <w:rPr>
          <w:rFonts w:ascii="Verdana" w:eastAsia="Verdana" w:hAnsi="Verdana" w:cs="Verdana"/>
          <w:sz w:val="18"/>
          <w:szCs w:val="18"/>
        </w:rPr>
        <w:t xml:space="preserve">have </w:t>
      </w:r>
      <w:r w:rsidR="00E55F7B" w:rsidRPr="00DB5512">
        <w:rPr>
          <w:rFonts w:ascii="Verdana" w:eastAsia="Verdana" w:hAnsi="Verdana" w:cs="Verdana"/>
          <w:sz w:val="18"/>
          <w:szCs w:val="18"/>
        </w:rPr>
        <w:t>included gender equality and women</w:t>
      </w:r>
      <w:r w:rsidR="00DB5512">
        <w:rPr>
          <w:rFonts w:ascii="Verdana" w:eastAsia="Verdana" w:hAnsi="Verdana" w:cs="Verdana"/>
          <w:sz w:val="18"/>
          <w:szCs w:val="18"/>
        </w:rPr>
        <w:t>’</w:t>
      </w:r>
      <w:r w:rsidR="00E55F7B" w:rsidRPr="00DB5512">
        <w:rPr>
          <w:rFonts w:ascii="Verdana" w:eastAsia="Verdana" w:hAnsi="Verdana" w:cs="Verdana"/>
          <w:sz w:val="18"/>
          <w:szCs w:val="18"/>
        </w:rPr>
        <w:t>s empowerment, European identities and cultural heritage, and migration.</w:t>
      </w:r>
    </w:p>
    <w:p w14:paraId="494B4BCB" w14:textId="77777777" w:rsidR="00E55F7B" w:rsidRPr="00DB5512" w:rsidRDefault="00E55F7B" w:rsidP="004D5055">
      <w:pPr>
        <w:rPr>
          <w:rFonts w:ascii="Verdana" w:eastAsia="Verdana" w:hAnsi="Verdana" w:cs="Verdana"/>
          <w:b/>
          <w:sz w:val="18"/>
          <w:szCs w:val="18"/>
        </w:rPr>
      </w:pPr>
    </w:p>
    <w:p w14:paraId="1842D66C" w14:textId="77777777" w:rsidR="00E55F7B" w:rsidRPr="00DB5512" w:rsidRDefault="00E55F7B" w:rsidP="004D5055">
      <w:pPr>
        <w:rPr>
          <w:rFonts w:ascii="Verdana" w:eastAsia="Verdana" w:hAnsi="Verdana" w:cs="Verdana"/>
          <w:sz w:val="18"/>
          <w:szCs w:val="18"/>
        </w:rPr>
      </w:pPr>
    </w:p>
    <w:p w14:paraId="6A43043D" w14:textId="77777777" w:rsidR="00FC5ABB" w:rsidRPr="00DB5512" w:rsidRDefault="000834B4" w:rsidP="004D5055">
      <w:pPr>
        <w:jc w:val="center"/>
        <w:rPr>
          <w:rFonts w:ascii="Verdana" w:eastAsia="Verdana" w:hAnsi="Verdana" w:cs="Verdana"/>
          <w:b/>
          <w:sz w:val="18"/>
          <w:szCs w:val="18"/>
        </w:rPr>
      </w:pPr>
      <w:r w:rsidRPr="00DB5512">
        <w:rPr>
          <w:rFonts w:ascii="Verdana" w:eastAsia="Verdana" w:hAnsi="Verdana" w:cs="Verdana"/>
          <w:b/>
          <w:sz w:val="18"/>
          <w:szCs w:val="18"/>
        </w:rPr>
        <w:t>For more information, please contact:</w:t>
      </w:r>
    </w:p>
    <w:p w14:paraId="1EDC674C" w14:textId="03C7C53A" w:rsidR="00FC5ABB" w:rsidRPr="00DB5512" w:rsidRDefault="000834B4" w:rsidP="004D5055">
      <w:pPr>
        <w:ind w:left="360"/>
        <w:jc w:val="center"/>
        <w:rPr>
          <w:rFonts w:ascii="Verdana" w:eastAsia="Verdana" w:hAnsi="Verdana" w:cs="Verdana"/>
          <w:sz w:val="18"/>
          <w:szCs w:val="18"/>
        </w:rPr>
      </w:pPr>
      <w:r w:rsidRPr="00DB5512">
        <w:rPr>
          <w:rFonts w:ascii="Verdana" w:eastAsia="Verdana" w:hAnsi="Verdana" w:cs="Verdana"/>
          <w:sz w:val="18"/>
          <w:szCs w:val="18"/>
        </w:rPr>
        <w:t>EESC Press Unit – L</w:t>
      </w:r>
      <w:r w:rsidR="005111A8" w:rsidRPr="00DB5512">
        <w:rPr>
          <w:rFonts w:ascii="Verdana" w:eastAsia="Verdana" w:hAnsi="Verdana" w:cs="Verdana"/>
          <w:sz w:val="18"/>
          <w:szCs w:val="18"/>
        </w:rPr>
        <w:t>eonard Mallett</w:t>
      </w:r>
      <w:r w:rsidRPr="00DB5512">
        <w:rPr>
          <w:rFonts w:ascii="Verdana" w:eastAsia="Verdana" w:hAnsi="Verdana" w:cs="Verdana"/>
          <w:sz w:val="18"/>
          <w:szCs w:val="18"/>
        </w:rPr>
        <w:br/>
      </w:r>
      <w:r w:rsidR="008A4248" w:rsidRPr="00DB5512">
        <w:rPr>
          <w:rFonts w:ascii="Verdana" w:eastAsia="Verdana" w:hAnsi="Verdana" w:cs="Verdana"/>
          <w:sz w:val="18"/>
          <w:szCs w:val="18"/>
        </w:rPr>
        <w:t>+32 2 546 9337</w:t>
      </w:r>
    </w:p>
    <w:p w14:paraId="6C9FC7F4" w14:textId="54600C61" w:rsidR="008A4248" w:rsidRPr="00DB5512" w:rsidRDefault="00EA50E1" w:rsidP="004D5055">
      <w:pPr>
        <w:jc w:val="center"/>
        <w:rPr>
          <w:rFonts w:ascii="Verdana" w:eastAsia="Verdana" w:hAnsi="Verdana" w:cs="Verdana"/>
          <w:sz w:val="18"/>
          <w:szCs w:val="18"/>
        </w:rPr>
      </w:pPr>
      <w:hyperlink r:id="rId13" w:history="1">
        <w:r w:rsidR="008A4248" w:rsidRPr="00DB5512">
          <w:rPr>
            <w:rStyle w:val="Hyperlink"/>
            <w:rFonts w:ascii="Verdana" w:eastAsia="Verdana" w:hAnsi="Verdana" w:cs="Verdana"/>
            <w:sz w:val="18"/>
            <w:szCs w:val="18"/>
          </w:rPr>
          <w:t>Leonard.Mallett@eesc.europa.eu</w:t>
        </w:r>
      </w:hyperlink>
    </w:p>
    <w:p w14:paraId="08739499" w14:textId="77777777" w:rsidR="00FC5ABB" w:rsidRPr="00DB5512" w:rsidRDefault="000834B4" w:rsidP="004D5055">
      <w:pPr>
        <w:ind w:left="360"/>
        <w:jc w:val="center"/>
        <w:rPr>
          <w:rFonts w:ascii="Verdana" w:eastAsia="Verdana" w:hAnsi="Verdana" w:cs="Verdana"/>
          <w:b/>
          <w:sz w:val="18"/>
          <w:szCs w:val="18"/>
        </w:rPr>
      </w:pPr>
      <w:r w:rsidRPr="00DB5512">
        <w:rPr>
          <w:rFonts w:ascii="Verdana" w:eastAsia="Verdana" w:hAnsi="Verdana" w:cs="Verdana"/>
          <w:b/>
          <w:sz w:val="18"/>
          <w:szCs w:val="18"/>
        </w:rPr>
        <w:t>@EESC_PRESS</w:t>
      </w:r>
    </w:p>
    <w:p w14:paraId="551857B8" w14:textId="77777777" w:rsidR="00FC5ABB" w:rsidRPr="00DB5512" w:rsidRDefault="00FC5ABB">
      <w:pPr>
        <w:rPr>
          <w:rFonts w:ascii="Verdana" w:eastAsia="Verdana" w:hAnsi="Verdana" w:cs="Verdana"/>
          <w:b/>
          <w:sz w:val="18"/>
          <w:szCs w:val="18"/>
        </w:rPr>
      </w:pPr>
    </w:p>
    <w:p w14:paraId="21EA1925" w14:textId="77777777" w:rsidR="00FC5ABB" w:rsidRPr="00DB5512" w:rsidRDefault="00FC5ABB">
      <w:pPr>
        <w:rPr>
          <w:rFonts w:ascii="Verdana" w:eastAsia="Verdana" w:hAnsi="Verdana" w:cs="Verdana"/>
          <w:b/>
          <w:sz w:val="18"/>
          <w:szCs w:val="18"/>
        </w:rPr>
      </w:pPr>
    </w:p>
    <w:p w14:paraId="43409C9E" w14:textId="77777777" w:rsidR="004D5055" w:rsidRPr="00DB5512" w:rsidRDefault="004D5055" w:rsidP="004D5055">
      <w:pPr>
        <w:rPr>
          <w:rFonts w:ascii="Verdana" w:hAnsi="Verdana"/>
          <w:b/>
          <w:bCs/>
          <w:i/>
          <w:sz w:val="16"/>
          <w:szCs w:val="16"/>
        </w:rPr>
      </w:pPr>
      <w:r w:rsidRPr="00DB5512">
        <w:rPr>
          <w:rFonts w:ascii="Verdana" w:hAnsi="Verdana"/>
          <w:bCs/>
          <w:i/>
          <w:sz w:val="16"/>
          <w:szCs w:val="16"/>
        </w:rPr>
        <w:t>__</w:t>
      </w:r>
      <w:r w:rsidRPr="00DB5512">
        <w:rPr>
          <w:rFonts w:ascii="Verdana" w:hAnsi="Verdana"/>
          <w:b/>
          <w:bCs/>
          <w:i/>
          <w:sz w:val="16"/>
          <w:szCs w:val="16"/>
        </w:rPr>
        <w:t>_____________________________________________________________________________</w:t>
      </w:r>
    </w:p>
    <w:p w14:paraId="20C529A6" w14:textId="77777777" w:rsidR="004D5055" w:rsidRPr="00DB5512" w:rsidRDefault="004D5055" w:rsidP="004D5055">
      <w:pPr>
        <w:rPr>
          <w:rFonts w:ascii="Verdana" w:hAnsi="Verdana"/>
          <w:i/>
          <w:sz w:val="16"/>
          <w:szCs w:val="16"/>
        </w:rPr>
      </w:pPr>
      <w:r w:rsidRPr="00DB5512">
        <w:rPr>
          <w:rFonts w:ascii="Verdana" w:hAnsi="Verdana"/>
          <w:i/>
          <w:sz w:val="16"/>
          <w:szCs w:val="16"/>
        </w:rPr>
        <w:t>The European Economic and Social Committee represents the various economic and social components of organised civil society. It is an institutional consultative body established by the 1957 Treaty of Rome. Its consultative role enables its members, and hence the organisations they represent, to participate in the EU decision-making process.</w:t>
      </w:r>
    </w:p>
    <w:p w14:paraId="46DB8D63" w14:textId="77777777" w:rsidR="004D5055" w:rsidRPr="00DB5512" w:rsidRDefault="004D5055" w:rsidP="004D5055">
      <w:pPr>
        <w:rPr>
          <w:rFonts w:ascii="Verdana" w:hAnsi="Verdana"/>
          <w:b/>
          <w:bCs/>
          <w:i/>
          <w:sz w:val="16"/>
          <w:szCs w:val="16"/>
        </w:rPr>
      </w:pPr>
      <w:r w:rsidRPr="00DB5512">
        <w:rPr>
          <w:rFonts w:ascii="Verdana" w:hAnsi="Verdana"/>
          <w:bCs/>
          <w:i/>
          <w:sz w:val="16"/>
          <w:szCs w:val="16"/>
        </w:rPr>
        <w:t>__</w:t>
      </w:r>
      <w:r w:rsidRPr="00DB5512">
        <w:rPr>
          <w:rFonts w:ascii="Verdana" w:hAnsi="Verdana"/>
          <w:b/>
          <w:bCs/>
          <w:i/>
          <w:sz w:val="16"/>
          <w:szCs w:val="16"/>
        </w:rPr>
        <w:t>_____________________________________________________________________________</w:t>
      </w:r>
    </w:p>
    <w:p w14:paraId="6FCBDEC3" w14:textId="77777777" w:rsidR="004D5055" w:rsidRPr="00DB5512" w:rsidRDefault="004D5055" w:rsidP="004D5055">
      <w:pPr>
        <w:spacing w:line="240" w:lineRule="auto"/>
        <w:rPr>
          <w:rFonts w:ascii="Verdana" w:hAnsi="Verdana"/>
          <w:sz w:val="18"/>
        </w:rPr>
      </w:pPr>
    </w:p>
    <w:p w14:paraId="26A4FF45" w14:textId="77777777" w:rsidR="004D5055" w:rsidRPr="00DB5512" w:rsidRDefault="004D5055" w:rsidP="004D5055">
      <w:pPr>
        <w:pStyle w:val="NormalWeb"/>
        <w:rPr>
          <w:lang w:val="en-GB"/>
        </w:rPr>
      </w:pPr>
    </w:p>
    <w:p w14:paraId="19B9DC54" w14:textId="77777777" w:rsidR="00FC5ABB" w:rsidRPr="00DB5512" w:rsidRDefault="00FC5ABB">
      <w:pPr>
        <w:rPr>
          <w:rFonts w:ascii="Verdana" w:eastAsia="Verdana" w:hAnsi="Verdana" w:cs="Verdana"/>
          <w:b/>
          <w:sz w:val="18"/>
          <w:szCs w:val="18"/>
        </w:rPr>
      </w:pPr>
    </w:p>
    <w:p w14:paraId="0A4632D9" w14:textId="77777777" w:rsidR="00FC5ABB" w:rsidRPr="00DB5512" w:rsidRDefault="00FC5ABB">
      <w:pPr>
        <w:rPr>
          <w:rFonts w:ascii="Verdana" w:eastAsia="Verdana" w:hAnsi="Verdana" w:cs="Verdana"/>
          <w:sz w:val="18"/>
          <w:szCs w:val="18"/>
        </w:rPr>
      </w:pPr>
    </w:p>
    <w:p w14:paraId="42196861" w14:textId="77777777" w:rsidR="00FC5ABB" w:rsidRPr="00DB5512" w:rsidRDefault="00FC5ABB">
      <w:pPr>
        <w:rPr>
          <w:rFonts w:ascii="Verdana" w:eastAsia="Verdana" w:hAnsi="Verdana" w:cs="Verdana"/>
          <w:sz w:val="18"/>
          <w:szCs w:val="18"/>
        </w:rPr>
      </w:pPr>
    </w:p>
    <w:bookmarkEnd w:id="1"/>
    <w:p w14:paraId="63C617E5" w14:textId="77777777" w:rsidR="00FC5ABB" w:rsidRPr="00DB5512" w:rsidRDefault="00FC5ABB">
      <w:pPr>
        <w:rPr>
          <w:rFonts w:ascii="Verdana" w:eastAsia="Verdana" w:hAnsi="Verdana" w:cs="Verdana"/>
          <w:sz w:val="18"/>
          <w:szCs w:val="18"/>
        </w:rPr>
      </w:pPr>
    </w:p>
    <w:sectPr w:rsidR="00FC5ABB" w:rsidRPr="00DB5512">
      <w:footerReference w:type="default" r:id="rId14"/>
      <w:pgSz w:w="11907" w:h="16839"/>
      <w:pgMar w:top="993" w:right="1417" w:bottom="1417" w:left="1417"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9BFAF" w14:textId="77777777" w:rsidR="004C7902" w:rsidRDefault="004C7902">
      <w:pPr>
        <w:spacing w:line="240" w:lineRule="auto"/>
      </w:pPr>
      <w:r>
        <w:separator/>
      </w:r>
    </w:p>
  </w:endnote>
  <w:endnote w:type="continuationSeparator" w:id="0">
    <w:p w14:paraId="57E32763" w14:textId="77777777" w:rsidR="004C7902" w:rsidRDefault="004C79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FDA58" w14:textId="77777777" w:rsidR="00FC5ABB" w:rsidRDefault="00FC5ABB">
    <w:pPr>
      <w:pBdr>
        <w:top w:val="nil"/>
        <w:left w:val="nil"/>
        <w:bottom w:val="nil"/>
        <w:right w:val="nil"/>
        <w:between w:val="nil"/>
      </w:pBdr>
      <w:rPr>
        <w:color w:val="000000"/>
      </w:rPr>
    </w:pPr>
  </w:p>
  <w:p w14:paraId="0E781FF0" w14:textId="77777777" w:rsidR="00FC5ABB" w:rsidRDefault="00FC5ABB"/>
  <w:p w14:paraId="316E017C" w14:textId="77777777" w:rsidR="00FC5ABB" w:rsidRDefault="00FC5ABB">
    <w:pPr>
      <w:pBdr>
        <w:top w:val="nil"/>
        <w:left w:val="nil"/>
        <w:bottom w:val="nil"/>
        <w:right w:val="nil"/>
        <w:between w:val="nil"/>
      </w:pBdr>
      <w:rPr>
        <w:color w:val="000000"/>
      </w:rPr>
    </w:pPr>
  </w:p>
  <w:p w14:paraId="643BB239" w14:textId="77777777" w:rsidR="00FC5ABB" w:rsidRDefault="00FC5ABB"/>
  <w:p w14:paraId="6131116E" w14:textId="77777777" w:rsidR="00FC5ABB" w:rsidRDefault="000834B4">
    <w:pPr>
      <w:spacing w:line="240" w:lineRule="auto"/>
      <w:jc w:val="center"/>
      <w:rPr>
        <w:rFonts w:ascii="Verdana" w:eastAsia="Verdana" w:hAnsi="Verdana" w:cs="Verdana"/>
        <w:sz w:val="16"/>
        <w:szCs w:val="16"/>
      </w:rPr>
    </w:pPr>
    <w:r>
      <w:rPr>
        <w:rFonts w:ascii="Verdana" w:eastAsia="Verdana" w:hAnsi="Verdana" w:cs="Verdana"/>
        <w:sz w:val="16"/>
        <w:szCs w:val="16"/>
      </w:rPr>
      <w:t xml:space="preserve">Rue </w:t>
    </w:r>
    <w:proofErr w:type="spellStart"/>
    <w:r>
      <w:rPr>
        <w:rFonts w:ascii="Verdana" w:eastAsia="Verdana" w:hAnsi="Verdana" w:cs="Verdana"/>
        <w:sz w:val="16"/>
        <w:szCs w:val="16"/>
      </w:rPr>
      <w:t>Belliard</w:t>
    </w:r>
    <w:proofErr w:type="spellEnd"/>
    <w:r>
      <w:rPr>
        <w:rFonts w:ascii="Verdana" w:eastAsia="Verdana" w:hAnsi="Verdana" w:cs="Verdana"/>
        <w:sz w:val="16"/>
        <w:szCs w:val="16"/>
      </w:rPr>
      <w:t>/</w:t>
    </w:r>
    <w:proofErr w:type="spellStart"/>
    <w:r>
      <w:rPr>
        <w:rFonts w:ascii="Verdana" w:eastAsia="Verdana" w:hAnsi="Verdana" w:cs="Verdana"/>
        <w:sz w:val="16"/>
        <w:szCs w:val="16"/>
      </w:rPr>
      <w:t>Belliardstraat</w:t>
    </w:r>
    <w:proofErr w:type="spellEnd"/>
    <w:r>
      <w:rPr>
        <w:rFonts w:ascii="Verdana" w:eastAsia="Verdana" w:hAnsi="Verdana" w:cs="Verdana"/>
        <w:sz w:val="16"/>
        <w:szCs w:val="16"/>
      </w:rPr>
      <w:t xml:space="preserve"> 99 – 1040 </w:t>
    </w:r>
    <w:proofErr w:type="spellStart"/>
    <w:r>
      <w:rPr>
        <w:rFonts w:ascii="Verdana" w:eastAsia="Verdana" w:hAnsi="Verdana" w:cs="Verdana"/>
        <w:sz w:val="16"/>
        <w:szCs w:val="16"/>
      </w:rPr>
      <w:t>Bruxelles</w:t>
    </w:r>
    <w:proofErr w:type="spellEnd"/>
    <w:r>
      <w:rPr>
        <w:rFonts w:ascii="Verdana" w:eastAsia="Verdana" w:hAnsi="Verdana" w:cs="Verdana"/>
        <w:sz w:val="16"/>
        <w:szCs w:val="16"/>
      </w:rPr>
      <w:t>/Brussel – BELGIQUE/BELGIË</w:t>
    </w:r>
  </w:p>
  <w:p w14:paraId="32768D84" w14:textId="77777777" w:rsidR="00FC5ABB" w:rsidRDefault="000834B4">
    <w:pPr>
      <w:spacing w:line="240" w:lineRule="auto"/>
      <w:jc w:val="center"/>
      <w:rPr>
        <w:rFonts w:ascii="Verdana" w:eastAsia="Verdana" w:hAnsi="Verdana" w:cs="Verdana"/>
        <w:sz w:val="16"/>
        <w:szCs w:val="16"/>
      </w:rPr>
    </w:pPr>
    <w:r>
      <w:rPr>
        <w:rFonts w:ascii="Verdana" w:eastAsia="Verdana" w:hAnsi="Verdana" w:cs="Verdana"/>
        <w:sz w:val="16"/>
        <w:szCs w:val="16"/>
      </w:rPr>
      <w:t>Tel. +32 2 546 9779 – Fax +32 25469764</w:t>
    </w:r>
  </w:p>
  <w:p w14:paraId="091FD1A8" w14:textId="77777777" w:rsidR="00FC5ABB" w:rsidRDefault="000834B4">
    <w:pPr>
      <w:spacing w:line="240" w:lineRule="auto"/>
      <w:jc w:val="center"/>
      <w:rPr>
        <w:rFonts w:ascii="Verdana" w:eastAsia="Verdana" w:hAnsi="Verdana" w:cs="Verdana"/>
        <w:sz w:val="16"/>
        <w:szCs w:val="16"/>
      </w:rPr>
    </w:pPr>
    <w:r>
      <w:rPr>
        <w:rFonts w:ascii="Verdana" w:eastAsia="Verdana" w:hAnsi="Verdana" w:cs="Verdana"/>
        <w:sz w:val="16"/>
        <w:szCs w:val="16"/>
      </w:rPr>
      <w:t xml:space="preserve">E-mail: </w:t>
    </w:r>
    <w:hyperlink r:id="rId1">
      <w:r>
        <w:rPr>
          <w:rFonts w:ascii="Verdana" w:eastAsia="Verdana" w:hAnsi="Verdana" w:cs="Verdana"/>
          <w:color w:val="0000FF"/>
          <w:sz w:val="16"/>
          <w:szCs w:val="16"/>
          <w:u w:val="single"/>
        </w:rPr>
        <w:t>press@eesc.europa.eu</w:t>
      </w:r>
    </w:hyperlink>
    <w:r>
      <w:rPr>
        <w:rFonts w:ascii="Verdana" w:eastAsia="Verdana" w:hAnsi="Verdana" w:cs="Verdana"/>
        <w:sz w:val="16"/>
        <w:szCs w:val="16"/>
      </w:rPr>
      <w:t xml:space="preserve"> – Internet: </w:t>
    </w:r>
    <w:hyperlink r:id="rId2">
      <w:r>
        <w:rPr>
          <w:rFonts w:ascii="Verdana" w:eastAsia="Verdana" w:hAnsi="Verdana" w:cs="Verdana"/>
          <w:color w:val="0000FF"/>
          <w:sz w:val="16"/>
          <w:szCs w:val="16"/>
          <w:u w:val="single"/>
        </w:rPr>
        <w:t>www.eesc.europa.eu</w:t>
      </w:r>
    </w:hyperlink>
  </w:p>
  <w:p w14:paraId="24BABF33" w14:textId="77777777" w:rsidR="00FC5ABB" w:rsidRDefault="000834B4">
    <w:pPr>
      <w:pBdr>
        <w:top w:val="nil"/>
        <w:left w:val="nil"/>
        <w:bottom w:val="nil"/>
        <w:right w:val="nil"/>
        <w:between w:val="nil"/>
      </w:pBdr>
      <w:jc w:val="center"/>
      <w:rPr>
        <w:color w:val="000000"/>
      </w:rPr>
    </w:pPr>
    <w:r>
      <w:rPr>
        <w:rFonts w:ascii="Verdana" w:eastAsia="Verdana" w:hAnsi="Verdana" w:cs="Verdana"/>
        <w:color w:val="000000"/>
        <w:sz w:val="16"/>
        <w:szCs w:val="16"/>
      </w:rPr>
      <w:t>Follow the EESC on   </w:t>
    </w:r>
    <w:r>
      <w:rPr>
        <w:color w:val="000000"/>
      </w:rPr>
      <w:t>  </w:t>
    </w:r>
  </w:p>
  <w:p w14:paraId="2B45BE9A" w14:textId="77777777" w:rsidR="00FC5ABB" w:rsidRDefault="00FC5ABB">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8FF11" w14:textId="77777777" w:rsidR="004C7902" w:rsidRDefault="004C7902">
      <w:pPr>
        <w:spacing w:line="240" w:lineRule="auto"/>
      </w:pPr>
      <w:r>
        <w:separator/>
      </w:r>
    </w:p>
  </w:footnote>
  <w:footnote w:type="continuationSeparator" w:id="0">
    <w:p w14:paraId="5B71DEAE" w14:textId="77777777" w:rsidR="004C7902" w:rsidRDefault="004C7902">
      <w:pPr>
        <w:spacing w:line="240" w:lineRule="auto"/>
      </w:pPr>
      <w:r>
        <w:continuationSeparator/>
      </w:r>
    </w:p>
  </w:footnote>
  <w:footnote w:id="1">
    <w:p w14:paraId="54A168F0" w14:textId="704251B2" w:rsidR="00534E94" w:rsidRDefault="00534E94">
      <w:pPr>
        <w:pStyle w:val="FootnoteText"/>
      </w:pPr>
      <w:r>
        <w:rPr>
          <w:rStyle w:val="FootnoteReference"/>
        </w:rPr>
        <w:footnoteRef/>
      </w:r>
      <w:r>
        <w:t xml:space="preserve"> </w:t>
      </w:r>
      <w:r w:rsidRPr="00534E94">
        <w:rPr>
          <w:i/>
          <w:iCs/>
        </w:rPr>
        <w:t>Finding a new consensus on European civil society values and their evaluation</w:t>
      </w:r>
      <w:r w:rsidRPr="00534E94">
        <w:t xml:space="preserve"> (study commissioned by the EESC and carried out by the European Policy Centre), 2020, page 5</w:t>
      </w:r>
      <w:r w:rsidR="0085601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0351"/>
    <w:multiLevelType w:val="hybridMultilevel"/>
    <w:tmpl w:val="EDF6B3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E83442C"/>
    <w:multiLevelType w:val="multilevel"/>
    <w:tmpl w:val="3F086E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BB"/>
    <w:rsid w:val="00001DC7"/>
    <w:rsid w:val="00016AD3"/>
    <w:rsid w:val="0002457E"/>
    <w:rsid w:val="00026A91"/>
    <w:rsid w:val="00027A2C"/>
    <w:rsid w:val="00056FDE"/>
    <w:rsid w:val="000834B4"/>
    <w:rsid w:val="000C0B2E"/>
    <w:rsid w:val="000C3FCA"/>
    <w:rsid w:val="00112B67"/>
    <w:rsid w:val="00120C86"/>
    <w:rsid w:val="001814F4"/>
    <w:rsid w:val="001A1B02"/>
    <w:rsid w:val="001A2495"/>
    <w:rsid w:val="001C6F17"/>
    <w:rsid w:val="001C7AB1"/>
    <w:rsid w:val="001F407E"/>
    <w:rsid w:val="00210B05"/>
    <w:rsid w:val="00216A57"/>
    <w:rsid w:val="00231F87"/>
    <w:rsid w:val="002330AC"/>
    <w:rsid w:val="002432AC"/>
    <w:rsid w:val="002456CA"/>
    <w:rsid w:val="00294A70"/>
    <w:rsid w:val="00317FF6"/>
    <w:rsid w:val="003329DA"/>
    <w:rsid w:val="00336B9D"/>
    <w:rsid w:val="003506A7"/>
    <w:rsid w:val="0042120B"/>
    <w:rsid w:val="00461FD8"/>
    <w:rsid w:val="00471B3F"/>
    <w:rsid w:val="004B2C0A"/>
    <w:rsid w:val="004C7902"/>
    <w:rsid w:val="004D5055"/>
    <w:rsid w:val="004E3CCD"/>
    <w:rsid w:val="005111A8"/>
    <w:rsid w:val="00534E94"/>
    <w:rsid w:val="00535BE0"/>
    <w:rsid w:val="00581AA7"/>
    <w:rsid w:val="00591558"/>
    <w:rsid w:val="00591CEA"/>
    <w:rsid w:val="005C74BE"/>
    <w:rsid w:val="005D27B6"/>
    <w:rsid w:val="00613F18"/>
    <w:rsid w:val="006459F1"/>
    <w:rsid w:val="006471F4"/>
    <w:rsid w:val="00661714"/>
    <w:rsid w:val="006D4FD0"/>
    <w:rsid w:val="006E176D"/>
    <w:rsid w:val="006F6682"/>
    <w:rsid w:val="00705CEF"/>
    <w:rsid w:val="00726A21"/>
    <w:rsid w:val="007726FB"/>
    <w:rsid w:val="00790A00"/>
    <w:rsid w:val="007D4906"/>
    <w:rsid w:val="0083076A"/>
    <w:rsid w:val="00832E67"/>
    <w:rsid w:val="00844971"/>
    <w:rsid w:val="0085601B"/>
    <w:rsid w:val="00857322"/>
    <w:rsid w:val="00861084"/>
    <w:rsid w:val="00893CCF"/>
    <w:rsid w:val="008A2DD4"/>
    <w:rsid w:val="008A4248"/>
    <w:rsid w:val="008A75C4"/>
    <w:rsid w:val="008F602F"/>
    <w:rsid w:val="008F6385"/>
    <w:rsid w:val="009124F5"/>
    <w:rsid w:val="00921EC6"/>
    <w:rsid w:val="0093291A"/>
    <w:rsid w:val="00946A45"/>
    <w:rsid w:val="00973391"/>
    <w:rsid w:val="009814E4"/>
    <w:rsid w:val="00985184"/>
    <w:rsid w:val="009864BB"/>
    <w:rsid w:val="009903E7"/>
    <w:rsid w:val="009E7EF4"/>
    <w:rsid w:val="00A0459C"/>
    <w:rsid w:val="00A30E97"/>
    <w:rsid w:val="00A37FE5"/>
    <w:rsid w:val="00A40BFD"/>
    <w:rsid w:val="00A451F2"/>
    <w:rsid w:val="00A805A1"/>
    <w:rsid w:val="00A80DEF"/>
    <w:rsid w:val="00AC24C4"/>
    <w:rsid w:val="00B44AF5"/>
    <w:rsid w:val="00B51746"/>
    <w:rsid w:val="00BB2E9C"/>
    <w:rsid w:val="00BC1901"/>
    <w:rsid w:val="00C10ECC"/>
    <w:rsid w:val="00C51F7E"/>
    <w:rsid w:val="00CE0574"/>
    <w:rsid w:val="00CF0A04"/>
    <w:rsid w:val="00D22ED5"/>
    <w:rsid w:val="00D35158"/>
    <w:rsid w:val="00D469F4"/>
    <w:rsid w:val="00D520E4"/>
    <w:rsid w:val="00D52BAC"/>
    <w:rsid w:val="00D57E6C"/>
    <w:rsid w:val="00D646C2"/>
    <w:rsid w:val="00D72BDA"/>
    <w:rsid w:val="00D8003F"/>
    <w:rsid w:val="00D85487"/>
    <w:rsid w:val="00D958C0"/>
    <w:rsid w:val="00DA2B33"/>
    <w:rsid w:val="00DA682E"/>
    <w:rsid w:val="00DB26EA"/>
    <w:rsid w:val="00DB5512"/>
    <w:rsid w:val="00DC2B55"/>
    <w:rsid w:val="00DD37FB"/>
    <w:rsid w:val="00DE73DE"/>
    <w:rsid w:val="00E24FC3"/>
    <w:rsid w:val="00E55F7B"/>
    <w:rsid w:val="00E768A0"/>
    <w:rsid w:val="00E94BAF"/>
    <w:rsid w:val="00EA50E1"/>
    <w:rsid w:val="00EA5548"/>
    <w:rsid w:val="00EF174D"/>
    <w:rsid w:val="00EF2A9D"/>
    <w:rsid w:val="00FC5ABB"/>
    <w:rsid w:val="00FD34B1"/>
    <w:rsid w:val="00FD60D2"/>
    <w:rsid w:val="00FF0652"/>
    <w:rsid w:val="00FF3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E9B0F"/>
  <w15:docId w15:val="{44960F18-6347-4D99-962D-CC5EB166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ind w:left="567" w:hanging="567"/>
      <w:outlineLvl w:val="0"/>
    </w:pPr>
  </w:style>
  <w:style w:type="paragraph" w:styleId="Heading2">
    <w:name w:val="heading 2"/>
    <w:basedOn w:val="Normal"/>
    <w:next w:val="Normal"/>
    <w:pPr>
      <w:ind w:left="567" w:hanging="567"/>
      <w:outlineLvl w:val="1"/>
    </w:pPr>
  </w:style>
  <w:style w:type="paragraph" w:styleId="Heading3">
    <w:name w:val="heading 3"/>
    <w:basedOn w:val="Normal"/>
    <w:next w:val="Normal"/>
    <w:pPr>
      <w:ind w:left="567" w:hanging="567"/>
      <w:outlineLvl w:val="2"/>
    </w:pPr>
  </w:style>
  <w:style w:type="paragraph" w:styleId="Heading4">
    <w:name w:val="heading 4"/>
    <w:basedOn w:val="Normal"/>
    <w:next w:val="Normal"/>
    <w:pPr>
      <w:ind w:left="567" w:hanging="567"/>
      <w:outlineLvl w:val="3"/>
    </w:pPr>
  </w:style>
  <w:style w:type="paragraph" w:styleId="Heading5">
    <w:name w:val="heading 5"/>
    <w:basedOn w:val="Normal"/>
    <w:next w:val="Normal"/>
    <w:pPr>
      <w:ind w:left="567" w:hanging="567"/>
      <w:outlineLvl w:val="4"/>
    </w:pPr>
  </w:style>
  <w:style w:type="paragraph" w:styleId="Heading6">
    <w:name w:val="heading 6"/>
    <w:basedOn w:val="Normal"/>
    <w:next w:val="Normal"/>
    <w:pPr>
      <w:ind w:left="567" w:hanging="567"/>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0834B4"/>
    <w:rPr>
      <w:sz w:val="16"/>
      <w:szCs w:val="16"/>
    </w:rPr>
  </w:style>
  <w:style w:type="paragraph" w:styleId="CommentText">
    <w:name w:val="annotation text"/>
    <w:basedOn w:val="Normal"/>
    <w:link w:val="CommentTextChar"/>
    <w:uiPriority w:val="99"/>
    <w:semiHidden/>
    <w:unhideWhenUsed/>
    <w:rsid w:val="000834B4"/>
    <w:pPr>
      <w:spacing w:line="240" w:lineRule="auto"/>
    </w:pPr>
    <w:rPr>
      <w:sz w:val="20"/>
      <w:szCs w:val="20"/>
    </w:rPr>
  </w:style>
  <w:style w:type="character" w:customStyle="1" w:styleId="CommentTextChar">
    <w:name w:val="Comment Text Char"/>
    <w:basedOn w:val="DefaultParagraphFont"/>
    <w:link w:val="CommentText"/>
    <w:uiPriority w:val="99"/>
    <w:semiHidden/>
    <w:rsid w:val="000834B4"/>
    <w:rPr>
      <w:sz w:val="20"/>
      <w:szCs w:val="20"/>
    </w:rPr>
  </w:style>
  <w:style w:type="paragraph" w:styleId="CommentSubject">
    <w:name w:val="annotation subject"/>
    <w:basedOn w:val="CommentText"/>
    <w:next w:val="CommentText"/>
    <w:link w:val="CommentSubjectChar"/>
    <w:uiPriority w:val="99"/>
    <w:semiHidden/>
    <w:unhideWhenUsed/>
    <w:rsid w:val="000834B4"/>
    <w:rPr>
      <w:b/>
      <w:bCs/>
    </w:rPr>
  </w:style>
  <w:style w:type="character" w:customStyle="1" w:styleId="CommentSubjectChar">
    <w:name w:val="Comment Subject Char"/>
    <w:basedOn w:val="CommentTextChar"/>
    <w:link w:val="CommentSubject"/>
    <w:uiPriority w:val="99"/>
    <w:semiHidden/>
    <w:rsid w:val="000834B4"/>
    <w:rPr>
      <w:b/>
      <w:bCs/>
      <w:sz w:val="20"/>
      <w:szCs w:val="20"/>
    </w:rPr>
  </w:style>
  <w:style w:type="paragraph" w:styleId="BalloonText">
    <w:name w:val="Balloon Text"/>
    <w:basedOn w:val="Normal"/>
    <w:link w:val="BalloonTextChar"/>
    <w:uiPriority w:val="99"/>
    <w:semiHidden/>
    <w:unhideWhenUsed/>
    <w:rsid w:val="000834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4B4"/>
    <w:rPr>
      <w:rFonts w:ascii="Segoe UI" w:hAnsi="Segoe UI" w:cs="Segoe UI"/>
      <w:sz w:val="18"/>
      <w:szCs w:val="18"/>
    </w:rPr>
  </w:style>
  <w:style w:type="paragraph" w:styleId="Header">
    <w:name w:val="header"/>
    <w:basedOn w:val="Normal"/>
    <w:link w:val="HeaderChar"/>
    <w:uiPriority w:val="99"/>
    <w:unhideWhenUsed/>
    <w:rsid w:val="00DA682E"/>
    <w:pPr>
      <w:tabs>
        <w:tab w:val="center" w:pos="4680"/>
        <w:tab w:val="right" w:pos="9360"/>
      </w:tabs>
      <w:spacing w:line="240" w:lineRule="auto"/>
    </w:pPr>
  </w:style>
  <w:style w:type="character" w:customStyle="1" w:styleId="HeaderChar">
    <w:name w:val="Header Char"/>
    <w:basedOn w:val="DefaultParagraphFont"/>
    <w:link w:val="Header"/>
    <w:uiPriority w:val="99"/>
    <w:rsid w:val="00DA682E"/>
  </w:style>
  <w:style w:type="paragraph" w:styleId="Footer">
    <w:name w:val="footer"/>
    <w:basedOn w:val="Normal"/>
    <w:link w:val="FooterChar"/>
    <w:uiPriority w:val="99"/>
    <w:unhideWhenUsed/>
    <w:rsid w:val="00DA682E"/>
    <w:pPr>
      <w:tabs>
        <w:tab w:val="center" w:pos="4680"/>
        <w:tab w:val="right" w:pos="9360"/>
      </w:tabs>
      <w:spacing w:line="240" w:lineRule="auto"/>
    </w:pPr>
  </w:style>
  <w:style w:type="character" w:customStyle="1" w:styleId="FooterChar">
    <w:name w:val="Footer Char"/>
    <w:basedOn w:val="DefaultParagraphFont"/>
    <w:link w:val="Footer"/>
    <w:uiPriority w:val="99"/>
    <w:rsid w:val="00DA682E"/>
  </w:style>
  <w:style w:type="character" w:styleId="Hyperlink">
    <w:name w:val="Hyperlink"/>
    <w:basedOn w:val="DefaultParagraphFont"/>
    <w:uiPriority w:val="99"/>
    <w:unhideWhenUsed/>
    <w:rsid w:val="00E55F7B"/>
    <w:rPr>
      <w:color w:val="0000FF" w:themeColor="hyperlink"/>
      <w:u w:val="single"/>
    </w:rPr>
  </w:style>
  <w:style w:type="character" w:styleId="UnresolvedMention">
    <w:name w:val="Unresolved Mention"/>
    <w:basedOn w:val="DefaultParagraphFont"/>
    <w:uiPriority w:val="99"/>
    <w:semiHidden/>
    <w:unhideWhenUsed/>
    <w:rsid w:val="00E55F7B"/>
    <w:rPr>
      <w:color w:val="605E5C"/>
      <w:shd w:val="clear" w:color="auto" w:fill="E1DFDD"/>
    </w:rPr>
  </w:style>
  <w:style w:type="character" w:styleId="FollowedHyperlink">
    <w:name w:val="FollowedHyperlink"/>
    <w:basedOn w:val="DefaultParagraphFont"/>
    <w:uiPriority w:val="99"/>
    <w:semiHidden/>
    <w:unhideWhenUsed/>
    <w:rsid w:val="008A75C4"/>
    <w:rPr>
      <w:color w:val="800080" w:themeColor="followedHyperlink"/>
      <w:u w:val="single"/>
    </w:rPr>
  </w:style>
  <w:style w:type="paragraph" w:styleId="EndnoteText">
    <w:name w:val="endnote text"/>
    <w:basedOn w:val="Normal"/>
    <w:link w:val="EndnoteTextChar"/>
    <w:uiPriority w:val="99"/>
    <w:semiHidden/>
    <w:unhideWhenUsed/>
    <w:rsid w:val="00534E94"/>
    <w:pPr>
      <w:spacing w:line="240" w:lineRule="auto"/>
    </w:pPr>
    <w:rPr>
      <w:sz w:val="20"/>
      <w:szCs w:val="20"/>
    </w:rPr>
  </w:style>
  <w:style w:type="character" w:customStyle="1" w:styleId="EndnoteTextChar">
    <w:name w:val="Endnote Text Char"/>
    <w:basedOn w:val="DefaultParagraphFont"/>
    <w:link w:val="EndnoteText"/>
    <w:uiPriority w:val="99"/>
    <w:semiHidden/>
    <w:rsid w:val="00534E94"/>
    <w:rPr>
      <w:sz w:val="20"/>
      <w:szCs w:val="20"/>
    </w:rPr>
  </w:style>
  <w:style w:type="character" w:styleId="EndnoteReference">
    <w:name w:val="endnote reference"/>
    <w:basedOn w:val="DefaultParagraphFont"/>
    <w:uiPriority w:val="99"/>
    <w:semiHidden/>
    <w:unhideWhenUsed/>
    <w:rsid w:val="00534E94"/>
    <w:rPr>
      <w:vertAlign w:val="superscript"/>
    </w:rPr>
  </w:style>
  <w:style w:type="paragraph" w:styleId="FootnoteText">
    <w:name w:val="footnote text"/>
    <w:basedOn w:val="Normal"/>
    <w:link w:val="FootnoteTextChar"/>
    <w:uiPriority w:val="99"/>
    <w:semiHidden/>
    <w:unhideWhenUsed/>
    <w:rsid w:val="00534E94"/>
    <w:pPr>
      <w:spacing w:line="240" w:lineRule="auto"/>
    </w:pPr>
    <w:rPr>
      <w:sz w:val="20"/>
      <w:szCs w:val="20"/>
    </w:rPr>
  </w:style>
  <w:style w:type="character" w:customStyle="1" w:styleId="FootnoteTextChar">
    <w:name w:val="Footnote Text Char"/>
    <w:basedOn w:val="DefaultParagraphFont"/>
    <w:link w:val="FootnoteText"/>
    <w:uiPriority w:val="99"/>
    <w:semiHidden/>
    <w:rsid w:val="00534E94"/>
    <w:rPr>
      <w:sz w:val="20"/>
      <w:szCs w:val="20"/>
    </w:rPr>
  </w:style>
  <w:style w:type="character" w:styleId="FootnoteReference">
    <w:name w:val="footnote reference"/>
    <w:basedOn w:val="DefaultParagraphFont"/>
    <w:uiPriority w:val="99"/>
    <w:semiHidden/>
    <w:unhideWhenUsed/>
    <w:rsid w:val="00534E94"/>
    <w:rPr>
      <w:vertAlign w:val="superscript"/>
    </w:rPr>
  </w:style>
  <w:style w:type="paragraph" w:styleId="ListParagraph">
    <w:name w:val="List Paragraph"/>
    <w:basedOn w:val="Normal"/>
    <w:uiPriority w:val="34"/>
    <w:qFormat/>
    <w:rsid w:val="00726A21"/>
    <w:pPr>
      <w:ind w:left="720"/>
      <w:contextualSpacing/>
    </w:pPr>
  </w:style>
  <w:style w:type="paragraph" w:styleId="NormalWeb">
    <w:name w:val="Normal (Web)"/>
    <w:basedOn w:val="Normal"/>
    <w:uiPriority w:val="99"/>
    <w:unhideWhenUsed/>
    <w:rsid w:val="004D5055"/>
    <w:pPr>
      <w:spacing w:before="100" w:beforeAutospacing="1" w:after="100" w:afterAutospacing="1" w:line="240" w:lineRule="auto"/>
      <w:jc w:val="left"/>
    </w:pPr>
    <w:rPr>
      <w:sz w:val="24"/>
      <w:szCs w:val="24"/>
      <w:lang w:val="fr-BE" w:eastAsia="fr-BE"/>
    </w:rPr>
  </w:style>
  <w:style w:type="paragraph" w:customStyle="1" w:styleId="xmsonormal">
    <w:name w:val="x_msonormal"/>
    <w:basedOn w:val="Normal"/>
    <w:uiPriority w:val="99"/>
    <w:rsid w:val="004D5055"/>
    <w:pPr>
      <w:spacing w:line="240" w:lineRule="auto"/>
      <w:jc w:val="left"/>
    </w:pPr>
    <w:rPr>
      <w:rFonts w:ascii="Calibri" w:eastAsiaTheme="minorHAnsi" w:hAnsi="Calibri" w:cs="Calibri"/>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011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eonard.Mallett@eesc.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usurvey/runner/15thCivilSocietyPrizePolaris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esc.europa.eu/en/agenda/our-events/events/15th-eesc-civil-society-priz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esc.europa.eu/en/agenda/our-events/events/15th-eesc-civil-society-prize" TargetMode="External"/><Relationship Id="rId4" Type="http://schemas.openxmlformats.org/officeDocument/2006/relationships/settings" Target="settings.xml"/><Relationship Id="rId9" Type="http://schemas.openxmlformats.org/officeDocument/2006/relationships/hyperlink" Target="https://ec.europa.eu/eusurvey/runner/15thCivilSocietyPrizePolarisatio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eesc.europa.eu" TargetMode="External"/><Relationship Id="rId1" Type="http://schemas.openxmlformats.org/officeDocument/2006/relationships/hyperlink" Target="mailto:press@ees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01328-80EB-4004-9A54-E9B3040C5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EESC-ECOR</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 Laura Irena</dc:creator>
  <cp:lastModifiedBy>Mallett Leonard</cp:lastModifiedBy>
  <cp:revision>3</cp:revision>
  <dcterms:created xsi:type="dcterms:W3CDTF">2024-09-26T08:39:00Z</dcterms:created>
  <dcterms:modified xsi:type="dcterms:W3CDTF">2024-09-26T08:52:00Z</dcterms:modified>
</cp:coreProperties>
</file>