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intelligence2.xml" ContentType="application/vnd.ms-office.intelligence2+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99"/>
        <w:gridCol w:w="1831"/>
        <w:gridCol w:w="1208"/>
        <w:gridCol w:w="3322"/>
        <w:gridCol w:w="1405"/>
      </w:tblGrid>
      <w:tr w:rsidRPr="009A7326" w:rsidR="00C06B81" w:rsidTr="06E2B101" w14:paraId="05AC8AA2" w14:textId="77777777">
        <w:tc>
          <w:tcPr>
            <w:tcW w:w="2699" w:type="dxa"/>
          </w:tcPr>
          <w:p w:rsidRPr="009A7326" w:rsidR="00C06B81" w:rsidP="00BB7DFF" w:rsidRDefault="006A233F" w14:paraId="3FD97168" w14:textId="134A35AC">
            <w:pPr>
              <w:jc w:val="center"/>
            </w:pPr>
            <w:r>
              <w:rPr>
                <w:noProof/>
              </w:rPr>
              <w:drawing>
                <wp:inline distT="0" distB="0" distL="0" distR="0" wp14:anchorId="20F9CA53" wp14:editId="29D38687">
                  <wp:extent cx="1467055" cy="1219370"/>
                  <wp:effectExtent l="0" t="0" r="0" b="0"/>
                  <wp:docPr id="5" name="Picture 5" descr="EESC_logo_letter_H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EESC_logo_letter_HU"/>
                          <pic:cNvPicPr/>
                        </pic:nvPicPr>
                        <pic:blipFill>
                          <a:blip r:embed="rId11">
                            <a:extLst>
                              <a:ext uri="{28A0092B-C50C-407E-A947-70E740481C1C}">
                                <a14:useLocalDpi xmlns:a14="http://schemas.microsoft.com/office/drawing/2010/main" val="0"/>
                              </a:ext>
                            </a:extLst>
                          </a:blip>
                          <a:stretch>
                            <a:fillRect/>
                          </a:stretch>
                        </pic:blipFill>
                        <pic:spPr>
                          <a:xfrm>
                            <a:off x="0" y="0"/>
                            <a:ext cx="1467055" cy="1219370"/>
                          </a:xfrm>
                          <a:prstGeom prst="rect">
                            <a:avLst/>
                          </a:prstGeom>
                        </pic:spPr>
                      </pic:pic>
                    </a:graphicData>
                  </a:graphic>
                </wp:inline>
              </w:drawing>
            </w:r>
          </w:p>
        </w:tc>
        <w:tc>
          <w:tcPr>
            <w:tcW w:w="3039" w:type="dxa"/>
            <w:gridSpan w:val="2"/>
          </w:tcPr>
          <w:p w:rsidRPr="009A7326" w:rsidR="00C06B81" w:rsidP="00BB7DFF" w:rsidRDefault="00C06B81" w14:paraId="13E069F7" w14:textId="2B1A58E4">
            <w:pPr>
              <w:ind w:left="177"/>
              <w:jc w:val="center"/>
              <w:rPr>
                <w:noProof/>
                <w:lang w:val="en-GB"/>
              </w:rPr>
            </w:pPr>
          </w:p>
          <w:p w:rsidRPr="009A7326" w:rsidR="00C06B81" w:rsidP="00BB7DFF" w:rsidRDefault="00C06B81" w14:paraId="234DF1A3" w14:textId="3432DDF1">
            <w:pPr>
              <w:ind w:left="177"/>
              <w:jc w:val="center"/>
              <w:rPr>
                <w:lang w:val="en-GB"/>
              </w:rPr>
            </w:pPr>
          </w:p>
        </w:tc>
        <w:tc>
          <w:tcPr>
            <w:tcW w:w="4727" w:type="dxa"/>
            <w:gridSpan w:val="2"/>
          </w:tcPr>
          <w:p w:rsidRPr="009A7326" w:rsidR="00C06B81" w:rsidP="00BB7DFF" w:rsidRDefault="00C06B81" w14:paraId="003BC9F1" w14:textId="77777777">
            <w:pPr>
              <w:jc w:val="center"/>
              <w:rPr>
                <w:noProof/>
                <w:lang w:val="en-GB"/>
              </w:rPr>
            </w:pPr>
          </w:p>
          <w:p w:rsidRPr="009A7326" w:rsidR="00C06B81" w:rsidP="00BB7DFF" w:rsidRDefault="00BB7DFF" w14:paraId="10BEE038" w14:textId="7F3AB76E">
            <w:pPr>
              <w:jc w:val="center"/>
            </w:pPr>
            <w:r>
              <w:rPr>
                <w:noProof/>
              </w:rPr>
              <w:drawing>
                <wp:inline distT="0" distB="0" distL="0" distR="0" wp14:anchorId="0A9BF2F9" wp14:editId="1BC4DF40">
                  <wp:extent cx="810895" cy="1231265"/>
                  <wp:effectExtent l="0" t="0" r="825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10895" cy="1231265"/>
                          </a:xfrm>
                          <a:prstGeom prst="rect">
                            <a:avLst/>
                          </a:prstGeom>
                          <a:noFill/>
                        </pic:spPr>
                      </pic:pic>
                    </a:graphicData>
                  </a:graphic>
                </wp:inline>
              </w:drawing>
            </w:r>
          </w:p>
        </w:tc>
      </w:tr>
      <w:tr w:rsidRPr="009A7326" w:rsidR="005A0C10" w:rsidTr="06E2B101" w14:paraId="606EDBFE" w14:textId="77777777">
        <w:tblPrEx>
          <w:jc w:val="center"/>
        </w:tblPrEx>
        <w:trPr>
          <w:gridAfter w:val="1"/>
          <w:wAfter w:w="1405" w:type="dxa"/>
          <w:jc w:val="center"/>
        </w:trPr>
        <w:tc>
          <w:tcPr>
            <w:tcW w:w="4530" w:type="dxa"/>
            <w:gridSpan w:val="2"/>
          </w:tcPr>
          <w:p w:rsidRPr="009A7326" w:rsidR="005A0C10" w:rsidP="009C16C3" w:rsidRDefault="005A0C10" w14:paraId="10943D30" w14:textId="78B9A918">
            <w:pPr>
              <w:jc w:val="center"/>
              <w:rPr>
                <w:lang w:val="en-GB"/>
              </w:rPr>
            </w:pPr>
          </w:p>
        </w:tc>
        <w:tc>
          <w:tcPr>
            <w:tcW w:w="4530" w:type="dxa"/>
            <w:gridSpan w:val="2"/>
          </w:tcPr>
          <w:p w:rsidRPr="009A7326" w:rsidR="005A0C10" w:rsidP="0042688C" w:rsidRDefault="005A0C10" w14:paraId="21FC2046" w14:textId="2EBEACA6">
            <w:pPr>
              <w:rPr>
                <w:lang w:val="en-GB"/>
              </w:rPr>
            </w:pPr>
          </w:p>
        </w:tc>
      </w:tr>
      <w:tr w:rsidRPr="009A7326" w:rsidR="00C06B81" w:rsidTr="06E2B101" w14:paraId="79AE3BA8" w14:textId="77777777">
        <w:tc>
          <w:tcPr>
            <w:tcW w:w="2699" w:type="dxa"/>
          </w:tcPr>
          <w:p w:rsidRPr="009A7326" w:rsidR="00C06B81" w:rsidP="003D1DC0" w:rsidRDefault="00C06B81" w14:paraId="4ACE431F" w14:textId="55267814">
            <w:bookmarkStart w:name="_Hlk145670165" w:id="0"/>
          </w:p>
        </w:tc>
        <w:tc>
          <w:tcPr>
            <w:tcW w:w="3039" w:type="dxa"/>
            <w:gridSpan w:val="2"/>
          </w:tcPr>
          <w:p w:rsidRPr="009A7326" w:rsidR="00C06B81" w:rsidP="003D1DC0" w:rsidRDefault="00C06B81" w14:paraId="0CC031D1" w14:textId="751581EE">
            <w:pPr>
              <w:ind w:left="177"/>
              <w:jc w:val="center"/>
              <w:rPr>
                <w:lang w:val="en-GB"/>
              </w:rPr>
            </w:pPr>
          </w:p>
        </w:tc>
        <w:tc>
          <w:tcPr>
            <w:tcW w:w="4727" w:type="dxa"/>
            <w:gridSpan w:val="2"/>
          </w:tcPr>
          <w:p w:rsidRPr="009A7326" w:rsidR="00C06B81" w:rsidP="003D1DC0" w:rsidRDefault="00C06B81" w14:paraId="76FA4176" w14:textId="6C1B799E">
            <w:pPr>
              <w:rPr>
                <w:lang w:val="en-GB"/>
              </w:rPr>
            </w:pPr>
          </w:p>
        </w:tc>
      </w:tr>
      <w:bookmarkEnd w:id="0"/>
    </w:tbl>
    <w:p w:rsidRPr="009A7326" w:rsidR="291D02E0" w:rsidP="291D02E0" w:rsidRDefault="291D02E0" w14:paraId="3AE1C1B0" w14:textId="5A64C90F">
      <w:pPr>
        <w:jc w:val="center"/>
        <w:rPr>
          <w:noProof/>
          <w:lang w:val="en-GB" w:eastAsia="fr-BE" w:bidi="ne-NP"/>
        </w:rPr>
      </w:pPr>
    </w:p>
    <w:p w:rsidRPr="009A7326" w:rsidR="005A0C10" w:rsidP="00E11AB7" w:rsidRDefault="00710E3E" w14:paraId="6FB36FE0" w14:textId="26D417D0">
      <w:pPr>
        <w:jc w:val="center"/>
        <w:rPr>
          <w:noProof/>
        </w:rPr>
      </w:pPr>
      <w:r>
        <w:rPr>
          <w:noProof/>
        </w:rPr>
        <mc:AlternateContent>
          <mc:Choice Requires="wps">
            <w:drawing>
              <wp:anchor distT="0" distB="0" distL="114300" distR="114300" simplePos="0" relativeHeight="251658240" behindDoc="1" locked="0" layoutInCell="0" allowOverlap="1" wp14:editId="002B85E0" wp14:anchorId="5C428D17">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710E3E" w:rsidRDefault="00710E3E" w14:paraId="36724352" w14:textId="77777777">
                            <w:pPr>
                              <w:jc w:val="center"/>
                              <w:rPr>
                                <w:rFonts w:ascii="Arial" w:hAnsi="Arial" w:cs="Arial"/>
                                <w:b/>
                                <w:bCs/>
                                <w:sz w:val="48"/>
                              </w:rPr>
                            </w:pPr>
                            <w:r>
                              <w:rPr>
                                <w:rFonts w:ascii="Arial" w:hAnsi="Arial"/>
                                <w:b/>
                                <w:sz w:val="48"/>
                              </w:rPr>
                              <w:t>HU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C428D17">
                <v:stroke joinstyle="miter"/>
                <v:path gradientshapeok="t" o:connecttype="rect"/>
              </v:shapetype>
              <v:shape id="Text Box 17" style="position:absolute;left:0;text-align:left;margin-left:533pt;margin-top:793.8pt;width:51pt;height:3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710E3E" w:rsidRDefault="00710E3E" w14:paraId="36724352" w14:textId="77777777">
                      <w:pPr>
                        <w:jc w:val="center"/>
                        <w:rPr>
                          <w:rFonts w:ascii="Arial" w:hAnsi="Arial" w:cs="Arial"/>
                          <w:b/>
                          <w:bCs/>
                          <w:sz w:val="48"/>
                        </w:rPr>
                      </w:pPr>
                      <w:r>
                        <w:rPr>
                          <w:rFonts w:ascii="Arial" w:hAnsi="Arial"/>
                          <w:b/>
                          <w:sz w:val="48"/>
                        </w:rPr>
                        <w:t>HU</w:t>
                      </w:r>
                    </w:p>
                  </w:txbxContent>
                </v:textbox>
                <w10:wrap anchorx="page" anchory="page"/>
              </v:shape>
            </w:pict>
          </mc:Fallback>
        </mc:AlternateContent>
      </w:r>
    </w:p>
    <w:p w:rsidRPr="009A7326" w:rsidR="6661AEF0" w:rsidP="6661AEF0" w:rsidRDefault="6661AEF0" w14:paraId="46258A92" w14:textId="2190EA78">
      <w:pPr>
        <w:jc w:val="center"/>
        <w:rPr>
          <w:noProof/>
          <w:lang w:val="en-GB" w:eastAsia="fr-BE" w:bidi="ne-NP"/>
        </w:rPr>
      </w:pPr>
    </w:p>
    <w:p w:rsidRPr="009A7326" w:rsidR="291D02E0" w:rsidP="291D02E0" w:rsidRDefault="291D02E0" w14:paraId="6538BE68" w14:textId="1BABC95B">
      <w:pPr>
        <w:jc w:val="center"/>
        <w:rPr>
          <w:noProof/>
          <w:lang w:val="en-GB" w:eastAsia="fr-BE" w:bidi="ne-NP"/>
        </w:rPr>
      </w:pPr>
    </w:p>
    <w:p w:rsidRPr="009A7326" w:rsidR="6661AEF0" w:rsidP="6661AEF0" w:rsidRDefault="6661AEF0" w14:paraId="06031B84" w14:textId="0C912F12">
      <w:pPr>
        <w:jc w:val="center"/>
        <w:rPr>
          <w:noProof/>
          <w:lang w:val="en-GB" w:eastAsia="fr-BE" w:bidi="ne-NP"/>
        </w:rPr>
      </w:pPr>
    </w:p>
    <w:p w:rsidRPr="00C13544" w:rsidR="00C854BF" w:rsidP="291D02E0" w:rsidRDefault="00C854BF" w14:paraId="61AA4B2C" w14:textId="002664AA">
      <w:pPr>
        <w:overflowPunct w:val="0"/>
        <w:autoSpaceDE w:val="0"/>
        <w:autoSpaceDN w:val="0"/>
        <w:adjustRightInd w:val="0"/>
        <w:jc w:val="center"/>
        <w:textAlignment w:val="baseline"/>
        <w:rPr>
          <w:rFonts w:ascii="Palatino Linotype" w:hAnsi="Palatino Linotype" w:eastAsia="Palatino Linotype" w:cs="Palatino Linotype"/>
          <w:b/>
          <w:bCs/>
        </w:rPr>
      </w:pPr>
      <w:r>
        <w:rPr>
          <w:rFonts w:ascii="Palatino Linotype" w:hAnsi="Palatino Linotype"/>
          <w:b/>
        </w:rPr>
        <w:t>AZ EU GAZDASÁGI ÉS SZOCIÁLIS TANÁCSAI</w:t>
      </w:r>
      <w:r w:rsidR="006A233F">
        <w:rPr>
          <w:rFonts w:ascii="Palatino Linotype" w:hAnsi="Palatino Linotype"/>
          <w:b/>
        </w:rPr>
        <w:br/>
      </w:r>
      <w:r>
        <w:rPr>
          <w:rFonts w:ascii="Palatino Linotype" w:hAnsi="Palatino Linotype"/>
          <w:b/>
        </w:rPr>
        <w:t xml:space="preserve">ÉS AZ EURÓPAI GAZDASÁGI ÉS SZOCIÁLIS BIZOTTSÁG </w:t>
      </w:r>
      <w:r w:rsidR="006A233F">
        <w:rPr>
          <w:rFonts w:ascii="Palatino Linotype" w:hAnsi="Palatino Linotype"/>
          <w:b/>
        </w:rPr>
        <w:br/>
      </w:r>
      <w:r>
        <w:rPr>
          <w:rFonts w:ascii="Palatino Linotype" w:hAnsi="Palatino Linotype"/>
          <w:b/>
        </w:rPr>
        <w:t xml:space="preserve">ELNÖKEINEK ÉS FŐTITKÁRAINAK ÉVES ÜLÉSE </w:t>
      </w:r>
      <w:r>
        <w:rPr>
          <w:rFonts w:ascii="Palatino Linotype" w:hAnsi="Palatino Linotype"/>
          <w:b/>
        </w:rPr>
        <w:br/>
      </w:r>
    </w:p>
    <w:p w:rsidRPr="00C13544" w:rsidR="005A0C10" w:rsidP="291D02E0" w:rsidRDefault="00C854BF" w14:paraId="5E2484A8" w14:textId="5D12B578">
      <w:pPr>
        <w:jc w:val="center"/>
        <w:rPr>
          <w:rFonts w:ascii="Palatino Linotype" w:hAnsi="Palatino Linotype" w:eastAsia="Palatino Linotype" w:cs="Palatino Linotype"/>
          <w:noProof/>
        </w:rPr>
      </w:pPr>
      <w:r>
        <w:rPr>
          <w:rFonts w:ascii="Palatino Linotype" w:hAnsi="Palatino Linotype"/>
          <w:b/>
        </w:rPr>
        <w:t xml:space="preserve"> </w:t>
      </w:r>
    </w:p>
    <w:p w:rsidRPr="00C13544" w:rsidR="00E11AB7" w:rsidDel="00E61C22" w:rsidP="00E11AB7" w:rsidRDefault="00E11AB7" w14:paraId="405C5022" w14:textId="184260F9">
      <w:pPr>
        <w:jc w:val="center"/>
        <w:rPr>
          <w:rFonts w:ascii="Palatino Linotype" w:hAnsi="Palatino Linotype"/>
          <w:b/>
          <w:bCs/>
        </w:rPr>
      </w:pPr>
      <w:bookmarkStart w:name="_Int_5PCRrvwm" w:id="1"/>
      <w:bookmarkEnd w:id="1"/>
    </w:p>
    <w:p w:rsidRPr="00C13544" w:rsidR="291D02E0" w:rsidP="291D02E0" w:rsidRDefault="291D02E0" w14:paraId="3D6C1AF8" w14:textId="3D1A1D00">
      <w:pPr>
        <w:jc w:val="center"/>
        <w:rPr>
          <w:rFonts w:ascii="Palatino Linotype" w:hAnsi="Palatino Linotype"/>
          <w:b/>
          <w:bCs/>
          <w:lang w:val="en-GB"/>
        </w:rPr>
      </w:pPr>
    </w:p>
    <w:p w:rsidRPr="00C13544" w:rsidR="00E11AB7" w:rsidP="00E11AB7" w:rsidRDefault="009E50DF" w14:paraId="307B099C" w14:textId="496F2E9C">
      <w:pPr>
        <w:jc w:val="center"/>
        <w:rPr>
          <w:rFonts w:ascii="Palatino Linotype" w:hAnsi="Palatino Linotype"/>
          <w:b/>
          <w:bCs/>
        </w:rPr>
      </w:pPr>
      <w:r>
        <w:rPr>
          <w:rFonts w:ascii="Palatino Linotype" w:hAnsi="Palatino Linotype"/>
          <w:b/>
        </w:rPr>
        <w:t>Brüsszel, 2024. június 19–20.</w:t>
      </w:r>
    </w:p>
    <w:p w:rsidRPr="009A7326" w:rsidR="00E11AB7" w:rsidP="00E11AB7" w:rsidRDefault="00E11AB7" w14:paraId="7B2C76AB" w14:textId="342F836E">
      <w:pPr>
        <w:rPr>
          <w:rFonts w:ascii="Palatino Linotype" w:hAnsi="Palatino Linotype"/>
          <w:lang w:val="en-GB"/>
        </w:rPr>
      </w:pPr>
    </w:p>
    <w:p w:rsidRPr="009A7326" w:rsidR="291D02E0" w:rsidP="291D02E0" w:rsidRDefault="291D02E0" w14:paraId="4D91A247" w14:textId="06621775">
      <w:pPr>
        <w:rPr>
          <w:rFonts w:ascii="Palatino Linotype" w:hAnsi="Palatino Linotype"/>
          <w:lang w:val="en-GB"/>
        </w:rPr>
      </w:pPr>
    </w:p>
    <w:p w:rsidRPr="009A7326" w:rsidR="00417998" w:rsidP="009E50DF" w:rsidRDefault="009E50DF" w14:paraId="1DD1DA72" w14:textId="04C17E6C">
      <w:pPr>
        <w:jc w:val="center"/>
        <w:rPr>
          <w:rFonts w:ascii="Palatino Linotype" w:hAnsi="Palatino Linotype"/>
        </w:rPr>
      </w:pPr>
      <w:r>
        <w:rPr>
          <w:rFonts w:ascii="Palatino Linotype" w:hAnsi="Palatino Linotype"/>
          <w:b/>
        </w:rPr>
        <w:t xml:space="preserve">A szavaktól a tettekig: a szervezett civil társadalom szerepe a közpolitikák végrehajtásában és értékelésében – A kettős átállás </w:t>
      </w:r>
    </w:p>
    <w:p w:rsidRPr="00C13544" w:rsidR="004C0C54" w:rsidP="00E11AB7" w:rsidRDefault="004C0C54" w14:paraId="13296F20" w14:textId="065577B4">
      <w:pPr>
        <w:jc w:val="center"/>
        <w:rPr>
          <w:rFonts w:ascii="Palatino Linotype" w:hAnsi="Palatino Linotype"/>
          <w:b/>
          <w:bCs/>
          <w:lang w:val="en-GB"/>
        </w:rPr>
      </w:pPr>
    </w:p>
    <w:p w:rsidRPr="00C13544" w:rsidR="00E11AB7" w:rsidP="00E11AB7" w:rsidRDefault="00E11AB7" w14:paraId="02B5B7FB" w14:textId="18690824">
      <w:pPr>
        <w:jc w:val="center"/>
        <w:rPr>
          <w:rFonts w:ascii="Palatino Linotype" w:hAnsi="Palatino Linotype"/>
          <w:b/>
          <w:bCs/>
          <w:lang w:val="en-GB"/>
        </w:rPr>
      </w:pPr>
    </w:p>
    <w:p w:rsidRPr="00C13544" w:rsidR="00417998" w:rsidP="00E11AB7" w:rsidRDefault="00417998" w14:paraId="1069FE89" w14:textId="77777777">
      <w:pPr>
        <w:jc w:val="center"/>
        <w:rPr>
          <w:rFonts w:ascii="Palatino Linotype" w:hAnsi="Palatino Linotype"/>
          <w:b/>
          <w:bCs/>
          <w:lang w:val="en-GB"/>
        </w:rPr>
      </w:pPr>
    </w:p>
    <w:p w:rsidRPr="00C13544" w:rsidR="00E11AB7" w:rsidP="00E11AB7" w:rsidRDefault="00E11AB7" w14:paraId="105FC837" w14:textId="77777777">
      <w:pPr>
        <w:jc w:val="center"/>
        <w:rPr>
          <w:rFonts w:ascii="Palatino Linotype" w:hAnsi="Palatino Linotype"/>
          <w:b/>
          <w:bCs/>
        </w:rPr>
      </w:pPr>
      <w:r>
        <w:rPr>
          <w:rFonts w:ascii="Palatino Linotype" w:hAnsi="Palatino Linotype"/>
          <w:b/>
        </w:rPr>
        <w:t>KÖVETKEZTETÉSEK</w:t>
      </w:r>
    </w:p>
    <w:p w:rsidRPr="009A7326" w:rsidR="00E11AB7" w:rsidP="00E11AB7" w:rsidRDefault="00E11AB7" w14:paraId="4590AA05" w14:textId="77777777">
      <w:pPr>
        <w:rPr>
          <w:rFonts w:ascii="Palatino Linotype" w:hAnsi="Palatino Linotype"/>
          <w:lang w:val="en-GB"/>
        </w:rPr>
      </w:pPr>
    </w:p>
    <w:p w:rsidRPr="009A7326" w:rsidR="009D63E3" w:rsidP="00E11AB7" w:rsidRDefault="009D63E3" w14:paraId="6B4662FA" w14:textId="77777777">
      <w:pPr>
        <w:rPr>
          <w:rFonts w:ascii="Palatino Linotype" w:hAnsi="Palatino Linotype"/>
          <w:lang w:val="en-GB"/>
        </w:rPr>
        <w:sectPr w:rsidRPr="009A7326" w:rsidR="009D63E3" w:rsidSect="00532F57">
          <w:footerReference w:type="default" r:id="rId13"/>
          <w:pgSz w:w="11907" w:h="16839"/>
          <w:pgMar w:top="1417" w:right="1417" w:bottom="1417" w:left="1417" w:header="709" w:footer="709" w:gutter="0"/>
          <w:pgNumType w:start="1"/>
          <w:cols w:space="708"/>
          <w:docGrid w:linePitch="360"/>
        </w:sectPr>
      </w:pPr>
    </w:p>
    <w:p w:rsidRPr="009A7326" w:rsidR="00E11AB7" w:rsidP="005725E5" w:rsidRDefault="006A6CC9" w14:paraId="646FB5F3" w14:textId="2766EABB">
      <w:pPr>
        <w:jc w:val="center"/>
        <w:rPr>
          <w:b/>
          <w:bCs/>
        </w:rPr>
      </w:pPr>
      <w:r>
        <w:rPr>
          <w:b/>
        </w:rPr>
        <w:lastRenderedPageBreak/>
        <w:t>A szervezett civil társadalom hozzájárulása a közpolitikák megtervezéséhez, végrehajtásához és értékeléséhez – A kettős átállás</w:t>
      </w:r>
    </w:p>
    <w:p w:rsidRPr="00C13544" w:rsidR="009A43D0" w:rsidP="00E11AB7" w:rsidRDefault="009A43D0" w14:paraId="1B103B25" w14:textId="77777777">
      <w:pPr>
        <w:rPr>
          <w:lang w:val="en-GB"/>
        </w:rPr>
      </w:pPr>
    </w:p>
    <w:p w:rsidRPr="00C13544" w:rsidR="009A7326" w:rsidP="009E50DF" w:rsidRDefault="00B17E23" w14:paraId="6AC1C710" w14:textId="77777777">
      <w:pPr>
        <w:rPr>
          <w:b/>
          <w:bCs/>
        </w:rPr>
      </w:pPr>
      <w:r>
        <w:rPr>
          <w:b/>
          <w:u w:val="single"/>
        </w:rPr>
        <w:t xml:space="preserve">A nemzeti </w:t>
      </w:r>
      <w:proofErr w:type="spellStart"/>
      <w:r>
        <w:rPr>
          <w:b/>
          <w:u w:val="single"/>
        </w:rPr>
        <w:t>gszt</w:t>
      </w:r>
      <w:proofErr w:type="spellEnd"/>
      <w:r>
        <w:rPr>
          <w:b/>
          <w:u w:val="single"/>
        </w:rPr>
        <w:t>-k nézőpontja</w:t>
      </w:r>
      <w:r>
        <w:rPr>
          <w:b/>
        </w:rPr>
        <w:t xml:space="preserve">: </w:t>
      </w:r>
    </w:p>
    <w:p w:rsidRPr="00C13544" w:rsidR="009A7326" w:rsidP="009E50DF" w:rsidRDefault="009A7326" w14:paraId="12A34618" w14:textId="77777777">
      <w:pPr>
        <w:rPr>
          <w:b/>
          <w:bCs/>
          <w:lang w:val="en-GB"/>
        </w:rPr>
      </w:pPr>
    </w:p>
    <w:p w:rsidRPr="00C13544" w:rsidR="009E50DF" w:rsidP="00C13544" w:rsidRDefault="009E50DF" w14:paraId="17439D69" w14:textId="5463B3F7">
      <w:pPr>
        <w:pStyle w:val="Heading1"/>
      </w:pPr>
      <w:r>
        <w:rPr>
          <w:b/>
        </w:rPr>
        <w:t>A változások és kihívások kontextusa</w:t>
      </w:r>
    </w:p>
    <w:p w:rsidRPr="00C13544" w:rsidR="009E50DF" w:rsidP="009E50DF" w:rsidRDefault="009E50DF" w14:paraId="17FA8A75" w14:textId="77777777">
      <w:pPr>
        <w:rPr>
          <w:lang w:val="en-GB"/>
        </w:rPr>
      </w:pPr>
    </w:p>
    <w:p w:rsidRPr="00C13544" w:rsidR="009E50DF" w:rsidP="009E50DF" w:rsidRDefault="006A6CC9" w14:paraId="019E5EA8" w14:textId="063AEDD2">
      <w:r>
        <w:rPr>
          <w:b/>
          <w:i/>
          <w:u w:val="single"/>
        </w:rPr>
        <w:t>Megállapítások:</w:t>
      </w:r>
      <w:r>
        <w:t xml:space="preserve"> Az uniós országok </w:t>
      </w:r>
      <w:r>
        <w:rPr>
          <w:b/>
        </w:rPr>
        <w:t>új problémák felmerülése</w:t>
      </w:r>
      <w:r>
        <w:t xml:space="preserve"> miatt </w:t>
      </w:r>
      <w:r>
        <w:rPr>
          <w:b/>
        </w:rPr>
        <w:t>kritikus társadalmi-gazdasági kihívásokkal</w:t>
      </w:r>
      <w:r>
        <w:t xml:space="preserve"> néznek szembe: globális mértékű, növekvő geopolitikai feszültségek, éghajlatváltozás és az ökológiai és digitális kettős átállás, a termelékenység növekedésének lelassulása, az értékláncok szükséges rezilienciája, a társadalmi kohéziót és a szociális védelmi rendszerek fenntarthatóságát fenyegető veszélyek, fokozott képzési és oktatási szükségletek. Az uniós tagállamok és az érdekelt felek közötti szakpolitikai koordináció elengedhetetlen ahhoz, hogy az erőforrás-hatékonyság, a területi integráció, a fenntarthatóság és a közös célok elérésére irányuló együttműködés előmozdítása révén maximalizáljuk a társadalmi-gazdasági jólétet.</w:t>
      </w:r>
    </w:p>
    <w:p w:rsidRPr="00C13544" w:rsidR="009E50DF" w:rsidP="009E50DF" w:rsidRDefault="009E50DF" w14:paraId="33A216B1" w14:textId="77777777">
      <w:pPr>
        <w:rPr>
          <w:lang w:val="en-GB"/>
        </w:rPr>
      </w:pPr>
    </w:p>
    <w:p w:rsidRPr="00C13544" w:rsidR="009E50DF" w:rsidP="00C13544" w:rsidRDefault="009E50DF" w14:paraId="6C4D5EF6" w14:textId="0FFBDAD5">
      <w:pPr>
        <w:pStyle w:val="Heading1"/>
      </w:pPr>
      <w:r>
        <w:rPr>
          <w:b/>
        </w:rPr>
        <w:t>Globális és kiegyensúlyozott megközelítésre van szükség</w:t>
      </w:r>
    </w:p>
    <w:p w:rsidRPr="00C13544" w:rsidR="009E50DF" w:rsidP="009E50DF" w:rsidRDefault="009E50DF" w14:paraId="6F4106D4" w14:textId="77777777">
      <w:pPr>
        <w:rPr>
          <w:lang w:val="en-GB"/>
        </w:rPr>
      </w:pPr>
    </w:p>
    <w:p w:rsidRPr="00C13544" w:rsidR="009E50DF" w:rsidP="009E50DF" w:rsidRDefault="005A7276" w14:paraId="2CAFD433" w14:textId="3E1D442C">
      <w:r>
        <w:rPr>
          <w:b/>
          <w:i/>
          <w:u w:val="single"/>
        </w:rPr>
        <w:t>Ajánlások:</w:t>
      </w:r>
      <w:r>
        <w:t xml:space="preserve"> A versenyképes és pénzügyileg fenntartható gazdasággal rendelkező, </w:t>
      </w:r>
      <w:r>
        <w:rPr>
          <w:b/>
        </w:rPr>
        <w:t>méltányos, inkluzív és virágzó társadalomra való átálláshoz</w:t>
      </w:r>
      <w:r>
        <w:t xml:space="preserve"> olyan </w:t>
      </w:r>
      <w:r>
        <w:rPr>
          <w:b/>
        </w:rPr>
        <w:t>globális megközelítésre</w:t>
      </w:r>
      <w:r>
        <w:t xml:space="preserve"> van szükség, amelyben valamennyi vonatkozó szakpolitikának hozzá kell járulnia az elfogadott </w:t>
      </w:r>
      <w:r>
        <w:rPr>
          <w:b/>
        </w:rPr>
        <w:t>környezetvédelmi célkitűzésekhez</w:t>
      </w:r>
      <w:r>
        <w:t xml:space="preserve">. A gazdasági és társadalmi jólétet egymástól elválaszthatatlannak kell tekinteni, ezért </w:t>
      </w:r>
      <w:r>
        <w:rPr>
          <w:b/>
        </w:rPr>
        <w:t>össze kell hangolni egymással a szociális beruházásokat és az innovációba történő beruházásokat</w:t>
      </w:r>
      <w:r>
        <w:t xml:space="preserve">. A gazdasági növekedés valójában hozzájárulhat az egyenlőtlenségek és a szegénység csökkentéséhez, </w:t>
      </w:r>
      <w:r>
        <w:rPr>
          <w:b/>
        </w:rPr>
        <w:t>ha megvan az erre irányuló politikai akarat</w:t>
      </w:r>
      <w:r>
        <w:t>.</w:t>
      </w:r>
    </w:p>
    <w:p w:rsidRPr="00C13544" w:rsidR="009E50DF" w:rsidP="009E50DF" w:rsidRDefault="009E50DF" w14:paraId="706C72A1" w14:textId="77777777">
      <w:pPr>
        <w:rPr>
          <w:lang w:val="en-GB"/>
        </w:rPr>
      </w:pPr>
    </w:p>
    <w:p w:rsidRPr="00C13544" w:rsidR="009E50DF" w:rsidP="009E50DF" w:rsidRDefault="005A7276" w14:paraId="0B767CFB" w14:textId="4C06D786">
      <w:r>
        <w:t xml:space="preserve">Rendkívül fontos egyensúlyt teremteni </w:t>
      </w:r>
      <w:r>
        <w:rPr>
          <w:b/>
        </w:rPr>
        <w:t>a fenntartható fejlődés három pillére</w:t>
      </w:r>
      <w:r>
        <w:t>, nevezetesen a környezetvédelmi, a gazdasági és a szociális pillér (a három P: „</w:t>
      </w:r>
      <w:proofErr w:type="spellStart"/>
      <w:r>
        <w:t>Planet</w:t>
      </w:r>
      <w:proofErr w:type="spellEnd"/>
      <w:r>
        <w:t>”, azaz bolygó, „</w:t>
      </w:r>
      <w:proofErr w:type="spellStart"/>
      <w:r>
        <w:t>Prosperity</w:t>
      </w:r>
      <w:proofErr w:type="spellEnd"/>
      <w:r>
        <w:t>”, azaz jólét és „</w:t>
      </w:r>
      <w:proofErr w:type="spellStart"/>
      <w:r>
        <w:t>People</w:t>
      </w:r>
      <w:proofErr w:type="spellEnd"/>
      <w:r>
        <w:t xml:space="preserve">”, azaz emberek) között. Ez a kiegyensúlyozott megközelítés lehetővé teszi a szegénység kockázatának csökkentését, valamennyi polgár életkörülményeinek javítását, valamint a társadalmi befogadás és a szociális védelem megerősítését, miközben biztosítja a vállalkozások versenyképességét és életképességét. </w:t>
      </w:r>
    </w:p>
    <w:p w:rsidRPr="00C13544" w:rsidR="009E50DF" w:rsidP="009E50DF" w:rsidRDefault="009E50DF" w14:paraId="5BA571A3" w14:textId="77777777">
      <w:pPr>
        <w:rPr>
          <w:lang w:val="en-GB"/>
        </w:rPr>
      </w:pPr>
    </w:p>
    <w:p w:rsidRPr="00C13544" w:rsidR="009E50DF" w:rsidP="00C13544" w:rsidRDefault="009E50DF" w14:paraId="75056CDA" w14:textId="3D8707B9">
      <w:pPr>
        <w:pStyle w:val="Heading1"/>
      </w:pPr>
      <w:r>
        <w:rPr>
          <w:b/>
        </w:rPr>
        <w:t>A szociális partnerek és a más civil szervezetek szerepe</w:t>
      </w:r>
      <w:r>
        <w:t xml:space="preserve"> </w:t>
      </w:r>
    </w:p>
    <w:p w:rsidRPr="00C13544" w:rsidR="009E50DF" w:rsidP="009E50DF" w:rsidRDefault="009E50DF" w14:paraId="6C2DE3F3" w14:textId="77777777">
      <w:pPr>
        <w:rPr>
          <w:lang w:val="en-GB"/>
        </w:rPr>
      </w:pPr>
    </w:p>
    <w:p w:rsidRPr="00C13544" w:rsidR="009E50DF" w:rsidP="009E50DF" w:rsidRDefault="0088709B" w14:paraId="378ECBC0" w14:textId="25424F2D">
      <w:r>
        <w:rPr>
          <w:b/>
          <w:i/>
          <w:u w:val="single"/>
        </w:rPr>
        <w:t>Megállapítások:</w:t>
      </w:r>
      <w:r>
        <w:t xml:space="preserve"> Az európai kormányzás tapasztalatai azt mutatják, hogy </w:t>
      </w:r>
      <w:r>
        <w:rPr>
          <w:b/>
        </w:rPr>
        <w:t>a változások előrejelzéséhez és kezeléséhez</w:t>
      </w:r>
      <w:r>
        <w:t xml:space="preserve"> kulcsfontosságú a szociális partnerek bevonása a kormányzásba. Ez elengedhetetlen feltétele a jó politikai döntéshozatal biztosításának és a megvalósított politikák széles körű társadalmi támogatottságának. Ezen túlmenően az európai koordináció egyre inkább kiterjed a szociális párbeszéd hagyományos területére (a béralkurendszer felülvizsgálata, nyugdíjkorhatár, az életkorral kapcsolatos kiadások ellenőrzése, egészségügyi kiadások stb.).</w:t>
      </w:r>
    </w:p>
    <w:p w:rsidRPr="00C13544" w:rsidR="0088709B" w:rsidP="009E50DF" w:rsidRDefault="0088709B" w14:paraId="3B09847C" w14:textId="77777777">
      <w:pPr>
        <w:rPr>
          <w:lang w:val="en-GB"/>
        </w:rPr>
      </w:pPr>
    </w:p>
    <w:p w:rsidRPr="00C13544" w:rsidR="009E50DF" w:rsidP="009E50DF" w:rsidRDefault="009E50DF" w14:paraId="7C2B62EE" w14:textId="6715CCC9">
      <w:r>
        <w:t xml:space="preserve">A </w:t>
      </w:r>
      <w:r>
        <w:rPr>
          <w:b/>
        </w:rPr>
        <w:t xml:space="preserve">nemzeti </w:t>
      </w:r>
      <w:proofErr w:type="spellStart"/>
      <w:r>
        <w:rPr>
          <w:b/>
        </w:rPr>
        <w:t>gszt</w:t>
      </w:r>
      <w:proofErr w:type="spellEnd"/>
      <w:r>
        <w:rPr>
          <w:b/>
        </w:rPr>
        <w:t>-k</w:t>
      </w:r>
      <w:r>
        <w:t xml:space="preserve"> (nemzeti gazdasági és szociális tanácsok), ahol léteznek ilyenek, aktívan részt vesznek a társadalom által a mai kihívásokra adott válaszok megfogalmazásában, és </w:t>
      </w:r>
      <w:r>
        <w:rPr>
          <w:b/>
        </w:rPr>
        <w:t>készek többet tenni</w:t>
      </w:r>
      <w:r>
        <w:t xml:space="preserve">. A kettős átállás számos kérdést vet fel. Következésképpen az átállásban való részvétel különböző formákat ölthet. </w:t>
      </w:r>
    </w:p>
    <w:p w:rsidRPr="00C13544" w:rsidR="009E50DF" w:rsidP="009E50DF" w:rsidRDefault="009E50DF" w14:paraId="277F5107" w14:textId="5B16B4A5">
      <w:r>
        <w:lastRenderedPageBreak/>
        <w:t xml:space="preserve">Egyes országokban a nemzeti </w:t>
      </w:r>
      <w:proofErr w:type="spellStart"/>
      <w:r>
        <w:t>gszt</w:t>
      </w:r>
      <w:proofErr w:type="spellEnd"/>
      <w:r>
        <w:t xml:space="preserve">-k részt vesznek </w:t>
      </w:r>
      <w:r>
        <w:rPr>
          <w:b/>
        </w:rPr>
        <w:t>a zöld átállással kapcsolatos konkrét konzultációkban</w:t>
      </w:r>
      <w:r>
        <w:t xml:space="preserve"> vagy az éghajlattal kapcsolatos jogalkotási javaslatokról szóló konzultációkban. Ezen túlmenően </w:t>
      </w:r>
      <w:r>
        <w:rPr>
          <w:b/>
        </w:rPr>
        <w:t xml:space="preserve">a nemzeti </w:t>
      </w:r>
      <w:proofErr w:type="spellStart"/>
      <w:r>
        <w:rPr>
          <w:b/>
        </w:rPr>
        <w:t>gszt</w:t>
      </w:r>
      <w:proofErr w:type="spellEnd"/>
      <w:r>
        <w:rPr>
          <w:b/>
        </w:rPr>
        <w:t>-k intézményi szerepüknek és hatáskörüknek megfelelően képesek a kettős átálláshoz szorosan kapcsolódó kérdések széles körével foglalkozni</w:t>
      </w:r>
      <w:r>
        <w:t xml:space="preserve">. E tekintetben különös figyelmet kapnak a </w:t>
      </w:r>
      <w:r>
        <w:rPr>
          <w:b/>
        </w:rPr>
        <w:t>nemzeti helyreállítási és rezilienciaépítési tervek</w:t>
      </w:r>
      <w:r>
        <w:t xml:space="preserve">. A folyamat kulcsfontosságú eleme, hogy biztosított legyen az átláthatóság e tervek végrehajtásának különböző szakaszaiban. A nemzeti </w:t>
      </w:r>
      <w:proofErr w:type="spellStart"/>
      <w:r>
        <w:t>gszt</w:t>
      </w:r>
      <w:proofErr w:type="spellEnd"/>
      <w:r>
        <w:t>-k által tárgyalt egyéb releváns kérdések az energiával és az éghajlatváltozással, a fenntartható fejlődési célokkal, a mezőgazdasággal, a mobilitással, a szerkezetátalakítással, a munkaszervezés innovatív formáival és a platformalapú munkavégzéssel, valamint a digitalizációval és a távmunkavégzéssel összefüggésben a mentális egészséggel kapcsolatosak.</w:t>
      </w:r>
    </w:p>
    <w:p w:rsidRPr="00C13544" w:rsidR="00DE04A2" w:rsidP="06E2B101" w:rsidRDefault="00DE04A2" w14:paraId="5D0254C9" w14:textId="77777777">
      <w:pPr>
        <w:rPr>
          <w:b/>
          <w:bCs/>
          <w:lang w:val="en-GB"/>
        </w:rPr>
      </w:pPr>
    </w:p>
    <w:p w:rsidRPr="00C13544" w:rsidR="009E50DF" w:rsidP="009E50DF" w:rsidRDefault="009E50DF" w14:paraId="5A544A17" w14:textId="111CF469">
      <w:r>
        <w:t xml:space="preserve">Egyes nemzeti </w:t>
      </w:r>
      <w:proofErr w:type="spellStart"/>
      <w:r>
        <w:t>gszt</w:t>
      </w:r>
      <w:proofErr w:type="spellEnd"/>
      <w:r>
        <w:t xml:space="preserve">-k </w:t>
      </w:r>
      <w:r>
        <w:rPr>
          <w:b/>
        </w:rPr>
        <w:t>új megközelítéseket</w:t>
      </w:r>
      <w:r>
        <w:t xml:space="preserve"> kezdeményeznek vagy tesztelnek. Egyesek nyilvános konzultációkat szerveznek a társadalom számára fontos kérdésekről, felkérve a polgárokat, más civil társadalmi szervezeteket, szakértőket és más érdekelt feleket, hogy járuljanak hozzá a döntéshozatalhoz. A részvétel és az információcsere megkönnyítése érdekében megnyitják üléseiket és rendezvényeiket a nyilvánosság és a civil társadalmi szervezetek előtt, vagy online platformokat vagy vitafórumokat hoznak létre. A nemzeti </w:t>
      </w:r>
      <w:proofErr w:type="spellStart"/>
      <w:r>
        <w:t>gszt</w:t>
      </w:r>
      <w:proofErr w:type="spellEnd"/>
      <w:r>
        <w:t xml:space="preserve">-k jelentéseket és dokumentumokat tesznek közzé, amelyekben ismertetik munkájukat, ajánlásaikat és véleményeiket, valamint a külső érdekelt felek hozzájárulásait. Mindezen módok célja a polgári részvétel, valamint a nemzeti </w:t>
      </w:r>
      <w:proofErr w:type="spellStart"/>
      <w:r>
        <w:t>gszt</w:t>
      </w:r>
      <w:proofErr w:type="spellEnd"/>
      <w:r>
        <w:t xml:space="preserve">-k és a civil társadalom közötti nyílt párbeszéd előmozdítása. </w:t>
      </w:r>
    </w:p>
    <w:p w:rsidRPr="00C13544" w:rsidR="003D405F" w:rsidP="009E50DF" w:rsidRDefault="003D405F" w14:paraId="63B411F3" w14:textId="77777777">
      <w:pPr>
        <w:rPr>
          <w:lang w:val="en-GB"/>
        </w:rPr>
      </w:pPr>
    </w:p>
    <w:p w:rsidRPr="00C13544" w:rsidR="009E50DF" w:rsidP="00C13544" w:rsidRDefault="009E50DF" w14:paraId="6EAB384F" w14:textId="00400819">
      <w:pPr>
        <w:pStyle w:val="Heading1"/>
      </w:pPr>
      <w:r>
        <w:rPr>
          <w:b/>
        </w:rPr>
        <w:t xml:space="preserve">A nemzeti </w:t>
      </w:r>
      <w:proofErr w:type="spellStart"/>
      <w:r>
        <w:rPr>
          <w:b/>
        </w:rPr>
        <w:t>gszt</w:t>
      </w:r>
      <w:proofErr w:type="spellEnd"/>
      <w:r>
        <w:rPr>
          <w:b/>
        </w:rPr>
        <w:t>-k közpolitikákba való bevonásának további erősítése: szilárd alap kiegyensúlyozott célkitűzések eléréséhez a kettős átállás összefüggésében</w:t>
      </w:r>
    </w:p>
    <w:p w:rsidRPr="00C13544" w:rsidR="009E50DF" w:rsidP="009E50DF" w:rsidRDefault="009E50DF" w14:paraId="399C1461" w14:textId="77777777">
      <w:pPr>
        <w:rPr>
          <w:lang w:val="en-GB"/>
        </w:rPr>
      </w:pPr>
    </w:p>
    <w:p w:rsidRPr="00C13544" w:rsidR="009E50DF" w:rsidP="009E50DF" w:rsidRDefault="00E82505" w14:paraId="33C69372" w14:textId="1ED92B26">
      <w:r>
        <w:rPr>
          <w:b/>
          <w:i/>
          <w:u w:val="single"/>
        </w:rPr>
        <w:t xml:space="preserve">Ajánlások: </w:t>
      </w:r>
      <w:r>
        <w:t xml:space="preserve">A folyamatban lévő átmeneteknek és reformoknak – ahhoz, hogy megértsék őket és részt vegyenek bennük – egy kooperatív, kiegyensúlyozott modellen kell alapulniuk, amely a társadalom valamennyi alkotóelemének részvételét lehetővé teszi minden döntéshozatali szinten. A jelenlegi átállásokkal kapcsolatos változások sikeres kezeléséhez elengedhetetlen, hogy már </w:t>
      </w:r>
      <w:r>
        <w:rPr>
          <w:b/>
        </w:rPr>
        <w:t>a döntéshozatali folyamatot megelőzően párbeszéd</w:t>
      </w:r>
      <w:r>
        <w:t xml:space="preserve"> jöjjön létre a civil társadalom és a szakpolitikai szervek között. </w:t>
      </w:r>
    </w:p>
    <w:p w:rsidRPr="00C13544" w:rsidR="009E50DF" w:rsidP="009E50DF" w:rsidRDefault="009E50DF" w14:paraId="64135DD2" w14:textId="77777777">
      <w:pPr>
        <w:rPr>
          <w:lang w:val="en-GB"/>
        </w:rPr>
      </w:pPr>
    </w:p>
    <w:p w:rsidRPr="00C13544" w:rsidR="00E82505" w:rsidP="009E50DF" w:rsidRDefault="00E82505" w14:paraId="063F4A9B" w14:textId="52C03962">
      <w:r>
        <w:rPr>
          <w:b/>
          <w:i/>
          <w:u w:val="single"/>
        </w:rPr>
        <w:t>Megállapítások:</w:t>
      </w:r>
      <w:r>
        <w:t xml:space="preserve"> Összetételüknél és szakértelmüknél fogva a nemzeti </w:t>
      </w:r>
      <w:proofErr w:type="spellStart"/>
      <w:r>
        <w:t>gszt</w:t>
      </w:r>
      <w:proofErr w:type="spellEnd"/>
      <w:r>
        <w:t xml:space="preserve">-k rendelkeznek a szükséges ismeretekkel és szaktudással ahhoz, hogy különböző dimenzióikban kezeljék a fent említett kihívásokat, megfelelő és előretekintő válaszokat találjanak, valamint hogy kísérjék az átmenetre való </w:t>
      </w:r>
      <w:r>
        <w:rPr>
          <w:b/>
        </w:rPr>
        <w:t>felkészülést</w:t>
      </w:r>
      <w:r>
        <w:t xml:space="preserve"> és az annak </w:t>
      </w:r>
      <w:r>
        <w:rPr>
          <w:b/>
        </w:rPr>
        <w:t>támogatását</w:t>
      </w:r>
      <w:r>
        <w:t xml:space="preserve"> célzó intézkedéseket. A nemzeti </w:t>
      </w:r>
      <w:proofErr w:type="spellStart"/>
      <w:r>
        <w:t>gszt</w:t>
      </w:r>
      <w:proofErr w:type="spellEnd"/>
      <w:r>
        <w:t>-k feladata a társadalmi párbeszéd előmozdítása, a politikai döntések irányítása, valamint – tudományos szakértők támogatásával – a hosszú távú kilátások feltérképezése. Nyílt vitákat folytatnak széles közönséggel, és céljuk, hogy konszenzuson alapuló és közös diagnózist alakítsanak ki a vizsgált kérdésekről, iránymutatást adva ezáltal a politikai döntéshozatalhoz.</w:t>
      </w:r>
    </w:p>
    <w:p w:rsidRPr="00C13544" w:rsidR="00E82505" w:rsidP="009E50DF" w:rsidRDefault="00E82505" w14:paraId="0B4CDB2B" w14:textId="77777777">
      <w:pPr>
        <w:rPr>
          <w:lang w:val="en-GB"/>
        </w:rPr>
      </w:pPr>
    </w:p>
    <w:p w:rsidRPr="00C13544" w:rsidR="009E50DF" w:rsidP="009E50DF" w:rsidRDefault="00E82505" w14:paraId="56032039" w14:textId="5C648207">
      <w:r>
        <w:rPr>
          <w:b/>
          <w:i/>
          <w:u w:val="single"/>
        </w:rPr>
        <w:t>Ajánlások:</w:t>
      </w:r>
      <w:r>
        <w:t xml:space="preserve"> Mindent egybevetve a szociális partnerek mélyreható szakértelemmel és eszközökkel rendelkeznek különböző szinteken (pl. szakmaközi és ágazati kollektív megállapodások, ágazati képzési alapok stb.) az átállás konkrét kihívásainak való megfeleléshez, és ezért be kell őket vonni a közpolitikák kialakításába, végrehajtásába és értékelésébe. </w:t>
      </w:r>
    </w:p>
    <w:p w:rsidR="009A7326" w:rsidP="009E50DF" w:rsidRDefault="009A7326" w14:paraId="6F124685" w14:textId="77777777">
      <w:pPr>
        <w:rPr>
          <w:lang w:val="en-GB"/>
        </w:rPr>
      </w:pPr>
    </w:p>
    <w:p w:rsidRPr="00C13544" w:rsidR="009E50DF" w:rsidP="009E50DF" w:rsidRDefault="009E50DF" w14:paraId="569F5759" w14:textId="108590D7">
      <w:r>
        <w:t xml:space="preserve">A szociális partnerek és más civil társadalmi szervezetek aktív partnerként és szövetségeként szeretnének részt venni ezekben az átalakulásokban és folyamatban lévő változásokban, hogy ki tudják </w:t>
      </w:r>
      <w:r>
        <w:lastRenderedPageBreak/>
        <w:t xml:space="preserve">aknázni az ezekben rejlő </w:t>
      </w:r>
      <w:r>
        <w:rPr>
          <w:b/>
        </w:rPr>
        <w:t>lehetőségeket</w:t>
      </w:r>
      <w:r>
        <w:t xml:space="preserve"> és csökkenteni tudják az ezekkel járó </w:t>
      </w:r>
      <w:r>
        <w:rPr>
          <w:b/>
        </w:rPr>
        <w:t>kockázatokat</w:t>
      </w:r>
      <w:r>
        <w:t xml:space="preserve">. Ez elengedhetetlen a kitűzött célok eléréséhez, ilyen cél például a jól működő, egymással összefüggő és összekapcsolt gazdaságok, amelyek tisztességes szabályokon, a piacokhoz való kölcsönös hozzáférésen, a fenntarthatóságon, minőségi munkahelyeken, egészséges élet- és munkakörnyezeten, jól működő munkaerőpiacokon, szociális védelmi rendszereken és a társadalmi-gazdasági integráció egyéb eszközein alapulnak. </w:t>
      </w:r>
    </w:p>
    <w:p w:rsidRPr="00C13544" w:rsidR="00212F67" w:rsidP="009E50DF" w:rsidRDefault="00212F67" w14:paraId="19EB9771" w14:textId="77777777">
      <w:pPr>
        <w:rPr>
          <w:lang w:val="en-GB"/>
        </w:rPr>
      </w:pPr>
    </w:p>
    <w:p w:rsidRPr="00C13544" w:rsidR="009E50DF" w:rsidP="009E50DF" w:rsidRDefault="009E50DF" w14:paraId="2DD388F9" w14:textId="598954C2">
      <w:r>
        <w:t xml:space="preserve">A közpolitikák kidolgozását, megvalósítását és értékelését támogató </w:t>
      </w:r>
      <w:r>
        <w:rPr>
          <w:b/>
        </w:rPr>
        <w:t>párbeszédet</w:t>
      </w:r>
      <w:r>
        <w:t xml:space="preserve"> </w:t>
      </w:r>
      <w:r>
        <w:rPr>
          <w:b/>
        </w:rPr>
        <w:t>minden szinten biztosítani kell</w:t>
      </w:r>
      <w:r>
        <w:t xml:space="preserve">: európai, nemzeti, regionális és helyi szinten is. Különös figyelmet kell fordítani az e szintek közötti koordinációra, valamint az uniós és a nemzeti szint közötti kapcsolódási pontokra. A nemzeti </w:t>
      </w:r>
      <w:proofErr w:type="spellStart"/>
      <w:r>
        <w:t>gszt</w:t>
      </w:r>
      <w:proofErr w:type="spellEnd"/>
      <w:r>
        <w:t xml:space="preserve">-k </w:t>
      </w:r>
      <w:r>
        <w:rPr>
          <w:b/>
        </w:rPr>
        <w:t>az EGSZB-vel szoros együttműködésben</w:t>
      </w:r>
      <w:r>
        <w:t xml:space="preserve"> szintén hozzájárulnak az ezeken a különböző szinteken hozott intézkedések koherenciájához és harmonikus kidolgozásához.   A nemzeti </w:t>
      </w:r>
      <w:proofErr w:type="spellStart"/>
      <w:r>
        <w:t>gszt</w:t>
      </w:r>
      <w:proofErr w:type="spellEnd"/>
      <w:r>
        <w:t xml:space="preserve">-k és az EGSZB közötti információ- és tapasztalatcsere valamennyi érdekelt fél számára előnyös. </w:t>
      </w:r>
    </w:p>
    <w:p w:rsidRPr="00C13544" w:rsidR="009E50DF" w:rsidP="009E50DF" w:rsidRDefault="009E50DF" w14:paraId="273A84E3" w14:textId="77777777">
      <w:pPr>
        <w:rPr>
          <w:lang w:val="en-GB"/>
        </w:rPr>
      </w:pPr>
    </w:p>
    <w:p w:rsidRPr="00C13544" w:rsidR="009E50DF" w:rsidP="009E50DF" w:rsidRDefault="009E50DF" w14:paraId="32E562CA" w14:textId="731A765E">
      <w:r>
        <w:t xml:space="preserve">A civil társadalom bevonásának biztosítása és javítása érdekében a </w:t>
      </w:r>
      <w:r>
        <w:rPr>
          <w:b/>
        </w:rPr>
        <w:t>kormányoknak</w:t>
      </w:r>
      <w:r>
        <w:t xml:space="preserve"> egyértelműen kommunikálniuk kell a nemzeti </w:t>
      </w:r>
      <w:proofErr w:type="spellStart"/>
      <w:r>
        <w:t>gszt-kkel</w:t>
      </w:r>
      <w:proofErr w:type="spellEnd"/>
      <w:r>
        <w:t xml:space="preserve"> – ahol léteznek ilyenek – </w:t>
      </w:r>
      <w:r>
        <w:rPr>
          <w:b/>
        </w:rPr>
        <w:t>a politikai döntéshozatali folyamat nagyon korai szakaszában</w:t>
      </w:r>
      <w:r>
        <w:t xml:space="preserve">, és meg kell állapodniuk egy olyan reális időkeretben, amely lehetővé teszi valamennyi érintett fél számára, hogy </w:t>
      </w:r>
      <w:r>
        <w:rPr>
          <w:b/>
        </w:rPr>
        <w:t>hatékonyan és érdemben hozzájáruljon</w:t>
      </w:r>
      <w:r>
        <w:t xml:space="preserve"> a folyamathoz. Annak biztosítása érdekében, hogy hozzájárulásaikat hatékonyan figyelembe vegyék a demokratikus és legitim döntéshozatali folyamatban, elengedhetetlen, hogy a </w:t>
      </w:r>
      <w:r>
        <w:rPr>
          <w:b/>
        </w:rPr>
        <w:t>kormányok</w:t>
      </w:r>
      <w:r>
        <w:t xml:space="preserve"> átlátható és elszámoltatható megközelítést alkalmazzanak, és </w:t>
      </w:r>
      <w:r>
        <w:rPr>
          <w:b/>
        </w:rPr>
        <w:t>visszajelzést adjanak</w:t>
      </w:r>
      <w:r>
        <w:t xml:space="preserve"> az érdekelt feleknek. Hasznos lehet továbbá megvizsgálni a </w:t>
      </w:r>
      <w:r>
        <w:rPr>
          <w:b/>
        </w:rPr>
        <w:t xml:space="preserve">nemzeti </w:t>
      </w:r>
      <w:proofErr w:type="spellStart"/>
      <w:r>
        <w:rPr>
          <w:b/>
        </w:rPr>
        <w:t>gszt</w:t>
      </w:r>
      <w:proofErr w:type="spellEnd"/>
      <w:r>
        <w:rPr>
          <w:b/>
        </w:rPr>
        <w:t>-k létrehozásának</w:t>
      </w:r>
      <w:r>
        <w:t xml:space="preserve"> lehetőségét azokban a tagállamokban és tagjelölt országokban, ahol még nem léteznek ilyenek. </w:t>
      </w:r>
    </w:p>
    <w:p w:rsidRPr="00C13544" w:rsidR="009E50DF" w:rsidP="009E50DF" w:rsidRDefault="009E50DF" w14:paraId="7AEDB867" w14:textId="49682325">
      <w:pPr>
        <w:rPr>
          <w:lang w:val="en-GB"/>
        </w:rPr>
      </w:pPr>
    </w:p>
    <w:p w:rsidRPr="00C13544" w:rsidR="009A7326" w:rsidP="00C13544" w:rsidRDefault="00B17E23" w14:paraId="0F869BEF" w14:textId="77777777">
      <w:pPr>
        <w:keepNext/>
        <w:keepLines/>
        <w:rPr>
          <w:b/>
          <w:bCs/>
        </w:rPr>
      </w:pPr>
      <w:r>
        <w:rPr>
          <w:b/>
          <w:u w:val="single"/>
        </w:rPr>
        <w:t>Az EGSZB nézőpontja:</w:t>
      </w:r>
      <w:r>
        <w:rPr>
          <w:b/>
        </w:rPr>
        <w:t xml:space="preserve"> </w:t>
      </w:r>
    </w:p>
    <w:p w:rsidRPr="00C13544" w:rsidR="009A7326" w:rsidP="00C13544" w:rsidRDefault="009A7326" w14:paraId="659A20B4" w14:textId="77777777">
      <w:pPr>
        <w:keepNext/>
        <w:keepLines/>
        <w:rPr>
          <w:b/>
          <w:bCs/>
          <w:lang w:val="en-GB"/>
        </w:rPr>
      </w:pPr>
    </w:p>
    <w:p w:rsidRPr="00C13544" w:rsidR="639F55B9" w:rsidP="00C13544" w:rsidRDefault="639F55B9" w14:paraId="6F4D0FF6" w14:textId="338349ED">
      <w:pPr>
        <w:pStyle w:val="Heading1"/>
        <w:keepNext/>
        <w:keepLines/>
        <w:numPr>
          <w:ilvl w:val="0"/>
          <w:numId w:val="7"/>
        </w:numPr>
      </w:pPr>
      <w:r>
        <w:rPr>
          <w:b/>
        </w:rPr>
        <w:t>Időtálló európai szociális modell kialakítása – a szervezett civil társadalom létfontosságú hozzájárulása</w:t>
      </w:r>
    </w:p>
    <w:p w:rsidRPr="009A7326" w:rsidR="639F55B9" w:rsidP="00C13544" w:rsidRDefault="639F55B9" w14:paraId="7AB75825" w14:textId="6787F78D">
      <w:pPr>
        <w:keepNext/>
        <w:keepLines/>
      </w:pPr>
      <w:r>
        <w:t xml:space="preserve"> </w:t>
      </w:r>
    </w:p>
    <w:p w:rsidRPr="00C13544" w:rsidR="008C10DF" w:rsidP="00C13544" w:rsidRDefault="008C10DF" w14:paraId="2A0937DA" w14:textId="72572016">
      <w:pPr>
        <w:keepNext/>
        <w:keepLines/>
      </w:pPr>
      <w:r>
        <w:rPr>
          <w:b/>
          <w:i/>
          <w:u w:val="single"/>
        </w:rPr>
        <w:t>Megállapítások:</w:t>
      </w:r>
      <w:r>
        <w:t xml:space="preserve"> Az EGSZB számos alkalommal hangsúlyozta, hogy a szociális partnerek kulcsszerepet játszanak a mai kihívások, például a digitális és zöld átállás foglalkoztatási és társadalmi következményeinek előrejelzésében és kezelésében. </w:t>
      </w:r>
    </w:p>
    <w:p w:rsidRPr="00C13544" w:rsidR="008C10DF" w:rsidP="2F677F66" w:rsidRDefault="008C10DF" w14:paraId="10A6138E" w14:textId="77777777">
      <w:pPr>
        <w:rPr>
          <w:lang w:val="en-GB"/>
        </w:rPr>
      </w:pPr>
    </w:p>
    <w:p w:rsidRPr="009A7326" w:rsidR="639F55B9" w:rsidP="2F677F66" w:rsidRDefault="008C10DF" w14:paraId="2C6D872F" w14:textId="7B19E5F3">
      <w:r>
        <w:rPr>
          <w:b/>
          <w:i/>
          <w:u w:val="single"/>
        </w:rPr>
        <w:t>Ajánlások:</w:t>
      </w:r>
      <w:r>
        <w:t xml:space="preserve"> A zöldítés és a digitalizáció társadalmainkra és munkaerőpiacainkra gyakorolt hatásának gyorsasága és mértéke szükségessé teszi </w:t>
      </w:r>
      <w:r>
        <w:rPr>
          <w:b/>
        </w:rPr>
        <w:t>a szociális partnerek korai és hatékony bevonását</w:t>
      </w:r>
      <w:r>
        <w:t xml:space="preserve">, </w:t>
      </w:r>
      <w:r>
        <w:rPr>
          <w:b/>
        </w:rPr>
        <w:t>összhangban a nemzeti munkaügyi kapcsolatrendszerekkel</w:t>
      </w:r>
      <w:r>
        <w:t xml:space="preserve">. A szociális partnerek olyan megoldásokat azonosíthatnak, amelyek helyi szinten az ágazatokhoz igazíthatók, és tárgyalásaik kiterjedhetnek például a zöld és technológiai átalakulásoknak a munkaszervezésre, a változó foglalkozási profilokra és a munkavállalók készségeire gyakorolt hatásaira, valamint a munkavállalóknak az éghajlatváltozás és a digitalizáció hatásaival szembeni védelmére, beleértve a mesterséges intelligenciát és az algoritmikus irányítást is. </w:t>
      </w:r>
    </w:p>
    <w:p w:rsidR="009A7326" w:rsidP="2F677F66" w:rsidRDefault="009A7326" w14:paraId="2C674317" w14:textId="77777777">
      <w:pPr>
        <w:rPr>
          <w:lang w:val="en-GB"/>
        </w:rPr>
      </w:pPr>
    </w:p>
    <w:p w:rsidRPr="009A7326" w:rsidR="639F55B9" w:rsidP="2F677F66" w:rsidRDefault="639F55B9" w14:paraId="0C29531E" w14:textId="3B5AFB4B">
      <w:r>
        <w:t xml:space="preserve">A szociális párbeszéd hasznos eszköze </w:t>
      </w:r>
      <w:r>
        <w:rPr>
          <w:b/>
        </w:rPr>
        <w:t xml:space="preserve">a gazdasági és társadalmi </w:t>
      </w:r>
      <w:proofErr w:type="spellStart"/>
      <w:r>
        <w:rPr>
          <w:b/>
        </w:rPr>
        <w:t>rezilienciának</w:t>
      </w:r>
      <w:proofErr w:type="spellEnd"/>
      <w:r>
        <w:t xml:space="preserve">, a versenyképességnek, </w:t>
      </w:r>
      <w:r>
        <w:rPr>
          <w:b/>
        </w:rPr>
        <w:t>az élet- és munkakörülmények tagállamok közötti felfelé irányuló konvergenciájának</w:t>
      </w:r>
      <w:r>
        <w:t xml:space="preserve">, valamint a fenntartható és inkluzív növekedés ösztönzésének. </w:t>
      </w:r>
    </w:p>
    <w:p w:rsidRPr="009A7326" w:rsidR="639F55B9" w:rsidP="2F677F66" w:rsidRDefault="639F55B9" w14:paraId="5CC852FA" w14:textId="5E2F4A91">
      <w:r>
        <w:t xml:space="preserve"> </w:t>
      </w:r>
    </w:p>
    <w:p w:rsidRPr="00C13544" w:rsidR="639F55B9" w:rsidP="2F677F66" w:rsidRDefault="639F55B9" w14:paraId="0798C425" w14:textId="7B9AF66B">
      <w:r>
        <w:lastRenderedPageBreak/>
        <w:t xml:space="preserve">A szociális párbeszéd struktúráiban és folyamataiban teljes mértékben el kell ismerni és tiszteletben kell tartani a szociális partnerek szervezeteinek sajátos szerepét, elismerve ugyanakkor, hogy a </w:t>
      </w:r>
      <w:r>
        <w:rPr>
          <w:b/>
        </w:rPr>
        <w:t>civil párbeszéd</w:t>
      </w:r>
      <w:r>
        <w:t xml:space="preserve">, amelyben az érdekelt felek szélesebb köre többféle témát vitat meg, külön folyamat. A civil társadalmi szervezetek alapvetően fontosak </w:t>
      </w:r>
      <w:r>
        <w:rPr>
          <w:b/>
        </w:rPr>
        <w:t>bizonyos társadalmi csoportok általános és sajátos érdekeinek</w:t>
      </w:r>
      <w:r>
        <w:t xml:space="preserve"> képviselete, a társadalmi életben való részvétel ösztönzése és az általuk képviselt csoportok jogainak védelme szempontjából is. </w:t>
      </w:r>
    </w:p>
    <w:p w:rsidRPr="00C13544" w:rsidR="008C10DF" w:rsidP="008C10DF" w:rsidRDefault="008C10DF" w14:paraId="56EE5AFF" w14:textId="77777777">
      <w:pPr>
        <w:rPr>
          <w:lang w:val="en-GB"/>
        </w:rPr>
      </w:pPr>
    </w:p>
    <w:p w:rsidRPr="00C13544" w:rsidR="00A4003F" w:rsidP="00C13544" w:rsidRDefault="109BAF9F" w14:paraId="54D439C4" w14:textId="4EB7CE55">
      <w:pPr>
        <w:pStyle w:val="Heading1"/>
      </w:pPr>
      <w:r>
        <w:rPr>
          <w:b/>
        </w:rPr>
        <w:t>Egy igazságos átmenetre vonatkozó uniós szakpolitikai keret előmozdítása az európai zöld és szociális megállapodás részeként</w:t>
      </w:r>
    </w:p>
    <w:p w:rsidRPr="009A7326" w:rsidR="109BAF9F" w:rsidP="2CD806D5" w:rsidRDefault="109BAF9F" w14:paraId="3DEDF155" w14:textId="57D9DF50">
      <w:r>
        <w:rPr>
          <w:b/>
          <w:color w:val="000000" w:themeColor="text1"/>
        </w:rPr>
        <w:t xml:space="preserve"> </w:t>
      </w:r>
    </w:p>
    <w:p w:rsidRPr="009A7326" w:rsidR="109BAF9F" w:rsidP="2CD806D5" w:rsidRDefault="109BAF9F" w14:paraId="2E869C83" w14:textId="523C43E9">
      <w:r>
        <w:rPr>
          <w:b/>
          <w:i/>
          <w:u w:val="single"/>
        </w:rPr>
        <w:t>Megállapítás:</w:t>
      </w:r>
      <w:r>
        <w:t xml:space="preserve"> Az európai zöld megállapodás az Európai Unió egyik legambiciózusabb és legbátrabb kezdeményezése arra, hogy Európa 2050-re a világ első klímasemleges kontinensévé váljon, az EGSZB pedig teljes mértékben támogatja ezeket a célkitűzéseket. </w:t>
      </w:r>
      <w:r>
        <w:rPr>
          <w:b/>
          <w:color w:val="000000" w:themeColor="text1"/>
        </w:rPr>
        <w:t xml:space="preserve"> </w:t>
      </w:r>
      <w:r>
        <w:t xml:space="preserve">Ugyanakkor az EGSZB kezdettől fogva azt állította, hogy </w:t>
      </w:r>
      <w:r>
        <w:rPr>
          <w:b/>
        </w:rPr>
        <w:t>a zöld átállás vagy szociális jellegű lesz, vagy nem fog megvalósulni</w:t>
      </w:r>
      <w:r>
        <w:t xml:space="preserve">. </w:t>
      </w:r>
    </w:p>
    <w:p w:rsidRPr="009A7326" w:rsidR="109BAF9F" w:rsidP="2CD806D5" w:rsidRDefault="109BAF9F" w14:paraId="42AE7344" w14:textId="50C6C500">
      <w:r>
        <w:t xml:space="preserve"> </w:t>
      </w:r>
    </w:p>
    <w:p w:rsidRPr="009A7326" w:rsidR="109BAF9F" w:rsidP="2CD806D5" w:rsidRDefault="109BAF9F" w14:paraId="32CDE11D" w14:textId="6D062419">
      <w:r>
        <w:rPr>
          <w:b/>
          <w:i/>
          <w:u w:val="single"/>
        </w:rPr>
        <w:t>Ajánlások:</w:t>
      </w:r>
      <w:r>
        <w:t xml:space="preserve"> Az EGSZB az első olyan európai intézmény, amely kiállt egy európai zöld és szociális megállapodás mellett, amelynek célja a környezeti kihívások kezelése, valamint a mindenki számára előnyös és mindenki számára jobb életminőséget biztosító társadalmi fejlődés kibontakoztatása.</w:t>
      </w:r>
    </w:p>
    <w:p w:rsidRPr="009A7326" w:rsidR="109BAF9F" w:rsidP="2CD806D5" w:rsidRDefault="109BAF9F" w14:paraId="091DA4C0" w14:textId="2E075373">
      <w:r>
        <w:rPr>
          <w:b/>
          <w:color w:val="000000" w:themeColor="text1"/>
        </w:rPr>
        <w:t xml:space="preserve"> </w:t>
      </w:r>
    </w:p>
    <w:p w:rsidRPr="009A7326" w:rsidR="109BAF9F" w:rsidP="2CD806D5" w:rsidRDefault="109BAF9F" w14:paraId="53C19B4D" w14:textId="7C7374CF">
      <w:r>
        <w:rPr>
          <w:b/>
          <w:i/>
          <w:u w:val="single"/>
        </w:rPr>
        <w:t>Ajánlások:</w:t>
      </w:r>
      <w:r>
        <w:t xml:space="preserve"> Az EGSZB konkrét politikai intézkedésként javasolja egy uniós szintű holisztikus, összehangolt és integrált, az igazságos átmenetre vonatkozó politikai keret előmozdítását, amint azt „Az EU igazságos átmenetre vonatkozó szakpolitikai keretének előmozdítása: milyen intézkedések szükségesek?” című, az EU Tanácsának belga elnöksége által kért feltáró véleményben kifejtette. Az EGSZB megjegyzi, hogy az igazságos átmenetre irányuló jelenlegi uniós erőfeszítések </w:t>
      </w:r>
      <w:proofErr w:type="spellStart"/>
      <w:r>
        <w:t>pozitívak</w:t>
      </w:r>
      <w:proofErr w:type="spellEnd"/>
      <w:r>
        <w:t>, de elsősorban a zöld megállapodás éghajlat-politikai és környezetvédelmi intézkedéseinek töredezett kiegészítéseinek tűnnek.</w:t>
      </w:r>
      <w:r>
        <w:rPr>
          <w:b/>
          <w:color w:val="000000" w:themeColor="text1"/>
        </w:rPr>
        <w:t xml:space="preserve"> </w:t>
      </w:r>
      <w:r>
        <w:t xml:space="preserve">E tekintetben az EGSZB egy hat pillér köré szerveződő, </w:t>
      </w:r>
      <w:r>
        <w:rPr>
          <w:b/>
        </w:rPr>
        <w:t>az igazságos átmenetre vonatkozó uniós szakpolitikai keretre irányuló javaslatot</w:t>
      </w:r>
      <w:r>
        <w:t xml:space="preserve"> terjeszt elő, amely több mint 70 uniós szintű szakpolitikai javaslatot és intézkedést foglal magában annak elérése érdekében.</w:t>
      </w:r>
    </w:p>
    <w:p w:rsidRPr="00C13544" w:rsidR="003D100C" w:rsidP="06E2B101" w:rsidRDefault="003D100C" w14:paraId="12A3340A" w14:textId="77777777">
      <w:pPr>
        <w:spacing w:line="276" w:lineRule="auto"/>
        <w:rPr>
          <w:b/>
          <w:bCs/>
          <w:lang w:val="en-GB"/>
        </w:rPr>
      </w:pPr>
    </w:p>
    <w:p w:rsidRPr="00C13544" w:rsidR="36C94D7F" w:rsidP="00C13544" w:rsidRDefault="36C94D7F" w14:paraId="3A0AC2C2" w14:textId="7455128C">
      <w:pPr>
        <w:pStyle w:val="Heading1"/>
      </w:pPr>
      <w:r>
        <w:rPr>
          <w:b/>
        </w:rPr>
        <w:t>A szervezett civil társadalom szerepe a reformok és beruházások megtervezésében, végrehajtásában, nyomon követésében és értékelésében EU-szerte</w:t>
      </w:r>
    </w:p>
    <w:p w:rsidRPr="00C13544" w:rsidR="00FB6090" w:rsidP="06E2B101" w:rsidRDefault="00FB6090" w14:paraId="36201ABB" w14:textId="77777777">
      <w:pPr>
        <w:spacing w:line="276" w:lineRule="auto"/>
        <w:rPr>
          <w:b/>
          <w:bCs/>
          <w:i/>
          <w:iCs/>
          <w:u w:val="single"/>
          <w:lang w:val="en-GB"/>
        </w:rPr>
      </w:pPr>
    </w:p>
    <w:p w:rsidRPr="00C13544" w:rsidR="36C94D7F" w:rsidP="06E2B101" w:rsidRDefault="00FB6090" w14:paraId="560E0539" w14:textId="46D251B5">
      <w:pPr>
        <w:spacing w:line="276" w:lineRule="auto"/>
      </w:pPr>
      <w:r>
        <w:rPr>
          <w:b/>
          <w:i/>
          <w:u w:val="single"/>
        </w:rPr>
        <w:t>Ajánlások:</w:t>
      </w:r>
      <w:r>
        <w:t xml:space="preserve"> A nemzeti felelősségvállalásnak a nemzeti parlamentek, a regionális és helyi önkormányzatok, a szociális partnerek és a civil társadalmi szervezetek szorosabb bevonása révén történő megerősítése érdekében </w:t>
      </w:r>
      <w:r>
        <w:rPr>
          <w:b/>
        </w:rPr>
        <w:t>világosabb rendelkezésekre van szükség az új gazdasági kormányzási keret végrehajtásának formális uniós és nemzeti eljárásaiban</w:t>
      </w:r>
      <w:r>
        <w:t xml:space="preserve">. Formális, állandó és strukturált konzultációs folyamatot kell megvalósítani, amelynek során a nemzeti kormányok a politikai folyamat előkészítésének, végrehajtásának, nyomon követésének és értékelésének teljes ciklusa alatt minden szinten szorosan együttműködnek a hatóságokkal, és partnerségben dolgoznak a szakszervezetekkel, a munkáltatókkal, a civil társadalmi szervezetekkel és más felelős érdekelt felekkel. Emellett a teljesítményen és a megerősített nemzeti felelősségvállaláson alapuló </w:t>
      </w:r>
      <w:r>
        <w:rPr>
          <w:b/>
        </w:rPr>
        <w:t>helyreállítási és rezilienciaépítési tervekkel kapcsolatos tapasztalatokból</w:t>
      </w:r>
      <w:r>
        <w:t xml:space="preserve"> levont tanulságoknak a felülvizsgált uniós gazdasági kormányzási szabályok és a jövőbeli európai szemeszter végrehajtásának kulcsfontosságú elemévé kell válniuk. Ez utóbbi központi célkitűzése </w:t>
      </w:r>
      <w:r>
        <w:rPr>
          <w:b/>
        </w:rPr>
        <w:t>az államadósság fenntarthatóságának megerősítése</w:t>
      </w:r>
      <w:r>
        <w:t xml:space="preserve"> kell, hogy legyen, valamint reformok és beruházások révén a fenntartható és inkluzív növekedés előmozdítása valamennyi tagállamban. </w:t>
      </w:r>
    </w:p>
    <w:p w:rsidRPr="00C13544" w:rsidR="36C94D7F" w:rsidP="00C13544" w:rsidRDefault="36C94D7F" w14:paraId="25738665" w14:textId="113DB0EA">
      <w:pPr>
        <w:pStyle w:val="Heading1"/>
      </w:pPr>
      <w:r>
        <w:rPr>
          <w:b/>
        </w:rPr>
        <w:lastRenderedPageBreak/>
        <w:t>Növekvő igény a szociális beruházások iránt</w:t>
      </w:r>
    </w:p>
    <w:p w:rsidRPr="00C13544" w:rsidR="00FB6090" w:rsidP="06E2B101" w:rsidRDefault="00FB6090" w14:paraId="7954F1BA" w14:textId="77777777">
      <w:pPr>
        <w:spacing w:line="276" w:lineRule="auto"/>
        <w:rPr>
          <w:lang w:val="en-GB"/>
        </w:rPr>
      </w:pPr>
    </w:p>
    <w:p w:rsidRPr="00C13544" w:rsidR="36C94D7F" w:rsidP="06E2B101" w:rsidRDefault="36C94D7F" w14:paraId="27553554" w14:textId="4AC90D0C">
      <w:pPr>
        <w:spacing w:line="276" w:lineRule="auto"/>
      </w:pPr>
      <w:r>
        <w:t xml:space="preserve">A hosszú távú inkluzív növekedés reformok és beruházások révén történő fellendítése érdekében elengedhetetlen, hogy </w:t>
      </w:r>
      <w:r>
        <w:rPr>
          <w:b/>
        </w:rPr>
        <w:t>a szociális jogok európai pillére</w:t>
      </w:r>
      <w:r>
        <w:t xml:space="preserve"> révén megerősítsük az európai szemeszter szociális dimenzióját. Hatékonyabban kell felhasználni a meglévő pénzügyi forrásokat, és elő kell mozdítani a köz- és magánszféra közötti együttműködést. Sürgősen meg kell vitatni, hogy megvalósítható-e egy </w:t>
      </w:r>
      <w:r>
        <w:rPr>
          <w:b/>
        </w:rPr>
        <w:t>uniós pénzügyi kapacitás 2026-ig</w:t>
      </w:r>
      <w:r>
        <w:t xml:space="preserve"> a közös prioritásokhoz kapcsolódó </w:t>
      </w:r>
      <w:r>
        <w:rPr>
          <w:b/>
        </w:rPr>
        <w:t>beruházási igények</w:t>
      </w:r>
      <w:r>
        <w:t xml:space="preserve"> kielégítése érdekében. Nem szabad alábecsülni a </w:t>
      </w:r>
      <w:r>
        <w:rPr>
          <w:b/>
        </w:rPr>
        <w:t>szociális beruházások</w:t>
      </w:r>
      <w:r>
        <w:t xml:space="preserve"> gazdasági növekedésre és termelékenységre gyakorolt pozitív hatását. A kulcsfontosságú szociális területeken szükséges reformok és beruházások biztosításához koherens beruházási stratégiára van szükség a tagállamokban a szociális infrastruktúrára irányulóan. Ehhez elengedhetetlen a szociális partnerek és a civil társadalmi szervezetek megfelelő bevonása a folyamatba.</w:t>
      </w:r>
    </w:p>
    <w:p w:rsidRPr="00C13544" w:rsidR="00217D7F" w:rsidP="06E2B101" w:rsidRDefault="00217D7F" w14:paraId="1E067348" w14:textId="78815689">
      <w:pPr>
        <w:spacing w:line="276" w:lineRule="auto"/>
        <w:rPr>
          <w:lang w:val="en-GB"/>
        </w:rPr>
      </w:pPr>
    </w:p>
    <w:p w:rsidRPr="009A7326" w:rsidR="001E1C56" w:rsidRDefault="001E1C56" w14:paraId="49F206FC" w14:textId="77777777">
      <w:pPr>
        <w:overflowPunct w:val="0"/>
        <w:autoSpaceDE w:val="0"/>
        <w:autoSpaceDN w:val="0"/>
        <w:adjustRightInd w:val="0"/>
        <w:jc w:val="center"/>
        <w:textAlignment w:val="baseline"/>
      </w:pPr>
      <w:r>
        <w:t>_____________</w:t>
      </w:r>
    </w:p>
    <w:p w:rsidRPr="009A7326" w:rsidR="001E1C56" w:rsidRDefault="001E1C56" w14:paraId="0DB3BC56" w14:textId="25500604">
      <w:pPr>
        <w:rPr>
          <w:lang w:val="en-GB"/>
        </w:rPr>
      </w:pPr>
    </w:p>
    <w:sectPr w:rsidRPr="009A7326" w:rsidR="001E1C56" w:rsidSect="00532F57">
      <w:headerReference w:type="even" r:id="rId14"/>
      <w:headerReference w:type="default" r:id="rId15"/>
      <w:footerReference w:type="even" r:id="rId16"/>
      <w:footerReference w:type="default" r:id="rId17"/>
      <w:headerReference w:type="first" r:id="rId18"/>
      <w:footerReference w:type="first" r:id="rId19"/>
      <w:pgSz w:w="11907" w:h="1683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7BEBB" w14:textId="77777777" w:rsidR="00BC0F05" w:rsidRDefault="00BC0F05" w:rsidP="00AB0E74">
      <w:pPr>
        <w:spacing w:line="240" w:lineRule="auto"/>
      </w:pPr>
      <w:r>
        <w:separator/>
      </w:r>
    </w:p>
  </w:endnote>
  <w:endnote w:type="continuationSeparator" w:id="0">
    <w:p w14:paraId="27F0D4FF" w14:textId="77777777" w:rsidR="00BC0F05" w:rsidRDefault="00BC0F05" w:rsidP="00AB0E74">
      <w:pPr>
        <w:spacing w:line="240" w:lineRule="auto"/>
      </w:pPr>
      <w:r>
        <w:continuationSeparator/>
      </w:r>
    </w:p>
  </w:endnote>
  <w:endnote w:type="continuationNotice" w:id="1">
    <w:p w14:paraId="6408709D" w14:textId="77777777" w:rsidR="00BC0F05" w:rsidRDefault="00BC0F0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EF629" w14:textId="2941FE2B" w:rsidR="52325CEE" w:rsidRPr="00532F57" w:rsidRDefault="00532F57" w:rsidP="00532F57">
    <w:pPr>
      <w:pStyle w:val="Footer"/>
    </w:pPr>
    <w:r>
      <w:t xml:space="preserve">EESC-2024-02379-00-00-TCD-TRA (EN) </w:t>
    </w:r>
    <w:r>
      <w:fldChar w:fldCharType="begin"/>
    </w:r>
    <w:r>
      <w:instrText xml:space="preserve"> PAGE  \* Arabic  \* MERGEFORMAT </w:instrText>
    </w:r>
    <w:r>
      <w:fldChar w:fldCharType="separate"/>
    </w:r>
    <w:r w:rsidR="00C13544">
      <w:t>1</w:t>
    </w:r>
    <w:r>
      <w:fldChar w:fldCharType="end"/>
    </w:r>
    <w:r>
      <w:t>/</w:t>
    </w:r>
    <w:r w:rsidR="002E2B04">
      <w:fldChar w:fldCharType="begin"/>
    </w:r>
    <w:r w:rsidR="002E2B04">
      <w:instrText xml:space="preserve"> NUMPAGES </w:instrText>
    </w:r>
    <w:r w:rsidR="002E2B04">
      <w:fldChar w:fldCharType="separate"/>
    </w:r>
    <w:r w:rsidR="00C13544">
      <w:t>1</w:t>
    </w:r>
    <w:r w:rsidR="002E2B04">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A1347" w14:textId="77777777" w:rsidR="007A11EC" w:rsidRPr="00532F57" w:rsidRDefault="007A11EC" w:rsidP="00532F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09110" w14:textId="74BE32DB" w:rsidR="00E37925" w:rsidRPr="00532F57" w:rsidRDefault="00532F57" w:rsidP="00532F57">
    <w:pPr>
      <w:pStyle w:val="Footer"/>
    </w:pPr>
    <w:r>
      <w:t xml:space="preserve">EESC-2024-02379-00-00-TCD-TRA (EN) </w:t>
    </w:r>
    <w:r>
      <w:fldChar w:fldCharType="begin"/>
    </w:r>
    <w:r>
      <w:instrText xml:space="preserve"> PAGE  \* Arabic  \* MERGEFORMAT </w:instrText>
    </w:r>
    <w:r>
      <w:fldChar w:fldCharType="separate"/>
    </w:r>
    <w:r>
      <w:t>2</w:t>
    </w:r>
    <w:r>
      <w:fldChar w:fldCharType="end"/>
    </w:r>
    <w:r>
      <w:t>/</w:t>
    </w:r>
    <w:r w:rsidR="002E2B04">
      <w:fldChar w:fldCharType="begin"/>
    </w:r>
    <w:r w:rsidR="002E2B04">
      <w:instrText xml:space="preserve"> NUMPAGES </w:instrText>
    </w:r>
    <w:r w:rsidR="002E2B04">
      <w:fldChar w:fldCharType="separate"/>
    </w:r>
    <w:r>
      <w:t>6</w:t>
    </w:r>
    <w:r w:rsidR="002E2B04">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DFB4B" w14:textId="77777777" w:rsidR="007A11EC" w:rsidRPr="00532F57" w:rsidRDefault="007A11EC" w:rsidP="00532F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B5D7F" w14:textId="77777777" w:rsidR="00BC0F05" w:rsidRDefault="00BC0F05" w:rsidP="00AB0E74">
      <w:pPr>
        <w:spacing w:line="240" w:lineRule="auto"/>
      </w:pPr>
      <w:r>
        <w:separator/>
      </w:r>
    </w:p>
  </w:footnote>
  <w:footnote w:type="continuationSeparator" w:id="0">
    <w:p w14:paraId="4A64F4C4" w14:textId="77777777" w:rsidR="00BC0F05" w:rsidRDefault="00BC0F05" w:rsidP="00AB0E74">
      <w:pPr>
        <w:spacing w:line="240" w:lineRule="auto"/>
      </w:pPr>
      <w:r>
        <w:continuationSeparator/>
      </w:r>
    </w:p>
  </w:footnote>
  <w:footnote w:type="continuationNotice" w:id="1">
    <w:p w14:paraId="3AEC848C" w14:textId="77777777" w:rsidR="00BC0F05" w:rsidRDefault="00BC0F0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FA348" w14:textId="77777777" w:rsidR="007A11EC" w:rsidRPr="00532F57" w:rsidRDefault="007A11EC" w:rsidP="00532F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33F8E" w14:textId="2EE06CDC" w:rsidR="007A11EC" w:rsidRPr="00532F57" w:rsidRDefault="007A11EC" w:rsidP="00532F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CA397" w14:textId="77777777" w:rsidR="007A11EC" w:rsidRPr="00532F57" w:rsidRDefault="007A11EC" w:rsidP="00532F57">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FoqCPzPP" int2:invalidationBookmarkName="" int2:hashCode="e0dMsLOcF3PXGS" int2:id="nplFsTcl">
      <int2:state int2:type="AugLoop_Text_Critique" int2:value="Rejected"/>
    </int2:bookmark>
    <int2:bookmark int2:bookmarkName="_Int_t84IWXMq" int2:invalidationBookmarkName="" int2:hashCode="aLmqM6hZPDjXjc" int2:id="UG4PT0Ah">
      <int2:state int2:type="AugLoop_Text_Critique" int2:value="Rejected"/>
    </int2:bookmark>
    <int2:bookmark int2:bookmarkName="_Int_Hy59g5Hy" int2:invalidationBookmarkName="" int2:hashCode="QbEkvVO+SpWO2g" int2:id="iBEHxSkL">
      <int2:state int2:type="AugLoop_Text_Critique" int2:value="Rejected"/>
    </int2:bookmark>
    <int2:bookmark int2:bookmarkName="_Int_Zi7OIc06" int2:invalidationBookmarkName="" int2:hashCode="O9nrcgd9+cDlc2" int2:id="Roz0Rhx0">
      <int2:state int2:type="AugLoop_Text_Critique" int2:value="Rejected"/>
    </int2:bookmark>
    <int2:bookmark int2:bookmarkName="_Int_x3JLjUIw" int2:invalidationBookmarkName="" int2:hashCode="egGNwDErYoGou2" int2:id="fTZTtQRK">
      <int2:state int2:type="AugLoop_Text_Critique" int2:value="Rejected"/>
    </int2:bookmark>
    <int2:bookmark int2:bookmarkName="_Int_UpxGfGiJ" int2:invalidationBookmarkName="" int2:hashCode="MBOoOqzRPp342M" int2:id="ENZMVU8f">
      <int2:state int2:type="AugLoop_Text_Critique" int2:value="Rejected"/>
    </int2:bookmark>
    <int2:bookmark int2:bookmarkName="_Int_d9rsYsIM" int2:invalidationBookmarkName="" int2:hashCode="sBcuIKB+I7Avo3" int2:id="RhEaSRAT">
      <int2:state int2:type="AugLoop_Text_Critique" int2:value="Rejected"/>
    </int2:bookmark>
    <int2:bookmark int2:bookmarkName="_Int_KcGadusM" int2:invalidationBookmarkName="" int2:hashCode="5cEnj+BQkBZE21" int2:id="8wbwk1HU">
      <int2:state int2:type="AugLoop_Text_Critique" int2:value="Rejected"/>
    </int2:bookmark>
    <int2:bookmark int2:bookmarkName="_Int_4sPKBQP3" int2:invalidationBookmarkName="" int2:hashCode="YD+82+V1vFecXo" int2:id="4V1DhOCL">
      <int2:state int2:type="AugLoop_Text_Critique" int2:value="Rejected"/>
    </int2:bookmark>
    <int2:bookmark int2:bookmarkName="_Int_5PCRrvwm" int2:invalidationBookmarkName="" int2:hashCode="QsSPi8+O1klDhN" int2:id="prlDt5wn">
      <int2:state int2:type="AugLoop_Acronyms_AcronymsCritique" int2:value="Rejected"/>
    </int2:bookmark>
    <int2:bookmark int2:bookmarkName="_Int_XG2zh1wI" int2:invalidationBookmarkName="" int2:hashCode="yC0bCc8yKRdh1N" int2:id="UAx2FtPK">
      <int2:state int2:type="AugLoop_Acronyms_AcronymsCritique"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1BD73816"/>
    <w:multiLevelType w:val="hybridMultilevel"/>
    <w:tmpl w:val="D296754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39273FF1"/>
    <w:multiLevelType w:val="multilevel"/>
    <w:tmpl w:val="67FED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7D13A9E"/>
    <w:multiLevelType w:val="multilevel"/>
    <w:tmpl w:val="F2C63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69356A4"/>
    <w:multiLevelType w:val="multilevel"/>
    <w:tmpl w:val="2332A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7973CE2"/>
    <w:multiLevelType w:val="multilevel"/>
    <w:tmpl w:val="EA80D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3"/>
  </w:num>
  <w:num w:numId="4">
    <w:abstractNumId w:val="5"/>
  </w:num>
  <w:num w:numId="5">
    <w:abstractNumId w:val="4"/>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AB7"/>
    <w:rsid w:val="00010809"/>
    <w:rsid w:val="0002341D"/>
    <w:rsid w:val="00065CB3"/>
    <w:rsid w:val="00090BE0"/>
    <w:rsid w:val="000A2F5E"/>
    <w:rsid w:val="000A3450"/>
    <w:rsid w:val="000A7C73"/>
    <w:rsid w:val="000B3580"/>
    <w:rsid w:val="000B5EC0"/>
    <w:rsid w:val="000B741F"/>
    <w:rsid w:val="000C1037"/>
    <w:rsid w:val="000C4294"/>
    <w:rsid w:val="000C7D64"/>
    <w:rsid w:val="000D2C33"/>
    <w:rsid w:val="000E5927"/>
    <w:rsid w:val="000F3191"/>
    <w:rsid w:val="000F7DAE"/>
    <w:rsid w:val="00112BBA"/>
    <w:rsid w:val="00114E7D"/>
    <w:rsid w:val="001307F4"/>
    <w:rsid w:val="001323EA"/>
    <w:rsid w:val="00144773"/>
    <w:rsid w:val="00144A42"/>
    <w:rsid w:val="001511B5"/>
    <w:rsid w:val="001514FE"/>
    <w:rsid w:val="001533CD"/>
    <w:rsid w:val="001622AD"/>
    <w:rsid w:val="00167E3F"/>
    <w:rsid w:val="00174F30"/>
    <w:rsid w:val="001810CE"/>
    <w:rsid w:val="00191FFC"/>
    <w:rsid w:val="00193F06"/>
    <w:rsid w:val="001A4195"/>
    <w:rsid w:val="001B2AE3"/>
    <w:rsid w:val="001B55C2"/>
    <w:rsid w:val="001C6CEB"/>
    <w:rsid w:val="001C7CE4"/>
    <w:rsid w:val="001D34EA"/>
    <w:rsid w:val="001E1C56"/>
    <w:rsid w:val="001E38CF"/>
    <w:rsid w:val="001E4F99"/>
    <w:rsid w:val="00200D4B"/>
    <w:rsid w:val="00211FCC"/>
    <w:rsid w:val="00212F67"/>
    <w:rsid w:val="00213137"/>
    <w:rsid w:val="00214237"/>
    <w:rsid w:val="00214C2E"/>
    <w:rsid w:val="002170F6"/>
    <w:rsid w:val="00217D7F"/>
    <w:rsid w:val="00232344"/>
    <w:rsid w:val="0023351E"/>
    <w:rsid w:val="002339E7"/>
    <w:rsid w:val="00233F48"/>
    <w:rsid w:val="00237C48"/>
    <w:rsid w:val="002622BD"/>
    <w:rsid w:val="0027080C"/>
    <w:rsid w:val="002717FB"/>
    <w:rsid w:val="0027344F"/>
    <w:rsid w:val="00273494"/>
    <w:rsid w:val="002745AB"/>
    <w:rsid w:val="00281D8D"/>
    <w:rsid w:val="002868F1"/>
    <w:rsid w:val="00286AA7"/>
    <w:rsid w:val="00294FD7"/>
    <w:rsid w:val="002A22C5"/>
    <w:rsid w:val="002A2CBC"/>
    <w:rsid w:val="002A6FFE"/>
    <w:rsid w:val="002B1C24"/>
    <w:rsid w:val="002B532C"/>
    <w:rsid w:val="002B6D1A"/>
    <w:rsid w:val="002E5DC9"/>
    <w:rsid w:val="0030010D"/>
    <w:rsid w:val="003002B8"/>
    <w:rsid w:val="00300810"/>
    <w:rsid w:val="00302AEB"/>
    <w:rsid w:val="00306825"/>
    <w:rsid w:val="00317294"/>
    <w:rsid w:val="003177FB"/>
    <w:rsid w:val="00317A2B"/>
    <w:rsid w:val="0032085F"/>
    <w:rsid w:val="00323EFC"/>
    <w:rsid w:val="00326C94"/>
    <w:rsid w:val="003409F7"/>
    <w:rsid w:val="003470BD"/>
    <w:rsid w:val="00351E6F"/>
    <w:rsid w:val="00372570"/>
    <w:rsid w:val="003751BC"/>
    <w:rsid w:val="00375213"/>
    <w:rsid w:val="00375599"/>
    <w:rsid w:val="00380BA1"/>
    <w:rsid w:val="003953AF"/>
    <w:rsid w:val="003A10AE"/>
    <w:rsid w:val="003A6AD2"/>
    <w:rsid w:val="003B13E8"/>
    <w:rsid w:val="003C3A78"/>
    <w:rsid w:val="003D100C"/>
    <w:rsid w:val="003D2170"/>
    <w:rsid w:val="003D405F"/>
    <w:rsid w:val="003D77DF"/>
    <w:rsid w:val="003F41E4"/>
    <w:rsid w:val="003F6877"/>
    <w:rsid w:val="004018EB"/>
    <w:rsid w:val="00405488"/>
    <w:rsid w:val="0041738C"/>
    <w:rsid w:val="00417998"/>
    <w:rsid w:val="00422B25"/>
    <w:rsid w:val="0042688C"/>
    <w:rsid w:val="00444CF3"/>
    <w:rsid w:val="00464C17"/>
    <w:rsid w:val="00474910"/>
    <w:rsid w:val="004776E4"/>
    <w:rsid w:val="00486367"/>
    <w:rsid w:val="004947CA"/>
    <w:rsid w:val="00496B69"/>
    <w:rsid w:val="0049777F"/>
    <w:rsid w:val="004A643F"/>
    <w:rsid w:val="004B32DF"/>
    <w:rsid w:val="004C0C54"/>
    <w:rsid w:val="004C3A04"/>
    <w:rsid w:val="004C40B3"/>
    <w:rsid w:val="004C4DC3"/>
    <w:rsid w:val="004C5E40"/>
    <w:rsid w:val="004D200D"/>
    <w:rsid w:val="004D2464"/>
    <w:rsid w:val="004D688A"/>
    <w:rsid w:val="004E12C5"/>
    <w:rsid w:val="004E1D8D"/>
    <w:rsid w:val="004F5D2C"/>
    <w:rsid w:val="005048C4"/>
    <w:rsid w:val="005159CA"/>
    <w:rsid w:val="00515D19"/>
    <w:rsid w:val="00520F01"/>
    <w:rsid w:val="00525A4E"/>
    <w:rsid w:val="00532F57"/>
    <w:rsid w:val="00546692"/>
    <w:rsid w:val="00546E16"/>
    <w:rsid w:val="0054766F"/>
    <w:rsid w:val="00557DEE"/>
    <w:rsid w:val="005718B4"/>
    <w:rsid w:val="005725E5"/>
    <w:rsid w:val="005771B8"/>
    <w:rsid w:val="00582961"/>
    <w:rsid w:val="00592E7A"/>
    <w:rsid w:val="00593DB6"/>
    <w:rsid w:val="005A0C10"/>
    <w:rsid w:val="005A2B87"/>
    <w:rsid w:val="005A7276"/>
    <w:rsid w:val="005A746C"/>
    <w:rsid w:val="005B3334"/>
    <w:rsid w:val="005C60B5"/>
    <w:rsid w:val="005C75E5"/>
    <w:rsid w:val="005D4D0B"/>
    <w:rsid w:val="005D5BF9"/>
    <w:rsid w:val="005E0273"/>
    <w:rsid w:val="0060188B"/>
    <w:rsid w:val="00603122"/>
    <w:rsid w:val="00604754"/>
    <w:rsid w:val="00623531"/>
    <w:rsid w:val="00634925"/>
    <w:rsid w:val="00634C1E"/>
    <w:rsid w:val="006437F3"/>
    <w:rsid w:val="00646187"/>
    <w:rsid w:val="006661CB"/>
    <w:rsid w:val="00673256"/>
    <w:rsid w:val="006737DF"/>
    <w:rsid w:val="00674FE9"/>
    <w:rsid w:val="00684973"/>
    <w:rsid w:val="0069272D"/>
    <w:rsid w:val="00694858"/>
    <w:rsid w:val="006A233F"/>
    <w:rsid w:val="006A2807"/>
    <w:rsid w:val="006A32D6"/>
    <w:rsid w:val="006A5353"/>
    <w:rsid w:val="006A6CC9"/>
    <w:rsid w:val="006A7267"/>
    <w:rsid w:val="006B1FBF"/>
    <w:rsid w:val="006D1383"/>
    <w:rsid w:val="006D3A71"/>
    <w:rsid w:val="006E0EA5"/>
    <w:rsid w:val="006E698B"/>
    <w:rsid w:val="006E75E9"/>
    <w:rsid w:val="006F129B"/>
    <w:rsid w:val="006F3C22"/>
    <w:rsid w:val="00703587"/>
    <w:rsid w:val="00706FD7"/>
    <w:rsid w:val="00710E3E"/>
    <w:rsid w:val="00713F02"/>
    <w:rsid w:val="0072374C"/>
    <w:rsid w:val="007311B0"/>
    <w:rsid w:val="00732FAB"/>
    <w:rsid w:val="00741DE9"/>
    <w:rsid w:val="00751EE8"/>
    <w:rsid w:val="00761592"/>
    <w:rsid w:val="00764026"/>
    <w:rsid w:val="00766243"/>
    <w:rsid w:val="0077475C"/>
    <w:rsid w:val="007860EC"/>
    <w:rsid w:val="007A11EC"/>
    <w:rsid w:val="007A1ABD"/>
    <w:rsid w:val="007A4DF0"/>
    <w:rsid w:val="007B1D13"/>
    <w:rsid w:val="007B46BD"/>
    <w:rsid w:val="007B7806"/>
    <w:rsid w:val="007C3A57"/>
    <w:rsid w:val="007C5659"/>
    <w:rsid w:val="007D5A07"/>
    <w:rsid w:val="007E7BF4"/>
    <w:rsid w:val="007F487B"/>
    <w:rsid w:val="007F6CCB"/>
    <w:rsid w:val="00803A22"/>
    <w:rsid w:val="00827CD0"/>
    <w:rsid w:val="00830641"/>
    <w:rsid w:val="00842362"/>
    <w:rsid w:val="00847314"/>
    <w:rsid w:val="00855EFE"/>
    <w:rsid w:val="008602E8"/>
    <w:rsid w:val="00863405"/>
    <w:rsid w:val="0086657D"/>
    <w:rsid w:val="008673E1"/>
    <w:rsid w:val="0087394F"/>
    <w:rsid w:val="00873F45"/>
    <w:rsid w:val="00877154"/>
    <w:rsid w:val="008839D9"/>
    <w:rsid w:val="0088709B"/>
    <w:rsid w:val="008B0467"/>
    <w:rsid w:val="008B73D8"/>
    <w:rsid w:val="008C10DF"/>
    <w:rsid w:val="008C77B3"/>
    <w:rsid w:val="008D1D96"/>
    <w:rsid w:val="008E1721"/>
    <w:rsid w:val="008E2CBD"/>
    <w:rsid w:val="008E6165"/>
    <w:rsid w:val="008F5EE5"/>
    <w:rsid w:val="00902587"/>
    <w:rsid w:val="00903FC5"/>
    <w:rsid w:val="00911CB8"/>
    <w:rsid w:val="00942056"/>
    <w:rsid w:val="009432D4"/>
    <w:rsid w:val="00943B64"/>
    <w:rsid w:val="009655E9"/>
    <w:rsid w:val="0096591B"/>
    <w:rsid w:val="00990460"/>
    <w:rsid w:val="00990C19"/>
    <w:rsid w:val="009A43D0"/>
    <w:rsid w:val="009A7326"/>
    <w:rsid w:val="009C16C3"/>
    <w:rsid w:val="009D1D9E"/>
    <w:rsid w:val="009D45F9"/>
    <w:rsid w:val="009D63E3"/>
    <w:rsid w:val="009D6A83"/>
    <w:rsid w:val="009E50DF"/>
    <w:rsid w:val="009F2383"/>
    <w:rsid w:val="00A00D8E"/>
    <w:rsid w:val="00A12AB8"/>
    <w:rsid w:val="00A15871"/>
    <w:rsid w:val="00A20DE2"/>
    <w:rsid w:val="00A210CF"/>
    <w:rsid w:val="00A21B2A"/>
    <w:rsid w:val="00A23889"/>
    <w:rsid w:val="00A256A8"/>
    <w:rsid w:val="00A3093A"/>
    <w:rsid w:val="00A4003F"/>
    <w:rsid w:val="00A52B4A"/>
    <w:rsid w:val="00A666AF"/>
    <w:rsid w:val="00A7344E"/>
    <w:rsid w:val="00A83085"/>
    <w:rsid w:val="00A91EDD"/>
    <w:rsid w:val="00A9706B"/>
    <w:rsid w:val="00A977AA"/>
    <w:rsid w:val="00AB0E74"/>
    <w:rsid w:val="00AB2044"/>
    <w:rsid w:val="00AB5FC8"/>
    <w:rsid w:val="00AC77AD"/>
    <w:rsid w:val="00AD0B61"/>
    <w:rsid w:val="00AD2568"/>
    <w:rsid w:val="00AD44F1"/>
    <w:rsid w:val="00AD75BA"/>
    <w:rsid w:val="00AE523D"/>
    <w:rsid w:val="00AE6FE4"/>
    <w:rsid w:val="00B012E2"/>
    <w:rsid w:val="00B04F7E"/>
    <w:rsid w:val="00B057BE"/>
    <w:rsid w:val="00B153AE"/>
    <w:rsid w:val="00B17E23"/>
    <w:rsid w:val="00B2799E"/>
    <w:rsid w:val="00B37B94"/>
    <w:rsid w:val="00B412D8"/>
    <w:rsid w:val="00B437E9"/>
    <w:rsid w:val="00B65124"/>
    <w:rsid w:val="00B71E14"/>
    <w:rsid w:val="00B751E0"/>
    <w:rsid w:val="00B75615"/>
    <w:rsid w:val="00B823BE"/>
    <w:rsid w:val="00B845E9"/>
    <w:rsid w:val="00B96500"/>
    <w:rsid w:val="00B96F50"/>
    <w:rsid w:val="00BA3252"/>
    <w:rsid w:val="00BA545B"/>
    <w:rsid w:val="00BB2526"/>
    <w:rsid w:val="00BB7DFF"/>
    <w:rsid w:val="00BC0F05"/>
    <w:rsid w:val="00BC4E78"/>
    <w:rsid w:val="00BC7EF3"/>
    <w:rsid w:val="00BD0D56"/>
    <w:rsid w:val="00BD445B"/>
    <w:rsid w:val="00BD5000"/>
    <w:rsid w:val="00BD539C"/>
    <w:rsid w:val="00BD6509"/>
    <w:rsid w:val="00BE1D46"/>
    <w:rsid w:val="00BE5EE4"/>
    <w:rsid w:val="00C03BA6"/>
    <w:rsid w:val="00C06056"/>
    <w:rsid w:val="00C062A5"/>
    <w:rsid w:val="00C06B81"/>
    <w:rsid w:val="00C07DD8"/>
    <w:rsid w:val="00C13544"/>
    <w:rsid w:val="00C143F9"/>
    <w:rsid w:val="00C261DD"/>
    <w:rsid w:val="00C35904"/>
    <w:rsid w:val="00C519A9"/>
    <w:rsid w:val="00C65076"/>
    <w:rsid w:val="00C7024E"/>
    <w:rsid w:val="00C715F9"/>
    <w:rsid w:val="00C751D2"/>
    <w:rsid w:val="00C854BF"/>
    <w:rsid w:val="00C86634"/>
    <w:rsid w:val="00C928E7"/>
    <w:rsid w:val="00CA12A6"/>
    <w:rsid w:val="00CA7845"/>
    <w:rsid w:val="00CB468C"/>
    <w:rsid w:val="00CD11A5"/>
    <w:rsid w:val="00CD2E0C"/>
    <w:rsid w:val="00CE0BB1"/>
    <w:rsid w:val="00CE136A"/>
    <w:rsid w:val="00CE3CC0"/>
    <w:rsid w:val="00D10674"/>
    <w:rsid w:val="00D13898"/>
    <w:rsid w:val="00D15BA3"/>
    <w:rsid w:val="00D57E52"/>
    <w:rsid w:val="00D672A9"/>
    <w:rsid w:val="00D76E6A"/>
    <w:rsid w:val="00D77037"/>
    <w:rsid w:val="00DA20E2"/>
    <w:rsid w:val="00DB1CC6"/>
    <w:rsid w:val="00DB3064"/>
    <w:rsid w:val="00DC3096"/>
    <w:rsid w:val="00DC67FE"/>
    <w:rsid w:val="00DD075F"/>
    <w:rsid w:val="00DD0B68"/>
    <w:rsid w:val="00DD4697"/>
    <w:rsid w:val="00DD680E"/>
    <w:rsid w:val="00DE04A2"/>
    <w:rsid w:val="00DF36C4"/>
    <w:rsid w:val="00DF6765"/>
    <w:rsid w:val="00E00916"/>
    <w:rsid w:val="00E0273F"/>
    <w:rsid w:val="00E03F53"/>
    <w:rsid w:val="00E11AB7"/>
    <w:rsid w:val="00E1293A"/>
    <w:rsid w:val="00E2452C"/>
    <w:rsid w:val="00E24F6C"/>
    <w:rsid w:val="00E3340B"/>
    <w:rsid w:val="00E359EB"/>
    <w:rsid w:val="00E37925"/>
    <w:rsid w:val="00E4162B"/>
    <w:rsid w:val="00E5395A"/>
    <w:rsid w:val="00E54312"/>
    <w:rsid w:val="00E61C22"/>
    <w:rsid w:val="00E62617"/>
    <w:rsid w:val="00E64ACE"/>
    <w:rsid w:val="00E6667E"/>
    <w:rsid w:val="00E67FF0"/>
    <w:rsid w:val="00E82505"/>
    <w:rsid w:val="00E87659"/>
    <w:rsid w:val="00E90377"/>
    <w:rsid w:val="00E9396B"/>
    <w:rsid w:val="00EA356A"/>
    <w:rsid w:val="00EA6CF0"/>
    <w:rsid w:val="00EB4A1F"/>
    <w:rsid w:val="00ED2657"/>
    <w:rsid w:val="00ED6CDF"/>
    <w:rsid w:val="00EE1779"/>
    <w:rsid w:val="00EE1F8D"/>
    <w:rsid w:val="00EE6804"/>
    <w:rsid w:val="00EE7728"/>
    <w:rsid w:val="00EE7FCA"/>
    <w:rsid w:val="00F04013"/>
    <w:rsid w:val="00F06925"/>
    <w:rsid w:val="00F15CBC"/>
    <w:rsid w:val="00F2266E"/>
    <w:rsid w:val="00F22B98"/>
    <w:rsid w:val="00F236D3"/>
    <w:rsid w:val="00F358DF"/>
    <w:rsid w:val="00F372A7"/>
    <w:rsid w:val="00F41B1C"/>
    <w:rsid w:val="00F4256B"/>
    <w:rsid w:val="00F42AB6"/>
    <w:rsid w:val="00F47A3E"/>
    <w:rsid w:val="00F50519"/>
    <w:rsid w:val="00F51486"/>
    <w:rsid w:val="00F61E4D"/>
    <w:rsid w:val="00F75764"/>
    <w:rsid w:val="00F80EC9"/>
    <w:rsid w:val="00F873BC"/>
    <w:rsid w:val="00F9543A"/>
    <w:rsid w:val="00FA76AC"/>
    <w:rsid w:val="00FB6090"/>
    <w:rsid w:val="00FC28EE"/>
    <w:rsid w:val="00FC4431"/>
    <w:rsid w:val="00FC5D93"/>
    <w:rsid w:val="00FC6883"/>
    <w:rsid w:val="00FD2E5E"/>
    <w:rsid w:val="00FD7E5A"/>
    <w:rsid w:val="00FE2EBB"/>
    <w:rsid w:val="00FE48EB"/>
    <w:rsid w:val="00FE51D7"/>
    <w:rsid w:val="00FE5654"/>
    <w:rsid w:val="00FE5BF7"/>
    <w:rsid w:val="00FE715A"/>
    <w:rsid w:val="011B908E"/>
    <w:rsid w:val="014A056E"/>
    <w:rsid w:val="017C1290"/>
    <w:rsid w:val="01C843FE"/>
    <w:rsid w:val="02035B20"/>
    <w:rsid w:val="021B2F79"/>
    <w:rsid w:val="02321D48"/>
    <w:rsid w:val="02A1526E"/>
    <w:rsid w:val="037070C4"/>
    <w:rsid w:val="03B15C45"/>
    <w:rsid w:val="04C53358"/>
    <w:rsid w:val="05EAD3F5"/>
    <w:rsid w:val="0652A937"/>
    <w:rsid w:val="069BB521"/>
    <w:rsid w:val="06C1AEC1"/>
    <w:rsid w:val="06E2B101"/>
    <w:rsid w:val="08222EBC"/>
    <w:rsid w:val="0877701A"/>
    <w:rsid w:val="08A3BADB"/>
    <w:rsid w:val="08BF67AC"/>
    <w:rsid w:val="099A0242"/>
    <w:rsid w:val="09A0EB97"/>
    <w:rsid w:val="09CECD43"/>
    <w:rsid w:val="0A32301F"/>
    <w:rsid w:val="0AABAF97"/>
    <w:rsid w:val="0AFDC20C"/>
    <w:rsid w:val="0B8AD93F"/>
    <w:rsid w:val="0B989F9A"/>
    <w:rsid w:val="0BCC1796"/>
    <w:rsid w:val="0BE5CD97"/>
    <w:rsid w:val="0C0543AD"/>
    <w:rsid w:val="0C2546A5"/>
    <w:rsid w:val="0C41D354"/>
    <w:rsid w:val="0D41F893"/>
    <w:rsid w:val="0E85623A"/>
    <w:rsid w:val="0FA4E6EA"/>
    <w:rsid w:val="1033ACB8"/>
    <w:rsid w:val="107DC5B1"/>
    <w:rsid w:val="109BAF9F"/>
    <w:rsid w:val="10CDB756"/>
    <w:rsid w:val="120C4EEE"/>
    <w:rsid w:val="129DA2A1"/>
    <w:rsid w:val="12C49B14"/>
    <w:rsid w:val="136FB8DA"/>
    <w:rsid w:val="15C32653"/>
    <w:rsid w:val="163F8F28"/>
    <w:rsid w:val="17263546"/>
    <w:rsid w:val="17980C37"/>
    <w:rsid w:val="179BA882"/>
    <w:rsid w:val="181455AB"/>
    <w:rsid w:val="186E06EF"/>
    <w:rsid w:val="19189B0E"/>
    <w:rsid w:val="192EA542"/>
    <w:rsid w:val="19854C6B"/>
    <w:rsid w:val="19E00CED"/>
    <w:rsid w:val="1A09D750"/>
    <w:rsid w:val="1A355E1E"/>
    <w:rsid w:val="1AEB4E85"/>
    <w:rsid w:val="1C94BFFC"/>
    <w:rsid w:val="1CAAC965"/>
    <w:rsid w:val="1CE2F4D1"/>
    <w:rsid w:val="1CF6C443"/>
    <w:rsid w:val="1D132F94"/>
    <w:rsid w:val="1D341A9D"/>
    <w:rsid w:val="1D4F0195"/>
    <w:rsid w:val="1DBDEF35"/>
    <w:rsid w:val="1E0F1960"/>
    <w:rsid w:val="1EF02590"/>
    <w:rsid w:val="1FD25431"/>
    <w:rsid w:val="2002332F"/>
    <w:rsid w:val="200B451E"/>
    <w:rsid w:val="20297512"/>
    <w:rsid w:val="205FF077"/>
    <w:rsid w:val="207DF841"/>
    <w:rsid w:val="21283A56"/>
    <w:rsid w:val="214F08C2"/>
    <w:rsid w:val="215D8CFF"/>
    <w:rsid w:val="216A57B5"/>
    <w:rsid w:val="217FE731"/>
    <w:rsid w:val="2199A18E"/>
    <w:rsid w:val="21AC666F"/>
    <w:rsid w:val="21C7546C"/>
    <w:rsid w:val="21C94EB7"/>
    <w:rsid w:val="22267497"/>
    <w:rsid w:val="22A2337E"/>
    <w:rsid w:val="22A44CE6"/>
    <w:rsid w:val="22A779EC"/>
    <w:rsid w:val="22DFAAAF"/>
    <w:rsid w:val="23F2D524"/>
    <w:rsid w:val="245D2BD4"/>
    <w:rsid w:val="24FAC639"/>
    <w:rsid w:val="2606C6EA"/>
    <w:rsid w:val="2696424B"/>
    <w:rsid w:val="270EE891"/>
    <w:rsid w:val="27484CDD"/>
    <w:rsid w:val="27A29841"/>
    <w:rsid w:val="27FA1012"/>
    <w:rsid w:val="288AA797"/>
    <w:rsid w:val="288AFB21"/>
    <w:rsid w:val="291D02E0"/>
    <w:rsid w:val="29382769"/>
    <w:rsid w:val="29CE375C"/>
    <w:rsid w:val="2A5045C1"/>
    <w:rsid w:val="2A54045B"/>
    <w:rsid w:val="2A690AD6"/>
    <w:rsid w:val="2B6A07BD"/>
    <w:rsid w:val="2BDA9499"/>
    <w:rsid w:val="2C4ED2B3"/>
    <w:rsid w:val="2C52DF7A"/>
    <w:rsid w:val="2CAE9DF3"/>
    <w:rsid w:val="2CD806D5"/>
    <w:rsid w:val="2D264575"/>
    <w:rsid w:val="2D2EFEC6"/>
    <w:rsid w:val="2D7489F4"/>
    <w:rsid w:val="2DD0508E"/>
    <w:rsid w:val="2DFA8D23"/>
    <w:rsid w:val="2EEFBAE9"/>
    <w:rsid w:val="2EF80C1B"/>
    <w:rsid w:val="2F677F66"/>
    <w:rsid w:val="2FA7BFDF"/>
    <w:rsid w:val="303ED850"/>
    <w:rsid w:val="3055116C"/>
    <w:rsid w:val="30B249C4"/>
    <w:rsid w:val="30C80EED"/>
    <w:rsid w:val="30D3BB14"/>
    <w:rsid w:val="310EEC68"/>
    <w:rsid w:val="31343486"/>
    <w:rsid w:val="31AEDB75"/>
    <w:rsid w:val="31B20EE7"/>
    <w:rsid w:val="32241427"/>
    <w:rsid w:val="326EF8E8"/>
    <w:rsid w:val="32CAA1C6"/>
    <w:rsid w:val="32D9061C"/>
    <w:rsid w:val="33254CD0"/>
    <w:rsid w:val="337AFDF8"/>
    <w:rsid w:val="33A6F16C"/>
    <w:rsid w:val="33C32C0C"/>
    <w:rsid w:val="3486C437"/>
    <w:rsid w:val="3583D370"/>
    <w:rsid w:val="3659BB31"/>
    <w:rsid w:val="3672FE8B"/>
    <w:rsid w:val="36C94D7F"/>
    <w:rsid w:val="36F63025"/>
    <w:rsid w:val="370DD07C"/>
    <w:rsid w:val="37DC5B96"/>
    <w:rsid w:val="380812A8"/>
    <w:rsid w:val="388431BA"/>
    <w:rsid w:val="38A6C001"/>
    <w:rsid w:val="38A9A0DD"/>
    <w:rsid w:val="39B135FB"/>
    <w:rsid w:val="39C35375"/>
    <w:rsid w:val="3A09F3D7"/>
    <w:rsid w:val="3A45713E"/>
    <w:rsid w:val="3A62A116"/>
    <w:rsid w:val="3A97B2B3"/>
    <w:rsid w:val="3AEA514E"/>
    <w:rsid w:val="3B1AFB79"/>
    <w:rsid w:val="3B67032A"/>
    <w:rsid w:val="3B6EF0B0"/>
    <w:rsid w:val="3BBDD95E"/>
    <w:rsid w:val="3C15717E"/>
    <w:rsid w:val="3C5A5519"/>
    <w:rsid w:val="3CB6CBDA"/>
    <w:rsid w:val="3D0AC111"/>
    <w:rsid w:val="3D33C0D6"/>
    <w:rsid w:val="3DA04CCE"/>
    <w:rsid w:val="3DC9ABFB"/>
    <w:rsid w:val="3ECF9137"/>
    <w:rsid w:val="3EDE6509"/>
    <w:rsid w:val="3FE21128"/>
    <w:rsid w:val="4009435E"/>
    <w:rsid w:val="4025F78D"/>
    <w:rsid w:val="405D9A2A"/>
    <w:rsid w:val="432A1D7D"/>
    <w:rsid w:val="44038CAD"/>
    <w:rsid w:val="444CAFA5"/>
    <w:rsid w:val="44C5EDDE"/>
    <w:rsid w:val="450DE570"/>
    <w:rsid w:val="45337C1F"/>
    <w:rsid w:val="46206B0D"/>
    <w:rsid w:val="4621D49D"/>
    <w:rsid w:val="46F3B288"/>
    <w:rsid w:val="4714405B"/>
    <w:rsid w:val="47845067"/>
    <w:rsid w:val="47E30370"/>
    <w:rsid w:val="4818EB5D"/>
    <w:rsid w:val="484D73B8"/>
    <w:rsid w:val="48A20039"/>
    <w:rsid w:val="49875B8F"/>
    <w:rsid w:val="4A1A3164"/>
    <w:rsid w:val="4A312759"/>
    <w:rsid w:val="4A738405"/>
    <w:rsid w:val="4A74719E"/>
    <w:rsid w:val="4B1E97B6"/>
    <w:rsid w:val="4B2F4807"/>
    <w:rsid w:val="4B416A5D"/>
    <w:rsid w:val="4BB601C5"/>
    <w:rsid w:val="4C28F255"/>
    <w:rsid w:val="4C467C1B"/>
    <w:rsid w:val="4CEFA6D7"/>
    <w:rsid w:val="4D51D226"/>
    <w:rsid w:val="4E05560F"/>
    <w:rsid w:val="4E5ACCB2"/>
    <w:rsid w:val="4E8C6C5B"/>
    <w:rsid w:val="4EAED9BA"/>
    <w:rsid w:val="4EFF09BC"/>
    <w:rsid w:val="4F711A57"/>
    <w:rsid w:val="4F7F82BB"/>
    <w:rsid w:val="4FAAD63B"/>
    <w:rsid w:val="4FC1E18F"/>
    <w:rsid w:val="500EC549"/>
    <w:rsid w:val="508972E8"/>
    <w:rsid w:val="50A35083"/>
    <w:rsid w:val="5175C6D3"/>
    <w:rsid w:val="51DAF0B0"/>
    <w:rsid w:val="51F255C5"/>
    <w:rsid w:val="5217E473"/>
    <w:rsid w:val="52325CEE"/>
    <w:rsid w:val="52A659DD"/>
    <w:rsid w:val="52B7C43B"/>
    <w:rsid w:val="537AB468"/>
    <w:rsid w:val="53943428"/>
    <w:rsid w:val="54505536"/>
    <w:rsid w:val="54D878F9"/>
    <w:rsid w:val="5576C1A6"/>
    <w:rsid w:val="55FEA3D0"/>
    <w:rsid w:val="56999901"/>
    <w:rsid w:val="56C8D92B"/>
    <w:rsid w:val="56F2C486"/>
    <w:rsid w:val="57F620BB"/>
    <w:rsid w:val="587B2571"/>
    <w:rsid w:val="58AB8DA8"/>
    <w:rsid w:val="59364492"/>
    <w:rsid w:val="5BC103C5"/>
    <w:rsid w:val="5C13EA50"/>
    <w:rsid w:val="5C1D0518"/>
    <w:rsid w:val="5C6DE554"/>
    <w:rsid w:val="5CBF240A"/>
    <w:rsid w:val="5D520974"/>
    <w:rsid w:val="5DA0005D"/>
    <w:rsid w:val="5E5F8AFB"/>
    <w:rsid w:val="5EC07B3F"/>
    <w:rsid w:val="5EEB07E7"/>
    <w:rsid w:val="5F4AD84B"/>
    <w:rsid w:val="5FAD739C"/>
    <w:rsid w:val="5FE1E97F"/>
    <w:rsid w:val="5FF0F020"/>
    <w:rsid w:val="6042A4C0"/>
    <w:rsid w:val="6093E9BC"/>
    <w:rsid w:val="61FA5DAC"/>
    <w:rsid w:val="620E01FB"/>
    <w:rsid w:val="639F55B9"/>
    <w:rsid w:val="6446F999"/>
    <w:rsid w:val="660269D3"/>
    <w:rsid w:val="661ABE6A"/>
    <w:rsid w:val="6661AEF0"/>
    <w:rsid w:val="667318BC"/>
    <w:rsid w:val="66942BF9"/>
    <w:rsid w:val="669C5B5E"/>
    <w:rsid w:val="66BAA4CB"/>
    <w:rsid w:val="670FD341"/>
    <w:rsid w:val="6799400F"/>
    <w:rsid w:val="67C424D0"/>
    <w:rsid w:val="681B1E8C"/>
    <w:rsid w:val="6894278C"/>
    <w:rsid w:val="68E4DE71"/>
    <w:rsid w:val="68F7FB88"/>
    <w:rsid w:val="69F1F663"/>
    <w:rsid w:val="6A8E3DB9"/>
    <w:rsid w:val="6ABFE127"/>
    <w:rsid w:val="6B4689DF"/>
    <w:rsid w:val="6B541986"/>
    <w:rsid w:val="6B78D177"/>
    <w:rsid w:val="6BB2F3C2"/>
    <w:rsid w:val="6C8BF6A4"/>
    <w:rsid w:val="6D2837B9"/>
    <w:rsid w:val="6D3BB74A"/>
    <w:rsid w:val="6E3E92DC"/>
    <w:rsid w:val="6E665929"/>
    <w:rsid w:val="6EBB3903"/>
    <w:rsid w:val="6FCC3825"/>
    <w:rsid w:val="700E624C"/>
    <w:rsid w:val="70D54E51"/>
    <w:rsid w:val="70FD71EB"/>
    <w:rsid w:val="7113791A"/>
    <w:rsid w:val="716E47FE"/>
    <w:rsid w:val="71A356A2"/>
    <w:rsid w:val="728E92C1"/>
    <w:rsid w:val="72A13D24"/>
    <w:rsid w:val="73BC5F1F"/>
    <w:rsid w:val="73D5D2BE"/>
    <w:rsid w:val="743D0D85"/>
    <w:rsid w:val="744A2095"/>
    <w:rsid w:val="74E1D36F"/>
    <w:rsid w:val="75147F43"/>
    <w:rsid w:val="7525E3FA"/>
    <w:rsid w:val="752A2394"/>
    <w:rsid w:val="758ACB7C"/>
    <w:rsid w:val="76E97314"/>
    <w:rsid w:val="76F48228"/>
    <w:rsid w:val="772654FD"/>
    <w:rsid w:val="77AD2D08"/>
    <w:rsid w:val="77C76D9C"/>
    <w:rsid w:val="782CFA6D"/>
    <w:rsid w:val="792985E9"/>
    <w:rsid w:val="79B54492"/>
    <w:rsid w:val="7B79E003"/>
    <w:rsid w:val="7B8A9AF3"/>
    <w:rsid w:val="7BACE707"/>
    <w:rsid w:val="7BBD6D39"/>
    <w:rsid w:val="7BC78D0A"/>
    <w:rsid w:val="7D0D5D25"/>
    <w:rsid w:val="7D8C54CD"/>
    <w:rsid w:val="7DE3EFCB"/>
    <w:rsid w:val="7DF798EF"/>
    <w:rsid w:val="7E084BFC"/>
    <w:rsid w:val="7FFADD51"/>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6557641"/>
  <w15:chartTrackingRefBased/>
  <w15:docId w15:val="{FFEDAFD3-E81C-4D1D-854D-5FE539754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7FB"/>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E11AB7"/>
    <w:pPr>
      <w:numPr>
        <w:numId w:val="1"/>
      </w:numPr>
      <w:ind w:left="567" w:hanging="567"/>
      <w:outlineLvl w:val="0"/>
    </w:pPr>
    <w:rPr>
      <w:kern w:val="28"/>
    </w:rPr>
  </w:style>
  <w:style w:type="paragraph" w:styleId="Heading2">
    <w:name w:val="heading 2"/>
    <w:basedOn w:val="Normal"/>
    <w:next w:val="Normal"/>
    <w:link w:val="Heading2Char"/>
    <w:qFormat/>
    <w:rsid w:val="00E11AB7"/>
    <w:pPr>
      <w:numPr>
        <w:ilvl w:val="1"/>
        <w:numId w:val="1"/>
      </w:numPr>
      <w:ind w:left="567" w:hanging="567"/>
      <w:outlineLvl w:val="1"/>
    </w:pPr>
  </w:style>
  <w:style w:type="paragraph" w:styleId="Heading3">
    <w:name w:val="heading 3"/>
    <w:basedOn w:val="Normal"/>
    <w:next w:val="Normal"/>
    <w:link w:val="Heading3Char"/>
    <w:qFormat/>
    <w:rsid w:val="00E11AB7"/>
    <w:pPr>
      <w:numPr>
        <w:ilvl w:val="2"/>
        <w:numId w:val="1"/>
      </w:numPr>
      <w:ind w:left="567" w:hanging="567"/>
      <w:outlineLvl w:val="2"/>
    </w:pPr>
  </w:style>
  <w:style w:type="paragraph" w:styleId="Heading4">
    <w:name w:val="heading 4"/>
    <w:basedOn w:val="Normal"/>
    <w:next w:val="Normal"/>
    <w:link w:val="Heading4Char"/>
    <w:qFormat/>
    <w:rsid w:val="00E11AB7"/>
    <w:pPr>
      <w:numPr>
        <w:ilvl w:val="3"/>
        <w:numId w:val="1"/>
      </w:numPr>
      <w:ind w:left="567" w:hanging="567"/>
      <w:outlineLvl w:val="3"/>
    </w:pPr>
  </w:style>
  <w:style w:type="paragraph" w:styleId="Heading5">
    <w:name w:val="heading 5"/>
    <w:basedOn w:val="Normal"/>
    <w:next w:val="Normal"/>
    <w:link w:val="Heading5Char"/>
    <w:qFormat/>
    <w:rsid w:val="00E11AB7"/>
    <w:pPr>
      <w:numPr>
        <w:ilvl w:val="4"/>
        <w:numId w:val="1"/>
      </w:numPr>
      <w:ind w:left="567" w:hanging="567"/>
      <w:outlineLvl w:val="4"/>
    </w:pPr>
  </w:style>
  <w:style w:type="paragraph" w:styleId="Heading6">
    <w:name w:val="heading 6"/>
    <w:basedOn w:val="Normal"/>
    <w:next w:val="Normal"/>
    <w:link w:val="Heading6Char"/>
    <w:qFormat/>
    <w:rsid w:val="00E11AB7"/>
    <w:pPr>
      <w:numPr>
        <w:ilvl w:val="5"/>
        <w:numId w:val="1"/>
      </w:numPr>
      <w:ind w:left="567" w:hanging="567"/>
      <w:outlineLvl w:val="5"/>
    </w:pPr>
  </w:style>
  <w:style w:type="paragraph" w:styleId="Heading7">
    <w:name w:val="heading 7"/>
    <w:basedOn w:val="Normal"/>
    <w:next w:val="Normal"/>
    <w:link w:val="Heading7Char"/>
    <w:qFormat/>
    <w:rsid w:val="00E11AB7"/>
    <w:pPr>
      <w:numPr>
        <w:ilvl w:val="6"/>
        <w:numId w:val="1"/>
      </w:numPr>
      <w:ind w:left="567" w:hanging="567"/>
      <w:outlineLvl w:val="6"/>
    </w:pPr>
  </w:style>
  <w:style w:type="paragraph" w:styleId="Heading8">
    <w:name w:val="heading 8"/>
    <w:basedOn w:val="Normal"/>
    <w:next w:val="Normal"/>
    <w:link w:val="Heading8Char"/>
    <w:qFormat/>
    <w:rsid w:val="00E11AB7"/>
    <w:pPr>
      <w:numPr>
        <w:ilvl w:val="7"/>
        <w:numId w:val="1"/>
      </w:numPr>
      <w:ind w:left="567" w:hanging="567"/>
      <w:outlineLvl w:val="7"/>
    </w:pPr>
  </w:style>
  <w:style w:type="paragraph" w:styleId="Heading9">
    <w:name w:val="heading 9"/>
    <w:basedOn w:val="Normal"/>
    <w:next w:val="Normal"/>
    <w:link w:val="Heading9Char"/>
    <w:qFormat/>
    <w:rsid w:val="00E11AB7"/>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1AB7"/>
    <w:rPr>
      <w:rFonts w:ascii="Times New Roman" w:eastAsia="Times New Roman" w:hAnsi="Times New Roman" w:cs="Times New Roman"/>
      <w:kern w:val="28"/>
      <w:lang w:val="hu-HU"/>
    </w:rPr>
  </w:style>
  <w:style w:type="character" w:customStyle="1" w:styleId="Heading2Char">
    <w:name w:val="Heading 2 Char"/>
    <w:basedOn w:val="DefaultParagraphFont"/>
    <w:link w:val="Heading2"/>
    <w:rsid w:val="00E11AB7"/>
    <w:rPr>
      <w:rFonts w:ascii="Times New Roman" w:eastAsia="Times New Roman" w:hAnsi="Times New Roman" w:cs="Times New Roman"/>
      <w:lang w:val="hu-HU"/>
    </w:rPr>
  </w:style>
  <w:style w:type="character" w:customStyle="1" w:styleId="Heading3Char">
    <w:name w:val="Heading 3 Char"/>
    <w:basedOn w:val="DefaultParagraphFont"/>
    <w:link w:val="Heading3"/>
    <w:rsid w:val="00E11AB7"/>
    <w:rPr>
      <w:rFonts w:ascii="Times New Roman" w:eastAsia="Times New Roman" w:hAnsi="Times New Roman" w:cs="Times New Roman"/>
      <w:lang w:val="hu-HU"/>
    </w:rPr>
  </w:style>
  <w:style w:type="character" w:customStyle="1" w:styleId="Heading4Char">
    <w:name w:val="Heading 4 Char"/>
    <w:basedOn w:val="DefaultParagraphFont"/>
    <w:link w:val="Heading4"/>
    <w:rsid w:val="00E11AB7"/>
    <w:rPr>
      <w:rFonts w:ascii="Times New Roman" w:eastAsia="Times New Roman" w:hAnsi="Times New Roman" w:cs="Times New Roman"/>
      <w:lang w:val="hu-HU"/>
    </w:rPr>
  </w:style>
  <w:style w:type="character" w:customStyle="1" w:styleId="Heading5Char">
    <w:name w:val="Heading 5 Char"/>
    <w:basedOn w:val="DefaultParagraphFont"/>
    <w:link w:val="Heading5"/>
    <w:rsid w:val="00E11AB7"/>
    <w:rPr>
      <w:rFonts w:ascii="Times New Roman" w:eastAsia="Times New Roman" w:hAnsi="Times New Roman" w:cs="Times New Roman"/>
      <w:lang w:val="hu-HU"/>
    </w:rPr>
  </w:style>
  <w:style w:type="character" w:customStyle="1" w:styleId="Heading6Char">
    <w:name w:val="Heading 6 Char"/>
    <w:basedOn w:val="DefaultParagraphFont"/>
    <w:link w:val="Heading6"/>
    <w:rsid w:val="00E11AB7"/>
    <w:rPr>
      <w:rFonts w:ascii="Times New Roman" w:eastAsia="Times New Roman" w:hAnsi="Times New Roman" w:cs="Times New Roman"/>
      <w:lang w:val="hu-HU"/>
    </w:rPr>
  </w:style>
  <w:style w:type="character" w:customStyle="1" w:styleId="Heading7Char">
    <w:name w:val="Heading 7 Char"/>
    <w:basedOn w:val="DefaultParagraphFont"/>
    <w:link w:val="Heading7"/>
    <w:rsid w:val="00E11AB7"/>
    <w:rPr>
      <w:rFonts w:ascii="Times New Roman" w:eastAsia="Times New Roman" w:hAnsi="Times New Roman" w:cs="Times New Roman"/>
      <w:lang w:val="hu-HU"/>
    </w:rPr>
  </w:style>
  <w:style w:type="character" w:customStyle="1" w:styleId="Heading8Char">
    <w:name w:val="Heading 8 Char"/>
    <w:basedOn w:val="DefaultParagraphFont"/>
    <w:link w:val="Heading8"/>
    <w:rsid w:val="00E11AB7"/>
    <w:rPr>
      <w:rFonts w:ascii="Times New Roman" w:eastAsia="Times New Roman" w:hAnsi="Times New Roman" w:cs="Times New Roman"/>
      <w:lang w:val="hu-HU"/>
    </w:rPr>
  </w:style>
  <w:style w:type="character" w:customStyle="1" w:styleId="Heading9Char">
    <w:name w:val="Heading 9 Char"/>
    <w:basedOn w:val="DefaultParagraphFont"/>
    <w:link w:val="Heading9"/>
    <w:rsid w:val="00E11AB7"/>
    <w:rPr>
      <w:rFonts w:ascii="Times New Roman" w:eastAsia="Times New Roman" w:hAnsi="Times New Roman" w:cs="Times New Roman"/>
      <w:lang w:val="hu-HU"/>
    </w:rPr>
  </w:style>
  <w:style w:type="paragraph" w:styleId="Footer">
    <w:name w:val="footer"/>
    <w:basedOn w:val="Normal"/>
    <w:link w:val="FooterChar"/>
    <w:qFormat/>
    <w:rsid w:val="00E11AB7"/>
  </w:style>
  <w:style w:type="character" w:customStyle="1" w:styleId="FooterChar">
    <w:name w:val="Footer Char"/>
    <w:basedOn w:val="DefaultParagraphFont"/>
    <w:link w:val="Footer"/>
    <w:rsid w:val="00E11AB7"/>
    <w:rPr>
      <w:rFonts w:ascii="Times New Roman" w:eastAsia="Times New Roman" w:hAnsi="Times New Roman" w:cs="Times New Roman"/>
      <w:lang w:val="hu-HU"/>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A,FA Fu,fn,Fussnote"/>
    <w:basedOn w:val="Normal"/>
    <w:link w:val="FootnoteTextChar"/>
    <w:qFormat/>
    <w:rsid w:val="00E11AB7"/>
    <w:pPr>
      <w:keepLines/>
      <w:spacing w:after="60" w:line="240" w:lineRule="auto"/>
      <w:ind w:left="567" w:hanging="567"/>
    </w:pPr>
    <w:rPr>
      <w:sz w:val="16"/>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A Char"/>
    <w:basedOn w:val="DefaultParagraphFont"/>
    <w:link w:val="FootnoteText"/>
    <w:qFormat/>
    <w:rsid w:val="00E11AB7"/>
    <w:rPr>
      <w:rFonts w:ascii="Times New Roman" w:eastAsia="Times New Roman" w:hAnsi="Times New Roman" w:cs="Times New Roman"/>
      <w:sz w:val="16"/>
      <w:lang w:val="hu-HU"/>
    </w:rPr>
  </w:style>
  <w:style w:type="paragraph" w:styleId="Header">
    <w:name w:val="header"/>
    <w:basedOn w:val="Normal"/>
    <w:link w:val="HeaderChar"/>
    <w:qFormat/>
    <w:rsid w:val="00E11AB7"/>
  </w:style>
  <w:style w:type="character" w:customStyle="1" w:styleId="HeaderChar">
    <w:name w:val="Header Char"/>
    <w:basedOn w:val="DefaultParagraphFont"/>
    <w:link w:val="Header"/>
    <w:rsid w:val="00E11AB7"/>
    <w:rPr>
      <w:rFonts w:ascii="Times New Roman" w:eastAsia="Times New Roman" w:hAnsi="Times New Roman" w:cs="Times New Roman"/>
      <w:lang w:val="hu-HU"/>
    </w:rPr>
  </w:style>
  <w:style w:type="paragraph" w:customStyle="1" w:styleId="quotes">
    <w:name w:val="quotes"/>
    <w:basedOn w:val="Normal"/>
    <w:next w:val="Normal"/>
    <w:rsid w:val="00E11AB7"/>
    <w:pPr>
      <w:ind w:left="720"/>
    </w:pPr>
    <w:rPr>
      <w:i/>
    </w:rPr>
  </w:style>
  <w:style w:type="character" w:styleId="FootnoteReference">
    <w:name w:val="footnote reference"/>
    <w:basedOn w:val="DefaultParagraphFont"/>
    <w:uiPriority w:val="99"/>
    <w:unhideWhenUsed/>
    <w:qFormat/>
    <w:rsid w:val="00E11AB7"/>
    <w:rPr>
      <w:sz w:val="24"/>
      <w:vertAlign w:val="superscript"/>
    </w:rPr>
  </w:style>
  <w:style w:type="character" w:styleId="Hyperlink">
    <w:name w:val="Hyperlink"/>
    <w:basedOn w:val="DefaultParagraphFont"/>
    <w:uiPriority w:val="99"/>
    <w:unhideWhenUsed/>
    <w:rsid w:val="00E11AB7"/>
    <w:rPr>
      <w:color w:val="0563C1" w:themeColor="hyperlink"/>
      <w:u w:val="single"/>
    </w:rPr>
  </w:style>
  <w:style w:type="character" w:styleId="FollowedHyperlink">
    <w:name w:val="FollowedHyperlink"/>
    <w:basedOn w:val="DefaultParagraphFont"/>
    <w:uiPriority w:val="99"/>
    <w:semiHidden/>
    <w:unhideWhenUsed/>
    <w:rsid w:val="00E11AB7"/>
    <w:rPr>
      <w:color w:val="954F72" w:themeColor="followedHyperlink"/>
      <w:u w:val="single"/>
    </w:rPr>
  </w:style>
  <w:style w:type="character" w:styleId="CommentReference">
    <w:name w:val="annotation reference"/>
    <w:basedOn w:val="DefaultParagraphFont"/>
    <w:uiPriority w:val="99"/>
    <w:semiHidden/>
    <w:unhideWhenUsed/>
    <w:rsid w:val="00E64ACE"/>
    <w:rPr>
      <w:sz w:val="16"/>
      <w:szCs w:val="16"/>
    </w:rPr>
  </w:style>
  <w:style w:type="paragraph" w:styleId="CommentText">
    <w:name w:val="annotation text"/>
    <w:basedOn w:val="Normal"/>
    <w:link w:val="CommentTextChar"/>
    <w:uiPriority w:val="99"/>
    <w:semiHidden/>
    <w:unhideWhenUsed/>
    <w:rsid w:val="00E64ACE"/>
    <w:pPr>
      <w:spacing w:line="240" w:lineRule="auto"/>
    </w:pPr>
    <w:rPr>
      <w:sz w:val="20"/>
      <w:szCs w:val="20"/>
    </w:rPr>
  </w:style>
  <w:style w:type="character" w:customStyle="1" w:styleId="CommentTextChar">
    <w:name w:val="Comment Text Char"/>
    <w:basedOn w:val="DefaultParagraphFont"/>
    <w:link w:val="CommentText"/>
    <w:uiPriority w:val="99"/>
    <w:semiHidden/>
    <w:rsid w:val="00E64ACE"/>
    <w:rPr>
      <w:rFonts w:ascii="Times New Roman" w:eastAsia="Times New Roman" w:hAnsi="Times New Roman" w:cs="Times New Roman"/>
      <w:sz w:val="20"/>
      <w:szCs w:val="20"/>
      <w:lang w:val="hu-HU"/>
    </w:rPr>
  </w:style>
  <w:style w:type="paragraph" w:styleId="CommentSubject">
    <w:name w:val="annotation subject"/>
    <w:basedOn w:val="CommentText"/>
    <w:next w:val="CommentText"/>
    <w:link w:val="CommentSubjectChar"/>
    <w:uiPriority w:val="99"/>
    <w:semiHidden/>
    <w:unhideWhenUsed/>
    <w:rsid w:val="00E64ACE"/>
    <w:rPr>
      <w:b/>
      <w:bCs/>
    </w:rPr>
  </w:style>
  <w:style w:type="character" w:customStyle="1" w:styleId="CommentSubjectChar">
    <w:name w:val="Comment Subject Char"/>
    <w:basedOn w:val="CommentTextChar"/>
    <w:link w:val="CommentSubject"/>
    <w:uiPriority w:val="99"/>
    <w:semiHidden/>
    <w:rsid w:val="00E64ACE"/>
    <w:rPr>
      <w:rFonts w:ascii="Times New Roman" w:eastAsia="Times New Roman" w:hAnsi="Times New Roman" w:cs="Times New Roman"/>
      <w:b/>
      <w:bCs/>
      <w:sz w:val="20"/>
      <w:szCs w:val="20"/>
      <w:lang w:val="hu-HU"/>
    </w:rPr>
  </w:style>
  <w:style w:type="paragraph" w:styleId="Revision">
    <w:name w:val="Revision"/>
    <w:hidden/>
    <w:uiPriority w:val="99"/>
    <w:semiHidden/>
    <w:rsid w:val="00E64ACE"/>
    <w:pPr>
      <w:spacing w:after="0" w:line="240" w:lineRule="auto"/>
    </w:pPr>
    <w:rPr>
      <w:rFonts w:ascii="Times New Roman" w:eastAsia="Times New Roman" w:hAnsi="Times New Roman" w:cs="Times New Roman"/>
    </w:rPr>
  </w:style>
  <w:style w:type="table" w:styleId="TableGrid">
    <w:name w:val="Table Grid"/>
    <w:basedOn w:val="TableNormal"/>
    <w:uiPriority w:val="39"/>
    <w:rsid w:val="00BB25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3256"/>
    <w:pPr>
      <w:ind w:left="720"/>
      <w:contextualSpacing/>
    </w:pPr>
  </w:style>
  <w:style w:type="character" w:customStyle="1" w:styleId="Mencinsinresolver1">
    <w:name w:val="Mención sin resolver1"/>
    <w:basedOn w:val="DefaultParagraphFont"/>
    <w:uiPriority w:val="99"/>
    <w:semiHidden/>
    <w:unhideWhenUsed/>
    <w:rsid w:val="002E5DC9"/>
    <w:rPr>
      <w:color w:val="605E5C"/>
      <w:shd w:val="clear" w:color="auto" w:fill="E1DFDD"/>
    </w:rPr>
  </w:style>
  <w:style w:type="character" w:styleId="EndnoteReference">
    <w:name w:val="endnote reference"/>
    <w:basedOn w:val="DefaultParagraphFont"/>
    <w:uiPriority w:val="99"/>
    <w:semiHidden/>
    <w:unhideWhenUsed/>
    <w:rPr>
      <w:vertAlign w:val="superscript"/>
    </w:rPr>
  </w:style>
  <w:style w:type="character" w:customStyle="1" w:styleId="EndnoteTextChar">
    <w:name w:val="Endnote Text Char"/>
    <w:basedOn w:val="DefaultParagraphFont"/>
    <w:link w:val="EndnoteText"/>
    <w:uiPriority w:val="99"/>
    <w:semiHidden/>
    <w:rPr>
      <w:sz w:val="20"/>
      <w:szCs w:val="20"/>
    </w:rPr>
  </w:style>
  <w:style w:type="paragraph" w:styleId="EndnoteText">
    <w:name w:val="endnote text"/>
    <w:basedOn w:val="Normal"/>
    <w:link w:val="EndnoteTextChar"/>
    <w:uiPriority w:val="99"/>
    <w:semiHidden/>
    <w:unhideWhenUsed/>
    <w:pPr>
      <w:spacing w:line="240" w:lineRule="auto"/>
    </w:pPr>
    <w:rPr>
      <w:sz w:val="20"/>
      <w:szCs w:val="20"/>
    </w:rPr>
  </w:style>
  <w:style w:type="paragraph" w:styleId="BalloonText">
    <w:name w:val="Balloon Text"/>
    <w:basedOn w:val="Normal"/>
    <w:link w:val="BalloonTextChar"/>
    <w:uiPriority w:val="99"/>
    <w:semiHidden/>
    <w:unhideWhenUsed/>
    <w:rsid w:val="009D45F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5F9"/>
    <w:rPr>
      <w:rFonts w:ascii="Segoe UI" w:eastAsia="Times New Roman" w:hAnsi="Segoe UI" w:cs="Segoe UI"/>
      <w:sz w:val="18"/>
      <w:szCs w:val="18"/>
      <w:lang w:val="hu-HU"/>
    </w:rPr>
  </w:style>
  <w:style w:type="paragraph" w:customStyle="1" w:styleId="paragraph">
    <w:name w:val="paragraph"/>
    <w:basedOn w:val="Normal"/>
    <w:rsid w:val="00464C17"/>
    <w:pPr>
      <w:spacing w:before="100" w:beforeAutospacing="1" w:after="100" w:afterAutospacing="1" w:line="240" w:lineRule="auto"/>
      <w:jc w:val="left"/>
    </w:pPr>
    <w:rPr>
      <w:sz w:val="24"/>
      <w:szCs w:val="24"/>
      <w:lang w:eastAsia="fr-BE"/>
    </w:rPr>
  </w:style>
  <w:style w:type="character" w:customStyle="1" w:styleId="normaltextrun">
    <w:name w:val="normaltextrun"/>
    <w:basedOn w:val="DefaultParagraphFont"/>
    <w:rsid w:val="00464C17"/>
  </w:style>
  <w:style w:type="character" w:customStyle="1" w:styleId="eop">
    <w:name w:val="eop"/>
    <w:basedOn w:val="DefaultParagraphFont"/>
    <w:rsid w:val="00464C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820299">
      <w:bodyDiv w:val="1"/>
      <w:marLeft w:val="0"/>
      <w:marRight w:val="0"/>
      <w:marTop w:val="0"/>
      <w:marBottom w:val="0"/>
      <w:divBdr>
        <w:top w:val="none" w:sz="0" w:space="0" w:color="auto"/>
        <w:left w:val="none" w:sz="0" w:space="0" w:color="auto"/>
        <w:bottom w:val="none" w:sz="0" w:space="0" w:color="auto"/>
        <w:right w:val="none" w:sz="0" w:space="0" w:color="auto"/>
      </w:divBdr>
    </w:div>
    <w:div w:id="639041544">
      <w:bodyDiv w:val="1"/>
      <w:marLeft w:val="0"/>
      <w:marRight w:val="0"/>
      <w:marTop w:val="0"/>
      <w:marBottom w:val="0"/>
      <w:divBdr>
        <w:top w:val="none" w:sz="0" w:space="0" w:color="auto"/>
        <w:left w:val="none" w:sz="0" w:space="0" w:color="auto"/>
        <w:bottom w:val="none" w:sz="0" w:space="0" w:color="auto"/>
        <w:right w:val="none" w:sz="0" w:space="0" w:color="auto"/>
      </w:divBdr>
    </w:div>
    <w:div w:id="673383422">
      <w:bodyDiv w:val="1"/>
      <w:marLeft w:val="0"/>
      <w:marRight w:val="0"/>
      <w:marTop w:val="0"/>
      <w:marBottom w:val="0"/>
      <w:divBdr>
        <w:top w:val="none" w:sz="0" w:space="0" w:color="auto"/>
        <w:left w:val="none" w:sz="0" w:space="0" w:color="auto"/>
        <w:bottom w:val="none" w:sz="0" w:space="0" w:color="auto"/>
        <w:right w:val="none" w:sz="0" w:space="0" w:color="auto"/>
      </w:divBdr>
    </w:div>
    <w:div w:id="793527184">
      <w:bodyDiv w:val="1"/>
      <w:marLeft w:val="0"/>
      <w:marRight w:val="0"/>
      <w:marTop w:val="0"/>
      <w:marBottom w:val="0"/>
      <w:divBdr>
        <w:top w:val="none" w:sz="0" w:space="0" w:color="auto"/>
        <w:left w:val="none" w:sz="0" w:space="0" w:color="auto"/>
        <w:bottom w:val="none" w:sz="0" w:space="0" w:color="auto"/>
        <w:right w:val="none" w:sz="0" w:space="0" w:color="auto"/>
      </w:divBdr>
    </w:div>
    <w:div w:id="919563536">
      <w:bodyDiv w:val="1"/>
      <w:marLeft w:val="0"/>
      <w:marRight w:val="0"/>
      <w:marTop w:val="0"/>
      <w:marBottom w:val="0"/>
      <w:divBdr>
        <w:top w:val="none" w:sz="0" w:space="0" w:color="auto"/>
        <w:left w:val="none" w:sz="0" w:space="0" w:color="auto"/>
        <w:bottom w:val="none" w:sz="0" w:space="0" w:color="auto"/>
        <w:right w:val="none" w:sz="0" w:space="0" w:color="auto"/>
      </w:divBdr>
    </w:div>
    <w:div w:id="1021738152">
      <w:bodyDiv w:val="1"/>
      <w:marLeft w:val="0"/>
      <w:marRight w:val="0"/>
      <w:marTop w:val="0"/>
      <w:marBottom w:val="0"/>
      <w:divBdr>
        <w:top w:val="none" w:sz="0" w:space="0" w:color="auto"/>
        <w:left w:val="none" w:sz="0" w:space="0" w:color="auto"/>
        <w:bottom w:val="none" w:sz="0" w:space="0" w:color="auto"/>
        <w:right w:val="none" w:sz="0" w:space="0" w:color="auto"/>
      </w:divBdr>
    </w:div>
    <w:div w:id="1078674169">
      <w:bodyDiv w:val="1"/>
      <w:marLeft w:val="0"/>
      <w:marRight w:val="0"/>
      <w:marTop w:val="0"/>
      <w:marBottom w:val="0"/>
      <w:divBdr>
        <w:top w:val="none" w:sz="0" w:space="0" w:color="auto"/>
        <w:left w:val="none" w:sz="0" w:space="0" w:color="auto"/>
        <w:bottom w:val="none" w:sz="0" w:space="0" w:color="auto"/>
        <w:right w:val="none" w:sz="0" w:space="0" w:color="auto"/>
      </w:divBdr>
      <w:divsChild>
        <w:div w:id="803304498">
          <w:marLeft w:val="0"/>
          <w:marRight w:val="0"/>
          <w:marTop w:val="0"/>
          <w:marBottom w:val="0"/>
          <w:divBdr>
            <w:top w:val="none" w:sz="0" w:space="0" w:color="auto"/>
            <w:left w:val="none" w:sz="0" w:space="0" w:color="auto"/>
            <w:bottom w:val="none" w:sz="0" w:space="0" w:color="auto"/>
            <w:right w:val="none" w:sz="0" w:space="0" w:color="auto"/>
          </w:divBdr>
        </w:div>
        <w:div w:id="1715109426">
          <w:marLeft w:val="0"/>
          <w:marRight w:val="0"/>
          <w:marTop w:val="0"/>
          <w:marBottom w:val="0"/>
          <w:divBdr>
            <w:top w:val="none" w:sz="0" w:space="0" w:color="auto"/>
            <w:left w:val="none" w:sz="0" w:space="0" w:color="auto"/>
            <w:bottom w:val="none" w:sz="0" w:space="0" w:color="auto"/>
            <w:right w:val="none" w:sz="0" w:space="0" w:color="auto"/>
          </w:divBdr>
        </w:div>
        <w:div w:id="2093351245">
          <w:marLeft w:val="0"/>
          <w:marRight w:val="0"/>
          <w:marTop w:val="0"/>
          <w:marBottom w:val="0"/>
          <w:divBdr>
            <w:top w:val="none" w:sz="0" w:space="0" w:color="auto"/>
            <w:left w:val="none" w:sz="0" w:space="0" w:color="auto"/>
            <w:bottom w:val="none" w:sz="0" w:space="0" w:color="auto"/>
            <w:right w:val="none" w:sz="0" w:space="0" w:color="auto"/>
          </w:divBdr>
        </w:div>
        <w:div w:id="1968077077">
          <w:marLeft w:val="0"/>
          <w:marRight w:val="0"/>
          <w:marTop w:val="0"/>
          <w:marBottom w:val="0"/>
          <w:divBdr>
            <w:top w:val="none" w:sz="0" w:space="0" w:color="auto"/>
            <w:left w:val="none" w:sz="0" w:space="0" w:color="auto"/>
            <w:bottom w:val="none" w:sz="0" w:space="0" w:color="auto"/>
            <w:right w:val="none" w:sz="0" w:space="0" w:color="auto"/>
          </w:divBdr>
        </w:div>
        <w:div w:id="424039072">
          <w:marLeft w:val="0"/>
          <w:marRight w:val="0"/>
          <w:marTop w:val="0"/>
          <w:marBottom w:val="0"/>
          <w:divBdr>
            <w:top w:val="none" w:sz="0" w:space="0" w:color="auto"/>
            <w:left w:val="none" w:sz="0" w:space="0" w:color="auto"/>
            <w:bottom w:val="none" w:sz="0" w:space="0" w:color="auto"/>
            <w:right w:val="none" w:sz="0" w:space="0" w:color="auto"/>
          </w:divBdr>
        </w:div>
        <w:div w:id="1672413726">
          <w:marLeft w:val="0"/>
          <w:marRight w:val="0"/>
          <w:marTop w:val="0"/>
          <w:marBottom w:val="0"/>
          <w:divBdr>
            <w:top w:val="none" w:sz="0" w:space="0" w:color="auto"/>
            <w:left w:val="none" w:sz="0" w:space="0" w:color="auto"/>
            <w:bottom w:val="none" w:sz="0" w:space="0" w:color="auto"/>
            <w:right w:val="none" w:sz="0" w:space="0" w:color="auto"/>
          </w:divBdr>
        </w:div>
      </w:divsChild>
    </w:div>
    <w:div w:id="1684819793">
      <w:bodyDiv w:val="1"/>
      <w:marLeft w:val="0"/>
      <w:marRight w:val="0"/>
      <w:marTop w:val="0"/>
      <w:marBottom w:val="0"/>
      <w:divBdr>
        <w:top w:val="none" w:sz="0" w:space="0" w:color="auto"/>
        <w:left w:val="none" w:sz="0" w:space="0" w:color="auto"/>
        <w:bottom w:val="none" w:sz="0" w:space="0" w:color="auto"/>
        <w:right w:val="none" w:sz="0" w:space="0" w:color="auto"/>
      </w:divBdr>
    </w:div>
    <w:div w:id="187684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21" Type="http://schemas.openxmlformats.org/officeDocument/2006/relationships/theme" Target="theme/theme1.xml"/><Relationship Id="rId34" Type="http://schemas.openxmlformats.org/officeDocument/2006/relationships/customXml" Target="../customXml/item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33" Type="http://schemas.microsoft.com/office/2020/10/relationships/intelligence" Target="intelligence2.xml"/><Relationship Id="rId16" Type="http://schemas.openxmlformats.org/officeDocument/2006/relationships/footer" Target="footer2.xml"/><Relationship Id="rId20" Type="http://schemas.openxmlformats.org/officeDocument/2006/relationships/fontTable" Target="fontTable.xml"/><Relationship Id="rId6" Type="http://schemas.openxmlformats.org/officeDocument/2006/relationships/styles" Target="styles.xml"/><Relationship Id="rId11" Type="http://schemas.openxmlformats.org/officeDocument/2006/relationships/image" Target="media/image1.png"/><Relationship Id="rId37" Type="http://schemas.openxmlformats.org/officeDocument/2006/relationships/customXml" Target="../customXml/item4.xml"/><Relationship Id="rId5" Type="http://schemas.openxmlformats.org/officeDocument/2006/relationships/numbering" Target="numbering.xml"/><Relationship Id="rId15" Type="http://schemas.openxmlformats.org/officeDocument/2006/relationships/header" Target="header2.xml"/><Relationship Id="rId36" Type="http://schemas.openxmlformats.org/officeDocument/2006/relationships/customXml" Target="../customXml/item3.xml"/><Relationship Id="rId10" Type="http://schemas.openxmlformats.org/officeDocument/2006/relationships/endnotes" Target="endnotes.xml"/><Relationship Id="rId19" Type="http://schemas.openxmlformats.org/officeDocument/2006/relationships/footer" Target="footer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7cd8da1-ee01-4c5c-b90d-f442c3d8b2bb">
      <Value>43</Value>
      <Value>37</Value>
      <Value>36</Value>
      <Value>35</Value>
      <Value>34</Value>
      <Value>33</Value>
      <Value>32</Value>
      <Value>31</Value>
      <Value>30</Value>
      <Value>29</Value>
      <Value>28</Value>
      <Value>27</Value>
      <Value>26</Value>
      <Value>25</Value>
      <Value>24</Value>
      <Value>23</Value>
      <Value>22</Value>
      <Value>21</Value>
      <Value>18</Value>
      <Value>17</Value>
      <Value>16</Value>
      <Value>14</Value>
      <Value>13</Value>
      <Value>12</Value>
      <Value>8</Value>
      <Value>6</Value>
      <Value>5</Value>
      <Value>3</Value>
      <Value>1</Value>
    </TaxCatchAll>
    <lcf76f155ced4ddcb4097134ff3c332f xmlns="92abc43f-b6a9-4515-b0be-17c94ca9b03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C9C698F2971CE54890F427AFE3EB568F" ma:contentTypeVersion="4" ma:contentTypeDescription="Defines the documents for Document Manager V2" ma:contentTypeScope="" ma:versionID="1ede4366cc334d81186bb4f7d46e0bfd">
  <xsd:schema xmlns:xsd="http://www.w3.org/2001/XMLSchema" xmlns:xs="http://www.w3.org/2001/XMLSchema" xmlns:p="http://schemas.microsoft.com/office/2006/metadata/properties" xmlns:ns2="59ace41b-6786-4ce3-be71-52c27066c6ef" xmlns:ns3="http://schemas.microsoft.com/sharepoint/v3/fields" xmlns:ns4="36007a90-28ab-40da-967b-595e4ec83007" targetNamespace="http://schemas.microsoft.com/office/2006/metadata/properties" ma:root="true" ma:fieldsID="793bace539ab1b60d443041a34a09cc2" ns2:_="" ns3:_="" ns4:_="">
    <xsd:import namespace="59ace41b-6786-4ce3-be71-52c27066c6ef"/>
    <xsd:import namespace="http://schemas.microsoft.com/sharepoint/v3/fields"/>
    <xsd:import namespace="36007a90-28ab-40da-967b-595e4ec83007"/>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6007a90-28ab-40da-967b-595e4ec83007"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1E489C905DDC4692E2F8E3EF4F2004" ma:contentTypeVersion="15" ma:contentTypeDescription="Create a new document." ma:contentTypeScope="" ma:versionID="eaa1559926585677670f893ce3abfbf2">
  <xsd:schema xmlns:xsd="http://www.w3.org/2001/XMLSchema" xmlns:xs="http://www.w3.org/2001/XMLSchema" xmlns:p="http://schemas.microsoft.com/office/2006/metadata/properties" xmlns:ns2="92abc43f-b6a9-4515-b0be-17c94ca9b034" xmlns:ns3="f7cd8da1-ee01-4c5c-b90d-f442c3d8b2bb" targetNamespace="http://schemas.microsoft.com/office/2006/metadata/properties" ma:root="true" ma:fieldsID="9de6530a3464f9d33b4df0cb3ede40eb" ns2:_="" ns3:_="">
    <xsd:import namespace="92abc43f-b6a9-4515-b0be-17c94ca9b034"/>
    <xsd:import namespace="f7cd8da1-ee01-4c5c-b90d-f442c3d8b2b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abc43f-b6a9-4515-b0be-17c94ca9b0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baa02b3-c216-49d5-b6dc-d11338e1541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cd8da1-ee01-4c5c-b90d-f442c3d8b2b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b7717d-e7a1-431a-b923-cff6b96a62fd}" ma:internalName="TaxCatchAll" ma:showField="CatchAllData" ma:web="f7cd8da1-ee01-4c5c-b90d-f442c3d8b2b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D41ED8-3245-47BC-85D9-279EEBBA4B16}"/>
</file>

<file path=customXml/itemProps2.xml><?xml version="1.0" encoding="utf-8"?>
<ds:datastoreItem xmlns:ds="http://schemas.openxmlformats.org/officeDocument/2006/customXml" ds:itemID="{037B15C9-627E-46D6-AD90-3110955DA6A3}"/>
</file>

<file path=customXml/itemProps3.xml><?xml version="1.0" encoding="utf-8"?>
<ds:datastoreItem xmlns:ds="http://schemas.openxmlformats.org/officeDocument/2006/customXml" ds:itemID="{403101C9-A4B7-4B27-839B-03BD9A210012}"/>
</file>

<file path=customXml/itemProps4.xml><?xml version="1.0" encoding="utf-8"?>
<ds:datastoreItem xmlns:ds="http://schemas.openxmlformats.org/officeDocument/2006/customXml" ds:itemID="{95E0B13A-4C7C-47CD-B3B9-AF5C9751D000}"/>
</file>

<file path=docProps/app.xml><?xml version="1.0" encoding="utf-8"?>
<Properties xmlns="http://schemas.openxmlformats.org/officeDocument/2006/extended-properties" xmlns:vt="http://schemas.openxmlformats.org/officeDocument/2006/docPropsVTypes">
  <Template>Normal.dotm</Template>
  <TotalTime>0</TotalTime>
  <Pages>6</Pages>
  <Words>2304</Words>
  <Characters>12675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Final conclusions (post 2022 annual meeting of the presidents and secretaries-general of the EESC and of the Economic and Social Councils of the EU)</vt:lpstr>
    </vt:vector>
  </TitlesOfParts>
  <Company>CESE-CdR</Company>
  <LinksUpToDate>false</LinksUpToDate>
  <CharactersWithSpaces>14950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2024. évi éves ülés (elnökök/főtitkárok) jún. 19-én elfogadott következtetései</dc:title>
  <dc:subject>TCD</dc:subject>
  <dc:creator>Scordamaglia Damiano</dc:creator>
  <cp:keywords>EESC-2024-02379-00-00-TCD-TRA-EN</cp:keywords>
  <dc:description>Rapporteur:  - Original language: EN - Date of document: 08/07/2024 - Date of meeting:  - External documents:  - Administrator:  SCORDAMAGLIA DAMIANO</dc:description>
  <cp:lastModifiedBy>Repas Szilvia</cp:lastModifiedBy>
  <cp:revision>9</cp:revision>
  <cp:lastPrinted>2022-10-10T09:23:00Z</cp:lastPrinted>
  <dcterms:created xsi:type="dcterms:W3CDTF">2024-06-24T15:16:00Z</dcterms:created>
  <dcterms:modified xsi:type="dcterms:W3CDTF">2024-07-08T12:31:00Z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24/06/2024, 15/11/2022, 04/11/2022, 26/10/2022</vt:lpwstr>
  </property>
  <property fmtid="{D5CDD505-2E9C-101B-9397-08002B2CF9AE}" pid="4" name="Pref_Time">
    <vt:lpwstr>17:15:03, 15:38:38, 16:24:55, 17:30:59</vt:lpwstr>
  </property>
  <property fmtid="{D5CDD505-2E9C-101B-9397-08002B2CF9AE}" pid="5" name="Pref_User">
    <vt:lpwstr>jhvi, jhvi, amett, amett</vt:lpwstr>
  </property>
  <property fmtid="{D5CDD505-2E9C-101B-9397-08002B2CF9AE}" pid="6" name="Pref_FileName">
    <vt:lpwstr>eesc-2024-02379-00-00-tcd-ori.docx, EESC-2022-05261-00-02-TCD-ORI.docx, EESC-2022-05261-00-01-TCD-TRA-EN-CRR.docx, EESC-2022-05261-00-00-TCD-TRA-EN-CRR.docx</vt:lpwstr>
  </property>
  <property fmtid="{D5CDD505-2E9C-101B-9397-08002B2CF9AE}" pid="7" name="ContentTypeId">
    <vt:lpwstr>0x010100791E489C905DDC4692E2F8E3EF4F2004</vt:lpwstr>
  </property>
  <property fmtid="{D5CDD505-2E9C-101B-9397-08002B2CF9AE}" pid="8" name="_dlc_DocIdItemGuid">
    <vt:lpwstr>ff3763f1-2413-4872-9f29-710e15d08b71</vt:lpwstr>
  </property>
  <property fmtid="{D5CDD505-2E9C-101B-9397-08002B2CF9AE}" pid="9" name="AvailableTranslations">
    <vt:lpwstr>14;#FR|d2afafd3-4c81-4f60-8f52-ee33f2f54ff3;#29;#EL|6d4f4d51-af9b-4650-94b4-4276bee85c91;#25;#DE|f6b31e5a-26fa-4935-b661-318e46daf27e;#21;#SV|c2ed69e7-a339-43d7-8f22-d93680a92aa0;#31;#NL|55c6556c-b4f4-441d-9acf-c498d4f838bd;#16;#DA|5d49c027-8956-412b-aa16-e85a0f96ad0e;#33;#ET|ff6c3f4c-b02c-4c3c-ab07-2c37995a7a0a;#12;#IT|0774613c-01ed-4e5d-a25d-11d2388de825;#26;#SK|46d9fce0-ef79-4f71-b89b-cd6aa82426b8;#37;#RO|feb747a2-64cd-4299-af12-4833ddc30497;#24;#ES|e7a6b05b-ae16-40c8-add9-68b64b03aeba;#34;#LT|a7ff5ce7-6123-4f68-865a-a57c31810414;#22;#BG|1a1b3951-7821-4e6a-85f5-5673fc08bd2c;#27;#SL|98a412ae-eb01-49e9-ae3d-585a81724cfc;#32;#HU|6b229040-c589-4408-b4c1-4285663d20a8;#35;#FI|87606a43-d45f-42d6-b8c9-e1a3457db5b7;#28;#LV|46f7e311-5d9f-4663-b433-18aeccb7ace7;#5;#EN|f2175f21-25d7-44a3-96da-d6a61b075e1b;#18;#GA|762d2456-c427-4ecb-b312-af3dad8e258c;#17;#PL|1e03da61-4678-4e07-b136-b5024ca9197b;#23;#MT|7df99101-6854-4a26-b53a-b88c0da02c26;#30;#HR|2f555653-ed1a-4fe6-8362-9082d95989e5;#43;#CS|72f9705b-0217-4fd3-bea2-cbc7ed80e26e;#36;#PT|50ccc04a-eadd-42ae-a0cb-acaf45f812ba</vt:lpwstr>
  </property>
  <property fmtid="{D5CDD505-2E9C-101B-9397-08002B2CF9AE}" pid="10" name="DocumentType_0">
    <vt:lpwstr>TCD|cd9d6eb6-3f4f-424a-b2d1-57c9d450eaaf</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2379</vt:i4>
  </property>
  <property fmtid="{D5CDD505-2E9C-101B-9397-08002B2CF9AE}" pid="14" name="DocumentVersion">
    <vt:i4>0</vt:i4>
  </property>
  <property fmtid="{D5CDD505-2E9C-101B-9397-08002B2CF9AE}" pid="15" name="DocumentStatus">
    <vt:lpwstr>3;#TRA|150d2a88-1431-44e6-a8ca-0bb753ab8672</vt:lpwstr>
  </property>
  <property fmtid="{D5CDD505-2E9C-101B-9397-08002B2CF9AE}" pid="16" name="DocumentPart">
    <vt:i4>0</vt:i4>
  </property>
  <property fmtid="{D5CDD505-2E9C-101B-9397-08002B2CF9AE}" pid="17" name="DossierName">
    <vt:lpwstr/>
  </property>
  <property fmtid="{D5CDD505-2E9C-101B-9397-08002B2CF9AE}" pid="18" name="DocumentSource">
    <vt:lpwstr>1;#EESC|422833ec-8d7e-4e65-8e4e-8bed07ffb729</vt:lpwstr>
  </property>
  <property fmtid="{D5CDD505-2E9C-101B-9397-08002B2CF9AE}" pid="20" name="DocumentType">
    <vt:lpwstr>13;#TCD|cd9d6eb6-3f4f-424a-b2d1-57c9d450eaaf</vt:lpwstr>
  </property>
  <property fmtid="{D5CDD505-2E9C-101B-9397-08002B2CF9AE}" pid="21" name="RequestingService">
    <vt:lpwstr>Relations avec les conseils économiques et sociaux nationaux et la société civile</vt:lpwstr>
  </property>
  <property fmtid="{D5CDD505-2E9C-101B-9397-08002B2CF9AE}" pid="22" name="Confidentiality">
    <vt:lpwstr>6;#Unrestricted|826e22d7-d029-4ec0-a450-0c28ff673572</vt:lpwstr>
  </property>
  <property fmtid="{D5CDD505-2E9C-101B-9397-08002B2CF9AE}" pid="23" name="MeetingName_0">
    <vt:lpwstr/>
  </property>
  <property fmtid="{D5CDD505-2E9C-101B-9397-08002B2CF9AE}" pid="24" name="Confidentiality_0">
    <vt:lpwstr>Unrestricted|826e22d7-d029-4ec0-a450-0c28ff673572</vt:lpwstr>
  </property>
  <property fmtid="{D5CDD505-2E9C-101B-9397-08002B2CF9AE}" pid="25" name="OriginalLanguage">
    <vt:lpwstr>5;#EN|f2175f21-25d7-44a3-96da-d6a61b075e1b</vt:lpwstr>
  </property>
  <property fmtid="{D5CDD505-2E9C-101B-9397-08002B2CF9AE}" pid="26" name="MeetingName">
    <vt:lpwstr/>
  </property>
  <property fmtid="{D5CDD505-2E9C-101B-9397-08002B2CF9AE}" pid="28" name="AvailableTranslations_0">
    <vt:lpwstr>FR|d2afafd3-4c81-4f60-8f52-ee33f2f54ff3;EL|6d4f4d51-af9b-4650-94b4-4276bee85c91;DE|f6b31e5a-26fa-4935-b661-318e46daf27e;SV|c2ed69e7-a339-43d7-8f22-d93680a92aa0;NL|55c6556c-b4f4-441d-9acf-c498d4f838bd;DA|5d49c027-8956-412b-aa16-e85a0f96ad0e;ET|ff6c3f4c-b02c-4c3c-ab07-2c37995a7a0a;IT|0774613c-01ed-4e5d-a25d-11d2388de825;SK|46d9fce0-ef79-4f71-b89b-cd6aa82426b8;ES|e7a6b05b-ae16-40c8-add9-68b64b03aeba;LT|a7ff5ce7-6123-4f68-865a-a57c31810414;BG|1a1b3951-7821-4e6a-85f5-5673fc08bd2c;SL|98a412ae-eb01-49e9-ae3d-585a81724cfc;FI|87606a43-d45f-42d6-b8c9-e1a3457db5b7;LV|46f7e311-5d9f-4663-b433-18aeccb7ace7;EN|f2175f21-25d7-44a3-96da-d6a61b075e1b;PL|1e03da61-4678-4e07-b136-b5024ca9197b;MT|7df99101-6854-4a26-b53a-b88c0da02c26;HR|2f555653-ed1a-4fe6-8362-9082d95989e5;CS|72f9705b-0217-4fd3-bea2-cbc7ed80e26e;PT|50ccc04a-eadd-42ae-a0cb-acaf45f812ba</vt:lpwstr>
  </property>
  <property fmtid="{D5CDD505-2E9C-101B-9397-08002B2CF9AE}" pid="29" name="DocumentStatus_0">
    <vt:lpwstr>TRA|150d2a88-1431-44e6-a8ca-0bb753ab8672</vt:lpwstr>
  </property>
  <property fmtid="{D5CDD505-2E9C-101B-9397-08002B2CF9AE}" pid="30" name="OriginalLanguage_0">
    <vt:lpwstr>EN|f2175f21-25d7-44a3-96da-d6a61b075e1b</vt:lpwstr>
  </property>
  <property fmtid="{D5CDD505-2E9C-101B-9397-08002B2CF9AE}" pid="31" name="TaxCatchAll">
    <vt:lpwstr>36;#PT|50ccc04a-eadd-42ae-a0cb-acaf45f812ba;#35;#FI|87606a43-d45f-42d6-b8c9-e1a3457db5b7;#34;#LT|a7ff5ce7-6123-4f68-865a-a57c31810414;#33;#ET|ff6c3f4c-b02c-4c3c-ab07-2c37995a7a0a;#31;#NL|55c6556c-b4f4-441d-9acf-c498d4f838bd;#30;#HR|2f555653-ed1a-4fe6-8362-9082d95989e5;#29;#EL|6d4f4d51-af9b-4650-94b4-4276bee85c91;#28;#LV|46f7e311-5d9f-4663-b433-18aeccb7ace7;#27;#SL|98a412ae-eb01-49e9-ae3d-585a81724cfc;#26;#SK|46d9fce0-ef79-4f71-b89b-cd6aa82426b8;#25;#DE|f6b31e5a-26fa-4935-b661-318e46daf27e;#24;#ES|e7a6b05b-ae16-40c8-add9-68b64b03aeba;#23;#MT|7df99101-6854-4a26-b53a-b88c0da02c26;#22;#BG|1a1b3951-7821-4e6a-85f5-5673fc08bd2c;#21;#SV|c2ed69e7-a339-43d7-8f22-d93680a92aa0;#17;#PL|1e03da61-4678-4e07-b136-b5024ca9197b;#16;#DA|5d49c027-8956-412b-aa16-e85a0f96ad0e;#14;#FR|d2afafd3-4c81-4f60-8f52-ee33f2f54ff3;#13;#TCD|cd9d6eb6-3f4f-424a-b2d1-57c9d450eaaf;#12;#IT|0774613c-01ed-4e5d-a25d-11d2388de825;#8;#Final|ea5e6674-7b27-4bac-b091-73adbb394efe;#6;#Unrestricted|826e22d7-d029-4ec0-a450-0c28ff673572;#5;#EN|f2175f21-25d7-44a3-96da-d6a61b075e1b;#43;#CS|72f9705b-0217-4fd3-bea2-cbc7ed80e26e;#3;#TRA|150d2a88-1431-44e6-a8ca-0bb753ab8672;#1;#EESC|422833ec-8d7e-4e65-8e4e-8bed07ffb729</vt:lpwstr>
  </property>
  <property fmtid="{D5CDD505-2E9C-101B-9397-08002B2CF9AE}" pid="32" name="VersionStatus_0">
    <vt:lpwstr>Final|ea5e6674-7b27-4bac-b091-73adbb394efe</vt:lpwstr>
  </property>
  <property fmtid="{D5CDD505-2E9C-101B-9397-08002B2CF9AE}" pid="33" name="VersionStatus">
    <vt:lpwstr>8;#Final|ea5e6674-7b27-4bac-b091-73adbb394efe</vt:lpwstr>
  </property>
  <property fmtid="{D5CDD505-2E9C-101B-9397-08002B2CF9AE}" pid="34" name="DocumentYear">
    <vt:i4>2024</vt:i4>
  </property>
  <property fmtid="{D5CDD505-2E9C-101B-9397-08002B2CF9AE}" pid="35" name="FicheNumber">
    <vt:i4>6664</vt:i4>
  </property>
  <property fmtid="{D5CDD505-2E9C-101B-9397-08002B2CF9AE}" pid="36" name="DocumentLanguage">
    <vt:lpwstr>32;#HU|6b229040-c589-4408-b4c1-4285663d20a8</vt:lpwstr>
  </property>
</Properties>
</file>