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intelligence2.xml" ContentType="application/vnd.ms-office.intelligence2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9"/>
        <w:gridCol w:w="1831"/>
        <w:gridCol w:w="1208"/>
        <w:gridCol w:w="3322"/>
        <w:gridCol w:w="1405"/>
      </w:tblGrid>
      <w:tr w:rsidRPr="009A7326" w:rsidR="00C06B81" w:rsidTr="06E2B101" w14:paraId="05AC8AA2" w14:textId="77777777">
        <w:tc>
          <w:tcPr>
            <w:tcW w:w="2699" w:type="dxa"/>
          </w:tcPr>
          <w:p w:rsidRPr="009A7326" w:rsidR="00C06B81" w:rsidP="00BB7DFF" w:rsidRDefault="00906053" w14:paraId="3FD97168" w14:textId="35FE94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A2240E" wp14:editId="214DD5ED">
                  <wp:extent cx="1457528" cy="1219370"/>
                  <wp:effectExtent l="0" t="0" r="9525" b="0"/>
                  <wp:docPr id="5" name="Picture 5" descr="EESC_logo_letter_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EESC_logo_letter_H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528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  <w:gridSpan w:val="2"/>
          </w:tcPr>
          <w:p w:rsidRPr="009A7326" w:rsidR="00C06B81" w:rsidP="00BB7DFF" w:rsidRDefault="00C06B81" w14:paraId="13E069F7" w14:textId="2B1A58E4">
            <w:pPr>
              <w:ind w:left="177"/>
              <w:jc w:val="center"/>
              <w:rPr>
                <w:noProof/>
                <w:lang w:val="en-GB"/>
              </w:rPr>
            </w:pPr>
          </w:p>
          <w:p w:rsidRPr="009A7326" w:rsidR="00C06B81" w:rsidP="00BB7DFF" w:rsidRDefault="00C06B81" w14:paraId="234DF1A3" w14:textId="3432DDF1">
            <w:pPr>
              <w:ind w:left="177"/>
              <w:jc w:val="center"/>
              <w:rPr>
                <w:lang w:val="en-GB"/>
              </w:rPr>
            </w:pPr>
          </w:p>
        </w:tc>
        <w:tc>
          <w:tcPr>
            <w:tcW w:w="4727" w:type="dxa"/>
            <w:gridSpan w:val="2"/>
          </w:tcPr>
          <w:p w:rsidRPr="009A7326" w:rsidR="00C06B81" w:rsidP="00BB7DFF" w:rsidRDefault="00C06B81" w14:paraId="003BC9F1" w14:textId="77777777">
            <w:pPr>
              <w:jc w:val="center"/>
              <w:rPr>
                <w:noProof/>
                <w:lang w:val="en-GB"/>
              </w:rPr>
            </w:pPr>
          </w:p>
          <w:p w:rsidRPr="009A7326" w:rsidR="00C06B81" w:rsidP="00BB7DFF" w:rsidRDefault="00BB7DFF" w14:paraId="10BEE038" w14:textId="7F3AB7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9BF2F9" wp14:editId="1BC4DF40">
                  <wp:extent cx="810895" cy="1231265"/>
                  <wp:effectExtent l="0" t="0" r="825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9A7326" w:rsidR="005A0C10" w:rsidTr="06E2B101" w14:paraId="606EDBFE" w14:textId="77777777">
        <w:tblPrEx>
          <w:jc w:val="center"/>
        </w:tblPrEx>
        <w:trPr>
          <w:gridAfter w:val="1"/>
          <w:wAfter w:w="1405" w:type="dxa"/>
          <w:jc w:val="center"/>
        </w:trPr>
        <w:tc>
          <w:tcPr>
            <w:tcW w:w="4530" w:type="dxa"/>
            <w:gridSpan w:val="2"/>
          </w:tcPr>
          <w:p w:rsidRPr="009A7326" w:rsidR="005A0C10" w:rsidP="009C16C3" w:rsidRDefault="005A0C10" w14:paraId="10943D30" w14:textId="78B9A918">
            <w:pPr>
              <w:jc w:val="center"/>
              <w:rPr>
                <w:lang w:val="en-GB"/>
              </w:rPr>
            </w:pPr>
          </w:p>
        </w:tc>
        <w:tc>
          <w:tcPr>
            <w:tcW w:w="4530" w:type="dxa"/>
            <w:gridSpan w:val="2"/>
          </w:tcPr>
          <w:p w:rsidRPr="009A7326" w:rsidR="005A0C10" w:rsidP="0042688C" w:rsidRDefault="005A0C10" w14:paraId="21FC2046" w14:textId="2EBEACA6">
            <w:pPr>
              <w:rPr>
                <w:lang w:val="en-GB"/>
              </w:rPr>
            </w:pPr>
          </w:p>
        </w:tc>
      </w:tr>
      <w:tr w:rsidRPr="009A7326" w:rsidR="00C06B81" w:rsidTr="06E2B101" w14:paraId="79AE3BA8" w14:textId="77777777">
        <w:tc>
          <w:tcPr>
            <w:tcW w:w="2699" w:type="dxa"/>
          </w:tcPr>
          <w:p w:rsidRPr="009A7326" w:rsidR="00C06B81" w:rsidP="003D1DC0" w:rsidRDefault="00C06B81" w14:paraId="4ACE431F" w14:textId="55267814">
            <w:bookmarkStart w:name="_Hlk145670165" w:id="0"/>
          </w:p>
        </w:tc>
        <w:tc>
          <w:tcPr>
            <w:tcW w:w="3039" w:type="dxa"/>
            <w:gridSpan w:val="2"/>
          </w:tcPr>
          <w:p w:rsidRPr="009A7326" w:rsidR="00C06B81" w:rsidP="003D1DC0" w:rsidRDefault="00C06B81" w14:paraId="0CC031D1" w14:textId="751581EE">
            <w:pPr>
              <w:ind w:left="177"/>
              <w:jc w:val="center"/>
              <w:rPr>
                <w:lang w:val="en-GB"/>
              </w:rPr>
            </w:pPr>
          </w:p>
        </w:tc>
        <w:tc>
          <w:tcPr>
            <w:tcW w:w="4727" w:type="dxa"/>
            <w:gridSpan w:val="2"/>
          </w:tcPr>
          <w:p w:rsidRPr="009A7326" w:rsidR="00C06B81" w:rsidP="003D1DC0" w:rsidRDefault="00C06B81" w14:paraId="76FA4176" w14:textId="6C1B799E">
            <w:pPr>
              <w:rPr>
                <w:lang w:val="en-GB"/>
              </w:rPr>
            </w:pPr>
          </w:p>
        </w:tc>
      </w:tr>
      <w:bookmarkEnd w:id="0"/>
    </w:tbl>
    <w:p w:rsidRPr="009A7326" w:rsidR="291D02E0" w:rsidP="291D02E0" w:rsidRDefault="291D02E0" w14:paraId="3AE1C1B0" w14:textId="5A64C90F">
      <w:pPr>
        <w:jc w:val="center"/>
        <w:rPr>
          <w:noProof/>
          <w:lang w:val="en-GB" w:eastAsia="fr-BE" w:bidi="ne-NP"/>
        </w:rPr>
      </w:pPr>
    </w:p>
    <w:p w:rsidRPr="009A7326" w:rsidR="005A0C10" w:rsidP="00E11AB7" w:rsidRDefault="00710E3E" w14:paraId="6FB36FE0" w14:textId="26D417D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002B85E0" wp14:anchorId="5C428D1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10E3E" w:rsidRDefault="00710E3E" w14:paraId="3672435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428D17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10E3E" w:rsidRDefault="00710E3E" w14:paraId="3672435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9A7326" w:rsidR="6661AEF0" w:rsidP="6661AEF0" w:rsidRDefault="6661AEF0" w14:paraId="46258A92" w14:textId="2190EA78">
      <w:pPr>
        <w:jc w:val="center"/>
        <w:rPr>
          <w:noProof/>
          <w:lang w:val="en-GB" w:eastAsia="fr-BE" w:bidi="ne-NP"/>
        </w:rPr>
      </w:pPr>
    </w:p>
    <w:p w:rsidRPr="009A7326" w:rsidR="291D02E0" w:rsidP="291D02E0" w:rsidRDefault="291D02E0" w14:paraId="6538BE68" w14:textId="1BABC95B">
      <w:pPr>
        <w:jc w:val="center"/>
        <w:rPr>
          <w:noProof/>
          <w:lang w:val="en-GB" w:eastAsia="fr-BE" w:bidi="ne-NP"/>
        </w:rPr>
      </w:pPr>
    </w:p>
    <w:p w:rsidRPr="009A7326" w:rsidR="6661AEF0" w:rsidP="6661AEF0" w:rsidRDefault="6661AEF0" w14:paraId="06031B84" w14:textId="0C912F12">
      <w:pPr>
        <w:jc w:val="center"/>
        <w:rPr>
          <w:noProof/>
          <w:lang w:val="en-GB" w:eastAsia="fr-BE" w:bidi="ne-NP"/>
        </w:rPr>
      </w:pPr>
    </w:p>
    <w:p w:rsidRPr="00C13544" w:rsidR="00C854BF" w:rsidP="291D02E0" w:rsidRDefault="00C854BF" w14:paraId="61AA4B2C" w14:textId="495609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 w:eastAsia="Palatino Linotype" w:cs="Palatino Linotype"/>
          <w:b/>
          <w:bCs/>
        </w:rPr>
      </w:pPr>
      <w:r>
        <w:rPr>
          <w:rFonts w:ascii="Palatino Linotype" w:hAnsi="Palatino Linotype"/>
          <w:b/>
        </w:rPr>
        <w:t>GODIŠNJI SASTANAK PREDSJEDNIKA I GLAVNIH TAJNIKA</w:t>
      </w:r>
      <w:r>
        <w:rPr>
          <w:rFonts w:ascii="Palatino Linotype" w:hAnsi="Palatino Linotype"/>
          <w:b/>
        </w:rPr>
        <w:br/>
        <w:t xml:space="preserve">GOSPODARSKIH I SOCIJALNIH VIJEĆA EU-A </w:t>
      </w:r>
      <w:r>
        <w:rPr>
          <w:rFonts w:ascii="Palatino Linotype" w:hAnsi="Palatino Linotype"/>
          <w:b/>
        </w:rPr>
        <w:br/>
      </w:r>
    </w:p>
    <w:p w:rsidRPr="00C13544" w:rsidR="005A0C10" w:rsidP="291D02E0" w:rsidRDefault="00C854BF" w14:paraId="5E2484A8" w14:textId="5D12B578">
      <w:pPr>
        <w:jc w:val="center"/>
        <w:rPr>
          <w:rFonts w:ascii="Palatino Linotype" w:hAnsi="Palatino Linotype" w:eastAsia="Palatino Linotype" w:cs="Palatino Linotype"/>
          <w:noProof/>
        </w:rPr>
      </w:pPr>
      <w:r>
        <w:rPr>
          <w:rFonts w:ascii="Palatino Linotype" w:hAnsi="Palatino Linotype"/>
          <w:b/>
        </w:rPr>
        <w:t>I EUROPSKOG GOSPODARSKOG I SOCIJALNOG ODBORA</w:t>
      </w:r>
    </w:p>
    <w:p w:rsidRPr="00C13544" w:rsidR="00E11AB7" w:rsidDel="00E61C22" w:rsidP="00E11AB7" w:rsidRDefault="00E11AB7" w14:paraId="405C5022" w14:textId="184260F9">
      <w:pPr>
        <w:jc w:val="center"/>
        <w:rPr>
          <w:rFonts w:ascii="Palatino Linotype" w:hAnsi="Palatino Linotype"/>
          <w:b/>
          <w:bCs/>
        </w:rPr>
      </w:pPr>
      <w:bookmarkStart w:name="_Int_5PCRrvwm" w:id="1"/>
      <w:bookmarkEnd w:id="1"/>
    </w:p>
    <w:p w:rsidRPr="00C13544" w:rsidR="291D02E0" w:rsidP="291D02E0" w:rsidRDefault="291D02E0" w14:paraId="3D6C1AF8" w14:textId="3D1A1D00">
      <w:pPr>
        <w:jc w:val="center"/>
        <w:rPr>
          <w:rFonts w:ascii="Palatino Linotype" w:hAnsi="Palatino Linotype"/>
          <w:b/>
          <w:bCs/>
          <w:lang w:val="en-GB"/>
        </w:rPr>
      </w:pPr>
    </w:p>
    <w:p w:rsidRPr="00C13544" w:rsidR="00E11AB7" w:rsidP="00E11AB7" w:rsidRDefault="009E50DF" w14:paraId="307B099C" w14:textId="496F2E9C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</w:rPr>
        <w:t>Bruxelles, 19. i 20. lipnja 2024.</w:t>
      </w:r>
    </w:p>
    <w:p w:rsidRPr="009A7326" w:rsidR="00E11AB7" w:rsidP="00E11AB7" w:rsidRDefault="00E11AB7" w14:paraId="7B2C76AB" w14:textId="342F836E">
      <w:pPr>
        <w:rPr>
          <w:rFonts w:ascii="Palatino Linotype" w:hAnsi="Palatino Linotype"/>
          <w:lang w:val="en-GB"/>
        </w:rPr>
      </w:pPr>
    </w:p>
    <w:p w:rsidRPr="009A7326" w:rsidR="291D02E0" w:rsidP="291D02E0" w:rsidRDefault="291D02E0" w14:paraId="4D91A247" w14:textId="06621775">
      <w:pPr>
        <w:rPr>
          <w:rFonts w:ascii="Palatino Linotype" w:hAnsi="Palatino Linotype"/>
          <w:lang w:val="en-GB"/>
        </w:rPr>
      </w:pPr>
    </w:p>
    <w:p w:rsidRPr="009A7326" w:rsidR="00417998" w:rsidP="009E50DF" w:rsidRDefault="009E50DF" w14:paraId="1DD1DA72" w14:textId="04C17E6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S riječi na djela: uloga organiziranog civilnog društva u provedbi i procjeni javnih politika – dvostruka tranzicija </w:t>
      </w:r>
    </w:p>
    <w:p w:rsidRPr="00C13544" w:rsidR="004C0C54" w:rsidP="00E11AB7" w:rsidRDefault="004C0C54" w14:paraId="13296F20" w14:textId="065577B4">
      <w:pPr>
        <w:jc w:val="center"/>
        <w:rPr>
          <w:rFonts w:ascii="Palatino Linotype" w:hAnsi="Palatino Linotype"/>
          <w:b/>
          <w:bCs/>
          <w:lang w:val="en-GB"/>
        </w:rPr>
      </w:pPr>
    </w:p>
    <w:p w:rsidRPr="00C13544" w:rsidR="00E11AB7" w:rsidP="00E11AB7" w:rsidRDefault="00E11AB7" w14:paraId="02B5B7FB" w14:textId="18690824">
      <w:pPr>
        <w:jc w:val="center"/>
        <w:rPr>
          <w:rFonts w:ascii="Palatino Linotype" w:hAnsi="Palatino Linotype"/>
          <w:b/>
          <w:bCs/>
          <w:lang w:val="en-GB"/>
        </w:rPr>
      </w:pPr>
    </w:p>
    <w:p w:rsidRPr="00C13544" w:rsidR="00417998" w:rsidP="00E11AB7" w:rsidRDefault="00417998" w14:paraId="1069FE89" w14:textId="77777777">
      <w:pPr>
        <w:jc w:val="center"/>
        <w:rPr>
          <w:rFonts w:ascii="Palatino Linotype" w:hAnsi="Palatino Linotype"/>
          <w:b/>
          <w:bCs/>
          <w:lang w:val="en-GB"/>
        </w:rPr>
      </w:pPr>
    </w:p>
    <w:p w:rsidRPr="00C13544" w:rsidR="00E11AB7" w:rsidP="00E11AB7" w:rsidRDefault="00E11AB7" w14:paraId="105FC837" w14:textId="77777777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</w:rPr>
        <w:t>ZAKLJUČCI</w:t>
      </w:r>
    </w:p>
    <w:p w:rsidRPr="009A7326" w:rsidR="00E11AB7" w:rsidP="00E11AB7" w:rsidRDefault="00E11AB7" w14:paraId="4590AA05" w14:textId="77777777">
      <w:pPr>
        <w:rPr>
          <w:rFonts w:ascii="Palatino Linotype" w:hAnsi="Palatino Linotype"/>
          <w:lang w:val="en-GB"/>
        </w:rPr>
      </w:pPr>
    </w:p>
    <w:p w:rsidRPr="009A7326" w:rsidR="009D63E3" w:rsidP="00E11AB7" w:rsidRDefault="009D63E3" w14:paraId="6B4662FA" w14:textId="77777777">
      <w:pPr>
        <w:rPr>
          <w:rFonts w:ascii="Palatino Linotype" w:hAnsi="Palatino Linotype"/>
          <w:lang w:val="en-GB"/>
        </w:rPr>
        <w:sectPr w:rsidRPr="009A7326" w:rsidR="009D63E3" w:rsidSect="00532F57">
          <w:footerReference w:type="default" r:id="rId13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9A7326" w:rsidR="00E11AB7" w:rsidP="005725E5" w:rsidRDefault="006A6CC9" w14:paraId="646FB5F3" w14:textId="2766EABB">
      <w:pPr>
        <w:jc w:val="center"/>
        <w:rPr>
          <w:b/>
          <w:bCs/>
        </w:rPr>
      </w:pPr>
      <w:r>
        <w:rPr>
          <w:b/>
        </w:rPr>
        <w:lastRenderedPageBreak/>
        <w:t>Doprinos organiziranog civilnog društva osmišljavanju, provedbi i procjeni javnih politika – dvostruka tranzicija</w:t>
      </w:r>
    </w:p>
    <w:p w:rsidRPr="00C13544" w:rsidR="009A43D0" w:rsidP="00E11AB7" w:rsidRDefault="009A43D0" w14:paraId="1B103B25" w14:textId="77777777">
      <w:pPr>
        <w:rPr>
          <w:lang w:val="en-GB"/>
        </w:rPr>
      </w:pPr>
    </w:p>
    <w:p w:rsidRPr="00C13544" w:rsidR="009A7326" w:rsidP="009E50DF" w:rsidRDefault="00B17E23" w14:paraId="6AC1C710" w14:textId="77777777">
      <w:pPr>
        <w:rPr>
          <w:b/>
          <w:bCs/>
        </w:rPr>
      </w:pPr>
      <w:r>
        <w:rPr>
          <w:b/>
          <w:u w:val="single"/>
        </w:rPr>
        <w:t>Stajališta nacionalnih gospodarskih i socijalnih vijeća</w:t>
      </w:r>
      <w:r>
        <w:rPr>
          <w:b/>
        </w:rPr>
        <w:t xml:space="preserve">: </w:t>
      </w:r>
    </w:p>
    <w:p w:rsidRPr="00C13544" w:rsidR="009A7326" w:rsidP="009E50DF" w:rsidRDefault="009A7326" w14:paraId="12A34618" w14:textId="77777777">
      <w:pPr>
        <w:rPr>
          <w:b/>
          <w:bCs/>
          <w:lang w:val="en-GB"/>
        </w:rPr>
      </w:pPr>
    </w:p>
    <w:p w:rsidRPr="00C13544" w:rsidR="009E50DF" w:rsidP="00C13544" w:rsidRDefault="009E50DF" w14:paraId="17439D69" w14:textId="5463B3F7">
      <w:pPr>
        <w:pStyle w:val="Heading1"/>
      </w:pPr>
      <w:r>
        <w:rPr>
          <w:b/>
        </w:rPr>
        <w:t>Kontekst promjena i izazova</w:t>
      </w:r>
    </w:p>
    <w:p w:rsidRPr="00C13544" w:rsidR="009E50DF" w:rsidP="009E50DF" w:rsidRDefault="009E50DF" w14:paraId="17FA8A75" w14:textId="77777777">
      <w:pPr>
        <w:rPr>
          <w:lang w:val="en-GB"/>
        </w:rPr>
      </w:pPr>
    </w:p>
    <w:p w:rsidRPr="00C13544" w:rsidR="009E50DF" w:rsidP="009E50DF" w:rsidRDefault="006A6CC9" w14:paraId="019E5EA8" w14:textId="063AEDD2">
      <w:r>
        <w:rPr>
          <w:b/>
          <w:i/>
          <w:u w:val="single"/>
        </w:rPr>
        <w:t>Izjave</w:t>
      </w:r>
      <w:r>
        <w:t xml:space="preserve">: države članice EU-a suočavaju se s </w:t>
      </w:r>
      <w:r>
        <w:rPr>
          <w:b/>
        </w:rPr>
        <w:t>ključnim socioekonomskim izazovima</w:t>
      </w:r>
      <w:r>
        <w:t xml:space="preserve"> koji su povezani s </w:t>
      </w:r>
      <w:r>
        <w:rPr>
          <w:b/>
        </w:rPr>
        <w:t>pojavom novih problema</w:t>
      </w:r>
      <w:r>
        <w:t>, kao što su sve veće geopolitičke napetosti na globalnoj razini, klimatske promjene i dvostruka ekološka i digitalna tranzicija, usporavanje rasta produktivnosti, nužna otpornost lanaca vrijednosti, rizici za socijalnu koheziju i održivost sustava socijalne zaštite te povećana potreba za osposobljavanjem i obrazovanjem. Koordinacija politika između država članica EU-a i dionika ključna je kako bi se maksimalno povećala socioekonomska dobrobit promicanjem učinkovitosti iskorištavanja resursa, teritorijalne integracije, održivosti i suradnje u ostvarivanju zajedničkih ciljeva.</w:t>
      </w:r>
    </w:p>
    <w:p w:rsidRPr="00C13544" w:rsidR="009E50DF" w:rsidP="009E50DF" w:rsidRDefault="009E50DF" w14:paraId="33A216B1" w14:textId="77777777">
      <w:pPr>
        <w:rPr>
          <w:lang w:val="en-GB"/>
        </w:rPr>
      </w:pPr>
    </w:p>
    <w:p w:rsidRPr="00C13544" w:rsidR="009E50DF" w:rsidP="00C13544" w:rsidRDefault="009E50DF" w14:paraId="6C4D5EF6" w14:textId="0FFBDAD5">
      <w:pPr>
        <w:pStyle w:val="Heading1"/>
      </w:pPr>
      <w:r>
        <w:rPr>
          <w:b/>
        </w:rPr>
        <w:t>Potreba za globalnim i uravnoteženim pristupom</w:t>
      </w:r>
    </w:p>
    <w:p w:rsidRPr="00C13544" w:rsidR="009E50DF" w:rsidP="009E50DF" w:rsidRDefault="009E50DF" w14:paraId="6F4106D4" w14:textId="77777777">
      <w:pPr>
        <w:rPr>
          <w:lang w:val="en-GB"/>
        </w:rPr>
      </w:pPr>
    </w:p>
    <w:p w:rsidRPr="00C13544" w:rsidR="009E50DF" w:rsidP="009E50DF" w:rsidRDefault="005A7276" w14:paraId="2CAFD433" w14:textId="3E1D442C">
      <w:r>
        <w:rPr>
          <w:b/>
          <w:i/>
          <w:u w:val="single"/>
        </w:rPr>
        <w:t>Preporuke</w:t>
      </w:r>
      <w:r>
        <w:t xml:space="preserve">: za </w:t>
      </w:r>
      <w:r>
        <w:rPr>
          <w:b/>
        </w:rPr>
        <w:t>prelazak na pravedno, uključivo i prosperitetno društvo</w:t>
      </w:r>
      <w:r>
        <w:t xml:space="preserve"> s konkurentnim i financijski održivim gospodarstvom potreban je </w:t>
      </w:r>
      <w:r>
        <w:rPr>
          <w:b/>
        </w:rPr>
        <w:t>globalni pristup</w:t>
      </w:r>
      <w:r>
        <w:t xml:space="preserve"> u kojem bi sve relevantne politike trebale pridonositi dogovorenim </w:t>
      </w:r>
      <w:r>
        <w:rPr>
          <w:b/>
        </w:rPr>
        <w:t>okolišnim ciljevima</w:t>
      </w:r>
      <w:r>
        <w:t xml:space="preserve">. Budući da se gospodarska i društvena dobrobit moraju smatrati neodvojivima, </w:t>
      </w:r>
      <w:r>
        <w:rPr>
          <w:b/>
        </w:rPr>
        <w:t>socijalna ulaganja i ulaganja u inovacije ne smiju se odvajati</w:t>
      </w:r>
      <w:r>
        <w:t xml:space="preserve">. Gospodarski rast zapravo može pridonijeti smanjenju nejednakosti i siromaštva </w:t>
      </w:r>
      <w:r>
        <w:rPr>
          <w:b/>
        </w:rPr>
        <w:t>ako za to postoji politička volja</w:t>
      </w:r>
      <w:r>
        <w:t>.</w:t>
      </w:r>
    </w:p>
    <w:p w:rsidRPr="00C13544" w:rsidR="009E50DF" w:rsidP="009E50DF" w:rsidRDefault="009E50DF" w14:paraId="706C72A1" w14:textId="77777777">
      <w:pPr>
        <w:rPr>
          <w:lang w:val="en-GB"/>
        </w:rPr>
      </w:pPr>
    </w:p>
    <w:p w:rsidRPr="00C13544" w:rsidR="009E50DF" w:rsidP="009E50DF" w:rsidRDefault="005A7276" w14:paraId="0B767CFB" w14:textId="4C06D786">
      <w:r>
        <w:t xml:space="preserve">Od ključne je važnosti postići ravnotežu između </w:t>
      </w:r>
      <w:r>
        <w:rPr>
          <w:b/>
        </w:rPr>
        <w:t>tri stupa održivog razvoja</w:t>
      </w:r>
      <w:r>
        <w:t xml:space="preserve"> – okolišnog (planet), gospodarskog (prosperitet) i socijalnog (ljudi). Taj će uravnoteženi pristup omogućiti smanjenje rizika od siromaštva, poboljšanje životnih uvjeta svih građana i jačanje socijalne uključenosti i zaštite, osiguravajući pritom konkurentnost i održivost poduzeća. </w:t>
      </w:r>
    </w:p>
    <w:p w:rsidRPr="00C13544" w:rsidR="009E50DF" w:rsidP="009E50DF" w:rsidRDefault="009E50DF" w14:paraId="5BA571A3" w14:textId="77777777">
      <w:pPr>
        <w:rPr>
          <w:lang w:val="en-GB"/>
        </w:rPr>
      </w:pPr>
    </w:p>
    <w:p w:rsidRPr="00C13544" w:rsidR="009E50DF" w:rsidP="00C13544" w:rsidRDefault="009E50DF" w14:paraId="75056CDA" w14:textId="3D8707B9">
      <w:pPr>
        <w:pStyle w:val="Heading1"/>
      </w:pPr>
      <w:r>
        <w:rPr>
          <w:b/>
        </w:rPr>
        <w:t>Uloga socijalnih partnera i drugih organizacija civilnog društva</w:t>
      </w:r>
      <w:r>
        <w:t xml:space="preserve"> </w:t>
      </w:r>
    </w:p>
    <w:p w:rsidRPr="00C13544" w:rsidR="009E50DF" w:rsidP="009E50DF" w:rsidRDefault="009E50DF" w14:paraId="6C2DE3F3" w14:textId="77777777">
      <w:pPr>
        <w:rPr>
          <w:lang w:val="en-GB"/>
        </w:rPr>
      </w:pPr>
    </w:p>
    <w:p w:rsidRPr="00C13544" w:rsidR="009E50DF" w:rsidP="009E50DF" w:rsidRDefault="0088709B" w14:paraId="378ECBC0" w14:textId="25424F2D">
      <w:r>
        <w:rPr>
          <w:b/>
          <w:i/>
          <w:u w:val="single"/>
        </w:rPr>
        <w:t>Izjave</w:t>
      </w:r>
      <w:r>
        <w:t xml:space="preserve">: iskustvo stečeno europskim upravljanjem pokazuje da je sudjelovanje socijalnih partnera u upravljanju ključno za </w:t>
      </w:r>
      <w:r>
        <w:rPr>
          <w:b/>
        </w:rPr>
        <w:t>predviđanje i upravljanje promjenama</w:t>
      </w:r>
      <w:r>
        <w:t>. To je osnovni preduvjet za dobro oblikovanje politika i pružanje široke društvene potpore politikama koje se provode. Osim toga, europska koordinacija sve više obuhvaća tradicionalno područje socijalnog dijaloga (revizija sustava pregovaranja o plaćama, dob za umirovljenje, kontrola rashoda povezanih sa starenjem, zdravstveni izdatci itd.).</w:t>
      </w:r>
    </w:p>
    <w:p w:rsidRPr="00C13544" w:rsidR="0088709B" w:rsidP="009E50DF" w:rsidRDefault="0088709B" w14:paraId="3B09847C" w14:textId="77777777">
      <w:pPr>
        <w:rPr>
          <w:lang w:val="en-GB"/>
        </w:rPr>
      </w:pPr>
    </w:p>
    <w:p w:rsidRPr="00C13544" w:rsidR="009E50DF" w:rsidP="009E50DF" w:rsidRDefault="009E50DF" w14:paraId="7C2B62EE" w14:textId="6715CCC9">
      <w:r>
        <w:rPr>
          <w:b/>
        </w:rPr>
        <w:t>Nacionalna gospodarska i socijalna vijeća</w:t>
      </w:r>
      <w:r>
        <w:t xml:space="preserve">, tamo gdje postoje, aktivno sudjeluju u izradi odgovora društva na današnje izazove i </w:t>
      </w:r>
      <w:r>
        <w:rPr>
          <w:b/>
        </w:rPr>
        <w:t>spremna su pojačati svoj angažman</w:t>
      </w:r>
      <w:r>
        <w:t xml:space="preserve">. Budući da dvostruka tranzicija otvara niz pitanja, u tim se tranzicijama može sudjelovati na različite načine. </w:t>
      </w:r>
    </w:p>
    <w:p w:rsidRPr="00C13544" w:rsidR="00DE04A2" w:rsidP="009E50DF" w:rsidRDefault="00DE04A2" w14:paraId="404186D2" w14:textId="77777777">
      <w:pPr>
        <w:rPr>
          <w:lang w:val="en-GB"/>
        </w:rPr>
      </w:pPr>
    </w:p>
    <w:p w:rsidR="00745847" w:rsidP="009E50DF" w:rsidRDefault="009E50DF" w14:paraId="700F6872" w14:textId="77777777">
      <w:r>
        <w:t xml:space="preserve">U nekim su zemljama nacionalna gospodarska i socijalna vijeća sudjelovala u </w:t>
      </w:r>
      <w:r>
        <w:rPr>
          <w:b/>
        </w:rPr>
        <w:t>posebnim savjetovanjima povezanima sa zelenom tranzicijom</w:t>
      </w:r>
      <w:r>
        <w:t xml:space="preserve"> ili zakonodavnim prijedlozima u području klime. </w:t>
      </w:r>
    </w:p>
    <w:p w:rsidRPr="00C13544" w:rsidR="009E50DF" w:rsidP="009E50DF" w:rsidRDefault="009E50DF" w14:paraId="277F5107" w14:textId="5898916A">
      <w:r>
        <w:lastRenderedPageBreak/>
        <w:t xml:space="preserve">Nadalje, </w:t>
      </w:r>
      <w:r>
        <w:rPr>
          <w:b/>
        </w:rPr>
        <w:t>nacionalna gospodarska i socijalna vijeća mogu se, u skladu sa svojom institucionalnom ulogom i ovlastima, baviti širokim rasponom pitanja koja su usko povezana s dvostrukom tranzicijom</w:t>
      </w:r>
      <w:r>
        <w:t xml:space="preserve">. U tom se pogledu posebna pozornost posvećuje </w:t>
      </w:r>
      <w:r>
        <w:rPr>
          <w:b/>
        </w:rPr>
        <w:t>nacionalnim planovima za oporavak i otpornost</w:t>
      </w:r>
      <w:r>
        <w:t>. Transparentnost u svim fazama provedbe tih planova ključan je element postupka. Druga relevantna pitanja kojima se bave nacionalna gospodarska i socijalna vijeća odnose se na energetiku i klimu, ciljeve održivog razvoja, poljoprivredu, mobilnost, restrukturiranje, inovativne oblike organizacije rada i rad putem platforme te mentalno zdravlje u kontekstu digitalizacije i rada od kuće.</w:t>
      </w:r>
    </w:p>
    <w:p w:rsidRPr="00C13544" w:rsidR="00DE04A2" w:rsidP="06E2B101" w:rsidRDefault="00DE04A2" w14:paraId="5D0254C9" w14:textId="77777777">
      <w:pPr>
        <w:rPr>
          <w:b/>
          <w:bCs/>
          <w:lang w:val="en-GB"/>
        </w:rPr>
      </w:pPr>
    </w:p>
    <w:p w:rsidRPr="00C13544" w:rsidR="009E50DF" w:rsidP="009E50DF" w:rsidRDefault="009E50DF" w14:paraId="5A544A17" w14:textId="111CF469">
      <w:r>
        <w:t xml:space="preserve">Određena nacionalna gospodarska i socijalna vijeća pokreću ili testiraju </w:t>
      </w:r>
      <w:r>
        <w:rPr>
          <w:b/>
        </w:rPr>
        <w:t>nove pristupe</w:t>
      </w:r>
      <w:r>
        <w:t xml:space="preserve">. Neka od njih organiziraju javna savjetovanja o pitanjima koja su važna za društvo, pozivajući građane, druge organizacije civilnog društva, stručnjake i druge dionike da pridonesu procesu donošenju odluka. Kako bi olakšala sudjelovanje i razmjenu informacija, svoje sastanke i događanja otvaraju javnosti i organizacijama civilnog društva ili uspostavljaju internetske platforme ili forume za raspravu. Nacionalna gospodarska i socijalna vijeća objavljuju izvješća i dokumente u kojima opisuju svoj rad, iznose preporuke i mišljenja te doprinose vanjskih dionika. Cilj je svih tih mjera promicanje sudjelovanja građana i otvorenog dijaloga između nacionalnih gospodarskih i socijalnih vijeća i civilnog društva. </w:t>
      </w:r>
    </w:p>
    <w:p w:rsidRPr="00C13544" w:rsidR="003D405F" w:rsidP="009E50DF" w:rsidRDefault="003D405F" w14:paraId="63B411F3" w14:textId="77777777">
      <w:pPr>
        <w:rPr>
          <w:lang w:val="en-GB"/>
        </w:rPr>
      </w:pPr>
    </w:p>
    <w:p w:rsidRPr="00C13544" w:rsidR="009E50DF" w:rsidP="00C13544" w:rsidRDefault="009E50DF" w14:paraId="6EAB384F" w14:textId="00400819">
      <w:pPr>
        <w:pStyle w:val="Heading1"/>
      </w:pPr>
      <w:r>
        <w:rPr>
          <w:b/>
        </w:rPr>
        <w:t>Daljnje jačanje sudjelovanja nacionalnih gospodarskih i socijalnih vijeća u javnim politikama: snažna osnova za postizanje uravnoteženih ciljeva u kontekstu dvostruke tranzicije</w:t>
      </w:r>
    </w:p>
    <w:p w:rsidRPr="00C13544" w:rsidR="009E50DF" w:rsidP="009E50DF" w:rsidRDefault="009E50DF" w14:paraId="399C1461" w14:textId="77777777">
      <w:pPr>
        <w:rPr>
          <w:lang w:val="en-GB"/>
        </w:rPr>
      </w:pPr>
    </w:p>
    <w:p w:rsidRPr="00C13544" w:rsidR="009E50DF" w:rsidP="009E50DF" w:rsidRDefault="00E82505" w14:paraId="33C69372" w14:textId="1ED92B26">
      <w:r>
        <w:rPr>
          <w:b/>
          <w:i/>
          <w:u w:val="single"/>
        </w:rPr>
        <w:t>Preporuke</w:t>
      </w:r>
      <w:r>
        <w:t xml:space="preserve">: svima moraju biti zajednički i svi ih moraju razumjeti; tranzicije i reforme koje su u tijeku trebale bi se temeljiti na kooperativnom i uravnoteženom modelu koji omogućuje sudjelovanje svih sastavnica društva na svim razinama donošenja odluka. </w:t>
      </w:r>
      <w:r>
        <w:rPr>
          <w:b/>
        </w:rPr>
        <w:t>Dijalog</w:t>
      </w:r>
      <w:r>
        <w:t xml:space="preserve"> između civilnog društva i političkih tijela </w:t>
      </w:r>
      <w:r>
        <w:rPr>
          <w:b/>
        </w:rPr>
        <w:t>prije postupka donošenja odluka</w:t>
      </w:r>
      <w:r>
        <w:t xml:space="preserve"> ključan je za uspješno upravljanje promjenama koje su povezane s današnjim tranzicijama. </w:t>
      </w:r>
    </w:p>
    <w:p w:rsidRPr="00C13544" w:rsidR="009E50DF" w:rsidP="009E50DF" w:rsidRDefault="009E50DF" w14:paraId="64135DD2" w14:textId="77777777">
      <w:pPr>
        <w:rPr>
          <w:lang w:val="en-GB"/>
        </w:rPr>
      </w:pPr>
    </w:p>
    <w:p w:rsidRPr="00C13544" w:rsidR="00E82505" w:rsidP="009E50DF" w:rsidRDefault="00E82505" w14:paraId="063F4A9B" w14:textId="52C03962">
      <w:r>
        <w:rPr>
          <w:b/>
          <w:i/>
          <w:u w:val="single"/>
        </w:rPr>
        <w:t>Izjave</w:t>
      </w:r>
      <w:r>
        <w:t xml:space="preserve">: prema svojem sastavu i stručnosti nacionalna gospodarska i socijalna vijeća imaju potrebno znanje i iskustvo za suočavanje s raznim dimenzijama navedenih izazova i traženje odgovarajućih odgovora usmjerenih na budućnost, kao i da pridonesu mjerama koje će se poduzeti u smislu </w:t>
      </w:r>
      <w:r>
        <w:rPr>
          <w:b/>
        </w:rPr>
        <w:t xml:space="preserve">predviđanja </w:t>
      </w:r>
      <w:r>
        <w:t xml:space="preserve">tranzicije i </w:t>
      </w:r>
      <w:r>
        <w:rPr>
          <w:b/>
        </w:rPr>
        <w:t>potpore</w:t>
      </w:r>
      <w:r>
        <w:t xml:space="preserve"> tranziciji. Zadaće su nacionalnih gospodarskih i socijalnih vijeća poticati socijalni dijalog, usmjeravati političke odluke i, uz potporu akademskih/znanstvenih stručnjaka, utvrditi dugoročne perspektive. Vijeća vode otvorene rasprave sa širokom publikom te nastoje utvrditi sporazumno i zajedničko stajalište o razmatranim pitanjima i tako oblikovati smjernice za donošenje političkih odluka.</w:t>
      </w:r>
    </w:p>
    <w:p w:rsidRPr="00C13544" w:rsidR="00E82505" w:rsidP="009E50DF" w:rsidRDefault="00E82505" w14:paraId="0B4CDB2B" w14:textId="77777777">
      <w:pPr>
        <w:rPr>
          <w:lang w:val="en-GB"/>
        </w:rPr>
      </w:pPr>
    </w:p>
    <w:p w:rsidRPr="00C13544" w:rsidR="009E50DF" w:rsidP="009E50DF" w:rsidRDefault="00E82505" w14:paraId="56032039" w14:textId="5C648207">
      <w:r>
        <w:rPr>
          <w:b/>
          <w:i/>
          <w:u w:val="single"/>
        </w:rPr>
        <w:t>Preporuke</w:t>
      </w:r>
      <w:r>
        <w:t xml:space="preserve">: sve u svemu, socijalni partneri raspolažu opsežnim stručnim znanjem i instrumentima na različitim razinama (npr. međustrukovni i sektorski kolektivni ugovori, sektorski fondovi za osposobljavanje itd.) za suočavanje s konkretnim izazovima tranzicije pa bi stoga trebali biti uključeni u osmišljavanje, provedbu i evaluaciju javnih politika. </w:t>
      </w:r>
    </w:p>
    <w:p w:rsidR="009A7326" w:rsidP="009E50DF" w:rsidRDefault="009A7326" w14:paraId="6F124685" w14:textId="77777777">
      <w:pPr>
        <w:rPr>
          <w:lang w:val="en-GB"/>
        </w:rPr>
      </w:pPr>
    </w:p>
    <w:p w:rsidR="00745847" w:rsidP="009E50DF" w:rsidRDefault="009E50DF" w14:paraId="5DCF0237" w14:textId="77777777">
      <w:r>
        <w:t xml:space="preserve">Socijalni partneri i druge organizacije civilnog društva žele sudjelovati u tim transformacijama i biti saveznici u promjenama koje su u tijeku kako bi iskoristili </w:t>
      </w:r>
      <w:r>
        <w:rPr>
          <w:b/>
        </w:rPr>
        <w:t>mogućnosti</w:t>
      </w:r>
      <w:r>
        <w:t xml:space="preserve"> koje nude i smanjili </w:t>
      </w:r>
      <w:r>
        <w:rPr>
          <w:b/>
        </w:rPr>
        <w:t>rizike</w:t>
      </w:r>
      <w:r>
        <w:t xml:space="preserve"> koje donose. </w:t>
      </w:r>
    </w:p>
    <w:p w:rsidRPr="00C13544" w:rsidR="009E50DF" w:rsidP="009E50DF" w:rsidRDefault="009E50DF" w14:paraId="569F5759" w14:textId="1A26CE8F">
      <w:r>
        <w:lastRenderedPageBreak/>
        <w:t xml:space="preserve">To je ključno za postizanje željenih ciljeva kao što su funkcionalna gospodarstva međusobno povezana na različitim razinama koja se temelje na pravednim pravilima, uzajamni pristup tržištima, održivost, kvalitetna radna mjesta, zdravo životno i radno okruženje, funkcionalna tržišta rada, uspješni sustavi socijalne zaštite i druga sredstva za postizanje socioekonomske integracije. </w:t>
      </w:r>
    </w:p>
    <w:p w:rsidRPr="00C13544" w:rsidR="00212F67" w:rsidP="009E50DF" w:rsidRDefault="00212F67" w14:paraId="19EB9771" w14:textId="77777777">
      <w:pPr>
        <w:rPr>
          <w:lang w:val="en-GB"/>
        </w:rPr>
      </w:pPr>
    </w:p>
    <w:p w:rsidRPr="00C13544" w:rsidR="009E50DF" w:rsidP="009E50DF" w:rsidRDefault="009E50DF" w14:paraId="2DD388F9" w14:textId="117C1A4D">
      <w:r>
        <w:rPr>
          <w:b/>
        </w:rPr>
        <w:t>Dijalog</w:t>
      </w:r>
      <w:r>
        <w:t xml:space="preserve"> koji potiče osmišljavanje, provedbu i evaluaciju javnih politika mora se </w:t>
      </w:r>
      <w:r>
        <w:rPr>
          <w:b/>
        </w:rPr>
        <w:t>voditi na svim razinama</w:t>
      </w:r>
      <w:r>
        <w:t xml:space="preserve">: europskoj, nacionalnoj, regionalnoj i lokalnoj. Posebnu pozornost treba posvetiti koordinaciji tih razina i povezanosti između europske i nacionalne razine. Nacionalna gospodarska i socijalna vijeća u </w:t>
      </w:r>
      <w:r>
        <w:rPr>
          <w:b/>
        </w:rPr>
        <w:t>bliskoj suradnji s EGSO-om</w:t>
      </w:r>
      <w:r>
        <w:t xml:space="preserve"> pridonose i usklađenosti i skladnom oblikovanju mjera koje se poduzimaju na tim različitim razinama. Razmjena informacija i iskustava između nacionalnih gospodarskih i socijalnih vijeća i EGSO-a korisna je za sve dionike. </w:t>
      </w:r>
    </w:p>
    <w:p w:rsidRPr="00C13544" w:rsidR="009E50DF" w:rsidP="009E50DF" w:rsidRDefault="009E50DF" w14:paraId="273A84E3" w14:textId="77777777">
      <w:pPr>
        <w:rPr>
          <w:lang w:val="en-GB"/>
        </w:rPr>
      </w:pPr>
    </w:p>
    <w:p w:rsidRPr="00C13544" w:rsidR="009E50DF" w:rsidP="009E50DF" w:rsidRDefault="009E50DF" w14:paraId="32E562CA" w14:textId="731A765E">
      <w:r>
        <w:t xml:space="preserve">Kako bi se osigurala i poboljšala uključenost civilnog društva, </w:t>
      </w:r>
      <w:r>
        <w:rPr>
          <w:b/>
        </w:rPr>
        <w:t>vlade</w:t>
      </w:r>
      <w:r>
        <w:t xml:space="preserve"> bi trebale jasno komunicirati s nacionalnim gospodarskim i socijalnim vijećima, tamo gdje postoje, </w:t>
      </w:r>
      <w:r>
        <w:rPr>
          <w:b/>
        </w:rPr>
        <w:t>vrlo rano u procesu oblikovanja politika</w:t>
      </w:r>
      <w:r>
        <w:t xml:space="preserve"> i dogovoriti realan vremenski okvir kojim se svim uključenim stranama omogućuje da </w:t>
      </w:r>
      <w:r>
        <w:rPr>
          <w:b/>
        </w:rPr>
        <w:t>učinkovito</w:t>
      </w:r>
      <w:r>
        <w:t xml:space="preserve"> i </w:t>
      </w:r>
      <w:r>
        <w:rPr>
          <w:b/>
        </w:rPr>
        <w:t>smisleno pridonesu</w:t>
      </w:r>
      <w:r>
        <w:t xml:space="preserve"> tom procesu. Kako bi se osiguralo da se njihovi doprinosi učinkovito uzimaju u obzir u demokratskom i legitimnom postupku donošenja odluka, ključno je da </w:t>
      </w:r>
      <w:r>
        <w:rPr>
          <w:b/>
        </w:rPr>
        <w:t>vlade</w:t>
      </w:r>
      <w:r>
        <w:t xml:space="preserve"> primijene transparentan i odgovoran pristup te da </w:t>
      </w:r>
      <w:r>
        <w:rPr>
          <w:b/>
        </w:rPr>
        <w:t>daju povratne informacije</w:t>
      </w:r>
      <w:r>
        <w:t xml:space="preserve"> dionicima. Osim toga, moglo bi biti korisno razmotriti </w:t>
      </w:r>
      <w:r>
        <w:rPr>
          <w:b/>
        </w:rPr>
        <w:t>uspostavu nacionalnih gospodarskih i socijalnih vijeća</w:t>
      </w:r>
      <w:r>
        <w:t xml:space="preserve"> u državama članicama i državama članicama kandidatkinjama u kojima ona još ne postoje. </w:t>
      </w:r>
    </w:p>
    <w:p w:rsidRPr="00C13544" w:rsidR="009E50DF" w:rsidP="009E50DF" w:rsidRDefault="009E50DF" w14:paraId="7AEDB867" w14:textId="49682325">
      <w:pPr>
        <w:rPr>
          <w:lang w:val="en-GB"/>
        </w:rPr>
      </w:pPr>
    </w:p>
    <w:p w:rsidRPr="00C13544" w:rsidR="009A7326" w:rsidP="00C13544" w:rsidRDefault="00B17E23" w14:paraId="0F869BEF" w14:textId="77777777">
      <w:pPr>
        <w:keepNext/>
        <w:keepLines/>
        <w:rPr>
          <w:b/>
          <w:bCs/>
        </w:rPr>
      </w:pPr>
      <w:r>
        <w:rPr>
          <w:b/>
          <w:u w:val="single"/>
        </w:rPr>
        <w:t>Stajališta EGSO-a</w:t>
      </w:r>
      <w:r>
        <w:rPr>
          <w:b/>
        </w:rPr>
        <w:t xml:space="preserve">: </w:t>
      </w:r>
    </w:p>
    <w:p w:rsidRPr="00C13544" w:rsidR="009A7326" w:rsidP="00C13544" w:rsidRDefault="009A7326" w14:paraId="659A20B4" w14:textId="77777777">
      <w:pPr>
        <w:keepNext/>
        <w:keepLines/>
        <w:rPr>
          <w:b/>
          <w:bCs/>
          <w:lang w:val="en-GB"/>
        </w:rPr>
      </w:pPr>
    </w:p>
    <w:p w:rsidRPr="00C13544" w:rsidR="639F55B9" w:rsidP="00C13544" w:rsidRDefault="639F55B9" w14:paraId="6F4D0FF6" w14:textId="338349ED">
      <w:pPr>
        <w:pStyle w:val="Heading1"/>
        <w:keepNext/>
        <w:keepLines/>
        <w:numPr>
          <w:ilvl w:val="0"/>
          <w:numId w:val="7"/>
        </w:numPr>
      </w:pPr>
      <w:r>
        <w:rPr>
          <w:b/>
        </w:rPr>
        <w:t>Oblikovanje dugoročno održivog europskog socijalnog modela – ključan doprinos organiziranog civilnog društva</w:t>
      </w:r>
    </w:p>
    <w:p w:rsidRPr="009A7326" w:rsidR="639F55B9" w:rsidP="00C13544" w:rsidRDefault="639F55B9" w14:paraId="7AB75825" w14:textId="6787F78D">
      <w:pPr>
        <w:keepNext/>
        <w:keepLines/>
      </w:pPr>
      <w:r>
        <w:t xml:space="preserve"> </w:t>
      </w:r>
    </w:p>
    <w:p w:rsidRPr="00C13544" w:rsidR="008C10DF" w:rsidP="00C13544" w:rsidRDefault="008C10DF" w14:paraId="2A0937DA" w14:textId="72572016">
      <w:pPr>
        <w:keepNext/>
        <w:keepLines/>
      </w:pPr>
      <w:r>
        <w:rPr>
          <w:b/>
          <w:i/>
          <w:u w:val="single"/>
        </w:rPr>
        <w:t>Izjave</w:t>
      </w:r>
      <w:r>
        <w:t xml:space="preserve">: EGSO je u više navrata istaknuo ključnu ulogu socijalnih partnera u predviđanju i rješavanju posljedica današnjih izazova u području zapošljavanja i socijalnih pitanja kao što su digitalna i zelena tranzicija. </w:t>
      </w:r>
    </w:p>
    <w:p w:rsidRPr="00C13544" w:rsidR="008C10DF" w:rsidP="2F677F66" w:rsidRDefault="008C10DF" w14:paraId="10A6138E" w14:textId="77777777">
      <w:pPr>
        <w:rPr>
          <w:lang w:val="en-GB"/>
        </w:rPr>
      </w:pPr>
    </w:p>
    <w:p w:rsidRPr="009A7326" w:rsidR="639F55B9" w:rsidP="2F677F66" w:rsidRDefault="008C10DF" w14:paraId="2C6D872F" w14:textId="7B19E5F3">
      <w:r>
        <w:rPr>
          <w:b/>
          <w:i/>
          <w:u w:val="single"/>
        </w:rPr>
        <w:t>Preporuke</w:t>
      </w:r>
      <w:r>
        <w:t xml:space="preserve">: brzina i razmjer učinka ozelenjivanja i digitalizacije na naša društva i tržišta rada zahtijevaju </w:t>
      </w:r>
      <w:r>
        <w:rPr>
          <w:b/>
        </w:rPr>
        <w:t>rano i učinkovito sudjelovanje socijalnih partnera</w:t>
      </w:r>
      <w:r>
        <w:t xml:space="preserve"> </w:t>
      </w:r>
      <w:r>
        <w:rPr>
          <w:b/>
        </w:rPr>
        <w:t>u skladu s nacionalnim sustavima radnih odnosa</w:t>
      </w:r>
      <w:r>
        <w:t xml:space="preserve">. Socijalni partneri mogu utvrditi rješenja koja se mogu prilagoditi sektorima na lokalnoj razini, a njihovi pregovori mogu obuhvaćati, na primjer, učinak zelene i tehnološke transformacije na organizaciju rada, promjenu strukovnih profila i vještina zaposlenika, kao i zaštitu radnika od učinaka klimatskih promjena i digitalizacije, uključujući umjetnu inteligenciju i algoritamsko upravljanje. </w:t>
      </w:r>
    </w:p>
    <w:p w:rsidR="009A7326" w:rsidP="2F677F66" w:rsidRDefault="009A7326" w14:paraId="2C674317" w14:textId="77777777">
      <w:pPr>
        <w:rPr>
          <w:lang w:val="en-GB"/>
        </w:rPr>
      </w:pPr>
    </w:p>
    <w:p w:rsidRPr="009A7326" w:rsidR="639F55B9" w:rsidP="2F677F66" w:rsidRDefault="639F55B9" w14:paraId="0C29531E" w14:textId="3B5AFB4B">
      <w:r>
        <w:t xml:space="preserve">Socijalni dijalog koristan je alat za poticanje </w:t>
      </w:r>
      <w:r>
        <w:rPr>
          <w:b/>
        </w:rPr>
        <w:t>gospodarske i socijalne otpornosti</w:t>
      </w:r>
      <w:r>
        <w:t xml:space="preserve">, konkurentnosti, </w:t>
      </w:r>
      <w:r>
        <w:rPr>
          <w:b/>
        </w:rPr>
        <w:t>uzlazne konvergencije životnih i radnih uvjeta</w:t>
      </w:r>
      <w:r>
        <w:t xml:space="preserve"> u državama članicama te održivog i uključivog rasta. </w:t>
      </w:r>
    </w:p>
    <w:p w:rsidRPr="009A7326" w:rsidR="639F55B9" w:rsidP="2F677F66" w:rsidRDefault="639F55B9" w14:paraId="5CC852FA" w14:textId="5E2F4A91">
      <w:r>
        <w:t xml:space="preserve"> </w:t>
      </w:r>
    </w:p>
    <w:p w:rsidRPr="00C13544" w:rsidR="639F55B9" w:rsidP="2F677F66" w:rsidRDefault="639F55B9" w14:paraId="0798C425" w14:textId="7B9AF66B">
      <w:r>
        <w:t xml:space="preserve">Posebnu ulogu organizacija socijalnih partnera trebalo bi u potpunosti priznati i poštovati u strukturama i procesima socijalnog dijaloga, priznajući pritom da je </w:t>
      </w:r>
      <w:r>
        <w:rPr>
          <w:b/>
        </w:rPr>
        <w:t>građanski dijalog</w:t>
      </w:r>
      <w:r>
        <w:t xml:space="preserve">, koji uključuje širi skup dionika i širi raspon tema, zaseban proces. Osim toga, organizacije civilnog društva ključne su za zastupanje </w:t>
      </w:r>
      <w:r>
        <w:rPr>
          <w:b/>
        </w:rPr>
        <w:t>općih i specifičnih interesa skupina građana</w:t>
      </w:r>
      <w:r>
        <w:t xml:space="preserve">, poticanje sudjelovanja u društvenom životu i obranu prava skupina građana koje predstavljaju. </w:t>
      </w:r>
    </w:p>
    <w:p w:rsidRPr="00C13544" w:rsidR="00A4003F" w:rsidP="00C13544" w:rsidRDefault="109BAF9F" w14:paraId="54D439C4" w14:textId="4EB7CE55">
      <w:pPr>
        <w:pStyle w:val="Heading1"/>
      </w:pPr>
      <w:r>
        <w:rPr>
          <w:b/>
        </w:rPr>
        <w:lastRenderedPageBreak/>
        <w:t>Unapređenje okvira politike EU-a za pravednu tranziciju u okviru europskog zelenog i socijalnog plana</w:t>
      </w:r>
    </w:p>
    <w:p w:rsidRPr="009A7326" w:rsidR="109BAF9F" w:rsidP="2CD806D5" w:rsidRDefault="109BAF9F" w14:paraId="3DEDF155" w14:textId="57D9DF50">
      <w:r>
        <w:rPr>
          <w:b/>
          <w:color w:val="000000" w:themeColor="text1"/>
        </w:rPr>
        <w:t xml:space="preserve"> </w:t>
      </w:r>
    </w:p>
    <w:p w:rsidRPr="009A7326" w:rsidR="109BAF9F" w:rsidP="2CD806D5" w:rsidRDefault="109BAF9F" w14:paraId="2E869C83" w14:textId="6109ABDA">
      <w:r>
        <w:rPr>
          <w:b/>
          <w:i/>
          <w:u w:val="single"/>
        </w:rPr>
        <w:t>Izjava</w:t>
      </w:r>
      <w:r>
        <w:t xml:space="preserve">: europski zeleni plan jedna je od najambicioznijih i najhrabrijih inicijativa koje je Europska unija ikad pokrenula kako bi Europu učinila prvim klimatski neutralnim kontinentom na svijetu do 2050. te EGSO u potpunosti podupire te ciljeve. EGSO je usporedno, od samog početka, tvrdio da </w:t>
      </w:r>
      <w:r>
        <w:rPr>
          <w:b/>
        </w:rPr>
        <w:t>zelena tranzicija ujedno mora biti i socijalna tranzicija inače se neće uspješno provesti</w:t>
      </w:r>
      <w:r>
        <w:t xml:space="preserve">. </w:t>
      </w:r>
    </w:p>
    <w:p w:rsidRPr="009A7326" w:rsidR="109BAF9F" w:rsidP="2CD806D5" w:rsidRDefault="109BAF9F" w14:paraId="42AE7344" w14:textId="50C6C500">
      <w:r>
        <w:t xml:space="preserve"> </w:t>
      </w:r>
    </w:p>
    <w:p w:rsidRPr="009A7326" w:rsidR="109BAF9F" w:rsidP="2CD806D5" w:rsidRDefault="109BAF9F" w14:paraId="32CDE11D" w14:textId="6D062419">
      <w:r>
        <w:rPr>
          <w:b/>
          <w:i/>
          <w:u w:val="single"/>
        </w:rPr>
        <w:t>Preporuke</w:t>
      </w:r>
      <w:r>
        <w:t>: EGSO je prva europska institucija koja se zalaže za europski zeleni i socijalni plan za rješavanje okolišnih pitanja i razvoj sile društvenog napretka koja koristi svima i omogućuje bolju kvalitetu života za sve.</w:t>
      </w:r>
    </w:p>
    <w:p w:rsidRPr="009A7326" w:rsidR="109BAF9F" w:rsidP="2CD806D5" w:rsidRDefault="109BAF9F" w14:paraId="091DA4C0" w14:textId="2E075373">
      <w:r>
        <w:rPr>
          <w:b/>
          <w:color w:val="000000" w:themeColor="text1"/>
        </w:rPr>
        <w:t xml:space="preserve"> </w:t>
      </w:r>
    </w:p>
    <w:p w:rsidRPr="009A7326" w:rsidR="109BAF9F" w:rsidP="2CD806D5" w:rsidRDefault="109BAF9F" w14:paraId="53C19B4D" w14:textId="7C7374CF">
      <w:r>
        <w:rPr>
          <w:b/>
          <w:i/>
          <w:u w:val="single"/>
        </w:rPr>
        <w:t>Preporuke</w:t>
      </w:r>
      <w:r>
        <w:t>: konkretna mjera politike koju EGSO predlaže jest unapređenje sveobuhvatnog, koordiniranog i integriranog političkog okvira na razini EU-a za pravednu tranziciju, kako je navedeno u razmatračkom mišljenju „Unapređenje okvira politike EU-a za pravednu tranziciju: Koje su mjere potrebne?” na zahtjev belgijskog predsjedništva Vijeća EU-a. EGSO primjećuje da su trenutačna djelovanja EU-a usmjerena na postizanje pravedne tranzicije pozitivna, ali se prvenstveno očituju kao fragmentirani dodaci klimatskim i okolišnim mjerama zelenog plana.</w:t>
      </w:r>
      <w:r>
        <w:rPr>
          <w:b/>
          <w:color w:val="000000" w:themeColor="text1"/>
        </w:rPr>
        <w:t xml:space="preserve"> </w:t>
      </w:r>
      <w:r>
        <w:t xml:space="preserve">U tom pogledu EGSO iznosi </w:t>
      </w:r>
      <w:r>
        <w:rPr>
          <w:b/>
        </w:rPr>
        <w:t>prijedlog okvira politike EU-a za pravednu tranziciju</w:t>
      </w:r>
      <w:r>
        <w:t xml:space="preserve"> koji se temelji na šest stupova i obuhvaća više od 70 prijedloga politika na razini EU-a te mjere za njezino postizanje.</w:t>
      </w:r>
    </w:p>
    <w:p w:rsidRPr="00C13544" w:rsidR="003D100C" w:rsidP="06E2B101" w:rsidRDefault="003D100C" w14:paraId="12A3340A" w14:textId="77777777">
      <w:pPr>
        <w:spacing w:line="276" w:lineRule="auto"/>
        <w:rPr>
          <w:b/>
          <w:bCs/>
          <w:lang w:val="en-GB"/>
        </w:rPr>
      </w:pPr>
    </w:p>
    <w:p w:rsidRPr="00C13544" w:rsidR="36C94D7F" w:rsidP="00C13544" w:rsidRDefault="36C94D7F" w14:paraId="3A0AC2C2" w14:textId="7455128C">
      <w:pPr>
        <w:pStyle w:val="Heading1"/>
      </w:pPr>
      <w:r>
        <w:rPr>
          <w:b/>
        </w:rPr>
        <w:t>Uloga organiziranog civilnog društva u osmišljavanju, provedbi, praćenju i evaluaciji reformi i ulaganja u cijelom EU-u</w:t>
      </w:r>
    </w:p>
    <w:p w:rsidRPr="00C13544" w:rsidR="00FB6090" w:rsidP="06E2B101" w:rsidRDefault="00FB6090" w14:paraId="36201ABB" w14:textId="77777777">
      <w:pPr>
        <w:spacing w:line="276" w:lineRule="auto"/>
        <w:rPr>
          <w:b/>
          <w:bCs/>
          <w:i/>
          <w:iCs/>
          <w:u w:val="single"/>
          <w:lang w:val="en-GB"/>
        </w:rPr>
      </w:pPr>
    </w:p>
    <w:p w:rsidRPr="00C13544" w:rsidR="36C94D7F" w:rsidP="06E2B101" w:rsidRDefault="00FB6090" w14:paraId="560E0539" w14:textId="46D251B5">
      <w:pPr>
        <w:spacing w:line="276" w:lineRule="auto"/>
      </w:pPr>
      <w:r>
        <w:rPr>
          <w:b/>
          <w:i/>
          <w:u w:val="single"/>
        </w:rPr>
        <w:t>Preporuke</w:t>
      </w:r>
      <w:r>
        <w:t xml:space="preserve">: za jačanje nacionalne odgovornosti većom uključenosti nacionalnih parlamenata, regionalnih i lokalnih tijela, socijalnih partnera i organizacija civilnog društva </w:t>
      </w:r>
      <w:r>
        <w:rPr>
          <w:b/>
        </w:rPr>
        <w:t>potrebne su jasnije odredbe</w:t>
      </w:r>
      <w:r>
        <w:rPr>
          <w:b/>
          <w:bCs/>
        </w:rPr>
        <w:t xml:space="preserve"> na razini EU-a i na nacionalnoj razini</w:t>
      </w:r>
      <w:r>
        <w:rPr>
          <w:b/>
        </w:rPr>
        <w:t xml:space="preserve"> u službenom postupku provedbe novog okvira gospodarskog upravljanja</w:t>
      </w:r>
      <w:r>
        <w:t xml:space="preserve">. Potrebno je uspostaviti formalan, stalan i strukturiran postupak savjetovanja, u okviru kojeg bi nacionalne vlade usko surađivale s nadležnim tijelima na svim razinama i u partnerstvu sa sindikatima, poslodavcima, organizacijama civilnog društva i drugim odgovornim dionicima tijekom čitavog ciklusa pripreme, provedbe, praćenja i evaluacije političkog procesa; Nadalje, pouke stečene iz </w:t>
      </w:r>
      <w:r>
        <w:rPr>
          <w:b/>
        </w:rPr>
        <w:t>iskustva s planovima za oporavak i otpornost</w:t>
      </w:r>
      <w:r>
        <w:t xml:space="preserve"> koji se temelje na uspješnosti i pojačanoj nacionalnoj odgovornosti trebale bi postati ključan element za provedbu revidiranih europskih pravila gospodarskog upravljanja i budućeg europskog semestra. Glavni cilj europskog semestra trebao bi biti </w:t>
      </w:r>
      <w:r>
        <w:rPr>
          <w:b/>
        </w:rPr>
        <w:t>jačanje održivosti javnog duga</w:t>
      </w:r>
      <w:r>
        <w:t xml:space="preserve"> uz promicanje održivog i uključivog rasta u svim državama članicama reformama i ulaganjima. </w:t>
      </w:r>
    </w:p>
    <w:p w:rsidRPr="00C13544" w:rsidR="00217D7F" w:rsidP="06E2B101" w:rsidRDefault="36C94D7F" w14:paraId="037D47C3" w14:textId="382A0009">
      <w:pPr>
        <w:spacing w:line="276" w:lineRule="auto"/>
      </w:pPr>
      <w:r>
        <w:t xml:space="preserve"> </w:t>
      </w:r>
    </w:p>
    <w:p w:rsidRPr="00C13544" w:rsidR="36C94D7F" w:rsidP="06E2B101" w:rsidRDefault="36C94D7F" w14:paraId="6C19E318" w14:textId="77777777">
      <w:pPr>
        <w:spacing w:line="276" w:lineRule="auto"/>
        <w:rPr>
          <w:lang w:val="en-GB"/>
        </w:rPr>
      </w:pPr>
    </w:p>
    <w:p w:rsidRPr="00C13544" w:rsidR="36C94D7F" w:rsidP="00C13544" w:rsidRDefault="36C94D7F" w14:paraId="25738665" w14:textId="113DB0EA">
      <w:pPr>
        <w:pStyle w:val="Heading1"/>
      </w:pPr>
      <w:r>
        <w:rPr>
          <w:b/>
        </w:rPr>
        <w:t>Sve veće potrebe za socijalnim ulaganjima</w:t>
      </w:r>
    </w:p>
    <w:p w:rsidRPr="00C13544" w:rsidR="00FB6090" w:rsidP="06E2B101" w:rsidRDefault="00FB6090" w14:paraId="7954F1BA" w14:textId="77777777">
      <w:pPr>
        <w:spacing w:line="276" w:lineRule="auto"/>
        <w:rPr>
          <w:lang w:val="en-GB"/>
        </w:rPr>
      </w:pPr>
    </w:p>
    <w:p w:rsidR="00745847" w:rsidP="06E2B101" w:rsidRDefault="36C94D7F" w14:paraId="7A1E9ADC" w14:textId="77777777">
      <w:pPr>
        <w:spacing w:line="276" w:lineRule="auto"/>
      </w:pPr>
      <w:r>
        <w:t xml:space="preserve">Za poticanje dugoročnog uključivog rasta reformama i ulaganjima ključno je ojačati socijalnu dimenziju europskog semestra u okviru </w:t>
      </w:r>
      <w:r>
        <w:rPr>
          <w:b/>
        </w:rPr>
        <w:t>europskog stupa socijalnih prava</w:t>
      </w:r>
      <w:r>
        <w:t xml:space="preserve">. Trebalo bi učinkovitije koristiti postojeća financijska sredstva i promicati javno-privatnu suradnju. Hitno je potrebno raspraviti je li izvedivo </w:t>
      </w:r>
      <w:r>
        <w:rPr>
          <w:b/>
        </w:rPr>
        <w:t>do 2026. uspostaviti financijski kapacitet EU-a</w:t>
      </w:r>
      <w:r>
        <w:t xml:space="preserve"> da bi se zadovoljile </w:t>
      </w:r>
      <w:r>
        <w:rPr>
          <w:b/>
        </w:rPr>
        <w:t>potrebe za ulaganjima</w:t>
      </w:r>
      <w:r>
        <w:t xml:space="preserve"> u zajedničke prioritete. Pozitivan učinak </w:t>
      </w:r>
      <w:r>
        <w:rPr>
          <w:b/>
        </w:rPr>
        <w:t>socijalnih ulaganja</w:t>
      </w:r>
      <w:r>
        <w:t xml:space="preserve"> na gospodarski rast i produktivnost ne smije se podcijeniti. </w:t>
      </w:r>
    </w:p>
    <w:p w:rsidRPr="00C13544" w:rsidR="36C94D7F" w:rsidP="06E2B101" w:rsidRDefault="36C94D7F" w14:paraId="27553554" w14:textId="4E966146">
      <w:pPr>
        <w:spacing w:line="276" w:lineRule="auto"/>
      </w:pPr>
      <w:r>
        <w:lastRenderedPageBreak/>
        <w:t>Potrebna je usklađena strategija ulaganja u socijalnu infrastrukturu u svim državama članicama kako bi se osigurale potrebne reforme i ulaganja u ključnim socijalnim područjima. Za to je neophodno odgovarajuće sudjelovanje socijalnih partnera i organizacija civilnog društva tijekom cijelog procesa.</w:t>
      </w:r>
    </w:p>
    <w:p w:rsidRPr="00C13544" w:rsidR="00217D7F" w:rsidP="06E2B101" w:rsidRDefault="00217D7F" w14:paraId="1E067348" w14:textId="78815689">
      <w:pPr>
        <w:spacing w:line="276" w:lineRule="auto"/>
        <w:rPr>
          <w:lang w:val="en-GB"/>
        </w:rPr>
      </w:pPr>
    </w:p>
    <w:p w:rsidRPr="009A7326" w:rsidR="001E1C56" w:rsidRDefault="001E1C56" w14:paraId="49F206FC" w14:textId="77777777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p w:rsidRPr="009A7326" w:rsidR="001E1C56" w:rsidRDefault="001E1C56" w14:paraId="0DB3BC56" w14:textId="25500604">
      <w:pPr>
        <w:rPr>
          <w:lang w:val="en-GB"/>
        </w:rPr>
      </w:pPr>
    </w:p>
    <w:sectPr w:rsidRPr="009A7326" w:rsidR="001E1C56" w:rsidSect="00532F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BEBB" w14:textId="77777777" w:rsidR="00BC0F05" w:rsidRDefault="00BC0F05" w:rsidP="00AB0E74">
      <w:pPr>
        <w:spacing w:line="240" w:lineRule="auto"/>
      </w:pPr>
      <w:r>
        <w:separator/>
      </w:r>
    </w:p>
  </w:endnote>
  <w:endnote w:type="continuationSeparator" w:id="0">
    <w:p w14:paraId="27F0D4FF" w14:textId="77777777" w:rsidR="00BC0F05" w:rsidRDefault="00BC0F05" w:rsidP="00AB0E74">
      <w:pPr>
        <w:spacing w:line="240" w:lineRule="auto"/>
      </w:pPr>
      <w:r>
        <w:continuationSeparator/>
      </w:r>
    </w:p>
  </w:endnote>
  <w:endnote w:type="continuationNotice" w:id="1">
    <w:p w14:paraId="6408709D" w14:textId="77777777" w:rsidR="00BC0F05" w:rsidRDefault="00BC0F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F629" w14:textId="2941FE2B" w:rsidR="52325CEE" w:rsidRPr="00532F57" w:rsidRDefault="00532F57" w:rsidP="00532F57">
    <w:pPr>
      <w:pStyle w:val="Footer"/>
    </w:pPr>
    <w:r>
      <w:t xml:space="preserve">EESC-2024-02379-00-00-TCD-TRA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C13544">
      <w:t>1</w:t>
    </w:r>
    <w:r>
      <w:fldChar w:fldCharType="end"/>
    </w:r>
    <w:r>
      <w:t>/</w:t>
    </w:r>
    <w:r w:rsidR="001E18B4">
      <w:fldChar w:fldCharType="begin"/>
    </w:r>
    <w:r w:rsidR="001E18B4">
      <w:instrText xml:space="preserve"> NUMPAGES </w:instrText>
    </w:r>
    <w:r w:rsidR="001E18B4">
      <w:fldChar w:fldCharType="separate"/>
    </w:r>
    <w:r w:rsidR="00C13544">
      <w:t>1</w:t>
    </w:r>
    <w:r w:rsidR="001E18B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1347" w14:textId="77777777" w:rsidR="007A11EC" w:rsidRPr="00532F57" w:rsidRDefault="007A11EC" w:rsidP="00532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9110" w14:textId="74BE32DB" w:rsidR="00E37925" w:rsidRPr="00532F57" w:rsidRDefault="00532F57" w:rsidP="00532F57">
    <w:pPr>
      <w:pStyle w:val="Footer"/>
    </w:pPr>
    <w:r>
      <w:t xml:space="preserve">EESC-2024-02379-00-00-TCD-TRA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1E18B4">
      <w:fldChar w:fldCharType="begin"/>
    </w:r>
    <w:r w:rsidR="001E18B4">
      <w:instrText xml:space="preserve"> NUMPAGES </w:instrText>
    </w:r>
    <w:r w:rsidR="001E18B4">
      <w:fldChar w:fldCharType="separate"/>
    </w:r>
    <w:r>
      <w:t>6</w:t>
    </w:r>
    <w:r w:rsidR="001E18B4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FB4B" w14:textId="77777777" w:rsidR="007A11EC" w:rsidRPr="00532F57" w:rsidRDefault="007A11EC" w:rsidP="00532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5D7F" w14:textId="77777777" w:rsidR="00BC0F05" w:rsidRDefault="00BC0F05" w:rsidP="00AB0E74">
      <w:pPr>
        <w:spacing w:line="240" w:lineRule="auto"/>
      </w:pPr>
      <w:r>
        <w:separator/>
      </w:r>
    </w:p>
  </w:footnote>
  <w:footnote w:type="continuationSeparator" w:id="0">
    <w:p w14:paraId="4A64F4C4" w14:textId="77777777" w:rsidR="00BC0F05" w:rsidRDefault="00BC0F05" w:rsidP="00AB0E74">
      <w:pPr>
        <w:spacing w:line="240" w:lineRule="auto"/>
      </w:pPr>
      <w:r>
        <w:continuationSeparator/>
      </w:r>
    </w:p>
  </w:footnote>
  <w:footnote w:type="continuationNotice" w:id="1">
    <w:p w14:paraId="3AEC848C" w14:textId="77777777" w:rsidR="00BC0F05" w:rsidRDefault="00BC0F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A348" w14:textId="77777777" w:rsidR="007A11EC" w:rsidRPr="00532F57" w:rsidRDefault="007A11EC" w:rsidP="00532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3F8E" w14:textId="2EE06CDC" w:rsidR="007A11EC" w:rsidRPr="00532F57" w:rsidRDefault="007A11EC" w:rsidP="00532F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A397" w14:textId="77777777" w:rsidR="007A11EC" w:rsidRPr="00532F57" w:rsidRDefault="007A11EC" w:rsidP="00532F5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oqCPzPP" int2:invalidationBookmarkName="" int2:hashCode="e0dMsLOcF3PXGS" int2:id="nplFsTcl">
      <int2:state int2:type="AugLoop_Text_Critique" int2:value="Rejected"/>
    </int2:bookmark>
    <int2:bookmark int2:bookmarkName="_Int_t84IWXMq" int2:invalidationBookmarkName="" int2:hashCode="aLmqM6hZPDjXjc" int2:id="UG4PT0Ah">
      <int2:state int2:type="AugLoop_Text_Critique" int2:value="Rejected"/>
    </int2:bookmark>
    <int2:bookmark int2:bookmarkName="_Int_Hy59g5Hy" int2:invalidationBookmarkName="" int2:hashCode="QbEkvVO+SpWO2g" int2:id="iBEHxSkL">
      <int2:state int2:type="AugLoop_Text_Critique" int2:value="Rejected"/>
    </int2:bookmark>
    <int2:bookmark int2:bookmarkName="_Int_Zi7OIc06" int2:invalidationBookmarkName="" int2:hashCode="O9nrcgd9+cDlc2" int2:id="Roz0Rhx0">
      <int2:state int2:type="AugLoop_Text_Critique" int2:value="Rejected"/>
    </int2:bookmark>
    <int2:bookmark int2:bookmarkName="_Int_x3JLjUIw" int2:invalidationBookmarkName="" int2:hashCode="egGNwDErYoGou2" int2:id="fTZTtQRK">
      <int2:state int2:type="AugLoop_Text_Critique" int2:value="Rejected"/>
    </int2:bookmark>
    <int2:bookmark int2:bookmarkName="_Int_UpxGfGiJ" int2:invalidationBookmarkName="" int2:hashCode="MBOoOqzRPp342M" int2:id="ENZMVU8f">
      <int2:state int2:type="AugLoop_Text_Critique" int2:value="Rejected"/>
    </int2:bookmark>
    <int2:bookmark int2:bookmarkName="_Int_d9rsYsIM" int2:invalidationBookmarkName="" int2:hashCode="sBcuIKB+I7Avo3" int2:id="RhEaSRAT">
      <int2:state int2:type="AugLoop_Text_Critique" int2:value="Rejected"/>
    </int2:bookmark>
    <int2:bookmark int2:bookmarkName="_Int_KcGadusM" int2:invalidationBookmarkName="" int2:hashCode="5cEnj+BQkBZE21" int2:id="8wbwk1HU">
      <int2:state int2:type="AugLoop_Text_Critique" int2:value="Rejected"/>
    </int2:bookmark>
    <int2:bookmark int2:bookmarkName="_Int_4sPKBQP3" int2:invalidationBookmarkName="" int2:hashCode="YD+82+V1vFecXo" int2:id="4V1DhOCL">
      <int2:state int2:type="AugLoop_Text_Critique" int2:value="Rejected"/>
    </int2:bookmark>
    <int2:bookmark int2:bookmarkName="_Int_5PCRrvwm" int2:invalidationBookmarkName="" int2:hashCode="QsSPi8+O1klDhN" int2:id="prlDt5wn">
      <int2:state int2:type="AugLoop_Acronyms_AcronymsCritique" int2:value="Rejected"/>
    </int2:bookmark>
    <int2:bookmark int2:bookmarkName="_Int_XG2zh1wI" int2:invalidationBookmarkName="" int2:hashCode="yC0bCc8yKRdh1N" int2:id="UAx2FtPK">
      <int2:state int2:type="AugLoop_Acronyms_Acronyms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BD73816"/>
    <w:multiLevelType w:val="hybridMultilevel"/>
    <w:tmpl w:val="D29675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3FF1"/>
    <w:multiLevelType w:val="multilevel"/>
    <w:tmpl w:val="67F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D13A9E"/>
    <w:multiLevelType w:val="multilevel"/>
    <w:tmpl w:val="F2C6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9356A4"/>
    <w:multiLevelType w:val="multilevel"/>
    <w:tmpl w:val="233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73CE2"/>
    <w:multiLevelType w:val="multilevel"/>
    <w:tmpl w:val="EA8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B7"/>
    <w:rsid w:val="00010809"/>
    <w:rsid w:val="0002341D"/>
    <w:rsid w:val="00065CB3"/>
    <w:rsid w:val="00090BE0"/>
    <w:rsid w:val="000A2F5E"/>
    <w:rsid w:val="000A3450"/>
    <w:rsid w:val="000A7C73"/>
    <w:rsid w:val="000B3580"/>
    <w:rsid w:val="000B5EC0"/>
    <w:rsid w:val="000B741F"/>
    <w:rsid w:val="000C1037"/>
    <w:rsid w:val="000C4294"/>
    <w:rsid w:val="000C7D64"/>
    <w:rsid w:val="000D2C33"/>
    <w:rsid w:val="000E5927"/>
    <w:rsid w:val="000F3191"/>
    <w:rsid w:val="000F7DAE"/>
    <w:rsid w:val="00112BBA"/>
    <w:rsid w:val="00114E7D"/>
    <w:rsid w:val="001307F4"/>
    <w:rsid w:val="001323EA"/>
    <w:rsid w:val="00144773"/>
    <w:rsid w:val="00144A42"/>
    <w:rsid w:val="001511B5"/>
    <w:rsid w:val="001514FE"/>
    <w:rsid w:val="001533CD"/>
    <w:rsid w:val="001622AD"/>
    <w:rsid w:val="00167E3F"/>
    <w:rsid w:val="00174F30"/>
    <w:rsid w:val="001810CE"/>
    <w:rsid w:val="00191FFC"/>
    <w:rsid w:val="00193F06"/>
    <w:rsid w:val="001A4195"/>
    <w:rsid w:val="001A536C"/>
    <w:rsid w:val="001B2AE3"/>
    <w:rsid w:val="001B55C2"/>
    <w:rsid w:val="001C1A26"/>
    <w:rsid w:val="001C6CEB"/>
    <w:rsid w:val="001C7CE4"/>
    <w:rsid w:val="001D34EA"/>
    <w:rsid w:val="001E18B4"/>
    <w:rsid w:val="001E1C56"/>
    <w:rsid w:val="001E38CF"/>
    <w:rsid w:val="001E4F99"/>
    <w:rsid w:val="00200D4B"/>
    <w:rsid w:val="00211FCC"/>
    <w:rsid w:val="00212F67"/>
    <w:rsid w:val="00213137"/>
    <w:rsid w:val="00214237"/>
    <w:rsid w:val="00214C2E"/>
    <w:rsid w:val="002170F6"/>
    <w:rsid w:val="00217D7F"/>
    <w:rsid w:val="00232344"/>
    <w:rsid w:val="0023351E"/>
    <w:rsid w:val="002339E7"/>
    <w:rsid w:val="00233F48"/>
    <w:rsid w:val="00237C48"/>
    <w:rsid w:val="002622BD"/>
    <w:rsid w:val="0027080C"/>
    <w:rsid w:val="002717FB"/>
    <w:rsid w:val="0027344F"/>
    <w:rsid w:val="00273494"/>
    <w:rsid w:val="002745AB"/>
    <w:rsid w:val="00281D8D"/>
    <w:rsid w:val="002868F1"/>
    <w:rsid w:val="00286AA7"/>
    <w:rsid w:val="00294FD7"/>
    <w:rsid w:val="002A22C5"/>
    <w:rsid w:val="002A2CBC"/>
    <w:rsid w:val="002A6FFE"/>
    <w:rsid w:val="002B1C24"/>
    <w:rsid w:val="002B532C"/>
    <w:rsid w:val="002B6D1A"/>
    <w:rsid w:val="002E5DC9"/>
    <w:rsid w:val="0030010D"/>
    <w:rsid w:val="003002B8"/>
    <w:rsid w:val="00300810"/>
    <w:rsid w:val="00302AEB"/>
    <w:rsid w:val="00306825"/>
    <w:rsid w:val="003177FB"/>
    <w:rsid w:val="00317A2B"/>
    <w:rsid w:val="0032085F"/>
    <w:rsid w:val="00323EFC"/>
    <w:rsid w:val="00326C94"/>
    <w:rsid w:val="003409F7"/>
    <w:rsid w:val="003470BD"/>
    <w:rsid w:val="00351E6F"/>
    <w:rsid w:val="00372570"/>
    <w:rsid w:val="003751BC"/>
    <w:rsid w:val="00375213"/>
    <w:rsid w:val="00375599"/>
    <w:rsid w:val="00380BA1"/>
    <w:rsid w:val="003953AF"/>
    <w:rsid w:val="003A10AE"/>
    <w:rsid w:val="003A6AD2"/>
    <w:rsid w:val="003B13E8"/>
    <w:rsid w:val="003C3A78"/>
    <w:rsid w:val="003D100C"/>
    <w:rsid w:val="003D2170"/>
    <w:rsid w:val="003D405F"/>
    <w:rsid w:val="003D54C9"/>
    <w:rsid w:val="003D77DF"/>
    <w:rsid w:val="003F41E4"/>
    <w:rsid w:val="003F6877"/>
    <w:rsid w:val="004018EB"/>
    <w:rsid w:val="00405488"/>
    <w:rsid w:val="0041738C"/>
    <w:rsid w:val="00417998"/>
    <w:rsid w:val="00422B25"/>
    <w:rsid w:val="0042688C"/>
    <w:rsid w:val="00444CF3"/>
    <w:rsid w:val="00464C17"/>
    <w:rsid w:val="00474910"/>
    <w:rsid w:val="004776E4"/>
    <w:rsid w:val="00486367"/>
    <w:rsid w:val="004947CA"/>
    <w:rsid w:val="00496B69"/>
    <w:rsid w:val="0049777F"/>
    <w:rsid w:val="004A643F"/>
    <w:rsid w:val="004B32DF"/>
    <w:rsid w:val="004C0C54"/>
    <w:rsid w:val="004C3A04"/>
    <w:rsid w:val="004C40B3"/>
    <w:rsid w:val="004C4DC3"/>
    <w:rsid w:val="004C5E40"/>
    <w:rsid w:val="004D200D"/>
    <w:rsid w:val="004D2464"/>
    <w:rsid w:val="004D688A"/>
    <w:rsid w:val="004E12C5"/>
    <w:rsid w:val="004E1D8D"/>
    <w:rsid w:val="004F5D2C"/>
    <w:rsid w:val="005048C4"/>
    <w:rsid w:val="005159CA"/>
    <w:rsid w:val="00515D19"/>
    <w:rsid w:val="00520F01"/>
    <w:rsid w:val="00525A4E"/>
    <w:rsid w:val="00532F57"/>
    <w:rsid w:val="00546692"/>
    <w:rsid w:val="00546E16"/>
    <w:rsid w:val="0054766F"/>
    <w:rsid w:val="00557DEE"/>
    <w:rsid w:val="005718B4"/>
    <w:rsid w:val="005725E5"/>
    <w:rsid w:val="005771B8"/>
    <w:rsid w:val="00582961"/>
    <w:rsid w:val="00592E7A"/>
    <w:rsid w:val="00593DB6"/>
    <w:rsid w:val="005A0C10"/>
    <w:rsid w:val="005A2B87"/>
    <w:rsid w:val="005A7276"/>
    <w:rsid w:val="005A746C"/>
    <w:rsid w:val="005B3334"/>
    <w:rsid w:val="005C60B5"/>
    <w:rsid w:val="005C75E5"/>
    <w:rsid w:val="005D4D0B"/>
    <w:rsid w:val="005E0273"/>
    <w:rsid w:val="0060188B"/>
    <w:rsid w:val="00603122"/>
    <w:rsid w:val="00604754"/>
    <w:rsid w:val="00623531"/>
    <w:rsid w:val="00634925"/>
    <w:rsid w:val="00634C1E"/>
    <w:rsid w:val="006437F3"/>
    <w:rsid w:val="00646187"/>
    <w:rsid w:val="006661CB"/>
    <w:rsid w:val="00673256"/>
    <w:rsid w:val="006737DF"/>
    <w:rsid w:val="00673857"/>
    <w:rsid w:val="00674FE9"/>
    <w:rsid w:val="0069272D"/>
    <w:rsid w:val="00694858"/>
    <w:rsid w:val="006A2807"/>
    <w:rsid w:val="006A32D6"/>
    <w:rsid w:val="006A5353"/>
    <w:rsid w:val="006A6CC9"/>
    <w:rsid w:val="006A7267"/>
    <w:rsid w:val="006B1FBF"/>
    <w:rsid w:val="006D1383"/>
    <w:rsid w:val="006D3A71"/>
    <w:rsid w:val="006E0EA5"/>
    <w:rsid w:val="006E698B"/>
    <w:rsid w:val="006E75E9"/>
    <w:rsid w:val="006F129B"/>
    <w:rsid w:val="006F3C22"/>
    <w:rsid w:val="00703587"/>
    <w:rsid w:val="00706FD7"/>
    <w:rsid w:val="00710E3E"/>
    <w:rsid w:val="00713F02"/>
    <w:rsid w:val="0072374C"/>
    <w:rsid w:val="007311B0"/>
    <w:rsid w:val="00732FAB"/>
    <w:rsid w:val="00741DE9"/>
    <w:rsid w:val="00745847"/>
    <w:rsid w:val="00751EE8"/>
    <w:rsid w:val="00761592"/>
    <w:rsid w:val="00764026"/>
    <w:rsid w:val="00766243"/>
    <w:rsid w:val="0077475C"/>
    <w:rsid w:val="007860EC"/>
    <w:rsid w:val="007A11EC"/>
    <w:rsid w:val="007A1ABD"/>
    <w:rsid w:val="007A4DF0"/>
    <w:rsid w:val="007B1D13"/>
    <w:rsid w:val="007B46BD"/>
    <w:rsid w:val="007B7806"/>
    <w:rsid w:val="007C3A57"/>
    <w:rsid w:val="007C5659"/>
    <w:rsid w:val="007D5A07"/>
    <w:rsid w:val="007E7BF4"/>
    <w:rsid w:val="007F487B"/>
    <w:rsid w:val="007F6CCB"/>
    <w:rsid w:val="00803A22"/>
    <w:rsid w:val="00827CD0"/>
    <w:rsid w:val="00830641"/>
    <w:rsid w:val="00842362"/>
    <w:rsid w:val="00847314"/>
    <w:rsid w:val="00855EFE"/>
    <w:rsid w:val="008602E8"/>
    <w:rsid w:val="00863405"/>
    <w:rsid w:val="0086657D"/>
    <w:rsid w:val="008673E1"/>
    <w:rsid w:val="0087394F"/>
    <w:rsid w:val="00873F45"/>
    <w:rsid w:val="00877154"/>
    <w:rsid w:val="008839D9"/>
    <w:rsid w:val="0088709B"/>
    <w:rsid w:val="008B0467"/>
    <w:rsid w:val="008B73D8"/>
    <w:rsid w:val="008C10DF"/>
    <w:rsid w:val="008C77B3"/>
    <w:rsid w:val="008D1D96"/>
    <w:rsid w:val="008E1721"/>
    <w:rsid w:val="008E2CBD"/>
    <w:rsid w:val="008E6165"/>
    <w:rsid w:val="008F5EE5"/>
    <w:rsid w:val="00902587"/>
    <w:rsid w:val="00903FC5"/>
    <w:rsid w:val="00906053"/>
    <w:rsid w:val="00911CB8"/>
    <w:rsid w:val="00942056"/>
    <w:rsid w:val="009432D4"/>
    <w:rsid w:val="00943B64"/>
    <w:rsid w:val="009655E9"/>
    <w:rsid w:val="0096591B"/>
    <w:rsid w:val="00990460"/>
    <w:rsid w:val="00990C19"/>
    <w:rsid w:val="009A43D0"/>
    <w:rsid w:val="009A7326"/>
    <w:rsid w:val="009C16C3"/>
    <w:rsid w:val="009D1D9E"/>
    <w:rsid w:val="009D45F9"/>
    <w:rsid w:val="009D63E3"/>
    <w:rsid w:val="009D6A83"/>
    <w:rsid w:val="009E50DF"/>
    <w:rsid w:val="009F2383"/>
    <w:rsid w:val="00A00D8E"/>
    <w:rsid w:val="00A12AB8"/>
    <w:rsid w:val="00A15871"/>
    <w:rsid w:val="00A20DE2"/>
    <w:rsid w:val="00A210CF"/>
    <w:rsid w:val="00A21B2A"/>
    <w:rsid w:val="00A23889"/>
    <w:rsid w:val="00A256A8"/>
    <w:rsid w:val="00A3093A"/>
    <w:rsid w:val="00A4003F"/>
    <w:rsid w:val="00A52B4A"/>
    <w:rsid w:val="00A63E06"/>
    <w:rsid w:val="00A666AF"/>
    <w:rsid w:val="00A7344E"/>
    <w:rsid w:val="00A83085"/>
    <w:rsid w:val="00A91EDD"/>
    <w:rsid w:val="00A9706B"/>
    <w:rsid w:val="00A977AA"/>
    <w:rsid w:val="00AB0E74"/>
    <w:rsid w:val="00AB2044"/>
    <w:rsid w:val="00AB5FC8"/>
    <w:rsid w:val="00AC77AD"/>
    <w:rsid w:val="00AD0B61"/>
    <w:rsid w:val="00AD2568"/>
    <w:rsid w:val="00AD44F1"/>
    <w:rsid w:val="00AD75BA"/>
    <w:rsid w:val="00AE523D"/>
    <w:rsid w:val="00AE6FE4"/>
    <w:rsid w:val="00B012E2"/>
    <w:rsid w:val="00B04F7E"/>
    <w:rsid w:val="00B057BE"/>
    <w:rsid w:val="00B153AE"/>
    <w:rsid w:val="00B17E23"/>
    <w:rsid w:val="00B2799E"/>
    <w:rsid w:val="00B37B94"/>
    <w:rsid w:val="00B412D8"/>
    <w:rsid w:val="00B437E9"/>
    <w:rsid w:val="00B65124"/>
    <w:rsid w:val="00B71E14"/>
    <w:rsid w:val="00B751E0"/>
    <w:rsid w:val="00B75615"/>
    <w:rsid w:val="00B823BE"/>
    <w:rsid w:val="00B845E9"/>
    <w:rsid w:val="00B96500"/>
    <w:rsid w:val="00B96F50"/>
    <w:rsid w:val="00BA3252"/>
    <w:rsid w:val="00BA545B"/>
    <w:rsid w:val="00BB2526"/>
    <w:rsid w:val="00BB7DFF"/>
    <w:rsid w:val="00BC0F05"/>
    <w:rsid w:val="00BC4E78"/>
    <w:rsid w:val="00BC7EF3"/>
    <w:rsid w:val="00BD0D56"/>
    <w:rsid w:val="00BD445B"/>
    <w:rsid w:val="00BD5000"/>
    <w:rsid w:val="00BD539C"/>
    <w:rsid w:val="00BD6509"/>
    <w:rsid w:val="00BE1D46"/>
    <w:rsid w:val="00BE5EE4"/>
    <w:rsid w:val="00C03BA6"/>
    <w:rsid w:val="00C06056"/>
    <w:rsid w:val="00C062A5"/>
    <w:rsid w:val="00C06B81"/>
    <w:rsid w:val="00C07DD8"/>
    <w:rsid w:val="00C13544"/>
    <w:rsid w:val="00C143F9"/>
    <w:rsid w:val="00C261DD"/>
    <w:rsid w:val="00C35904"/>
    <w:rsid w:val="00C519A9"/>
    <w:rsid w:val="00C65076"/>
    <w:rsid w:val="00C7024E"/>
    <w:rsid w:val="00C715F9"/>
    <w:rsid w:val="00C751D2"/>
    <w:rsid w:val="00C854BF"/>
    <w:rsid w:val="00C86634"/>
    <w:rsid w:val="00C928E7"/>
    <w:rsid w:val="00CA12A6"/>
    <w:rsid w:val="00CA7845"/>
    <w:rsid w:val="00CB468C"/>
    <w:rsid w:val="00CD11A5"/>
    <w:rsid w:val="00CD2E0C"/>
    <w:rsid w:val="00CE0BB1"/>
    <w:rsid w:val="00CE136A"/>
    <w:rsid w:val="00CE3CC0"/>
    <w:rsid w:val="00D10674"/>
    <w:rsid w:val="00D13898"/>
    <w:rsid w:val="00D15BA3"/>
    <w:rsid w:val="00D57E52"/>
    <w:rsid w:val="00D672A9"/>
    <w:rsid w:val="00D76E6A"/>
    <w:rsid w:val="00D77037"/>
    <w:rsid w:val="00DA20E2"/>
    <w:rsid w:val="00DB1CC6"/>
    <w:rsid w:val="00DB3064"/>
    <w:rsid w:val="00DC3096"/>
    <w:rsid w:val="00DC67FE"/>
    <w:rsid w:val="00DD075F"/>
    <w:rsid w:val="00DD0B68"/>
    <w:rsid w:val="00DD4697"/>
    <w:rsid w:val="00DD680E"/>
    <w:rsid w:val="00DE04A2"/>
    <w:rsid w:val="00DF36C4"/>
    <w:rsid w:val="00DF6765"/>
    <w:rsid w:val="00E00916"/>
    <w:rsid w:val="00E0273F"/>
    <w:rsid w:val="00E03F53"/>
    <w:rsid w:val="00E11AB7"/>
    <w:rsid w:val="00E1293A"/>
    <w:rsid w:val="00E2452C"/>
    <w:rsid w:val="00E24F6C"/>
    <w:rsid w:val="00E3340B"/>
    <w:rsid w:val="00E359EB"/>
    <w:rsid w:val="00E37925"/>
    <w:rsid w:val="00E4162B"/>
    <w:rsid w:val="00E5395A"/>
    <w:rsid w:val="00E54312"/>
    <w:rsid w:val="00E61C22"/>
    <w:rsid w:val="00E62617"/>
    <w:rsid w:val="00E64ACE"/>
    <w:rsid w:val="00E6667E"/>
    <w:rsid w:val="00E67FF0"/>
    <w:rsid w:val="00E82505"/>
    <w:rsid w:val="00E87659"/>
    <w:rsid w:val="00E90377"/>
    <w:rsid w:val="00E9396B"/>
    <w:rsid w:val="00EA356A"/>
    <w:rsid w:val="00EA6CF0"/>
    <w:rsid w:val="00EB4A1F"/>
    <w:rsid w:val="00ED2657"/>
    <w:rsid w:val="00ED6CDF"/>
    <w:rsid w:val="00EE1779"/>
    <w:rsid w:val="00EE1F8D"/>
    <w:rsid w:val="00EE6804"/>
    <w:rsid w:val="00EE7728"/>
    <w:rsid w:val="00EE7FCA"/>
    <w:rsid w:val="00F04013"/>
    <w:rsid w:val="00F06925"/>
    <w:rsid w:val="00F15CBC"/>
    <w:rsid w:val="00F2266E"/>
    <w:rsid w:val="00F22B98"/>
    <w:rsid w:val="00F236D3"/>
    <w:rsid w:val="00F358DF"/>
    <w:rsid w:val="00F372A7"/>
    <w:rsid w:val="00F41B1C"/>
    <w:rsid w:val="00F4256B"/>
    <w:rsid w:val="00F42AB6"/>
    <w:rsid w:val="00F47A3E"/>
    <w:rsid w:val="00F50519"/>
    <w:rsid w:val="00F51486"/>
    <w:rsid w:val="00F61E4D"/>
    <w:rsid w:val="00F75764"/>
    <w:rsid w:val="00F80EC9"/>
    <w:rsid w:val="00F873BC"/>
    <w:rsid w:val="00F9543A"/>
    <w:rsid w:val="00FA76AC"/>
    <w:rsid w:val="00FB6090"/>
    <w:rsid w:val="00FC28EE"/>
    <w:rsid w:val="00FC4431"/>
    <w:rsid w:val="00FC5D93"/>
    <w:rsid w:val="00FC6883"/>
    <w:rsid w:val="00FD2E5E"/>
    <w:rsid w:val="00FD7E5A"/>
    <w:rsid w:val="00FE2EBB"/>
    <w:rsid w:val="00FE48EB"/>
    <w:rsid w:val="00FE51D7"/>
    <w:rsid w:val="00FE5654"/>
    <w:rsid w:val="00FE5BF7"/>
    <w:rsid w:val="00FE715A"/>
    <w:rsid w:val="011B908E"/>
    <w:rsid w:val="014A056E"/>
    <w:rsid w:val="017C1290"/>
    <w:rsid w:val="01C843FE"/>
    <w:rsid w:val="02035B20"/>
    <w:rsid w:val="021B2F79"/>
    <w:rsid w:val="02321D48"/>
    <w:rsid w:val="02A1526E"/>
    <w:rsid w:val="037070C4"/>
    <w:rsid w:val="03B15C45"/>
    <w:rsid w:val="04C53358"/>
    <w:rsid w:val="05EAD3F5"/>
    <w:rsid w:val="0652A937"/>
    <w:rsid w:val="069BB521"/>
    <w:rsid w:val="06C1AEC1"/>
    <w:rsid w:val="06E2B101"/>
    <w:rsid w:val="08222EBC"/>
    <w:rsid w:val="0877701A"/>
    <w:rsid w:val="08A3BADB"/>
    <w:rsid w:val="08BF67AC"/>
    <w:rsid w:val="099A0242"/>
    <w:rsid w:val="09A0EB97"/>
    <w:rsid w:val="09CECD43"/>
    <w:rsid w:val="0A32301F"/>
    <w:rsid w:val="0AABAF97"/>
    <w:rsid w:val="0AFDC20C"/>
    <w:rsid w:val="0B8AD93F"/>
    <w:rsid w:val="0B989F9A"/>
    <w:rsid w:val="0BCC1796"/>
    <w:rsid w:val="0BE5CD97"/>
    <w:rsid w:val="0C0543AD"/>
    <w:rsid w:val="0C2546A5"/>
    <w:rsid w:val="0C41D354"/>
    <w:rsid w:val="0D41F893"/>
    <w:rsid w:val="0E85623A"/>
    <w:rsid w:val="0FA4E6EA"/>
    <w:rsid w:val="1033ACB8"/>
    <w:rsid w:val="107DC5B1"/>
    <w:rsid w:val="109BAF9F"/>
    <w:rsid w:val="10CDB756"/>
    <w:rsid w:val="120C4EEE"/>
    <w:rsid w:val="129DA2A1"/>
    <w:rsid w:val="12C49B14"/>
    <w:rsid w:val="136FB8DA"/>
    <w:rsid w:val="15C32653"/>
    <w:rsid w:val="163F8F28"/>
    <w:rsid w:val="17263546"/>
    <w:rsid w:val="17980C37"/>
    <w:rsid w:val="179BA882"/>
    <w:rsid w:val="181455AB"/>
    <w:rsid w:val="186E06EF"/>
    <w:rsid w:val="19189B0E"/>
    <w:rsid w:val="192EA542"/>
    <w:rsid w:val="19854C6B"/>
    <w:rsid w:val="19E00CED"/>
    <w:rsid w:val="1A09D750"/>
    <w:rsid w:val="1A355E1E"/>
    <w:rsid w:val="1AEB4E85"/>
    <w:rsid w:val="1C94BFFC"/>
    <w:rsid w:val="1CAAC965"/>
    <w:rsid w:val="1CE2F4D1"/>
    <w:rsid w:val="1CF6C443"/>
    <w:rsid w:val="1D132F94"/>
    <w:rsid w:val="1D341A9D"/>
    <w:rsid w:val="1D4F0195"/>
    <w:rsid w:val="1DBDEF35"/>
    <w:rsid w:val="1E0F1960"/>
    <w:rsid w:val="1EF02590"/>
    <w:rsid w:val="1FD25431"/>
    <w:rsid w:val="2002332F"/>
    <w:rsid w:val="200B451E"/>
    <w:rsid w:val="20297512"/>
    <w:rsid w:val="205FF077"/>
    <w:rsid w:val="207DF841"/>
    <w:rsid w:val="21283A56"/>
    <w:rsid w:val="214F08C2"/>
    <w:rsid w:val="215D8CFF"/>
    <w:rsid w:val="216A57B5"/>
    <w:rsid w:val="217FE731"/>
    <w:rsid w:val="2199A18E"/>
    <w:rsid w:val="21AC666F"/>
    <w:rsid w:val="21C7546C"/>
    <w:rsid w:val="21C94EB7"/>
    <w:rsid w:val="22267497"/>
    <w:rsid w:val="22A2337E"/>
    <w:rsid w:val="22A44CE6"/>
    <w:rsid w:val="22A779EC"/>
    <w:rsid w:val="22DFAAAF"/>
    <w:rsid w:val="23F2D524"/>
    <w:rsid w:val="245D2BD4"/>
    <w:rsid w:val="24FAC639"/>
    <w:rsid w:val="2606C6EA"/>
    <w:rsid w:val="2696424B"/>
    <w:rsid w:val="270EE891"/>
    <w:rsid w:val="27484CDD"/>
    <w:rsid w:val="27A29841"/>
    <w:rsid w:val="27FA1012"/>
    <w:rsid w:val="288AA797"/>
    <w:rsid w:val="288AFB21"/>
    <w:rsid w:val="291D02E0"/>
    <w:rsid w:val="29382769"/>
    <w:rsid w:val="29CE375C"/>
    <w:rsid w:val="2A5045C1"/>
    <w:rsid w:val="2A54045B"/>
    <w:rsid w:val="2A690AD6"/>
    <w:rsid w:val="2B6A07BD"/>
    <w:rsid w:val="2BDA9499"/>
    <w:rsid w:val="2C4ED2B3"/>
    <w:rsid w:val="2C52DF7A"/>
    <w:rsid w:val="2CAE9DF3"/>
    <w:rsid w:val="2CD806D5"/>
    <w:rsid w:val="2D264575"/>
    <w:rsid w:val="2D2EFEC6"/>
    <w:rsid w:val="2D7489F4"/>
    <w:rsid w:val="2DD0508E"/>
    <w:rsid w:val="2DFA8D23"/>
    <w:rsid w:val="2EEFBAE9"/>
    <w:rsid w:val="2EF80C1B"/>
    <w:rsid w:val="2F677F66"/>
    <w:rsid w:val="2FA7BFDF"/>
    <w:rsid w:val="303ED850"/>
    <w:rsid w:val="3055116C"/>
    <w:rsid w:val="30B249C4"/>
    <w:rsid w:val="30C80EED"/>
    <w:rsid w:val="30D3BB14"/>
    <w:rsid w:val="310EEC68"/>
    <w:rsid w:val="31343486"/>
    <w:rsid w:val="31AEDB75"/>
    <w:rsid w:val="31B20EE7"/>
    <w:rsid w:val="32241427"/>
    <w:rsid w:val="326EF8E8"/>
    <w:rsid w:val="32CAA1C6"/>
    <w:rsid w:val="32D9061C"/>
    <w:rsid w:val="33254CD0"/>
    <w:rsid w:val="337AFDF8"/>
    <w:rsid w:val="33A6F16C"/>
    <w:rsid w:val="33C32C0C"/>
    <w:rsid w:val="3486C437"/>
    <w:rsid w:val="3583D370"/>
    <w:rsid w:val="3659BB31"/>
    <w:rsid w:val="3672FE8B"/>
    <w:rsid w:val="36C94D7F"/>
    <w:rsid w:val="36F63025"/>
    <w:rsid w:val="370DD07C"/>
    <w:rsid w:val="37DC5B96"/>
    <w:rsid w:val="380812A8"/>
    <w:rsid w:val="388431BA"/>
    <w:rsid w:val="38A6C001"/>
    <w:rsid w:val="38A9A0DD"/>
    <w:rsid w:val="39B135FB"/>
    <w:rsid w:val="39C35375"/>
    <w:rsid w:val="3A09F3D7"/>
    <w:rsid w:val="3A45713E"/>
    <w:rsid w:val="3A62A116"/>
    <w:rsid w:val="3A97B2B3"/>
    <w:rsid w:val="3AEA514E"/>
    <w:rsid w:val="3B1AFB79"/>
    <w:rsid w:val="3B67032A"/>
    <w:rsid w:val="3B6EF0B0"/>
    <w:rsid w:val="3BBDD95E"/>
    <w:rsid w:val="3C15717E"/>
    <w:rsid w:val="3C5A5519"/>
    <w:rsid w:val="3CB6CBDA"/>
    <w:rsid w:val="3D0AC111"/>
    <w:rsid w:val="3D33C0D6"/>
    <w:rsid w:val="3DA04CCE"/>
    <w:rsid w:val="3DC9ABFB"/>
    <w:rsid w:val="3ECF9137"/>
    <w:rsid w:val="3EDE6509"/>
    <w:rsid w:val="3FE21128"/>
    <w:rsid w:val="4009435E"/>
    <w:rsid w:val="4025F78D"/>
    <w:rsid w:val="405D9A2A"/>
    <w:rsid w:val="432A1D7D"/>
    <w:rsid w:val="44038CAD"/>
    <w:rsid w:val="444CAFA5"/>
    <w:rsid w:val="44C5EDDE"/>
    <w:rsid w:val="450DE570"/>
    <w:rsid w:val="45337C1F"/>
    <w:rsid w:val="46206B0D"/>
    <w:rsid w:val="4621D49D"/>
    <w:rsid w:val="46F3B288"/>
    <w:rsid w:val="4714405B"/>
    <w:rsid w:val="47845067"/>
    <w:rsid w:val="47E30370"/>
    <w:rsid w:val="4818EB5D"/>
    <w:rsid w:val="484D73B8"/>
    <w:rsid w:val="48A20039"/>
    <w:rsid w:val="49875B8F"/>
    <w:rsid w:val="4A1A3164"/>
    <w:rsid w:val="4A312759"/>
    <w:rsid w:val="4A738405"/>
    <w:rsid w:val="4A74719E"/>
    <w:rsid w:val="4B1E97B6"/>
    <w:rsid w:val="4B2F4807"/>
    <w:rsid w:val="4B416A5D"/>
    <w:rsid w:val="4BB601C5"/>
    <w:rsid w:val="4C28F255"/>
    <w:rsid w:val="4C467C1B"/>
    <w:rsid w:val="4CEFA6D7"/>
    <w:rsid w:val="4D51D226"/>
    <w:rsid w:val="4E05560F"/>
    <w:rsid w:val="4E5ACCB2"/>
    <w:rsid w:val="4E8C6C5B"/>
    <w:rsid w:val="4EAED9BA"/>
    <w:rsid w:val="4EFF09BC"/>
    <w:rsid w:val="4F711A57"/>
    <w:rsid w:val="4F7F82BB"/>
    <w:rsid w:val="4FAAD63B"/>
    <w:rsid w:val="4FC1E18F"/>
    <w:rsid w:val="500EC549"/>
    <w:rsid w:val="508972E8"/>
    <w:rsid w:val="50A35083"/>
    <w:rsid w:val="5175C6D3"/>
    <w:rsid w:val="51DAF0B0"/>
    <w:rsid w:val="51F255C5"/>
    <w:rsid w:val="5217E473"/>
    <w:rsid w:val="52325CEE"/>
    <w:rsid w:val="52A659DD"/>
    <w:rsid w:val="52B7C43B"/>
    <w:rsid w:val="537AB468"/>
    <w:rsid w:val="53943428"/>
    <w:rsid w:val="54505536"/>
    <w:rsid w:val="54D878F9"/>
    <w:rsid w:val="5576C1A6"/>
    <w:rsid w:val="55FEA3D0"/>
    <w:rsid w:val="56999901"/>
    <w:rsid w:val="56C8D92B"/>
    <w:rsid w:val="56F2C486"/>
    <w:rsid w:val="57F620BB"/>
    <w:rsid w:val="587B2571"/>
    <w:rsid w:val="58AB8DA8"/>
    <w:rsid w:val="59364492"/>
    <w:rsid w:val="5BC103C5"/>
    <w:rsid w:val="5C13EA50"/>
    <w:rsid w:val="5C1D0518"/>
    <w:rsid w:val="5C6DE554"/>
    <w:rsid w:val="5CBF240A"/>
    <w:rsid w:val="5D520974"/>
    <w:rsid w:val="5DA0005D"/>
    <w:rsid w:val="5E5F8AFB"/>
    <w:rsid w:val="5EC07B3F"/>
    <w:rsid w:val="5EEB07E7"/>
    <w:rsid w:val="5F4AD84B"/>
    <w:rsid w:val="5FAD739C"/>
    <w:rsid w:val="5FE1E97F"/>
    <w:rsid w:val="5FF0F020"/>
    <w:rsid w:val="6042A4C0"/>
    <w:rsid w:val="6093E9BC"/>
    <w:rsid w:val="61FA5DAC"/>
    <w:rsid w:val="620E01FB"/>
    <w:rsid w:val="639F55B9"/>
    <w:rsid w:val="6446F999"/>
    <w:rsid w:val="660269D3"/>
    <w:rsid w:val="661ABE6A"/>
    <w:rsid w:val="6661AEF0"/>
    <w:rsid w:val="667318BC"/>
    <w:rsid w:val="66942BF9"/>
    <w:rsid w:val="669C5B5E"/>
    <w:rsid w:val="66BAA4CB"/>
    <w:rsid w:val="670FD341"/>
    <w:rsid w:val="6799400F"/>
    <w:rsid w:val="67C424D0"/>
    <w:rsid w:val="681B1E8C"/>
    <w:rsid w:val="6894278C"/>
    <w:rsid w:val="68E4DE71"/>
    <w:rsid w:val="68F7FB88"/>
    <w:rsid w:val="69F1F663"/>
    <w:rsid w:val="6A8E3DB9"/>
    <w:rsid w:val="6ABFE127"/>
    <w:rsid w:val="6B4689DF"/>
    <w:rsid w:val="6B541986"/>
    <w:rsid w:val="6B78D177"/>
    <w:rsid w:val="6BB2F3C2"/>
    <w:rsid w:val="6C8BF6A4"/>
    <w:rsid w:val="6D2837B9"/>
    <w:rsid w:val="6D3BB74A"/>
    <w:rsid w:val="6E3E92DC"/>
    <w:rsid w:val="6E665929"/>
    <w:rsid w:val="6EBB3903"/>
    <w:rsid w:val="6FCC3825"/>
    <w:rsid w:val="700E624C"/>
    <w:rsid w:val="70D54E51"/>
    <w:rsid w:val="70FD71EB"/>
    <w:rsid w:val="7113791A"/>
    <w:rsid w:val="716E47FE"/>
    <w:rsid w:val="71A356A2"/>
    <w:rsid w:val="728E92C1"/>
    <w:rsid w:val="72A13D24"/>
    <w:rsid w:val="73BC5F1F"/>
    <w:rsid w:val="73D5D2BE"/>
    <w:rsid w:val="743D0D85"/>
    <w:rsid w:val="744A2095"/>
    <w:rsid w:val="74E1D36F"/>
    <w:rsid w:val="75147F43"/>
    <w:rsid w:val="7525E3FA"/>
    <w:rsid w:val="752A2394"/>
    <w:rsid w:val="758ACB7C"/>
    <w:rsid w:val="76E97314"/>
    <w:rsid w:val="76F48228"/>
    <w:rsid w:val="772654FD"/>
    <w:rsid w:val="77AD2D08"/>
    <w:rsid w:val="77C76D9C"/>
    <w:rsid w:val="782CFA6D"/>
    <w:rsid w:val="792985E9"/>
    <w:rsid w:val="79B54492"/>
    <w:rsid w:val="7B79E003"/>
    <w:rsid w:val="7B8A9AF3"/>
    <w:rsid w:val="7BACE707"/>
    <w:rsid w:val="7BBD6D39"/>
    <w:rsid w:val="7BC78D0A"/>
    <w:rsid w:val="7D0D5D25"/>
    <w:rsid w:val="7D8C54CD"/>
    <w:rsid w:val="7DE3EFCB"/>
    <w:rsid w:val="7DF798EF"/>
    <w:rsid w:val="7E084BFC"/>
    <w:rsid w:val="7FFAD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557641"/>
  <w15:chartTrackingRefBased/>
  <w15:docId w15:val="{FFEDAFD3-E81C-4D1D-854D-5FE53975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F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11AB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E11AB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E11AB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11AB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11AB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11AB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E11AB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11AB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11AB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AB7"/>
    <w:rPr>
      <w:rFonts w:ascii="Times New Roman" w:eastAsia="Times New Roman" w:hAnsi="Times New Roman" w:cs="Times New Roman"/>
      <w:kern w:val="28"/>
      <w:lang w:val="hr-HR"/>
    </w:rPr>
  </w:style>
  <w:style w:type="character" w:customStyle="1" w:styleId="Heading2Char">
    <w:name w:val="Heading 2 Char"/>
    <w:basedOn w:val="DefaultParagraphFont"/>
    <w:link w:val="Heading2"/>
    <w:rsid w:val="00E11AB7"/>
    <w:rPr>
      <w:rFonts w:ascii="Times New Roman" w:eastAsia="Times New Roman" w:hAnsi="Times New Roman" w:cs="Times New Roman"/>
      <w:lang w:val="hr-HR"/>
    </w:rPr>
  </w:style>
  <w:style w:type="character" w:customStyle="1" w:styleId="Heading3Char">
    <w:name w:val="Heading 3 Char"/>
    <w:basedOn w:val="DefaultParagraphFont"/>
    <w:link w:val="Heading3"/>
    <w:rsid w:val="00E11AB7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rsid w:val="00E11AB7"/>
    <w:rPr>
      <w:rFonts w:ascii="Times New Roman" w:eastAsia="Times New Roman" w:hAnsi="Times New Roman" w:cs="Times New Roman"/>
      <w:lang w:val="hr-HR"/>
    </w:rPr>
  </w:style>
  <w:style w:type="character" w:customStyle="1" w:styleId="Heading5Char">
    <w:name w:val="Heading 5 Char"/>
    <w:basedOn w:val="DefaultParagraphFont"/>
    <w:link w:val="Heading5"/>
    <w:rsid w:val="00E11AB7"/>
    <w:rPr>
      <w:rFonts w:ascii="Times New Roman" w:eastAsia="Times New Roman" w:hAnsi="Times New Roman" w:cs="Times New Roman"/>
      <w:lang w:val="hr-HR"/>
    </w:rPr>
  </w:style>
  <w:style w:type="character" w:customStyle="1" w:styleId="Heading6Char">
    <w:name w:val="Heading 6 Char"/>
    <w:basedOn w:val="DefaultParagraphFont"/>
    <w:link w:val="Heading6"/>
    <w:rsid w:val="00E11AB7"/>
    <w:rPr>
      <w:rFonts w:ascii="Times New Roman" w:eastAsia="Times New Roman" w:hAnsi="Times New Roman" w:cs="Times New Roman"/>
      <w:lang w:val="hr-HR"/>
    </w:rPr>
  </w:style>
  <w:style w:type="character" w:customStyle="1" w:styleId="Heading7Char">
    <w:name w:val="Heading 7 Char"/>
    <w:basedOn w:val="DefaultParagraphFont"/>
    <w:link w:val="Heading7"/>
    <w:rsid w:val="00E11AB7"/>
    <w:rPr>
      <w:rFonts w:ascii="Times New Roman" w:eastAsia="Times New Roman" w:hAnsi="Times New Roman" w:cs="Times New Roman"/>
      <w:lang w:val="hr-HR"/>
    </w:rPr>
  </w:style>
  <w:style w:type="character" w:customStyle="1" w:styleId="Heading8Char">
    <w:name w:val="Heading 8 Char"/>
    <w:basedOn w:val="DefaultParagraphFont"/>
    <w:link w:val="Heading8"/>
    <w:rsid w:val="00E11AB7"/>
    <w:rPr>
      <w:rFonts w:ascii="Times New Roman" w:eastAsia="Times New Roman" w:hAnsi="Times New Roman" w:cs="Times New Roman"/>
      <w:lang w:val="hr-HR"/>
    </w:rPr>
  </w:style>
  <w:style w:type="character" w:customStyle="1" w:styleId="Heading9Char">
    <w:name w:val="Heading 9 Char"/>
    <w:basedOn w:val="DefaultParagraphFont"/>
    <w:link w:val="Heading9"/>
    <w:rsid w:val="00E11AB7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qFormat/>
    <w:rsid w:val="00E11AB7"/>
  </w:style>
  <w:style w:type="character" w:customStyle="1" w:styleId="FooterChar">
    <w:name w:val="Footer Char"/>
    <w:basedOn w:val="DefaultParagraphFont"/>
    <w:link w:val="Footer"/>
    <w:rsid w:val="00E11AB7"/>
    <w:rPr>
      <w:rFonts w:ascii="Times New Roman" w:eastAsia="Times New Roman" w:hAnsi="Times New Roman" w:cs="Times New Roman"/>
      <w:lang w:val="hr-HR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,Fussnote"/>
    <w:basedOn w:val="Normal"/>
    <w:link w:val="FootnoteTextChar"/>
    <w:qFormat/>
    <w:rsid w:val="00E11AB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qFormat/>
    <w:rsid w:val="00E11AB7"/>
    <w:rPr>
      <w:rFonts w:ascii="Times New Roman" w:eastAsia="Times New Roman" w:hAnsi="Times New Roman" w:cs="Times New Roman"/>
      <w:sz w:val="16"/>
      <w:lang w:val="hr-HR"/>
    </w:rPr>
  </w:style>
  <w:style w:type="paragraph" w:styleId="Header">
    <w:name w:val="header"/>
    <w:basedOn w:val="Normal"/>
    <w:link w:val="HeaderChar"/>
    <w:qFormat/>
    <w:rsid w:val="00E11AB7"/>
  </w:style>
  <w:style w:type="character" w:customStyle="1" w:styleId="HeaderChar">
    <w:name w:val="Header Char"/>
    <w:basedOn w:val="DefaultParagraphFont"/>
    <w:link w:val="Header"/>
    <w:rsid w:val="00E11AB7"/>
    <w:rPr>
      <w:rFonts w:ascii="Times New Roman" w:eastAsia="Times New Roman" w:hAnsi="Times New Roman" w:cs="Times New Roman"/>
      <w:lang w:val="hr-HR"/>
    </w:rPr>
  </w:style>
  <w:style w:type="paragraph" w:customStyle="1" w:styleId="quotes">
    <w:name w:val="quotes"/>
    <w:basedOn w:val="Normal"/>
    <w:next w:val="Normal"/>
    <w:rsid w:val="00E11AB7"/>
    <w:pPr>
      <w:ind w:left="720"/>
    </w:pPr>
    <w:rPr>
      <w:i/>
    </w:rPr>
  </w:style>
  <w:style w:type="character" w:styleId="FootnoteReference">
    <w:name w:val="footnote reference"/>
    <w:basedOn w:val="DefaultParagraphFont"/>
    <w:uiPriority w:val="99"/>
    <w:unhideWhenUsed/>
    <w:qFormat/>
    <w:rsid w:val="00E11AB7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E11A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A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CE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CE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E64ACE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B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256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E5DC9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F9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paragraph">
    <w:name w:val="paragraph"/>
    <w:basedOn w:val="Normal"/>
    <w:rsid w:val="00464C17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64C17"/>
  </w:style>
  <w:style w:type="character" w:customStyle="1" w:styleId="eop">
    <w:name w:val="eop"/>
    <w:basedOn w:val="DefaultParagraphFont"/>
    <w:rsid w:val="0046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1" Type="http://schemas.openxmlformats.org/officeDocument/2006/relationships/theme" Target="theme/theme1.xml"/><Relationship Id="rId34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33" Type="http://schemas.microsoft.com/office/2020/10/relationships/intelligence" Target="intelligence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openxmlformats.org/officeDocument/2006/relationships/customXml" Target="../customXml/item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36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d8da1-ee01-4c5c-b90d-f442c3d8b2bb">
      <Value>36</Value>
      <Value>34</Value>
      <Value>33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16</Value>
      <Value>14</Value>
      <Value>13</Value>
      <Value>8</Value>
      <Value>6</Value>
      <Value>5</Value>
      <Value>3</Value>
      <Value>1</Value>
    </TaxCatchAll>
    <lcf76f155ced4ddcb4097134ff3c332f xmlns="92abc43f-b6a9-4515-b0be-17c94ca9b0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9C698F2971CE54890F427AFE3EB568F" ma:contentTypeVersion="4" ma:contentTypeDescription="Defines the documents for Document Manager V2" ma:contentTypeScope="" ma:versionID="1ede4366cc334d81186bb4f7d46e0bfd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36007a90-28ab-40da-967b-595e4ec83007" targetNamespace="http://schemas.microsoft.com/office/2006/metadata/properties" ma:root="true" ma:fieldsID="793bace539ab1b60d443041a34a09cc2" ns2:_="" ns3:_="" ns4:_="">
    <xsd:import namespace="59ace41b-6786-4ce3-be71-52c27066c6ef"/>
    <xsd:import namespace="http://schemas.microsoft.com/sharepoint/v3/fields"/>
    <xsd:import namespace="36007a90-28ab-40da-967b-595e4ec830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7a90-28ab-40da-967b-595e4ec830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E489C905DDC4692E2F8E3EF4F2004" ma:contentTypeVersion="15" ma:contentTypeDescription="Create a new document." ma:contentTypeScope="" ma:versionID="eaa1559926585677670f893ce3abfbf2">
  <xsd:schema xmlns:xsd="http://www.w3.org/2001/XMLSchema" xmlns:xs="http://www.w3.org/2001/XMLSchema" xmlns:p="http://schemas.microsoft.com/office/2006/metadata/properties" xmlns:ns2="92abc43f-b6a9-4515-b0be-17c94ca9b034" xmlns:ns3="f7cd8da1-ee01-4c5c-b90d-f442c3d8b2bb" targetNamespace="http://schemas.microsoft.com/office/2006/metadata/properties" ma:root="true" ma:fieldsID="9de6530a3464f9d33b4df0cb3ede40eb" ns2:_="" ns3:_="">
    <xsd:import namespace="92abc43f-b6a9-4515-b0be-17c94ca9b034"/>
    <xsd:import namespace="f7cd8da1-ee01-4c5c-b90d-f442c3d8b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bc43f-b6a9-4515-b0be-17c94ca9b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d8da1-ee01-4c5c-b90d-f442c3d8b2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b7717d-e7a1-431a-b923-cff6b96a62fd}" ma:internalName="TaxCatchAll" ma:showField="CatchAllData" ma:web="f7cd8da1-ee01-4c5c-b90d-f442c3d8b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73A83-3A82-4451-ACF4-87FDCB5C8421}"/>
</file>

<file path=customXml/itemProps2.xml><?xml version="1.0" encoding="utf-8"?>
<ds:datastoreItem xmlns:ds="http://schemas.openxmlformats.org/officeDocument/2006/customXml" ds:itemID="{4DF7C094-3BE6-4668-BCE0-AC9488475EFD}"/>
</file>

<file path=customXml/itemProps3.xml><?xml version="1.0" encoding="utf-8"?>
<ds:datastoreItem xmlns:ds="http://schemas.openxmlformats.org/officeDocument/2006/customXml" ds:itemID="{875BA4FE-DD8D-4734-BFE0-F0DAA0088242}"/>
</file>

<file path=customXml/itemProps4.xml><?xml version="1.0" encoding="utf-8"?>
<ds:datastoreItem xmlns:ds="http://schemas.openxmlformats.org/officeDocument/2006/customXml" ds:itemID="{9781CC7A-5A45-4936-A129-234088803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2068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conclusions (post 2022 annual meeting of the presidents and secretaries-general of the EESC and of the Economic and Social Councils of the EU)</vt:lpstr>
    </vt:vector>
  </TitlesOfParts>
  <Company>CESE-CdR</Company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Zaključci - S riječi na djela: uloga organiziranog civilnog društva u provedbi i procjeni javnih politika - dvostruka tranzicija</dc:title>
  <dc:subject>TCD</dc:subject>
  <dc:creator>Scordamaglia Damiano</dc:creator>
  <cp:keywords>EESC-2024-02379-00-00-TCD-TRA-EN</cp:keywords>
  <dc:description>Rapporteur:  - Original language: EN - Date of document: 08/07/2024 - Date of meeting:  - External documents:  - Administrator:  SCORDAMAGLIA DAMIANO</dc:description>
  <cp:lastModifiedBy>Briski Petra</cp:lastModifiedBy>
  <cp:revision>8</cp:revision>
  <cp:lastPrinted>2022-10-10T09:23:00Z</cp:lastPrinted>
  <dcterms:created xsi:type="dcterms:W3CDTF">2024-07-08T08:56:00Z</dcterms:created>
  <dcterms:modified xsi:type="dcterms:W3CDTF">2024-07-08T08:58:00Z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24/06/2024, 15/11/2022, 04/11/2022, 26/10/2022</vt:lpwstr>
  </property>
  <property fmtid="{D5CDD505-2E9C-101B-9397-08002B2CF9AE}" pid="4" name="Pref_Time">
    <vt:lpwstr>17:15:03, 15:38:38, 16:24:55, 17:30:59</vt:lpwstr>
  </property>
  <property fmtid="{D5CDD505-2E9C-101B-9397-08002B2CF9AE}" pid="5" name="Pref_User">
    <vt:lpwstr>jhvi, jhvi, amett, amett</vt:lpwstr>
  </property>
  <property fmtid="{D5CDD505-2E9C-101B-9397-08002B2CF9AE}" pid="6" name="Pref_FileName">
    <vt:lpwstr>eesc-2024-02379-00-00-tcd-ori.docx, EESC-2022-05261-00-02-TCD-ORI.docx, EESC-2022-05261-00-01-TCD-TRA-EN-CRR.docx, EESC-2022-05261-00-00-TCD-TRA-EN-CRR.docx</vt:lpwstr>
  </property>
  <property fmtid="{D5CDD505-2E9C-101B-9397-08002B2CF9AE}" pid="7" name="ContentTypeId">
    <vt:lpwstr>0x010100791E489C905DDC4692E2F8E3EF4F2004</vt:lpwstr>
  </property>
  <property fmtid="{D5CDD505-2E9C-101B-9397-08002B2CF9AE}" pid="8" name="_dlc_DocIdItemGuid">
    <vt:lpwstr>30cb2f8c-6dbc-4b05-ae00-ceacc7015421</vt:lpwstr>
  </property>
  <property fmtid="{D5CDD505-2E9C-101B-9397-08002B2CF9AE}" pid="9" name="AvailableTranslations">
    <vt:lpwstr>14;#FR|d2afafd3-4c81-4f60-8f52-ee33f2f54ff3;#29;#EL|6d4f4d51-af9b-4650-94b4-4276bee85c91;#25;#DE|f6b31e5a-26fa-4935-b661-318e46daf27e;#21;#SV|c2ed69e7-a339-43d7-8f22-d93680a92aa0;#31;#NL|55c6556c-b4f4-441d-9acf-c498d4f838bd;#16;#DA|5d49c027-8956-412b-aa16-e85a0f96ad0e;#33;#ET|ff6c3f4c-b02c-4c3c-ab07-2c37995a7a0a;#26;#SK|46d9fce0-ef79-4f71-b89b-cd6aa82426b8;#24;#ES|e7a6b05b-ae16-40c8-add9-68b64b03aeba;#34;#LT|a7ff5ce7-6123-4f68-865a-a57c31810414;#22;#BG|1a1b3951-7821-4e6a-85f5-5673fc08bd2c;#27;#SL|98a412ae-eb01-49e9-ae3d-585a81724cfc;#28;#LV|46f7e311-5d9f-4663-b433-18aeccb7ace7;#5;#EN|f2175f21-25d7-44a3-96da-d6a61b075e1b;#23;#MT|7df99101-6854-4a26-b53a-b88c0da02c26;#30;#HR|2f555653-ed1a-4fe6-8362-9082d95989e5;#36;#PT|50ccc04a-eadd-42ae-a0cb-acaf45f812ba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2379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13;#TCD|cd9d6eb6-3f4f-424a-b2d1-57c9d450eaaf</vt:lpwstr>
  </property>
  <property fmtid="{D5CDD505-2E9C-101B-9397-08002B2CF9AE}" pid="21" name="RequestingService">
    <vt:lpwstr>Relations avec les conseils économiques et sociaux nationaux et la société civile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FR|d2afafd3-4c81-4f60-8f52-ee33f2f54ff3;EL|6d4f4d51-af9b-4650-94b4-4276bee85c91;DE|f6b31e5a-26fa-4935-b661-318e46daf27e;SV|c2ed69e7-a339-43d7-8f22-d93680a92aa0;NL|55c6556c-b4f4-441d-9acf-c498d4f838bd;ET|ff6c3f4c-b02c-4c3c-ab07-2c37995a7a0a;SK|46d9fce0-ef79-4f71-b89b-cd6aa82426b8;ES|e7a6b05b-ae16-40c8-add9-68b64b03aeba;LT|a7ff5ce7-6123-4f68-865a-a57c31810414;BG|1a1b3951-7821-4e6a-85f5-5673fc08bd2c;SL|98a412ae-eb01-49e9-ae3d-585a81724cfc;LV|46f7e311-5d9f-4663-b433-18aeccb7ace7;EN|f2175f21-25d7-44a3-96da-d6a61b075e1b;MT|7df99101-6854-4a26-b53a-b88c0da02c26;PT|50ccc04a-eadd-42ae-a0cb-acaf45f812ba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36;#PT|50ccc04a-eadd-42ae-a0cb-acaf45f812ba;#34;#LT|a7ff5ce7-6123-4f68-865a-a57c31810414;#33;#ET|ff6c3f4c-b02c-4c3c-ab07-2c37995a7a0a;#31;#NL|55c6556c-b4f4-441d-9acf-c498d4f838bd;#29;#EL|6d4f4d51-af9b-4650-94b4-4276bee85c91;#28;#LV|46f7e311-5d9f-4663-b433-18aeccb7ace7;#27;#SL|98a412ae-eb01-49e9-ae3d-585a81724cfc;#26;#SK|46d9fce0-ef79-4f71-b89b-cd6aa82426b8;#25;#DE|f6b31e5a-26fa-4935-b661-318e46daf27e;#24;#ES|e7a6b05b-ae16-40c8-add9-68b64b03aeba;#23;#MT|7df99101-6854-4a26-b53a-b88c0da02c26;#22;#BG|1a1b3951-7821-4e6a-85f5-5673fc08bd2c;#21;#SV|c2ed69e7-a339-43d7-8f22-d93680a92aa0;#14;#FR|d2afafd3-4c81-4f60-8f52-ee33f2f54ff3;#13;#TCD|cd9d6eb6-3f4f-424a-b2d1-57c9d450eaaf;#8;#Final|ea5e6674-7b27-4bac-b091-73adbb394efe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6664</vt:i4>
  </property>
  <property fmtid="{D5CDD505-2E9C-101B-9397-08002B2CF9AE}" pid="36" name="DocumentLanguage">
    <vt:lpwstr>30;#HR|2f555653-ed1a-4fe6-8362-9082d95989e5</vt:lpwstr>
  </property>
</Properties>
</file>