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4107DE" w14:paraId="095AEEC0" w14:textId="77777777">
        <w:trPr>
          <w:jc w:val="center"/>
        </w:trPr>
        <w:tc>
          <w:tcPr>
            <w:tcW w:w="5000" w:type="pct"/>
            <w:vAlign w:val="center"/>
          </w:tcPr>
          <w:p w14:paraId="0943CEA3" w14:textId="77777777" w:rsidR="00901B76" w:rsidRPr="00316392" w:rsidRDefault="00901B76" w:rsidP="00E801C3">
            <w:pPr>
              <w:jc w:val="center"/>
              <w:rPr>
                <w:b/>
                <w:sz w:val="72"/>
                <w:szCs w:val="72"/>
              </w:rPr>
            </w:pPr>
            <w:r>
              <w:rPr>
                <w:b/>
                <w:sz w:val="72"/>
              </w:rPr>
              <w:t>RESOLUCIJA</w:t>
            </w:r>
          </w:p>
        </w:tc>
      </w:tr>
      <w:tr w:rsidR="004107DE" w14:paraId="30481270" w14:textId="77777777">
        <w:trPr>
          <w:trHeight w:val="567"/>
          <w:jc w:val="center"/>
        </w:trPr>
        <w:tc>
          <w:tcPr>
            <w:tcW w:w="5000" w:type="pct"/>
            <w:vAlign w:val="center"/>
          </w:tcPr>
          <w:p w14:paraId="008603AF" w14:textId="77777777" w:rsidR="00901B76" w:rsidRPr="00316392" w:rsidRDefault="00901B76" w:rsidP="00E801C3">
            <w:pPr>
              <w:jc w:val="center"/>
              <w:rPr>
                <w:sz w:val="24"/>
                <w:szCs w:val="24"/>
              </w:rPr>
            </w:pPr>
            <w:r>
              <w:rPr>
                <w:sz w:val="24"/>
              </w:rPr>
              <w:t>Evropski ekonomsko-socialni odbor</w:t>
            </w:r>
          </w:p>
        </w:tc>
      </w:tr>
      <w:tr w:rsidR="004107DE" w14:paraId="786BDAF8" w14:textId="77777777">
        <w:trPr>
          <w:jc w:val="center"/>
        </w:trPr>
        <w:tc>
          <w:tcPr>
            <w:tcW w:w="5000" w:type="pct"/>
            <w:vAlign w:val="center"/>
          </w:tcPr>
          <w:p w14:paraId="57F81F90" w14:textId="77777777" w:rsidR="005127DA" w:rsidRPr="00316392" w:rsidRDefault="005127DA" w:rsidP="00E801C3">
            <w:pPr>
              <w:jc w:val="center"/>
              <w:rPr>
                <w:b/>
                <w:sz w:val="44"/>
                <w:szCs w:val="44"/>
              </w:rPr>
            </w:pPr>
            <w:r>
              <w:rPr>
                <w:b/>
                <w:sz w:val="44"/>
              </w:rPr>
              <w:t>Nihče ne sme biti zapostavljen!</w:t>
            </w:r>
          </w:p>
          <w:p w14:paraId="64DFCA96" w14:textId="77777777" w:rsidR="00901B76" w:rsidRPr="00316392" w:rsidRDefault="005127DA" w:rsidP="00E801C3">
            <w:pPr>
              <w:jc w:val="center"/>
              <w:rPr>
                <w:b/>
                <w:sz w:val="44"/>
                <w:szCs w:val="44"/>
              </w:rPr>
            </w:pPr>
            <w:r>
              <w:rPr>
                <w:b/>
                <w:sz w:val="44"/>
              </w:rPr>
              <w:t>Za vključujočo in participativno kohezijsko politiko v podporo socialni, ekonomski in teritorialni koheziji</w:t>
            </w:r>
          </w:p>
        </w:tc>
      </w:tr>
      <w:tr w:rsidR="004107DE" w14:paraId="3EEEBB39" w14:textId="77777777">
        <w:trPr>
          <w:jc w:val="center"/>
        </w:trPr>
        <w:tc>
          <w:tcPr>
            <w:tcW w:w="5000" w:type="pct"/>
            <w:vAlign w:val="center"/>
          </w:tcPr>
          <w:p w14:paraId="5CBC4D4F" w14:textId="77777777" w:rsidR="00901B76" w:rsidRPr="00316392" w:rsidRDefault="00901B76" w:rsidP="00E801C3">
            <w:pPr>
              <w:jc w:val="center"/>
              <w:rPr>
                <w:sz w:val="24"/>
                <w:szCs w:val="24"/>
                <w:lang w:val="en-GB"/>
              </w:rPr>
            </w:pPr>
          </w:p>
        </w:tc>
      </w:tr>
      <w:tr w:rsidR="004107DE" w14:paraId="4B422A6C" w14:textId="77777777">
        <w:trPr>
          <w:jc w:val="center"/>
        </w:trPr>
        <w:tc>
          <w:tcPr>
            <w:tcW w:w="5000" w:type="pct"/>
            <w:vAlign w:val="center"/>
          </w:tcPr>
          <w:p w14:paraId="67914648" w14:textId="77777777" w:rsidR="00901B76" w:rsidRPr="00316392" w:rsidRDefault="00901B76" w:rsidP="00E801C3">
            <w:pPr>
              <w:overflowPunct w:val="0"/>
              <w:autoSpaceDE w:val="0"/>
              <w:autoSpaceDN w:val="0"/>
              <w:adjustRightInd w:val="0"/>
              <w:jc w:val="center"/>
              <w:textAlignment w:val="baseline"/>
              <w:rPr>
                <w:b/>
                <w:position w:val="24"/>
                <w:sz w:val="24"/>
                <w:szCs w:val="24"/>
              </w:rPr>
            </w:pPr>
            <w:r>
              <w:rPr>
                <w:sz w:val="24"/>
              </w:rPr>
              <w:t>____________</w:t>
            </w:r>
          </w:p>
        </w:tc>
      </w:tr>
      <w:tr w:rsidR="004107DE" w14:paraId="09E9C973" w14:textId="77777777">
        <w:trPr>
          <w:jc w:val="center"/>
        </w:trPr>
        <w:tc>
          <w:tcPr>
            <w:tcW w:w="5000" w:type="pct"/>
            <w:vAlign w:val="center"/>
          </w:tcPr>
          <w:p w14:paraId="44624B26" w14:textId="77777777" w:rsidR="00901B76" w:rsidRPr="00316392" w:rsidRDefault="00901B76" w:rsidP="00E801C3">
            <w:pPr>
              <w:jc w:val="center"/>
              <w:rPr>
                <w:sz w:val="24"/>
                <w:szCs w:val="24"/>
                <w:lang w:val="en-GB"/>
              </w:rPr>
            </w:pPr>
          </w:p>
        </w:tc>
      </w:tr>
      <w:tr w:rsidR="004107DE" w14:paraId="3EB4DB2D" w14:textId="77777777">
        <w:trPr>
          <w:jc w:val="center"/>
        </w:trPr>
        <w:tc>
          <w:tcPr>
            <w:tcW w:w="5000" w:type="pct"/>
            <w:vAlign w:val="center"/>
          </w:tcPr>
          <w:p w14:paraId="68E1EFAE" w14:textId="77777777" w:rsidR="00901B76" w:rsidRPr="00316392" w:rsidRDefault="00901B76" w:rsidP="00E801C3">
            <w:pPr>
              <w:jc w:val="center"/>
              <w:rPr>
                <w:b/>
                <w:sz w:val="24"/>
                <w:szCs w:val="24"/>
              </w:rPr>
            </w:pPr>
            <w:r>
              <w:rPr>
                <w:sz w:val="24"/>
              </w:rPr>
              <w:t xml:space="preserve">Poročevalec: </w:t>
            </w:r>
            <w:r>
              <w:rPr>
                <w:b/>
                <w:sz w:val="24"/>
              </w:rPr>
              <w:t>Ioannis VARDAKASTANIS</w:t>
            </w:r>
          </w:p>
        </w:tc>
      </w:tr>
    </w:tbl>
    <w:p w14:paraId="3B491594" w14:textId="77777777" w:rsidR="00574C9B" w:rsidRPr="00316392" w:rsidRDefault="00574C9B" w:rsidP="00E801C3">
      <w:r>
        <w:rPr>
          <w:noProof/>
          <w:sz w:val="20"/>
        </w:rPr>
        <mc:AlternateContent>
          <mc:Choice Requires="wps">
            <w:drawing>
              <wp:anchor distT="0" distB="0" distL="114300" distR="114300" simplePos="0" relativeHeight="251659264" behindDoc="1" locked="0" layoutInCell="0" allowOverlap="1" wp14:anchorId="79C8DC7C" wp14:editId="29BF8885">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5FCE3" w14:textId="77777777" w:rsidR="00574C9B" w:rsidRDefault="00574C9B" w:rsidP="00574C9B">
                            <w:pPr>
                              <w:jc w:val="center"/>
                            </w:pPr>
                            <w:r>
                              <w:rPr>
                                <w:rFonts w:ascii="Arial" w:hAnsi="Arial"/>
                                <w:b/>
                                <w:sz w:val="48"/>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79C8DC7C">
                <v:stroke joinstyle="miter"/>
                <v:path gradientshapeok="t" o:connecttype="rect"/>
              </v:shapetype>
              <v:shape id="Text Box 17"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v:textbox>
                  <w:txbxContent>
                    <w:p w:rsidR="00574C9B" w:rsidP="00574C9B" w:rsidRDefault="00574C9B" w14:paraId="36B5FCE3" w14:textId="77777777">
                      <w:pPr>
                        <w:jc w:val="center"/>
                      </w:pPr>
                      <w:r>
                        <w:rPr>
                          <w:rFonts w:ascii="Arial" w:hAnsi="Arial"/>
                          <w:b/>
                          <w:sz w:val="48"/>
                        </w:rPr>
                        <w:t>SL</w:t>
                      </w:r>
                    </w:p>
                  </w:txbxContent>
                </v:textbox>
                <w10:wrap anchorx="margin" anchory="page"/>
              </v:shape>
            </w:pict>
          </mc:Fallback>
        </mc:AlternateContent>
      </w:r>
    </w:p>
    <w:p w14:paraId="7DCDAC7F" w14:textId="77777777" w:rsidR="00574C9B" w:rsidRPr="00316392" w:rsidRDefault="00574C9B" w:rsidP="00E801C3">
      <w:pPr>
        <w:rPr>
          <w:lang w:val="en-GB"/>
        </w:rPr>
      </w:pPr>
    </w:p>
    <w:p w14:paraId="565F8D41" w14:textId="77777777" w:rsidR="00574C9B" w:rsidRPr="00316392" w:rsidRDefault="00574C9B" w:rsidP="00E801C3">
      <w:pPr>
        <w:rPr>
          <w:lang w:val="en-GB"/>
        </w:rPr>
        <w:sectPr w:rsidR="00574C9B" w:rsidRPr="00316392" w:rsidSect="00C6634B">
          <w:headerReference w:type="even" r:id="rId11"/>
          <w:headerReference w:type="default" r:id="rId12"/>
          <w:headerReference w:type="first" r:id="rId13"/>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4107DE" w14:paraId="3229E536" w14:textId="77777777">
        <w:tc>
          <w:tcPr>
            <w:tcW w:w="3085" w:type="dxa"/>
          </w:tcPr>
          <w:p w14:paraId="2ABAE00A" w14:textId="77777777" w:rsidR="00901B76" w:rsidRPr="00316392" w:rsidRDefault="00901B76" w:rsidP="00E801C3">
            <w:pPr>
              <w:autoSpaceDE w:val="0"/>
              <w:autoSpaceDN w:val="0"/>
              <w:jc w:val="left"/>
              <w:rPr>
                <w:szCs w:val="20"/>
              </w:rPr>
            </w:pPr>
            <w:r>
              <w:lastRenderedPageBreak/>
              <w:t>Pravna podlaga</w:t>
            </w:r>
          </w:p>
        </w:tc>
        <w:tc>
          <w:tcPr>
            <w:tcW w:w="6204" w:type="dxa"/>
            <w:vAlign w:val="bottom"/>
          </w:tcPr>
          <w:p w14:paraId="5E31A8E9" w14:textId="77777777" w:rsidR="00901B76" w:rsidRPr="00316392" w:rsidRDefault="00901B76" w:rsidP="00E801C3">
            <w:pPr>
              <w:autoSpaceDE w:val="0"/>
              <w:autoSpaceDN w:val="0"/>
              <w:jc w:val="left"/>
            </w:pPr>
            <w:r>
              <w:t>člen 52(4) Poslovnika</w:t>
            </w:r>
          </w:p>
        </w:tc>
      </w:tr>
      <w:tr w:rsidR="004107DE" w14:paraId="13527CF0" w14:textId="77777777">
        <w:tc>
          <w:tcPr>
            <w:tcW w:w="3085" w:type="dxa"/>
          </w:tcPr>
          <w:p w14:paraId="0C4B180B" w14:textId="77777777" w:rsidR="00901B76" w:rsidRPr="00316392" w:rsidRDefault="00901B76" w:rsidP="00E801C3">
            <w:pPr>
              <w:autoSpaceDE w:val="0"/>
              <w:autoSpaceDN w:val="0"/>
              <w:jc w:val="left"/>
            </w:pPr>
            <w:r>
              <w:t>Datum sprejetja na plenarnem zasedanju</w:t>
            </w:r>
          </w:p>
        </w:tc>
        <w:tc>
          <w:tcPr>
            <w:tcW w:w="6204" w:type="dxa"/>
            <w:vAlign w:val="bottom"/>
          </w:tcPr>
          <w:p w14:paraId="37E62627" w14:textId="77777777" w:rsidR="00901B76" w:rsidRPr="00316392" w:rsidRDefault="005127DA" w:rsidP="00E801C3">
            <w:pPr>
              <w:autoSpaceDE w:val="0"/>
              <w:autoSpaceDN w:val="0"/>
              <w:jc w:val="left"/>
            </w:pPr>
            <w:r>
              <w:t>11. 7. 2024</w:t>
            </w:r>
          </w:p>
        </w:tc>
      </w:tr>
      <w:tr w:rsidR="004107DE" w14:paraId="3D387354" w14:textId="77777777">
        <w:tc>
          <w:tcPr>
            <w:tcW w:w="3085" w:type="dxa"/>
          </w:tcPr>
          <w:p w14:paraId="5E8FC3B3" w14:textId="77777777" w:rsidR="00901B76" w:rsidRPr="00316392" w:rsidRDefault="00901B76" w:rsidP="00E801C3">
            <w:pPr>
              <w:autoSpaceDE w:val="0"/>
              <w:autoSpaceDN w:val="0"/>
              <w:jc w:val="left"/>
            </w:pPr>
            <w:r>
              <w:t>Plenarno zasedanje št.</w:t>
            </w:r>
          </w:p>
        </w:tc>
        <w:tc>
          <w:tcPr>
            <w:tcW w:w="6204" w:type="dxa"/>
            <w:vAlign w:val="bottom"/>
          </w:tcPr>
          <w:p w14:paraId="4C5392ED" w14:textId="77777777" w:rsidR="00901B76" w:rsidRPr="00316392" w:rsidRDefault="005127DA" w:rsidP="00E801C3">
            <w:pPr>
              <w:autoSpaceDE w:val="0"/>
              <w:autoSpaceDN w:val="0"/>
              <w:jc w:val="left"/>
            </w:pPr>
            <w:r>
              <w:t>589</w:t>
            </w:r>
          </w:p>
        </w:tc>
      </w:tr>
      <w:tr w:rsidR="004107DE" w14:paraId="799A621B" w14:textId="77777777">
        <w:tc>
          <w:tcPr>
            <w:tcW w:w="3085" w:type="dxa"/>
          </w:tcPr>
          <w:p w14:paraId="39AD2034" w14:textId="77777777" w:rsidR="00901B76" w:rsidRPr="00316392" w:rsidRDefault="00901B76" w:rsidP="00E801C3">
            <w:pPr>
              <w:autoSpaceDE w:val="0"/>
              <w:autoSpaceDN w:val="0"/>
              <w:jc w:val="left"/>
            </w:pPr>
            <w:r>
              <w:t>Rezultat glasovanja</w:t>
            </w:r>
            <w:r>
              <w:br/>
              <w:t>(za/proti/vzdržani)</w:t>
            </w:r>
          </w:p>
        </w:tc>
        <w:tc>
          <w:tcPr>
            <w:tcW w:w="6204" w:type="dxa"/>
            <w:vAlign w:val="bottom"/>
          </w:tcPr>
          <w:p w14:paraId="41B937B1" w14:textId="77777777" w:rsidR="00901B76" w:rsidRPr="00316392" w:rsidRDefault="00AF5F43" w:rsidP="00E801C3">
            <w:pPr>
              <w:autoSpaceDE w:val="0"/>
              <w:autoSpaceDN w:val="0"/>
              <w:jc w:val="left"/>
            </w:pPr>
            <w:r>
              <w:t>159/2/07</w:t>
            </w:r>
          </w:p>
        </w:tc>
      </w:tr>
    </w:tbl>
    <w:p w14:paraId="32B299B9" w14:textId="77777777" w:rsidR="00AC5114" w:rsidRPr="00316392" w:rsidRDefault="00AC5114" w:rsidP="00E801C3">
      <w:pPr>
        <w:rPr>
          <w:lang w:val="en-GB"/>
        </w:rPr>
      </w:pPr>
    </w:p>
    <w:p w14:paraId="08C0280D" w14:textId="77777777" w:rsidR="00AC5114" w:rsidRPr="00316392" w:rsidRDefault="00AC5114" w:rsidP="00E801C3">
      <w:pPr>
        <w:rPr>
          <w:lang w:val="en-GB"/>
        </w:rPr>
        <w:sectPr w:rsidR="00AC5114" w:rsidRPr="00316392" w:rsidSect="00C6634B">
          <w:headerReference w:type="even" r:id="rId14"/>
          <w:headerReference w:type="default" r:id="rId15"/>
          <w:footerReference w:type="default" r:id="rId16"/>
          <w:headerReference w:type="first" r:id="rId17"/>
          <w:pgSz w:w="11907" w:h="16839" w:code="9"/>
          <w:pgMar w:top="5669" w:right="1418" w:bottom="1418" w:left="1418" w:header="709" w:footer="709" w:gutter="0"/>
          <w:cols w:space="720"/>
          <w:docGrid w:linePitch="360"/>
        </w:sectPr>
      </w:pPr>
    </w:p>
    <w:p w14:paraId="4ECD2608" w14:textId="77777777" w:rsidR="00A25592" w:rsidRPr="009B091D" w:rsidRDefault="00A25592" w:rsidP="00E801C3">
      <w:pPr>
        <w:pStyle w:val="Heading1"/>
      </w:pPr>
      <w:r>
        <w:lastRenderedPageBreak/>
        <w:t>Tik pred začetkom novega mandata Evropske komisije, v Evropskem ekonomsko-socialnem odboru, ki zastopa organizacije civilne družbe, pozivamo države članice Evropske unije in njihove voditelje ter evropske institucije in državljane EU, naj ohranijo in zaščitijo ekonomsko, socialno in teritorialno kohezijo EU v skladu s členom 174 PDEU.</w:t>
      </w:r>
    </w:p>
    <w:p w14:paraId="2F38DA4C" w14:textId="77777777" w:rsidR="00A25592" w:rsidRPr="009B091D" w:rsidRDefault="00A25592" w:rsidP="00E801C3">
      <w:pPr>
        <w:pStyle w:val="Heading2"/>
        <w:numPr>
          <w:ilvl w:val="0"/>
          <w:numId w:val="0"/>
        </w:numPr>
        <w:ind w:left="567" w:hanging="567"/>
        <w:rPr>
          <w:lang w:val="en-GB"/>
        </w:rPr>
      </w:pPr>
    </w:p>
    <w:p w14:paraId="331B63D6" w14:textId="77777777" w:rsidR="00A25592" w:rsidRPr="009B091D" w:rsidRDefault="00A25592" w:rsidP="00E801C3">
      <w:pPr>
        <w:pStyle w:val="Heading1"/>
      </w:pPr>
      <w:r>
        <w:t xml:space="preserve">Odločno poudarjamo, da je v kohezijski politiki še vedno trdno in veljavno temeljno načelo, da nihče ne sme biti zapostavljen, ter da so si partnerji iz civilne družbe še naprej pripravljeni prizadevati, da bi se to uresničevalo ob podpori trdne naložbene politike EU. </w:t>
      </w:r>
    </w:p>
    <w:p w14:paraId="3CD1D47F" w14:textId="77777777" w:rsidR="00A25592" w:rsidRPr="009B091D" w:rsidRDefault="00A25592" w:rsidP="00E801C3">
      <w:pPr>
        <w:ind w:left="567" w:hanging="567"/>
        <w:rPr>
          <w:lang w:val="en-GB"/>
        </w:rPr>
      </w:pPr>
    </w:p>
    <w:p w14:paraId="58D1D81D" w14:textId="77777777" w:rsidR="00A25592" w:rsidRPr="009B091D" w:rsidRDefault="00A25592" w:rsidP="00E801C3">
      <w:pPr>
        <w:pStyle w:val="Heading1"/>
      </w:pPr>
      <w:r>
        <w:t xml:space="preserve">Poudarjamo, da neenake možnosti dolgoročno škodijo rasti in konkurenčnosti na regionalni in nacionalni ravni ter ravni EU, zato je treba kohezijsko politiko bolj </w:t>
      </w:r>
      <w:proofErr w:type="spellStart"/>
      <w:r>
        <w:t>diverzificirati</w:t>
      </w:r>
      <w:proofErr w:type="spellEnd"/>
      <w:r>
        <w:t xml:space="preserve"> in jo narediti prožnejšo, hkrati pa mora biti verodostojna, stabilna in jasna, da bo mogoče več pozornosti nameniti ljudem, zlasti najbolj ranljivim, ter bolje obravnavati neenake možnosti, s katerimi se mnogi spopadajo.</w:t>
      </w:r>
    </w:p>
    <w:p w14:paraId="055CB16C" w14:textId="77777777" w:rsidR="00A25592" w:rsidRPr="009B091D" w:rsidRDefault="00A25592" w:rsidP="00E801C3">
      <w:pPr>
        <w:ind w:left="567" w:hanging="567"/>
        <w:rPr>
          <w:lang w:val="en-GB"/>
        </w:rPr>
      </w:pPr>
    </w:p>
    <w:p w14:paraId="500F2A64" w14:textId="77777777" w:rsidR="00A25592" w:rsidRPr="009B091D" w:rsidRDefault="00A25592" w:rsidP="00E801C3">
      <w:pPr>
        <w:pStyle w:val="Heading1"/>
      </w:pPr>
      <w:r>
        <w:t xml:space="preserve">Kritični smo do odprave vloge komisarja, čigar glavna pristojnost je kohezijska politika. </w:t>
      </w:r>
    </w:p>
    <w:p w14:paraId="70DA13F8" w14:textId="77777777" w:rsidR="00A25592" w:rsidRPr="009B091D" w:rsidRDefault="00A25592" w:rsidP="00E801C3">
      <w:pPr>
        <w:pStyle w:val="Heading1"/>
        <w:numPr>
          <w:ilvl w:val="0"/>
          <w:numId w:val="0"/>
        </w:numPr>
        <w:ind w:left="567" w:hanging="567"/>
        <w:rPr>
          <w:lang w:val="en-GB"/>
        </w:rPr>
      </w:pPr>
    </w:p>
    <w:p w14:paraId="793D0288" w14:textId="77777777" w:rsidR="00A25592" w:rsidRPr="009B091D" w:rsidRDefault="00A25592" w:rsidP="00E801C3">
      <w:pPr>
        <w:pStyle w:val="Heading1"/>
      </w:pPr>
      <w:r>
        <w:t>Nasprotujemo reduciranju in preoblikovanju kohezijske politike v instrument za reševanje izrednih kriz.</w:t>
      </w:r>
    </w:p>
    <w:p w14:paraId="34971BE9" w14:textId="77777777" w:rsidR="00A25592" w:rsidRPr="009B091D" w:rsidRDefault="00A25592" w:rsidP="00E801C3">
      <w:pPr>
        <w:ind w:left="567" w:hanging="567"/>
        <w:rPr>
          <w:lang w:val="en-GB"/>
        </w:rPr>
      </w:pPr>
    </w:p>
    <w:p w14:paraId="241680E7" w14:textId="77777777" w:rsidR="00A25592" w:rsidRPr="009B091D" w:rsidRDefault="00A25592" w:rsidP="00E801C3">
      <w:pPr>
        <w:pStyle w:val="Heading1"/>
      </w:pPr>
      <w:r>
        <w:t xml:space="preserve">Zavračamo zamisel o preoblikovanju kohezijske politike v instrument, podoben mehanizmu za okrevanje in odpornost (RRF), z malo ali nič strukturne vključenosti deležnikov, deljenega upravljanja in upravljanja na več ravneh. </w:t>
      </w:r>
    </w:p>
    <w:p w14:paraId="0E5BEDCB" w14:textId="77777777" w:rsidR="00A25592" w:rsidRPr="009B091D" w:rsidRDefault="00A25592" w:rsidP="00E801C3">
      <w:pPr>
        <w:ind w:left="567" w:hanging="567"/>
        <w:rPr>
          <w:lang w:val="en-GB"/>
        </w:rPr>
      </w:pPr>
    </w:p>
    <w:p w14:paraId="77BE5058" w14:textId="77777777" w:rsidR="00A25592" w:rsidRPr="009B091D" w:rsidRDefault="00A25592" w:rsidP="00E801C3">
      <w:pPr>
        <w:pStyle w:val="Heading1"/>
      </w:pPr>
      <w:r>
        <w:t>Podpiramo načelo partnerstva in jasna pravila za vključitev civilne družbe v izbiranje, upravljanje in spremljanje ukrepov, ki jih financira EU.</w:t>
      </w:r>
    </w:p>
    <w:p w14:paraId="5B1D4ABC" w14:textId="77777777" w:rsidR="00A25592" w:rsidRPr="009B091D" w:rsidRDefault="00A25592" w:rsidP="00E801C3">
      <w:pPr>
        <w:ind w:left="567" w:hanging="567"/>
        <w:rPr>
          <w:highlight w:val="yellow"/>
          <w:lang w:val="en-GB"/>
        </w:rPr>
      </w:pPr>
    </w:p>
    <w:p w14:paraId="0DC8F76D" w14:textId="77777777" w:rsidR="00A25592" w:rsidRPr="009B091D" w:rsidRDefault="00A25592" w:rsidP="00E801C3">
      <w:pPr>
        <w:pStyle w:val="Heading1"/>
      </w:pPr>
      <w:r>
        <w:t>Zahtevamo, da se v naslednji uredbi o skupnih določbah, ki bo urejala uporabo kohezijskih skladov in drugih sredstev EU po letu 2027, enako odločno kot v obdobju 2021–2027 poudari vključevanje civilne družbe.</w:t>
      </w:r>
    </w:p>
    <w:p w14:paraId="71C8BE00" w14:textId="77777777" w:rsidR="00A25592" w:rsidRPr="009B091D" w:rsidRDefault="00A25592" w:rsidP="00E801C3">
      <w:pPr>
        <w:ind w:left="567" w:hanging="567"/>
        <w:rPr>
          <w:lang w:val="en-GB"/>
        </w:rPr>
      </w:pPr>
    </w:p>
    <w:p w14:paraId="3D2E090D" w14:textId="77777777" w:rsidR="00A25592" w:rsidRPr="009B091D" w:rsidRDefault="00A25592" w:rsidP="00E801C3">
      <w:pPr>
        <w:pStyle w:val="Heading1"/>
      </w:pPr>
      <w:r>
        <w:t>Pozivamo k oblikovanju kohezijske politike, ki izhaja iz krajev in ljudi.</w:t>
      </w:r>
    </w:p>
    <w:p w14:paraId="2A1E05BA" w14:textId="77777777" w:rsidR="00A25592" w:rsidRPr="009B091D" w:rsidRDefault="00A25592" w:rsidP="00E801C3">
      <w:pPr>
        <w:ind w:left="567" w:hanging="567"/>
        <w:rPr>
          <w:lang w:val="en-GB"/>
        </w:rPr>
      </w:pPr>
    </w:p>
    <w:p w14:paraId="5CCE676B" w14:textId="77777777" w:rsidR="00A25592" w:rsidRPr="009B091D" w:rsidRDefault="00A25592" w:rsidP="00E801C3">
      <w:pPr>
        <w:pStyle w:val="Heading2"/>
      </w:pPr>
      <w:r>
        <w:t>Iz krajev mora izhajati zato, ker je treba spoštovati lokalne značilnosti in jih na podlagi ocen teritorialnega učinka v celoti upoštevati.</w:t>
      </w:r>
    </w:p>
    <w:p w14:paraId="75624C35" w14:textId="77777777" w:rsidR="00A25592" w:rsidRPr="009B091D" w:rsidRDefault="00A25592" w:rsidP="00E801C3">
      <w:pPr>
        <w:ind w:left="567" w:hanging="567"/>
        <w:rPr>
          <w:lang w:val="en-GB"/>
        </w:rPr>
      </w:pPr>
    </w:p>
    <w:p w14:paraId="57129360" w14:textId="77777777" w:rsidR="00A25592" w:rsidRPr="009B091D" w:rsidRDefault="00A25592" w:rsidP="00E801C3">
      <w:pPr>
        <w:pStyle w:val="Heading2"/>
      </w:pPr>
      <w:r>
        <w:t xml:space="preserve">Za doseganje želenih rezultatov pa je treba izhajati iz ljudi, v celoti spoštovati načelo partnerstva ter se trdno opreti na upravljanje na več ravneh, </w:t>
      </w:r>
      <w:proofErr w:type="spellStart"/>
      <w:r>
        <w:t>sopartnerstvo</w:t>
      </w:r>
      <w:proofErr w:type="spellEnd"/>
      <w:r>
        <w:t xml:space="preserve"> in pristop od spodaj navzgor.</w:t>
      </w:r>
    </w:p>
    <w:p w14:paraId="7EACA91B" w14:textId="77777777" w:rsidR="00A25592" w:rsidRPr="009B091D" w:rsidRDefault="00A25592" w:rsidP="00E801C3">
      <w:pPr>
        <w:ind w:left="567" w:hanging="567"/>
        <w:rPr>
          <w:lang w:val="en-GB"/>
        </w:rPr>
      </w:pPr>
    </w:p>
    <w:p w14:paraId="40E06BD7" w14:textId="77777777" w:rsidR="00A25592" w:rsidRPr="009B091D" w:rsidRDefault="00A25592" w:rsidP="00E801C3">
      <w:pPr>
        <w:pStyle w:val="Heading1"/>
      </w:pPr>
      <w:r>
        <w:t>Pozivamo k novemu zagonu kohezijske politike. Naš Odbor meni, da je treba razširiti, posodobiti ali pregledati niz instrumentov in pristopov, da bi šli dlje od zgolj naložb ter zgradili trdno, učinkovito, prožno in prenovljeno kohezijsko politiko, ki bi se bolj osredotočala na zmogljivosti, vezi med regijami, učinkovite rezultate in priložnosti za prejemnike sredstev. Zato je treba:</w:t>
      </w:r>
    </w:p>
    <w:p w14:paraId="7C95FAD5" w14:textId="77777777" w:rsidR="00A25592" w:rsidRPr="009B091D" w:rsidRDefault="00A25592" w:rsidP="00E801C3">
      <w:pPr>
        <w:ind w:left="567" w:hanging="567"/>
        <w:rPr>
          <w:lang w:val="en-GB"/>
        </w:rPr>
      </w:pPr>
    </w:p>
    <w:p w14:paraId="20C4B484" w14:textId="77777777" w:rsidR="00A25592" w:rsidRPr="009B091D" w:rsidRDefault="00A25592" w:rsidP="00E801C3">
      <w:pPr>
        <w:pStyle w:val="Heading2"/>
      </w:pPr>
      <w:r>
        <w:t>obravnavati glavne strukturne izzive EU– nizko stopnjo razvitosti, dolgotrajno gospodarsko stagnacijo in pomanjkanje enakih možnosti v vseh regijah ter razlike med regijami in znotraj njih ter v družbi;</w:t>
      </w:r>
    </w:p>
    <w:p w14:paraId="354DFE9A" w14:textId="77777777" w:rsidR="00A25592" w:rsidRPr="00316392" w:rsidRDefault="00A25592" w:rsidP="00E801C3">
      <w:pPr>
        <w:pStyle w:val="ListParagraph"/>
        <w:ind w:left="567" w:hanging="567"/>
      </w:pPr>
    </w:p>
    <w:p w14:paraId="0C2D1AD6" w14:textId="77777777" w:rsidR="00A25592" w:rsidRPr="009B091D" w:rsidRDefault="00A25592" w:rsidP="00E801C3">
      <w:pPr>
        <w:pStyle w:val="Heading2"/>
      </w:pPr>
      <w:r>
        <w:t>dati večji poudarek strategijam teritorialne politike, kot so celostne teritorialne naložbe in lokalni razvoj, ki ga vodi skupnost, ter okrepiti zmogljivosti lokalnih, mestnih in teritorialnih oblasti za upravljanje s sredstvi, pri tem pa ne pozabiti na uskladitev;</w:t>
      </w:r>
    </w:p>
    <w:p w14:paraId="396B42C2" w14:textId="77777777" w:rsidR="00A25592" w:rsidRPr="009B091D" w:rsidRDefault="00A25592" w:rsidP="00E801C3">
      <w:pPr>
        <w:ind w:left="567" w:hanging="567"/>
        <w:rPr>
          <w:lang w:val="en-GB"/>
        </w:rPr>
      </w:pPr>
    </w:p>
    <w:p w14:paraId="62ECDD19" w14:textId="77777777" w:rsidR="00A25592" w:rsidRPr="009B091D" w:rsidRDefault="00A25592" w:rsidP="00E801C3">
      <w:pPr>
        <w:pStyle w:val="Heading2"/>
      </w:pPr>
      <w:r>
        <w:t xml:space="preserve">osredotočiti se na kategorije ljudi z nižjo stopnjo zaposlenosti (ženske, mladi, invalidi, priseljenci, osebe z nižjo stopnjo izobrazbe), za katere so potrebni posebni programi usposabljanja, </w:t>
      </w:r>
      <w:proofErr w:type="spellStart"/>
      <w:r>
        <w:t>preusposabljanja</w:t>
      </w:r>
      <w:proofErr w:type="spellEnd"/>
      <w:r>
        <w:t>, izpopolnjevanja in podpore na terenu;</w:t>
      </w:r>
    </w:p>
    <w:p w14:paraId="33EAF301" w14:textId="77777777" w:rsidR="00A25592" w:rsidRPr="009B091D" w:rsidRDefault="00A25592" w:rsidP="00E801C3">
      <w:pPr>
        <w:ind w:left="567" w:hanging="567"/>
        <w:rPr>
          <w:lang w:val="en-GB"/>
        </w:rPr>
      </w:pPr>
    </w:p>
    <w:p w14:paraId="57794EEB" w14:textId="77777777" w:rsidR="00A25592" w:rsidRPr="009B091D" w:rsidRDefault="00A25592" w:rsidP="00E801C3">
      <w:pPr>
        <w:pStyle w:val="Heading2"/>
      </w:pPr>
      <w:r>
        <w:t>nadaljevati specializacijo in diverzifikacijo instrumentov, tudi finančnih, da bi se kohezijska politika lahko uporabila za posebne skupine in področja dejavnosti ranljivih ljudi in v nekaterih regijah, kjer običajne rešitve glede zaposlovanja niso učinkovite pri vključevanju teh ljudi na trg dela;</w:t>
      </w:r>
    </w:p>
    <w:p w14:paraId="63D57A3D" w14:textId="77777777" w:rsidR="00A25592" w:rsidRPr="009B091D" w:rsidRDefault="00A25592" w:rsidP="00E801C3">
      <w:pPr>
        <w:rPr>
          <w:lang w:val="en-GB"/>
        </w:rPr>
      </w:pPr>
    </w:p>
    <w:p w14:paraId="0FBF7372" w14:textId="77777777" w:rsidR="00A25592" w:rsidRPr="009B091D" w:rsidRDefault="00A25592" w:rsidP="00E801C3">
      <w:pPr>
        <w:pStyle w:val="Heading2"/>
      </w:pPr>
      <w:r>
        <w:t>podpreti naložbe v socialno infrastrukturo za učinkovito reševanje velikih demografskih izzivov, s katerimi se sooča EU. To je še zlasti nujno v regijah, v katerih se zmanjšuje delež aktivnega prebivalstva in ki imajo nizek delež ljudi s terciarno izobrazbo, pa tudi v regijah, iz katerih se mladi izseljujejo;</w:t>
      </w:r>
    </w:p>
    <w:p w14:paraId="3EBC8480" w14:textId="77777777" w:rsidR="00A25592" w:rsidRPr="009B091D" w:rsidRDefault="00A25592" w:rsidP="00E801C3">
      <w:pPr>
        <w:ind w:left="567" w:hanging="567"/>
        <w:rPr>
          <w:lang w:val="en-GB"/>
        </w:rPr>
      </w:pPr>
    </w:p>
    <w:p w14:paraId="61340328" w14:textId="77777777" w:rsidR="00A25592" w:rsidRPr="009B091D" w:rsidRDefault="00A25592" w:rsidP="00E801C3">
      <w:pPr>
        <w:pStyle w:val="Heading2"/>
      </w:pPr>
      <w:r>
        <w:t xml:space="preserve">povečati potencial čezmejnih trgov dela, ki so zaradi pravnih in upravnih ovir slabo razviti, kar zahteva krepitev čezmejnega in </w:t>
      </w:r>
      <w:proofErr w:type="spellStart"/>
      <w:r>
        <w:t>medregionalnega</w:t>
      </w:r>
      <w:proofErr w:type="spellEnd"/>
      <w:r>
        <w:t xml:space="preserve"> sodelovanja, zlasti za razvoj infrastrukture in podpiranje dejavnosti subjektov socialnega gospodarstva;</w:t>
      </w:r>
    </w:p>
    <w:p w14:paraId="2369FB83" w14:textId="77777777" w:rsidR="00A25592" w:rsidRPr="009B091D" w:rsidRDefault="00A25592" w:rsidP="00E801C3">
      <w:pPr>
        <w:ind w:left="567" w:hanging="567"/>
        <w:rPr>
          <w:lang w:val="en-GB"/>
        </w:rPr>
      </w:pPr>
    </w:p>
    <w:p w14:paraId="33E28C3C" w14:textId="77777777" w:rsidR="00A25592" w:rsidRPr="009B091D" w:rsidRDefault="00A25592" w:rsidP="00E801C3">
      <w:pPr>
        <w:pStyle w:val="Heading2"/>
      </w:pPr>
      <w:r>
        <w:t>še naprej ščititi mala in srednje velika podjetja ter njihovo trajnostno naravnanost. Standardne evropske instrumente, kot so Evropski socialni sklad, Evropski sklad za regionalni razvoj (ESRR), Kohezijski sklad in mehanizem za pravični prehod, je treba torej uporabiti na inovativen, vendar preprost način, da bodo lahko MSP enostavno dostopala do financiranja in bodo dolgoročno deležna ugodnih kreditnih pogojev;</w:t>
      </w:r>
    </w:p>
    <w:p w14:paraId="152AA3C1" w14:textId="77777777" w:rsidR="00A25592" w:rsidRPr="009B091D" w:rsidRDefault="00A25592" w:rsidP="00E801C3">
      <w:pPr>
        <w:ind w:left="567" w:hanging="567"/>
        <w:rPr>
          <w:lang w:val="en-GB"/>
        </w:rPr>
      </w:pPr>
    </w:p>
    <w:p w14:paraId="1FD8E14E" w14:textId="77777777" w:rsidR="00A25592" w:rsidRPr="009B091D" w:rsidRDefault="00A25592" w:rsidP="00E801C3">
      <w:pPr>
        <w:pStyle w:val="Heading2"/>
      </w:pPr>
      <w:r>
        <w:t>na splošno okrepiti sinergije v okviru mehanizma za pravični prehod. Prepričani smo, da mora kohezijska politika ostati ključna naložbena politika EU, ki podpira ukrepe evropskih regij pri prilagajanju podnebnim ciljem. Po načelu, da se ne škoduje bistveno, je treba pri naložbah v celoti spoštovati cilje zelenega dogovora;</w:t>
      </w:r>
    </w:p>
    <w:p w14:paraId="5E483E08" w14:textId="77777777" w:rsidR="00A25592" w:rsidRPr="009B091D" w:rsidRDefault="00A25592" w:rsidP="00E801C3">
      <w:pPr>
        <w:ind w:left="567" w:hanging="567"/>
        <w:rPr>
          <w:lang w:val="en-GB"/>
        </w:rPr>
      </w:pPr>
    </w:p>
    <w:p w14:paraId="1480AACD" w14:textId="77777777" w:rsidR="00A25592" w:rsidRPr="009B091D" w:rsidRDefault="00A25592" w:rsidP="00E801C3">
      <w:pPr>
        <w:pStyle w:val="Heading2"/>
      </w:pPr>
      <w:r>
        <w:t>nadalje preučiti financiranje velikih podjetij kot pomembnega dejavnika konvergence, zlasti kar zadeva strateške tehnologije, ki jih pokriva novi instrument STEP (platforma za strateške tehnologije za Evropo);</w:t>
      </w:r>
    </w:p>
    <w:p w14:paraId="2725318C" w14:textId="77777777" w:rsidR="00A25592" w:rsidRPr="009B091D" w:rsidRDefault="00A25592" w:rsidP="00E801C3">
      <w:pPr>
        <w:ind w:left="567" w:hanging="567"/>
        <w:rPr>
          <w:lang w:val="en-GB"/>
        </w:rPr>
      </w:pPr>
    </w:p>
    <w:p w14:paraId="58EA8EBE" w14:textId="77777777" w:rsidR="00A25592" w:rsidRPr="009B091D" w:rsidRDefault="00A25592" w:rsidP="00E801C3">
      <w:pPr>
        <w:pStyle w:val="Heading2"/>
      </w:pPr>
      <w:r>
        <w:t>ustvariti nove gospodarske perspektive za manj razvita, obrobna, redko poseljena in podeželska območja, otoke EU in najbolj oddaljene regije. Obravnavati je treba tudi razkorak med podeželskimi in mestnimi območji ter mestnimi središči, hkrati pa okrepiti povezave med njimi;</w:t>
      </w:r>
    </w:p>
    <w:p w14:paraId="3972E26B" w14:textId="77777777" w:rsidR="00A25592" w:rsidRPr="009B091D" w:rsidRDefault="00A25592" w:rsidP="00E801C3">
      <w:pPr>
        <w:ind w:left="567" w:hanging="567"/>
        <w:rPr>
          <w:lang w:val="en-GB"/>
        </w:rPr>
      </w:pPr>
    </w:p>
    <w:p w14:paraId="07650315" w14:textId="77777777" w:rsidR="00A25592" w:rsidRPr="009B091D" w:rsidRDefault="00A25592" w:rsidP="00E801C3">
      <w:pPr>
        <w:pStyle w:val="Heading2"/>
      </w:pPr>
      <w:r>
        <w:t>spodbujati pobude za skrbno opredelitev in zadovoljevanje posebnih potreb regij in območij, ki so se ujeli v razvojne pasti, ter jim pomagati, da premagajo izzive;</w:t>
      </w:r>
    </w:p>
    <w:p w14:paraId="4933F8CC" w14:textId="77777777" w:rsidR="00A25592" w:rsidRPr="009B091D" w:rsidRDefault="00A25592" w:rsidP="00E801C3">
      <w:pPr>
        <w:ind w:left="567" w:hanging="567"/>
        <w:rPr>
          <w:lang w:val="en-GB"/>
        </w:rPr>
      </w:pPr>
    </w:p>
    <w:p w14:paraId="69DC7E7A" w14:textId="77777777" w:rsidR="00A25592" w:rsidRPr="009B091D" w:rsidRDefault="00A25592" w:rsidP="00E801C3">
      <w:pPr>
        <w:pStyle w:val="Heading2"/>
      </w:pPr>
      <w:r>
        <w:t xml:space="preserve">sprejeti kohezijsko politiko, ki bo vsebovala ključne elemente, kot so deljeno upravljanje, regionalni pristop, predhodno financiranje in stopnje sofinanciranja. Zgolj naložbe ne bodo </w:t>
      </w:r>
      <w:r>
        <w:lastRenderedPageBreak/>
        <w:t>dovolj. Vsaka regija potrebuje trdne strukture upravljanja in ustrezno kombinacijo politik, ki spodbuja sinergije z vsemi vpletenimi stranmi. Potreben je pristop od spodaj navzgor. Zato morajo naložbe pogosto spremljati prilagojene reforme in državljanom naklonjene politike;</w:t>
      </w:r>
    </w:p>
    <w:p w14:paraId="4AECFC64" w14:textId="77777777" w:rsidR="00A25592" w:rsidRPr="009B091D" w:rsidRDefault="00A25592" w:rsidP="00E801C3">
      <w:pPr>
        <w:ind w:left="567" w:hanging="567"/>
        <w:rPr>
          <w:lang w:val="en-GB"/>
        </w:rPr>
      </w:pPr>
    </w:p>
    <w:p w14:paraId="009B5BA7" w14:textId="77777777" w:rsidR="00A25592" w:rsidRPr="009B091D" w:rsidRDefault="00A25592" w:rsidP="00E801C3">
      <w:pPr>
        <w:pStyle w:val="Heading2"/>
      </w:pPr>
      <w:r>
        <w:t>bolj vključiti civilno družbo in vse deležnike na lokalni ravni, da bi povečali učinkovitost načel partnerstva in upravljanja na več ravneh v kohezijski politiki. To lahko pripomore k zmanjšanju pritiska na demokracijo, saj se bo povečalo prevzemanje odgovornosti za politike EU;</w:t>
      </w:r>
    </w:p>
    <w:p w14:paraId="6317C88B" w14:textId="77777777" w:rsidR="00A25592" w:rsidRPr="00316392" w:rsidRDefault="00A25592" w:rsidP="00E801C3">
      <w:pPr>
        <w:pStyle w:val="ListParagraph"/>
        <w:ind w:left="567" w:hanging="567"/>
      </w:pPr>
    </w:p>
    <w:p w14:paraId="22756327" w14:textId="77777777" w:rsidR="00A25592" w:rsidRPr="009B091D" w:rsidRDefault="00A25592" w:rsidP="00E801C3">
      <w:pPr>
        <w:pStyle w:val="Heading2"/>
      </w:pPr>
      <w:r>
        <w:t>povečati upravne zmogljivosti različnih ravni upravljanja, prejemnikov sredstev in drugih nacionalnih, regionalnih in lokalnih deležnikov ter nuditi bolj prilagojeno tehnično podporo za izboljšanje izvajanja politike na terenu;</w:t>
      </w:r>
    </w:p>
    <w:p w14:paraId="0C698844" w14:textId="77777777" w:rsidR="00A25592" w:rsidRPr="009B091D" w:rsidRDefault="00A25592" w:rsidP="00E801C3">
      <w:pPr>
        <w:pStyle w:val="Heading2"/>
        <w:numPr>
          <w:ilvl w:val="0"/>
          <w:numId w:val="0"/>
        </w:numPr>
        <w:ind w:left="567" w:hanging="567"/>
        <w:rPr>
          <w:lang w:val="en-GB"/>
        </w:rPr>
      </w:pPr>
    </w:p>
    <w:p w14:paraId="479D5BEA" w14:textId="77777777" w:rsidR="00A25592" w:rsidRPr="009B091D" w:rsidRDefault="00A25592" w:rsidP="00E801C3">
      <w:pPr>
        <w:pStyle w:val="Heading2"/>
      </w:pPr>
      <w:r>
        <w:t>upoštevati in vključiti dobre prakse, učinkovite ukrepe politik in posebno financiranje, ki se trenutno izvaja prek RRF, v novo kohezijsko politiko. Poskrbeti moramo, da bo uporaba RRF povsem združljiva z izvajanjem prihodnje kohezijske politike ter da se naložbe in programi, ki so se že začeli izvajati v okviru RRF, ne ustavijo zaradi sprememb v financiranju mehanizma;</w:t>
      </w:r>
    </w:p>
    <w:p w14:paraId="7ADBF739" w14:textId="77777777" w:rsidR="00A25592" w:rsidRPr="009B091D" w:rsidRDefault="00A25592" w:rsidP="00E801C3">
      <w:pPr>
        <w:pStyle w:val="Heading2"/>
        <w:numPr>
          <w:ilvl w:val="0"/>
          <w:numId w:val="0"/>
        </w:numPr>
        <w:ind w:left="567" w:hanging="567"/>
        <w:rPr>
          <w:lang w:val="en-GB"/>
        </w:rPr>
      </w:pPr>
    </w:p>
    <w:p w14:paraId="63A83007" w14:textId="77777777" w:rsidR="00A25592" w:rsidRPr="009B091D" w:rsidRDefault="00A25592" w:rsidP="00E801C3">
      <w:pPr>
        <w:pStyle w:val="Heading2"/>
      </w:pPr>
      <w:r>
        <w:t xml:space="preserve">še naprej vključevati kohezijske cilje v evropski semester; </w:t>
      </w:r>
    </w:p>
    <w:p w14:paraId="46477328" w14:textId="77777777" w:rsidR="00A25592" w:rsidRPr="009B091D" w:rsidRDefault="00A25592" w:rsidP="00E801C3">
      <w:pPr>
        <w:pStyle w:val="Heading2"/>
        <w:numPr>
          <w:ilvl w:val="0"/>
          <w:numId w:val="0"/>
        </w:numPr>
        <w:ind w:left="567" w:hanging="567"/>
        <w:rPr>
          <w:lang w:val="en-GB"/>
        </w:rPr>
      </w:pPr>
    </w:p>
    <w:p w14:paraId="3E198D9D" w14:textId="77777777" w:rsidR="00A25592" w:rsidRPr="009B091D" w:rsidRDefault="00A25592" w:rsidP="00E801C3">
      <w:pPr>
        <w:pStyle w:val="Heading2"/>
      </w:pPr>
      <w:r>
        <w:t>poskrbeti za ambicioznejši skupni proračun večletnega finančnega okvira in ustrezno financiranje kohezijske politike, tudi glede na prihodnjo potrebo po naložbah EU v obrambo in Unijo z več kot 27 članicami. Naložbe v EU in njeno ekonomsko, socialno in teritorialno kohezijo, bogastvo in konkurenčnost v višini zgolj 1 % BND EU niso zadostne;</w:t>
      </w:r>
    </w:p>
    <w:p w14:paraId="755A8FD5" w14:textId="77777777" w:rsidR="00A25592" w:rsidRPr="009B091D" w:rsidRDefault="00A25592" w:rsidP="00E801C3">
      <w:pPr>
        <w:pStyle w:val="Heading2"/>
        <w:numPr>
          <w:ilvl w:val="0"/>
          <w:numId w:val="0"/>
        </w:numPr>
        <w:ind w:left="567" w:hanging="567"/>
        <w:rPr>
          <w:lang w:val="en-GB"/>
        </w:rPr>
      </w:pPr>
    </w:p>
    <w:p w14:paraId="2E4CC961" w14:textId="77777777" w:rsidR="00A25592" w:rsidRPr="009B091D" w:rsidRDefault="00A25592" w:rsidP="00E801C3">
      <w:pPr>
        <w:pStyle w:val="Heading2"/>
      </w:pPr>
      <w:r>
        <w:t>razmisliti o prihodnjih širitvah, da bo v naslednjem programskem obdobju na voljo ustrezno financiranje za nemoteno vključevanje novih držav članic, ne da bi ogrozili naložbe v sedanje regije v razvoju.</w:t>
      </w:r>
    </w:p>
    <w:p w14:paraId="52D65066" w14:textId="77777777" w:rsidR="00A25592" w:rsidRPr="00316392" w:rsidRDefault="00A25592" w:rsidP="00E801C3">
      <w:pPr>
        <w:pStyle w:val="ListParagraph"/>
        <w:ind w:left="567" w:hanging="567"/>
      </w:pPr>
    </w:p>
    <w:p w14:paraId="02D741CF" w14:textId="77777777" w:rsidR="00A25592" w:rsidRPr="009B091D" w:rsidRDefault="00A25592" w:rsidP="00E801C3">
      <w:pPr>
        <w:pStyle w:val="Heading1"/>
        <w:keepNext/>
        <w:keepLines/>
        <w:rPr>
          <w:b/>
          <w:bCs/>
        </w:rPr>
      </w:pPr>
      <w:r>
        <w:rPr>
          <w:b/>
        </w:rPr>
        <w:t>Kot predstavniki civilne družbe bomo naredili vse, kar je potrebno za zaščito temeljnih načel kohezijske politike, da bo ta še naprej vezivo, ki drži Evropo skupaj.</w:t>
      </w:r>
    </w:p>
    <w:p w14:paraId="17045321" w14:textId="77777777" w:rsidR="00A25592" w:rsidRPr="009B091D" w:rsidRDefault="00A25592" w:rsidP="00E801C3">
      <w:pPr>
        <w:keepNext/>
        <w:keepLines/>
        <w:ind w:left="567" w:hanging="567"/>
        <w:rPr>
          <w:lang w:val="en-GB"/>
        </w:rPr>
      </w:pPr>
    </w:p>
    <w:p w14:paraId="1BF5E3EC" w14:textId="77777777" w:rsidR="00A25592" w:rsidRPr="009B091D" w:rsidRDefault="00A25592" w:rsidP="00E801C3">
      <w:pPr>
        <w:keepNext/>
        <w:keepLines/>
      </w:pPr>
      <w:r>
        <w:t>V Bruslju, 11. julija 2024</w:t>
      </w:r>
    </w:p>
    <w:p w14:paraId="4335916D" w14:textId="77777777" w:rsidR="00901B76" w:rsidRPr="009B091D" w:rsidRDefault="00901B76" w:rsidP="00E801C3">
      <w:pPr>
        <w:rPr>
          <w:lang w:val="en-GB"/>
        </w:rPr>
      </w:pPr>
    </w:p>
    <w:p w14:paraId="7918E161" w14:textId="77777777" w:rsidR="00901B76" w:rsidRPr="009B091D" w:rsidRDefault="00901B76" w:rsidP="00E801C3">
      <w:pPr>
        <w:rPr>
          <w:lang w:val="en-GB"/>
        </w:rPr>
      </w:pPr>
    </w:p>
    <w:p w14:paraId="4A8B3DD3" w14:textId="77777777" w:rsidR="00901B76" w:rsidRPr="009B091D" w:rsidRDefault="00901B76" w:rsidP="00E801C3">
      <w:pPr>
        <w:rPr>
          <w:i/>
          <w:iCs/>
        </w:rPr>
      </w:pPr>
      <w:r>
        <w:rPr>
          <w:i/>
        </w:rPr>
        <w:t>Predsednik Evropskega ekonomsko-socialnega odbora</w:t>
      </w:r>
    </w:p>
    <w:p w14:paraId="5ACF9D98" w14:textId="230888F5" w:rsidR="00901B76" w:rsidRDefault="00F47BD2" w:rsidP="00E801C3">
      <w:r>
        <w:t>Oliver RÖPKE</w:t>
      </w:r>
    </w:p>
    <w:p w14:paraId="197AE630" w14:textId="524BE16B" w:rsidR="00E801C3" w:rsidRDefault="00E801C3" w:rsidP="00E801C3"/>
    <w:p w14:paraId="69DDB72B" w14:textId="76E9855C" w:rsidR="00F53370" w:rsidRPr="00E801C3" w:rsidRDefault="00E801C3" w:rsidP="00E801C3">
      <w:pPr>
        <w:overflowPunct w:val="0"/>
        <w:autoSpaceDE w:val="0"/>
        <w:autoSpaceDN w:val="0"/>
        <w:adjustRightInd w:val="0"/>
        <w:jc w:val="center"/>
        <w:textAlignment w:val="baseline"/>
        <w:rPr>
          <w:lang w:val="nl-BE"/>
        </w:rPr>
      </w:pPr>
      <w:r>
        <w:rPr>
          <w:lang w:val="nl-BE"/>
        </w:rPr>
        <w:t>_____________</w:t>
      </w:r>
    </w:p>
    <w:sectPr w:rsidR="00F53370" w:rsidRPr="00E801C3" w:rsidSect="009B091D">
      <w:headerReference w:type="default" r:id="rId18"/>
      <w:footerReference w:type="default" r:id="rId19"/>
      <w:pgSz w:w="11907" w:h="16839" w:code="9"/>
      <w:pgMar w:top="1304" w:right="1418" w:bottom="1304"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2663F" w14:textId="77777777" w:rsidR="00283D0F" w:rsidRDefault="00283D0F" w:rsidP="00F53370">
      <w:pPr>
        <w:spacing w:line="240" w:lineRule="auto"/>
      </w:pPr>
      <w:r>
        <w:separator/>
      </w:r>
    </w:p>
  </w:endnote>
  <w:endnote w:type="continuationSeparator" w:id="0">
    <w:p w14:paraId="1B7F3956" w14:textId="77777777" w:rsidR="00283D0F" w:rsidRDefault="00283D0F"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91268" w14:textId="77777777" w:rsidR="00574C9B" w:rsidRDefault="00574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D2D7" w14:textId="60E858AD" w:rsidR="0084105C" w:rsidRPr="003065C9" w:rsidRDefault="00C6634B" w:rsidP="00C6634B">
    <w:pPr>
      <w:pStyle w:val="Footer"/>
      <w:jc w:val="left"/>
    </w:pPr>
    <w:r>
      <w:t xml:space="preserve">ECO/650 – EESC-2024-02528-00-00-RES-TRA (EN) </w:t>
    </w:r>
    <w:r>
      <w:fldChar w:fldCharType="begin"/>
    </w:r>
    <w:r>
      <w:instrText xml:space="preserve"> PAGE  \* Arabic  \* MERGEFORMAT </w:instrText>
    </w:r>
    <w:r>
      <w:fldChar w:fldCharType="separate"/>
    </w:r>
    <w:r>
      <w:t>1</w:t>
    </w:r>
    <w:r>
      <w:fldChar w:fldCharType="end"/>
    </w:r>
    <w:r>
      <w:t>/</w:t>
    </w:r>
    <w:r>
      <w:fldChar w:fldCharType="begin"/>
    </w:r>
    <w:r>
      <w:instrText xml:space="preserve"> = </w:instrText>
    </w:r>
    <w:r w:rsidR="007322D8">
      <w:fldChar w:fldCharType="begin"/>
    </w:r>
    <w:r w:rsidR="007322D8">
      <w:instrText xml:space="preserve"> NUMPAGES </w:instrText>
    </w:r>
    <w:r w:rsidR="007322D8">
      <w:fldChar w:fldCharType="separate"/>
    </w:r>
    <w:r w:rsidR="007322D8">
      <w:rPr>
        <w:noProof/>
      </w:rPr>
      <w:instrText>5</w:instrText>
    </w:r>
    <w:r w:rsidR="007322D8">
      <w:rPr>
        <w:noProof/>
      </w:rPr>
      <w:fldChar w:fldCharType="end"/>
    </w:r>
    <w:r>
      <w:instrText xml:space="preserve"> - 2 </w:instrText>
    </w:r>
    <w:r>
      <w:fldChar w:fldCharType="separate"/>
    </w:r>
    <w:r w:rsidR="007322D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5CCA4" w14:textId="77777777" w:rsidR="00283D0F" w:rsidRDefault="00283D0F" w:rsidP="00F53370">
      <w:pPr>
        <w:spacing w:line="240" w:lineRule="auto"/>
      </w:pPr>
      <w:r>
        <w:separator/>
      </w:r>
    </w:p>
  </w:footnote>
  <w:footnote w:type="continuationSeparator" w:id="0">
    <w:p w14:paraId="3580F04D" w14:textId="77777777" w:rsidR="00283D0F" w:rsidRDefault="00283D0F" w:rsidP="00F53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2DF2" w14:textId="77777777" w:rsidR="00574C9B" w:rsidRDefault="007322D8">
    <w:pPr>
      <w:pStyle w:val="Header"/>
    </w:pPr>
    <w:r>
      <w:pict w14:anchorId="65F6F5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2060" type="#_x0000_t75" style="position:absolute;left:0;text-align:left;margin-left:0;margin-top:0;width:595.2pt;height:841.9pt;z-index:-251649024;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FE4D" w14:textId="144A56C2" w:rsidR="00574C9B" w:rsidRDefault="00E801C3">
    <w:pPr>
      <w:pStyle w:val="Header"/>
    </w:pPr>
    <w:r>
      <w:rPr>
        <w:noProof/>
      </w:rPr>
      <w:drawing>
        <wp:anchor distT="0" distB="0" distL="114300" distR="114300" simplePos="0" relativeHeight="251661312" behindDoc="0" locked="0" layoutInCell="1" allowOverlap="1" wp14:anchorId="05A079BC" wp14:editId="23B7C116">
          <wp:simplePos x="898497" y="453224"/>
          <wp:positionH relativeFrom="page">
            <wp:align>center</wp:align>
          </wp:positionH>
          <wp:positionV relativeFrom="page">
            <wp:posOffset>288290</wp:posOffset>
          </wp:positionV>
          <wp:extent cx="6944360" cy="3343910"/>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5"/>
                  </a:xfrm>
                  <a:prstGeom prst="rect">
                    <a:avLst/>
                  </a:prstGeom>
                </pic:spPr>
              </pic:pic>
            </a:graphicData>
          </a:graphic>
          <wp14:sizeRelH relativeFrom="margin">
            <wp14:pctWidth>0</wp14:pctWidth>
          </wp14:sizeRelH>
          <wp14:sizeRelV relativeFrom="margin">
            <wp14:pctHeight>0</wp14:pctHeight>
          </wp14:sizeRelV>
        </wp:anchor>
      </w:drawing>
    </w:r>
    <w:r w:rsidR="007322D8">
      <w:pict w14:anchorId="4E469A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2061" type="#_x0000_t75" style="position:absolute;left:0;text-align:left;margin-left:0;margin-top:0;width:595.2pt;height:841.9pt;z-index:-251648000;mso-position-horizontal:center;mso-position-horizontal-relative:page;mso-position-vertical:top;mso-position-vertical-relative:page" o:allowincell="f">
          <v:imagedata r:id="rId2" o:title="footer only"/>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3C86" w14:textId="77777777" w:rsidR="00574C9B" w:rsidRDefault="007322D8">
    <w:pPr>
      <w:pStyle w:val="Header"/>
    </w:pPr>
    <w:r>
      <w:pict w14:anchorId="37E42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2059" type="#_x0000_t75" style="position:absolute;left:0;text-align:left;margin-left:0;margin-top:0;width:595.2pt;height:841.9pt;z-index:-25165004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970F8" w14:textId="77777777" w:rsidR="00574C9B" w:rsidRDefault="007322D8">
    <w:pPr>
      <w:pStyle w:val="Header"/>
    </w:pPr>
    <w:r>
      <w:pict w14:anchorId="467BF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2063" type="#_x0000_t75" style="position:absolute;left:0;text-align:left;margin-left:0;margin-top:0;width:595.2pt;height:841.9pt;z-index:-251645952;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6BF5D" w14:textId="77777777" w:rsidR="00574C9B" w:rsidRDefault="007322D8">
    <w:pPr>
      <w:pStyle w:val="Header"/>
    </w:pPr>
    <w:r>
      <w:pict w14:anchorId="1CAC5F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2064" type="#_x0000_t75" style="position:absolute;left:0;text-align:left;margin-left:0;margin-top:0;width:595.2pt;height:841.9pt;z-index:-251644928;visibility:hidden;mso-position-horizontal:center;mso-position-horizontal-relative:margin;mso-position-vertical:center;mso-position-vertical-relative:margin" o:allowincell="f">
          <v:imagedata r:id="rId1" o:title="footer only"/>
          <w10:wrap anchorx="margin" anchory="margin"/>
        </v:shape>
      </w:pict>
    </w:r>
    <w:r w:rsidR="00DF3391">
      <w:rPr>
        <w:noProof/>
      </w:rPr>
      <w:drawing>
        <wp:anchor distT="0" distB="0" distL="114300" distR="114300" simplePos="0" relativeHeight="251662336" behindDoc="1" locked="0" layoutInCell="1" allowOverlap="1" wp14:anchorId="1BDF14CA" wp14:editId="582D51EA">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6A19" w14:textId="77777777" w:rsidR="00574C9B" w:rsidRDefault="007322D8">
    <w:pPr>
      <w:pStyle w:val="Header"/>
    </w:pPr>
    <w:r>
      <w:pict w14:anchorId="5DAC5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2062" type="#_x0000_t75" style="position:absolute;left:0;text-align:left;margin-left:0;margin-top:0;width:595.2pt;height:841.9pt;z-index:-251646976;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156CE" w14:textId="77777777" w:rsidR="00FA08F8" w:rsidRDefault="00732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70"/>
    <w:rsid w:val="00004227"/>
    <w:rsid w:val="00020389"/>
    <w:rsid w:val="00053D00"/>
    <w:rsid w:val="000A0F3B"/>
    <w:rsid w:val="001055CA"/>
    <w:rsid w:val="00126F55"/>
    <w:rsid w:val="00132955"/>
    <w:rsid w:val="0019231D"/>
    <w:rsid w:val="001955B6"/>
    <w:rsid w:val="001C5167"/>
    <w:rsid w:val="001D61AC"/>
    <w:rsid w:val="001E15AA"/>
    <w:rsid w:val="001E2A9E"/>
    <w:rsid w:val="001E3FA1"/>
    <w:rsid w:val="00200E87"/>
    <w:rsid w:val="002039C3"/>
    <w:rsid w:val="00206D14"/>
    <w:rsid w:val="00214BDC"/>
    <w:rsid w:val="00215E81"/>
    <w:rsid w:val="0024727F"/>
    <w:rsid w:val="00283D0F"/>
    <w:rsid w:val="002B6A7B"/>
    <w:rsid w:val="00316392"/>
    <w:rsid w:val="003353D7"/>
    <w:rsid w:val="003659F9"/>
    <w:rsid w:val="003D50B8"/>
    <w:rsid w:val="00401DE5"/>
    <w:rsid w:val="004107DE"/>
    <w:rsid w:val="00442FFF"/>
    <w:rsid w:val="00481540"/>
    <w:rsid w:val="004871B8"/>
    <w:rsid w:val="004B478F"/>
    <w:rsid w:val="005127DA"/>
    <w:rsid w:val="00574C9B"/>
    <w:rsid w:val="0058411F"/>
    <w:rsid w:val="005961A4"/>
    <w:rsid w:val="005F19D0"/>
    <w:rsid w:val="006125A1"/>
    <w:rsid w:val="00653E7D"/>
    <w:rsid w:val="00662207"/>
    <w:rsid w:val="00667F09"/>
    <w:rsid w:val="00672B2A"/>
    <w:rsid w:val="006B37DF"/>
    <w:rsid w:val="006B57A6"/>
    <w:rsid w:val="006D40F9"/>
    <w:rsid w:val="006D53A6"/>
    <w:rsid w:val="006F010C"/>
    <w:rsid w:val="007057A3"/>
    <w:rsid w:val="007322D8"/>
    <w:rsid w:val="00787837"/>
    <w:rsid w:val="00787ABB"/>
    <w:rsid w:val="007A12E6"/>
    <w:rsid w:val="007B6C64"/>
    <w:rsid w:val="007C540D"/>
    <w:rsid w:val="00822952"/>
    <w:rsid w:val="00836505"/>
    <w:rsid w:val="00844B87"/>
    <w:rsid w:val="0089251B"/>
    <w:rsid w:val="008A6DD4"/>
    <w:rsid w:val="008F74D7"/>
    <w:rsid w:val="00901B76"/>
    <w:rsid w:val="00904C42"/>
    <w:rsid w:val="00914683"/>
    <w:rsid w:val="00924C05"/>
    <w:rsid w:val="00937CF2"/>
    <w:rsid w:val="00976645"/>
    <w:rsid w:val="00976F77"/>
    <w:rsid w:val="0098228C"/>
    <w:rsid w:val="009A03EB"/>
    <w:rsid w:val="009B091D"/>
    <w:rsid w:val="009E2100"/>
    <w:rsid w:val="00A15C10"/>
    <w:rsid w:val="00A25592"/>
    <w:rsid w:val="00A310E1"/>
    <w:rsid w:val="00A36AB0"/>
    <w:rsid w:val="00AB37A3"/>
    <w:rsid w:val="00AC5114"/>
    <w:rsid w:val="00AF5F43"/>
    <w:rsid w:val="00B022DD"/>
    <w:rsid w:val="00B25683"/>
    <w:rsid w:val="00B51901"/>
    <w:rsid w:val="00BD50F6"/>
    <w:rsid w:val="00C073E1"/>
    <w:rsid w:val="00C25647"/>
    <w:rsid w:val="00C6634B"/>
    <w:rsid w:val="00C6695F"/>
    <w:rsid w:val="00C66AEA"/>
    <w:rsid w:val="00C9040A"/>
    <w:rsid w:val="00C91E4D"/>
    <w:rsid w:val="00C97300"/>
    <w:rsid w:val="00CB110A"/>
    <w:rsid w:val="00CB7CD0"/>
    <w:rsid w:val="00CE4363"/>
    <w:rsid w:val="00D039AF"/>
    <w:rsid w:val="00D045BD"/>
    <w:rsid w:val="00D4086D"/>
    <w:rsid w:val="00D95232"/>
    <w:rsid w:val="00DA1320"/>
    <w:rsid w:val="00DB7F50"/>
    <w:rsid w:val="00DE30C7"/>
    <w:rsid w:val="00DF3391"/>
    <w:rsid w:val="00DF400F"/>
    <w:rsid w:val="00DF7334"/>
    <w:rsid w:val="00E15BF4"/>
    <w:rsid w:val="00E2376B"/>
    <w:rsid w:val="00E26935"/>
    <w:rsid w:val="00E27707"/>
    <w:rsid w:val="00E52B04"/>
    <w:rsid w:val="00E661B7"/>
    <w:rsid w:val="00E801C3"/>
    <w:rsid w:val="00EC315D"/>
    <w:rsid w:val="00F10276"/>
    <w:rsid w:val="00F2069F"/>
    <w:rsid w:val="00F43068"/>
    <w:rsid w:val="00F47BD2"/>
    <w:rsid w:val="00F53370"/>
    <w:rsid w:val="00F90BE2"/>
    <w:rsid w:val="00FC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11C3A523"/>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paragraph" w:styleId="ListParagraph">
    <w:name w:val="List Paragraph"/>
    <w:basedOn w:val="Normal"/>
    <w:uiPriority w:val="34"/>
    <w:qFormat/>
    <w:rsid w:val="00A25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F7M6YNZUATRX-789077548-2788</_dlc_DocId>
    <_dlc_DocIdUrl xmlns="59ace41b-6786-4ce3-be71-52c27066c6ef">
      <Url>http://dm/eesc/2024/_layouts/15/DocIdRedir.aspx?ID=F7M6YNZUATRX-789077548-2788</Url>
      <Description>F7M6YNZUATRX-789077548-2788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RES</TermName>
          <TermId xmlns="http://schemas.microsoft.com/office/infopath/2007/PartnerControls">9e3e62eb-6858-4bc7-8a50-3453e395fd01</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2024-07-11T12:00:00+00:00</ProductionDate>
    <DocumentNumber xmlns="36007a90-28ab-40da-967b-595e4ec83007">2528</DocumentNumber>
    <FicheYear xmlns="59ace41b-6786-4ce3-be71-52c27066c6ef" xsi:nil="true"/>
    <DossierNumber xmlns="59ace41b-6786-4ce3-be71-52c27066c6ef">650</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162</Value>
      <Value>66</Value>
      <Value>43</Value>
      <Value>37</Value>
      <Value>36</Value>
      <Value>35</Value>
      <Value>34</Value>
      <Value>33</Value>
      <Value>32</Value>
      <Value>31</Value>
      <Value>30</Value>
      <Value>29</Value>
      <Value>28</Value>
      <Value>27</Value>
      <Value>26</Value>
      <Value>25</Value>
      <Value>24</Value>
      <Value>23</Value>
      <Value>22</Value>
      <Value>21</Value>
      <Value>17</Value>
      <Value>16</Value>
      <Value>14</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VARDAKASTANIS</Rapporteur>
    <DocumentYear xmlns="59ace41b-6786-4ce3-be71-52c27066c6ef">2024</DocumentYear>
    <FicheNumber xmlns="59ace41b-6786-4ce3-be71-52c27066c6ef">7051</FicheNumber>
    <OriginalSender xmlns="59ace41b-6786-4ce3-be71-52c27066c6ef">
      <UserInfo>
        <DisplayName>Logar Tina</DisplayName>
        <AccountId>1599</AccountId>
        <AccountType/>
      </UserInfo>
    </OriginalSender>
    <DocumentPart xmlns="59ace41b-6786-4ce3-be71-52c27066c6ef">0</DocumentPart>
    <AdoptionDate xmlns="59ace41b-6786-4ce3-be71-52c27066c6ef">2024-07-10T12:00:00+00:00</AdoptionDate>
    <RequestingService xmlns="59ace41b-6786-4ce3-be71-52c27066c6ef">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6007a90-28ab-40da-967b-595e4ec83007"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59ace41b-6786-4ce3-be71-52c27066c6ef">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415A9-916A-46B2-8F22-E8DDD4FF7D89}">
  <ds:schemaRefs>
    <ds:schemaRef ds:uri="http://schemas.microsoft.com/office/2006/metadata/properties"/>
    <ds:schemaRef ds:uri="http://schemas.microsoft.com/office/infopath/2007/PartnerControls"/>
    <ds:schemaRef ds:uri="59ace41b-6786-4ce3-be71-52c27066c6ef"/>
    <ds:schemaRef ds:uri="http://schemas.microsoft.com/sharepoint/v3/fields"/>
    <ds:schemaRef ds:uri="36007a90-28ab-40da-967b-595e4ec83007"/>
  </ds:schemaRefs>
</ds:datastoreItem>
</file>

<file path=customXml/itemProps2.xml><?xml version="1.0" encoding="utf-8"?>
<ds:datastoreItem xmlns:ds="http://schemas.openxmlformats.org/officeDocument/2006/customXml" ds:itemID="{B90F8D20-AB74-4772-B3ED-179444A1AC4A}">
  <ds:schemaRefs>
    <ds:schemaRef ds:uri="http://schemas.microsoft.com/sharepoint/events"/>
  </ds:schemaRefs>
</ds:datastoreItem>
</file>

<file path=customXml/itemProps3.xml><?xml version="1.0" encoding="utf-8"?>
<ds:datastoreItem xmlns:ds="http://schemas.openxmlformats.org/officeDocument/2006/customXml" ds:itemID="{EE798B10-3AB2-4E4B-B610-6F7400EFFB11}">
  <ds:schemaRefs>
    <ds:schemaRef ds:uri="http://schemas.microsoft.com/sharepoint/v3/contenttype/forms"/>
  </ds:schemaRefs>
</ds:datastoreItem>
</file>

<file path=customXml/itemProps4.xml><?xml version="1.0" encoding="utf-8"?>
<ds:datastoreItem xmlns:ds="http://schemas.openxmlformats.org/officeDocument/2006/customXml" ds:itemID="{D7496BA0-4280-497B-BB95-EEA6D7730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ce41b-6786-4ce3-be71-52c27066c6ef"/>
    <ds:schemaRef ds:uri="http://schemas.microsoft.com/sharepoint/v3/fields"/>
    <ds:schemaRef ds:uri="36007a90-28ab-40da-967b-595e4ec83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1263</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AC-Cover page - Opinion Committee - EESC revised model</vt:lpstr>
    </vt:vector>
  </TitlesOfParts>
  <Company>CESE-CdR</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ECO/650 - Nihče ne sme biti zapostavljen! Za vključujočo in participativno kohezijsko politiko v podporo socialni, ekonomski in teritorialni koheziji</dc:title>
  <dc:subject>RES</dc:subject>
  <dc:creator>Francois Aude</dc:creator>
  <cp:keywords>EESC-2024-02528-00-00-RES-TRA-EN</cp:keywords>
  <dc:description>Rapporteur:  - Original language: EN - Date of document: 11/07/2024 - Date of meeting:  - External documents:  - Administrator:  MELEAS Georgios</dc:description>
  <cp:lastModifiedBy>Zaccheddu Raffaella</cp:lastModifiedBy>
  <cp:revision>2</cp:revision>
  <dcterms:created xsi:type="dcterms:W3CDTF">2024-07-16T07:43:00Z</dcterms:created>
  <dcterms:modified xsi:type="dcterms:W3CDTF">2024-07-16T07:43:00Z</dcterms:modified>
  <cp:category>ECO/650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11/07/2024, 11/07/2024, 12/04/2024, 17/05/2022</vt:lpwstr>
  </property>
  <property fmtid="{D5CDD505-2E9C-101B-9397-08002B2CF9AE}" pid="4" name="Pref_Time">
    <vt:lpwstr>14:38:50, 13:29:52, 12:01:57, 14:58:36</vt:lpwstr>
  </property>
  <property fmtid="{D5CDD505-2E9C-101B-9397-08002B2CF9AE}" pid="5" name="Pref_User">
    <vt:lpwstr>amett, amett, enied, enied</vt:lpwstr>
  </property>
  <property fmtid="{D5CDD505-2E9C-101B-9397-08002B2CF9AE}" pid="6" name="Pref_FileName">
    <vt:lpwstr>EESC-2024-02528-00-00-RES-TRA-EN-CRR.docx, eesc-2024-02528-00-00-res-ori (1).docx, COR-EESC-2024-01326-16-00-ADMIN-ORI.docx, COR-EESC-2022-02592-00-00-ADMIN-ORI.docx</vt:lpwstr>
  </property>
  <property fmtid="{D5CDD505-2E9C-101B-9397-08002B2CF9AE}" pid="7" name="ContentTypeId">
    <vt:lpwstr>0x010100EA97B91038054C99906057A708A1480A00C9C698F2971CE54890F427AFE3EB568F</vt:lpwstr>
  </property>
  <property fmtid="{D5CDD505-2E9C-101B-9397-08002B2CF9AE}" pid="8" name="_dlc_DocIdItemGuid">
    <vt:lpwstr>fd399756-09fe-4b8b-a649-60a4e7f6b536</vt:lpwstr>
  </property>
  <property fmtid="{D5CDD505-2E9C-101B-9397-08002B2CF9AE}" pid="9" name="AvailableTranslations">
    <vt:lpwstr>43;#CS|72f9705b-0217-4fd3-bea2-cbc7ed80e26e;#32;#HU|6b229040-c589-4408-b4c1-4285663d20a8;#35;#FI|87606a43-d45f-42d6-b8c9-e1a3457db5b7;#16;#DA|5d49c027-8956-412b-aa16-e85a0f96ad0e;#25;#DE|f6b31e5a-26fa-4935-b661-318e46daf27e;#28;#LV|46f7e311-5d9f-4663-b433-18aeccb7ace7;#30;#HR|2f555653-ed1a-4fe6-8362-9082d95989e5;#26;#SK|46d9fce0-ef79-4f71-b89b-cd6aa82426b8;#37;#RO|feb747a2-64cd-4299-af12-4833ddc30497;#27;#SL|98a412ae-eb01-49e9-ae3d-585a81724cfc;#17;#PL|1e03da61-4678-4e07-b136-b5024ca9197b;#22;#BG|1a1b3951-7821-4e6a-85f5-5673fc08bd2c;#31;#NL|55c6556c-b4f4-441d-9acf-c498d4f838bd;#34;#LT|a7ff5ce7-6123-4f68-865a-a57c31810414;#24;#ES|e7a6b05b-ae16-40c8-add9-68b64b03aeba;#21;#SV|c2ed69e7-a339-43d7-8f22-d93680a92aa0;#23;#MT|7df99101-6854-4a26-b53a-b88c0da02c26;#14;#FR|d2afafd3-4c81-4f60-8f52-ee33f2f54ff3;#5;#EN|f2175f21-25d7-44a3-96da-d6a61b075e1b;#36;#PT|50ccc04a-eadd-42ae-a0cb-acaf45f812ba;#29;#EL|6d4f4d51-af9b-4650-94b4-4276bee85c91;#33;#ET|ff6c3f4c-b02c-4c3c-ab07-2c37995a7a0a;#12;#IT|0774613c-01ed-4e5d-a25d-11d2388de825</vt:lpwstr>
  </property>
  <property fmtid="{D5CDD505-2E9C-101B-9397-08002B2CF9AE}" pid="10" name="DocumentType_0">
    <vt:lpwstr>RES|9e3e62eb-6858-4bc7-8a50-3453e395fd01</vt:lpwstr>
  </property>
  <property fmtid="{D5CDD505-2E9C-101B-9397-08002B2CF9AE}" pid="11" name="DossierName_0">
    <vt:lpwstr>ECO|8df351f5-c957-404c-8cf3-8ffb22c9cba2</vt:lpwstr>
  </property>
  <property fmtid="{D5CDD505-2E9C-101B-9397-08002B2CF9AE}" pid="12" name="DocumentSource_0">
    <vt:lpwstr>EESC|422833ec-8d7e-4e65-8e4e-8bed07ffb729</vt:lpwstr>
  </property>
  <property fmtid="{D5CDD505-2E9C-101B-9397-08002B2CF9AE}" pid="13" name="DocumentNumber">
    <vt:i4>2528</vt:i4>
  </property>
  <property fmtid="{D5CDD505-2E9C-101B-9397-08002B2CF9AE}" pid="14" name="DocumentVersion">
    <vt:i4>0</vt:i4>
  </property>
  <property fmtid="{D5CDD505-2E9C-101B-9397-08002B2CF9AE}" pid="15" name="DossierNumber">
    <vt:i4>650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66;#ECO|8df351f5-c957-404c-8cf3-8ffb22c9cba2</vt:lpwstr>
  </property>
  <property fmtid="{D5CDD505-2E9C-101B-9397-08002B2CF9AE}" pid="19" name="DocumentSource">
    <vt:lpwstr>1;#EESC|422833ec-8d7e-4e65-8e4e-8bed07ffb729</vt:lpwstr>
  </property>
  <property fmtid="{D5CDD505-2E9C-101B-9397-08002B2CF9AE}" pid="20" name="AdoptionDate">
    <vt:filetime>2024-07-10T12:00:00Z</vt:filetime>
  </property>
  <property fmtid="{D5CDD505-2E9C-101B-9397-08002B2CF9AE}" pid="21" name="DocumentType">
    <vt:lpwstr>162;#RES|9e3e62eb-6858-4bc7-8a50-3453e395fd01</vt:lpwstr>
  </property>
  <property fmtid="{D5CDD505-2E9C-101B-9397-08002B2CF9AE}" pid="22" name="RequestingService">
    <vt:lpwstr>Union économique et monétaire et cohésion économique et sociale</vt:lpwstr>
  </property>
  <property fmtid="{D5CDD505-2E9C-101B-9397-08002B2CF9AE}" pid="23" name="Confidentiality">
    <vt:lpwstr>6;#Unrestricted|826e22d7-d029-4ec0-a450-0c28ff673572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
  </property>
  <property fmtid="{D5CDD505-2E9C-101B-9397-08002B2CF9AE}" pid="28" name="AvailableTranslations_0">
    <vt:lpwstr>DA|5d49c027-8956-412b-aa16-e85a0f96ad0e;NL|55c6556c-b4f4-441d-9acf-c498d4f838bd;SV|c2ed69e7-a339-43d7-8f22-d93680a92aa0;EN|f2175f21-25d7-44a3-96da-d6a61b075e1b</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16;#DA|5d49c027-8956-412b-aa16-e85a0f96ad0e;#66;#ECO|8df351f5-c957-404c-8cf3-8ffb22c9cba2;#31;#NL|55c6556c-b4f4-441d-9acf-c498d4f838bd;#162;#RES|9e3e62eb-6858-4bc7-8a50-3453e395fd01;#8;#Final|ea5e6674-7b27-4bac-b091-73adbb394efe;#6;#Unrestricted|826e22d7-d029-4ec0-a450-0c28ff673572;#5;#EN|f2175f21-25d7-44a3-96da-d6a61b075e1b;#21;#SV|c2ed69e7-a339-43d7-8f22-d93680a92aa0;#3;#TRA|150d2a88-1431-44e6-a8ca-0bb753ab8672;#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7051</vt:i4>
  </property>
  <property fmtid="{D5CDD505-2E9C-101B-9397-08002B2CF9AE}" pid="36" name="DocumentLanguage">
    <vt:lpwstr>27;#SL|98a412ae-eb01-49e9-ae3d-585a81724cfc</vt:lpwstr>
  </property>
  <property fmtid="{D5CDD505-2E9C-101B-9397-08002B2CF9AE}" pid="37" name="_docset_NoMedatataSyncRequired">
    <vt:lpwstr>False</vt:lpwstr>
  </property>
</Properties>
</file>