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A4F6F" w14:paraId="47A5265A" w14:textId="77777777">
        <w:trPr>
          <w:jc w:val="center"/>
        </w:trPr>
        <w:tc>
          <w:tcPr>
            <w:tcW w:w="5000" w:type="pct"/>
            <w:vAlign w:val="center"/>
          </w:tcPr>
          <w:p w14:paraId="421C02D3" w14:textId="77777777" w:rsidR="00901B76" w:rsidRPr="00316392" w:rsidRDefault="00901B76" w:rsidP="0095280D">
            <w:pPr>
              <w:jc w:val="center"/>
              <w:rPr>
                <w:b/>
                <w:sz w:val="72"/>
                <w:szCs w:val="72"/>
              </w:rPr>
            </w:pPr>
            <w:r>
              <w:rPr>
                <w:b/>
                <w:sz w:val="72"/>
              </w:rPr>
              <w:t>RESOLUTIE</w:t>
            </w:r>
          </w:p>
        </w:tc>
      </w:tr>
      <w:tr w:rsidR="00BA4F6F" w14:paraId="66433584" w14:textId="77777777">
        <w:trPr>
          <w:trHeight w:val="567"/>
          <w:jc w:val="center"/>
        </w:trPr>
        <w:tc>
          <w:tcPr>
            <w:tcW w:w="5000" w:type="pct"/>
            <w:vAlign w:val="center"/>
          </w:tcPr>
          <w:p w14:paraId="25BD3266" w14:textId="77777777" w:rsidR="00901B76" w:rsidRPr="00316392" w:rsidRDefault="00901B76" w:rsidP="0095280D">
            <w:pPr>
              <w:jc w:val="center"/>
              <w:rPr>
                <w:sz w:val="24"/>
                <w:szCs w:val="24"/>
              </w:rPr>
            </w:pPr>
            <w:r>
              <w:rPr>
                <w:sz w:val="24"/>
              </w:rPr>
              <w:t>Europees Economisch en Sociaal Comité</w:t>
            </w:r>
          </w:p>
        </w:tc>
      </w:tr>
      <w:tr w:rsidR="00BA4F6F" w14:paraId="014DE4D0" w14:textId="77777777">
        <w:trPr>
          <w:jc w:val="center"/>
        </w:trPr>
        <w:tc>
          <w:tcPr>
            <w:tcW w:w="5000" w:type="pct"/>
            <w:vAlign w:val="center"/>
          </w:tcPr>
          <w:p w14:paraId="3B68E737" w14:textId="77777777" w:rsidR="005127DA" w:rsidRPr="00316392" w:rsidRDefault="005127DA" w:rsidP="005127DA">
            <w:pPr>
              <w:jc w:val="center"/>
              <w:rPr>
                <w:b/>
                <w:sz w:val="44"/>
                <w:szCs w:val="44"/>
              </w:rPr>
            </w:pPr>
            <w:r>
              <w:rPr>
                <w:b/>
                <w:sz w:val="44"/>
              </w:rPr>
              <w:t>Mensen mogen niet aan hun lot worden overgelaten!</w:t>
            </w:r>
          </w:p>
          <w:p w14:paraId="427AEFCA" w14:textId="77777777" w:rsidR="00901B76" w:rsidRPr="00316392" w:rsidRDefault="005127DA" w:rsidP="005127DA">
            <w:pPr>
              <w:jc w:val="center"/>
              <w:rPr>
                <w:b/>
                <w:sz w:val="44"/>
                <w:szCs w:val="44"/>
              </w:rPr>
            </w:pPr>
            <w:r>
              <w:rPr>
                <w:b/>
                <w:sz w:val="44"/>
              </w:rPr>
              <w:t>Een inclusief en participatief cohesiebeleid ter ondersteuning van de sociale, economische en territoriale samenhang</w:t>
            </w:r>
          </w:p>
        </w:tc>
      </w:tr>
      <w:tr w:rsidR="00BA4F6F" w14:paraId="2226C634" w14:textId="77777777">
        <w:trPr>
          <w:jc w:val="center"/>
        </w:trPr>
        <w:tc>
          <w:tcPr>
            <w:tcW w:w="5000" w:type="pct"/>
            <w:vAlign w:val="center"/>
          </w:tcPr>
          <w:p w14:paraId="244FBD88" w14:textId="77777777" w:rsidR="00901B76" w:rsidRPr="00316392" w:rsidRDefault="00901B76" w:rsidP="0095280D">
            <w:pPr>
              <w:jc w:val="center"/>
              <w:rPr>
                <w:sz w:val="24"/>
                <w:szCs w:val="24"/>
                <w:lang w:val="en-GB"/>
              </w:rPr>
            </w:pPr>
          </w:p>
        </w:tc>
      </w:tr>
      <w:tr w:rsidR="00BA4F6F" w14:paraId="284EA355" w14:textId="77777777">
        <w:trPr>
          <w:jc w:val="center"/>
        </w:trPr>
        <w:tc>
          <w:tcPr>
            <w:tcW w:w="5000" w:type="pct"/>
            <w:vAlign w:val="center"/>
          </w:tcPr>
          <w:p w14:paraId="448E75EB" w14:textId="77777777" w:rsidR="00901B76" w:rsidRPr="00316392" w:rsidRDefault="00901B76" w:rsidP="0095280D">
            <w:pPr>
              <w:overflowPunct w:val="0"/>
              <w:autoSpaceDE w:val="0"/>
              <w:autoSpaceDN w:val="0"/>
              <w:adjustRightInd w:val="0"/>
              <w:jc w:val="center"/>
              <w:textAlignment w:val="baseline"/>
              <w:rPr>
                <w:b/>
                <w:position w:val="24"/>
                <w:sz w:val="24"/>
                <w:szCs w:val="24"/>
              </w:rPr>
            </w:pPr>
            <w:r>
              <w:rPr>
                <w:sz w:val="24"/>
              </w:rPr>
              <w:t>_____________</w:t>
            </w:r>
          </w:p>
        </w:tc>
      </w:tr>
      <w:tr w:rsidR="00BA4F6F" w14:paraId="0F994B5B" w14:textId="77777777">
        <w:trPr>
          <w:jc w:val="center"/>
        </w:trPr>
        <w:tc>
          <w:tcPr>
            <w:tcW w:w="5000" w:type="pct"/>
            <w:vAlign w:val="center"/>
          </w:tcPr>
          <w:p w14:paraId="6BDCC5B3" w14:textId="77777777" w:rsidR="00901B76" w:rsidRPr="00316392" w:rsidRDefault="00901B76" w:rsidP="0095280D">
            <w:pPr>
              <w:jc w:val="center"/>
              <w:rPr>
                <w:sz w:val="24"/>
                <w:szCs w:val="24"/>
                <w:lang w:val="en-GB"/>
              </w:rPr>
            </w:pPr>
          </w:p>
        </w:tc>
      </w:tr>
      <w:tr w:rsidR="00BA4F6F" w14:paraId="3FFA5A5E" w14:textId="77777777">
        <w:trPr>
          <w:jc w:val="center"/>
        </w:trPr>
        <w:tc>
          <w:tcPr>
            <w:tcW w:w="5000" w:type="pct"/>
            <w:vAlign w:val="center"/>
          </w:tcPr>
          <w:p w14:paraId="06ECA81F" w14:textId="77777777" w:rsidR="00901B76" w:rsidRPr="00316392" w:rsidRDefault="00901B76" w:rsidP="0095280D">
            <w:pPr>
              <w:jc w:val="center"/>
              <w:rPr>
                <w:b/>
                <w:sz w:val="24"/>
                <w:szCs w:val="24"/>
              </w:rPr>
            </w:pPr>
            <w:r>
              <w:rPr>
                <w:sz w:val="24"/>
              </w:rPr>
              <w:t xml:space="preserve">Rapporteurs: </w:t>
            </w:r>
            <w:r>
              <w:rPr>
                <w:b/>
                <w:sz w:val="24"/>
              </w:rPr>
              <w:t>Ioannis VARDAKASTANIS</w:t>
            </w:r>
          </w:p>
        </w:tc>
      </w:tr>
    </w:tbl>
    <w:p w14:paraId="0269AF54" w14:textId="77777777" w:rsidR="00574C9B" w:rsidRPr="00316392" w:rsidRDefault="00574C9B" w:rsidP="00574C9B">
      <w:r>
        <w:rPr>
          <w:noProof/>
          <w:sz w:val="20"/>
        </w:rPr>
        <mc:AlternateContent>
          <mc:Choice Requires="wps">
            <w:drawing>
              <wp:anchor distT="0" distB="0" distL="114300" distR="114300" simplePos="0" relativeHeight="251659264" behindDoc="1" locked="0" layoutInCell="0" allowOverlap="1" wp14:anchorId="2E6B2C7B" wp14:editId="6096346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9B97" w14:textId="77777777" w:rsidR="00574C9B" w:rsidRDefault="00574C9B" w:rsidP="00574C9B">
                            <w:pPr>
                              <w:jc w:val="cente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B2C7B"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47309B97" w14:textId="77777777" w:rsidR="00574C9B" w:rsidRDefault="00574C9B" w:rsidP="00574C9B">
                      <w:pPr>
                        <w:jc w:val="center"/>
                      </w:pPr>
                      <w:r>
                        <w:rPr>
                          <w:rFonts w:ascii="Arial" w:hAnsi="Arial"/>
                          <w:b/>
                          <w:sz w:val="48"/>
                        </w:rPr>
                        <w:t>NL</w:t>
                      </w:r>
                    </w:p>
                  </w:txbxContent>
                </v:textbox>
                <w10:wrap anchorx="margin" anchory="page"/>
              </v:shape>
            </w:pict>
          </mc:Fallback>
        </mc:AlternateContent>
      </w:r>
    </w:p>
    <w:p w14:paraId="2B77E190" w14:textId="77777777" w:rsidR="00574C9B" w:rsidRPr="00316392" w:rsidRDefault="00574C9B" w:rsidP="00574C9B">
      <w:pPr>
        <w:rPr>
          <w:lang w:val="en-GB"/>
        </w:rPr>
      </w:pPr>
    </w:p>
    <w:p w14:paraId="3115260F" w14:textId="77777777" w:rsidR="00574C9B" w:rsidRPr="00316392" w:rsidRDefault="00574C9B" w:rsidP="00574C9B">
      <w:pPr>
        <w:rPr>
          <w:lang w:val="en-GB"/>
        </w:rPr>
        <w:sectPr w:rsidR="00574C9B" w:rsidRPr="00316392" w:rsidSect="00C6634B">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BA4F6F" w14:paraId="189E3A03" w14:textId="77777777">
        <w:tc>
          <w:tcPr>
            <w:tcW w:w="3085" w:type="dxa"/>
          </w:tcPr>
          <w:p w14:paraId="1361E8A4" w14:textId="77777777" w:rsidR="00901B76" w:rsidRPr="00316392" w:rsidRDefault="00901B76" w:rsidP="00901B76">
            <w:pPr>
              <w:autoSpaceDE w:val="0"/>
              <w:autoSpaceDN w:val="0"/>
              <w:jc w:val="left"/>
              <w:rPr>
                <w:szCs w:val="20"/>
              </w:rPr>
            </w:pPr>
            <w:r>
              <w:lastRenderedPageBreak/>
              <w:t>Rechtsgrond</w:t>
            </w:r>
          </w:p>
        </w:tc>
        <w:tc>
          <w:tcPr>
            <w:tcW w:w="6204" w:type="dxa"/>
            <w:vAlign w:val="bottom"/>
          </w:tcPr>
          <w:p w14:paraId="2E26913A" w14:textId="77777777" w:rsidR="00901B76" w:rsidRPr="00316392" w:rsidRDefault="00901B76" w:rsidP="00901B76">
            <w:pPr>
              <w:autoSpaceDE w:val="0"/>
              <w:autoSpaceDN w:val="0"/>
              <w:jc w:val="left"/>
            </w:pPr>
            <w:r>
              <w:t>Artikel 52, lid 4, van het reglement van orde</w:t>
            </w:r>
          </w:p>
        </w:tc>
      </w:tr>
      <w:tr w:rsidR="00BA4F6F" w14:paraId="4A5620D4" w14:textId="77777777">
        <w:tc>
          <w:tcPr>
            <w:tcW w:w="3085" w:type="dxa"/>
          </w:tcPr>
          <w:p w14:paraId="092433B3" w14:textId="77777777" w:rsidR="00901B76" w:rsidRPr="00316392" w:rsidRDefault="00901B76" w:rsidP="00901B76">
            <w:pPr>
              <w:autoSpaceDE w:val="0"/>
              <w:autoSpaceDN w:val="0"/>
              <w:jc w:val="left"/>
            </w:pPr>
            <w:r>
              <w:t>Goedkeuring door de voltallige vergadering</w:t>
            </w:r>
          </w:p>
        </w:tc>
        <w:tc>
          <w:tcPr>
            <w:tcW w:w="6204" w:type="dxa"/>
            <w:vAlign w:val="bottom"/>
          </w:tcPr>
          <w:p w14:paraId="4CE00CC1" w14:textId="77777777" w:rsidR="00901B76" w:rsidRPr="00316392" w:rsidRDefault="005127DA" w:rsidP="00901B76">
            <w:pPr>
              <w:autoSpaceDE w:val="0"/>
              <w:autoSpaceDN w:val="0"/>
              <w:jc w:val="left"/>
            </w:pPr>
            <w:r>
              <w:t>11/7/2024</w:t>
            </w:r>
          </w:p>
        </w:tc>
      </w:tr>
      <w:tr w:rsidR="00BA4F6F" w14:paraId="4F05D253" w14:textId="77777777">
        <w:tc>
          <w:tcPr>
            <w:tcW w:w="3085" w:type="dxa"/>
          </w:tcPr>
          <w:p w14:paraId="65364140" w14:textId="77777777" w:rsidR="00901B76" w:rsidRPr="00316392" w:rsidRDefault="00901B76" w:rsidP="00901B76">
            <w:pPr>
              <w:autoSpaceDE w:val="0"/>
              <w:autoSpaceDN w:val="0"/>
              <w:jc w:val="left"/>
            </w:pPr>
            <w:r>
              <w:t>Zitting nr.</w:t>
            </w:r>
          </w:p>
        </w:tc>
        <w:tc>
          <w:tcPr>
            <w:tcW w:w="6204" w:type="dxa"/>
            <w:vAlign w:val="bottom"/>
          </w:tcPr>
          <w:p w14:paraId="6D722517" w14:textId="77777777" w:rsidR="00901B76" w:rsidRPr="00316392" w:rsidRDefault="005127DA" w:rsidP="00901B76">
            <w:pPr>
              <w:autoSpaceDE w:val="0"/>
              <w:autoSpaceDN w:val="0"/>
              <w:jc w:val="left"/>
            </w:pPr>
            <w:r>
              <w:t>589</w:t>
            </w:r>
          </w:p>
        </w:tc>
      </w:tr>
      <w:tr w:rsidR="00BA4F6F" w14:paraId="35A5C0A6" w14:textId="77777777">
        <w:tc>
          <w:tcPr>
            <w:tcW w:w="3085" w:type="dxa"/>
          </w:tcPr>
          <w:p w14:paraId="2D629471" w14:textId="77777777" w:rsidR="00901B76" w:rsidRPr="00316392" w:rsidRDefault="00901B76" w:rsidP="00901B76">
            <w:pPr>
              <w:autoSpaceDE w:val="0"/>
              <w:autoSpaceDN w:val="0"/>
              <w:jc w:val="left"/>
            </w:pPr>
            <w:r>
              <w:t>Stemuitslag</w:t>
            </w:r>
            <w:r>
              <w:br/>
              <w:t>(voor/tegen/onthoudingen)</w:t>
            </w:r>
          </w:p>
        </w:tc>
        <w:tc>
          <w:tcPr>
            <w:tcW w:w="6204" w:type="dxa"/>
            <w:vAlign w:val="bottom"/>
          </w:tcPr>
          <w:p w14:paraId="39E5882C" w14:textId="77777777" w:rsidR="00901B76" w:rsidRPr="00316392" w:rsidRDefault="00AF5F43" w:rsidP="00901B76">
            <w:pPr>
              <w:autoSpaceDE w:val="0"/>
              <w:autoSpaceDN w:val="0"/>
              <w:jc w:val="left"/>
            </w:pPr>
            <w:r>
              <w:t>159/2/07</w:t>
            </w:r>
          </w:p>
        </w:tc>
      </w:tr>
    </w:tbl>
    <w:p w14:paraId="32DC70C7" w14:textId="77777777" w:rsidR="00AC5114" w:rsidRPr="00316392" w:rsidRDefault="00AC5114" w:rsidP="00574C9B">
      <w:pPr>
        <w:rPr>
          <w:lang w:val="en-GB"/>
        </w:rPr>
      </w:pPr>
    </w:p>
    <w:p w14:paraId="4DDF5F47" w14:textId="77777777" w:rsidR="00AC5114" w:rsidRPr="00316392" w:rsidRDefault="00AC5114" w:rsidP="00574C9B">
      <w:pPr>
        <w:rPr>
          <w:lang w:val="en-GB"/>
        </w:rPr>
        <w:sectPr w:rsidR="00AC5114" w:rsidRPr="00316392" w:rsidSect="00C6634B">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0D571098" w14:textId="77777777" w:rsidR="00A25592" w:rsidRPr="009B091D" w:rsidRDefault="00A25592" w:rsidP="00A25592">
      <w:pPr>
        <w:pStyle w:val="Heading1"/>
      </w:pPr>
      <w:r>
        <w:lastRenderedPageBreak/>
        <w:t>Nu er binnenkort een nieuwe Europese Commissie aantreedt, roept het Europees Economisch en Sociaal Comité, dat maatschappelijke organisaties vertegenwoordigt, de lidstaten van de Europese Unie en haar leiders, de Europese instellingen en de EU-burgers op om de economische, sociale en territoriale samenhang van de EU te waarborgen en te beschermen overeenkomstig artikel 174 VWEU.</w:t>
      </w:r>
    </w:p>
    <w:p w14:paraId="60245CFA" w14:textId="77777777" w:rsidR="00A25592" w:rsidRPr="009B091D" w:rsidRDefault="00A25592" w:rsidP="00A25592">
      <w:pPr>
        <w:pStyle w:val="Heading2"/>
        <w:numPr>
          <w:ilvl w:val="0"/>
          <w:numId w:val="0"/>
        </w:numPr>
        <w:ind w:left="567" w:hanging="567"/>
        <w:rPr>
          <w:lang w:val="en-GB"/>
        </w:rPr>
      </w:pPr>
    </w:p>
    <w:p w14:paraId="6E0FC0C7" w14:textId="77777777" w:rsidR="00A25592" w:rsidRPr="009B091D" w:rsidRDefault="00A25592" w:rsidP="00A25592">
      <w:pPr>
        <w:pStyle w:val="Heading1"/>
      </w:pPr>
      <w:r>
        <w:t xml:space="preserve">Wij benadrukken met klem dat het credo dat “mensen niet aan hun lot mogen worden overgelaten” niets aan kracht en waarde heeft ingeboet als grondbeginsel van het cohesiebeleid en dat de partners uit het maatschappelijk middenveld bereid zijn om zich daarvoor via een solide investeringsbeleid van de EU te blijven inzetten. </w:t>
      </w:r>
    </w:p>
    <w:p w14:paraId="6D6389F3" w14:textId="77777777" w:rsidR="00A25592" w:rsidRPr="009B091D" w:rsidRDefault="00A25592" w:rsidP="00A25592">
      <w:pPr>
        <w:ind w:left="567" w:hanging="567"/>
        <w:rPr>
          <w:lang w:val="en-GB"/>
        </w:rPr>
      </w:pPr>
    </w:p>
    <w:p w14:paraId="1EB032A1" w14:textId="77777777" w:rsidR="00A25592" w:rsidRPr="009B091D" w:rsidRDefault="00A25592" w:rsidP="00A25592">
      <w:pPr>
        <w:pStyle w:val="Heading1"/>
      </w:pPr>
      <w:r>
        <w:t>Wij onderstrepen dat ongelijkheid van kansen schadelijk kan zijn voor de groei en het concurrentievermogen op lange termijn op regionaal, nationaal en EU-niveau. Het is dan ook zaak om het cohesiebeleid te diversifiëren en flexibeler te maken, zonder evenwel iets af te doen aan de geloofwaardigheid, stabiliteit en helderheid ervan, zodat meer aandacht kan worden besteed aan mensen, met name de meest kwetsbaren, en de ongelijke kansen waarmee velen te maken hebben beter kunnen worden aangepakt.</w:t>
      </w:r>
    </w:p>
    <w:p w14:paraId="68930DFF" w14:textId="77777777" w:rsidR="00A25592" w:rsidRPr="009B091D" w:rsidRDefault="00A25592" w:rsidP="00A25592">
      <w:pPr>
        <w:ind w:left="567" w:hanging="567"/>
        <w:rPr>
          <w:lang w:val="en-GB"/>
        </w:rPr>
      </w:pPr>
    </w:p>
    <w:p w14:paraId="6C8CE2B9" w14:textId="77777777" w:rsidR="00A25592" w:rsidRPr="009B091D" w:rsidRDefault="00A25592" w:rsidP="00A25592">
      <w:pPr>
        <w:pStyle w:val="Heading1"/>
      </w:pPr>
      <w:r>
        <w:t xml:space="preserve">Wij staan kritisch tegenover het schrappen van de functie van commissaris die specifiek verantwoordelijk is voor het cohesiebeleid. </w:t>
      </w:r>
    </w:p>
    <w:p w14:paraId="73E2D368" w14:textId="77777777" w:rsidR="00A25592" w:rsidRPr="009B091D" w:rsidRDefault="00A25592" w:rsidP="00A25592">
      <w:pPr>
        <w:pStyle w:val="Heading1"/>
        <w:numPr>
          <w:ilvl w:val="0"/>
          <w:numId w:val="0"/>
        </w:numPr>
        <w:ind w:left="567" w:hanging="567"/>
        <w:rPr>
          <w:lang w:val="en-GB"/>
        </w:rPr>
      </w:pPr>
    </w:p>
    <w:p w14:paraId="5FD534E4" w14:textId="77777777" w:rsidR="00A25592" w:rsidRPr="009B091D" w:rsidRDefault="00A25592" w:rsidP="00A25592">
      <w:pPr>
        <w:pStyle w:val="Heading1"/>
      </w:pPr>
      <w:r>
        <w:t>Wij zijn tegen de afslanking en omvorming van het cohesiebeleid tot een instrument voor het aanpakken van noodsituaties.</w:t>
      </w:r>
    </w:p>
    <w:p w14:paraId="115AEF44" w14:textId="77777777" w:rsidR="00A25592" w:rsidRPr="009B091D" w:rsidRDefault="00A25592" w:rsidP="00A25592">
      <w:pPr>
        <w:ind w:left="567" w:hanging="567"/>
        <w:rPr>
          <w:lang w:val="en-GB"/>
        </w:rPr>
      </w:pPr>
    </w:p>
    <w:p w14:paraId="6899AE69" w14:textId="77777777" w:rsidR="00A25592" w:rsidRPr="009B091D" w:rsidRDefault="00A25592" w:rsidP="00A25592">
      <w:pPr>
        <w:pStyle w:val="Heading1"/>
      </w:pPr>
      <w:r>
        <w:t xml:space="preserve">Wij verwerpen het idee om het cohesiebeleid om te zetten in een instrument dat vergelijkbaar is met de herstel- en veerkrachtfaciliteit (RRF) met weinig of geen structurele betrokkenheid van belanghebbenden, gedeeld beheer en multilevel governance. </w:t>
      </w:r>
    </w:p>
    <w:p w14:paraId="6AC4E083" w14:textId="77777777" w:rsidR="00A25592" w:rsidRPr="009B091D" w:rsidRDefault="00A25592" w:rsidP="00A25592">
      <w:pPr>
        <w:ind w:left="567" w:hanging="567"/>
        <w:rPr>
          <w:lang w:val="en-GB"/>
        </w:rPr>
      </w:pPr>
    </w:p>
    <w:p w14:paraId="1DE5F0C9" w14:textId="77777777" w:rsidR="00A25592" w:rsidRPr="009B091D" w:rsidRDefault="00A25592" w:rsidP="00A25592">
      <w:pPr>
        <w:pStyle w:val="Heading1"/>
      </w:pPr>
      <w:r>
        <w:t>Wij zijn voorstander van het partnerschapsbeginsel en duidelijke regels voor de betrokkenheid van het maatschappelijk middenveld bij de selectie, governance en monitoring van door de EU gefinancierde concrete acties.</w:t>
      </w:r>
    </w:p>
    <w:p w14:paraId="195317C7" w14:textId="77777777" w:rsidR="00A25592" w:rsidRPr="009B091D" w:rsidRDefault="00A25592" w:rsidP="00A25592">
      <w:pPr>
        <w:ind w:left="567" w:hanging="567"/>
        <w:rPr>
          <w:highlight w:val="yellow"/>
          <w:lang w:val="en-GB"/>
        </w:rPr>
      </w:pPr>
    </w:p>
    <w:p w14:paraId="23C3EF15" w14:textId="77777777" w:rsidR="00A25592" w:rsidRPr="009B091D" w:rsidRDefault="00A25592" w:rsidP="00A25592">
      <w:pPr>
        <w:pStyle w:val="Heading1"/>
      </w:pPr>
      <w:r>
        <w:t>Wij pleiten voor krachtige bewoordingen waar het gaat om de betrokkenheid van het maatschappelijk middenveld bij de volgende verordening houdende gemeenschappelijke bepalingen (GB-verordening), die het gebruik van de cohesiefondsen en andere financiële middelen van de EU na 2027 op dezelfde wijze regelt als voor de periode 2021-2027.</w:t>
      </w:r>
    </w:p>
    <w:p w14:paraId="2EB7BE8A" w14:textId="77777777" w:rsidR="00A25592" w:rsidRPr="009B091D" w:rsidRDefault="00A25592" w:rsidP="00A25592">
      <w:pPr>
        <w:ind w:left="567" w:hanging="567"/>
        <w:rPr>
          <w:lang w:val="en-GB"/>
        </w:rPr>
      </w:pPr>
    </w:p>
    <w:p w14:paraId="5A1579AA" w14:textId="77777777" w:rsidR="00A25592" w:rsidRPr="009B091D" w:rsidRDefault="00A25592" w:rsidP="00A25592">
      <w:pPr>
        <w:pStyle w:val="Heading1"/>
      </w:pPr>
      <w:r>
        <w:t>Wij bepleiten een cohesiebeleid dat is afgestemd op het lokale niveau en waarin de mens centraal staat.</w:t>
      </w:r>
    </w:p>
    <w:p w14:paraId="04E95E2E" w14:textId="77777777" w:rsidR="00A25592" w:rsidRPr="009B091D" w:rsidRDefault="00A25592" w:rsidP="00A25592">
      <w:pPr>
        <w:ind w:left="567" w:hanging="567"/>
        <w:rPr>
          <w:lang w:val="en-GB"/>
        </w:rPr>
      </w:pPr>
    </w:p>
    <w:p w14:paraId="07CEC203" w14:textId="77777777" w:rsidR="00A25592" w:rsidRPr="009B091D" w:rsidRDefault="00A25592" w:rsidP="00A25592">
      <w:pPr>
        <w:pStyle w:val="Heading2"/>
      </w:pPr>
      <w:r>
        <w:t>"Afgestemd op het lokale niveau" omdat territoriale kenmerken volledig in acht moeten worden genomen op basis van territoriale effectbeoordelingen.</w:t>
      </w:r>
    </w:p>
    <w:p w14:paraId="21F5A284" w14:textId="77777777" w:rsidR="00A25592" w:rsidRPr="009B091D" w:rsidRDefault="00A25592" w:rsidP="00A25592">
      <w:pPr>
        <w:ind w:left="567" w:hanging="567"/>
        <w:rPr>
          <w:lang w:val="en-GB"/>
        </w:rPr>
      </w:pPr>
    </w:p>
    <w:p w14:paraId="676868FC" w14:textId="77777777" w:rsidR="00A25592" w:rsidRPr="009B091D" w:rsidRDefault="00A25592" w:rsidP="00A25592">
      <w:pPr>
        <w:pStyle w:val="Heading2"/>
      </w:pPr>
      <w:r>
        <w:t>Er moet een aanpak worden gevolgd "waarin de mens centraal staat" om de gewenste resultaten te bereiken – een aanpak die volledig strookt met het partnerschapsbeginsel en waarin multilevel governance, co-partnerschap en bottom-upbenaderingen de uitgangspunten zijn.</w:t>
      </w:r>
    </w:p>
    <w:p w14:paraId="2B906CE1" w14:textId="77777777" w:rsidR="00A25592" w:rsidRPr="009B091D" w:rsidRDefault="00A25592" w:rsidP="00A25592">
      <w:pPr>
        <w:ind w:left="567" w:hanging="567"/>
        <w:rPr>
          <w:lang w:val="en-GB"/>
        </w:rPr>
      </w:pPr>
    </w:p>
    <w:p w14:paraId="5EADCBB4" w14:textId="77777777" w:rsidR="00A25592" w:rsidRPr="009B091D" w:rsidRDefault="00A25592" w:rsidP="009B091D">
      <w:pPr>
        <w:pStyle w:val="Heading1"/>
      </w:pPr>
      <w:r>
        <w:lastRenderedPageBreak/>
        <w:t>Wij roepen op tot een nieuwe impuls voor het cohesiebeleid. Ons Comité is van mening dat het scala aan instrumenten en benaderingen voor het uitwerken van een solide, doeltreffend, flexibel en vernieuwd cohesiebeleid moet worden uitgebreid, gemoderniseerd of herzien, waarbij het accent meer moet komen te liggen op capaciteit, interregionale verbanden, bruikbare resultaten en kansen voor begunstigden in plaats van alleen op investeringen. In dat verband zijn de volgende stappen noodzakelijk:</w:t>
      </w:r>
    </w:p>
    <w:p w14:paraId="4C6C9BAC" w14:textId="77777777" w:rsidR="00A25592" w:rsidRPr="009B091D" w:rsidRDefault="00A25592" w:rsidP="00A25592">
      <w:pPr>
        <w:ind w:left="567" w:hanging="567"/>
        <w:rPr>
          <w:lang w:val="en-GB"/>
        </w:rPr>
      </w:pPr>
    </w:p>
    <w:p w14:paraId="7D9CE2CF" w14:textId="77777777" w:rsidR="00A25592" w:rsidRPr="009B091D" w:rsidRDefault="00A25592" w:rsidP="00A25592">
      <w:pPr>
        <w:pStyle w:val="Heading2"/>
      </w:pPr>
      <w:r>
        <w:t>het aanpakken van de belangrijkste structurele uitdagingen van de EU: geringe ontwikkeling, langdurige economische stagnatie, gebrek aan kansen in alle regio’s en verschillen tussen en binnen regio’s en de samenleving;</w:t>
      </w:r>
    </w:p>
    <w:p w14:paraId="06B60A6D" w14:textId="77777777" w:rsidR="00A25592" w:rsidRPr="00316392" w:rsidRDefault="00A25592" w:rsidP="00A25592">
      <w:pPr>
        <w:pStyle w:val="ListParagraph"/>
        <w:ind w:left="567" w:hanging="567"/>
      </w:pPr>
    </w:p>
    <w:p w14:paraId="10BAA861" w14:textId="77777777" w:rsidR="00A25592" w:rsidRPr="009B091D" w:rsidRDefault="00A25592" w:rsidP="00A25592">
      <w:pPr>
        <w:pStyle w:val="Heading2"/>
      </w:pPr>
      <w:r>
        <w:t>meer nadruk leggen op strategieën inzake territoriaal beleid zoals geïntegreerde territoriale investeringen (ITI) en vanuit de gemeenschap geleide lokale ontwikkeling (CLLD). Daarom moet de capaciteit van lokale, stedelijke en territoriale overheden om middelen te beheren worden versterkt, zonder dat de samenhang uit het oog wordt verloren;</w:t>
      </w:r>
    </w:p>
    <w:p w14:paraId="63DA4E3A" w14:textId="77777777" w:rsidR="00A25592" w:rsidRPr="009B091D" w:rsidRDefault="00A25592" w:rsidP="00A25592">
      <w:pPr>
        <w:ind w:left="567" w:hanging="567"/>
        <w:rPr>
          <w:lang w:val="en-GB"/>
        </w:rPr>
      </w:pPr>
    </w:p>
    <w:p w14:paraId="48F801BA" w14:textId="77777777" w:rsidR="00A25592" w:rsidRPr="009B091D" w:rsidRDefault="00A25592" w:rsidP="00A25592">
      <w:pPr>
        <w:pStyle w:val="Heading2"/>
      </w:pPr>
      <w:r>
        <w:t>aandacht voor de categorieën met de laagste arbeidsparticipatie (vrouwen, jongeren, personen met een beperking, een migratieachtergrond of een praktische opleiding), voor wie specifieke opleidings-, om- en bijscholings- en ondersteuningsprogramma’s moeten worden ontwikkeld;</w:t>
      </w:r>
    </w:p>
    <w:p w14:paraId="6D6723AB" w14:textId="77777777" w:rsidR="00A25592" w:rsidRPr="009B091D" w:rsidRDefault="00A25592" w:rsidP="00A25592">
      <w:pPr>
        <w:ind w:left="567" w:hanging="567"/>
        <w:rPr>
          <w:lang w:val="en-GB"/>
        </w:rPr>
      </w:pPr>
    </w:p>
    <w:p w14:paraId="28D054ED" w14:textId="77777777" w:rsidR="00A25592" w:rsidRPr="009B091D" w:rsidRDefault="00A25592" w:rsidP="00A25592">
      <w:pPr>
        <w:pStyle w:val="Heading2"/>
      </w:pPr>
      <w:r>
        <w:t>voortgaan met de specialisatie en diversificatie van instrumenten, met inbegrip van financiële instrumenten, zodat het cohesiebeleid kan worden ingezet voor specifieke groepen en gebieden van kwetsbare personen en in specifieke regio’s, waar algemene arbeidsgerelateerde oplossingen niet bijdragen tot de integratie van deze mensen in de arbeidsmarkt;</w:t>
      </w:r>
    </w:p>
    <w:p w14:paraId="5B56E109" w14:textId="77777777" w:rsidR="00A25592" w:rsidRPr="009B091D" w:rsidRDefault="00A25592" w:rsidP="00A25592">
      <w:pPr>
        <w:rPr>
          <w:lang w:val="en-GB"/>
        </w:rPr>
      </w:pPr>
    </w:p>
    <w:p w14:paraId="2F04076A" w14:textId="77777777" w:rsidR="00A25592" w:rsidRPr="009B091D" w:rsidRDefault="00A25592" w:rsidP="00A25592">
      <w:pPr>
        <w:pStyle w:val="Heading2"/>
      </w:pPr>
      <w:r>
        <w:t>investeringen in sociale infrastructuur stimuleren om de grote demografische uitdagingen waarmee de EU wordt geconfronteerd, doeltreffend aan te pakken. Dit is des te noodzakelijker in regio’s die kampen met een dalende beroepsbevolking en een laag percentage theoretisch opgeleiden, evenals in regio’s waar de jeugd uit wegtrekt;</w:t>
      </w:r>
    </w:p>
    <w:p w14:paraId="489D2BA0" w14:textId="77777777" w:rsidR="00A25592" w:rsidRPr="009B091D" w:rsidRDefault="00A25592" w:rsidP="00A25592">
      <w:pPr>
        <w:ind w:left="567" w:hanging="567"/>
        <w:rPr>
          <w:lang w:val="en-GB"/>
        </w:rPr>
      </w:pPr>
    </w:p>
    <w:p w14:paraId="509F62DB" w14:textId="77777777" w:rsidR="00A25592" w:rsidRPr="009B091D" w:rsidRDefault="00A25592" w:rsidP="00A25592">
      <w:pPr>
        <w:pStyle w:val="Heading2"/>
      </w:pPr>
      <w:r>
        <w:t>vergroting van het potentieel van grensoverschrijdende arbeidsmarkten, die als gevolg van juridische en administratieve belemmeringen onderontwikkeld zijn. Daartoe moet de grensoverschrijdende en interregionale samenwerking worden versterkt, vooral met het oog op de ontwikkeling van infrastructuur en ter ondersteuning van de activiteiten van entiteiten van de sociale economie;</w:t>
      </w:r>
    </w:p>
    <w:p w14:paraId="0DA03B36" w14:textId="77777777" w:rsidR="00A25592" w:rsidRPr="009B091D" w:rsidRDefault="00A25592" w:rsidP="00A25592">
      <w:pPr>
        <w:ind w:left="567" w:hanging="567"/>
        <w:rPr>
          <w:lang w:val="en-GB"/>
        </w:rPr>
      </w:pPr>
    </w:p>
    <w:p w14:paraId="570C3D50" w14:textId="77777777" w:rsidR="00A25592" w:rsidRPr="009B091D" w:rsidRDefault="00A25592" w:rsidP="00A25592">
      <w:pPr>
        <w:pStyle w:val="Heading2"/>
      </w:pPr>
      <w:r>
        <w:t>kleine en middelgrote ondernemingen (kmo’s) en hun duurzaamheid blijven beschermen. Met het oog daarop moeten bestaande Europese standaardinstrumenten, zoals het Europees Sociaal Fonds, het Europees Fonds voor regionale ontwikkeling (EFRO), het Cohesiefonds en het mechanisme voor een rechtvaardige transitie, op een innovatieve, maar eenvoudige manier worden aangewend, zodat kmo’s gemakkelijk toegang hebben tot financiering en gunstige kredietvoorwaarden voor de lange termijn;</w:t>
      </w:r>
    </w:p>
    <w:p w14:paraId="0B9916D5" w14:textId="77777777" w:rsidR="00A25592" w:rsidRPr="009B091D" w:rsidRDefault="00A25592" w:rsidP="00A25592">
      <w:pPr>
        <w:ind w:left="567" w:hanging="567"/>
        <w:rPr>
          <w:lang w:val="en-GB"/>
        </w:rPr>
      </w:pPr>
    </w:p>
    <w:p w14:paraId="0B0DAB05" w14:textId="77777777" w:rsidR="00A25592" w:rsidRPr="009B091D" w:rsidRDefault="00A25592" w:rsidP="00A25592">
      <w:pPr>
        <w:pStyle w:val="Heading2"/>
      </w:pPr>
      <w:r>
        <w:t xml:space="preserve">zorgen voor intensievere synergieën binnen het mechanisme voor een rechtvaardige transitie (JTM) als geheel. Wij zijn ervan overtuigd dat het cohesiebeleid het investeringsbeleid van de EU bij uitstek voor de aanpassing van het Europese regionale beleid aan de </w:t>
      </w:r>
      <w:r>
        <w:lastRenderedPageBreak/>
        <w:t>klimaatdoelstellingen moet blijven. Het beginsel “geen ernstige afbreuk doen” moet waarborgen dat de investeringen volledig aansluiten bij de doelstellingen van de Green Deal;</w:t>
      </w:r>
    </w:p>
    <w:p w14:paraId="266696CA" w14:textId="77777777" w:rsidR="00A25592" w:rsidRPr="009B091D" w:rsidRDefault="00A25592" w:rsidP="00A25592">
      <w:pPr>
        <w:ind w:left="567" w:hanging="567"/>
        <w:rPr>
          <w:lang w:val="en-GB"/>
        </w:rPr>
      </w:pPr>
    </w:p>
    <w:p w14:paraId="48B39128" w14:textId="77777777" w:rsidR="00A25592" w:rsidRPr="009B091D" w:rsidRDefault="00A25592" w:rsidP="00A25592">
      <w:pPr>
        <w:pStyle w:val="Heading2"/>
      </w:pPr>
      <w:r>
        <w:t>nagaan in hoeverre de financiering van ondernemingen een belangrijke factor van convergentie kan vormen, vooral waar het gaat om strategische technologieën die onder het nieuwe platform voor strategische technologieën voor Europa (STEP) vallen;</w:t>
      </w:r>
    </w:p>
    <w:p w14:paraId="2BD49A34" w14:textId="77777777" w:rsidR="00A25592" w:rsidRPr="009B091D" w:rsidRDefault="00A25592" w:rsidP="00A25592">
      <w:pPr>
        <w:ind w:left="567" w:hanging="567"/>
        <w:rPr>
          <w:lang w:val="en-GB"/>
        </w:rPr>
      </w:pPr>
    </w:p>
    <w:p w14:paraId="162C7B3C" w14:textId="77777777" w:rsidR="00A25592" w:rsidRPr="009B091D" w:rsidRDefault="00A25592" w:rsidP="00A25592">
      <w:pPr>
        <w:pStyle w:val="Heading2"/>
      </w:pPr>
      <w:r>
        <w:t>het scheppen van een nieuw scala aan economische vooruitzichten voor minder ontwikkelde, perifere en dunbevolkte plattelandsgebieden, EU-eilanden en de ultraperifere gebieden. Ook moet de kloof tussen plattelandsgebieden, stedelijke gebieden en stadscentra worden aangepakt, terwijl de verbindingen tussen deze gebieden moeten worden versterkt;</w:t>
      </w:r>
    </w:p>
    <w:p w14:paraId="43806511" w14:textId="77777777" w:rsidR="00A25592" w:rsidRPr="009B091D" w:rsidRDefault="00A25592" w:rsidP="00A25592">
      <w:pPr>
        <w:ind w:left="567" w:hanging="567"/>
        <w:rPr>
          <w:lang w:val="en-GB"/>
        </w:rPr>
      </w:pPr>
    </w:p>
    <w:p w14:paraId="2FB226D3" w14:textId="77777777" w:rsidR="00A25592" w:rsidRPr="009B091D" w:rsidRDefault="00A25592" w:rsidP="00A25592">
      <w:pPr>
        <w:pStyle w:val="Heading2"/>
      </w:pPr>
      <w:r>
        <w:t>bevordering van initiatieven om de specifieke behoeften van regio’s en gebieden die vastlopen in hun ontwikkeling zorgvuldig vast te stellen en aan te pakken en het helpen van die regio’s en gebieden bij het aangaan van hun uitdagingen;</w:t>
      </w:r>
    </w:p>
    <w:p w14:paraId="60884AD6" w14:textId="77777777" w:rsidR="00A25592" w:rsidRPr="009B091D" w:rsidRDefault="00A25592" w:rsidP="00A25592">
      <w:pPr>
        <w:ind w:left="567" w:hanging="567"/>
        <w:rPr>
          <w:lang w:val="en-GB"/>
        </w:rPr>
      </w:pPr>
    </w:p>
    <w:p w14:paraId="67ABD9F1" w14:textId="77777777" w:rsidR="00A25592" w:rsidRPr="009B091D" w:rsidRDefault="00A25592" w:rsidP="00A25592">
      <w:pPr>
        <w:pStyle w:val="Heading2"/>
      </w:pPr>
      <w:r>
        <w:t>formulering van een cohesiebeleid met belangrijke aspecten zoals gedeeld beheer, een regionale aanpak, voorfinanciering en medefinancieringspercentages. Investeringen alleen zijn niet voldoende. Elke regio heeft behoefte aan sterke bestuursstructuren en een passende beleidsmix waarmee synergieën met alle belanghebbenden worden benut. We hebben een bottom-upbenadering nodig. Investeringen moeten daarom in veel gevallen gepaard gaan met hervormingen op maat en burgervriendelijk beleid;</w:t>
      </w:r>
    </w:p>
    <w:p w14:paraId="46D4E976" w14:textId="77777777" w:rsidR="00A25592" w:rsidRPr="009B091D" w:rsidRDefault="00A25592" w:rsidP="00A25592">
      <w:pPr>
        <w:ind w:left="567" w:hanging="567"/>
        <w:rPr>
          <w:lang w:val="en-GB"/>
        </w:rPr>
      </w:pPr>
    </w:p>
    <w:p w14:paraId="710D37D2" w14:textId="77777777" w:rsidR="00A25592" w:rsidRPr="009B091D" w:rsidRDefault="00A25592" w:rsidP="00A25592">
      <w:pPr>
        <w:pStyle w:val="Heading2"/>
      </w:pPr>
      <w:r>
        <w:t>het maatschappelijk middenveld en alle actoren op lokaal niveau nauwer bij een en ander betrekken teneinde de doeltreffendheid van het partnerschapsbeginsel en bestuur op verschillende niveaus in het cohesiebeleid te vergroten. Dit kan helpen om de druk op de democratie te verminderen door het draagvlak voor EU-beleid te vergroten;</w:t>
      </w:r>
    </w:p>
    <w:p w14:paraId="232358F8" w14:textId="77777777" w:rsidR="00A25592" w:rsidRPr="00316392" w:rsidRDefault="00A25592" w:rsidP="00A25592">
      <w:pPr>
        <w:pStyle w:val="ListParagraph"/>
        <w:ind w:left="567" w:hanging="567"/>
      </w:pPr>
    </w:p>
    <w:p w14:paraId="1E18E84E" w14:textId="77777777" w:rsidR="00A25592" w:rsidRPr="009B091D" w:rsidRDefault="00A25592" w:rsidP="00A25592">
      <w:pPr>
        <w:pStyle w:val="Heading2"/>
      </w:pPr>
      <w:r>
        <w:t>versterking van de administratieve capaciteit van verschillende overheidsniveaus, begunstigden en andere nationale, regionale en lokale belanghebbenden, en het aanbieden van meer op maat gesneden technische ondersteuning om de beleidsuitvoering ter plaatse te verbeteren;</w:t>
      </w:r>
    </w:p>
    <w:p w14:paraId="3C94B361" w14:textId="77777777" w:rsidR="00A25592" w:rsidRPr="009B091D" w:rsidRDefault="00A25592" w:rsidP="00A25592">
      <w:pPr>
        <w:pStyle w:val="Heading2"/>
        <w:numPr>
          <w:ilvl w:val="0"/>
          <w:numId w:val="0"/>
        </w:numPr>
        <w:ind w:left="567" w:hanging="567"/>
        <w:rPr>
          <w:lang w:val="en-GB"/>
        </w:rPr>
      </w:pPr>
    </w:p>
    <w:p w14:paraId="2FB26F2C" w14:textId="77777777" w:rsidR="00A25592" w:rsidRPr="009B091D" w:rsidRDefault="00A25592" w:rsidP="00A25592">
      <w:pPr>
        <w:pStyle w:val="Heading2"/>
      </w:pPr>
      <w:r>
        <w:t>overweging en overname van de beste praktijken, effectieve beleidsmaatregelen en gerichte financiering die momenteel in het kader van de herstel- en veerkrachtfaciliteit worden uitgevoerd, zodat zij in het nieuwe cohesiebeleid worden gehandhaafd. Wij moeten ervoor zorgen dat de besteding van middelen uit de herstel- en veerkrachtfaciliteit volledig verenigbaar blijft met de uitvoering van het toekomstige cohesiebeleid, en dat de reeds in het kader van de herstel- en veerkrachtfaciliteit gestarte investeringen en programma’s niet worden opgeschort als gevolg van veranderingen in de financiering van de faciliteit;</w:t>
      </w:r>
    </w:p>
    <w:p w14:paraId="6B5FCA24" w14:textId="77777777" w:rsidR="00A25592" w:rsidRPr="009B091D" w:rsidRDefault="00A25592" w:rsidP="00A25592">
      <w:pPr>
        <w:pStyle w:val="Heading2"/>
        <w:numPr>
          <w:ilvl w:val="0"/>
          <w:numId w:val="0"/>
        </w:numPr>
        <w:ind w:left="567" w:hanging="567"/>
        <w:rPr>
          <w:lang w:val="en-GB"/>
        </w:rPr>
      </w:pPr>
    </w:p>
    <w:p w14:paraId="54DABB24" w14:textId="77777777" w:rsidR="00A25592" w:rsidRPr="009B091D" w:rsidRDefault="00A25592" w:rsidP="00A25592">
      <w:pPr>
        <w:pStyle w:val="Heading2"/>
      </w:pPr>
      <w:r>
        <w:t xml:space="preserve">verdere integratie van de cohesiedoelstellingen in het Europees Semester; </w:t>
      </w:r>
    </w:p>
    <w:p w14:paraId="664A3BDA" w14:textId="77777777" w:rsidR="00A25592" w:rsidRPr="009B091D" w:rsidRDefault="00A25592" w:rsidP="00A25592">
      <w:pPr>
        <w:pStyle w:val="Heading2"/>
        <w:numPr>
          <w:ilvl w:val="0"/>
          <w:numId w:val="0"/>
        </w:numPr>
        <w:ind w:left="567" w:hanging="567"/>
        <w:rPr>
          <w:lang w:val="en-GB"/>
        </w:rPr>
      </w:pPr>
    </w:p>
    <w:p w14:paraId="48E709FD" w14:textId="77777777" w:rsidR="00A25592" w:rsidRPr="009B091D" w:rsidRDefault="00A25592" w:rsidP="00A25592">
      <w:pPr>
        <w:pStyle w:val="Heading2"/>
      </w:pPr>
      <w:r>
        <w:t>de algemene begroting van het meerjarig financieel kader (MFK) ambitieuzer maken en voldoende middelen reserveren voor het cohesiebeleid, onder meer met het oog op de toekomstige behoefte aan EU-investeringen in defensie en een Europese Unie met 27+ lidstaten. Het volstaat niet om slechts 1 % van het bni van de EU te investeren in de Unie en in haar economische, sociale en territoriale cohesie, haar welvaart en haar concurrentievermogen;</w:t>
      </w:r>
    </w:p>
    <w:p w14:paraId="6277090C" w14:textId="77777777" w:rsidR="00A25592" w:rsidRPr="009B091D" w:rsidRDefault="00A25592" w:rsidP="00A25592">
      <w:pPr>
        <w:pStyle w:val="Heading2"/>
        <w:numPr>
          <w:ilvl w:val="0"/>
          <w:numId w:val="0"/>
        </w:numPr>
        <w:ind w:left="567" w:hanging="567"/>
        <w:rPr>
          <w:lang w:val="en-GB"/>
        </w:rPr>
      </w:pPr>
    </w:p>
    <w:p w14:paraId="0BA2FEE8" w14:textId="77777777" w:rsidR="00A25592" w:rsidRPr="009B091D" w:rsidRDefault="00A25592" w:rsidP="00A25592">
      <w:pPr>
        <w:pStyle w:val="Heading2"/>
      </w:pPr>
      <w:r>
        <w:t>nadenken over de toekomstige uitbreidingen, ervoor zorgen dat er in de volgende programmeringsperiode voldoende middelen zijn om een soepele integratie van de toekomstige lidstaten te waarborgen, zonder de investeringen in de huidige ontwikkelingsregio’s in gevaar te brengen.</w:t>
      </w:r>
    </w:p>
    <w:p w14:paraId="0719D331" w14:textId="77777777" w:rsidR="00A25592" w:rsidRPr="00316392" w:rsidRDefault="00A25592" w:rsidP="00A25592">
      <w:pPr>
        <w:pStyle w:val="ListParagraph"/>
        <w:ind w:left="567" w:hanging="567"/>
      </w:pPr>
    </w:p>
    <w:p w14:paraId="04C7A82A" w14:textId="77777777" w:rsidR="00A25592" w:rsidRPr="009B091D" w:rsidRDefault="00A25592" w:rsidP="00A25592">
      <w:pPr>
        <w:pStyle w:val="Heading1"/>
        <w:keepNext/>
        <w:keepLines/>
        <w:rPr>
          <w:b/>
          <w:bCs/>
        </w:rPr>
      </w:pPr>
      <w:r>
        <w:rPr>
          <w:b/>
        </w:rPr>
        <w:t>Als vertegenwoordigers van het maatschappelijk middenveld zullen wij alles in het werk stellen om de kernbeginselen van het cohesiebeleid te waarborgen en ervoor te zorgen dat het de cement blijft die Europa bij elkaar houdt.</w:t>
      </w:r>
    </w:p>
    <w:p w14:paraId="7A8B10EC" w14:textId="77777777" w:rsidR="00A25592" w:rsidRPr="009B091D" w:rsidRDefault="00A25592" w:rsidP="00A25592">
      <w:pPr>
        <w:keepNext/>
        <w:keepLines/>
        <w:ind w:left="567" w:hanging="567"/>
        <w:rPr>
          <w:lang w:val="en-GB"/>
        </w:rPr>
      </w:pPr>
    </w:p>
    <w:p w14:paraId="44151A61" w14:textId="77777777" w:rsidR="00A25592" w:rsidRPr="009B091D" w:rsidRDefault="00A25592" w:rsidP="00A25592">
      <w:pPr>
        <w:keepNext/>
        <w:keepLines/>
      </w:pPr>
      <w:r>
        <w:t>Brussel, 11 juli 2024.</w:t>
      </w:r>
    </w:p>
    <w:p w14:paraId="78A1E3C3" w14:textId="77777777" w:rsidR="00901B76" w:rsidRPr="009B091D" w:rsidRDefault="00901B76" w:rsidP="00672B2A">
      <w:pPr>
        <w:rPr>
          <w:lang w:val="en-GB"/>
        </w:rPr>
      </w:pPr>
    </w:p>
    <w:p w14:paraId="75AB9896" w14:textId="77777777" w:rsidR="00901B76" w:rsidRPr="009B091D" w:rsidRDefault="00901B76" w:rsidP="00901B76">
      <w:pPr>
        <w:rPr>
          <w:lang w:val="en-GB"/>
        </w:rPr>
      </w:pPr>
    </w:p>
    <w:p w14:paraId="5309B04C" w14:textId="77777777" w:rsidR="00901B76" w:rsidRPr="009B091D" w:rsidRDefault="00901B76" w:rsidP="00901B76">
      <w:pPr>
        <w:rPr>
          <w:i/>
          <w:iCs/>
        </w:rPr>
      </w:pPr>
      <w:r>
        <w:rPr>
          <w:i/>
        </w:rPr>
        <w:t>Voorzitter van het Europees Economisch en Sociaal Comité</w:t>
      </w:r>
    </w:p>
    <w:p w14:paraId="35BD2C8D" w14:textId="77777777" w:rsidR="00901B76" w:rsidRPr="009B091D" w:rsidRDefault="00F47BD2" w:rsidP="00901B76">
      <w:r>
        <w:t>Oliver RÖPKE</w:t>
      </w:r>
    </w:p>
    <w:p w14:paraId="3562E801" w14:textId="77777777" w:rsidR="00F53370" w:rsidRPr="00316392" w:rsidRDefault="00901B76">
      <w:pPr>
        <w:jc w:val="center"/>
      </w:pPr>
      <w:r>
        <w:t>_____________</w:t>
      </w:r>
    </w:p>
    <w:sectPr w:rsidR="00F53370" w:rsidRPr="00316392" w:rsidSect="009B091D">
      <w:headerReference w:type="default" r:id="rId21"/>
      <w:footerReference w:type="default" r:id="rId22"/>
      <w:pgSz w:w="11907" w:h="16839" w:code="9"/>
      <w:pgMar w:top="1304" w:right="1418" w:bottom="130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FF5" w14:textId="77777777" w:rsidR="007C540D" w:rsidRDefault="007C540D" w:rsidP="00F53370">
      <w:pPr>
        <w:spacing w:line="240" w:lineRule="auto"/>
      </w:pPr>
      <w:r>
        <w:separator/>
      </w:r>
    </w:p>
  </w:endnote>
  <w:endnote w:type="continuationSeparator" w:id="0">
    <w:p w14:paraId="61809AAB" w14:textId="77777777" w:rsidR="007C540D" w:rsidRDefault="007C540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4556" w14:textId="77777777" w:rsidR="00D93B45" w:rsidRDefault="00D9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9F9C" w14:textId="77777777" w:rsidR="00D93B45" w:rsidRDefault="00D93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CB22" w14:textId="77777777" w:rsidR="00D93B45" w:rsidRDefault="00D93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76E"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443" w14:textId="55B98804" w:rsidR="0084105C" w:rsidRPr="003065C9" w:rsidRDefault="00C6634B" w:rsidP="00C6634B">
    <w:pPr>
      <w:pStyle w:val="Footer"/>
      <w:jc w:val="left"/>
    </w:pPr>
    <w:r>
      <w:t xml:space="preserve">ECO/650 – EESC-2024-02528-00-00-RES-TRA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fldSimple w:instr=" NUMPAGES ">
      <w:r w:rsidR="00B749AF">
        <w:rPr>
          <w:noProof/>
        </w:rPr>
        <w:instrText>6</w:instrText>
      </w:r>
    </w:fldSimple>
    <w:r>
      <w:instrText xml:space="preserve"> - 2 </w:instrText>
    </w:r>
    <w:r>
      <w:fldChar w:fldCharType="separate"/>
    </w:r>
    <w:r w:rsidR="00B749A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9627" w14:textId="77777777" w:rsidR="007C540D" w:rsidRDefault="007C540D" w:rsidP="00F53370">
      <w:pPr>
        <w:spacing w:line="240" w:lineRule="auto"/>
      </w:pPr>
      <w:r>
        <w:separator/>
      </w:r>
    </w:p>
  </w:footnote>
  <w:footnote w:type="continuationSeparator" w:id="0">
    <w:p w14:paraId="1BFFE6C6" w14:textId="77777777" w:rsidR="007C540D" w:rsidRDefault="007C540D"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2034" w14:textId="77777777" w:rsidR="00574C9B" w:rsidRDefault="00B749AF">
    <w:pPr>
      <w:pStyle w:val="Header"/>
    </w:pPr>
    <w:r>
      <w:pict w14:anchorId="250B9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EAD8" w14:textId="77777777" w:rsidR="00D93B45" w:rsidRDefault="00D93B45" w:rsidP="00D93B45">
    <w:pPr>
      <w:pStyle w:val="Header"/>
    </w:pPr>
    <w:r>
      <w:rPr>
        <w:noProof/>
        <w:lang w:val="en-US"/>
      </w:rPr>
      <w:drawing>
        <wp:anchor distT="0" distB="0" distL="114300" distR="114300" simplePos="0" relativeHeight="251674624" behindDoc="0" locked="0" layoutInCell="1" allowOverlap="1" wp14:anchorId="2B930CC1" wp14:editId="435D0900">
          <wp:simplePos x="0" y="0"/>
          <wp:positionH relativeFrom="page">
            <wp:posOffset>214685</wp:posOffset>
          </wp:positionH>
          <wp:positionV relativeFrom="page">
            <wp:posOffset>198783</wp:posOffset>
          </wp:positionV>
          <wp:extent cx="7117009" cy="3387255"/>
          <wp:effectExtent l="0" t="0" r="8255" b="3810"/>
          <wp:wrapNone/>
          <wp:docPr id="6" name="Picture 6" title="EESCLogo2021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7128198" cy="3392580"/>
                  </a:xfrm>
                  <a:prstGeom prst="rect">
                    <a:avLst/>
                  </a:prstGeom>
                </pic:spPr>
              </pic:pic>
            </a:graphicData>
          </a:graphic>
          <wp14:sizeRelH relativeFrom="margin">
            <wp14:pctWidth>0</wp14:pctWidth>
          </wp14:sizeRelH>
          <wp14:sizeRelV relativeFrom="margin">
            <wp14:pctHeight>0</wp14:pctHeight>
          </wp14:sizeRelV>
        </wp:anchor>
      </w:drawing>
    </w:r>
    <w:r w:rsidR="00B749AF">
      <w:pict w14:anchorId="138F8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5" type="#_x0000_t75" style="position:absolute;left:0;text-align:left;margin-left:0;margin-top:0;width:595.2pt;height:841.9pt;z-index:-251640832;mso-position-horizontal:center;mso-position-horizontal-relative:page;mso-position-vertical:top;mso-position-vertical-relative:page" o:allowincell="f">
          <v:imagedata r:id="rId2" o:title="footer only"/>
          <w10:wrap anchorx="page" anchory="page"/>
        </v:shape>
      </w:pict>
    </w:r>
    <w:r>
      <w:rPr>
        <w:noProof/>
      </w:rPr>
      <w:drawing>
        <wp:anchor distT="0" distB="0" distL="114300" distR="114300" simplePos="0" relativeHeight="251673600" behindDoc="0" locked="0" layoutInCell="1" allowOverlap="1" wp14:anchorId="632F2A60" wp14:editId="23799BDD">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3">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p w14:paraId="73D10D19" w14:textId="1FC13C37" w:rsidR="00574C9B" w:rsidRPr="00D93B45" w:rsidRDefault="00574C9B" w:rsidP="00D93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4166" w14:textId="77777777" w:rsidR="00574C9B" w:rsidRDefault="00B749AF">
    <w:pPr>
      <w:pStyle w:val="Header"/>
    </w:pPr>
    <w:r>
      <w:pict w14:anchorId="71AD1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0A02" w14:textId="77777777" w:rsidR="00574C9B" w:rsidRDefault="00B749AF">
    <w:pPr>
      <w:pStyle w:val="Header"/>
    </w:pPr>
    <w:r>
      <w:pict w14:anchorId="18852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60C" w14:textId="77777777" w:rsidR="00574C9B" w:rsidRDefault="00B749AF">
    <w:pPr>
      <w:pStyle w:val="Header"/>
    </w:pPr>
    <w:r>
      <w:pict w14:anchorId="47C4D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8B177D">
      <w:rPr>
        <w:noProof/>
      </w:rPr>
      <w:drawing>
        <wp:anchor distT="0" distB="0" distL="114300" distR="114300" simplePos="0" relativeHeight="251662336" behindDoc="1" locked="0" layoutInCell="1" allowOverlap="1" wp14:anchorId="65000119" wp14:editId="4C37110B">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5AC5" w14:textId="77777777" w:rsidR="00574C9B" w:rsidRDefault="00B749AF">
    <w:pPr>
      <w:pStyle w:val="Header"/>
    </w:pPr>
    <w:r>
      <w:pict w14:anchorId="7795C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FB2E" w14:textId="77777777" w:rsidR="00FA08F8" w:rsidRDefault="00B74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A0F3B"/>
    <w:rsid w:val="00126F55"/>
    <w:rsid w:val="0019231D"/>
    <w:rsid w:val="001955B6"/>
    <w:rsid w:val="001C5167"/>
    <w:rsid w:val="001D61AC"/>
    <w:rsid w:val="001E15AA"/>
    <w:rsid w:val="001E2A9E"/>
    <w:rsid w:val="001E3FA1"/>
    <w:rsid w:val="00200E87"/>
    <w:rsid w:val="002039C3"/>
    <w:rsid w:val="00206D14"/>
    <w:rsid w:val="00214BDC"/>
    <w:rsid w:val="00215E81"/>
    <w:rsid w:val="0024727F"/>
    <w:rsid w:val="002B6A7B"/>
    <w:rsid w:val="00316392"/>
    <w:rsid w:val="003353D7"/>
    <w:rsid w:val="003659F9"/>
    <w:rsid w:val="003D50B8"/>
    <w:rsid w:val="00401DE5"/>
    <w:rsid w:val="00442FFF"/>
    <w:rsid w:val="00481540"/>
    <w:rsid w:val="004871B8"/>
    <w:rsid w:val="004B478F"/>
    <w:rsid w:val="005127DA"/>
    <w:rsid w:val="00574C9B"/>
    <w:rsid w:val="0058411F"/>
    <w:rsid w:val="005961A4"/>
    <w:rsid w:val="005F19D0"/>
    <w:rsid w:val="006125A1"/>
    <w:rsid w:val="00653E7D"/>
    <w:rsid w:val="00662207"/>
    <w:rsid w:val="00667F09"/>
    <w:rsid w:val="00672B2A"/>
    <w:rsid w:val="006B57A6"/>
    <w:rsid w:val="006D40F9"/>
    <w:rsid w:val="006D53A6"/>
    <w:rsid w:val="00787837"/>
    <w:rsid w:val="00787ABB"/>
    <w:rsid w:val="007B6C64"/>
    <w:rsid w:val="007C540D"/>
    <w:rsid w:val="00822952"/>
    <w:rsid w:val="00836505"/>
    <w:rsid w:val="00844B87"/>
    <w:rsid w:val="0089251B"/>
    <w:rsid w:val="008926C3"/>
    <w:rsid w:val="008A6DD4"/>
    <w:rsid w:val="008B177D"/>
    <w:rsid w:val="008D6BE1"/>
    <w:rsid w:val="008F74D7"/>
    <w:rsid w:val="00901B76"/>
    <w:rsid w:val="00904C42"/>
    <w:rsid w:val="00914683"/>
    <w:rsid w:val="00924C05"/>
    <w:rsid w:val="00927DEA"/>
    <w:rsid w:val="00937CF2"/>
    <w:rsid w:val="00976645"/>
    <w:rsid w:val="00976F77"/>
    <w:rsid w:val="0098228C"/>
    <w:rsid w:val="009A03EB"/>
    <w:rsid w:val="009B091D"/>
    <w:rsid w:val="009E2100"/>
    <w:rsid w:val="00A15C10"/>
    <w:rsid w:val="00A25592"/>
    <w:rsid w:val="00A310E1"/>
    <w:rsid w:val="00A36AB0"/>
    <w:rsid w:val="00AB37A3"/>
    <w:rsid w:val="00AC5114"/>
    <w:rsid w:val="00AF5F43"/>
    <w:rsid w:val="00B022DD"/>
    <w:rsid w:val="00B25683"/>
    <w:rsid w:val="00B51901"/>
    <w:rsid w:val="00B749AF"/>
    <w:rsid w:val="00BA4F6F"/>
    <w:rsid w:val="00BD50F6"/>
    <w:rsid w:val="00C073E1"/>
    <w:rsid w:val="00C25647"/>
    <w:rsid w:val="00C6634B"/>
    <w:rsid w:val="00C6695F"/>
    <w:rsid w:val="00C66AEA"/>
    <w:rsid w:val="00C9040A"/>
    <w:rsid w:val="00C91E4D"/>
    <w:rsid w:val="00C97300"/>
    <w:rsid w:val="00CB110A"/>
    <w:rsid w:val="00CB7CD0"/>
    <w:rsid w:val="00CE4363"/>
    <w:rsid w:val="00D039AF"/>
    <w:rsid w:val="00D4086D"/>
    <w:rsid w:val="00D93B45"/>
    <w:rsid w:val="00D95232"/>
    <w:rsid w:val="00DA1320"/>
    <w:rsid w:val="00DB7F50"/>
    <w:rsid w:val="00DE30C7"/>
    <w:rsid w:val="00DF400F"/>
    <w:rsid w:val="00DF7334"/>
    <w:rsid w:val="00E15BF4"/>
    <w:rsid w:val="00E2376B"/>
    <w:rsid w:val="00E26935"/>
    <w:rsid w:val="00E27707"/>
    <w:rsid w:val="00E52B04"/>
    <w:rsid w:val="00E661B7"/>
    <w:rsid w:val="00EC315D"/>
    <w:rsid w:val="00F10276"/>
    <w:rsid w:val="00F2069F"/>
    <w:rsid w:val="00F43068"/>
    <w:rsid w:val="00F47BD2"/>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740D469"/>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A25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F7M6YNZUATRX-789077548-2787</_dlc_DocId>
    <_dlc_DocIdUrl xmlns="59ace41b-6786-4ce3-be71-52c27066c6ef">
      <Url>http://dm/eesc/2024/_layouts/15/DocIdRedir.aspx?ID=F7M6YNZUATRX-789077548-2787</Url>
      <Description>F7M6YNZUATRX-789077548-2787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2024-07-11T12:00:00+00:00</ProductionDate>
    <DocumentNumber xmlns="36007a90-28ab-40da-967b-595e4ec83007">2528</DocumentNumber>
    <FicheYear xmlns="59ace41b-6786-4ce3-be71-52c27066c6ef" xsi:nil="true"/>
    <DossierNumber xmlns="59ace41b-6786-4ce3-be71-52c27066c6ef">650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162</Value>
      <Value>66</Value>
      <Value>43</Value>
      <Value>37</Value>
      <Value>36</Value>
      <Value>35</Value>
      <Value>34</Value>
      <Value>33</Value>
      <Value>32</Value>
      <Value>31</Value>
      <Value>30</Value>
      <Value>29</Value>
      <Value>28</Value>
      <Value>27</Value>
      <Value>26</Value>
      <Value>25</Value>
      <Value>24</Value>
      <Value>23</Value>
      <Value>22</Value>
      <Value>21</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VARDAKASTANIS</Rapporteur>
    <DocumentYear xmlns="59ace41b-6786-4ce3-be71-52c27066c6ef">2024</DocumentYear>
    <FicheNumber xmlns="59ace41b-6786-4ce3-be71-52c27066c6ef">7051</FicheNumber>
    <OriginalSender xmlns="59ace41b-6786-4ce3-be71-52c27066c6ef">
      <UserInfo>
        <DisplayName>Wagter Helena</DisplayName>
        <AccountId>1525</AccountId>
        <AccountType/>
      </UserInfo>
    </OriginalSender>
    <DocumentPart xmlns="59ace41b-6786-4ce3-be71-52c27066c6ef">0</DocumentPart>
    <AdoptionDate xmlns="59ace41b-6786-4ce3-be71-52c27066c6ef">2024-07-10T12:00:00+00:00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Props1.xml><?xml version="1.0" encoding="utf-8"?>
<ds:datastoreItem xmlns:ds="http://schemas.openxmlformats.org/officeDocument/2006/customXml" ds:itemID="{CA174F41-0EDF-496A-98B7-254F8FD2777D}">
  <ds:schemaRefs>
    <ds:schemaRef ds:uri="http://schemas.microsoft.com/sharepoint/v3/contenttype/forms"/>
  </ds:schemaRefs>
</ds:datastoreItem>
</file>

<file path=customXml/itemProps2.xml><?xml version="1.0" encoding="utf-8"?>
<ds:datastoreItem xmlns:ds="http://schemas.openxmlformats.org/officeDocument/2006/customXml" ds:itemID="{B5CAB492-593A-4F9A-9B9C-BCBB1C21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36007a90-28ab-40da-967b-595e4ec83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A1E1-6AE9-4160-A119-B15CF70A1879}">
  <ds:schemaRefs>
    <ds:schemaRef ds:uri="http://schemas.microsoft.com/sharepoint/events"/>
  </ds:schemaRefs>
</ds:datastoreItem>
</file>

<file path=customXml/itemProps4.xml><?xml version="1.0" encoding="utf-8"?>
<ds:datastoreItem xmlns:ds="http://schemas.openxmlformats.org/officeDocument/2006/customXml" ds:itemID="{E9AA19E5-EE09-41CD-A452-B2A072331696}">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36007a90-28ab-40da-967b-595e4ec830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ECO/650 - Mensen mogen niet aan hun lot worden overgelaten! Een inclusief en participatief cohesiebeleid ter ondersteuning van de sociale, economische en territoriale samenhang</dc:title>
  <dc:subject>RES</dc:subject>
  <dc:creator>Francois Aude</dc:creator>
  <cp:keywords>EESC-2024-02528-00-00-RES-TRA-EN</cp:keywords>
  <dc:description>Rapporteur:  - Original language: EN - Date of document: 11-07-2024 - Date of meeting:  - External documents:  - Administrator:  MELEAS Georgios</dc:description>
  <cp:lastModifiedBy>Zaccheddu Raffaella</cp:lastModifiedBy>
  <cp:revision>2</cp:revision>
  <dcterms:created xsi:type="dcterms:W3CDTF">2024-07-16T07:40:00Z</dcterms:created>
  <dcterms:modified xsi:type="dcterms:W3CDTF">2024-07-16T07:40:00Z</dcterms:modified>
  <cp:category>ECO/650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11/07/2024, 11/07/2024, 12/04/2024, 17/05/2022</vt:lpwstr>
  </property>
  <property fmtid="{D5CDD505-2E9C-101B-9397-08002B2CF9AE}" pid="4" name="Pref_Time">
    <vt:lpwstr>14:38:50, 13:29:52, 12:01:57, 14:58:36</vt:lpwstr>
  </property>
  <property fmtid="{D5CDD505-2E9C-101B-9397-08002B2CF9AE}" pid="5" name="Pref_User">
    <vt:lpwstr>amett, amett, enied, enied</vt:lpwstr>
  </property>
  <property fmtid="{D5CDD505-2E9C-101B-9397-08002B2CF9AE}" pid="6" name="Pref_FileName">
    <vt:lpwstr>EESC-2024-02528-00-00-RES-TRA-EN-CRR.docx, eesc-2024-02528-00-00-res-ori (1).docx, COR-EESC-2024-01326-16-00-ADMIN-ORI.docx, COR-EESC-2022-02592-00-00-ADMIN-ORI.docx</vt:lpwstr>
  </property>
  <property fmtid="{D5CDD505-2E9C-101B-9397-08002B2CF9AE}" pid="7" name="ContentTypeId">
    <vt:lpwstr>0x010100EA97B91038054C99906057A708A1480A00C9C698F2971CE54890F427AFE3EB568F</vt:lpwstr>
  </property>
  <property fmtid="{D5CDD505-2E9C-101B-9397-08002B2CF9AE}" pid="8" name="_dlc_DocIdItemGuid">
    <vt:lpwstr>ae98791e-9c45-4bfb-a77e-7e95d2d48d5b</vt:lpwstr>
  </property>
  <property fmtid="{D5CDD505-2E9C-101B-9397-08002B2CF9AE}" pid="9" name="AvailableTranslations">
    <vt:lpwstr>43;#CS|72f9705b-0217-4fd3-bea2-cbc7ed80e26e;#32;#HU|6b229040-c589-4408-b4c1-4285663d20a8;#35;#FI|87606a43-d45f-42d6-b8c9-e1a3457db5b7;#16;#DA|5d49c027-8956-412b-aa16-e85a0f96ad0e;#25;#DE|f6b31e5a-26fa-4935-b661-318e46daf27e;#28;#LV|46f7e311-5d9f-4663-b433-18aeccb7ace7;#30;#HR|2f555653-ed1a-4fe6-8362-9082d95989e5;#26;#SK|46d9fce0-ef79-4f71-b89b-cd6aa82426b8;#37;#RO|feb747a2-64cd-4299-af12-4833ddc30497;#27;#SL|98a412ae-eb01-49e9-ae3d-585a81724cfc;#17;#PL|1e03da61-4678-4e07-b136-b5024ca9197b;#22;#BG|1a1b3951-7821-4e6a-85f5-5673fc08bd2c;#31;#NL|55c6556c-b4f4-441d-9acf-c498d4f838bd;#34;#LT|a7ff5ce7-6123-4f68-865a-a57c31810414;#24;#ES|e7a6b05b-ae16-40c8-add9-68b64b03aeba;#21;#SV|c2ed69e7-a339-43d7-8f22-d93680a92aa0;#23;#MT|7df99101-6854-4a26-b53a-b88c0da02c26;#14;#FR|d2afafd3-4c81-4f60-8f52-ee33f2f54ff3;#5;#EN|f2175f21-25d7-44a3-96da-d6a61b075e1b;#36;#PT|50ccc04a-eadd-42ae-a0cb-acaf45f812ba;#29;#EL|6d4f4d51-af9b-4650-94b4-4276bee85c91;#33;#ET|ff6c3f4c-b02c-4c3c-ab07-2c37995a7a0a;#12;#IT|0774613c-01ed-4e5d-a25d-11d2388de825</vt:lpwstr>
  </property>
  <property fmtid="{D5CDD505-2E9C-101B-9397-08002B2CF9AE}" pid="10" name="DocumentType_0">
    <vt:lpwstr>RES|9e3e62eb-6858-4bc7-8a50-3453e395fd01</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2528</vt:i4>
  </property>
  <property fmtid="{D5CDD505-2E9C-101B-9397-08002B2CF9AE}" pid="14" name="DocumentVersion">
    <vt:i4>0</vt:i4>
  </property>
  <property fmtid="{D5CDD505-2E9C-101B-9397-08002B2CF9AE}" pid="15" name="DossierNumber">
    <vt:i4>650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66;#ECO|8df351f5-c957-404c-8cf3-8ffb22c9cba2</vt:lpwstr>
  </property>
  <property fmtid="{D5CDD505-2E9C-101B-9397-08002B2CF9AE}" pid="19" name="DocumentSource">
    <vt:lpwstr>1;#EESC|422833ec-8d7e-4e65-8e4e-8bed07ffb729</vt:lpwstr>
  </property>
  <property fmtid="{D5CDD505-2E9C-101B-9397-08002B2CF9AE}" pid="20" name="AdoptionDate">
    <vt:filetime>2024-07-10T12:00:00Z</vt:filetime>
  </property>
  <property fmtid="{D5CDD505-2E9C-101B-9397-08002B2CF9AE}" pid="21" name="DocumentType">
    <vt:lpwstr>162;#RES|9e3e62eb-6858-4bc7-8a50-3453e395fd01</vt:lpwstr>
  </property>
  <property fmtid="{D5CDD505-2E9C-101B-9397-08002B2CF9AE}" pid="22" name="RequestingService">
    <vt:lpwstr>Union économique et monétaire et cohésion économique et sociale</vt:lpwstr>
  </property>
  <property fmtid="{D5CDD505-2E9C-101B-9397-08002B2CF9AE}" pid="23" name="Confidentiality">
    <vt:lpwstr>6;#Unrestricted|826e22d7-d029-4ec0-a450-0c28ff673572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8" name="AvailableTranslations_0">
    <vt:lpwstr>DA|5d49c027-8956-412b-aa16-e85a0f96ad0e;SV|c2ed69e7-a339-43d7-8f22-d93680a92aa0;EN|f2175f21-25d7-44a3-96da-d6a61b075e1b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16;#DA|5d49c027-8956-412b-aa16-e85a0f96ad0e;#66;#ECO|8df351f5-c957-404c-8cf3-8ffb22c9cba2;#162;#RES|9e3e62eb-6858-4bc7-8a50-3453e395fd01;#8;#Final|ea5e6674-7b27-4bac-b091-73adbb394efe;#6;#Unrestricted|826e22d7-d029-4ec0-a450-0c28ff673572;#5;#EN|f2175f21-25d7-44a3-96da-d6a61b075e1b;#21;#SV|c2ed69e7-a339-43d7-8f22-d93680a92aa0;#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7051</vt:i4>
  </property>
  <property fmtid="{D5CDD505-2E9C-101B-9397-08002B2CF9AE}" pid="36" name="DocumentLanguage">
    <vt:lpwstr>31;#NL|55c6556c-b4f4-441d-9acf-c498d4f838bd</vt:lpwstr>
  </property>
  <property fmtid="{D5CDD505-2E9C-101B-9397-08002B2CF9AE}" pid="37" name="_docset_NoMedatataSyncRequired">
    <vt:lpwstr>False</vt:lpwstr>
  </property>
</Properties>
</file>