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2C5DCA" w14:paraId="08434BE9" w14:textId="77777777">
        <w:trPr>
          <w:jc w:val="center"/>
        </w:trPr>
        <w:tc>
          <w:tcPr>
            <w:tcW w:w="5000" w:type="pct"/>
            <w:vAlign w:val="center"/>
          </w:tcPr>
          <w:p w14:paraId="1C97D7EC" w14:textId="77777777" w:rsidR="00901B76" w:rsidRPr="00316392" w:rsidRDefault="00901B76" w:rsidP="0095280D">
            <w:pPr>
              <w:jc w:val="center"/>
              <w:rPr>
                <w:b/>
                <w:sz w:val="72"/>
                <w:szCs w:val="72"/>
              </w:rPr>
            </w:pPr>
            <w:r>
              <w:rPr>
                <w:b/>
                <w:sz w:val="72"/>
              </w:rPr>
              <w:t>PÄÄTÖSLAUSELMA</w:t>
            </w:r>
          </w:p>
        </w:tc>
      </w:tr>
      <w:tr w:rsidR="002C5DCA" w14:paraId="2AD91906" w14:textId="77777777">
        <w:trPr>
          <w:trHeight w:val="567"/>
          <w:jc w:val="center"/>
        </w:trPr>
        <w:tc>
          <w:tcPr>
            <w:tcW w:w="5000" w:type="pct"/>
            <w:vAlign w:val="center"/>
          </w:tcPr>
          <w:p w14:paraId="18C3CE96" w14:textId="77777777" w:rsidR="00901B76" w:rsidRPr="00316392" w:rsidRDefault="00901B76" w:rsidP="0095280D">
            <w:pPr>
              <w:jc w:val="center"/>
              <w:rPr>
                <w:sz w:val="24"/>
                <w:szCs w:val="24"/>
              </w:rPr>
            </w:pPr>
            <w:r>
              <w:rPr>
                <w:sz w:val="24"/>
              </w:rPr>
              <w:t>Euroopan talous- ja sosiaalikomitea</w:t>
            </w:r>
          </w:p>
        </w:tc>
      </w:tr>
      <w:tr w:rsidR="002C5DCA" w14:paraId="3BB0186C" w14:textId="77777777">
        <w:trPr>
          <w:jc w:val="center"/>
        </w:trPr>
        <w:tc>
          <w:tcPr>
            <w:tcW w:w="5000" w:type="pct"/>
            <w:vAlign w:val="center"/>
          </w:tcPr>
          <w:p w14:paraId="65A1CE6C" w14:textId="77777777" w:rsidR="005127DA" w:rsidRPr="00316392" w:rsidRDefault="005127DA" w:rsidP="005127DA">
            <w:pPr>
              <w:jc w:val="center"/>
              <w:rPr>
                <w:b/>
                <w:sz w:val="44"/>
                <w:szCs w:val="44"/>
              </w:rPr>
            </w:pPr>
            <w:r>
              <w:rPr>
                <w:b/>
                <w:sz w:val="44"/>
              </w:rPr>
              <w:t>Ketään ei saa jättää jälkeen.</w:t>
            </w:r>
          </w:p>
          <w:p w14:paraId="0B78FDDF" w14:textId="77777777" w:rsidR="00901B76" w:rsidRPr="00316392" w:rsidRDefault="005127DA" w:rsidP="005127DA">
            <w:pPr>
              <w:jc w:val="center"/>
              <w:rPr>
                <w:b/>
                <w:sz w:val="44"/>
                <w:szCs w:val="44"/>
              </w:rPr>
            </w:pPr>
            <w:r>
              <w:rPr>
                <w:b/>
                <w:sz w:val="44"/>
              </w:rPr>
              <w:t>Kattava ja osallistava koheesiopolitiikka sosiaalisen, taloudellisen ja alueellisen yhteenkuuluvuuden tukemiseksi</w:t>
            </w:r>
          </w:p>
        </w:tc>
      </w:tr>
      <w:tr w:rsidR="002C5DCA" w14:paraId="09FE3250" w14:textId="77777777">
        <w:trPr>
          <w:jc w:val="center"/>
        </w:trPr>
        <w:tc>
          <w:tcPr>
            <w:tcW w:w="5000" w:type="pct"/>
            <w:vAlign w:val="center"/>
          </w:tcPr>
          <w:p w14:paraId="6DA5BADA" w14:textId="77777777" w:rsidR="00901B76" w:rsidRPr="00316392" w:rsidRDefault="00901B76" w:rsidP="0095280D">
            <w:pPr>
              <w:jc w:val="center"/>
              <w:rPr>
                <w:sz w:val="24"/>
                <w:szCs w:val="24"/>
                <w:lang w:val="en-GB"/>
              </w:rPr>
            </w:pPr>
          </w:p>
        </w:tc>
      </w:tr>
      <w:tr w:rsidR="002C5DCA" w14:paraId="6E2EB803" w14:textId="77777777">
        <w:trPr>
          <w:jc w:val="center"/>
        </w:trPr>
        <w:tc>
          <w:tcPr>
            <w:tcW w:w="5000" w:type="pct"/>
            <w:vAlign w:val="center"/>
          </w:tcPr>
          <w:p w14:paraId="77DCD6F0" w14:textId="77777777" w:rsidR="00901B76" w:rsidRPr="00316392" w:rsidRDefault="00901B76" w:rsidP="0095280D">
            <w:pPr>
              <w:overflowPunct w:val="0"/>
              <w:autoSpaceDE w:val="0"/>
              <w:autoSpaceDN w:val="0"/>
              <w:adjustRightInd w:val="0"/>
              <w:jc w:val="center"/>
              <w:textAlignment w:val="baseline"/>
              <w:rPr>
                <w:b/>
                <w:position w:val="24"/>
                <w:sz w:val="24"/>
                <w:szCs w:val="24"/>
              </w:rPr>
            </w:pPr>
            <w:r>
              <w:rPr>
                <w:sz w:val="24"/>
              </w:rPr>
              <w:t>_____________</w:t>
            </w:r>
          </w:p>
        </w:tc>
      </w:tr>
      <w:tr w:rsidR="002C5DCA" w14:paraId="31AE0661" w14:textId="77777777">
        <w:trPr>
          <w:jc w:val="center"/>
        </w:trPr>
        <w:tc>
          <w:tcPr>
            <w:tcW w:w="5000" w:type="pct"/>
            <w:vAlign w:val="center"/>
          </w:tcPr>
          <w:p w14:paraId="11562AA0" w14:textId="77777777" w:rsidR="00901B76" w:rsidRPr="00316392" w:rsidRDefault="00901B76" w:rsidP="0095280D">
            <w:pPr>
              <w:jc w:val="center"/>
              <w:rPr>
                <w:sz w:val="24"/>
                <w:szCs w:val="24"/>
                <w:lang w:val="en-GB"/>
              </w:rPr>
            </w:pPr>
          </w:p>
        </w:tc>
      </w:tr>
      <w:tr w:rsidR="002C5DCA" w14:paraId="7ACE1D8C" w14:textId="77777777">
        <w:trPr>
          <w:jc w:val="center"/>
        </w:trPr>
        <w:tc>
          <w:tcPr>
            <w:tcW w:w="5000" w:type="pct"/>
            <w:vAlign w:val="center"/>
          </w:tcPr>
          <w:p w14:paraId="7C37914C" w14:textId="77777777" w:rsidR="00901B76" w:rsidRPr="00316392" w:rsidRDefault="00901B76" w:rsidP="0095280D">
            <w:pPr>
              <w:jc w:val="center"/>
              <w:rPr>
                <w:b/>
                <w:sz w:val="24"/>
                <w:szCs w:val="24"/>
              </w:rPr>
            </w:pPr>
            <w:r>
              <w:rPr>
                <w:sz w:val="24"/>
              </w:rPr>
              <w:t xml:space="preserve">Esittelijä: </w:t>
            </w:r>
            <w:r>
              <w:rPr>
                <w:b/>
                <w:sz w:val="24"/>
              </w:rPr>
              <w:t>Ioannis VARDAKASTANIS</w:t>
            </w:r>
          </w:p>
        </w:tc>
      </w:tr>
    </w:tbl>
    <w:p w14:paraId="50507753" w14:textId="77777777" w:rsidR="00574C9B" w:rsidRPr="00316392" w:rsidRDefault="00574C9B" w:rsidP="00574C9B">
      <w:r>
        <w:rPr>
          <w:noProof/>
          <w:sz w:val="20"/>
        </w:rPr>
        <mc:AlternateContent>
          <mc:Choice Requires="wps">
            <w:drawing>
              <wp:anchor distT="0" distB="0" distL="114300" distR="114300" simplePos="0" relativeHeight="251659264" behindDoc="1" locked="0" layoutInCell="0" allowOverlap="1" wp14:anchorId="61B4B370" wp14:editId="6C54C147">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A5BEB" w14:textId="77777777" w:rsidR="00574C9B" w:rsidRDefault="00574C9B" w:rsidP="00574C9B">
                            <w:pPr>
                              <w:jc w:val="cente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4B370"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o:allowincell="f" filled="f" stroked="f">
                <v:textbox>
                  <w:txbxContent>
                    <w:p w14:paraId="10AA5BEB" w14:textId="77777777" w:rsidR="00574C9B" w:rsidRDefault="00574C9B" w:rsidP="00574C9B">
                      <w:pPr>
                        <w:jc w:val="center"/>
                      </w:pPr>
                      <w:r>
                        <w:rPr>
                          <w:rFonts w:ascii="Arial" w:hAnsi="Arial"/>
                          <w:b/>
                          <w:sz w:val="48"/>
                        </w:rPr>
                        <w:t>FI</w:t>
                      </w:r>
                    </w:p>
                  </w:txbxContent>
                </v:textbox>
                <w10:wrap anchorx="margin" anchory="page"/>
              </v:shape>
            </w:pict>
          </mc:Fallback>
        </mc:AlternateContent>
      </w:r>
    </w:p>
    <w:p w14:paraId="39FE818C" w14:textId="77777777" w:rsidR="00574C9B" w:rsidRPr="00316392" w:rsidRDefault="00574C9B" w:rsidP="00574C9B">
      <w:pPr>
        <w:rPr>
          <w:lang w:val="en-GB"/>
        </w:rPr>
      </w:pPr>
    </w:p>
    <w:p w14:paraId="73BC9BE4" w14:textId="77777777" w:rsidR="00574C9B" w:rsidRPr="00316392" w:rsidRDefault="00574C9B" w:rsidP="00574C9B">
      <w:pPr>
        <w:rPr>
          <w:lang w:val="en-GB"/>
        </w:rPr>
        <w:sectPr w:rsidR="00574C9B" w:rsidRPr="00316392" w:rsidSect="00C6634B">
          <w:headerReference w:type="even" r:id="rId11"/>
          <w:headerReference w:type="default" r:id="rId12"/>
          <w:headerReference w:type="first" r:id="rId13"/>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2C5DCA" w14:paraId="1E7D40F7" w14:textId="77777777">
        <w:tc>
          <w:tcPr>
            <w:tcW w:w="3085" w:type="dxa"/>
          </w:tcPr>
          <w:p w14:paraId="25B57756" w14:textId="77777777" w:rsidR="00901B76" w:rsidRPr="00316392" w:rsidRDefault="00901B76" w:rsidP="00901B76">
            <w:pPr>
              <w:autoSpaceDE w:val="0"/>
              <w:autoSpaceDN w:val="0"/>
              <w:jc w:val="left"/>
              <w:rPr>
                <w:szCs w:val="20"/>
              </w:rPr>
            </w:pPr>
            <w:r>
              <w:lastRenderedPageBreak/>
              <w:t>Oikeusperusta</w:t>
            </w:r>
          </w:p>
        </w:tc>
        <w:tc>
          <w:tcPr>
            <w:tcW w:w="6204" w:type="dxa"/>
            <w:vAlign w:val="bottom"/>
          </w:tcPr>
          <w:p w14:paraId="3DAFDB4F" w14:textId="77777777" w:rsidR="00901B76" w:rsidRPr="00316392" w:rsidRDefault="00901B76" w:rsidP="00901B76">
            <w:pPr>
              <w:autoSpaceDE w:val="0"/>
              <w:autoSpaceDN w:val="0"/>
              <w:jc w:val="left"/>
            </w:pPr>
            <w:r>
              <w:t>työjärjestyksen 52 artiklan 4 kohta</w:t>
            </w:r>
          </w:p>
        </w:tc>
      </w:tr>
      <w:tr w:rsidR="002C5DCA" w14:paraId="5DAB3D26" w14:textId="77777777">
        <w:tc>
          <w:tcPr>
            <w:tcW w:w="3085" w:type="dxa"/>
          </w:tcPr>
          <w:p w14:paraId="46320059" w14:textId="77777777" w:rsidR="00901B76" w:rsidRPr="00316392" w:rsidRDefault="00901B76" w:rsidP="00901B76">
            <w:pPr>
              <w:autoSpaceDE w:val="0"/>
              <w:autoSpaceDN w:val="0"/>
              <w:jc w:val="left"/>
            </w:pPr>
            <w:r>
              <w:t>Hyväksyminen täysistunnossa</w:t>
            </w:r>
          </w:p>
        </w:tc>
        <w:tc>
          <w:tcPr>
            <w:tcW w:w="6204" w:type="dxa"/>
            <w:vAlign w:val="bottom"/>
          </w:tcPr>
          <w:p w14:paraId="07442E27" w14:textId="77777777" w:rsidR="00901B76" w:rsidRPr="00316392" w:rsidRDefault="005127DA" w:rsidP="00901B76">
            <w:pPr>
              <w:autoSpaceDE w:val="0"/>
              <w:autoSpaceDN w:val="0"/>
              <w:jc w:val="left"/>
            </w:pPr>
            <w:r>
              <w:t>11/7/2024</w:t>
            </w:r>
          </w:p>
        </w:tc>
      </w:tr>
      <w:tr w:rsidR="002C5DCA" w14:paraId="06EA9FA9" w14:textId="77777777">
        <w:tc>
          <w:tcPr>
            <w:tcW w:w="3085" w:type="dxa"/>
          </w:tcPr>
          <w:p w14:paraId="0D55B060" w14:textId="77777777" w:rsidR="00901B76" w:rsidRPr="00316392" w:rsidRDefault="00901B76" w:rsidP="00901B76">
            <w:pPr>
              <w:autoSpaceDE w:val="0"/>
              <w:autoSpaceDN w:val="0"/>
              <w:jc w:val="left"/>
            </w:pPr>
            <w:r>
              <w:t>Täysistunnon numero</w:t>
            </w:r>
          </w:p>
        </w:tc>
        <w:tc>
          <w:tcPr>
            <w:tcW w:w="6204" w:type="dxa"/>
            <w:vAlign w:val="bottom"/>
          </w:tcPr>
          <w:p w14:paraId="2B5C16FD" w14:textId="77777777" w:rsidR="00901B76" w:rsidRPr="00316392" w:rsidRDefault="005127DA" w:rsidP="00901B76">
            <w:pPr>
              <w:autoSpaceDE w:val="0"/>
              <w:autoSpaceDN w:val="0"/>
              <w:jc w:val="left"/>
            </w:pPr>
            <w:r>
              <w:t>589</w:t>
            </w:r>
          </w:p>
        </w:tc>
      </w:tr>
      <w:tr w:rsidR="002C5DCA" w14:paraId="34BE783E" w14:textId="77777777">
        <w:tc>
          <w:tcPr>
            <w:tcW w:w="3085" w:type="dxa"/>
          </w:tcPr>
          <w:p w14:paraId="71FBCF43" w14:textId="77777777" w:rsidR="00901B76" w:rsidRPr="00316392" w:rsidRDefault="00901B76" w:rsidP="00901B76">
            <w:pPr>
              <w:autoSpaceDE w:val="0"/>
              <w:autoSpaceDN w:val="0"/>
              <w:jc w:val="left"/>
            </w:pPr>
            <w:r>
              <w:t>Äänestystulos</w:t>
            </w:r>
            <w:r>
              <w:br/>
              <w:t>(puolesta / vastaan / pidättyi äänestämästä)</w:t>
            </w:r>
          </w:p>
        </w:tc>
        <w:tc>
          <w:tcPr>
            <w:tcW w:w="6204" w:type="dxa"/>
            <w:vAlign w:val="bottom"/>
          </w:tcPr>
          <w:p w14:paraId="644B385F" w14:textId="77777777" w:rsidR="00901B76" w:rsidRPr="00316392" w:rsidRDefault="00AF5F43" w:rsidP="00901B76">
            <w:pPr>
              <w:autoSpaceDE w:val="0"/>
              <w:autoSpaceDN w:val="0"/>
              <w:jc w:val="left"/>
            </w:pPr>
            <w:r>
              <w:t>159/2/07</w:t>
            </w:r>
          </w:p>
        </w:tc>
      </w:tr>
    </w:tbl>
    <w:p w14:paraId="0A17B34D" w14:textId="77777777" w:rsidR="00AC5114" w:rsidRPr="00316392" w:rsidRDefault="00AC5114" w:rsidP="00574C9B">
      <w:pPr>
        <w:rPr>
          <w:lang w:val="en-GB"/>
        </w:rPr>
      </w:pPr>
    </w:p>
    <w:p w14:paraId="4A463D1B" w14:textId="77777777" w:rsidR="00AC5114" w:rsidRPr="00316392" w:rsidRDefault="00AC5114" w:rsidP="00574C9B">
      <w:pPr>
        <w:rPr>
          <w:lang w:val="en-GB"/>
        </w:rPr>
        <w:sectPr w:rsidR="00AC5114" w:rsidRPr="00316392" w:rsidSect="00C6634B">
          <w:headerReference w:type="even" r:id="rId14"/>
          <w:headerReference w:type="default" r:id="rId15"/>
          <w:footerReference w:type="default" r:id="rId16"/>
          <w:headerReference w:type="first" r:id="rId17"/>
          <w:pgSz w:w="11907" w:h="16839" w:code="9"/>
          <w:pgMar w:top="5669" w:right="1418" w:bottom="1418" w:left="1418" w:header="709" w:footer="709" w:gutter="0"/>
          <w:cols w:space="720"/>
          <w:docGrid w:linePitch="360"/>
        </w:sectPr>
      </w:pPr>
    </w:p>
    <w:p w14:paraId="03A30E21" w14:textId="77777777" w:rsidR="00A25592" w:rsidRPr="009B091D" w:rsidRDefault="00A25592" w:rsidP="00A25592">
      <w:pPr>
        <w:pStyle w:val="Heading1"/>
      </w:pPr>
      <w:r>
        <w:lastRenderedPageBreak/>
        <w:t>Kansalaisyhteiskunnan organisaatioita edustava Euroopan talous- ja sosiaalikomitea kehottaa Euroopan komission uuden toimikauden kynnyksellä Euroopan unionin jäsenvaltioita, unionin johtajia ja toimielimiä sekä EU-kansalaisia vaalimaan EU:n taloudellista, sosiaalista ja alueellista yhteenkuuluvuutta ja turvaamaan sen Euroopan unionin toiminnasta tehdyn sopimuksen 174 artiklan mukaisesti.</w:t>
      </w:r>
    </w:p>
    <w:p w14:paraId="2161A8E2" w14:textId="77777777" w:rsidR="00A25592" w:rsidRPr="009B091D" w:rsidRDefault="00A25592" w:rsidP="00A25592">
      <w:pPr>
        <w:pStyle w:val="Heading2"/>
        <w:numPr>
          <w:ilvl w:val="0"/>
          <w:numId w:val="0"/>
        </w:numPr>
        <w:ind w:left="567" w:hanging="567"/>
        <w:rPr>
          <w:lang w:val="en-GB"/>
        </w:rPr>
      </w:pPr>
    </w:p>
    <w:p w14:paraId="3A98B5FA" w14:textId="77777777" w:rsidR="00A25592" w:rsidRPr="009B091D" w:rsidRDefault="00A25592" w:rsidP="00A25592">
      <w:pPr>
        <w:pStyle w:val="Heading1"/>
      </w:pPr>
      <w:r>
        <w:t xml:space="preserve">Komitea korostaa painokkaasti sitä, että koheesiopolitiikan perusperiaate, jonka mukaan ketään ei jätetä jälkeen, on edelleen tärkeä ja pätevä ja että kansalaisyhteiskuntaa edustavat tahot ovat valmiita jatkamaan työtä tämän periaatteen puolesta EU:n vahvan investointipolitiikan avulla. </w:t>
      </w:r>
    </w:p>
    <w:p w14:paraId="0F8A036D" w14:textId="77777777" w:rsidR="00A25592" w:rsidRPr="009B091D" w:rsidRDefault="00A25592" w:rsidP="00A25592">
      <w:pPr>
        <w:ind w:left="567" w:hanging="567"/>
        <w:rPr>
          <w:lang w:val="en-GB"/>
        </w:rPr>
      </w:pPr>
    </w:p>
    <w:p w14:paraId="3CB22AA4" w14:textId="77777777" w:rsidR="00A25592" w:rsidRPr="009B091D" w:rsidRDefault="00A25592" w:rsidP="00A25592">
      <w:pPr>
        <w:pStyle w:val="Heading1"/>
      </w:pPr>
      <w:r>
        <w:t>Komitea tähdentää, että epätasa-arvoiset mahdollisuudet voivat pitkällä aikavälillä aiheuttaa haittaa kasvulle ja kilpailukyvylle alue-, valtio- ja EU-tasolla. Siksi on tärkeää, että koheesiopolitiikasta tehdään monipuolisempaa ja joustavampaa ja että se on samanaikaisesti myös uskottavaa, vakaata ja selkeää, jotta voidaan kiinnittää enemmän huomiota ihmisiin ja erityisesti kaikkein heikoimmassa asemassa oleviin ja puuttua paremmin monien kohtaamaan mahdollisuuksien eriarvoisuuteen.</w:t>
      </w:r>
    </w:p>
    <w:p w14:paraId="1A1A9858" w14:textId="77777777" w:rsidR="00A25592" w:rsidRPr="009B091D" w:rsidRDefault="00A25592" w:rsidP="00A25592">
      <w:pPr>
        <w:ind w:left="567" w:hanging="567"/>
        <w:rPr>
          <w:lang w:val="en-GB"/>
        </w:rPr>
      </w:pPr>
    </w:p>
    <w:p w14:paraId="09531561" w14:textId="77777777" w:rsidR="00A25592" w:rsidRPr="009B091D" w:rsidRDefault="00A25592" w:rsidP="00A25592">
      <w:pPr>
        <w:pStyle w:val="Heading1"/>
      </w:pPr>
      <w:r>
        <w:t xml:space="preserve">Komitea suhtautuu kriittisesti siihen, että päätyökseen koheesiopolitiikasta vastaavan komissaarin tehtävä lakkautettaisiin. </w:t>
      </w:r>
    </w:p>
    <w:p w14:paraId="5367E08F" w14:textId="77777777" w:rsidR="00A25592" w:rsidRPr="009B091D" w:rsidRDefault="00A25592" w:rsidP="00A25592">
      <w:pPr>
        <w:pStyle w:val="Heading1"/>
        <w:numPr>
          <w:ilvl w:val="0"/>
          <w:numId w:val="0"/>
        </w:numPr>
        <w:ind w:left="567" w:hanging="567"/>
        <w:rPr>
          <w:lang w:val="en-GB"/>
        </w:rPr>
      </w:pPr>
    </w:p>
    <w:p w14:paraId="531EC23D" w14:textId="77777777" w:rsidR="00A25592" w:rsidRPr="009B091D" w:rsidRDefault="00A25592" w:rsidP="00A25592">
      <w:pPr>
        <w:pStyle w:val="Heading1"/>
      </w:pPr>
      <w:r>
        <w:t>Komitea vastustaa koheesiopolitiikan supistamista ja muuntamista pikaista ratkaisua vaativien kriisien ratkaisemisvälineeksi.</w:t>
      </w:r>
    </w:p>
    <w:p w14:paraId="5E0E7467" w14:textId="77777777" w:rsidR="00A25592" w:rsidRPr="009B091D" w:rsidRDefault="00A25592" w:rsidP="00A25592">
      <w:pPr>
        <w:ind w:left="567" w:hanging="567"/>
        <w:rPr>
          <w:lang w:val="en-GB"/>
        </w:rPr>
      </w:pPr>
    </w:p>
    <w:p w14:paraId="6B946FE1" w14:textId="77777777" w:rsidR="00A25592" w:rsidRPr="009B091D" w:rsidRDefault="00A25592" w:rsidP="00A25592">
      <w:pPr>
        <w:pStyle w:val="Heading1"/>
      </w:pPr>
      <w:r>
        <w:t xml:space="preserve">Komitea ei hyväksy ajatusta koheesiopolitiikan muuttamisesta elpymis- ja palautumistukivälineen kaltaiseksi välineeksi, johon sidosryhmät eivät pääse vaikuttamaan rakenteellisesti juuri lainkaan ja jonka hallinnointi ei sanottavasti perustu yhteistyöhön eikä ole monitasoista. </w:t>
      </w:r>
    </w:p>
    <w:p w14:paraId="3894EA1F" w14:textId="77777777" w:rsidR="00A25592" w:rsidRPr="009B091D" w:rsidRDefault="00A25592" w:rsidP="00A25592">
      <w:pPr>
        <w:ind w:left="567" w:hanging="567"/>
        <w:rPr>
          <w:lang w:val="en-GB"/>
        </w:rPr>
      </w:pPr>
    </w:p>
    <w:p w14:paraId="43E689F1" w14:textId="77777777" w:rsidR="00A25592" w:rsidRPr="009B091D" w:rsidRDefault="00A25592" w:rsidP="00A25592">
      <w:pPr>
        <w:pStyle w:val="Heading1"/>
      </w:pPr>
      <w:r>
        <w:t>Komitea kannattaa kumppanuusperiaatetta ja selkeitä sääntöjä kansalaisyhteiskunnan osallistamisesta EU:n rahoitusta saavien toimien valintaan, hallinnointiin ja seurantaan.</w:t>
      </w:r>
    </w:p>
    <w:p w14:paraId="7E46C4DA" w14:textId="77777777" w:rsidR="00A25592" w:rsidRPr="009B091D" w:rsidRDefault="00A25592" w:rsidP="00A25592">
      <w:pPr>
        <w:ind w:left="567" w:hanging="567"/>
        <w:rPr>
          <w:highlight w:val="yellow"/>
          <w:lang w:val="en-GB"/>
        </w:rPr>
      </w:pPr>
    </w:p>
    <w:p w14:paraId="7BFAEB62" w14:textId="77777777" w:rsidR="00A25592" w:rsidRPr="009B091D" w:rsidRDefault="00A25592" w:rsidP="00A25592">
      <w:pPr>
        <w:pStyle w:val="Heading1"/>
      </w:pPr>
      <w:r>
        <w:t>Komitea kehottaa säätämään kansalaisyhteiskunnan osallistumisesta vahvoin sanakääntein seuraavassa yhteisiä säännöksiä koskevassa asetuksessa, jolla säännellään koheesiorahastojen ja muun EU:lta saatavan rahoituksen käyttöä vuoden 2027 jälkeen, samalla tavalla kuin kaudella 2021–2027.</w:t>
      </w:r>
    </w:p>
    <w:p w14:paraId="6425091C" w14:textId="77777777" w:rsidR="00A25592" w:rsidRPr="009B091D" w:rsidRDefault="00A25592" w:rsidP="00A25592">
      <w:pPr>
        <w:ind w:left="567" w:hanging="567"/>
        <w:rPr>
          <w:lang w:val="en-GB"/>
        </w:rPr>
      </w:pPr>
    </w:p>
    <w:p w14:paraId="7BDB5068" w14:textId="77777777" w:rsidR="00A25592" w:rsidRPr="009B091D" w:rsidRDefault="00A25592" w:rsidP="00A25592">
      <w:pPr>
        <w:pStyle w:val="Heading1"/>
      </w:pPr>
      <w:r>
        <w:t>Komitea peräänkuuluttaa paikkalähtöistä ja ihmislähtöistä koheesiopolitiikkaa:</w:t>
      </w:r>
    </w:p>
    <w:p w14:paraId="27A8B2CC" w14:textId="77777777" w:rsidR="00A25592" w:rsidRPr="009B091D" w:rsidRDefault="00A25592" w:rsidP="00A25592">
      <w:pPr>
        <w:ind w:left="567" w:hanging="567"/>
        <w:rPr>
          <w:lang w:val="en-GB"/>
        </w:rPr>
      </w:pPr>
    </w:p>
    <w:p w14:paraId="0DE01042" w14:textId="77777777" w:rsidR="00A25592" w:rsidRPr="009B091D" w:rsidRDefault="00A25592" w:rsidP="00A25592">
      <w:pPr>
        <w:pStyle w:val="Heading2"/>
      </w:pPr>
      <w:r>
        <w:t>paikkalähtöistä, koska alueellisia ominaispiirteitä on kunnioitettava ja ne on otettava kaikilta osin huomioon alueellisten vaikutusten arviointien perusteella.</w:t>
      </w:r>
    </w:p>
    <w:p w14:paraId="67DC66C7" w14:textId="77777777" w:rsidR="00A25592" w:rsidRPr="009B091D" w:rsidRDefault="00A25592" w:rsidP="00A25592">
      <w:pPr>
        <w:ind w:left="567" w:hanging="567"/>
        <w:rPr>
          <w:lang w:val="en-GB"/>
        </w:rPr>
      </w:pPr>
    </w:p>
    <w:p w14:paraId="0D5FBFFB" w14:textId="77777777" w:rsidR="00A25592" w:rsidRPr="009B091D" w:rsidRDefault="00A25592" w:rsidP="00A25592">
      <w:pPr>
        <w:pStyle w:val="Heading2"/>
      </w:pPr>
      <w:r>
        <w:t>ihmislähtöistä, jotta toivottuihin tuloksiin pyritään kumppanuusperiaatetta tinkimättömästi noudattaen ja tukeutuen erityisesti monitasoiseen hallintoon, yhteiskumppanuuteen ja alhaalta ylöspäin suuntautuviin toimintamalleihin.</w:t>
      </w:r>
    </w:p>
    <w:p w14:paraId="2D54B1F0" w14:textId="77777777" w:rsidR="00A25592" w:rsidRPr="009B091D" w:rsidRDefault="00A25592" w:rsidP="00A25592">
      <w:pPr>
        <w:ind w:left="567" w:hanging="567"/>
        <w:rPr>
          <w:lang w:val="en-GB"/>
        </w:rPr>
      </w:pPr>
    </w:p>
    <w:p w14:paraId="253B0F0B" w14:textId="77777777" w:rsidR="00A25592" w:rsidRPr="009B091D" w:rsidRDefault="00A25592" w:rsidP="009B091D">
      <w:pPr>
        <w:pStyle w:val="Heading1"/>
      </w:pPr>
      <w:r>
        <w:t xml:space="preserve">Komitea kehottaa antamaan koheesiopolitiikalle uutta pontta ja katsoo, että välineiden ja toimintatapojen valikoimaa olisi syytä laajentaa, uudistaa tai muuttaa, jotta voidaan rakentaa </w:t>
      </w:r>
      <w:r>
        <w:lastRenderedPageBreak/>
        <w:t>vahva, tehokas, joustava ja uudistettu koheesiopolitiikka, jossa painotetaan yhä enemmän valmiuksia, alueiden välisiä yhteyksiä, tulosten vaikuttavuutta ja tuensaajille avautuvia mahdollisuuksia eikä pelkästään investointeja. Tämä edellyttää seuraavaa:</w:t>
      </w:r>
    </w:p>
    <w:p w14:paraId="65BCDE14" w14:textId="77777777" w:rsidR="00A25592" w:rsidRPr="009B091D" w:rsidRDefault="00A25592" w:rsidP="00A25592">
      <w:pPr>
        <w:ind w:left="567" w:hanging="567"/>
        <w:rPr>
          <w:lang w:val="en-GB"/>
        </w:rPr>
      </w:pPr>
    </w:p>
    <w:p w14:paraId="19A0913D" w14:textId="77777777" w:rsidR="00A25592" w:rsidRPr="009B091D" w:rsidRDefault="00A25592" w:rsidP="00A25592">
      <w:pPr>
        <w:pStyle w:val="Heading2"/>
      </w:pPr>
      <w:r>
        <w:t>On pyrittävä ratkomaan EU:n keskeisiä rakenteellisia haasteita, jotka liittyvät matalaan kehitystasoon, talouden pitkäaikaiseen stagnaatioon, yhtäläisten mahdollisuuksien toteutumattomuuteen eri alueilla sekä alueiden ja yhteiskuntien sisäisiin ja välisiin eroihin.</w:t>
      </w:r>
    </w:p>
    <w:p w14:paraId="3FF0A12F" w14:textId="77777777" w:rsidR="00A25592" w:rsidRPr="00316392" w:rsidRDefault="00A25592" w:rsidP="00A25592">
      <w:pPr>
        <w:pStyle w:val="ListParagraph"/>
        <w:ind w:left="567" w:hanging="567"/>
      </w:pPr>
    </w:p>
    <w:p w14:paraId="0D64619E" w14:textId="77777777" w:rsidR="00A25592" w:rsidRPr="009B091D" w:rsidRDefault="00A25592" w:rsidP="00A25592">
      <w:pPr>
        <w:pStyle w:val="Heading2"/>
      </w:pPr>
      <w:r>
        <w:t>Aluepoliittisille strategioille, kuten yhdennetyille alueellisille investoinneille (ITI) ja paikallisyhteisöjen omille kehittämishankkeille (CLLD), on annettava nykyistä tärkeämpi asema. Tätä varten on tarpeen parantaa paikallis-, kaupunki- ja alueviranomaisten valmiuksia hallinnoida varoja, kuitenkin niin, että kiinnitetään huomiota johdonmukaisuuteen.</w:t>
      </w:r>
    </w:p>
    <w:p w14:paraId="5F01A032" w14:textId="77777777" w:rsidR="00A25592" w:rsidRPr="009B091D" w:rsidRDefault="00A25592" w:rsidP="00A25592">
      <w:pPr>
        <w:ind w:left="567" w:hanging="567"/>
        <w:rPr>
          <w:lang w:val="en-GB"/>
        </w:rPr>
      </w:pPr>
    </w:p>
    <w:p w14:paraId="5C6B8809" w14:textId="77777777" w:rsidR="00A25592" w:rsidRPr="009B091D" w:rsidRDefault="00A25592" w:rsidP="00A25592">
      <w:pPr>
        <w:pStyle w:val="Heading2"/>
      </w:pPr>
      <w:r>
        <w:t>On keskityttävä erityisesti niihin väestöryhmiin, joiden työllisyysaste on alhaisin (naiset, nuoret, vammaiset henkilöt, maahanmuuttajat, heikosti koulutetut). Näitä ryhmiä varten tarvitaan erityisiä paikallisia koulutus-, uudelleen- ja jatkokoulutus- sekä tukiohjelmia.</w:t>
      </w:r>
    </w:p>
    <w:p w14:paraId="244EB45D" w14:textId="77777777" w:rsidR="00A25592" w:rsidRPr="009B091D" w:rsidRDefault="00A25592" w:rsidP="00A25592">
      <w:pPr>
        <w:ind w:left="567" w:hanging="567"/>
        <w:rPr>
          <w:lang w:val="en-GB"/>
        </w:rPr>
      </w:pPr>
    </w:p>
    <w:p w14:paraId="7A6A0742" w14:textId="77777777" w:rsidR="00A25592" w:rsidRPr="009B091D" w:rsidRDefault="00A25592" w:rsidP="00A25592">
      <w:pPr>
        <w:pStyle w:val="Heading2"/>
      </w:pPr>
      <w:r>
        <w:t>Rahoitus- ja muiden välineiden monipuolistamista ja kohdentamista tarkasti rajattuihin tarkoituksiin on jatkettava, jotta koheesiopolitiikalla voidaan auttaa alue- ja toimialakohtaisesti sellaisia haavoittuvassa asemassa olevia väestöryhmiä, joiden integroiminen työvoimaan ei onnistu yleisillä työllisyyttä edistävillä ratkaisuilla.</w:t>
      </w:r>
    </w:p>
    <w:p w14:paraId="50A56703" w14:textId="77777777" w:rsidR="00A25592" w:rsidRPr="009B091D" w:rsidRDefault="00A25592" w:rsidP="00A25592">
      <w:pPr>
        <w:rPr>
          <w:lang w:val="en-GB"/>
        </w:rPr>
      </w:pPr>
    </w:p>
    <w:p w14:paraId="746DB7A0" w14:textId="77777777" w:rsidR="00A25592" w:rsidRPr="009B091D" w:rsidRDefault="00A25592" w:rsidP="00A25592">
      <w:pPr>
        <w:pStyle w:val="Heading2"/>
      </w:pPr>
      <w:r>
        <w:t>On tuettava investointeja sosiaaliseen infrastruktuuriin, jotta EU:n merkittäviin väestöhaasteisiin pystytään vastaamaan tehokkaasti. Tämä on sitäkin tärkeämpää alueilla, joilla työikäinen väestö pienenee ja korkea-asteen tutkinnon suorittaneita on vähän, sekä alueilla, joilta nuoret muuttavat pois.</w:t>
      </w:r>
    </w:p>
    <w:p w14:paraId="302A77A7" w14:textId="77777777" w:rsidR="00A25592" w:rsidRPr="009B091D" w:rsidRDefault="00A25592" w:rsidP="00A25592">
      <w:pPr>
        <w:ind w:left="567" w:hanging="567"/>
        <w:rPr>
          <w:lang w:val="en-GB"/>
        </w:rPr>
      </w:pPr>
    </w:p>
    <w:p w14:paraId="683D0553" w14:textId="77777777" w:rsidR="00A25592" w:rsidRPr="009B091D" w:rsidRDefault="00A25592" w:rsidP="00A25592">
      <w:pPr>
        <w:pStyle w:val="Heading2"/>
      </w:pPr>
      <w:proofErr w:type="spellStart"/>
      <w:r>
        <w:t>Rajatylittävien</w:t>
      </w:r>
      <w:proofErr w:type="spellEnd"/>
      <w:r>
        <w:t xml:space="preserve"> työmarkkinoiden potentiaalia on kasvatettava, sillä ne eivät ole oikeudellisten ja hallinnollisten esteiden vuoksi kovin pitkälle kehittyneitä. Valtioiden rajat ylittävää ja alueiden välistä yhteistyötä onkin tiivistettävä erityisesti infrastruktuurin kehittämiseksi ja yhteisötalouden toimijoiden toiminnan tukemiseksi.</w:t>
      </w:r>
    </w:p>
    <w:p w14:paraId="0802422F" w14:textId="77777777" w:rsidR="00A25592" w:rsidRPr="009B091D" w:rsidRDefault="00A25592" w:rsidP="00A25592">
      <w:pPr>
        <w:ind w:left="567" w:hanging="567"/>
        <w:rPr>
          <w:lang w:val="en-GB"/>
        </w:rPr>
      </w:pPr>
    </w:p>
    <w:p w14:paraId="59B1B04E" w14:textId="77777777" w:rsidR="00A25592" w:rsidRPr="009B091D" w:rsidRDefault="00A25592" w:rsidP="00A25592">
      <w:pPr>
        <w:pStyle w:val="Heading2"/>
      </w:pPr>
      <w:r>
        <w:t>Jatkossakin on suojeltava pieniä ja keskisuuria yrityksiä (pk-yrityksiä) ja niiden kestävyyttä. Tämä edellyttää olemassa olevien eurooppalaisten perusvälineiden – kuten Euroopan sosiaalirahaston, Euroopan aluekehitysrahaston (EAKR), koheesiorahaston ja oikeudenmukaisen siirtymän mekanismin – käyttöä innovatiivisella mutta yksinkertaisella tavalla, jotta pk-yritykset voivat saada helposti rahoitusta ja pitkäaikaista luottoa edullisin ehdoin.</w:t>
      </w:r>
    </w:p>
    <w:p w14:paraId="10C59920" w14:textId="77777777" w:rsidR="00A25592" w:rsidRPr="009B091D" w:rsidRDefault="00A25592" w:rsidP="00A25592">
      <w:pPr>
        <w:ind w:left="567" w:hanging="567"/>
        <w:rPr>
          <w:lang w:val="en-GB"/>
        </w:rPr>
      </w:pPr>
    </w:p>
    <w:p w14:paraId="07900C9D" w14:textId="77777777" w:rsidR="00A25592" w:rsidRPr="009B091D" w:rsidRDefault="00A25592" w:rsidP="00A25592">
      <w:pPr>
        <w:pStyle w:val="Heading2"/>
      </w:pPr>
      <w:r>
        <w:t>Koko oikeudenmukaisen siirtymän mekanismin sisäisiä synergiavaikutuksia on kasvatettava. Komitea on vakuuttunut siitä, että koheesiopolitiikan on säilyttävä EU:n keskeisenä investointipolitiikkana, jolla tuetaan eurooppalaista ilmastotavoitteisiin sopeutumisen politiikkaa aluetasolla. ”Ei merkittävää haittaa” -periaatteen avulla olisi varmistettava, että investoinnit ovat täysin vihreän kehityksen ohjelman tavoitteiden mukaisia.</w:t>
      </w:r>
    </w:p>
    <w:p w14:paraId="3C40880D" w14:textId="77777777" w:rsidR="00A25592" w:rsidRPr="009B091D" w:rsidRDefault="00A25592" w:rsidP="00A25592">
      <w:pPr>
        <w:ind w:left="567" w:hanging="567"/>
        <w:rPr>
          <w:lang w:val="en-GB"/>
        </w:rPr>
      </w:pPr>
    </w:p>
    <w:p w14:paraId="12B02A3A" w14:textId="77777777" w:rsidR="00A25592" w:rsidRPr="009B091D" w:rsidRDefault="00A25592" w:rsidP="00A25592">
      <w:pPr>
        <w:pStyle w:val="Heading2"/>
      </w:pPr>
      <w:r>
        <w:lastRenderedPageBreak/>
        <w:t>On tutkittava tarkemmin suurten yritysten rahoittamismahdollisuutta tärkeänä lähentymistä edistävänä tekijänä, erityisesti kun on kyse strategisista teknologioista uuden STEP-välineen (Euroopan strategisten teknologioiden kehysväline) puitteissa.</w:t>
      </w:r>
    </w:p>
    <w:p w14:paraId="0B509BD6" w14:textId="77777777" w:rsidR="00A25592" w:rsidRPr="009B091D" w:rsidRDefault="00A25592" w:rsidP="00A25592">
      <w:pPr>
        <w:ind w:left="567" w:hanging="567"/>
        <w:rPr>
          <w:lang w:val="en-GB"/>
        </w:rPr>
      </w:pPr>
    </w:p>
    <w:p w14:paraId="2E770D07" w14:textId="77777777" w:rsidR="00A25592" w:rsidRPr="009B091D" w:rsidRDefault="00A25592" w:rsidP="00A25592">
      <w:pPr>
        <w:pStyle w:val="Heading2"/>
      </w:pPr>
      <w:r>
        <w:t>On luotava uudenlaisia taloudellisia mahdollisuuksia vähemmän kehittyneille, syrjäisille, harvaan asutuille ja maaseutualueille, EU:n saarille ja syrjäisimmille alueille. Lisäksi on tärkeää kuroa umpeen maaseutualueiden, kaupunkialueiden ja kaupunkien keskustojen välistä kuilua ja tiivistää niiden välisiä yhteyksiä.</w:t>
      </w:r>
    </w:p>
    <w:p w14:paraId="283B866F" w14:textId="77777777" w:rsidR="00A25592" w:rsidRPr="009B091D" w:rsidRDefault="00A25592" w:rsidP="00A25592">
      <w:pPr>
        <w:ind w:left="567" w:hanging="567"/>
        <w:rPr>
          <w:lang w:val="en-GB"/>
        </w:rPr>
      </w:pPr>
    </w:p>
    <w:p w14:paraId="0EA10F58" w14:textId="77777777" w:rsidR="00A25592" w:rsidRPr="009B091D" w:rsidRDefault="00A25592" w:rsidP="00A25592">
      <w:pPr>
        <w:pStyle w:val="Heading2"/>
      </w:pPr>
      <w:r>
        <w:t>On edistettävä aloitteita, joilla kartoitetaan ja käsitellään yksityiskohtaisesti kehitysloukussa olevien alueiden erityistarpeita ja autetaan niitä selviytymään haasteistaan.</w:t>
      </w:r>
    </w:p>
    <w:p w14:paraId="53D64D3A" w14:textId="77777777" w:rsidR="00A25592" w:rsidRPr="009B091D" w:rsidRDefault="00A25592" w:rsidP="00A25592">
      <w:pPr>
        <w:ind w:left="567" w:hanging="567"/>
        <w:rPr>
          <w:lang w:val="en-GB"/>
        </w:rPr>
      </w:pPr>
    </w:p>
    <w:p w14:paraId="5F5D94FE" w14:textId="77777777" w:rsidR="00A25592" w:rsidRPr="009B091D" w:rsidRDefault="00A25592" w:rsidP="00A25592">
      <w:pPr>
        <w:pStyle w:val="Heading2"/>
      </w:pPr>
      <w:r>
        <w:t>On ryhdyttävä soveltamaan koheesiopolitiikkaa, jonka keskeisinä osatekijöinä ovat mm. yhteistyöhön perustuva hallinnointi, alueellinen lähestymistapa, ennakkorahoitus ja yhteisrahoitusosuudet. Pelkkä investoiminen ei riitä. Kaikilla alueilla tarvitaan vankat hallintorakenteet ja tarkoituksenmukainen politiikkayhdistelmä, jossa hyödynnetään synergiaa kaikkien sidosryhmien kanssa. Lähestymistavan on suuntauduttava alhaalta ylöspäin. Investointien rinnalla onkin useimmiten toteutettava räätälöityjä uudistuksia ja kansalaisia hyödyttäviä toimintalinjauksia.</w:t>
      </w:r>
    </w:p>
    <w:p w14:paraId="2429B5D5" w14:textId="77777777" w:rsidR="00A25592" w:rsidRPr="009B091D" w:rsidRDefault="00A25592" w:rsidP="00A25592">
      <w:pPr>
        <w:ind w:left="567" w:hanging="567"/>
        <w:rPr>
          <w:lang w:val="en-GB"/>
        </w:rPr>
      </w:pPr>
    </w:p>
    <w:p w14:paraId="6F3172E2" w14:textId="77777777" w:rsidR="00A25592" w:rsidRPr="009B091D" w:rsidRDefault="00A25592" w:rsidP="00A25592">
      <w:pPr>
        <w:pStyle w:val="Heading2"/>
      </w:pPr>
      <w:r>
        <w:t>Kansalaisyhteiskunta ja kaikki paikallistason sidosryhmät on otettava tiiviimmin mukaan, jotta voidaan tehostaa kumppanuusperiaatteen ja monitasoisen hallinnon toteutumista koheesiopolitiikassa. Tämä voi auttaa lievittämään demokratiaan kohdistuvaa painetta, kun EU:n toimintapolitiikat koetaan paremmin omaksi.</w:t>
      </w:r>
    </w:p>
    <w:p w14:paraId="57114561" w14:textId="77777777" w:rsidR="00A25592" w:rsidRPr="00316392" w:rsidRDefault="00A25592" w:rsidP="00A25592">
      <w:pPr>
        <w:pStyle w:val="ListParagraph"/>
        <w:ind w:left="567" w:hanging="567"/>
      </w:pPr>
    </w:p>
    <w:p w14:paraId="4C9F8F0D" w14:textId="77777777" w:rsidR="00A25592" w:rsidRPr="009B091D" w:rsidRDefault="00A25592" w:rsidP="00A25592">
      <w:pPr>
        <w:pStyle w:val="Heading2"/>
      </w:pPr>
      <w:r>
        <w:t>Hallinnon eri tasojen, tuensaajien ja muiden kansallisten, alueellisten ja paikallisten sidosryhmien hallinnollisia valmiuksia on parannettava, ja on tarjottava räätälöidympää teknistä tukea politiikan konkreettisen täytäntöönpanon parantamiseksi.</w:t>
      </w:r>
    </w:p>
    <w:p w14:paraId="203FC662" w14:textId="77777777" w:rsidR="00A25592" w:rsidRPr="009B091D" w:rsidRDefault="00A25592" w:rsidP="00A25592">
      <w:pPr>
        <w:pStyle w:val="Heading2"/>
        <w:numPr>
          <w:ilvl w:val="0"/>
          <w:numId w:val="0"/>
        </w:numPr>
        <w:ind w:left="567" w:hanging="567"/>
        <w:rPr>
          <w:lang w:val="en-GB"/>
        </w:rPr>
      </w:pPr>
    </w:p>
    <w:p w14:paraId="49AA5D37" w14:textId="77777777" w:rsidR="00A25592" w:rsidRPr="009B091D" w:rsidRDefault="00A25592" w:rsidP="00A25592">
      <w:pPr>
        <w:pStyle w:val="Heading2"/>
      </w:pPr>
      <w:r>
        <w:t>Elpymis- ja palautumistukivälineen puitteissa tällä hetkellä toteutettavat parhaat käytännöt, tehokkaat politiikkatoimet ja erityisrahoitus on otettava huomioon ja sisällytettävä myös uuteen koheesiopolitiikkaan, jotta niiden soveltamista voidaan jatkaa. On varmistettava, että elpymis- ja palautumistukivälineen varoja käytetään täysin yhteensopivasti tulevan koheesiopolitiikan täytäntöönpanon kanssa ja että elpymis- ja palautumistukivälineen puitteissa jo käynnistettyjä investointeja ja ohjelmia ei keskeytetä tukivälineen rahoitukseen tehtävien muutosten vuoksi.</w:t>
      </w:r>
    </w:p>
    <w:p w14:paraId="27C6E8FD" w14:textId="77777777" w:rsidR="00A25592" w:rsidRPr="009B091D" w:rsidRDefault="00A25592" w:rsidP="00A25592">
      <w:pPr>
        <w:pStyle w:val="Heading2"/>
        <w:numPr>
          <w:ilvl w:val="0"/>
          <w:numId w:val="0"/>
        </w:numPr>
        <w:ind w:left="567" w:hanging="567"/>
        <w:rPr>
          <w:lang w:val="en-GB"/>
        </w:rPr>
      </w:pPr>
    </w:p>
    <w:p w14:paraId="14E4FBDE" w14:textId="77777777" w:rsidR="00A25592" w:rsidRPr="009B091D" w:rsidRDefault="00A25592" w:rsidP="00A25592">
      <w:pPr>
        <w:pStyle w:val="Heading2"/>
      </w:pPr>
      <w:r>
        <w:t xml:space="preserve">Koheesiopolitiikan tavoitteet on otettava paremmin huomioon talouspolitiikan eurooppalaisessa ohjausjaksossa. </w:t>
      </w:r>
    </w:p>
    <w:p w14:paraId="2F9F31D7" w14:textId="77777777" w:rsidR="00A25592" w:rsidRPr="009B091D" w:rsidRDefault="00A25592" w:rsidP="00A25592">
      <w:pPr>
        <w:pStyle w:val="Heading2"/>
        <w:numPr>
          <w:ilvl w:val="0"/>
          <w:numId w:val="0"/>
        </w:numPr>
        <w:ind w:left="567" w:hanging="567"/>
        <w:rPr>
          <w:lang w:val="en-GB"/>
        </w:rPr>
      </w:pPr>
    </w:p>
    <w:p w14:paraId="0947D5CF" w14:textId="77777777" w:rsidR="00A25592" w:rsidRPr="009B091D" w:rsidRDefault="00A25592" w:rsidP="00A25592">
      <w:pPr>
        <w:pStyle w:val="Heading2"/>
      </w:pPr>
      <w:r>
        <w:t>Monivuotisesta rahoituskehyksestä on tehtävä kaiken kaikkiaan kunnianhimoisempi, ja koheesiopolitiikalle on taattava riittävä rahoitus. Tässä tulee ottaa huomioon myös EU:n tulevat puolustusinvestointitarpeet sekä unionin jäsenvaltioiden määrän kasvu nykyisestä 27:stä. EU:n, sen taloudellisen, sosiaalisen ja alueellisen yhteenkuuluvuuden sekä sen vaurauden ja kilpailukyvyn hyväksi tehtäviin investointeihin ei riitä yksi prosentti EU:n bruttokansantulosta.</w:t>
      </w:r>
    </w:p>
    <w:p w14:paraId="23E20B5E" w14:textId="77777777" w:rsidR="00A25592" w:rsidRPr="009B091D" w:rsidRDefault="00A25592" w:rsidP="00A25592">
      <w:pPr>
        <w:pStyle w:val="Heading2"/>
        <w:numPr>
          <w:ilvl w:val="0"/>
          <w:numId w:val="0"/>
        </w:numPr>
        <w:ind w:left="567" w:hanging="567"/>
        <w:rPr>
          <w:lang w:val="en-GB"/>
        </w:rPr>
      </w:pPr>
    </w:p>
    <w:p w14:paraId="31DACC39" w14:textId="77777777" w:rsidR="00A25592" w:rsidRPr="009B091D" w:rsidRDefault="00A25592" w:rsidP="00A25592">
      <w:pPr>
        <w:pStyle w:val="Heading2"/>
      </w:pPr>
      <w:r>
        <w:t xml:space="preserve">EU:n tulevia laajentumisia silmällä pitäen on otettava huomioon tarve varmistaa riittävän rahoituksen osoittaminen seuraavalla ohjelmakaudella siihen, että uusien jäsenvaltioiden sujuva </w:t>
      </w:r>
      <w:r>
        <w:lastRenderedPageBreak/>
        <w:t>yhdentyminen unioniin pystytään takaamaan vaarantamatta nykyisiin kehittyviin alueisiin kohdistuvia investointeja.</w:t>
      </w:r>
    </w:p>
    <w:p w14:paraId="31D96D97" w14:textId="77777777" w:rsidR="00A25592" w:rsidRPr="00316392" w:rsidRDefault="00A25592" w:rsidP="00A25592">
      <w:pPr>
        <w:pStyle w:val="ListParagraph"/>
        <w:ind w:left="567" w:hanging="567"/>
      </w:pPr>
    </w:p>
    <w:p w14:paraId="7D4E0D3F" w14:textId="77777777" w:rsidR="00A25592" w:rsidRPr="009B091D" w:rsidRDefault="00A25592" w:rsidP="00A25592">
      <w:pPr>
        <w:pStyle w:val="Heading1"/>
        <w:keepNext/>
        <w:keepLines/>
        <w:rPr>
          <w:b/>
          <w:bCs/>
        </w:rPr>
      </w:pPr>
      <w:r>
        <w:rPr>
          <w:b/>
        </w:rPr>
        <w:t>Komitea sitoutuu tekemään kansalaisyhteiskunnan edustajana kaiken voitavansa koheesiopolitiikan perusperiaatteiden turvaamiseksi ja sen varmistamiseksi, että koheesiopolitiikka pysyy Eurooppaa yhdistävänä voimana.</w:t>
      </w:r>
    </w:p>
    <w:p w14:paraId="365F3075" w14:textId="77777777" w:rsidR="00A25592" w:rsidRPr="009B091D" w:rsidRDefault="00A25592" w:rsidP="00A25592">
      <w:pPr>
        <w:keepNext/>
        <w:keepLines/>
        <w:ind w:left="567" w:hanging="567"/>
        <w:rPr>
          <w:lang w:val="en-GB"/>
        </w:rPr>
      </w:pPr>
    </w:p>
    <w:p w14:paraId="7CD2DB08" w14:textId="76A97269" w:rsidR="00A25592" w:rsidRPr="009B091D" w:rsidRDefault="00A25592" w:rsidP="00A25592">
      <w:pPr>
        <w:keepNext/>
        <w:keepLines/>
      </w:pPr>
      <w:r>
        <w:t>Bryssel 11. heinäkuuta 2024</w:t>
      </w:r>
      <w:r w:rsidR="00BF09D2">
        <w:t>.</w:t>
      </w:r>
    </w:p>
    <w:p w14:paraId="4029BCA4" w14:textId="77777777" w:rsidR="00901B76" w:rsidRPr="009B091D" w:rsidRDefault="00901B76" w:rsidP="00672B2A">
      <w:pPr>
        <w:rPr>
          <w:lang w:val="en-GB"/>
        </w:rPr>
      </w:pPr>
    </w:p>
    <w:p w14:paraId="1C36A770" w14:textId="7475C779" w:rsidR="00901B76" w:rsidRDefault="00901B76" w:rsidP="00901B76">
      <w:pPr>
        <w:rPr>
          <w:lang w:val="en-GB"/>
        </w:rPr>
      </w:pPr>
    </w:p>
    <w:p w14:paraId="657269B7" w14:textId="77777777" w:rsidR="00D77A7D" w:rsidRPr="009B091D" w:rsidRDefault="00D77A7D" w:rsidP="00901B76">
      <w:pPr>
        <w:rPr>
          <w:lang w:val="en-GB"/>
        </w:rPr>
      </w:pPr>
    </w:p>
    <w:p w14:paraId="77C22E94" w14:textId="77777777" w:rsidR="00901B76" w:rsidRPr="009B091D" w:rsidRDefault="00901B76" w:rsidP="00901B76">
      <w:pPr>
        <w:rPr>
          <w:i/>
          <w:iCs/>
        </w:rPr>
      </w:pPr>
      <w:r>
        <w:rPr>
          <w:i/>
        </w:rPr>
        <w:t>Euroopan talous- ja sosiaalikomitean puheenjohtaja</w:t>
      </w:r>
    </w:p>
    <w:p w14:paraId="6F81DB20" w14:textId="77777777" w:rsidR="00901B76" w:rsidRPr="009B091D" w:rsidRDefault="00F47BD2" w:rsidP="00901B76">
      <w:r>
        <w:t>Oliver RÖPKE</w:t>
      </w:r>
    </w:p>
    <w:p w14:paraId="63C04219" w14:textId="77777777" w:rsidR="00F53370" w:rsidRPr="00316392" w:rsidRDefault="00901B76">
      <w:pPr>
        <w:jc w:val="center"/>
      </w:pPr>
      <w:r>
        <w:t>_____________</w:t>
      </w:r>
    </w:p>
    <w:sectPr w:rsidR="00F53370" w:rsidRPr="00316392" w:rsidSect="009B091D">
      <w:headerReference w:type="default" r:id="rId18"/>
      <w:footerReference w:type="default" r:id="rId19"/>
      <w:pgSz w:w="11907" w:h="16839" w:code="9"/>
      <w:pgMar w:top="1304" w:right="1418" w:bottom="1304"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B3487" w14:textId="77777777" w:rsidR="007C540D" w:rsidRDefault="007C540D" w:rsidP="00F53370">
      <w:pPr>
        <w:spacing w:line="240" w:lineRule="auto"/>
      </w:pPr>
      <w:r>
        <w:separator/>
      </w:r>
    </w:p>
  </w:endnote>
  <w:endnote w:type="continuationSeparator" w:id="0">
    <w:p w14:paraId="7A822215" w14:textId="77777777" w:rsidR="007C540D" w:rsidRDefault="007C540D"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55BD"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0853" w14:textId="64ED0E0C" w:rsidR="0084105C" w:rsidRPr="003065C9" w:rsidRDefault="00C6634B" w:rsidP="00C6634B">
    <w:pPr>
      <w:pStyle w:val="Footer"/>
      <w:jc w:val="left"/>
    </w:pPr>
    <w:r>
      <w:t xml:space="preserve">ECO/650 – EESC-2024-02528-00-00-RES-TRA (EN) </w:t>
    </w:r>
    <w:r>
      <w:fldChar w:fldCharType="begin"/>
    </w:r>
    <w:r>
      <w:instrText xml:space="preserve"> PAGE  \* Arabic  \* MERGEFORMAT </w:instrText>
    </w:r>
    <w:r>
      <w:fldChar w:fldCharType="separate"/>
    </w:r>
    <w:r>
      <w:t>1</w:t>
    </w:r>
    <w:r>
      <w:fldChar w:fldCharType="end"/>
    </w:r>
    <w:r>
      <w:t>/</w:t>
    </w:r>
    <w:r>
      <w:fldChar w:fldCharType="begin"/>
    </w:r>
    <w:r>
      <w:instrText xml:space="preserve"> = </w:instrText>
    </w:r>
    <w:r w:rsidR="00B33B5B">
      <w:fldChar w:fldCharType="begin"/>
    </w:r>
    <w:r w:rsidR="00B33B5B">
      <w:instrText xml:space="preserve"> NUMPAGES </w:instrText>
    </w:r>
    <w:r w:rsidR="00B33B5B">
      <w:fldChar w:fldCharType="separate"/>
    </w:r>
    <w:r w:rsidR="00B33B5B">
      <w:rPr>
        <w:noProof/>
      </w:rPr>
      <w:instrText>6</w:instrText>
    </w:r>
    <w:r w:rsidR="00B33B5B">
      <w:rPr>
        <w:noProof/>
      </w:rPr>
      <w:fldChar w:fldCharType="end"/>
    </w:r>
    <w:r>
      <w:instrText xml:space="preserve"> - 2 </w:instrText>
    </w:r>
    <w:r>
      <w:fldChar w:fldCharType="separate"/>
    </w:r>
    <w:r w:rsidR="00B33B5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A8B9" w14:textId="77777777" w:rsidR="007C540D" w:rsidRDefault="007C540D" w:rsidP="00F53370">
      <w:pPr>
        <w:spacing w:line="240" w:lineRule="auto"/>
      </w:pPr>
      <w:r>
        <w:separator/>
      </w:r>
    </w:p>
  </w:footnote>
  <w:footnote w:type="continuationSeparator" w:id="0">
    <w:p w14:paraId="3C0D3363" w14:textId="77777777" w:rsidR="007C540D" w:rsidRDefault="007C540D" w:rsidP="00F53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8D42" w14:textId="77777777" w:rsidR="00574C9B" w:rsidRDefault="00B33B5B">
    <w:pPr>
      <w:pStyle w:val="Header"/>
    </w:pPr>
    <w:r>
      <w:pict w14:anchorId="6FC14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3202" w14:textId="23D1CB7B" w:rsidR="00574C9B" w:rsidRDefault="00C37B80">
    <w:pPr>
      <w:pStyle w:val="Header"/>
    </w:pPr>
    <w:r>
      <w:rPr>
        <w:noProof/>
      </w:rPr>
      <w:drawing>
        <wp:anchor distT="0" distB="0" distL="114300" distR="114300" simplePos="0" relativeHeight="251661312" behindDoc="0" locked="0" layoutInCell="1" allowOverlap="1" wp14:anchorId="41AD9AAC" wp14:editId="23A957D8">
          <wp:simplePos x="898497" y="453224"/>
          <wp:positionH relativeFrom="page">
            <wp:align>center</wp:align>
          </wp:positionH>
          <wp:positionV relativeFrom="page">
            <wp:posOffset>288290</wp:posOffset>
          </wp:positionV>
          <wp:extent cx="6944360" cy="3343910"/>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rsidR="00B33B5B">
      <w:pict w14:anchorId="64B9A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1E3E" w14:textId="77777777" w:rsidR="00574C9B" w:rsidRDefault="00B33B5B">
    <w:pPr>
      <w:pStyle w:val="Header"/>
    </w:pPr>
    <w:r>
      <w:pict w14:anchorId="53D90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09C1" w14:textId="77777777" w:rsidR="00574C9B" w:rsidRDefault="00B33B5B">
    <w:pPr>
      <w:pStyle w:val="Header"/>
    </w:pPr>
    <w:r>
      <w:pict w14:anchorId="475DD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9AB9" w14:textId="77777777" w:rsidR="00574C9B" w:rsidRDefault="00B33B5B">
    <w:pPr>
      <w:pStyle w:val="Header"/>
    </w:pPr>
    <w:r>
      <w:pict w14:anchorId="76543A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DB6B66">
      <w:rPr>
        <w:noProof/>
      </w:rPr>
      <w:drawing>
        <wp:anchor distT="0" distB="0" distL="114300" distR="114300" simplePos="0" relativeHeight="251662336" behindDoc="1" locked="0" layoutInCell="1" allowOverlap="1" wp14:anchorId="1855E3AD" wp14:editId="320C11EE">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FEAA" w14:textId="77777777" w:rsidR="00574C9B" w:rsidRDefault="00B33B5B">
    <w:pPr>
      <w:pStyle w:val="Header"/>
    </w:pPr>
    <w:r>
      <w:pict w14:anchorId="1418A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B8AC" w14:textId="77777777" w:rsidR="00FA08F8" w:rsidRDefault="00B33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20389"/>
    <w:rsid w:val="00053D00"/>
    <w:rsid w:val="000A0F3B"/>
    <w:rsid w:val="00126F55"/>
    <w:rsid w:val="0019231D"/>
    <w:rsid w:val="001955B6"/>
    <w:rsid w:val="001C5167"/>
    <w:rsid w:val="001D61AC"/>
    <w:rsid w:val="001E15AA"/>
    <w:rsid w:val="001E2A9E"/>
    <w:rsid w:val="001E3FA1"/>
    <w:rsid w:val="00200E87"/>
    <w:rsid w:val="002039C3"/>
    <w:rsid w:val="00206D14"/>
    <w:rsid w:val="00214BDC"/>
    <w:rsid w:val="00215E81"/>
    <w:rsid w:val="0024727F"/>
    <w:rsid w:val="002B6A7B"/>
    <w:rsid w:val="002C5DCA"/>
    <w:rsid w:val="00316392"/>
    <w:rsid w:val="003353D7"/>
    <w:rsid w:val="003659F9"/>
    <w:rsid w:val="003D50B8"/>
    <w:rsid w:val="00401DE5"/>
    <w:rsid w:val="00442FFF"/>
    <w:rsid w:val="00481540"/>
    <w:rsid w:val="004871B8"/>
    <w:rsid w:val="004B478F"/>
    <w:rsid w:val="005127DA"/>
    <w:rsid w:val="00574C9B"/>
    <w:rsid w:val="0058411F"/>
    <w:rsid w:val="005961A4"/>
    <w:rsid w:val="005D6656"/>
    <w:rsid w:val="005F19D0"/>
    <w:rsid w:val="006125A1"/>
    <w:rsid w:val="00653E7D"/>
    <w:rsid w:val="00662207"/>
    <w:rsid w:val="00667F09"/>
    <w:rsid w:val="00672B2A"/>
    <w:rsid w:val="006B57A6"/>
    <w:rsid w:val="006D40F9"/>
    <w:rsid w:val="006D53A6"/>
    <w:rsid w:val="00787837"/>
    <w:rsid w:val="00787ABB"/>
    <w:rsid w:val="007B6C64"/>
    <w:rsid w:val="007C540D"/>
    <w:rsid w:val="00822952"/>
    <w:rsid w:val="00836505"/>
    <w:rsid w:val="00844B87"/>
    <w:rsid w:val="0089251B"/>
    <w:rsid w:val="008A6DD4"/>
    <w:rsid w:val="008F74D7"/>
    <w:rsid w:val="00901B76"/>
    <w:rsid w:val="00904C42"/>
    <w:rsid w:val="00914683"/>
    <w:rsid w:val="00924C05"/>
    <w:rsid w:val="00937CF2"/>
    <w:rsid w:val="00976645"/>
    <w:rsid w:val="00976F77"/>
    <w:rsid w:val="0098228C"/>
    <w:rsid w:val="009A03EB"/>
    <w:rsid w:val="009B091D"/>
    <w:rsid w:val="009E2100"/>
    <w:rsid w:val="00A15C10"/>
    <w:rsid w:val="00A25592"/>
    <w:rsid w:val="00A310E1"/>
    <w:rsid w:val="00A36AB0"/>
    <w:rsid w:val="00AB37A3"/>
    <w:rsid w:val="00AC5114"/>
    <w:rsid w:val="00AF5F43"/>
    <w:rsid w:val="00B022DD"/>
    <w:rsid w:val="00B25683"/>
    <w:rsid w:val="00B33B5B"/>
    <w:rsid w:val="00B51901"/>
    <w:rsid w:val="00BD50F6"/>
    <w:rsid w:val="00BF09D2"/>
    <w:rsid w:val="00C073E1"/>
    <w:rsid w:val="00C25647"/>
    <w:rsid w:val="00C37B80"/>
    <w:rsid w:val="00C6634B"/>
    <w:rsid w:val="00C6695F"/>
    <w:rsid w:val="00C66AEA"/>
    <w:rsid w:val="00C9040A"/>
    <w:rsid w:val="00C91E4D"/>
    <w:rsid w:val="00C97300"/>
    <w:rsid w:val="00CB110A"/>
    <w:rsid w:val="00CB7CD0"/>
    <w:rsid w:val="00CE4363"/>
    <w:rsid w:val="00D039AF"/>
    <w:rsid w:val="00D4086D"/>
    <w:rsid w:val="00D77A7D"/>
    <w:rsid w:val="00D95232"/>
    <w:rsid w:val="00DA1320"/>
    <w:rsid w:val="00DB6B66"/>
    <w:rsid w:val="00DB7F50"/>
    <w:rsid w:val="00DE30C7"/>
    <w:rsid w:val="00DF400F"/>
    <w:rsid w:val="00DF7334"/>
    <w:rsid w:val="00E15BF4"/>
    <w:rsid w:val="00E2376B"/>
    <w:rsid w:val="00E26935"/>
    <w:rsid w:val="00E27707"/>
    <w:rsid w:val="00E52B04"/>
    <w:rsid w:val="00E661B7"/>
    <w:rsid w:val="00E82B64"/>
    <w:rsid w:val="00EC315D"/>
    <w:rsid w:val="00F10276"/>
    <w:rsid w:val="00F2069F"/>
    <w:rsid w:val="00F43068"/>
    <w:rsid w:val="00F47BD2"/>
    <w:rsid w:val="00F53370"/>
    <w:rsid w:val="00F61CC6"/>
    <w:rsid w:val="00F90BE2"/>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0640941B"/>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uiPriority w:val="34"/>
    <w:qFormat/>
    <w:rsid w:val="00A25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F7M6YNZUATRX-789077548-2841</_dlc_DocId>
    <_dlc_DocIdUrl xmlns="59ace41b-6786-4ce3-be71-52c27066c6ef">
      <Url>http://dm/eesc/2024/_layouts/15/DocIdRedir.aspx?ID=F7M6YNZUATRX-789077548-2841</Url>
      <Description>F7M6YNZUATRX-789077548-2841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RES</TermName>
          <TermId xmlns="http://schemas.microsoft.com/office/infopath/2007/PartnerControls">9e3e62eb-6858-4bc7-8a50-3453e395fd01</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2024-07-12T12:00:00+00:00</ProductionDate>
    <DocumentNumber xmlns="36007a90-28ab-40da-967b-595e4ec83007">2528</DocumentNumber>
    <FicheYear xmlns="59ace41b-6786-4ce3-be71-52c27066c6ef" xsi:nil="true"/>
    <DossierNumber xmlns="59ace41b-6786-4ce3-be71-52c27066c6ef">650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162</Value>
      <Value>66</Value>
      <Value>43</Value>
      <Value>37</Value>
      <Value>36</Value>
      <Value>35</Value>
      <Value>34</Value>
      <Value>33</Value>
      <Value>32</Value>
      <Value>31</Value>
      <Value>30</Value>
      <Value>29</Value>
      <Value>28</Value>
      <Value>27</Value>
      <Value>26</Value>
      <Value>25</Value>
      <Value>24</Value>
      <Value>23</Value>
      <Value>22</Value>
      <Value>21</Value>
      <Value>17</Value>
      <Value>16</Value>
      <Value>14</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Rapporteur xmlns="59ace41b-6786-4ce3-be71-52c27066c6ef">VARDAKASTANIS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7051</FicheNumber>
    <OriginalSender xmlns="59ace41b-6786-4ce3-be71-52c27066c6ef">
      <UserInfo>
        <DisplayName>Venalainen Eeva</DisplayName>
        <AccountId>1567</AccountId>
        <AccountType/>
      </UserInfo>
    </OriginalSender>
    <DocumentPart xmlns="59ace41b-6786-4ce3-be71-52c27066c6ef">0</DocumentPart>
    <AdoptionDate xmlns="59ace41b-6786-4ce3-be71-52c27066c6ef">2024-07-10T12:00:00+00:00</AdoptionDate>
    <RequestingService xmlns="59ace41b-6786-4ce3-be71-52c27066c6ef">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9ace41b-6786-4ce3-be71-52c27066c6ef">0</DocumentVer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ADE0DB-123C-4C5A-8D63-AA0AE1A4A401}">
  <ds:schemaRefs>
    <ds:schemaRef ds:uri="http://schemas.microsoft.com/sharepoint/v3/contenttype/forms"/>
  </ds:schemaRefs>
</ds:datastoreItem>
</file>

<file path=customXml/itemProps2.xml><?xml version="1.0" encoding="utf-8"?>
<ds:datastoreItem xmlns:ds="http://schemas.openxmlformats.org/officeDocument/2006/customXml" ds:itemID="{9E2B87B4-3D09-426D-A2A1-93B9CB486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36007a90-28ab-40da-967b-595e4ec83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1A7A5-9016-4D86-BEA4-37C5D85A6849}">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36007a90-28ab-40da-967b-595e4ec83007"/>
  </ds:schemaRefs>
</ds:datastoreItem>
</file>

<file path=customXml/itemProps4.xml><?xml version="1.0" encoding="utf-8"?>
<ds:datastoreItem xmlns:ds="http://schemas.openxmlformats.org/officeDocument/2006/customXml" ds:itemID="{173F6EFE-15D0-4C24-AC22-DE0B1AFDEC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1523</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ECO/650 - Ketään ei saa jättää jälkeen. Kattava ja osallistava koheesiopolitiikka sosiaalisen, taloudellisen ja alueellisen yhteenkuuluvuuden tukemiseksi</dc:title>
  <dc:subject>RES</dc:subject>
  <dc:creator>Francois Aude</dc:creator>
  <cp:keywords>EESC-2024-02528-00-00-RES-TRA-EN</cp:keywords>
  <dc:description>Rapporteur: VARDAKASTANIS - Original language: EN - Date of document: 12/07/2024 - Date of meeting:  - External documents:  - Administrator:  MELEAS Georgios</dc:description>
  <cp:lastModifiedBy>Zaccheddu Raffaella</cp:lastModifiedBy>
  <cp:revision>2</cp:revision>
  <dcterms:created xsi:type="dcterms:W3CDTF">2024-07-16T07:43:00Z</dcterms:created>
  <dcterms:modified xsi:type="dcterms:W3CDTF">2024-07-16T07:43:00Z</dcterms:modified>
  <cp:category>ECO/650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11/07/2024, 11/07/2024, 12/04/2024, 17/05/2022</vt:lpwstr>
  </property>
  <property fmtid="{D5CDD505-2E9C-101B-9397-08002B2CF9AE}" pid="4" name="Pref_Time">
    <vt:lpwstr>14:38:50, 13:29:52, 12:01:57, 14:58:36</vt:lpwstr>
  </property>
  <property fmtid="{D5CDD505-2E9C-101B-9397-08002B2CF9AE}" pid="5" name="Pref_User">
    <vt:lpwstr>amett, amett, enied, enied</vt:lpwstr>
  </property>
  <property fmtid="{D5CDD505-2E9C-101B-9397-08002B2CF9AE}" pid="6" name="Pref_FileName">
    <vt:lpwstr>EESC-2024-02528-00-00-RES-TRA-EN-CRR.docx, eesc-2024-02528-00-00-res-ori (1).docx, COR-EESC-2024-01326-16-00-ADMIN-ORI.docx, COR-EESC-2022-02592-00-00-ADMIN-ORI.docx</vt:lpwstr>
  </property>
  <property fmtid="{D5CDD505-2E9C-101B-9397-08002B2CF9AE}" pid="7" name="ContentTypeId">
    <vt:lpwstr>0x010100EA97B91038054C99906057A708A1480A00C9C698F2971CE54890F427AFE3EB568F</vt:lpwstr>
  </property>
  <property fmtid="{D5CDD505-2E9C-101B-9397-08002B2CF9AE}" pid="8" name="_dlc_DocIdItemGuid">
    <vt:lpwstr>1b32401d-7a36-401e-80bd-0dfc77d5c304</vt:lpwstr>
  </property>
  <property fmtid="{D5CDD505-2E9C-101B-9397-08002B2CF9AE}" pid="9" name="AvailableTranslations">
    <vt:lpwstr>43;#CS|72f9705b-0217-4fd3-bea2-cbc7ed80e26e;#32;#HU|6b229040-c589-4408-b4c1-4285663d20a8;#35;#FI|87606a43-d45f-42d6-b8c9-e1a3457db5b7;#16;#DA|5d49c027-8956-412b-aa16-e85a0f96ad0e;#25;#DE|f6b31e5a-26fa-4935-b661-318e46daf27e;#28;#LV|46f7e311-5d9f-4663-b433-18aeccb7ace7;#30;#HR|2f555653-ed1a-4fe6-8362-9082d95989e5;#26;#SK|46d9fce0-ef79-4f71-b89b-cd6aa82426b8;#37;#RO|feb747a2-64cd-4299-af12-4833ddc30497;#27;#SL|98a412ae-eb01-49e9-ae3d-585a81724cfc;#17;#PL|1e03da61-4678-4e07-b136-b5024ca9197b;#22;#BG|1a1b3951-7821-4e6a-85f5-5673fc08bd2c;#31;#NL|55c6556c-b4f4-441d-9acf-c498d4f838bd;#34;#LT|a7ff5ce7-6123-4f68-865a-a57c31810414;#24;#ES|e7a6b05b-ae16-40c8-add9-68b64b03aeba;#21;#SV|c2ed69e7-a339-43d7-8f22-d93680a92aa0;#23;#MT|7df99101-6854-4a26-b53a-b88c0da02c26;#14;#FR|d2afafd3-4c81-4f60-8f52-ee33f2f54ff3;#5;#EN|f2175f21-25d7-44a3-96da-d6a61b075e1b;#36;#PT|50ccc04a-eadd-42ae-a0cb-acaf45f812ba;#29;#EL|6d4f4d51-af9b-4650-94b4-4276bee85c91;#33;#ET|ff6c3f4c-b02c-4c3c-ab07-2c37995a7a0a;#12;#IT|0774613c-01ed-4e5d-a25d-11d2388de825</vt:lpwstr>
  </property>
  <property fmtid="{D5CDD505-2E9C-101B-9397-08002B2CF9AE}" pid="10" name="DocumentType_0">
    <vt:lpwstr>RES|9e3e62eb-6858-4bc7-8a50-3453e395fd01</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2528</vt:i4>
  </property>
  <property fmtid="{D5CDD505-2E9C-101B-9397-08002B2CF9AE}" pid="14" name="DocumentVersion">
    <vt:i4>0</vt:i4>
  </property>
  <property fmtid="{D5CDD505-2E9C-101B-9397-08002B2CF9AE}" pid="15" name="DossierNumber">
    <vt:i4>650</vt:i4>
  </property>
  <property fmtid="{D5CDD505-2E9C-101B-9397-08002B2CF9AE}" pid="16" name="DocumentStatus">
    <vt:lpwstr>3;#TRA|150d2a88-1431-44e6-a8ca-0bb753ab8672</vt:lpwstr>
  </property>
  <property fmtid="{D5CDD505-2E9C-101B-9397-08002B2CF9AE}" pid="17" name="DossierName">
    <vt:lpwstr>66;#ECO|8df351f5-c957-404c-8cf3-8ffb22c9cba2</vt:lpwstr>
  </property>
  <property fmtid="{D5CDD505-2E9C-101B-9397-08002B2CF9AE}" pid="18" name="RequestingService">
    <vt:lpwstr>Union économique et monétaire et cohésion économique et sociale</vt:lpwstr>
  </property>
  <property fmtid="{D5CDD505-2E9C-101B-9397-08002B2CF9AE}" pid="19" name="Confidentiality">
    <vt:lpwstr>6;#Unrestricted|826e22d7-d029-4ec0-a450-0c28ff673572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4" name="AvailableTranslations_0">
    <vt:lpwstr>CS|72f9705b-0217-4fd3-bea2-cbc7ed80e26e;HU|6b229040-c589-4408-b4c1-4285663d20a8;DA|5d49c027-8956-412b-aa16-e85a0f96ad0e;DE|f6b31e5a-26fa-4935-b661-318e46daf27e;LV|46f7e311-5d9f-4663-b433-18aeccb7ace7;SL|98a412ae-eb01-49e9-ae3d-585a81724cfc;PL|1e03da61-4678-4e07-b136-b5024ca9197b;BG|1a1b3951-7821-4e6a-85f5-5673fc08bd2c;NL|55c6556c-b4f4-441d-9acf-c498d4f838bd;LT|a7ff5ce7-6123-4f68-865a-a57c31810414;SV|c2ed69e7-a339-43d7-8f22-d93680a92aa0;MT|7df99101-6854-4a26-b53a-b88c0da02c26;FR|d2afafd3-4c81-4f60-8f52-ee33f2f54ff3;EN|f2175f21-25d7-44a3-96da-d6a61b075e1b;PT|50ccc04a-eadd-42ae-a0cb-acaf45f812ba;EL|6d4f4d51-af9b-4650-94b4-4276bee85c91;IT|0774613c-01ed-4e5d-a25d-11d2388de825</vt:lpwstr>
  </property>
  <property fmtid="{D5CDD505-2E9C-101B-9397-08002B2CF9AE}" pid="25" name="DocumentStatus_0">
    <vt:lpwstr>TRA|150d2a88-1431-44e6-a8ca-0bb753ab8672</vt:lpwstr>
  </property>
  <property fmtid="{D5CDD505-2E9C-101B-9397-08002B2CF9AE}" pid="26" name="OriginalLanguage_0">
    <vt:lpwstr>EN|f2175f21-25d7-44a3-96da-d6a61b075e1b</vt:lpwstr>
  </property>
  <property fmtid="{D5CDD505-2E9C-101B-9397-08002B2CF9AE}" pid="27" name="TaxCatchAll">
    <vt:lpwstr>14;#FR|d2afafd3-4c81-4f60-8f52-ee33f2f54ff3;#34;#LT|a7ff5ce7-6123-4f68-865a-a57c31810414;#32;#HU|6b229040-c589-4408-b4c1-4285663d20a8;#31;#NL|55c6556c-b4f4-441d-9acf-c498d4f838bd;#66;#ECO|8df351f5-c957-404c-8cf3-8ffb22c9cba2;#28;#LV|46f7e311-5d9f-4663-b433-18aeccb7ace7;#27;#SL|98a412ae-eb01-49e9-ae3d-585a81724cfc;#25;#DE|f6b31e5a-26fa-4935-b661-318e46daf27e;#23;#MT|7df99101-6854-4a26-b53a-b88c0da02c26;#22;#BG|1a1b3951-7821-4e6a-85f5-5673fc08bd2c;#21;#SV|c2ed69e7-a339-43d7-8f22-d93680a92aa0;#29;#EL|6d4f4d51-af9b-4650-94b4-4276bee85c91;#17;#PL|1e03da61-4678-4e07-b136-b5024ca9197b;#16;#DA|5d49c027-8956-412b-aa16-e85a0f96ad0e;#162;#RES|9e3e62eb-6858-4bc7-8a50-3453e395fd01;#12;#IT|0774613c-01ed-4e5d-a25d-11d2388de825;#8;#Final|ea5e6674-7b27-4bac-b091-73adbb394efe;#43;#CS|72f9705b-0217-4fd3-bea2-cbc7ed80e26e;#5;#EN|f2175f21-25d7-44a3-96da-d6a61b075e1b;#3;#TRA|150d2a88-1431-44e6-a8ca-0bb753ab8672;#36;#PT|50ccc04a-eadd-42ae-a0cb-acaf45f812ba;#1;#EESC|422833ec-8d7e-4e65-8e4e-8bed07ffb729;#6;#Unrestricted|826e22d7-d029-4ec0-a450-0c28ff673572</vt:lpwstr>
  </property>
  <property fmtid="{D5CDD505-2E9C-101B-9397-08002B2CF9AE}" pid="28" name="Rapporteur">
    <vt:lpwstr>VARDAKASTANIS</vt:lpwstr>
  </property>
  <property fmtid="{D5CDD505-2E9C-101B-9397-08002B2CF9AE}" pid="29" name="VersionStatus_0">
    <vt:lpwstr>Final|ea5e6674-7b27-4bac-b091-73adbb394efe</vt:lpwstr>
  </property>
  <property fmtid="{D5CDD505-2E9C-101B-9397-08002B2CF9AE}" pid="30" name="VersionStatus">
    <vt:lpwstr>8;#Final|ea5e6674-7b27-4bac-b091-73adbb394efe</vt:lpwstr>
  </property>
  <property fmtid="{D5CDD505-2E9C-101B-9397-08002B2CF9AE}" pid="31" name="DocumentYear">
    <vt:i4>2024</vt:i4>
  </property>
  <property fmtid="{D5CDD505-2E9C-101B-9397-08002B2CF9AE}" pid="32" name="FicheNumber">
    <vt:i4>7051</vt:i4>
  </property>
  <property fmtid="{D5CDD505-2E9C-101B-9397-08002B2CF9AE}" pid="33" name="DocumentPart">
    <vt:i4>0</vt:i4>
  </property>
  <property fmtid="{D5CDD505-2E9C-101B-9397-08002B2CF9AE}" pid="34" name="DocumentSource">
    <vt:lpwstr>1;#EESC|422833ec-8d7e-4e65-8e4e-8bed07ffb729</vt:lpwstr>
  </property>
  <property fmtid="{D5CDD505-2E9C-101B-9397-08002B2CF9AE}" pid="35" name="AdoptionDate">
    <vt:filetime>2024-07-10T12:00:00Z</vt:filetime>
  </property>
  <property fmtid="{D5CDD505-2E9C-101B-9397-08002B2CF9AE}" pid="36" name="DocumentType">
    <vt:lpwstr>162;#RES|9e3e62eb-6858-4bc7-8a50-3453e395fd01</vt:lpwstr>
  </property>
  <property fmtid="{D5CDD505-2E9C-101B-9397-08002B2CF9AE}" pid="37" name="DocumentLanguage">
    <vt:lpwstr>35;#FI|87606a43-d45f-42d6-b8c9-e1a3457db5b7</vt:lpwstr>
  </property>
</Properties>
</file>