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9"/>
      </w:tblGrid>
      <w:tr w:rsidR="008B1A53" w14:paraId="2067D91E" w14:textId="77777777">
        <w:trPr>
          <w:jc w:val="center"/>
        </w:trPr>
        <w:tc>
          <w:tcPr>
            <w:tcW w:w="5000" w:type="pct"/>
            <w:vAlign w:val="center"/>
          </w:tcPr>
          <w:p w14:paraId="4EB211F6" w14:textId="77777777" w:rsidR="00901B76" w:rsidRPr="00316392" w:rsidRDefault="00901B76" w:rsidP="0095280D">
            <w:pPr>
              <w:jc w:val="center"/>
              <w:rPr>
                <w:b/>
                <w:sz w:val="72"/>
                <w:szCs w:val="72"/>
              </w:rPr>
            </w:pPr>
            <w:r>
              <w:rPr>
                <w:b/>
                <w:sz w:val="72"/>
              </w:rPr>
              <w:t>РЕЗОЛЮЦИЯ</w:t>
            </w:r>
          </w:p>
        </w:tc>
      </w:tr>
      <w:tr w:rsidR="008B1A53" w14:paraId="06B7A3AC" w14:textId="77777777">
        <w:trPr>
          <w:trHeight w:val="567"/>
          <w:jc w:val="center"/>
        </w:trPr>
        <w:tc>
          <w:tcPr>
            <w:tcW w:w="5000" w:type="pct"/>
            <w:vAlign w:val="center"/>
          </w:tcPr>
          <w:p w14:paraId="4B012A11" w14:textId="77777777" w:rsidR="00901B76" w:rsidRPr="00316392" w:rsidRDefault="00901B76" w:rsidP="0095280D">
            <w:pPr>
              <w:jc w:val="center"/>
              <w:rPr>
                <w:sz w:val="24"/>
                <w:szCs w:val="24"/>
              </w:rPr>
            </w:pPr>
            <w:r>
              <w:rPr>
                <w:sz w:val="24"/>
              </w:rPr>
              <w:t>Европейски икономически и социален комитет</w:t>
            </w:r>
          </w:p>
        </w:tc>
      </w:tr>
      <w:tr w:rsidR="008B1A53" w14:paraId="5F0877EB" w14:textId="77777777">
        <w:trPr>
          <w:jc w:val="center"/>
        </w:trPr>
        <w:tc>
          <w:tcPr>
            <w:tcW w:w="5000" w:type="pct"/>
            <w:vAlign w:val="center"/>
          </w:tcPr>
          <w:p w14:paraId="4E0EBAA0" w14:textId="77777777" w:rsidR="005127DA" w:rsidRPr="00316392" w:rsidRDefault="005127DA" w:rsidP="005127DA">
            <w:pPr>
              <w:jc w:val="center"/>
              <w:rPr>
                <w:b/>
                <w:sz w:val="44"/>
                <w:szCs w:val="44"/>
              </w:rPr>
            </w:pPr>
            <w:r>
              <w:rPr>
                <w:b/>
                <w:sz w:val="44"/>
              </w:rPr>
              <w:t>Никой да не се пренебрегва!</w:t>
            </w:r>
          </w:p>
          <w:p w14:paraId="261A6E5C" w14:textId="77777777" w:rsidR="00901B76" w:rsidRPr="00316392" w:rsidRDefault="005127DA" w:rsidP="005127DA">
            <w:pPr>
              <w:jc w:val="center"/>
              <w:rPr>
                <w:b/>
                <w:sz w:val="44"/>
                <w:szCs w:val="44"/>
              </w:rPr>
            </w:pPr>
            <w:r>
              <w:rPr>
                <w:b/>
                <w:sz w:val="44"/>
              </w:rPr>
              <w:t>За приобщаваща и основана на участието политика на сближаване в подкрепа на социалното, икономическото и териториалното сближаване</w:t>
            </w:r>
          </w:p>
        </w:tc>
      </w:tr>
      <w:tr w:rsidR="008B1A53" w14:paraId="44524822" w14:textId="77777777">
        <w:trPr>
          <w:jc w:val="center"/>
        </w:trPr>
        <w:tc>
          <w:tcPr>
            <w:tcW w:w="5000" w:type="pct"/>
            <w:vAlign w:val="center"/>
          </w:tcPr>
          <w:p w14:paraId="62ED4A8F" w14:textId="77777777" w:rsidR="00901B76" w:rsidRPr="00316392" w:rsidRDefault="00901B76" w:rsidP="0095280D">
            <w:pPr>
              <w:jc w:val="center"/>
              <w:rPr>
                <w:sz w:val="24"/>
                <w:szCs w:val="24"/>
                <w:lang w:val="en-GB"/>
              </w:rPr>
            </w:pPr>
          </w:p>
        </w:tc>
      </w:tr>
      <w:tr w:rsidR="008B1A53" w14:paraId="384D0432" w14:textId="77777777">
        <w:trPr>
          <w:jc w:val="center"/>
        </w:trPr>
        <w:tc>
          <w:tcPr>
            <w:tcW w:w="5000" w:type="pct"/>
            <w:vAlign w:val="center"/>
          </w:tcPr>
          <w:p w14:paraId="23A627AE" w14:textId="77777777" w:rsidR="00901B76" w:rsidRPr="00316392" w:rsidRDefault="00901B76" w:rsidP="0095280D">
            <w:pPr>
              <w:overflowPunct w:val="0"/>
              <w:autoSpaceDE w:val="0"/>
              <w:autoSpaceDN w:val="0"/>
              <w:adjustRightInd w:val="0"/>
              <w:jc w:val="center"/>
              <w:textAlignment w:val="baseline"/>
              <w:rPr>
                <w:b/>
                <w:position w:val="24"/>
                <w:sz w:val="24"/>
                <w:szCs w:val="24"/>
              </w:rPr>
            </w:pPr>
            <w:r>
              <w:rPr>
                <w:sz w:val="24"/>
              </w:rPr>
              <w:t>_____________</w:t>
            </w:r>
          </w:p>
        </w:tc>
      </w:tr>
      <w:tr w:rsidR="008B1A53" w14:paraId="00ED6B0F" w14:textId="77777777">
        <w:trPr>
          <w:jc w:val="center"/>
        </w:trPr>
        <w:tc>
          <w:tcPr>
            <w:tcW w:w="5000" w:type="pct"/>
            <w:vAlign w:val="center"/>
          </w:tcPr>
          <w:p w14:paraId="7DA6BEAA" w14:textId="77777777" w:rsidR="00901B76" w:rsidRPr="00316392" w:rsidRDefault="00901B76" w:rsidP="0095280D">
            <w:pPr>
              <w:jc w:val="center"/>
              <w:rPr>
                <w:sz w:val="24"/>
                <w:szCs w:val="24"/>
                <w:lang w:val="en-GB"/>
              </w:rPr>
            </w:pPr>
          </w:p>
        </w:tc>
      </w:tr>
      <w:tr w:rsidR="008B1A53" w14:paraId="7F933B86" w14:textId="77777777">
        <w:trPr>
          <w:jc w:val="center"/>
        </w:trPr>
        <w:tc>
          <w:tcPr>
            <w:tcW w:w="5000" w:type="pct"/>
            <w:vAlign w:val="center"/>
          </w:tcPr>
          <w:p w14:paraId="2F30D61F" w14:textId="77777777" w:rsidR="00901B76" w:rsidRPr="00316392" w:rsidRDefault="00901B76" w:rsidP="0095280D">
            <w:pPr>
              <w:jc w:val="center"/>
              <w:rPr>
                <w:b/>
                <w:sz w:val="24"/>
                <w:szCs w:val="24"/>
              </w:rPr>
            </w:pPr>
            <w:r>
              <w:rPr>
                <w:sz w:val="24"/>
              </w:rPr>
              <w:t xml:space="preserve">Докладчик: </w:t>
            </w:r>
            <w:r>
              <w:rPr>
                <w:b/>
                <w:sz w:val="24"/>
              </w:rPr>
              <w:t>Ioannis VARDAKASTANIS</w:t>
            </w:r>
          </w:p>
        </w:tc>
      </w:tr>
    </w:tbl>
    <w:p w14:paraId="4E5F8E55" w14:textId="77777777" w:rsidR="00574C9B" w:rsidRPr="00316392" w:rsidRDefault="00574C9B" w:rsidP="00574C9B">
      <w:r>
        <w:rPr>
          <w:noProof/>
          <w:sz w:val="20"/>
        </w:rPr>
        <mc:AlternateContent>
          <mc:Choice Requires="wps">
            <w:drawing>
              <wp:anchor distT="0" distB="0" distL="114300" distR="114300" simplePos="0" relativeHeight="251659264" behindDoc="1" locked="0" layoutInCell="0" allowOverlap="1" wp14:anchorId="25E587D3" wp14:editId="719879AC">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EF054" w14:textId="77777777" w:rsidR="00574C9B" w:rsidRDefault="00574C9B" w:rsidP="00574C9B">
                            <w:pPr>
                              <w:jc w:val="center"/>
                            </w:pPr>
                            <w:r>
                              <w:rPr>
                                <w:rFonts w:ascii="Arial" w:hAnsi="Arial"/>
                                <w:b/>
                                <w:sz w:val="48"/>
                              </w:rPr>
                              <w:t>BG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E587D3" id="_x0000_t202" coordsize="21600,21600" o:spt="202" path="m,l,21600r21600,l21600,xe">
                <v:stroke joinstyle="miter"/>
                <v:path gradientshapeok="t" o:connecttype="rect"/>
              </v:shapetype>
              <v:shape id="Text Box 17" o:spid="_x0000_s1026" type="#_x0000_t202" style="position:absolute;left:0;text-align:left;margin-left:-15.9pt;margin-top:747pt;width:58.4pt;height:34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" o:allowincell="f" filled="f" stroked="f">
                <v:textbox>
                  <w:txbxContent>
                    <w:p w14:paraId="2E3EF054" w14:textId="77777777" w:rsidR="00574C9B" w:rsidRDefault="00574C9B" w:rsidP="00574C9B">
                      <w:pPr>
                        <w:jc w:val="center"/>
                      </w:pPr>
                      <w:r>
                        <w:rPr>
                          <w:rFonts w:ascii="Arial" w:hAnsi="Arial"/>
                          <w:b/>
                          <w:sz w:val="48"/>
                        </w:rPr>
                        <w:t>BG</w:t>
                      </w:r>
                    </w:p>
                  </w:txbxContent>
                </v:textbox>
                <w10:wrap anchorx="margin" anchory="page"/>
              </v:shape>
            </w:pict>
          </mc:Fallback>
        </mc:AlternateContent>
      </w:r>
    </w:p>
    <w:p w14:paraId="42E444D8" w14:textId="77777777" w:rsidR="00574C9B" w:rsidRPr="00316392" w:rsidRDefault="00574C9B" w:rsidP="00574C9B">
      <w:pPr>
        <w:rPr>
          <w:lang w:val="en-GB"/>
        </w:rPr>
      </w:pPr>
    </w:p>
    <w:p w14:paraId="4A31F6DF" w14:textId="77777777" w:rsidR="00574C9B" w:rsidRPr="00316392" w:rsidRDefault="00574C9B" w:rsidP="00574C9B">
      <w:pPr>
        <w:rPr>
          <w:lang w:val="en-GB"/>
        </w:rPr>
        <w:sectPr w:rsidR="00574C9B" w:rsidRPr="00316392" w:rsidSect="00C6634B">
          <w:headerReference w:type="even" r:id="rId11"/>
          <w:headerReference w:type="default" r:id="rId12"/>
          <w:footerReference w:type="even" r:id="rId13"/>
          <w:footerReference w:type="default" r:id="rId14"/>
          <w:headerReference w:type="first" r:id="rId15"/>
          <w:footerReference w:type="first" r:id="rId16"/>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8B1A53" w14:paraId="13E9BDE3" w14:textId="77777777">
        <w:tc>
          <w:tcPr>
            <w:tcW w:w="3085" w:type="dxa"/>
          </w:tcPr>
          <w:p w14:paraId="79D8B222" w14:textId="77777777" w:rsidR="00901B76" w:rsidRPr="00316392" w:rsidRDefault="00901B76" w:rsidP="00901B76">
            <w:pPr>
              <w:autoSpaceDE w:val="0"/>
              <w:autoSpaceDN w:val="0"/>
              <w:jc w:val="left"/>
              <w:rPr>
                <w:szCs w:val="20"/>
              </w:rPr>
            </w:pPr>
            <w:r>
              <w:lastRenderedPageBreak/>
              <w:t>Правно основание</w:t>
            </w:r>
          </w:p>
        </w:tc>
        <w:tc>
          <w:tcPr>
            <w:tcW w:w="6204" w:type="dxa"/>
            <w:vAlign w:val="bottom"/>
          </w:tcPr>
          <w:p w14:paraId="0936BC7D" w14:textId="77777777" w:rsidR="00901B76" w:rsidRPr="00316392" w:rsidRDefault="00901B76" w:rsidP="00901B76">
            <w:pPr>
              <w:autoSpaceDE w:val="0"/>
              <w:autoSpaceDN w:val="0"/>
              <w:jc w:val="left"/>
            </w:pPr>
            <w:r>
              <w:t>Член 52, параграф 4 от Правилника за дейността</w:t>
            </w:r>
          </w:p>
        </w:tc>
      </w:tr>
      <w:tr w:rsidR="008B1A53" w14:paraId="04C4C226" w14:textId="77777777">
        <w:tc>
          <w:tcPr>
            <w:tcW w:w="3085" w:type="dxa"/>
          </w:tcPr>
          <w:p w14:paraId="092662F8" w14:textId="77777777" w:rsidR="00901B76" w:rsidRPr="00316392" w:rsidRDefault="00901B76" w:rsidP="00901B76">
            <w:pPr>
              <w:autoSpaceDE w:val="0"/>
              <w:autoSpaceDN w:val="0"/>
              <w:jc w:val="left"/>
            </w:pPr>
            <w:r>
              <w:t>Приемане на пленарна сесия</w:t>
            </w:r>
          </w:p>
        </w:tc>
        <w:tc>
          <w:tcPr>
            <w:tcW w:w="6204" w:type="dxa"/>
            <w:vAlign w:val="bottom"/>
          </w:tcPr>
          <w:p w14:paraId="20AF6BBC" w14:textId="77777777" w:rsidR="00901B76" w:rsidRPr="00316392" w:rsidRDefault="005127DA" w:rsidP="00901B76">
            <w:pPr>
              <w:autoSpaceDE w:val="0"/>
              <w:autoSpaceDN w:val="0"/>
              <w:jc w:val="left"/>
            </w:pPr>
            <w:r>
              <w:t>11.7.2024 г.</w:t>
            </w:r>
          </w:p>
        </w:tc>
      </w:tr>
      <w:tr w:rsidR="008B1A53" w14:paraId="3CABBE98" w14:textId="77777777">
        <w:tc>
          <w:tcPr>
            <w:tcW w:w="3085" w:type="dxa"/>
          </w:tcPr>
          <w:p w14:paraId="0B58DDC9" w14:textId="77777777" w:rsidR="00901B76" w:rsidRPr="00316392" w:rsidRDefault="00901B76" w:rsidP="00901B76">
            <w:pPr>
              <w:autoSpaceDE w:val="0"/>
              <w:autoSpaceDN w:val="0"/>
              <w:jc w:val="left"/>
            </w:pPr>
            <w:r>
              <w:t>Пленарна сесия №</w:t>
            </w:r>
          </w:p>
        </w:tc>
        <w:tc>
          <w:tcPr>
            <w:tcW w:w="6204" w:type="dxa"/>
            <w:vAlign w:val="bottom"/>
          </w:tcPr>
          <w:p w14:paraId="6B41216A" w14:textId="77777777" w:rsidR="00901B76" w:rsidRPr="00316392" w:rsidRDefault="005127DA" w:rsidP="00901B76">
            <w:pPr>
              <w:autoSpaceDE w:val="0"/>
              <w:autoSpaceDN w:val="0"/>
              <w:jc w:val="left"/>
            </w:pPr>
            <w:r>
              <w:t>589</w:t>
            </w:r>
          </w:p>
        </w:tc>
      </w:tr>
      <w:tr w:rsidR="008B1A53" w14:paraId="73D4BA6B" w14:textId="77777777">
        <w:tc>
          <w:tcPr>
            <w:tcW w:w="3085" w:type="dxa"/>
          </w:tcPr>
          <w:p w14:paraId="23BB9407" w14:textId="77777777" w:rsidR="00901B76" w:rsidRPr="00316392" w:rsidRDefault="00901B76" w:rsidP="00901B76">
            <w:pPr>
              <w:autoSpaceDE w:val="0"/>
              <w:autoSpaceDN w:val="0"/>
              <w:jc w:val="left"/>
            </w:pPr>
            <w:r>
              <w:t>Резултат от гласуването</w:t>
            </w:r>
            <w:r>
              <w:cr/>
            </w:r>
            <w:r>
              <w:br/>
              <w:t>(„за“/„против“/„въздържал се“)</w:t>
            </w:r>
          </w:p>
        </w:tc>
        <w:tc>
          <w:tcPr>
            <w:tcW w:w="6204" w:type="dxa"/>
            <w:vAlign w:val="bottom"/>
          </w:tcPr>
          <w:p w14:paraId="6E2A9CF8" w14:textId="77777777" w:rsidR="00901B76" w:rsidRPr="00316392" w:rsidRDefault="00AF5F43" w:rsidP="00901B76">
            <w:pPr>
              <w:autoSpaceDE w:val="0"/>
              <w:autoSpaceDN w:val="0"/>
              <w:jc w:val="left"/>
            </w:pPr>
            <w:r>
              <w:t>159/2/07</w:t>
            </w:r>
          </w:p>
        </w:tc>
      </w:tr>
    </w:tbl>
    <w:p w14:paraId="4300A377" w14:textId="77777777" w:rsidR="00AC5114" w:rsidRPr="00316392" w:rsidRDefault="00AC5114" w:rsidP="00574C9B">
      <w:pPr>
        <w:rPr>
          <w:lang w:val="en-GB"/>
        </w:rPr>
      </w:pPr>
    </w:p>
    <w:p w14:paraId="0A8BEB2B" w14:textId="77777777" w:rsidR="00AC5114" w:rsidRPr="00316392" w:rsidRDefault="00AC5114" w:rsidP="00574C9B">
      <w:pPr>
        <w:rPr>
          <w:lang w:val="en-GB"/>
        </w:rPr>
        <w:sectPr w:rsidR="00AC5114" w:rsidRPr="00316392" w:rsidSect="00C6634B">
          <w:headerReference w:type="even" r:id="rId17"/>
          <w:headerReference w:type="default" r:id="rId18"/>
          <w:footerReference w:type="default" r:id="rId19"/>
          <w:headerReference w:type="first" r:id="rId20"/>
          <w:pgSz w:w="11907" w:h="16839" w:code="9"/>
          <w:pgMar w:top="5669" w:right="1418" w:bottom="1418" w:left="1418" w:header="709" w:footer="709" w:gutter="0"/>
          <w:cols w:space="720"/>
          <w:docGrid w:linePitch="360"/>
        </w:sectPr>
      </w:pPr>
    </w:p>
    <w:p w14:paraId="34C9896B" w14:textId="77777777" w:rsidR="00A25592" w:rsidRPr="009B091D" w:rsidRDefault="00A25592" w:rsidP="00A25592">
      <w:pPr>
        <w:pStyle w:val="Heading1"/>
      </w:pPr>
      <w:r>
        <w:lastRenderedPageBreak/>
        <w:t>Непосредствено преди началото на новия мандат на Европейската комисия ние, Европейският икономически и социален комитет, в качеството си на представители на организациите на гражданското общество, призоваваме държавите — членки на Европейския съюз, и неговите лидери, европейските институции и гражданите на ЕС да гарантират и защитават икономическото, социалното и териториалното сближаване на ЕС в съответствие с член 174 от ДФЕС.</w:t>
      </w:r>
    </w:p>
    <w:p w14:paraId="32A99B93" w14:textId="77777777" w:rsidR="00A25592" w:rsidRPr="009B091D" w:rsidRDefault="00A25592" w:rsidP="00A25592">
      <w:pPr>
        <w:pStyle w:val="Heading2"/>
        <w:numPr>
          <w:ilvl w:val="0"/>
          <w:numId w:val="0"/>
        </w:numPr>
        <w:ind w:left="567" w:hanging="567"/>
        <w:rPr>
          <w:lang w:val="en-GB"/>
        </w:rPr>
      </w:pPr>
    </w:p>
    <w:p w14:paraId="6B3675D1" w14:textId="77777777" w:rsidR="0075419C" w:rsidRDefault="00A25592" w:rsidP="00A25592">
      <w:pPr>
        <w:pStyle w:val="Heading1"/>
      </w:pPr>
      <w:r>
        <w:t>Изтъкваме категорично, че основният принцип „да не се пренебрегва никой“ в политиката на сближаване е все така непоклатим и действащ и че партньорите от гражданското общество са готови да продължат да работят в името на този принцип с помощта на стабилна инвестиционна политика на ЕС.</w:t>
      </w:r>
    </w:p>
    <w:p w14:paraId="4415967C" w14:textId="695E8C3A" w:rsidR="00A25592" w:rsidRPr="009B091D" w:rsidRDefault="00A25592" w:rsidP="00A25592">
      <w:pPr>
        <w:ind w:left="567" w:hanging="567"/>
        <w:rPr>
          <w:lang w:val="en-GB"/>
        </w:rPr>
      </w:pPr>
    </w:p>
    <w:p w14:paraId="0B3AF14F" w14:textId="5DAA9087" w:rsidR="00A25592" w:rsidRPr="009B091D" w:rsidRDefault="00A25592" w:rsidP="00A25592">
      <w:pPr>
        <w:pStyle w:val="Heading1"/>
      </w:pPr>
      <w:r>
        <w:t>Подчертаваме, че неравенството във възможностите може да навреди на растежа и конкурентоспособността в дългосрочен план на регионално, национално и европейско равнище. Поради това е необходимо политиката на сближаване да стане по</w:t>
      </w:r>
      <w:r w:rsidR="00103846">
        <w:noBreakHyphen/>
      </w:r>
      <w:r>
        <w:t>диверсифицирана и по-гъвкава, но същевременно надеждна, стабилна и ясна, за да може да обръща повече внимание на хората, особено на най-уязвимите, и да се справя по</w:t>
      </w:r>
      <w:r w:rsidR="00103846">
        <w:noBreakHyphen/>
      </w:r>
      <w:r>
        <w:t>добре с проблема за неравенството във възможностите, с който се сблъскват мнозина.</w:t>
      </w:r>
    </w:p>
    <w:p w14:paraId="6F482A81" w14:textId="77777777" w:rsidR="00A25592" w:rsidRPr="009B091D" w:rsidRDefault="00A25592" w:rsidP="00A25592">
      <w:pPr>
        <w:ind w:left="567" w:hanging="567"/>
        <w:rPr>
          <w:lang w:val="en-GB"/>
        </w:rPr>
      </w:pPr>
    </w:p>
    <w:p w14:paraId="3B18AF22" w14:textId="77777777" w:rsidR="0075419C" w:rsidRDefault="00A25592" w:rsidP="00A25592">
      <w:pPr>
        <w:pStyle w:val="Heading1"/>
      </w:pPr>
      <w:r>
        <w:t>Отнасяме се критично към премахването на ролята на член на Комисията, чийто основен ресор е политиката на сближаване.</w:t>
      </w:r>
    </w:p>
    <w:p w14:paraId="3D14AFFF" w14:textId="2352D095" w:rsidR="00A25592" w:rsidRPr="009B091D" w:rsidRDefault="00A25592" w:rsidP="00A25592">
      <w:pPr>
        <w:pStyle w:val="Heading1"/>
        <w:numPr>
          <w:ilvl w:val="0"/>
          <w:numId w:val="0"/>
        </w:numPr>
        <w:ind w:left="567" w:hanging="567"/>
        <w:rPr>
          <w:lang w:val="en-GB"/>
        </w:rPr>
      </w:pPr>
    </w:p>
    <w:p w14:paraId="5DB0ABCB" w14:textId="77777777" w:rsidR="00A25592" w:rsidRPr="009B091D" w:rsidRDefault="00A25592" w:rsidP="00A25592">
      <w:pPr>
        <w:pStyle w:val="Heading1"/>
      </w:pPr>
      <w:r>
        <w:t>Ние сме против ограничаването на политиката на сближаване и преобразуването ѝ в инструмент за справяне с извънредни кризи.</w:t>
      </w:r>
    </w:p>
    <w:p w14:paraId="5DBB62A3" w14:textId="77777777" w:rsidR="00A25592" w:rsidRPr="009B091D" w:rsidRDefault="00A25592" w:rsidP="00A25592">
      <w:pPr>
        <w:ind w:left="567" w:hanging="567"/>
        <w:rPr>
          <w:lang w:val="en-GB"/>
        </w:rPr>
      </w:pPr>
    </w:p>
    <w:p w14:paraId="4A13E63E" w14:textId="77777777" w:rsidR="0075419C" w:rsidRDefault="00A25592" w:rsidP="00A25592">
      <w:pPr>
        <w:pStyle w:val="Heading1"/>
      </w:pPr>
      <w:r>
        <w:t>Отхвърляме идеята за превръщане на политиката на сближаване в инструмент, подобен на Механизма за възстановяване и устойчивост (МВУ), със слабо или липсващо структурно участие на заинтересованите страни, споделено управление и многостепенно управление.</w:t>
      </w:r>
    </w:p>
    <w:p w14:paraId="0DFC837E" w14:textId="3D037E5F" w:rsidR="00A25592" w:rsidRPr="009B091D" w:rsidRDefault="00A25592" w:rsidP="00A25592">
      <w:pPr>
        <w:ind w:left="567" w:hanging="567"/>
        <w:rPr>
          <w:lang w:val="en-GB"/>
        </w:rPr>
      </w:pPr>
    </w:p>
    <w:p w14:paraId="2B4D3D56" w14:textId="77777777" w:rsidR="00A25592" w:rsidRPr="009B091D" w:rsidRDefault="00A25592" w:rsidP="00A25592">
      <w:pPr>
        <w:pStyle w:val="Heading1"/>
      </w:pPr>
      <w:r>
        <w:t>Подкрепяме принципа на партньорство и ясните правила за включването на гражданското общество в подбора, управлението и мониторинга на финансирани от ЕС операции.</w:t>
      </w:r>
    </w:p>
    <w:p w14:paraId="4D36C76F" w14:textId="77777777" w:rsidR="00A25592" w:rsidRPr="009B091D" w:rsidRDefault="00A25592" w:rsidP="00A25592">
      <w:pPr>
        <w:ind w:left="567" w:hanging="567"/>
        <w:rPr>
          <w:highlight w:val="yellow"/>
          <w:lang w:val="en-GB"/>
        </w:rPr>
      </w:pPr>
    </w:p>
    <w:p w14:paraId="498DDA32" w14:textId="77777777" w:rsidR="00A25592" w:rsidRPr="009B091D" w:rsidRDefault="00A25592" w:rsidP="00A25592">
      <w:pPr>
        <w:pStyle w:val="Heading1"/>
      </w:pPr>
      <w:r>
        <w:t>Отправяме искане за недвусмислена формулировка относно участието на гражданското общество в следващия Регламент за общоприложимите разпоредби (РОР), който урежда използването на кохезионните фондове, както и на друго финансиране от ЕС след 2027 г., по същия начин, както за периода 2021—2027 г.</w:t>
      </w:r>
    </w:p>
    <w:p w14:paraId="61F88714" w14:textId="77777777" w:rsidR="00A25592" w:rsidRPr="009B091D" w:rsidRDefault="00A25592" w:rsidP="00A25592">
      <w:pPr>
        <w:ind w:left="567" w:hanging="567"/>
        <w:rPr>
          <w:lang w:val="en-GB"/>
        </w:rPr>
      </w:pPr>
    </w:p>
    <w:p w14:paraId="1662FF15" w14:textId="77777777" w:rsidR="00A25592" w:rsidRPr="009B091D" w:rsidRDefault="00A25592" w:rsidP="00A25592">
      <w:pPr>
        <w:pStyle w:val="Heading1"/>
      </w:pPr>
      <w:r>
        <w:t>Призоваваме за ориентирана към местните условия и хората политика на сближаване.</w:t>
      </w:r>
    </w:p>
    <w:p w14:paraId="6EE082EC" w14:textId="77777777" w:rsidR="00A25592" w:rsidRPr="009B091D" w:rsidRDefault="00A25592" w:rsidP="00A25592">
      <w:pPr>
        <w:ind w:left="567" w:hanging="567"/>
        <w:rPr>
          <w:lang w:val="en-GB"/>
        </w:rPr>
      </w:pPr>
    </w:p>
    <w:p w14:paraId="360B7DB6" w14:textId="77777777" w:rsidR="00A25592" w:rsidRPr="009B091D" w:rsidRDefault="00A25592" w:rsidP="00A25592">
      <w:pPr>
        <w:pStyle w:val="Heading2"/>
      </w:pPr>
      <w:r>
        <w:t>„Ориентирана към местните условия“, тъй като териториалните характеристики трябва да бъдат зачитани и изцяло взети предвид въз основа на оценки на териториалното въздействие.</w:t>
      </w:r>
    </w:p>
    <w:p w14:paraId="71E29132" w14:textId="77777777" w:rsidR="00A25592" w:rsidRPr="009B091D" w:rsidRDefault="00A25592" w:rsidP="00A25592">
      <w:pPr>
        <w:ind w:left="567" w:hanging="567"/>
        <w:rPr>
          <w:lang w:val="en-GB"/>
        </w:rPr>
      </w:pPr>
    </w:p>
    <w:p w14:paraId="1BE92274" w14:textId="77777777" w:rsidR="00A25592" w:rsidRPr="009B091D" w:rsidRDefault="00A25592" w:rsidP="00A25592">
      <w:pPr>
        <w:pStyle w:val="Heading2"/>
      </w:pPr>
      <w:r>
        <w:lastRenderedPageBreak/>
        <w:t>За постигането на желаните резултати трябва да се следва ориентиран към хората подход, който напълно зачита принципа на партньорство и в чиято основа са многостепенното управление, съвместното партньорство и подходите „от долу нагоре“.</w:t>
      </w:r>
    </w:p>
    <w:p w14:paraId="59DB7635" w14:textId="77777777" w:rsidR="00A25592" w:rsidRPr="009B091D" w:rsidRDefault="00A25592" w:rsidP="00A25592">
      <w:pPr>
        <w:ind w:left="567" w:hanging="567"/>
        <w:rPr>
          <w:lang w:val="en-GB"/>
        </w:rPr>
      </w:pPr>
    </w:p>
    <w:p w14:paraId="5352C6B0" w14:textId="77777777" w:rsidR="00A25592" w:rsidRPr="009B091D" w:rsidRDefault="00A25592" w:rsidP="009B091D">
      <w:pPr>
        <w:pStyle w:val="Heading1"/>
      </w:pPr>
      <w:r>
        <w:t xml:space="preserve">Призоваваме да се даде нов тласък на политиката на сближаване. Нашият комитет счита, че е нужно да се разшири, осъвремени или преразгледа наборът от инструменти и подходи, за да се изгради стабилна, ефикасна, гъвкава и обновена политика на сближаване, която да не се ограничава само с инвестициите, а да наблегне в по-голяма степен на капацитета, междурегионалните връзки, ефикасността на резултатите и възможностите за </w:t>
      </w:r>
      <w:proofErr w:type="spellStart"/>
      <w:r>
        <w:t>бенефициерите</w:t>
      </w:r>
      <w:proofErr w:type="spellEnd"/>
      <w:r>
        <w:t>. За тази цел е необходимо:</w:t>
      </w:r>
    </w:p>
    <w:p w14:paraId="299D3C4F" w14:textId="77777777" w:rsidR="00A25592" w:rsidRPr="009B091D" w:rsidRDefault="00A25592" w:rsidP="00A25592">
      <w:pPr>
        <w:ind w:left="567" w:hanging="567"/>
        <w:rPr>
          <w:lang w:val="en-GB"/>
        </w:rPr>
      </w:pPr>
    </w:p>
    <w:p w14:paraId="101F6B88" w14:textId="77777777" w:rsidR="00A25592" w:rsidRPr="009B091D" w:rsidRDefault="00A25592" w:rsidP="00A25592">
      <w:pPr>
        <w:pStyle w:val="Heading2"/>
      </w:pPr>
      <w:r>
        <w:t>да се разгледат основните структурни предизвикателства пред ЕС: слабо развитие, дългосрочна икономическа стагнация и липса на равни възможности във всички региони, както и различия между регионите, в рамките на отделните региони и в обществото;</w:t>
      </w:r>
    </w:p>
    <w:p w14:paraId="206D092A" w14:textId="77777777" w:rsidR="00A25592" w:rsidRPr="00316392" w:rsidRDefault="00A25592" w:rsidP="00A25592">
      <w:pPr>
        <w:pStyle w:val="ListParagraph"/>
        <w:ind w:left="567" w:hanging="567"/>
      </w:pPr>
    </w:p>
    <w:p w14:paraId="1205520C" w14:textId="77777777" w:rsidR="00A25592" w:rsidRPr="009B091D" w:rsidRDefault="00A25592" w:rsidP="00A25592">
      <w:pPr>
        <w:pStyle w:val="Heading2"/>
      </w:pPr>
      <w:r>
        <w:t>да се постави по-силен акцент върху стратегии за териториална политика, като интегрираните териториални инвестиции (ИТИ) и воденото от общностите местно развитие (ВОМР). Затова, без да се губи от поглед необходимостта от съгласуваност, следва да се укрепи капацитетът на местните, градските и териториалните власти за управление на средствата;</w:t>
      </w:r>
    </w:p>
    <w:p w14:paraId="71295C44" w14:textId="77777777" w:rsidR="00A25592" w:rsidRPr="009B091D" w:rsidRDefault="00A25592" w:rsidP="00A25592">
      <w:pPr>
        <w:ind w:left="567" w:hanging="567"/>
        <w:rPr>
          <w:lang w:val="en-GB"/>
        </w:rPr>
      </w:pPr>
    </w:p>
    <w:p w14:paraId="5AC58899" w14:textId="77777777" w:rsidR="00A25592" w:rsidRPr="009B091D" w:rsidRDefault="00A25592" w:rsidP="00A25592">
      <w:pPr>
        <w:pStyle w:val="Heading2"/>
      </w:pPr>
      <w:r>
        <w:t>да се обърне внимание на категориите лица с по-ниско равнище на заетост (жени, млади хора, хора с увреждания, имигранти, хора с по-ниска степен на образование), за които са необходими специфични програми за обучение, преквалификация, повишаване на квалификацията и подкрепа по места;</w:t>
      </w:r>
    </w:p>
    <w:p w14:paraId="67164500" w14:textId="77777777" w:rsidR="00A25592" w:rsidRPr="009B091D" w:rsidRDefault="00A25592" w:rsidP="00A25592">
      <w:pPr>
        <w:ind w:left="567" w:hanging="567"/>
        <w:rPr>
          <w:lang w:val="en-GB"/>
        </w:rPr>
      </w:pPr>
    </w:p>
    <w:p w14:paraId="5C61EEA9" w14:textId="77777777" w:rsidR="00A25592" w:rsidRPr="009B091D" w:rsidRDefault="00A25592" w:rsidP="00A25592">
      <w:pPr>
        <w:pStyle w:val="Heading2"/>
      </w:pPr>
      <w:r>
        <w:t>да се продължат специализацията и диверсификацията на инструментите, включително финансовите инструменти, така че политиката на сближаване да може да действа по отношение на конкретни групи уязвими лица и области в конкретни региони, когато общите решения, свързани със заетостта, не водят до интеграцията на тези хора на пазара на труда;</w:t>
      </w:r>
    </w:p>
    <w:p w14:paraId="340DA52F" w14:textId="77777777" w:rsidR="00A25592" w:rsidRPr="009B091D" w:rsidRDefault="00A25592" w:rsidP="00A25592">
      <w:pPr>
        <w:rPr>
          <w:lang w:val="en-GB"/>
        </w:rPr>
      </w:pPr>
    </w:p>
    <w:p w14:paraId="0A86C31C" w14:textId="77777777" w:rsidR="00A25592" w:rsidRPr="009B091D" w:rsidRDefault="00A25592" w:rsidP="00A25592">
      <w:pPr>
        <w:pStyle w:val="Heading2"/>
      </w:pPr>
      <w:r>
        <w:t>да се подкрепят инвестициите в социалната инфраструктура с оглед на ефективна борба със значителните демографски предизвикателства, пред които е изправен ЕС. Това е още по-нужно в регионите, засегнати от намаляване на активното население и с нисък дял на хората с висше образование, както и в регионите, напускани от младите хора;</w:t>
      </w:r>
    </w:p>
    <w:p w14:paraId="6EF7C423" w14:textId="77777777" w:rsidR="00A25592" w:rsidRPr="009B091D" w:rsidRDefault="00A25592" w:rsidP="00A25592">
      <w:pPr>
        <w:ind w:left="567" w:hanging="567"/>
        <w:rPr>
          <w:lang w:val="en-GB"/>
        </w:rPr>
      </w:pPr>
    </w:p>
    <w:p w14:paraId="322C710C" w14:textId="77777777" w:rsidR="00A25592" w:rsidRPr="009B091D" w:rsidRDefault="00A25592" w:rsidP="00A25592">
      <w:pPr>
        <w:pStyle w:val="Heading2"/>
      </w:pPr>
      <w:r>
        <w:t>да се повиши потенциалът на трансграничните пазари на труда, които са слаборазвити вследствие на правни и административни пречки. За тази цел трябва да се засили трансграничното и междурегионалното сътрудничество, особено за развитие на инфраструктурата и за подкрепа на дейностите на субектите на социалната икономика;</w:t>
      </w:r>
    </w:p>
    <w:p w14:paraId="6DF9966C" w14:textId="77777777" w:rsidR="00A25592" w:rsidRPr="009B091D" w:rsidRDefault="00A25592" w:rsidP="00A25592">
      <w:pPr>
        <w:ind w:left="567" w:hanging="567"/>
        <w:rPr>
          <w:lang w:val="en-GB"/>
        </w:rPr>
      </w:pPr>
    </w:p>
    <w:p w14:paraId="1B0CAEDD" w14:textId="77777777" w:rsidR="00A25592" w:rsidRPr="009B091D" w:rsidRDefault="00A25592" w:rsidP="00A25592">
      <w:pPr>
        <w:pStyle w:val="Heading2"/>
      </w:pPr>
      <w:r>
        <w:t xml:space="preserve">да продължи защитата на малките и средните предприятия (МСП) и на тяхната устойчивост. Във връзка с това е необходимо съществуващите традиционни европейски инструменти, като например Европейския социален фонд, Европейския фонд за регионално развитие (ЕФРР), Кохезионния фонд и Механизма за справедлив преход, да се използват по иновативен, но опростен начин, така че МСП да могат да имат лесен </w:t>
      </w:r>
      <w:r>
        <w:lastRenderedPageBreak/>
        <w:t>достъп до финансиране и да получават благоприятни кредитни условия в дългосрочен план;</w:t>
      </w:r>
    </w:p>
    <w:p w14:paraId="509D110D" w14:textId="77777777" w:rsidR="00A25592" w:rsidRPr="009B091D" w:rsidRDefault="00A25592" w:rsidP="00A25592">
      <w:pPr>
        <w:ind w:left="567" w:hanging="567"/>
        <w:rPr>
          <w:lang w:val="en-GB"/>
        </w:rPr>
      </w:pPr>
    </w:p>
    <w:p w14:paraId="34A4057A" w14:textId="77777777" w:rsidR="00A25592" w:rsidRPr="009B091D" w:rsidRDefault="00A25592" w:rsidP="00A25592">
      <w:pPr>
        <w:pStyle w:val="Heading2"/>
      </w:pPr>
      <w:r>
        <w:t>да се засилят полезните взаимодействия в рамките на Механизма за справедлив преход като цяло. Изразяваме убеждението си, че политиката на сближаване трябва да остане ключовата инвестиционна политика на ЕС, която да подпомага европейската регионална политика при адаптирането към целите в областта на климата. Принципът за ненанасяне на значителни вреди следва да гарантира, че инвестициите са напълно съобразени с целите на Зеления пакт;</w:t>
      </w:r>
    </w:p>
    <w:p w14:paraId="1372E66D" w14:textId="77777777" w:rsidR="00A25592" w:rsidRPr="009B091D" w:rsidRDefault="00A25592" w:rsidP="00A25592">
      <w:pPr>
        <w:ind w:left="567" w:hanging="567"/>
        <w:rPr>
          <w:lang w:val="en-GB"/>
        </w:rPr>
      </w:pPr>
    </w:p>
    <w:p w14:paraId="39FE938D" w14:textId="77777777" w:rsidR="00A25592" w:rsidRPr="009B091D" w:rsidRDefault="00A25592" w:rsidP="00A25592">
      <w:pPr>
        <w:pStyle w:val="Heading2"/>
      </w:pPr>
      <w:r>
        <w:t>да се проучи допълнително финансирането на големите предприятия като важен фактор за конвергенцията, по-специално по отношение на стратегическите технологии по линия на новия инструмент STEP (Европейска платформа за стратегически технологии);</w:t>
      </w:r>
    </w:p>
    <w:p w14:paraId="766F6BA6" w14:textId="77777777" w:rsidR="00A25592" w:rsidRPr="009B091D" w:rsidRDefault="00A25592" w:rsidP="00A25592">
      <w:pPr>
        <w:ind w:left="567" w:hanging="567"/>
        <w:rPr>
          <w:lang w:val="en-GB"/>
        </w:rPr>
      </w:pPr>
    </w:p>
    <w:p w14:paraId="2B81C0EF" w14:textId="77777777" w:rsidR="00A25592" w:rsidRPr="009B091D" w:rsidRDefault="00A25592" w:rsidP="00A25592">
      <w:pPr>
        <w:pStyle w:val="Heading2"/>
      </w:pPr>
      <w:r>
        <w:t>да се създадат икономически перспективи от нов вид за по-слаборазвитите периферни, слабонаселени и селски райони, островите в ЕС и най-отдалечените региони. Необходимо е също така да се преодолее разделението между селските райони, градските райони и градските центрове, като същевременно се засилят връзките между тях;</w:t>
      </w:r>
    </w:p>
    <w:p w14:paraId="2BD34D98" w14:textId="77777777" w:rsidR="00A25592" w:rsidRPr="009B091D" w:rsidRDefault="00A25592" w:rsidP="00A25592">
      <w:pPr>
        <w:ind w:left="567" w:hanging="567"/>
        <w:rPr>
          <w:lang w:val="en-GB"/>
        </w:rPr>
      </w:pPr>
    </w:p>
    <w:p w14:paraId="64547F9B" w14:textId="77777777" w:rsidR="00A25592" w:rsidRPr="009B091D" w:rsidRDefault="00A25592" w:rsidP="00A25592">
      <w:pPr>
        <w:pStyle w:val="Heading2"/>
      </w:pPr>
      <w:r>
        <w:t>да се насърчават инициативи за внимателно установяване и задоволяване на специфичните потребности на регионите и териториите, които се намират в „капан на развитието“, и да им се помогне да преодолеят предизвикателствата, пред които са изправени;</w:t>
      </w:r>
    </w:p>
    <w:p w14:paraId="18B050C7" w14:textId="77777777" w:rsidR="00A25592" w:rsidRPr="009B091D" w:rsidRDefault="00A25592" w:rsidP="00A25592">
      <w:pPr>
        <w:ind w:left="567" w:hanging="567"/>
        <w:rPr>
          <w:lang w:val="en-GB"/>
        </w:rPr>
      </w:pPr>
    </w:p>
    <w:p w14:paraId="3F17923F" w14:textId="77777777" w:rsidR="00A25592" w:rsidRPr="009B091D" w:rsidRDefault="00A25592" w:rsidP="00A25592">
      <w:pPr>
        <w:pStyle w:val="Heading2"/>
      </w:pPr>
      <w:r>
        <w:t>да се приеме политика на сближаване, която да включва ключови елементи като споделено управление, регионален подход, предварително финансиране и ставки за съфинансиране. Инвестициите сами по себе си не са достатъчни. Всеки регион се нуждае от стабилни управленски структури и подходящо съчетание от политики, което да използва полезните взаимодействия с всички заинтересовани страни. Нуждаем се от подход „от долу нагоре“. Затова инвестициите често трябва да бъдат съпътствани от съответните реформи и благоприятни за гражданите политики;</w:t>
      </w:r>
    </w:p>
    <w:p w14:paraId="06525E52" w14:textId="77777777" w:rsidR="00A25592" w:rsidRPr="009B091D" w:rsidRDefault="00A25592" w:rsidP="00A25592">
      <w:pPr>
        <w:ind w:left="567" w:hanging="567"/>
        <w:rPr>
          <w:lang w:val="en-GB"/>
        </w:rPr>
      </w:pPr>
    </w:p>
    <w:p w14:paraId="20F924B1" w14:textId="77777777" w:rsidR="00A25592" w:rsidRPr="009B091D" w:rsidRDefault="00A25592" w:rsidP="00A25592">
      <w:pPr>
        <w:pStyle w:val="Heading2"/>
      </w:pPr>
      <w:r>
        <w:t>гражданското общество и всички заинтересовани страни на местно равнище да бъдат включени в по-голяма степен, за да се повиши ефикасността на принципа на партньорство и многостепенно управление в политиката на сближаване. Това може да спомогне за справяне с натиска върху демокрацията, като повиши ангажираността с политиките на ЕС;</w:t>
      </w:r>
    </w:p>
    <w:p w14:paraId="110156EC" w14:textId="77777777" w:rsidR="00A25592" w:rsidRPr="00316392" w:rsidRDefault="00A25592" w:rsidP="00A25592">
      <w:pPr>
        <w:pStyle w:val="ListParagraph"/>
        <w:ind w:left="567" w:hanging="567"/>
      </w:pPr>
    </w:p>
    <w:p w14:paraId="7B704D2F" w14:textId="77777777" w:rsidR="00A25592" w:rsidRPr="009B091D" w:rsidRDefault="00A25592" w:rsidP="00A25592">
      <w:pPr>
        <w:pStyle w:val="Heading2"/>
      </w:pPr>
      <w:r>
        <w:t xml:space="preserve">да се укрепи административният капацитет на различните равнища на управление, </w:t>
      </w:r>
      <w:proofErr w:type="spellStart"/>
      <w:r>
        <w:t>бенефициерите</w:t>
      </w:r>
      <w:proofErr w:type="spellEnd"/>
      <w:r>
        <w:t xml:space="preserve"> и другите национални, регионални и местни заинтересовани страни и да се предостави по-адаптирана техническа подкрепа за подобряване на прилагането на политиката по места;</w:t>
      </w:r>
    </w:p>
    <w:p w14:paraId="1E4DFFC9" w14:textId="77777777" w:rsidR="00A25592" w:rsidRPr="009B091D" w:rsidRDefault="00A25592" w:rsidP="00A25592">
      <w:pPr>
        <w:pStyle w:val="Heading2"/>
        <w:numPr>
          <w:ilvl w:val="0"/>
          <w:numId w:val="0"/>
        </w:numPr>
        <w:ind w:left="567" w:hanging="567"/>
        <w:rPr>
          <w:lang w:val="en-GB"/>
        </w:rPr>
      </w:pPr>
    </w:p>
    <w:p w14:paraId="315A714D" w14:textId="77777777" w:rsidR="00A25592" w:rsidRPr="009B091D" w:rsidRDefault="00A25592" w:rsidP="00A25592">
      <w:pPr>
        <w:pStyle w:val="Heading2"/>
      </w:pPr>
      <w:r>
        <w:t xml:space="preserve">да се разглеждат и възприемат най-добрите практики, ефикасните политически мерки и целенасоченото финансиране, предоставяно понастоящем от МВУ, за да продължат да функционират в рамките на новата политика на сближаване. Трябва да гарантираме, че използването на средствата по МВУ остава изцяло съвместимо с прилагането на </w:t>
      </w:r>
      <w:r>
        <w:lastRenderedPageBreak/>
        <w:t>бъдещата политика на сближаване и че вече стартиралите инвестиции и програми по линия на МВУ няма да бъдат спрени поради промени във финансирането на Механизма;</w:t>
      </w:r>
    </w:p>
    <w:p w14:paraId="75B9620C" w14:textId="77777777" w:rsidR="00A25592" w:rsidRPr="009B091D" w:rsidRDefault="00A25592" w:rsidP="00A25592">
      <w:pPr>
        <w:pStyle w:val="Heading2"/>
        <w:numPr>
          <w:ilvl w:val="0"/>
          <w:numId w:val="0"/>
        </w:numPr>
        <w:ind w:left="567" w:hanging="567"/>
        <w:rPr>
          <w:lang w:val="en-GB"/>
        </w:rPr>
      </w:pPr>
    </w:p>
    <w:p w14:paraId="2E8F9B1B" w14:textId="77777777" w:rsidR="0075419C" w:rsidRDefault="00A25592" w:rsidP="00A25592">
      <w:pPr>
        <w:pStyle w:val="Heading2"/>
      </w:pPr>
      <w:r>
        <w:t>да продължи интегрирането на целите за сближаване в европейския семестър;</w:t>
      </w:r>
    </w:p>
    <w:p w14:paraId="0BB833CE" w14:textId="7874A94B" w:rsidR="00A25592" w:rsidRPr="009B091D" w:rsidRDefault="00A25592" w:rsidP="00A25592">
      <w:pPr>
        <w:pStyle w:val="Heading2"/>
        <w:numPr>
          <w:ilvl w:val="0"/>
          <w:numId w:val="0"/>
        </w:numPr>
        <w:ind w:left="567" w:hanging="567"/>
        <w:rPr>
          <w:lang w:val="en-GB"/>
        </w:rPr>
      </w:pPr>
    </w:p>
    <w:p w14:paraId="34A81797" w14:textId="77777777" w:rsidR="00A25592" w:rsidRPr="009B091D" w:rsidRDefault="00A25592" w:rsidP="00A25592">
      <w:pPr>
        <w:pStyle w:val="Heading2"/>
      </w:pPr>
      <w:r>
        <w:t>да се изготви по-амбициозен бюджет за цялостната многогодишна финансова рамка (МФР) и да се гарантира подходящо финансиране за политиката на сближаване, включително с оглед на бъдещата необходимост от инвестиции на ЕС в отбраната и в Европейски съюз с повече от 27 държави членки. Инвестирането в ЕС и в неговото икономическо, социално и териториално сближаване, богатство и конкурентоспособност не може да се осъществи само с 1 % от БНД на ЕС;</w:t>
      </w:r>
    </w:p>
    <w:p w14:paraId="2F9DC6B6" w14:textId="77777777" w:rsidR="00A25592" w:rsidRPr="009B091D" w:rsidRDefault="00A25592" w:rsidP="00A25592">
      <w:pPr>
        <w:pStyle w:val="Heading2"/>
        <w:numPr>
          <w:ilvl w:val="0"/>
          <w:numId w:val="0"/>
        </w:numPr>
        <w:ind w:left="567" w:hanging="567"/>
        <w:rPr>
          <w:lang w:val="en-GB"/>
        </w:rPr>
      </w:pPr>
    </w:p>
    <w:p w14:paraId="52DCF933" w14:textId="7EFA7A7E" w:rsidR="00A25592" w:rsidRPr="009B091D" w:rsidRDefault="00A25592" w:rsidP="00A25592">
      <w:pPr>
        <w:pStyle w:val="Heading2"/>
      </w:pPr>
      <w:r>
        <w:t>да се обмисли достатъчно финансиране в следващия програмен период за бъдещите разширявания, за да се гарантира безпроблемната интеграция на бъдещите държави</w:t>
      </w:r>
      <w:r w:rsidR="00103846">
        <w:rPr>
          <w:lang w:val="en-US"/>
        </w:rPr>
        <w:t> </w:t>
      </w:r>
      <w:r>
        <w:t>членки, без да се излагат на риск инвестициите в настоящите развиващи се региони.</w:t>
      </w:r>
    </w:p>
    <w:p w14:paraId="02510581" w14:textId="77777777" w:rsidR="00A25592" w:rsidRPr="00316392" w:rsidRDefault="00A25592" w:rsidP="00A25592">
      <w:pPr>
        <w:pStyle w:val="ListParagraph"/>
        <w:ind w:left="567" w:hanging="567"/>
      </w:pPr>
    </w:p>
    <w:p w14:paraId="794CCF85" w14:textId="77777777" w:rsidR="00A25592" w:rsidRPr="009B091D" w:rsidRDefault="00A25592" w:rsidP="00A25592">
      <w:pPr>
        <w:pStyle w:val="Heading1"/>
        <w:keepNext/>
        <w:keepLines/>
        <w:rPr>
          <w:b/>
          <w:bCs/>
        </w:rPr>
      </w:pPr>
      <w:r>
        <w:rPr>
          <w:b/>
        </w:rPr>
        <w:t>Ние, в качеството си на представители на гражданското общество, ще направим всичко необходимо, за да защитим основните принципи на политиката на сближаване и да гарантираме, че тя остава свързващото звено, което запазва единството на Европа.</w:t>
      </w:r>
    </w:p>
    <w:p w14:paraId="12C22139" w14:textId="77777777" w:rsidR="00A25592" w:rsidRPr="009B091D" w:rsidRDefault="00A25592" w:rsidP="00A25592">
      <w:pPr>
        <w:keepNext/>
        <w:keepLines/>
        <w:ind w:left="567" w:hanging="567"/>
        <w:rPr>
          <w:lang w:val="en-GB"/>
        </w:rPr>
      </w:pPr>
    </w:p>
    <w:p w14:paraId="3C815482" w14:textId="77777777" w:rsidR="00A25592" w:rsidRPr="009B091D" w:rsidRDefault="00A25592" w:rsidP="00A25592">
      <w:pPr>
        <w:keepNext/>
        <w:keepLines/>
      </w:pPr>
      <w:r>
        <w:t>Брюксел, 11 юли 2024 г.</w:t>
      </w:r>
    </w:p>
    <w:p w14:paraId="4893E009" w14:textId="77777777" w:rsidR="00901B76" w:rsidRPr="009B091D" w:rsidRDefault="00901B76" w:rsidP="00672B2A">
      <w:pPr>
        <w:rPr>
          <w:lang w:val="en-GB"/>
        </w:rPr>
      </w:pPr>
    </w:p>
    <w:p w14:paraId="6C0686D1" w14:textId="77777777" w:rsidR="00901B76" w:rsidRPr="009B091D" w:rsidRDefault="00901B76" w:rsidP="00901B76">
      <w:pPr>
        <w:rPr>
          <w:lang w:val="en-GB"/>
        </w:rPr>
      </w:pPr>
    </w:p>
    <w:p w14:paraId="516F000D" w14:textId="77777777" w:rsidR="00901B76" w:rsidRPr="009B091D" w:rsidRDefault="00901B76" w:rsidP="00901B76">
      <w:pPr>
        <w:rPr>
          <w:i/>
          <w:iCs/>
        </w:rPr>
      </w:pPr>
      <w:r>
        <w:rPr>
          <w:i/>
        </w:rPr>
        <w:t>Председател на Европейския икономически и социален комитет</w:t>
      </w:r>
    </w:p>
    <w:p w14:paraId="2A61E3F1" w14:textId="77777777" w:rsidR="00901B76" w:rsidRPr="009B091D" w:rsidRDefault="00F47BD2" w:rsidP="00901B76">
      <w:r>
        <w:t>Oliver RÖPKE</w:t>
      </w:r>
    </w:p>
    <w:p w14:paraId="087259A3" w14:textId="77777777" w:rsidR="00F53370" w:rsidRPr="00316392" w:rsidRDefault="00901B76">
      <w:pPr>
        <w:jc w:val="center"/>
      </w:pPr>
      <w:r>
        <w:t>_____________</w:t>
      </w:r>
    </w:p>
    <w:sectPr w:rsidR="00F53370" w:rsidRPr="00316392" w:rsidSect="009B091D">
      <w:headerReference w:type="default" r:id="rId21"/>
      <w:footerReference w:type="default" r:id="rId22"/>
      <w:pgSz w:w="11907" w:h="16839" w:code="9"/>
      <w:pgMar w:top="1304" w:right="1418" w:bottom="1304"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21853" w14:textId="77777777" w:rsidR="007C540D" w:rsidRDefault="007C540D" w:rsidP="00F53370">
      <w:pPr>
        <w:spacing w:line="240" w:lineRule="auto"/>
      </w:pPr>
      <w:r>
        <w:separator/>
      </w:r>
    </w:p>
  </w:endnote>
  <w:endnote w:type="continuationSeparator" w:id="0">
    <w:p w14:paraId="01038DC0" w14:textId="77777777" w:rsidR="007C540D" w:rsidRDefault="007C540D"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C573D" w14:textId="77777777" w:rsidR="00DF7334" w:rsidRDefault="00DF7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D34E7" w14:textId="77777777" w:rsidR="00DF7334" w:rsidRDefault="00DF73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99A0B" w14:textId="77777777" w:rsidR="00DF7334" w:rsidRDefault="00DF73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DD94C" w14:textId="77777777" w:rsidR="00574C9B" w:rsidRDefault="00574C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2377C" w14:textId="75317936" w:rsidR="0084105C" w:rsidRPr="003065C9" w:rsidRDefault="00C6634B" w:rsidP="00C6634B">
    <w:pPr>
      <w:pStyle w:val="Footer"/>
      <w:jc w:val="left"/>
    </w:pPr>
    <w:r>
      <w:t xml:space="preserve">ECO/650 – EESC-2024-02528-00-00-RES-TRA (EN) </w:t>
    </w:r>
    <w:r>
      <w:fldChar w:fldCharType="begin"/>
    </w:r>
    <w:r>
      <w:instrText xml:space="preserve"> PAGE  \* Arabic  \* MERGEFORMAT </w:instrText>
    </w:r>
    <w:r>
      <w:fldChar w:fldCharType="separate"/>
    </w:r>
    <w:r>
      <w:t>1</w:t>
    </w:r>
    <w:r>
      <w:fldChar w:fldCharType="end"/>
    </w:r>
    <w:r>
      <w:t>/</w:t>
    </w:r>
    <w:r>
      <w:fldChar w:fldCharType="begin"/>
    </w:r>
    <w:r>
      <w:instrText xml:space="preserve"> = </w:instrText>
    </w:r>
    <w:r w:rsidR="00153099">
      <w:fldChar w:fldCharType="begin"/>
    </w:r>
    <w:r w:rsidR="00153099">
      <w:instrText xml:space="preserve"> NUMPAGES </w:instrText>
    </w:r>
    <w:r w:rsidR="00153099">
      <w:fldChar w:fldCharType="separate"/>
    </w:r>
    <w:r w:rsidR="00153099">
      <w:rPr>
        <w:noProof/>
      </w:rPr>
      <w:instrText>6</w:instrText>
    </w:r>
    <w:r w:rsidR="00153099">
      <w:rPr>
        <w:noProof/>
      </w:rPr>
      <w:fldChar w:fldCharType="end"/>
    </w:r>
    <w:r>
      <w:instrText xml:space="preserve"> - 2 </w:instrText>
    </w:r>
    <w:r>
      <w:fldChar w:fldCharType="separate"/>
    </w:r>
    <w:r w:rsidR="00153099">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0BB64" w14:textId="77777777" w:rsidR="007C540D" w:rsidRDefault="007C540D" w:rsidP="00F53370">
      <w:pPr>
        <w:spacing w:line="240" w:lineRule="auto"/>
      </w:pPr>
      <w:r>
        <w:separator/>
      </w:r>
    </w:p>
  </w:footnote>
  <w:footnote w:type="continuationSeparator" w:id="0">
    <w:p w14:paraId="4DB2125F" w14:textId="77777777" w:rsidR="007C540D" w:rsidRDefault="007C540D" w:rsidP="00F53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76088" w14:textId="77777777" w:rsidR="00574C9B" w:rsidRDefault="00153099">
    <w:pPr>
      <w:pStyle w:val="Header"/>
    </w:pPr>
    <w:r>
      <w:pict w14:anchorId="25D1D9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6" o:spid="_x0000_s2060" type="#_x0000_t75" style="position:absolute;left:0;text-align:left;margin-left:0;margin-top:0;width:595.2pt;height:841.9pt;z-index:-251649024;mso-position-horizontal:center;mso-position-horizontal-relative:margin;mso-position-vertical:center;mso-position-vertical-relative:margin" o:allowincell="f">
          <v:imagedata r:id="rId1" o:title="footer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E3FBD" w14:textId="5809BCB0" w:rsidR="00574C9B" w:rsidRDefault="00DC792E">
    <w:pPr>
      <w:pStyle w:val="Header"/>
    </w:pPr>
    <w:r>
      <w:rPr>
        <w:noProof/>
        <w:lang w:val="en-US"/>
      </w:rPr>
      <w:drawing>
        <wp:anchor distT="0" distB="0" distL="114300" distR="114300" simplePos="0" relativeHeight="251673600" behindDoc="0" locked="0" layoutInCell="1" allowOverlap="1" wp14:anchorId="5794C3D4" wp14:editId="1350FA30">
          <wp:simplePos x="0" y="0"/>
          <wp:positionH relativeFrom="page">
            <wp:posOffset>287105</wp:posOffset>
          </wp:positionH>
          <wp:positionV relativeFrom="page">
            <wp:posOffset>280527</wp:posOffset>
          </wp:positionV>
          <wp:extent cx="6944398" cy="3344275"/>
          <wp:effectExtent l="0" t="0" r="0" b="8890"/>
          <wp:wrapNone/>
          <wp:docPr id="6" name="Picture 6" title="EESCLogo2021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is-20213.jpg"/>
                  <pic:cNvPicPr/>
                </pic:nvPicPr>
                <pic:blipFill>
                  <a:blip r:embed="rId1">
                    <a:extLst>
                      <a:ext uri="{28A0092B-C50C-407E-A947-70E740481C1C}">
                        <a14:useLocalDpi xmlns:a14="http://schemas.microsoft.com/office/drawing/2010/main" val="0"/>
                      </a:ext>
                    </a:extLst>
                  </a:blip>
                  <a:stretch>
                    <a:fillRect/>
                  </a:stretch>
                </pic:blipFill>
                <pic:spPr>
                  <a:xfrm>
                    <a:off x="0" y="0"/>
                    <a:ext cx="6944398" cy="3344275"/>
                  </a:xfrm>
                  <a:prstGeom prst="rect">
                    <a:avLst/>
                  </a:prstGeom>
                </pic:spPr>
              </pic:pic>
            </a:graphicData>
          </a:graphic>
          <wp14:sizeRelH relativeFrom="margin">
            <wp14:pctWidth>0</wp14:pctWidth>
          </wp14:sizeRelH>
          <wp14:sizeRelV relativeFrom="margin">
            <wp14:pctHeight>0</wp14:pctHeight>
          </wp14:sizeRelV>
        </wp:anchor>
      </w:drawing>
    </w:r>
    <w:r w:rsidR="00153099">
      <w:pict w14:anchorId="7E9DBD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7" o:spid="_x0000_s2061" type="#_x0000_t75" style="position:absolute;left:0;text-align:left;margin-left:0;margin-top:0;width:595.2pt;height:841.9pt;z-index:-251648000;mso-position-horizontal:center;mso-position-horizontal-relative:page;mso-position-vertical:top;mso-position-vertical-relative:page" o:allowincell="f">
          <v:imagedata r:id="rId2" o:title="footer only"/>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4C24B" w14:textId="77777777" w:rsidR="00574C9B" w:rsidRDefault="00153099">
    <w:pPr>
      <w:pStyle w:val="Header"/>
    </w:pPr>
    <w:r>
      <w:pict w14:anchorId="75D4F8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5" o:spid="_x0000_s2059" type="#_x0000_t75" style="position:absolute;left:0;text-align:left;margin-left:0;margin-top:0;width:595.2pt;height:841.9pt;z-index:-251650048;mso-position-horizontal:center;mso-position-horizontal-relative:margin;mso-position-vertical:center;mso-position-vertical-relative:margin" o:allowincell="f">
          <v:imagedata r:id="rId1" o:title="footer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70D45" w14:textId="77777777" w:rsidR="00574C9B" w:rsidRDefault="00153099">
    <w:pPr>
      <w:pStyle w:val="Header"/>
    </w:pPr>
    <w:r>
      <w:pict w14:anchorId="065235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9" o:spid="_x0000_s2063" type="#_x0000_t75" style="position:absolute;left:0;text-align:left;margin-left:0;margin-top:0;width:595.2pt;height:841.9pt;z-index:-251645952;mso-position-horizontal:center;mso-position-horizontal-relative:margin;mso-position-vertical:center;mso-position-vertical-relative:margin" o:allowincell="f">
          <v:imagedata r:id="rId1" o:title="footer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AB331" w14:textId="77777777" w:rsidR="00574C9B" w:rsidRDefault="00153099">
    <w:pPr>
      <w:pStyle w:val="Header"/>
    </w:pPr>
    <w:r>
      <w:pict w14:anchorId="1ACD70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0" o:spid="_x0000_s2064" type="#_x0000_t75" style="position:absolute;left:0;text-align:left;margin-left:0;margin-top:0;width:595.2pt;height:841.9pt;z-index:-251644928;visibility:hidden;mso-position-horizontal:center;mso-position-horizontal-relative:margin;mso-position-vertical:center;mso-position-vertical-relative:margin" o:allowincell="f">
          <v:imagedata r:id="rId1" o:title="footer only"/>
          <w10:wrap anchorx="margin" anchory="margin"/>
        </v:shape>
      </w:pict>
    </w:r>
    <w:r w:rsidR="00C540C4">
      <w:rPr>
        <w:noProof/>
      </w:rPr>
      <w:drawing>
        <wp:anchor distT="0" distB="0" distL="114300" distR="114300" simplePos="0" relativeHeight="251662336" behindDoc="1" locked="0" layoutInCell="1" allowOverlap="1" wp14:anchorId="564FC775" wp14:editId="4DA3CA90">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2">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8F2D" w14:textId="77777777" w:rsidR="00574C9B" w:rsidRDefault="00153099">
    <w:pPr>
      <w:pStyle w:val="Header"/>
    </w:pPr>
    <w:r>
      <w:pict w14:anchorId="1F9EE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8" o:spid="_x0000_s2062" type="#_x0000_t75" style="position:absolute;left:0;text-align:left;margin-left:0;margin-top:0;width:595.2pt;height:841.9pt;z-index:-251646976;mso-position-horizontal:center;mso-position-horizontal-relative:margin;mso-position-vertical:center;mso-position-vertical-relative:margin" o:allowincell="f">
          <v:imagedata r:id="rId1" o:title="footer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27CD3" w14:textId="77777777" w:rsidR="00FA08F8" w:rsidRDefault="00153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370"/>
    <w:rsid w:val="00020389"/>
    <w:rsid w:val="00053D00"/>
    <w:rsid w:val="000A0F3B"/>
    <w:rsid w:val="00103846"/>
    <w:rsid w:val="00126F55"/>
    <w:rsid w:val="00153099"/>
    <w:rsid w:val="0019231D"/>
    <w:rsid w:val="001955B6"/>
    <w:rsid w:val="001C5167"/>
    <w:rsid w:val="001D61AC"/>
    <w:rsid w:val="001E15AA"/>
    <w:rsid w:val="001E2A9E"/>
    <w:rsid w:val="001E3FA1"/>
    <w:rsid w:val="00200E87"/>
    <w:rsid w:val="002039C3"/>
    <w:rsid w:val="00206D14"/>
    <w:rsid w:val="00214BDC"/>
    <w:rsid w:val="00215E81"/>
    <w:rsid w:val="002455C2"/>
    <w:rsid w:val="0024727F"/>
    <w:rsid w:val="002B6A7B"/>
    <w:rsid w:val="00316392"/>
    <w:rsid w:val="003353D7"/>
    <w:rsid w:val="003659F9"/>
    <w:rsid w:val="003D50B8"/>
    <w:rsid w:val="00401DE5"/>
    <w:rsid w:val="00442FFF"/>
    <w:rsid w:val="00481540"/>
    <w:rsid w:val="004871B8"/>
    <w:rsid w:val="004B478F"/>
    <w:rsid w:val="005127DA"/>
    <w:rsid w:val="00574C9B"/>
    <w:rsid w:val="0058411F"/>
    <w:rsid w:val="005961A4"/>
    <w:rsid w:val="005F19D0"/>
    <w:rsid w:val="006125A1"/>
    <w:rsid w:val="00653E7D"/>
    <w:rsid w:val="00662207"/>
    <w:rsid w:val="00667F09"/>
    <w:rsid w:val="00672B2A"/>
    <w:rsid w:val="006B57A6"/>
    <w:rsid w:val="006D40F9"/>
    <w:rsid w:val="006D53A6"/>
    <w:rsid w:val="0075419C"/>
    <w:rsid w:val="00787837"/>
    <w:rsid w:val="00787ABB"/>
    <w:rsid w:val="007B6C64"/>
    <w:rsid w:val="007C540D"/>
    <w:rsid w:val="00822952"/>
    <w:rsid w:val="00836505"/>
    <w:rsid w:val="00844B87"/>
    <w:rsid w:val="0089251B"/>
    <w:rsid w:val="008A6DD4"/>
    <w:rsid w:val="008B1A53"/>
    <w:rsid w:val="008F74D7"/>
    <w:rsid w:val="00901B76"/>
    <w:rsid w:val="00904C42"/>
    <w:rsid w:val="00914683"/>
    <w:rsid w:val="00924C05"/>
    <w:rsid w:val="00937CF2"/>
    <w:rsid w:val="00976645"/>
    <w:rsid w:val="00976F77"/>
    <w:rsid w:val="0098228C"/>
    <w:rsid w:val="009A03EB"/>
    <w:rsid w:val="009B091D"/>
    <w:rsid w:val="009B4935"/>
    <w:rsid w:val="009E2100"/>
    <w:rsid w:val="00A15C10"/>
    <w:rsid w:val="00A25592"/>
    <w:rsid w:val="00A310E1"/>
    <w:rsid w:val="00A36AB0"/>
    <w:rsid w:val="00AB37A3"/>
    <w:rsid w:val="00AC5114"/>
    <w:rsid w:val="00AF5F43"/>
    <w:rsid w:val="00B022DD"/>
    <w:rsid w:val="00B25683"/>
    <w:rsid w:val="00B51901"/>
    <w:rsid w:val="00BD50F6"/>
    <w:rsid w:val="00C073E1"/>
    <w:rsid w:val="00C25647"/>
    <w:rsid w:val="00C540C4"/>
    <w:rsid w:val="00C6634B"/>
    <w:rsid w:val="00C6695F"/>
    <w:rsid w:val="00C66AEA"/>
    <w:rsid w:val="00C85AB2"/>
    <w:rsid w:val="00C9040A"/>
    <w:rsid w:val="00C91E4D"/>
    <w:rsid w:val="00C97300"/>
    <w:rsid w:val="00CB110A"/>
    <w:rsid w:val="00CB7CD0"/>
    <w:rsid w:val="00CE4363"/>
    <w:rsid w:val="00D039AF"/>
    <w:rsid w:val="00D4086D"/>
    <w:rsid w:val="00D95232"/>
    <w:rsid w:val="00DA1320"/>
    <w:rsid w:val="00DB7F50"/>
    <w:rsid w:val="00DC792E"/>
    <w:rsid w:val="00DE30C7"/>
    <w:rsid w:val="00DF400F"/>
    <w:rsid w:val="00DF7334"/>
    <w:rsid w:val="00E15BF4"/>
    <w:rsid w:val="00E2376B"/>
    <w:rsid w:val="00E26935"/>
    <w:rsid w:val="00E27707"/>
    <w:rsid w:val="00E52B04"/>
    <w:rsid w:val="00E661B7"/>
    <w:rsid w:val="00EC315D"/>
    <w:rsid w:val="00F10276"/>
    <w:rsid w:val="00F2069F"/>
    <w:rsid w:val="00F43068"/>
    <w:rsid w:val="00F47BD2"/>
    <w:rsid w:val="00F53370"/>
    <w:rsid w:val="00F90BE2"/>
    <w:rsid w:val="00FC0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6DFB3213"/>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uiPriority w:val="99"/>
    <w:semiHidden/>
    <w:unhideWhenUsed/>
    <w:rsid w:val="00976F77"/>
    <w:rPr>
      <w:sz w:val="16"/>
      <w:szCs w:val="16"/>
    </w:rPr>
  </w:style>
  <w:style w:type="paragraph" w:styleId="CommentText">
    <w:name w:val="annotation text"/>
    <w:basedOn w:val="Normal"/>
    <w:link w:val="CommentTextChar"/>
    <w:uiPriority w:val="99"/>
    <w:semiHidden/>
    <w:unhideWhenUsed/>
    <w:rsid w:val="00976F77"/>
    <w:pPr>
      <w:spacing w:line="240" w:lineRule="auto"/>
    </w:pPr>
    <w:rPr>
      <w:sz w:val="20"/>
      <w:szCs w:val="20"/>
    </w:rPr>
  </w:style>
  <w:style w:type="character" w:customStyle="1" w:styleId="CommentTextChar">
    <w:name w:val="Comment Text Char"/>
    <w:basedOn w:val="DefaultParagraphFont"/>
    <w:link w:val="CommentText"/>
    <w:uiPriority w:val="99"/>
    <w:semiHidden/>
    <w:rsid w:val="00976F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6F77"/>
    <w:rPr>
      <w:b/>
      <w:bCs/>
    </w:rPr>
  </w:style>
  <w:style w:type="character" w:customStyle="1" w:styleId="CommentSubjectChar">
    <w:name w:val="Comment Subject Char"/>
    <w:basedOn w:val="CommentTextChar"/>
    <w:link w:val="CommentSubject"/>
    <w:uiPriority w:val="99"/>
    <w:semiHidden/>
    <w:rsid w:val="00976F77"/>
    <w:rPr>
      <w:rFonts w:ascii="Times New Roman" w:eastAsia="Times New Roman" w:hAnsi="Times New Roman" w:cs="Times New Roman"/>
      <w:b/>
      <w:bCs/>
      <w:sz w:val="20"/>
      <w:szCs w:val="20"/>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6F7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6F77"/>
    <w:rPr>
      <w:rFonts w:ascii="Segoe UI" w:eastAsia="Times New Roman" w:hAnsi="Segoe UI" w:cs="Times New Roman"/>
      <w:sz w:val="18"/>
      <w:szCs w:val="18"/>
    </w:rPr>
  </w:style>
  <w:style w:type="paragraph" w:styleId="ListParagraph">
    <w:name w:val="List Paragraph"/>
    <w:basedOn w:val="Normal"/>
    <w:uiPriority w:val="34"/>
    <w:qFormat/>
    <w:rsid w:val="00A255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F7M6YNZUATRX-789077548-2840</_dlc_DocId>
    <_dlc_DocIdUrl xmlns="59ace41b-6786-4ce3-be71-52c27066c6ef">
      <Url>http://dm/eesc/2024/_layouts/15/DocIdRedir.aspx?ID=F7M6YNZUATRX-789077548-2840</Url>
      <Description>F7M6YNZUATRX-789077548-2840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RES</TermName>
          <TermId xmlns="http://schemas.microsoft.com/office/infopath/2007/PartnerControls">9e3e62eb-6858-4bc7-8a50-3453e395fd01</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2024-07-12T12:00:00+00:00</ProductionDate>
    <DocumentNumber xmlns="36007a90-28ab-40da-967b-595e4ec83007">2528</DocumentNumber>
    <FicheYear xmlns="59ace41b-6786-4ce3-be71-52c27066c6ef" xsi:nil="true"/>
    <DossierNumber xmlns="59ace41b-6786-4ce3-be71-52c27066c6ef">650</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 xsi:nil="true"/>
    <TaxCatchAll xmlns="59ace41b-6786-4ce3-be71-52c27066c6ef">
      <Value>162</Value>
      <Value>66</Value>
      <Value>43</Value>
      <Value>37</Value>
      <Value>36</Value>
      <Value>35</Value>
      <Value>34</Value>
      <Value>33</Value>
      <Value>32</Value>
      <Value>31</Value>
      <Value>30</Value>
      <Value>29</Value>
      <Value>28</Value>
      <Value>27</Value>
      <Value>26</Value>
      <Value>25</Value>
      <Value>24</Value>
      <Value>23</Value>
      <Value>22</Value>
      <Value>21</Value>
      <Value>17</Value>
      <Value>16</Value>
      <Value>14</Value>
      <Value>12</Value>
      <Value>8</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s>
    </DocumentLanguage_0>
    <Rapporteur xmlns="59ace41b-6786-4ce3-be71-52c27066c6ef">VARDAKASTANIS</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9ace41b-6786-4ce3-be71-52c27066c6ef">2024</DocumentYear>
    <FicheNumber xmlns="59ace41b-6786-4ce3-be71-52c27066c6ef">7051</FicheNumber>
    <OriginalSender xmlns="59ace41b-6786-4ce3-be71-52c27066c6ef">
      <UserInfo>
        <DisplayName>Petrov Yulian</DisplayName>
        <AccountId>1513</AccountId>
        <AccountType/>
      </UserInfo>
    </OriginalSender>
    <DocumentPart xmlns="59ace41b-6786-4ce3-be71-52c27066c6ef">0</DocumentPart>
    <AdoptionDate xmlns="59ace41b-6786-4ce3-be71-52c27066c6ef">2024-07-10T12:00:00+00:00</AdoptionDate>
    <RequestingService xmlns="59ace41b-6786-4ce3-be71-52c27066c6ef">Union économique et monétaire et cohésion économique et sociale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36007a90-28ab-40da-967b-595e4ec83007"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Version xmlns="59ace41b-6786-4ce3-be71-52c27066c6ef">0</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C9C698F2971CE54890F427AFE3EB568F" ma:contentTypeVersion="4" ma:contentTypeDescription="Defines the documents for Document Manager V2" ma:contentTypeScope="" ma:versionID="1ede4366cc334d81186bb4f7d46e0bfd">
  <xsd:schema xmlns:xsd="http://www.w3.org/2001/XMLSchema" xmlns:xs="http://www.w3.org/2001/XMLSchema" xmlns:p="http://schemas.microsoft.com/office/2006/metadata/properties" xmlns:ns2="59ace41b-6786-4ce3-be71-52c27066c6ef" xmlns:ns3="http://schemas.microsoft.com/sharepoint/v3/fields" xmlns:ns4="36007a90-28ab-40da-967b-595e4ec83007" targetNamespace="http://schemas.microsoft.com/office/2006/metadata/properties" ma:root="true" ma:fieldsID="793bace539ab1b60d443041a34a09cc2" ns2:_="" ns3:_="" ns4:_="">
    <xsd:import namespace="59ace41b-6786-4ce3-be71-52c27066c6ef"/>
    <xsd:import namespace="http://schemas.microsoft.com/sharepoint/v3/fields"/>
    <xsd:import namespace="36007a90-28ab-40da-967b-595e4ec8300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07a90-28ab-40da-967b-595e4ec8300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46B37DE-7EA4-45BD-B797-832A6B8356BB}">
  <ds:schemaRefs>
    <ds:schemaRef ds:uri="http://schemas.microsoft.com/office/2006/metadata/properties"/>
    <ds:schemaRef ds:uri="http://schemas.microsoft.com/office/infopath/2007/PartnerControls"/>
    <ds:schemaRef ds:uri="59ace41b-6786-4ce3-be71-52c27066c6ef"/>
    <ds:schemaRef ds:uri="http://schemas.microsoft.com/sharepoint/v3/fields"/>
    <ds:schemaRef ds:uri="36007a90-28ab-40da-967b-595e4ec83007"/>
  </ds:schemaRefs>
</ds:datastoreItem>
</file>

<file path=customXml/itemProps2.xml><?xml version="1.0" encoding="utf-8"?>
<ds:datastoreItem xmlns:ds="http://schemas.openxmlformats.org/officeDocument/2006/customXml" ds:itemID="{5485421B-5C27-4E91-BC47-8DC8F7E73BE8}">
  <ds:schemaRefs>
    <ds:schemaRef ds:uri="http://schemas.microsoft.com/sharepoint/v3/contenttype/forms"/>
  </ds:schemaRefs>
</ds:datastoreItem>
</file>

<file path=customXml/itemProps3.xml><?xml version="1.0" encoding="utf-8"?>
<ds:datastoreItem xmlns:ds="http://schemas.openxmlformats.org/officeDocument/2006/customXml" ds:itemID="{0178234A-9B24-43DE-B2F2-067E8D5AC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ce41b-6786-4ce3-be71-52c27066c6ef"/>
    <ds:schemaRef ds:uri="http://schemas.microsoft.com/sharepoint/v3/fields"/>
    <ds:schemaRef ds:uri="36007a90-28ab-40da-967b-595e4ec830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F289E0-5E4E-4123-9D49-D3A284453D2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1526</Words>
  <Characters>8394</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AC-Cover page - Opinion Committee - EESC revised model</vt:lpstr>
    </vt:vector>
  </TitlesOfParts>
  <Company>CESE-CdR</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ECO/650 -  Никой да не се пренебрегва! За приобщаваща и основана на участието политика на сближаване в подкрепа на социалното, икономическото и териториалното сближаване</dc:title>
  <dc:subject>RES</dc:subject>
  <dc:creator>Francois Aude</dc:creator>
  <cp:keywords>EESC-2024-02528-00-00-RES-TRA-EN</cp:keywords>
  <dc:description>Rapporteur: VARDAKASTANIS - Original language: EN - Date of document: 12/07/2024 - Date of meeting:  - External documents:  - Administrator:  MELEAS Georgios</dc:description>
  <cp:lastModifiedBy>Zaccheddu Raffaella</cp:lastModifiedBy>
  <cp:revision>2</cp:revision>
  <dcterms:created xsi:type="dcterms:W3CDTF">2024-07-16T07:33:00Z</dcterms:created>
  <dcterms:modified xsi:type="dcterms:W3CDTF">2024-07-16T07:33:00Z</dcterms:modified>
  <cp:category>ECO/650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11/07/2024, 11/07/2024, 12/04/2024, 17/05/2022</vt:lpwstr>
  </property>
  <property fmtid="{D5CDD505-2E9C-101B-9397-08002B2CF9AE}" pid="4" name="Pref_Time">
    <vt:lpwstr>14:38:50, 13:29:52, 12:01:57, 14:58:36</vt:lpwstr>
  </property>
  <property fmtid="{D5CDD505-2E9C-101B-9397-08002B2CF9AE}" pid="5" name="Pref_User">
    <vt:lpwstr>amett, amett, enied, enied</vt:lpwstr>
  </property>
  <property fmtid="{D5CDD505-2E9C-101B-9397-08002B2CF9AE}" pid="6" name="Pref_FileName">
    <vt:lpwstr>EESC-2024-02528-00-00-RES-TRA-EN-CRR.docx, eesc-2024-02528-00-00-res-ori (1).docx, COR-EESC-2024-01326-16-00-ADMIN-ORI.docx, COR-EESC-2022-02592-00-00-ADMIN-ORI.docx</vt:lpwstr>
  </property>
  <property fmtid="{D5CDD505-2E9C-101B-9397-08002B2CF9AE}" pid="7" name="ContentTypeId">
    <vt:lpwstr>0x010100EA97B91038054C99906057A708A1480A00C9C698F2971CE54890F427AFE3EB568F</vt:lpwstr>
  </property>
  <property fmtid="{D5CDD505-2E9C-101B-9397-08002B2CF9AE}" pid="8" name="_dlc_DocIdItemGuid">
    <vt:lpwstr>10160232-b004-435b-aafa-7ddd602df6ae</vt:lpwstr>
  </property>
  <property fmtid="{D5CDD505-2E9C-101B-9397-08002B2CF9AE}" pid="9" name="AvailableTranslations">
    <vt:lpwstr>43;#CS|72f9705b-0217-4fd3-bea2-cbc7ed80e26e;#32;#HU|6b229040-c589-4408-b4c1-4285663d20a8;#35;#FI|87606a43-d45f-42d6-b8c9-e1a3457db5b7;#16;#DA|5d49c027-8956-412b-aa16-e85a0f96ad0e;#25;#DE|f6b31e5a-26fa-4935-b661-318e46daf27e;#28;#LV|46f7e311-5d9f-4663-b433-18aeccb7ace7;#30;#HR|2f555653-ed1a-4fe6-8362-9082d95989e5;#26;#SK|46d9fce0-ef79-4f71-b89b-cd6aa82426b8;#37;#RO|feb747a2-64cd-4299-af12-4833ddc30497;#27;#SL|98a412ae-eb01-49e9-ae3d-585a81724cfc;#17;#PL|1e03da61-4678-4e07-b136-b5024ca9197b;#22;#BG|1a1b3951-7821-4e6a-85f5-5673fc08bd2c;#31;#NL|55c6556c-b4f4-441d-9acf-c498d4f838bd;#34;#LT|a7ff5ce7-6123-4f68-865a-a57c31810414;#24;#ES|e7a6b05b-ae16-40c8-add9-68b64b03aeba;#21;#SV|c2ed69e7-a339-43d7-8f22-d93680a92aa0;#23;#MT|7df99101-6854-4a26-b53a-b88c0da02c26;#14;#FR|d2afafd3-4c81-4f60-8f52-ee33f2f54ff3;#5;#EN|f2175f21-25d7-44a3-96da-d6a61b075e1b;#36;#PT|50ccc04a-eadd-42ae-a0cb-acaf45f812ba;#29;#EL|6d4f4d51-af9b-4650-94b4-4276bee85c91;#33;#ET|ff6c3f4c-b02c-4c3c-ab07-2c37995a7a0a;#12;#IT|0774613c-01ed-4e5d-a25d-11d2388de825</vt:lpwstr>
  </property>
  <property fmtid="{D5CDD505-2E9C-101B-9397-08002B2CF9AE}" pid="10" name="DocumentType_0">
    <vt:lpwstr>RES|9e3e62eb-6858-4bc7-8a50-3453e395fd01</vt:lpwstr>
  </property>
  <property fmtid="{D5CDD505-2E9C-101B-9397-08002B2CF9AE}" pid="11" name="DossierName_0">
    <vt:lpwstr>ECO|8df351f5-c957-404c-8cf3-8ffb22c9cba2</vt:lpwstr>
  </property>
  <property fmtid="{D5CDD505-2E9C-101B-9397-08002B2CF9AE}" pid="12" name="DocumentSource_0">
    <vt:lpwstr>EESC|422833ec-8d7e-4e65-8e4e-8bed07ffb729</vt:lpwstr>
  </property>
  <property fmtid="{D5CDD505-2E9C-101B-9397-08002B2CF9AE}" pid="13" name="DocumentNumber">
    <vt:i4>2528</vt:i4>
  </property>
  <property fmtid="{D5CDD505-2E9C-101B-9397-08002B2CF9AE}" pid="14" name="DocumentVersion">
    <vt:i4>0</vt:i4>
  </property>
  <property fmtid="{D5CDD505-2E9C-101B-9397-08002B2CF9AE}" pid="15" name="DossierNumber">
    <vt:i4>650</vt:i4>
  </property>
  <property fmtid="{D5CDD505-2E9C-101B-9397-08002B2CF9AE}" pid="16" name="DocumentStatus">
    <vt:lpwstr>3;#TRA|150d2a88-1431-44e6-a8ca-0bb753ab8672</vt:lpwstr>
  </property>
  <property fmtid="{D5CDD505-2E9C-101B-9397-08002B2CF9AE}" pid="17" name="DossierName">
    <vt:lpwstr>66;#ECO|8df351f5-c957-404c-8cf3-8ffb22c9cba2</vt:lpwstr>
  </property>
  <property fmtid="{D5CDD505-2E9C-101B-9397-08002B2CF9AE}" pid="18" name="RequestingService">
    <vt:lpwstr>Union économique et monétaire et cohésion économique et sociale</vt:lpwstr>
  </property>
  <property fmtid="{D5CDD505-2E9C-101B-9397-08002B2CF9AE}" pid="19" name="Confidentiality">
    <vt:lpwstr>6;#Unrestricted|826e22d7-d029-4ec0-a450-0c28ff673572</vt:lpwstr>
  </property>
  <property fmtid="{D5CDD505-2E9C-101B-9397-08002B2CF9AE}" pid="20" name="MeetingName_0">
    <vt:lpwstr/>
  </property>
  <property fmtid="{D5CDD505-2E9C-101B-9397-08002B2CF9AE}" pid="21" name="Confidentiality_0">
    <vt:lpwstr>Unrestricted|826e22d7-d029-4ec0-a450-0c28ff673572</vt:lpwstr>
  </property>
  <property fmtid="{D5CDD505-2E9C-101B-9397-08002B2CF9AE}" pid="22" name="OriginalLanguage">
    <vt:lpwstr>5;#EN|f2175f21-25d7-44a3-96da-d6a61b075e1b</vt:lpwstr>
  </property>
  <property fmtid="{D5CDD505-2E9C-101B-9397-08002B2CF9AE}" pid="23" name="MeetingName">
    <vt:lpwstr/>
  </property>
  <property fmtid="{D5CDD505-2E9C-101B-9397-08002B2CF9AE}" pid="24" name="AvailableTranslations_0">
    <vt:lpwstr>CS|72f9705b-0217-4fd3-bea2-cbc7ed80e26e;HU|6b229040-c589-4408-b4c1-4285663d20a8;DA|5d49c027-8956-412b-aa16-e85a0f96ad0e;DE|f6b31e5a-26fa-4935-b661-318e46daf27e;LV|46f7e311-5d9f-4663-b433-18aeccb7ace7;SL|98a412ae-eb01-49e9-ae3d-585a81724cfc;PL|1e03da61-4678-4e07-b136-b5024ca9197b;NL|55c6556c-b4f4-441d-9acf-c498d4f838bd;LT|a7ff5ce7-6123-4f68-865a-a57c31810414;SV|c2ed69e7-a339-43d7-8f22-d93680a92aa0;MT|7df99101-6854-4a26-b53a-b88c0da02c26;FR|d2afafd3-4c81-4f60-8f52-ee33f2f54ff3;EN|f2175f21-25d7-44a3-96da-d6a61b075e1b;PT|50ccc04a-eadd-42ae-a0cb-acaf45f812ba;EL|6d4f4d51-af9b-4650-94b4-4276bee85c91;IT|0774613c-01ed-4e5d-a25d-11d2388de825</vt:lpwstr>
  </property>
  <property fmtid="{D5CDD505-2E9C-101B-9397-08002B2CF9AE}" pid="25" name="DocumentStatus_0">
    <vt:lpwstr>TRA|150d2a88-1431-44e6-a8ca-0bb753ab8672</vt:lpwstr>
  </property>
  <property fmtid="{D5CDD505-2E9C-101B-9397-08002B2CF9AE}" pid="26" name="OriginalLanguage_0">
    <vt:lpwstr>EN|f2175f21-25d7-44a3-96da-d6a61b075e1b</vt:lpwstr>
  </property>
  <property fmtid="{D5CDD505-2E9C-101B-9397-08002B2CF9AE}" pid="27" name="TaxCatchAll">
    <vt:lpwstr>14;#FR|d2afafd3-4c81-4f60-8f52-ee33f2f54ff3;#34;#LT|a7ff5ce7-6123-4f68-865a-a57c31810414;#32;#HU|6b229040-c589-4408-b4c1-4285663d20a8;#31;#NL|55c6556c-b4f4-441d-9acf-c498d4f838bd;#66;#ECO|8df351f5-c957-404c-8cf3-8ffb22c9cba2;#28;#LV|46f7e311-5d9f-4663-b433-18aeccb7ace7;#27;#SL|98a412ae-eb01-49e9-ae3d-585a81724cfc;#25;#DE|f6b31e5a-26fa-4935-b661-318e46daf27e;#23;#MT|7df99101-6854-4a26-b53a-b88c0da02c26;#21;#SV|c2ed69e7-a339-43d7-8f22-d93680a92aa0;#29;#EL|6d4f4d51-af9b-4650-94b4-4276bee85c91;#17;#PL|1e03da61-4678-4e07-b136-b5024ca9197b;#16;#DA|5d49c027-8956-412b-aa16-e85a0f96ad0e;#162;#RES|9e3e62eb-6858-4bc7-8a50-3453e395fd01;#12;#IT|0774613c-01ed-4e5d-a25d-11d2388de825;#8;#Final|ea5e6674-7b27-4bac-b091-73adbb394efe;#43;#CS|72f9705b-0217-4fd3-bea2-cbc7ed80e26e;#5;#EN|f2175f21-25d7-44a3-96da-d6a61b075e1b;#3;#TRA|150d2a88-1431-44e6-a8ca-0bb753ab8672;#36;#PT|50ccc04a-eadd-42ae-a0cb-acaf45f812ba;#1;#EESC|422833ec-8d7e-4e65-8e4e-8bed07ffb729;#6;#Unrestricted|826e22d7-d029-4ec0-a450-0c28ff673572</vt:lpwstr>
  </property>
  <property fmtid="{D5CDD505-2E9C-101B-9397-08002B2CF9AE}" pid="28" name="Rapporteur">
    <vt:lpwstr>VARDAKASTANIS</vt:lpwstr>
  </property>
  <property fmtid="{D5CDD505-2E9C-101B-9397-08002B2CF9AE}" pid="29" name="VersionStatus_0">
    <vt:lpwstr>Final|ea5e6674-7b27-4bac-b091-73adbb394efe</vt:lpwstr>
  </property>
  <property fmtid="{D5CDD505-2E9C-101B-9397-08002B2CF9AE}" pid="30" name="VersionStatus">
    <vt:lpwstr>8;#Final|ea5e6674-7b27-4bac-b091-73adbb394efe</vt:lpwstr>
  </property>
  <property fmtid="{D5CDD505-2E9C-101B-9397-08002B2CF9AE}" pid="31" name="DocumentYear">
    <vt:i4>2024</vt:i4>
  </property>
  <property fmtid="{D5CDD505-2E9C-101B-9397-08002B2CF9AE}" pid="32" name="FicheNumber">
    <vt:i4>7051</vt:i4>
  </property>
  <property fmtid="{D5CDD505-2E9C-101B-9397-08002B2CF9AE}" pid="33" name="DocumentPart">
    <vt:i4>0</vt:i4>
  </property>
  <property fmtid="{D5CDD505-2E9C-101B-9397-08002B2CF9AE}" pid="34" name="DocumentSource">
    <vt:lpwstr>1;#EESC|422833ec-8d7e-4e65-8e4e-8bed07ffb729</vt:lpwstr>
  </property>
  <property fmtid="{D5CDD505-2E9C-101B-9397-08002B2CF9AE}" pid="35" name="AdoptionDate">
    <vt:filetime>2024-07-10T12:00:00Z</vt:filetime>
  </property>
  <property fmtid="{D5CDD505-2E9C-101B-9397-08002B2CF9AE}" pid="36" name="DocumentType">
    <vt:lpwstr>162;#RES|9e3e62eb-6858-4bc7-8a50-3453e395fd01</vt:lpwstr>
  </property>
  <property fmtid="{D5CDD505-2E9C-101B-9397-08002B2CF9AE}" pid="37" name="DocumentLanguage">
    <vt:lpwstr>22;#BG|1a1b3951-7821-4e6a-85f5-5673fc08bd2c</vt:lpwstr>
  </property>
</Properties>
</file>