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762CE3" w14:paraId="785AE44C" w14:textId="5767914F">
      <w:pPr>
        <w:jc w:val="center"/>
      </w:pPr>
      <w:r>
        <w:rPr>
          <w:noProof/>
        </w:rPr>
        <w:drawing>
          <wp:inline distT="0" distB="0" distL="0" distR="0" wp14:anchorId="01D0887A" wp14:editId="74FADFC5">
            <wp:extent cx="1792605" cy="1239520"/>
            <wp:effectExtent l="0" t="0" r="0" b="0"/>
            <wp:docPr id="2" name="Picture 2" title="EESCLogo_SV"/>
            <wp:cNvGraphicFramePr/>
            <a:graphic xmlns:a="http://schemas.openxmlformats.org/drawingml/2006/main">
              <a:graphicData uri="http://schemas.openxmlformats.org/drawingml/2006/picture">
                <pic:pic xmlns:pic="http://schemas.openxmlformats.org/drawingml/2006/picture">
                  <pic:nvPicPr>
                    <pic:cNvPr id="2" name="Picture 2"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3B3E709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Bryssel, den 16 september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589:e plenarsessionen</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10–11 juli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SAMMANFATTNING AV ANTAGNA YTTRANDEN, RESOLUTIONER OCH INFORMATIONS- OCH UTVÄRDERINGSRAPPORTER</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 xml:space="preserve">Detta dokument finns tillgängligt på de officiella språken på </w:t>
            </w:r>
            <w:proofErr w:type="spellStart"/>
            <w:r>
              <w:t>EESK:s</w:t>
            </w:r>
            <w:proofErr w:type="spellEnd"/>
            <w:r>
              <w:t xml:space="preserve"> webbplats på följande adress:</w:t>
            </w:r>
          </w:p>
          <w:p w:rsidRPr="00094B6B" w:rsidR="00B16284" w:rsidP="00775FC4" w:rsidRDefault="00B16284" w14:paraId="4F26A4CE" w14:textId="77777777">
            <w:pPr>
              <w:snapToGrid w:val="0"/>
              <w:jc w:val="center"/>
            </w:pPr>
          </w:p>
          <w:p w:rsidRPr="00094B6B" w:rsidR="004D7AC0" w:rsidP="00775FC4" w:rsidRDefault="00A61A62" w14:paraId="2A9352A2" w14:textId="0680ADB6">
            <w:pPr>
              <w:snapToGrid w:val="0"/>
              <w:jc w:val="center"/>
            </w:pPr>
            <w:hyperlink w:history="1" r:id="rId12">
              <w:r w:rsidR="000B64C3">
                <w:rPr>
                  <w:rStyle w:val="Hyperlink"/>
                  <w:highlight w:val="yellow"/>
                </w:rPr>
                <w:t>https://www.eesc.europa.eu/hu/our-work/opinions-information-reports/plenary-session-summaries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 xml:space="preserve">De yttranden som tas upp finns tillgängliga på internet via </w:t>
            </w:r>
            <w:proofErr w:type="spellStart"/>
            <w:r>
              <w:t>EESK:s</w:t>
            </w:r>
            <w:proofErr w:type="spellEnd"/>
            <w:r>
              <w:t xml:space="preserve"> sökmotor:</w:t>
            </w:r>
          </w:p>
          <w:p w:rsidRPr="00094B6B" w:rsidR="00B16284" w:rsidP="00775FC4" w:rsidRDefault="00B16284" w14:paraId="7A5411A5" w14:textId="77777777">
            <w:pPr>
              <w:snapToGrid w:val="0"/>
              <w:jc w:val="center"/>
            </w:pPr>
          </w:p>
          <w:p w:rsidRPr="00094B6B" w:rsidR="004D7AC0" w:rsidP="00775FC4" w:rsidRDefault="00A61A62"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Innehåll:</w:t>
      </w:r>
    </w:p>
    <w:p w:rsidRPr="00181AE5" w:rsidR="00181AE5" w:rsidRDefault="0014322B" w14:paraId="2D371B40" w14:textId="71AFE3CA">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r w:rsidRPr="00181AE5">
        <w:rPr>
          <w:sz w:val="20"/>
          <w:szCs w:val="20"/>
        </w:rPr>
        <w:fldChar w:fldCharType="begin"/>
      </w:r>
      <w:r w:rsidRPr="00181AE5">
        <w:rPr>
          <w:sz w:val="20"/>
          <w:szCs w:val="20"/>
        </w:rPr>
        <w:instrText xml:space="preserve"> TOC \o "1-1" \h \z \u </w:instrText>
      </w:r>
      <w:r w:rsidRPr="00181AE5">
        <w:rPr>
          <w:sz w:val="20"/>
          <w:szCs w:val="20"/>
        </w:rPr>
        <w:fldChar w:fldCharType="separate"/>
      </w:r>
      <w:hyperlink w:history="1" w:anchor="_Toc172292813">
        <w:r w:rsidRPr="00181AE5" w:rsidR="00181AE5">
          <w:rPr>
            <w:rStyle w:val="Hyperlink"/>
            <w:sz w:val="20"/>
            <w:szCs w:val="20"/>
          </w:rPr>
          <w:t>1.</w:t>
        </w:r>
        <w:r w:rsidRPr="00181AE5" w:rsid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sidR="00181AE5">
          <w:rPr>
            <w:rStyle w:val="Hyperlink"/>
            <w:sz w:val="20"/>
            <w:szCs w:val="20"/>
          </w:rPr>
          <w:t>RESOLUTION</w:t>
        </w:r>
        <w:r w:rsidRPr="00181AE5" w:rsidR="00181AE5">
          <w:rPr>
            <w:webHidden/>
            <w:sz w:val="20"/>
            <w:szCs w:val="20"/>
          </w:rPr>
          <w:tab/>
        </w:r>
        <w:r w:rsidRPr="00181AE5" w:rsidR="00181AE5">
          <w:rPr>
            <w:webHidden/>
            <w:sz w:val="20"/>
            <w:szCs w:val="20"/>
          </w:rPr>
          <w:fldChar w:fldCharType="begin"/>
        </w:r>
        <w:r w:rsidRPr="00181AE5" w:rsidR="00181AE5">
          <w:rPr>
            <w:webHidden/>
            <w:sz w:val="20"/>
            <w:szCs w:val="20"/>
          </w:rPr>
          <w:instrText xml:space="preserve"> PAGEREF _Toc172292813 \h </w:instrText>
        </w:r>
        <w:r w:rsidRPr="00181AE5" w:rsidR="00181AE5">
          <w:rPr>
            <w:webHidden/>
            <w:sz w:val="20"/>
            <w:szCs w:val="20"/>
          </w:rPr>
        </w:r>
        <w:r w:rsidRPr="00181AE5" w:rsidR="00181AE5">
          <w:rPr>
            <w:webHidden/>
            <w:sz w:val="20"/>
            <w:szCs w:val="20"/>
          </w:rPr>
          <w:fldChar w:fldCharType="separate"/>
        </w:r>
        <w:r w:rsidRPr="00181AE5" w:rsidR="00181AE5">
          <w:rPr>
            <w:webHidden/>
            <w:sz w:val="20"/>
            <w:szCs w:val="20"/>
          </w:rPr>
          <w:t>3</w:t>
        </w:r>
        <w:r w:rsidRPr="00181AE5" w:rsidR="00181AE5">
          <w:rPr>
            <w:webHidden/>
            <w:sz w:val="20"/>
            <w:szCs w:val="20"/>
          </w:rPr>
          <w:fldChar w:fldCharType="end"/>
        </w:r>
      </w:hyperlink>
    </w:p>
    <w:p w:rsidRPr="00181AE5" w:rsidR="00181AE5" w:rsidRDefault="00181AE5" w14:paraId="361D2843" w14:textId="5AD4376A">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4">
        <w:r w:rsidRPr="00181AE5">
          <w:rPr>
            <w:rStyle w:val="Hyperlink"/>
            <w:sz w:val="20"/>
            <w:szCs w:val="20"/>
          </w:rPr>
          <w:t>2.</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EKONOMISKA OCH MONETÄRA UNIONEN, EKONOMISK OCH SOCIAL SAMMANHÅLLNING</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_Toc172292814 \h </w:instrText>
        </w:r>
        <w:r w:rsidRPr="00181AE5">
          <w:rPr>
            <w:webHidden/>
            <w:sz w:val="20"/>
            <w:szCs w:val="20"/>
          </w:rPr>
        </w:r>
        <w:r w:rsidRPr="00181AE5">
          <w:rPr>
            <w:webHidden/>
            <w:sz w:val="20"/>
            <w:szCs w:val="20"/>
          </w:rPr>
          <w:fldChar w:fldCharType="separate"/>
        </w:r>
        <w:r w:rsidRPr="00181AE5">
          <w:rPr>
            <w:webHidden/>
            <w:sz w:val="20"/>
            <w:szCs w:val="20"/>
          </w:rPr>
          <w:t>4</w:t>
        </w:r>
        <w:r w:rsidRPr="00181AE5">
          <w:rPr>
            <w:webHidden/>
            <w:sz w:val="20"/>
            <w:szCs w:val="20"/>
          </w:rPr>
          <w:fldChar w:fldCharType="end"/>
        </w:r>
      </w:hyperlink>
    </w:p>
    <w:p w:rsidRPr="00181AE5" w:rsidR="00181AE5" w:rsidRDefault="00181AE5" w14:paraId="179E6D28" w14:textId="0DC8908A">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5">
        <w:r w:rsidRPr="00181AE5">
          <w:rPr>
            <w:rStyle w:val="Hyperlink"/>
            <w:sz w:val="20"/>
            <w:szCs w:val="20"/>
          </w:rPr>
          <w:t>3.</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SYSSELSÄTTNING, SOCIALA FRÅGOR OCH MEDBORGARNA</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_Toc172292815 \h </w:instrText>
        </w:r>
        <w:r w:rsidRPr="00181AE5">
          <w:rPr>
            <w:webHidden/>
            <w:sz w:val="20"/>
            <w:szCs w:val="20"/>
          </w:rPr>
        </w:r>
        <w:r w:rsidRPr="00181AE5">
          <w:rPr>
            <w:webHidden/>
            <w:sz w:val="20"/>
            <w:szCs w:val="20"/>
          </w:rPr>
          <w:fldChar w:fldCharType="separate"/>
        </w:r>
        <w:r w:rsidRPr="00181AE5">
          <w:rPr>
            <w:webHidden/>
            <w:sz w:val="20"/>
            <w:szCs w:val="20"/>
          </w:rPr>
          <w:t>5</w:t>
        </w:r>
        <w:r w:rsidRPr="00181AE5">
          <w:rPr>
            <w:webHidden/>
            <w:sz w:val="20"/>
            <w:szCs w:val="20"/>
          </w:rPr>
          <w:fldChar w:fldCharType="end"/>
        </w:r>
      </w:hyperlink>
    </w:p>
    <w:p w:rsidRPr="00181AE5" w:rsidR="00181AE5" w:rsidRDefault="00181AE5" w14:paraId="33CE50B4" w14:textId="1F230ED3">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6">
        <w:r w:rsidRPr="00181AE5">
          <w:rPr>
            <w:rStyle w:val="Hyperlink"/>
            <w:sz w:val="20"/>
            <w:szCs w:val="20"/>
          </w:rPr>
          <w:t>4.</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INRE MARKNADEN, PRODUKTION OCH KONSUMTION</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_Toc172292816 \h </w:instrText>
        </w:r>
        <w:r w:rsidRPr="00181AE5">
          <w:rPr>
            <w:webHidden/>
            <w:sz w:val="20"/>
            <w:szCs w:val="20"/>
          </w:rPr>
        </w:r>
        <w:r w:rsidRPr="00181AE5">
          <w:rPr>
            <w:webHidden/>
            <w:sz w:val="20"/>
            <w:szCs w:val="20"/>
          </w:rPr>
          <w:fldChar w:fldCharType="separate"/>
        </w:r>
        <w:r w:rsidRPr="00181AE5">
          <w:rPr>
            <w:webHidden/>
            <w:sz w:val="20"/>
            <w:szCs w:val="20"/>
          </w:rPr>
          <w:t>9</w:t>
        </w:r>
        <w:r w:rsidRPr="00181AE5">
          <w:rPr>
            <w:webHidden/>
            <w:sz w:val="20"/>
            <w:szCs w:val="20"/>
          </w:rPr>
          <w:fldChar w:fldCharType="end"/>
        </w:r>
      </w:hyperlink>
    </w:p>
    <w:p w:rsidRPr="00181AE5" w:rsidR="00181AE5" w:rsidRDefault="00181AE5" w14:paraId="0CFAD393" w14:textId="403F88EE">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7">
        <w:r w:rsidRPr="00181AE5">
          <w:rPr>
            <w:rStyle w:val="Hyperlink"/>
            <w:sz w:val="20"/>
            <w:szCs w:val="20"/>
          </w:rPr>
          <w:t>5.</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JORDBRUK, LANDSBYGDSUTVECKLING OCH MILJÖ</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_Toc172292817 \h </w:instrText>
        </w:r>
        <w:r w:rsidRPr="00181AE5">
          <w:rPr>
            <w:webHidden/>
            <w:sz w:val="20"/>
            <w:szCs w:val="20"/>
          </w:rPr>
        </w:r>
        <w:r w:rsidRPr="00181AE5">
          <w:rPr>
            <w:webHidden/>
            <w:sz w:val="20"/>
            <w:szCs w:val="20"/>
          </w:rPr>
          <w:fldChar w:fldCharType="separate"/>
        </w:r>
        <w:r w:rsidRPr="00181AE5">
          <w:rPr>
            <w:webHidden/>
            <w:sz w:val="20"/>
            <w:szCs w:val="20"/>
          </w:rPr>
          <w:t>10</w:t>
        </w:r>
        <w:r w:rsidRPr="00181AE5">
          <w:rPr>
            <w:webHidden/>
            <w:sz w:val="20"/>
            <w:szCs w:val="20"/>
          </w:rPr>
          <w:fldChar w:fldCharType="end"/>
        </w:r>
      </w:hyperlink>
    </w:p>
    <w:p w:rsidRPr="00181AE5" w:rsidR="00181AE5" w:rsidRDefault="00181AE5" w14:paraId="0D935B23" w14:textId="10B3D657">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8">
        <w:r w:rsidRPr="00181AE5">
          <w:rPr>
            <w:rStyle w:val="Hyperlink"/>
            <w:sz w:val="20"/>
            <w:szCs w:val="20"/>
          </w:rPr>
          <w:t>6.</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YTTRE FÖRBINDELSER</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_Toc172292818 \h </w:instrText>
        </w:r>
        <w:r w:rsidRPr="00181AE5">
          <w:rPr>
            <w:webHidden/>
            <w:sz w:val="20"/>
            <w:szCs w:val="20"/>
          </w:rPr>
        </w:r>
        <w:r w:rsidRPr="00181AE5">
          <w:rPr>
            <w:webHidden/>
            <w:sz w:val="20"/>
            <w:szCs w:val="20"/>
          </w:rPr>
          <w:fldChar w:fldCharType="separate"/>
        </w:r>
        <w:r w:rsidRPr="00181AE5">
          <w:rPr>
            <w:webHidden/>
            <w:sz w:val="20"/>
            <w:szCs w:val="20"/>
          </w:rPr>
          <w:t>12</w:t>
        </w:r>
        <w:r w:rsidRPr="00181AE5">
          <w:rPr>
            <w:webHidden/>
            <w:sz w:val="20"/>
            <w:szCs w:val="20"/>
          </w:rPr>
          <w:fldChar w:fldCharType="end"/>
        </w:r>
      </w:hyperlink>
    </w:p>
    <w:p w:rsidRPr="00181AE5" w:rsidR="00181AE5" w:rsidRDefault="00181AE5" w14:paraId="691C120C" w14:textId="181A6E35">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19">
        <w:r w:rsidRPr="00181AE5">
          <w:rPr>
            <w:rStyle w:val="Hyperlink"/>
            <w:sz w:val="20"/>
            <w:szCs w:val="20"/>
          </w:rPr>
          <w:t>7.</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TRANSPORTER, ENERGI, INFRASTRUKTUR OCH INFORMATIONSSAMHÄLLET</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_Toc172292819 \h </w:instrText>
        </w:r>
        <w:r w:rsidRPr="00181AE5">
          <w:rPr>
            <w:webHidden/>
            <w:sz w:val="20"/>
            <w:szCs w:val="20"/>
          </w:rPr>
        </w:r>
        <w:r w:rsidRPr="00181AE5">
          <w:rPr>
            <w:webHidden/>
            <w:sz w:val="20"/>
            <w:szCs w:val="20"/>
          </w:rPr>
          <w:fldChar w:fldCharType="separate"/>
        </w:r>
        <w:r w:rsidRPr="00181AE5">
          <w:rPr>
            <w:webHidden/>
            <w:sz w:val="20"/>
            <w:szCs w:val="20"/>
          </w:rPr>
          <w:t>14</w:t>
        </w:r>
        <w:r w:rsidRPr="00181AE5">
          <w:rPr>
            <w:webHidden/>
            <w:sz w:val="20"/>
            <w:szCs w:val="20"/>
          </w:rPr>
          <w:fldChar w:fldCharType="end"/>
        </w:r>
      </w:hyperlink>
    </w:p>
    <w:p w:rsidRPr="00181AE5" w:rsidR="00181AE5" w:rsidRDefault="00181AE5" w14:paraId="74ED495F" w14:textId="22EC6D71">
      <w:pPr>
        <w:pStyle w:val="TOC1"/>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pPr>
      <w:hyperlink w:history="1" w:anchor="_Toc172292820">
        <w:r w:rsidRPr="00181AE5">
          <w:rPr>
            <w:rStyle w:val="Hyperlink"/>
            <w:sz w:val="20"/>
            <w:szCs w:val="20"/>
          </w:rPr>
          <w:t xml:space="preserve">8. </w:t>
        </w:r>
        <w:r w:rsidRPr="00181AE5">
          <w:rPr>
            <w:rFonts w:asciiTheme="minorHAnsi" w:hAnsiTheme="minorHAnsi" w:eastAsiaTheme="minorEastAsia"/>
            <w:b w:val="0"/>
            <w:color w:val="auto"/>
            <w:sz w:val="20"/>
            <w:szCs w:val="20"/>
            <w:lang w:val="en-US" w:bidi="hi-x-bh-SDL"/>
            <w14:scene3d>
              <w14:camera w14:prst="orthographicFront"/>
              <w14:lightRig w14:rig="threePt" w14:dir="t">
                <w14:rot w14:lat="0" w14:lon="0" w14:rev="0"/>
              </w14:lightRig>
            </w14:scene3d>
          </w:rPr>
          <w:tab/>
        </w:r>
        <w:r w:rsidRPr="00181AE5">
          <w:rPr>
            <w:rStyle w:val="Hyperlink"/>
            <w:sz w:val="20"/>
            <w:szCs w:val="20"/>
          </w:rPr>
          <w:t>RÅDGIVANDE UTSKOTTET FÖR INDUSTRIELL OMVANDLING</w:t>
        </w:r>
        <w:r w:rsidRPr="00181AE5">
          <w:rPr>
            <w:webHidden/>
            <w:sz w:val="20"/>
            <w:szCs w:val="20"/>
          </w:rPr>
          <w:tab/>
        </w:r>
        <w:r w:rsidRPr="00181AE5">
          <w:rPr>
            <w:webHidden/>
            <w:sz w:val="20"/>
            <w:szCs w:val="20"/>
          </w:rPr>
          <w:fldChar w:fldCharType="begin"/>
        </w:r>
        <w:r w:rsidRPr="00181AE5">
          <w:rPr>
            <w:webHidden/>
            <w:sz w:val="20"/>
            <w:szCs w:val="20"/>
          </w:rPr>
          <w:instrText xml:space="preserve"> PAGEREF _Toc172292820 \h </w:instrText>
        </w:r>
        <w:r w:rsidRPr="00181AE5">
          <w:rPr>
            <w:webHidden/>
            <w:sz w:val="20"/>
            <w:szCs w:val="20"/>
          </w:rPr>
        </w:r>
        <w:r w:rsidRPr="00181AE5">
          <w:rPr>
            <w:webHidden/>
            <w:sz w:val="20"/>
            <w:szCs w:val="20"/>
          </w:rPr>
          <w:fldChar w:fldCharType="separate"/>
        </w:r>
        <w:r w:rsidRPr="00181AE5">
          <w:rPr>
            <w:webHidden/>
            <w:sz w:val="20"/>
            <w:szCs w:val="20"/>
          </w:rPr>
          <w:t>15</w:t>
        </w:r>
        <w:r w:rsidRPr="00181AE5">
          <w:rPr>
            <w:webHidden/>
            <w:sz w:val="20"/>
            <w:szCs w:val="20"/>
          </w:rPr>
          <w:fldChar w:fldCharType="end"/>
        </w:r>
      </w:hyperlink>
    </w:p>
    <w:p w:rsidR="00C86ABD" w:rsidRDefault="0014322B" w14:paraId="4EDE006A" w14:textId="4E24BABF">
      <w:pPr>
        <w:jc w:val="left"/>
      </w:pPr>
      <w:r w:rsidRPr="00181AE5">
        <w:rPr>
          <w:sz w:val="20"/>
          <w:szCs w:val="20"/>
        </w:rPr>
        <w:fldChar w:fldCharType="end"/>
      </w:r>
      <w:r w:rsidRPr="00181AE5">
        <w:rPr>
          <w:sz w:val="20"/>
          <w:szCs w:val="20"/>
        </w:rPr>
        <w:br w:type="page"/>
      </w:r>
    </w:p>
    <w:p w:rsidR="00C86ABD" w:rsidP="00810736" w:rsidRDefault="00C86ABD" w14:paraId="6C806385" w14:textId="0970C9A4">
      <w:pPr>
        <w:pStyle w:val="Heading1"/>
        <w:ind w:left="709" w:hanging="720"/>
        <w:rPr>
          <w:b/>
          <w:bCs/>
        </w:rPr>
      </w:pPr>
      <w:bookmarkStart w:name="_Toc172292813" w:id="0"/>
      <w:r>
        <w:rPr>
          <w:b/>
        </w:rPr>
        <w:lastRenderedPageBreak/>
        <w:t>RESOLUTION</w:t>
      </w:r>
      <w:bookmarkEnd w:id="0"/>
      <w:r>
        <w:rPr>
          <w:b/>
        </w:rPr>
        <w:t xml:space="preserve"> </w:t>
      </w:r>
    </w:p>
    <w:p w:rsidRPr="004516BD" w:rsidR="004516BD" w:rsidP="004516BD" w:rsidRDefault="004516BD" w14:paraId="46F44DDA" w14:textId="77777777"/>
    <w:p w:rsidRPr="00F57351" w:rsidR="00A773FA" w:rsidP="0088361D" w:rsidRDefault="00A61A62"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Pr="00F57351" w:rsidR="000B64C3">
          <w:rPr>
            <w:b/>
            <w:i/>
            <w:color w:val="0000FF"/>
            <w:sz w:val="28"/>
            <w:szCs w:val="28"/>
            <w:u w:val="single"/>
          </w:rPr>
          <w:t xml:space="preserve">Ingen får lämnas </w:t>
        </w:r>
        <w:proofErr w:type="spellStart"/>
        <w:r w:rsidRPr="00F57351" w:rsidR="000B64C3">
          <w:rPr>
            <w:b/>
            <w:i/>
            <w:color w:val="0000FF"/>
            <w:sz w:val="28"/>
            <w:szCs w:val="28"/>
            <w:u w:val="single"/>
          </w:rPr>
          <w:t>utanför!</w:t>
        </w:r>
      </w:hyperlink>
      <w:hyperlink w:history="1" r:id="rId21">
        <w:r w:rsidRPr="00F57351" w:rsidR="000B64C3">
          <w:rPr>
            <w:b/>
            <w:i/>
            <w:color w:val="0000FF"/>
            <w:sz w:val="28"/>
            <w:szCs w:val="28"/>
            <w:u w:val="single"/>
          </w:rPr>
          <w:t>För</w:t>
        </w:r>
        <w:proofErr w:type="spellEnd"/>
        <w:r w:rsidRPr="00F57351" w:rsidR="000B64C3">
          <w:rPr>
            <w:b/>
            <w:i/>
            <w:color w:val="0000FF"/>
            <w:sz w:val="28"/>
            <w:szCs w:val="28"/>
            <w:u w:val="single"/>
          </w:rPr>
          <w:t xml:space="preserve"> en inkluderande och deltagandebaserad sammanhållni</w:t>
        </w:r>
        <w:r w:rsidRPr="00F57351" w:rsidR="000B64C3">
          <w:rPr>
            <w:b/>
            <w:i/>
            <w:color w:val="0000FF"/>
            <w:sz w:val="28"/>
            <w:szCs w:val="28"/>
            <w:u w:val="single"/>
          </w:rPr>
          <w:t>n</w:t>
        </w:r>
        <w:r w:rsidRPr="00F57351" w:rsidR="000B64C3">
          <w:rPr>
            <w:b/>
            <w:i/>
            <w:color w:val="0000FF"/>
            <w:sz w:val="28"/>
            <w:szCs w:val="28"/>
            <w:u w:val="single"/>
          </w:rPr>
          <w:t>gspolitik till stöd för social, ekonomisk och territoriell sammanhållning</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Föredragande:</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Referens:</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Europeiska ekonomiska och sociala kommitténs (EESK) ståndpunkt:</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EESK uppmanar EU:s medlemsstater och ledare, EU-institutionerna och EU:s medborgare att trygga och skydda EU:s ekonomiska, sociala och territoriella sammanhållning i enlighet med artikel 174 i EUF-fördraget.</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Vi betonar att sammanhållningspolitikens grundläggande princip att ”ingen får lämnas utanför” står fast och fortsatt gäller, och att aktörerna inom det civila samhället är redo att fortsätta verka för den med hjälp av en robust investeringspolitik för EU.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betonar att ojämlika möjligheter kan ha en negativ inverkan på den långsiktiga tillväxten och konkurrenskraften på regional och nationell nivå samt på EU-nivå. Det behövs därför en sammanhållningspolitik som är mer diversifierad och flexibel, men även trovärdig, stabil och tydlig, så att den kan bidra till ett ökat fokus på människorna, i synnerhet de mest utsatta, och till att bättre ta itu med de ojämlika möjligheter som många står inför.</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Vi är kritiska till att rollen som kommissionsledamot med huvudansvar för sammanhållning avskaffas.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motsätter oss att sammanhållningspolitiken reduceras och omvandlas till ett instrument för hantering av akuta kriser.</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Vi avvisar idén om att omvandla sammanhållningspolitiken till ett instrument liknande faciliteten för återhämtning och </w:t>
      </w:r>
      <w:proofErr w:type="spellStart"/>
      <w:r>
        <w:t>resiliens</w:t>
      </w:r>
      <w:proofErr w:type="spellEnd"/>
      <w:r>
        <w:t xml:space="preserve">, i vilket strukturellt deltagande av berörda parter, delad förvaltning och flernivåstyre endast förekommer i liten utsträckning eller helt saknas.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stöder partnerskapsprincipen och tydliga regler för att inkludera det civila samhället i urvalet, styrningen och övervakningen av EU-finansierade insatser.</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efterlyser en kraftfull formulering om det civila samhällets deltagande i nästa förordning om gemensamma bestämmelser, som reglerar användningen av sammanhållningsfonderna och annan EU-finansiering efter 2027 på samma sätt som under perioden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efterlyser en plats- och människobaserad sammanhållningspolitik.</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Vi efterlyser att sammanhållningspolitiken ges nya impulser. Vår kommitté anser att de många olika instrumenten och strategierna bör breddas, moderniseras eller ses över för att åstadkomma en robust, ändamålsenlig, flexibel och förnyad sammanhållningspolitik med större fokus på kapacitet, interregionala kopplingar, effektiva resultat och andra möjligheter för stödmottagarna än enbart investeringar.</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Vi kommer att göra allt som står i vår makt för att slå vakt om sammanhållningspolitikens grundläggande principer och se till att den förblir det kitt som håller Europa enat.</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lastRenderedPageBreak/>
              <w:t>Kontaktperson:</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Tfn</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E-post:</w:t>
            </w:r>
          </w:p>
        </w:tc>
        <w:tc>
          <w:tcPr>
            <w:tcW w:w="5670" w:type="dxa"/>
          </w:tcPr>
          <w:p w:rsidRPr="00A773FA" w:rsidR="00A773FA" w:rsidP="00A773FA" w:rsidRDefault="00A61A62"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292814" w:id="3"/>
      <w:bookmarkEnd w:id="1"/>
      <w:bookmarkEnd w:id="2"/>
      <w:r>
        <w:rPr>
          <w:b/>
        </w:rPr>
        <w:t>EKONOMISKA OCH MONETÄRA UNIONEN, EKONOMISK OCH SOCIAL SAMMANHÅLLNING</w:t>
      </w:r>
      <w:bookmarkEnd w:id="3"/>
    </w:p>
    <w:p w:rsidRPr="00EE2FBD" w:rsidR="00B807B4" w:rsidP="00810736" w:rsidRDefault="00B807B4" w14:paraId="3CAC710B" w14:textId="11524E6A">
      <w:pPr>
        <w:pStyle w:val="Heading1"/>
        <w:numPr>
          <w:ilvl w:val="0"/>
          <w:numId w:val="0"/>
        </w:numPr>
        <w:ind w:left="928"/>
        <w:rPr>
          <w:b/>
          <w:bCs/>
        </w:rPr>
      </w:pPr>
    </w:p>
    <w:p w:rsidRPr="00F57351" w:rsidR="00A773FA" w:rsidP="00A773FA" w:rsidRDefault="00A61A62" w14:paraId="18865835" w14:textId="0A72B877">
      <w:pPr>
        <w:widowControl w:val="0"/>
        <w:numPr>
          <w:ilvl w:val="0"/>
          <w:numId w:val="27"/>
        </w:numPr>
        <w:overflowPunct w:val="0"/>
        <w:autoSpaceDE w:val="0"/>
        <w:autoSpaceDN w:val="0"/>
        <w:adjustRightInd w:val="0"/>
        <w:ind w:hanging="567"/>
        <w:textAlignment w:val="baseline"/>
        <w:rPr>
          <w:sz w:val="28"/>
          <w:szCs w:val="28"/>
        </w:rPr>
      </w:pPr>
      <w:hyperlink w:history="1" r:id="rId23">
        <w:r w:rsidRPr="00F57351" w:rsidR="000B64C3">
          <w:rPr>
            <w:b/>
            <w:i/>
            <w:color w:val="0000FF"/>
            <w:sz w:val="28"/>
            <w:szCs w:val="28"/>
            <w:u w:val="single"/>
          </w:rPr>
          <w:t>Regelverk för beskattning av enheter inom den s</w:t>
        </w:r>
        <w:r w:rsidRPr="00F57351" w:rsidR="000B64C3">
          <w:rPr>
            <w:b/>
            <w:i/>
            <w:color w:val="0000FF"/>
            <w:sz w:val="28"/>
            <w:szCs w:val="28"/>
            <w:u w:val="single"/>
          </w:rPr>
          <w:t>o</w:t>
        </w:r>
        <w:r w:rsidRPr="00F57351" w:rsidR="000B64C3">
          <w:rPr>
            <w:b/>
            <w:i/>
            <w:color w:val="0000FF"/>
            <w:sz w:val="28"/>
            <w:szCs w:val="28"/>
            <w:u w:val="single"/>
          </w:rPr>
          <w:t>ciala ekonomin</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Föredragande:</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 xml:space="preserve">Giuseppe </w:t>
            </w:r>
            <w:proofErr w:type="spellStart"/>
            <w:r>
              <w:t>Guerini</w:t>
            </w:r>
            <w:proofErr w:type="spellEnd"/>
            <w:r>
              <w:t xml:space="preserve"> (Gruppen för civilsamhällesorganisationer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Referens:</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Yttrande på eget initiativ</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Europeiska ekonomiska och sociala kommitténs (EESK) ståndpunkt:</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EESK betonar att det är viktigt att medlemsstaternas skattesystem inte hindrar utvecklingen av den sociala ekonomin. Vi välkomnar dessutom kommissionens mål att stödja medlemsstaterna genom att offentliggöra vägledning om relevanta beskattningsregler för enheter inom den sociala ekonomin.</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Kunskap om strategier som antagits i olika medlemsstater kan vara en viktig utgångspunkt för att fördjupa och förbättra den övergripande skatteramen för enheter inom den sociala ekonomin på den inre marknaden.</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EESK hoppas att tillvägagångssättet för beskattning av enheter inom den sociala ekonomin kan harmoniseras ytterligare i framtiden för att konsolidera den inre marknaden.</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EESK efterlyser att man inleder en djuplodande diskussion om möjliga sätt att i framtiden harmonisera beskattningen av den sociala ekonomin i EU.</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Vi uppmanar kommissionen och medlemsstaterna att även överväga särskilt förmånliga momssatser för allmännyttig verksamhet som utförs av enheter inom den sociala ekonomin och för sociala tjänster, särskilt inom hälso- och sjukvårdssektorn och sektorerna för social omsorg för äldre personer, personliga tjänster, långvarig vård och omsorg samt utbildning.</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Tfn</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E-post:</w:t>
            </w:r>
          </w:p>
        </w:tc>
        <w:tc>
          <w:tcPr>
            <w:tcW w:w="3444" w:type="pct"/>
          </w:tcPr>
          <w:p w:rsidRPr="00A773FA" w:rsidR="00A773FA" w:rsidP="00A773FA" w:rsidRDefault="00A61A62"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Pr="00181AE5" w:rsidR="00C37F51" w:rsidP="00181AE5" w:rsidRDefault="00C34921" w14:paraId="264EB5BB" w14:textId="64EED120">
      <w:pPr>
        <w:pStyle w:val="TOC1"/>
        <w:rPr>
          <w:rStyle w:val="Hyperlink"/>
          <w:b w:val="0"/>
          <w:color w:val="000000" w:themeColor="text1"/>
          <w:u w:val="none"/>
        </w:rPr>
      </w:pPr>
      <w:r w:rsidRPr="00181AE5">
        <w:rPr>
          <w:color w:val="auto"/>
        </w:rPr>
        <w:lastRenderedPageBreak/>
        <w:fldChar w:fldCharType="begin"/>
      </w:r>
      <w:r w:rsidRPr="00181AE5">
        <w:instrText xml:space="preserve"> HYPERLINK \l "_Toc164353188" </w:instrText>
      </w:r>
      <w:r w:rsidRPr="00181AE5">
        <w:rPr>
          <w:color w:val="auto"/>
        </w:rPr>
        <w:fldChar w:fldCharType="separate"/>
      </w:r>
      <w:bookmarkStart w:name="_Toc172292815" w:id="5"/>
      <w:r w:rsidRPr="00181AE5">
        <w:rPr>
          <w:rStyle w:val="Hyperlink"/>
          <w:color w:val="000000" w:themeColor="text1"/>
          <w:u w:val="none"/>
        </w:rPr>
        <w:t>3.</w:t>
      </w:r>
      <w:r w:rsidRPr="00181AE5">
        <w:rPr>
          <w:rFonts w:asciiTheme="minorHAnsi" w:hAnsiTheme="minorHAnsi"/>
        </w:rPr>
        <w:tab/>
      </w:r>
      <w:r w:rsidRPr="00181AE5">
        <w:t>SYSSELSÄTTNING, SOCIALA FRÅGOR OCH MEDBORGARNA</w:t>
      </w:r>
      <w:bookmarkEnd w:id="5"/>
      <w:r w:rsidRPr="00181AE5">
        <w:rPr>
          <w:rStyle w:val="Hyperlink"/>
          <w:rFonts w:asciiTheme="minorHAnsi" w:hAnsiTheme="minorHAnsi"/>
          <w:color w:val="auto"/>
          <w:u w:val="none"/>
        </w:rPr>
        <w:t xml:space="preserve"> </w:t>
      </w:r>
      <w:r w:rsidRPr="00181AE5">
        <w:rPr>
          <w:rStyle w:val="Hyperlink"/>
          <w:color w:val="000000" w:themeColor="text1"/>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"https://www.eesc.europa.eu/sv/our-work/opinions-information-reports/opinions/combating-sexual-abuse-and-sexual-exploitation-children-and-child-pornography"</w:instrText>
      </w:r>
      <w:r w:rsidRPr="00231B83">
        <w:rPr>
          <w:b/>
          <w:i/>
          <w:sz w:val="28"/>
        </w:rPr>
        <w:fldChar w:fldCharType="separate"/>
      </w:r>
      <w:r>
        <w:rPr>
          <w:b/>
          <w:i/>
          <w:color w:val="0000FF"/>
          <w:sz w:val="28"/>
          <w:u w:val="single"/>
        </w:rPr>
        <w:t>Bekämpande av s</w:t>
      </w:r>
      <w:r>
        <w:rPr>
          <w:b/>
          <w:i/>
          <w:color w:val="0000FF"/>
          <w:sz w:val="28"/>
          <w:u w:val="single"/>
        </w:rPr>
        <w:t>e</w:t>
      </w:r>
      <w:r>
        <w:rPr>
          <w:b/>
          <w:i/>
          <w:color w:val="0000FF"/>
          <w:sz w:val="28"/>
          <w:u w:val="single"/>
        </w:rPr>
        <w:t>xuella övergrepp mot barn, sexuell exploatering av barn och barnpornografi</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Föredragande:</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Medföredragande:</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 xml:space="preserve">Christian </w:t>
            </w:r>
            <w:proofErr w:type="spellStart"/>
            <w:r>
              <w:t>Bäumler</w:t>
            </w:r>
            <w:proofErr w:type="spellEnd"/>
            <w:r>
              <w:t xml:space="preserve"> (Arbetstagargruppen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 xml:space="preserve">Diana </w:t>
            </w:r>
            <w:proofErr w:type="spellStart"/>
            <w:r>
              <w:t>Indjova</w:t>
            </w:r>
            <w:proofErr w:type="spellEnd"/>
            <w:r>
              <w:t xml:space="preserve"> (Gruppen för civilsamhällesorganisationer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Referens: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Europeiska ekonomiska och sociala kommitténs (EESK) ståndpunkt:</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EESK stöder förslagets mål att säkerställa att alla former av sexuella övergrepp mot och sexuell exploatering av barn kriminaliseras, även sådana som möjliggörs eller underlättas av den tekniska utvecklingen.</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Kommittén välkomnar att särskild uppmärksamhet ägnas den särskilt utsatta gruppen barn med funktionsnedsättning, som lätt kan bli offer för sexuella övergrepp, sexuell exploatering och cyberbrott.</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EESK stöder bättre samordning mellan medlemsstaterna och på nationell nivå när det gäller att förebygga och bekämpa sexuella övergrepp mot barn. I detta sammanhang stöder kommittén den föreslagna skyldigheten för medlemsstaterna att inrätta nationella myndigheter med ansvar för denna samordning.</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Kommittén understryker att både en effektiv lagföring av gärningsmän och säkerställande av skyddet av brottsoffer i hela EU förutsätter gemensamma miniminormer för fastställande av brottsrekvisit och påföljdsnivå, och stöder kriminaliseringen av s.k. pedofilhandböcker.</w:t>
      </w:r>
    </w:p>
    <w:p w:rsidRPr="00231B83" w:rsidR="00231B83" w:rsidP="0088361D" w:rsidRDefault="00231B83" w14:paraId="3845B795" w14:textId="32F5D1EA">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EESK anser att det internationella utbytet av data som rör sexuella övergrepp mot och sexuell exploatering av barn bör regleras konkret och att möjligheterna till lagring av data bör utvidgas i</w:t>
      </w:r>
      <w:r w:rsidR="004A2755">
        <w:t> </w:t>
      </w:r>
      <w:r>
        <w:t>alla medlemsstater, med utvecklingen av ett EU-forskningscentrum.</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EESK stöder det förbättrade förebyggandet av, och stödet till offer för, sexuell exploatering och sexuella övergrepp, och ställer sig bakom den föreslagna höjningen av minimipåföljderna och förlängningen av preskriptionstiderna.</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Brottsbekämpande tjänstemän och personer som har kontakt med barn måste få kontinuerlig utbildning för att kunna fullgöra sina uppgifter.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EESK anser att det civila samhällets deltagande är avgörande i såväl bekämpandet av sexuella övergrepp mot och sexuell exploatering av barn som i det förebyggande arbetet och stödet till brottsoffer.</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Tfn</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E-post:</w:t>
            </w:r>
          </w:p>
        </w:tc>
        <w:tc>
          <w:tcPr>
            <w:tcW w:w="3444" w:type="pct"/>
          </w:tcPr>
          <w:p w:rsidRPr="00231B83" w:rsidR="00231B83" w:rsidP="00231B83" w:rsidRDefault="00A61A62"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"https://www.eesc.europa.eu/sv/our-work/opinions-information-reports/opinions/anti-smuggling-package" </w:instrText>
      </w:r>
      <w:r w:rsidRPr="00D7590E">
        <w:rPr>
          <w:b/>
          <w:i/>
          <w:sz w:val="28"/>
        </w:rPr>
        <w:fldChar w:fldCharType="separate"/>
      </w:r>
      <w:r>
        <w:rPr>
          <w:b/>
          <w:i/>
          <w:color w:val="0000FF"/>
          <w:sz w:val="28"/>
          <w:u w:val="single"/>
        </w:rPr>
        <w:t>Paket mot sm</w:t>
      </w:r>
      <w:r>
        <w:rPr>
          <w:b/>
          <w:i/>
          <w:color w:val="0000FF"/>
          <w:sz w:val="28"/>
          <w:u w:val="single"/>
        </w:rPr>
        <w:t>u</w:t>
      </w:r>
      <w:r>
        <w:rPr>
          <w:b/>
          <w:i/>
          <w:color w:val="0000FF"/>
          <w:sz w:val="28"/>
          <w:u w:val="single"/>
        </w:rPr>
        <w:t>ggling</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Föredragande:</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 xml:space="preserve">Florin </w:t>
            </w:r>
            <w:proofErr w:type="spellStart"/>
            <w:r>
              <w:t>Bercea</w:t>
            </w:r>
            <w:proofErr w:type="spellEnd"/>
            <w:r>
              <w:t xml:space="preserve"> (Arbetstagargruppen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Referens: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Europeiska ekonomiska och sociala kommitténs (EESK) ståndpunkt:</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Inom ramen för de två lagstiftningsförslagen och den globala alliansen föreslås en proportionell och stegvis uppbyggnad av kapaciteten, men det behövs mer strategiska ambitioner och åtaganden för att hantera processen på ett ändamålsenligt sätt.</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Kampen mot migrantsmuggling är i behov av nya impulser och en bättre samordning på alla nivåer. Samtidigt är det viktigt att öppna upp kanaler och förfaranden för laglig migration för dem som vill nå EU på ett säkert och lagligt sätt.</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För att EU:s asylsystem ska fungera effektivt är det mycket viktigt att hitta sätt att lösa problemen med systematiska avvisningar vid EU:s yttre gränser, eftersom detta är förbjudet enligt Genèvekonventionen. Avsaknaden av säkra och lagliga vägar in i EU gör att flyktingar och migranter som söker en säker tillvaro inte har något annat val än att ta farligare vägar, vilket försätter dem i livsfara.</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Kommittén uppmanar kommissionen att utveckla en mer robust strategi som omfattar mer än den globala alliansen för att stärka tredjeländers kapacitet och uppmuntra samarbete med Europol och medlemsstaternas brottsbekämpande myndigheter.</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Kommittén beklagar att paketet inte omfattar dem som använder sig av migrantsmugglarnas tjänster, trots att de konstateras vara potentiella offer. EU måste se till att strategin mot smuggling inbegriper de grundläggande rättigheterna för personer som är desperata och sårbara nog att anlita smugglare. Politiken bör också inriktas mer på grupper av människor som är ännu mer sårbara, t.ex. personer med funktionsnedsättningar.</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EESK efterlyser större transparens i utarbetandet av förslagen, eftersom det inte fanns någon konsekvensbedömning på förhand som åtföljde förslagen.</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Kommittén välkomnar direktivet, men varnar för att dess innehåll allvarligt kan påverka de grundläggande rättigheterna för migranter och för dem som hjälper dem av humanitära skäl. Kommittén anser att det är fel och oacceptabelt att bekämpa smuggling genom att på detta sätt skapa och upprätthålla en utbredd rädsla i samband med humanitärt, rättsligt eller till och med administrativt bistånd.</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Dessutom bör humanitär personal, familjemedlemmar och andra personer som hjälper migranter undantas från lagföring. Grund för åtal bör endast föreligga när någon gynnats ekonomiskt på ett otillbörligt sätt.</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proofErr w:type="spellStart"/>
            <w:r>
              <w:rPr>
                <w:i/>
              </w:rPr>
              <w:t>Gemma</w:t>
            </w:r>
            <w:proofErr w:type="spellEnd"/>
            <w:r>
              <w:rPr>
                <w:i/>
              </w:rPr>
              <w:t xml:space="preserve">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Tfn</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E-post:</w:t>
            </w:r>
          </w:p>
        </w:tc>
        <w:tc>
          <w:tcPr>
            <w:tcW w:w="3444" w:type="pct"/>
          </w:tcPr>
          <w:p w:rsidRPr="00D7590E" w:rsidR="00D7590E" w:rsidP="00D7590E" w:rsidRDefault="00A61A62"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F57351" w:rsidR="003A3334" w:rsidP="003A3334" w:rsidRDefault="00A61A62"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Pr="00F57351" w:rsidR="000B64C3">
          <w:rPr>
            <w:b/>
            <w:i/>
            <w:color w:val="0000FF"/>
            <w:sz w:val="28"/>
            <w:szCs w:val="28"/>
            <w:u w:val="single"/>
          </w:rPr>
          <w:t>Anhörigvår</w:t>
        </w:r>
        <w:r w:rsidRPr="00F57351" w:rsidR="000B64C3">
          <w:rPr>
            <w:b/>
            <w:i/>
            <w:color w:val="0000FF"/>
            <w:sz w:val="28"/>
            <w:szCs w:val="28"/>
            <w:u w:val="single"/>
          </w:rPr>
          <w:t>d</w:t>
        </w:r>
        <w:r w:rsidRPr="00F57351" w:rsidR="000B64C3">
          <w:rPr>
            <w:b/>
            <w:i/>
            <w:color w:val="0000FF"/>
            <w:sz w:val="28"/>
            <w:szCs w:val="28"/>
            <w:u w:val="single"/>
          </w:rPr>
          <w:t>are</w:t>
        </w:r>
      </w:hyperlink>
      <w:r w:rsidRPr="00F57351" w:rsidR="003A3334">
        <w:rPr>
          <w:b/>
          <w:i/>
          <w:sz w:val="28"/>
          <w:szCs w:val="28"/>
        </w:rPr>
        <w:fldChar w:fldCharType="begin"/>
      </w:r>
      <w:r w:rsidRPr="00F57351" w:rsidR="003A3334">
        <w:rPr>
          <w:b/>
          <w:i/>
          <w:sz w:val="28"/>
          <w:szCs w:val="28"/>
        </w:rPr>
        <w:instrText xml:space="preserve"> HYPERLINK "https://www.eesc.europa.eu/sv/our-work/opinions-information-reports/opinions/anti-smuggling-package" </w:instrText>
      </w:r>
      <w:r w:rsidRPr="00F57351" w:rsidR="003A3334">
        <w:rPr>
          <w:b/>
          <w:i/>
          <w:sz w:val="28"/>
          <w:szCs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F57351">
        <w:rPr>
          <w:b/>
          <w:i/>
          <w:sz w:val="28"/>
          <w:szCs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Föredragande:</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 xml:space="preserve">Pietro Vittorio </w:t>
            </w:r>
            <w:proofErr w:type="spellStart"/>
            <w:r>
              <w:t>Barbieri</w:t>
            </w:r>
            <w:proofErr w:type="spellEnd"/>
            <w:r>
              <w:t xml:space="preserve"> (Gruppen för civilsamhällesorganisationer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Referens:</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Yttrande på eget initiativ</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Huvudpunkter</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Europeiska ekonomiska och sociala kommitténs (EESK) ståndpunkt:</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EESK uppmanar kommissionen att sätta frågan om anhörigvårdare högt upp på den politiska agendan och att inrätta en plattform för utbyte av bästa praxis mellan medlemsstaterna. EESK uppmanar medlemsstaterna att anta strategier som uppmuntrar tillhandahållandet och användningen av samhällsbaserade tjänster för långvarig vård och omsorg av hög kvalitet, tillgången till avlastningstjänster för anhörigvårdare samt förebyggande medicin för att ta itu med den höga risk för utbrändhet och fysisk och psykisk överbelastning som anhörigvårdare utsätts för.</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Kommittén uppmanar medlemsstaterna att vidta lämpliga åtgärder för att se till att beslutet att utföra anhörigvård är frivilligt, att ojämlikheter mellan könen åtgärdas, att anhörigvårdare kan behålla sin anställning och lön genom flexiblare arbetsvillkor och att de enkelt kan återvända till arbetsmarknaden om de tvingats lämna den.</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Anhörigvårdare bör uppmärksammas under den internationella dagen för vård och omsorg för att erkänna deras betydelse i EU:s vård- och omsorgssystem.</w:t>
      </w:r>
    </w:p>
    <w:p w:rsidRPr="003A3334" w:rsidR="003A3334" w:rsidP="0088361D" w:rsidRDefault="003A3334" w14:paraId="773BC48D" w14:textId="0DE1F190">
      <w:pPr>
        <w:widowControl w:val="0"/>
        <w:numPr>
          <w:ilvl w:val="0"/>
          <w:numId w:val="38"/>
        </w:numPr>
        <w:tabs>
          <w:tab w:val="center" w:pos="284"/>
        </w:tabs>
        <w:overflowPunct w:val="0"/>
        <w:autoSpaceDE w:val="0"/>
        <w:autoSpaceDN w:val="0"/>
        <w:adjustRightInd w:val="0"/>
        <w:ind w:left="284" w:hanging="284"/>
        <w:contextualSpacing/>
        <w:textAlignment w:val="baseline"/>
      </w:pPr>
      <w:r>
        <w:t>Det är mycket viktigt att ha tillgång till kvalitativa och kvantitativa uppgifter som beskriver de faktiska levnadsvillkoren för anhörigvårdare, och vi efterlyser antagandet av ytterligare forsknings</w:t>
      </w:r>
      <w:r w:rsidR="00274CAB">
        <w:softHyphen/>
      </w:r>
      <w:r>
        <w:t>strategier.</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Kontaktperson:</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Tfn</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E-post:</w:t>
            </w:r>
          </w:p>
        </w:tc>
        <w:tc>
          <w:tcPr>
            <w:tcW w:w="3444" w:type="pct"/>
          </w:tcPr>
          <w:p w:rsidRPr="003A3334" w:rsidR="003A3334" w:rsidP="003A3334" w:rsidRDefault="00A61A62"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"https://www.eesc.europa.eu/sv/our-work/opinions-information-reports/opinions/traineeship-directive-and-reinforced-quality-framework-traineeships"</w:instrText>
      </w:r>
      <w:r w:rsidRPr="002646B8">
        <w:rPr>
          <w:b/>
          <w:i/>
          <w:sz w:val="28"/>
        </w:rPr>
        <w:fldChar w:fldCharType="separate"/>
      </w:r>
      <w:r>
        <w:rPr>
          <w:b/>
          <w:i/>
          <w:color w:val="0000FF"/>
          <w:sz w:val="28"/>
          <w:u w:val="single"/>
        </w:rPr>
        <w:t xml:space="preserve">Praktikantdirektivet och förstärkta kvalitetskriterier för </w:t>
      </w:r>
      <w:r>
        <w:rPr>
          <w:b/>
          <w:i/>
          <w:color w:val="0000FF"/>
          <w:sz w:val="28"/>
          <w:u w:val="single"/>
        </w:rPr>
        <w:t>p</w:t>
      </w:r>
      <w:r>
        <w:rPr>
          <w:b/>
          <w:i/>
          <w:color w:val="0000FF"/>
          <w:sz w:val="28"/>
          <w:u w:val="single"/>
        </w:rPr>
        <w:t>raktikprogram</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Föredragande:</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 xml:space="preserve">Nicoletta </w:t>
            </w:r>
            <w:proofErr w:type="spellStart"/>
            <w:r>
              <w:t>Merlo</w:t>
            </w:r>
            <w:proofErr w:type="spellEnd"/>
            <w:r>
              <w:t xml:space="preserve"> (Arbetstagargruppen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Referens: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Pr="004A2755" w:rsidR="00A769C2" w:rsidP="002646B8" w:rsidRDefault="00A769C2" w14:paraId="6897A316" w14:textId="502D22FE">
            <w:pPr>
              <w:tabs>
                <w:tab w:val="left" w:pos="4430"/>
              </w:tabs>
              <w:overflowPunct w:val="0"/>
              <w:autoSpaceDE w:val="0"/>
              <w:autoSpaceDN w:val="0"/>
              <w:adjustRightInd w:val="0"/>
              <w:ind w:left="-113" w:right="-823"/>
              <w:textAlignment w:val="baseline"/>
            </w:pPr>
            <w:r w:rsidRPr="004A2755">
              <w:t>COM(2024) 132 final</w:t>
            </w:r>
          </w:p>
          <w:p w:rsidRPr="004A2755" w:rsidR="00A769C2" w:rsidP="002646B8" w:rsidRDefault="00A769C2" w14:paraId="6EA44F59" w14:textId="021B4390">
            <w:pPr>
              <w:tabs>
                <w:tab w:val="left" w:pos="4430"/>
              </w:tabs>
              <w:overflowPunct w:val="0"/>
              <w:autoSpaceDE w:val="0"/>
              <w:autoSpaceDN w:val="0"/>
              <w:adjustRightInd w:val="0"/>
              <w:ind w:left="-113" w:right="-823"/>
              <w:textAlignment w:val="baseline"/>
            </w:pPr>
            <w:r w:rsidRPr="004A2755">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Europeiska ekonomiska och sociala kommitténs (EESK) ståndpunkt:</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EESK understryker att lärlingsutbildningar och praktiktjänstgöring är två skilda former av praktik med olika syften och bestämmelser.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Kommittén rekommenderar att definitionerna i artikel 2 inte ska medföra någon skyldighet för medlemsstaterna att klassificera praktik som ett anställningsförhållande om den i enlighet med medlemsstaternas regelverk inte motsvarar direktivets definition av ”praktikant”.</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EESK föreslår att direktivet bör innehålla en förteckning över arbetsvillkor som man inte kan göra undantag från, för att säkerställa ett bättre skydd av praktikanters intressen och samtidigt bevara arbetsmarknadsparternas självständighet när det gäller att reglera villkoren för praktiktjänstgöring på den öppna marknaden.</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EESK understryker den nyckelroll som de behöriga myndigheterna spelar för att motverka att reguljära anställningsförhållanden kamoufleras till praktik, och för att erkänna den viktiga roll som arbetsmarknadens parter kan spela i dessa insatser.</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EESK efterlyser bestämmelser som säkerställer att arbetstagarrepresentanterna alltid kan agera för att skydda praktikanter, även om praktiken inte utgör ett anställningsförhållande.</w:t>
      </w:r>
    </w:p>
    <w:p w:rsidRPr="002646B8" w:rsidR="002646B8" w:rsidP="0088361D" w:rsidRDefault="002646B8" w14:paraId="089040A9" w14:textId="2FFCD431">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Kommittén rekommenderar att man fastställer minimikvalitetskriterier för varje typ av praktik</w:t>
      </w:r>
      <w:r w:rsidR="00274CAB">
        <w:softHyphen/>
      </w:r>
      <w:r>
        <w:t>tjänstgöring i alla medlemsstater. Det är enligt vår mening mycket viktigt att samla in uppgifter och utbyta exempel på god nationell praxis för varje typ av praktiktjänstgöring på EU-nivå, som en del av översyns- och genomförandeprocessen.</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EESK betonar vikten av skälig ersättning, som tar hänsyn till de eventuella omkostnaderna för att delta i utbildningen och för uppehälle i samband med detta.</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Tfn</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E-post:</w:t>
            </w:r>
          </w:p>
        </w:tc>
        <w:tc>
          <w:tcPr>
            <w:tcW w:w="3444" w:type="pct"/>
          </w:tcPr>
          <w:p w:rsidRPr="002646B8" w:rsidR="002646B8" w:rsidP="002646B8" w:rsidRDefault="00A61A62"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181AE5" w:rsidR="00DC26B9" w:rsidP="00181AE5" w:rsidRDefault="00A61A62" w14:paraId="153FDF23" w14:textId="654546C0">
      <w:pPr>
        <w:pStyle w:val="TOC1"/>
        <w:rPr>
          <w:rStyle w:val="Hyperlink"/>
          <w:color w:val="000000" w:themeColor="text1"/>
          <w:u w:val="none"/>
        </w:rPr>
      </w:pPr>
      <w:hyperlink w:history="1" w:anchor="_Toc164353189">
        <w:bookmarkStart w:name="_Toc172292816" w:id="6"/>
        <w:r w:rsidRPr="00181AE5" w:rsidR="000B64C3">
          <w:rPr>
            <w:rStyle w:val="Hyperlink"/>
            <w:color w:val="000000" w:themeColor="text1"/>
            <w:u w:val="none"/>
          </w:rPr>
          <w:t>4.</w:t>
        </w:r>
        <w:r w:rsidRPr="00181AE5" w:rsidR="000B64C3">
          <w:rPr>
            <w:rStyle w:val="Hyperlink"/>
            <w:color w:val="000000" w:themeColor="text1"/>
            <w:u w:val="none"/>
          </w:rPr>
          <w:tab/>
        </w:r>
      </w:hyperlink>
      <w:r w:rsidRPr="00181AE5" w:rsidR="000B64C3">
        <w:rPr>
          <w:rStyle w:val="Hyperlink"/>
          <w:color w:val="000000" w:themeColor="text1"/>
          <w:u w:val="none"/>
        </w:rPr>
        <w:t>INRE MARKNADEN, PRODUKTION OCH KONSUMTION</w:t>
      </w:r>
      <w:bookmarkEnd w:id="6"/>
    </w:p>
    <w:p w:rsidR="00C34921" w:rsidP="00181AE5" w:rsidRDefault="00A61A62" w14:paraId="65737401" w14:textId="157C195D">
      <w:pPr>
        <w:pStyle w:val="TOC1"/>
        <w:rPr>
          <w:rStyle w:val="Hyperlink"/>
          <w:b w:val="0"/>
          <w:color w:val="000000" w:themeColor="text1"/>
          <w:u w:val="none"/>
        </w:rPr>
      </w:pPr>
      <w:hyperlink w:history="1" w:anchor="_Toc164353188"/>
    </w:p>
    <w:p w:rsidRPr="0088361D" w:rsidR="00D92244" w:rsidP="0088361D" w:rsidRDefault="00274CAB" w14:paraId="1848A26A" w14:textId="64FF3EB2">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30">
        <w:r w:rsidRPr="00274CAB" w:rsidR="0074506B">
          <w:rPr>
            <w:rStyle w:val="Hyperlink"/>
            <w:b/>
            <w:i/>
            <w:sz w:val="28"/>
          </w:rPr>
          <w:t>Förslag till rådets rekommenda</w:t>
        </w:r>
        <w:r w:rsidRPr="00274CAB" w:rsidR="0074506B">
          <w:rPr>
            <w:rStyle w:val="Hyperlink"/>
            <w:b/>
            <w:i/>
            <w:sz w:val="28"/>
          </w:rPr>
          <w:t>t</w:t>
        </w:r>
        <w:r w:rsidRPr="00274CAB" w:rsidR="0074506B">
          <w:rPr>
            <w:rStyle w:val="Hyperlink"/>
            <w:b/>
            <w:i/>
            <w:sz w:val="28"/>
          </w:rPr>
          <w:t>ion om ökad forskningssäkerhet</w:t>
        </w:r>
      </w:hyperlink>
      <w:r w:rsidR="0074506B">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Föredragande:</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(Arbetstagargruppen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Referens: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Europeiska ekonomiska och sociala kommitténs (EESK) ståndpunkt:</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EESK anser att en lämplig jämvikt bör säkerställas mellan behovet av säkerhet och behovet av att upprätthålla internationell öppenhet inom sektorn, samtidigt som vi förstår hur sårbar forsknings- och innovationssektorn är för möjlig otillbörlig påverkan från statliga och icke-statliga aktörers sida i samband med visst internationellt forsknings- och innovationssamarbete.</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 xml:space="preserve">Kommittén anser att åtgärderna för att garantera säkerheten inom </w:t>
      </w:r>
      <w:proofErr w:type="spellStart"/>
      <w:r>
        <w:t>FoI</w:t>
      </w:r>
      <w:proofErr w:type="spellEnd"/>
      <w:r>
        <w:t xml:space="preserve"> aldrig får leda till att forskningens fulla oberoende och frihet på något sätt begränsas.</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Principen om frihet under ansvar för forsknings- och innovationsaktörerna bör upprätthållas genom ett effektivt, ändamålsenligt och öppet självstyre inom sektorn.</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 xml:space="preserve">Målet att garantera ett säkert internationellt </w:t>
      </w:r>
      <w:proofErr w:type="spellStart"/>
      <w:r>
        <w:t>FoI</w:t>
      </w:r>
      <w:proofErr w:type="spellEnd"/>
      <w:r>
        <w:t xml:space="preserve">-samarbete får aldrig leda till att </w:t>
      </w:r>
      <w:proofErr w:type="spellStart"/>
      <w:r>
        <w:t>FoI</w:t>
      </w:r>
      <w:proofErr w:type="spellEnd"/>
      <w:r>
        <w:t xml:space="preserve">-aktörer diskrimineras och/eller blir föremål för oskäliga åtgärder, eller stå i strid med arbetstagarnas rättigheter och skyddet av arbetsvillkoren för arbetstagarna i EU:s </w:t>
      </w:r>
      <w:proofErr w:type="spellStart"/>
      <w:r>
        <w:t>FoI</w:t>
      </w:r>
      <w:proofErr w:type="spellEnd"/>
      <w:r>
        <w:t>-sektor.</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EESK ser gärna att det utvecklas ett fullständigt oberoende för forskning och innovation inom en enhetlig och konsekvent ram i alla EU:s medlemsstater.</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Kommittén framhåller vikten av att stärka skyddet av den immateriella äganderätten till innovationer som kan garantera den nationella säkerheten och av att utvidga kontrollen av utländska direktinvesteringar i företag som är föremål för sammanslagningar och förvärv och som är verksamma på de tio kritiska områdena och inom sektorn för produkter med dubbla användningsområden.</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 xml:space="preserve">Vi anser att bristen på specifik vägledning i rekommendationen när det gäller att stödja </w:t>
      </w:r>
      <w:proofErr w:type="spellStart"/>
      <w:r>
        <w:t>FoI</w:t>
      </w:r>
      <w:proofErr w:type="spellEnd"/>
      <w:r>
        <w:t xml:space="preserve">-aktörernas verksamhet i fråga om i) tillbörlig aktsamhet, ii) riskprofilering och iii) utarbetande av samförståndsavtal med internationella partnerorganisationer inom </w:t>
      </w:r>
      <w:proofErr w:type="spellStart"/>
      <w:r>
        <w:t>FoI</w:t>
      </w:r>
      <w:proofErr w:type="spellEnd"/>
      <w:r>
        <w:t xml:space="preserve"> skulle kunna åtgärdas senare genom det framtida arbetet i det europeiska </w:t>
      </w:r>
      <w:proofErr w:type="spellStart"/>
      <w:r>
        <w:t>expertcentrumet</w:t>
      </w:r>
      <w:proofErr w:type="spellEnd"/>
      <w:r>
        <w:t xml:space="preserve"> för forskningssäkerhet.</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 xml:space="preserve">EESK hoppas att det europeiska </w:t>
      </w:r>
      <w:proofErr w:type="spellStart"/>
      <w:r>
        <w:t>expertcentrumet</w:t>
      </w:r>
      <w:proofErr w:type="spellEnd"/>
      <w:r>
        <w:t xml:space="preserve"> för forskningssäkerhet kommer att fungera som en plattform för insamling och utbyte av dokumentation med full respekt för den ömsesidiga öppenheten och anordna ut- och fortbildningskurser på området för forskningssäkerhet.</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Tfn</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E-post:</w:t>
            </w:r>
          </w:p>
        </w:tc>
        <w:tc>
          <w:tcPr>
            <w:tcW w:w="3444" w:type="pct"/>
          </w:tcPr>
          <w:p w:rsidRPr="00AD6EAC" w:rsidR="00D92244" w:rsidP="00D76388" w:rsidRDefault="00A61A62"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Pr="00181AE5" w:rsidR="006A7E31" w:rsidP="00181AE5" w:rsidRDefault="00520680" w14:paraId="295BACE7" w14:textId="3BA18C4B">
      <w:pPr>
        <w:pStyle w:val="TOC1"/>
        <w:rPr>
          <w:rStyle w:val="Hyperlink"/>
          <w:color w:val="000000" w:themeColor="text1"/>
          <w:u w:val="none"/>
        </w:rPr>
      </w:pPr>
      <w:bookmarkStart w:name="_Toc172292817" w:id="7"/>
      <w:r w:rsidRPr="00181AE5">
        <w:rPr>
          <w:rStyle w:val="Hyperlink"/>
          <w:color w:val="000000" w:themeColor="text1"/>
          <w:u w:val="none"/>
        </w:rPr>
        <w:lastRenderedPageBreak/>
        <w:t>5</w:t>
      </w:r>
      <w:r w:rsidRPr="00181AE5" w:rsidR="00274CAB">
        <w:rPr>
          <w:rStyle w:val="Hyperlink"/>
          <w:color w:val="000000" w:themeColor="text1"/>
          <w:u w:val="none"/>
        </w:rPr>
        <w:t>.</w:t>
      </w:r>
      <w:r w:rsidRPr="00181AE5">
        <w:rPr>
          <w:rStyle w:val="Hyperlink"/>
          <w:color w:val="000000" w:themeColor="text1"/>
          <w:u w:val="none"/>
        </w:rPr>
        <w:tab/>
      </w:r>
      <w:hyperlink w:history="1" w:anchor="_Toc164353189">
        <w:r w:rsidRPr="00181AE5">
          <w:rPr>
            <w:rStyle w:val="Hyperlink"/>
            <w:color w:val="000000" w:themeColor="text1"/>
            <w:u w:val="none"/>
          </w:rPr>
          <w:t>JORDBRUK, LANDSBYGDSUTVECKLING OCH MILJÖ</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F57351" w:rsidR="006A7E31" w:rsidP="006A7E31" w:rsidRDefault="00A61A62" w14:paraId="39D83DFD" w14:textId="78AF0616">
      <w:pPr>
        <w:widowControl w:val="0"/>
        <w:numPr>
          <w:ilvl w:val="0"/>
          <w:numId w:val="31"/>
        </w:numPr>
        <w:overflowPunct w:val="0"/>
        <w:autoSpaceDE w:val="0"/>
        <w:autoSpaceDN w:val="0"/>
        <w:adjustRightInd w:val="0"/>
        <w:textAlignment w:val="baseline"/>
        <w:rPr>
          <w:sz w:val="28"/>
          <w:szCs w:val="28"/>
        </w:rPr>
      </w:pPr>
      <w:hyperlink w:history="1" r:id="rId32">
        <w:r w:rsidRPr="00F57351" w:rsidR="000B64C3">
          <w:rPr>
            <w:b/>
            <w:i/>
            <w:color w:val="0000FF"/>
            <w:sz w:val="28"/>
            <w:szCs w:val="28"/>
            <w:u w:val="single"/>
          </w:rPr>
          <w:t xml:space="preserve">Allmänna kommissionen </w:t>
        </w:r>
        <w:r w:rsidRPr="00F57351" w:rsidR="000B64C3">
          <w:rPr>
            <w:b/>
            <w:i/>
            <w:color w:val="0000FF"/>
            <w:sz w:val="28"/>
            <w:szCs w:val="28"/>
            <w:u w:val="single"/>
          </w:rPr>
          <w:t>f</w:t>
        </w:r>
        <w:r w:rsidRPr="00F57351" w:rsidR="000B64C3">
          <w:rPr>
            <w:b/>
            <w:i/>
            <w:color w:val="0000FF"/>
            <w:sz w:val="28"/>
            <w:szCs w:val="28"/>
            <w:u w:val="single"/>
          </w:rPr>
          <w:t>ör fiske i Medelhavet</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Referens: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[kategori C-yttrande]</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proofErr w:type="spellStart"/>
      <w:r>
        <w:t>EESK:s</w:t>
      </w:r>
      <w:proofErr w:type="spellEnd"/>
      <w:r>
        <w:t xml:space="preserve"> ståndpunkt:</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Kommittén stöder till fullo förslaget, som inte föranleder några särskilda kommentarer.</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Kontaktperson:</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Tfn</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+32 2 546 98 02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E-post:</w:t>
            </w:r>
          </w:p>
        </w:tc>
        <w:tc>
          <w:tcPr>
            <w:tcW w:w="3444" w:type="pct"/>
          </w:tcPr>
          <w:p w:rsidRPr="0005755A" w:rsidR="006A7E31" w:rsidP="00D76388" w:rsidRDefault="00A61A62"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Hur den sociala, miljömässiga och ekonomiska hållbarheten för EU:s jordbruksbaserade livsmedelssektor kan säkerställas i samband med en framtida utvidgning</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Föredragande:</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(Gruppen för civilsamhällesorganisationer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Referens:</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Förberedande yttrande på begäran av Europeiska kommissionen</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Europeiska ekonomiska och sociala kommitténs (EESK) ståndpunkt:</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Nästa utvidgning skiljer sig från alla tidigare utvidgningar, eftersom den kommer att inträffa under de rådande ansträngda geopolitiska omständigheterna. Detta bör dock inte vara ett skäl till att undergräva i vilken grad kandidatländerna är redo, vikten av nödvändiga lagstiftningsreformer och respekten för EU:s grundläggande värden.</w:t>
      </w:r>
    </w:p>
    <w:p w:rsidRPr="005721DA" w:rsidR="006A7E31" w:rsidP="0088361D" w:rsidRDefault="006A7E31" w14:paraId="03A92948" w14:textId="783A7491">
      <w:pPr>
        <w:widowControl w:val="0"/>
        <w:numPr>
          <w:ilvl w:val="0"/>
          <w:numId w:val="43"/>
        </w:numPr>
        <w:overflowPunct w:val="0"/>
        <w:autoSpaceDE w:val="0"/>
        <w:autoSpaceDN w:val="0"/>
        <w:adjustRightInd w:val="0"/>
        <w:ind w:left="284" w:hanging="284"/>
        <w:textAlignment w:val="baseline"/>
        <w:rPr>
          <w:bCs/>
          <w:iCs/>
        </w:rPr>
      </w:pPr>
      <w:r>
        <w:t>De geopolitiska spänningarna framhäver vikten av försörjningstrygghet i EU:s livsmedels</w:t>
      </w:r>
      <w:r w:rsidR="00557A3F">
        <w:softHyphen/>
      </w:r>
      <w:r>
        <w:t>produktion, och alla regioner i EU måste ha möjlighet att upprätthålla jordbruksproduktionen även i</w:t>
      </w:r>
      <w:r w:rsidR="00557A3F">
        <w:t> </w:t>
      </w:r>
      <w:r>
        <w:t>framtiden.</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Denna utvidgning, som avsevärt utökar EU:s jordbruksareal, innebär möjligheter att ytterligare säkra EU:s strategiska oberoende och ytterligare minska sektorns miljöavtryck, men samtidigt är resultaten av den tidigare utvidgningen blandade med både vinnare och förlorare. Svaga landsbygdsområden har gynnats mycket mindre av processen än tätorter, och mindre europeiska jordbruksföretag läggs ned. Därför bör kommissionen och kandidatländerna beakta och hantera utvidgningens konsekvenser för potentiella förlorare, med särskild hänsyn till familjejordbruk och små och medelstora företag inom jordbruket, både i EU och i kandidatländerna.</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Kandidatländerna måste anpassa sig till den gemensamma jordbrukspolitikens övergripande mål och värderingar, samtidigt som man före utvidgningen måste enas om de nödvändiga reformerna av den gemensamma jordbrukspolitiken och den därmed sammanhängande budgetramen.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Det nuvarande arealbaserade grundläggande inkomststödet bör gradvis ersättas med ekonomiska incitament för tjänster som gynnar miljön och samhället. Stöd, obligatoriskt tak eller högre stöd för de första hektaren för samtliga medlemsstater bör gradvis minskas. Jordbruks- och landsbygdsutvecklingspolitiken bör i ännu högre grad inriktas på en närhetsekonomi och dessa principer bör överföras till de nya kandidatländerna.</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En tillräcklig budget måste avsättas för att vederbörligen kompensera för de negativa effekterna för EU:s jordbrukare, även med beaktande av potentiella sociala kostnader. Detta innebär att de nuvarande nettobidragsgivarna bör vara beredda att betala en större andel av sin BNP till EU under den nya budgetperioden, med beaktande av nettofördelen för EU:s exportörer av industrivaror och tjänster, medan den jordbruksbaserade livsmedelssektorn kommer att undergrävas av de lägre produktionskostnaderna för vissa av de nya aktörerna.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Behovet av detaljerade och tillförlitliga data bör uppmärksammas, och kommissionen uppmanas att noga övervaka jordbruksproduktionen och reformprocessens framsteg, bland annat med avseende på markspekulation.</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Integrationsprocessen har i vissa avseenden redan inletts i och med att EU:s marknader öppnats för jordbruksprodukter från kandidatländerna, vilket i EU-länderna skapar potentiella nackdelar som måste undvikas genom tydliga regler för kandidatländerna att rätta sig efter.</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Kontaktperson: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Tfn</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+32 2 546 98 02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E-post:</w:t>
            </w:r>
          </w:p>
        </w:tc>
        <w:tc>
          <w:tcPr>
            <w:tcW w:w="3444" w:type="pct"/>
          </w:tcPr>
          <w:p w:rsidRPr="005721DA" w:rsidR="006A7E31" w:rsidP="00D76388" w:rsidRDefault="00A61A62"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Pr="00181AE5" w:rsidR="00520680" w:rsidP="00181AE5" w:rsidRDefault="006A7E31" w14:paraId="3600B088" w14:textId="66BF748A">
      <w:pPr>
        <w:pStyle w:val="TOC1"/>
        <w:rPr>
          <w:rStyle w:val="Hyperlink"/>
          <w:color w:val="000000" w:themeColor="text1"/>
          <w:u w:val="none"/>
        </w:rPr>
      </w:pPr>
      <w:bookmarkStart w:name="_Toc172292818" w:id="8"/>
      <w:r w:rsidRPr="00181AE5">
        <w:rPr>
          <w:rStyle w:val="Hyperlink"/>
          <w:color w:val="000000" w:themeColor="text1"/>
          <w:u w:val="none"/>
        </w:rPr>
        <w:t>6</w:t>
      </w:r>
      <w:r w:rsidRPr="00181AE5" w:rsidR="004A2755">
        <w:rPr>
          <w:rStyle w:val="Hyperlink"/>
          <w:color w:val="000000" w:themeColor="text1"/>
          <w:u w:val="none"/>
        </w:rPr>
        <w:t>.</w:t>
      </w:r>
      <w:r w:rsidRPr="00181AE5">
        <w:rPr>
          <w:rStyle w:val="Hyperlink"/>
          <w:color w:val="000000" w:themeColor="text1"/>
          <w:u w:val="none"/>
        </w:rPr>
        <w:tab/>
        <w:t>YTTRE FÖRBINDELSER</w:t>
      </w:r>
      <w:bookmarkEnd w:id="8"/>
    </w:p>
    <w:p w:rsidRPr="006A7E31" w:rsidR="006A7E31" w:rsidP="006A7E31" w:rsidRDefault="006A7E31" w14:paraId="7F857315" w14:textId="77777777"/>
    <w:p w:rsidRPr="00F57351" w:rsidR="003567CE" w:rsidP="0088361D" w:rsidRDefault="00A61A62" w14:paraId="3CDD8FC4" w14:textId="30E1C8D4">
      <w:pPr>
        <w:widowControl w:val="0"/>
        <w:numPr>
          <w:ilvl w:val="0"/>
          <w:numId w:val="32"/>
        </w:numPr>
        <w:overflowPunct w:val="0"/>
        <w:autoSpaceDE w:val="0"/>
        <w:autoSpaceDN w:val="0"/>
        <w:adjustRightInd w:val="0"/>
        <w:ind w:hanging="720"/>
        <w:jc w:val="left"/>
        <w:textAlignment w:val="baseline"/>
        <w:rPr>
          <w:sz w:val="28"/>
          <w:szCs w:val="28"/>
        </w:rPr>
      </w:pPr>
      <w:hyperlink r:id="rId35">
        <w:r w:rsidRPr="00F57351" w:rsidR="000B64C3">
          <w:rPr>
            <w:b/>
            <w:i/>
            <w:color w:val="0000FF"/>
            <w:sz w:val="28"/>
            <w:szCs w:val="28"/>
            <w:u w:val="single"/>
          </w:rPr>
          <w:t>Granskning av utländska investeringar i unionen</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Föredragande:</w:t>
            </w:r>
          </w:p>
        </w:tc>
        <w:tc>
          <w:tcPr>
            <w:tcW w:w="5387" w:type="dxa"/>
          </w:tcPr>
          <w:p w:rsidRPr="0088361D" w:rsidR="003567CE" w:rsidP="003567CE" w:rsidRDefault="003567CE" w14:paraId="5C6E2D44" w14:textId="60E22C07">
            <w:pPr>
              <w:tabs>
                <w:tab w:val="center" w:pos="2585"/>
              </w:tabs>
              <w:jc w:val="left"/>
            </w:pPr>
            <w:r>
              <w:t xml:space="preserve">Javier </w:t>
            </w:r>
            <w:proofErr w:type="spellStart"/>
            <w:r>
              <w:t>Doz</w:t>
            </w:r>
            <w:proofErr w:type="spellEnd"/>
            <w:r>
              <w:t xml:space="preserve"> </w:t>
            </w:r>
            <w:proofErr w:type="spellStart"/>
            <w:r>
              <w:t>Orrit</w:t>
            </w:r>
            <w:proofErr w:type="spellEnd"/>
            <w:r>
              <w:t xml:space="preserve"> (Arbetstagargruppen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Referens:</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Huvudpunkter</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Europeiska ekonomiska och sociala kommitténs (EESK) ståndpunkt:</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Kommittén välkomnar förslaget till förordning som ett steg i rätt riktning, eftersom granskningssystemen för utländska direktinvesteringar i EU stärks. Förordningen syftar till att harmonisera de nationella förfarandena och stärka EU:s samarbetsstruktur för att säkerställa offentlig kontroll över kritiska sektorer och program.</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Det är viktigt att främja en ökad harmonisering av de nationella rättsliga bestämmelser som reglerar utländska direktinvesteringar och medlemsstaternas granskningssystem, bland annat genom att i) fastställa tydliga tröskelvärden för granskning av utländska direktinvesteringar och enhetliga tidsfrister för svar, ii) fastställa enhetliga definitioner av risker för säkerheten och den allmänna ordningen, och iii) stärka medlemsstaternas kapacitet att effektivt granska utländska direktinvesteringar.</w:t>
      </w:r>
    </w:p>
    <w:p w:rsidRPr="003567CE" w:rsidR="003567CE" w:rsidP="0088361D" w:rsidRDefault="003567CE" w14:paraId="035CA57A" w14:textId="77777777">
      <w:pPr>
        <w:widowControl w:val="0"/>
        <w:numPr>
          <w:ilvl w:val="0"/>
          <w:numId w:val="45"/>
        </w:numPr>
        <w:spacing w:before="10" w:after="10" w:line="276" w:lineRule="auto"/>
        <w:ind w:left="426"/>
      </w:pPr>
      <w:r>
        <w:t>Det är också viktigt att fastställa de undantag som ger EU-institutionerna rätt att förbjuda, vidta riskreducerande åtgärder eller tillämpa särskilda villkor för utländska direktinvesteringar som kan utgöra en allvarlig risk för ett program eller ett projekt av intresse för unionen, i syfte att skapa en enad front när det gäller att slå vakt om säkerheten och den allmänna ordningen i EU:s medlemsstater. I detta syfte bör förfarandena vara tydliga och det måste framgå under vilka omständigheter som utländska investeringar som kan utgöra en risk för EU:s intressen ska granskas.</w:t>
      </w:r>
    </w:p>
    <w:p w:rsidRPr="003567CE" w:rsidR="003567CE" w:rsidP="0088361D" w:rsidRDefault="003567CE" w14:paraId="1444EF7F" w14:textId="77777777">
      <w:pPr>
        <w:widowControl w:val="0"/>
        <w:numPr>
          <w:ilvl w:val="0"/>
          <w:numId w:val="45"/>
        </w:numPr>
        <w:spacing w:before="10" w:after="10" w:line="276" w:lineRule="auto"/>
        <w:ind w:left="426"/>
      </w:pPr>
      <w:r>
        <w:t>Principen om ömsesidighet bör tillämpas i unionens förhandlingar om handels-, investerings- och associeringsavtal med tredjeländer. Investeringar från länder som begränsar europeiska investeringar ska alltid granskas för att få till stånd en balanserad and rättvis behandling. Det bör beslutas från fall till fall om det krävs en strikt tillämpning. Det är viktigt att främja utländska direktinvesteringar inom den begreppsmässiga ramen för strategiskt oberoende och ekonomisk säkerhet, i syfte att uppnå de mål som innebär hållbar konkurrenskraft.</w:t>
      </w:r>
    </w:p>
    <w:p w:rsidRPr="003567CE" w:rsidR="003567CE" w:rsidP="0088361D" w:rsidRDefault="003567CE" w14:paraId="33A49B20" w14:textId="77777777">
      <w:pPr>
        <w:widowControl w:val="0"/>
        <w:numPr>
          <w:ilvl w:val="0"/>
          <w:numId w:val="45"/>
        </w:numPr>
        <w:spacing w:before="10" w:after="10" w:line="276" w:lineRule="auto"/>
        <w:ind w:left="426"/>
      </w:pPr>
      <w:r>
        <w:t>Investeringar där medlen kommer från skatteparadis måste bli föremål för särskild granskning som ger fullständig kännedom om de investerande företagens verkliga ägare och huruvida investeringsmedlen härrör från laglig verksamhet. Medlemsstaterna bör överväga möjligheten att avskaffa systemen med ”gyllene viseringar” för uppehållstillstånd eller medborgarskap i ett EU-land.</w:t>
      </w:r>
    </w:p>
    <w:p w:rsidRPr="003567CE" w:rsidR="003567CE" w:rsidP="0088361D" w:rsidRDefault="003567CE" w14:paraId="4CDFF91C" w14:textId="77777777">
      <w:pPr>
        <w:widowControl w:val="0"/>
        <w:numPr>
          <w:ilvl w:val="0"/>
          <w:numId w:val="45"/>
        </w:numPr>
        <w:spacing w:before="10" w:after="10" w:line="276" w:lineRule="auto"/>
        <w:ind w:left="426"/>
      </w:pPr>
      <w:r>
        <w:t xml:space="preserve">Strukturer bör inrättas som medger att arbetsmarknadens parter och organisationerna i det civila samhället kan delta i utformningen av politiken för utländska investeringar och i granskningen av </w:t>
      </w:r>
      <w:r>
        <w:lastRenderedPageBreak/>
        <w:t xml:space="preserve">dem på såväl EU-nivå som nationell nivå, i syfte att säkerställa transparens och delaktighet i utvärderingsprocessen.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2"/>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Kontaktperson:</w:t>
            </w:r>
          </w:p>
        </w:tc>
        <w:tc>
          <w:tcPr>
            <w:tcW w:w="5670" w:type="dxa"/>
          </w:tcPr>
          <w:p w:rsidRPr="003567CE" w:rsidR="003567CE" w:rsidP="003567CE" w:rsidRDefault="003567CE" w14:paraId="2C1A667F" w14:textId="77777777">
            <w:pPr>
              <w:rPr>
                <w:i/>
                <w:sz w:val="22"/>
                <w:szCs w:val="22"/>
              </w:rPr>
            </w:pPr>
            <w:r>
              <w:rPr>
                <w:i/>
                <w:sz w:val="22"/>
              </w:rPr>
              <w:t xml:space="preserve">Marco </w:t>
            </w:r>
            <w:proofErr w:type="spellStart"/>
            <w:r>
              <w:rPr>
                <w:i/>
                <w:sz w:val="22"/>
              </w:rPr>
              <w:t>Ristori</w:t>
            </w:r>
            <w:proofErr w:type="spellEnd"/>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Tfn</w:t>
            </w:r>
          </w:p>
        </w:tc>
        <w:tc>
          <w:tcPr>
            <w:tcW w:w="5670" w:type="dxa"/>
          </w:tcPr>
          <w:p w:rsidRPr="003567CE" w:rsidR="003567CE" w:rsidP="003567CE" w:rsidRDefault="003567CE" w14:paraId="25B8F53A" w14:textId="77777777">
            <w:pPr>
              <w:rPr>
                <w:i/>
                <w:sz w:val="22"/>
                <w:szCs w:val="22"/>
              </w:rPr>
            </w:pPr>
            <w:r>
              <w:rPr>
                <w:i/>
                <w:sz w:val="22"/>
              </w:rPr>
              <w:t>+32 2 546 99 69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E-post:</w:t>
            </w:r>
          </w:p>
        </w:tc>
        <w:tc>
          <w:tcPr>
            <w:tcW w:w="5670" w:type="dxa"/>
          </w:tcPr>
          <w:p w:rsidRPr="003567CE" w:rsidR="003567CE" w:rsidP="003567CE" w:rsidRDefault="00A61A62" w14:paraId="4A046612" w14:textId="77777777">
            <w:pPr>
              <w:rPr>
                <w:i/>
                <w:sz w:val="22"/>
                <w:szCs w:val="22"/>
              </w:rPr>
            </w:pPr>
            <w:hyperlink w:history="1" r:id="rId36">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Pr="00181AE5" w:rsidR="006A7E31" w:rsidP="00181AE5" w:rsidRDefault="00A72EDD" w14:paraId="07F93DE3" w14:textId="01A25E29">
      <w:pPr>
        <w:pStyle w:val="TOC1"/>
        <w:rPr>
          <w:rStyle w:val="Hyperlink"/>
          <w:color w:val="000000" w:themeColor="text1"/>
          <w:u w:val="none"/>
        </w:rPr>
      </w:pPr>
      <w:bookmarkStart w:name="_Toc172292819" w:id="9"/>
      <w:r w:rsidRPr="00181AE5">
        <w:rPr>
          <w:rStyle w:val="Hyperlink"/>
          <w:color w:val="000000" w:themeColor="text1"/>
          <w:u w:val="none"/>
        </w:rPr>
        <w:lastRenderedPageBreak/>
        <w:t>7</w:t>
      </w:r>
      <w:r w:rsidRPr="00181AE5" w:rsidR="004A2755">
        <w:rPr>
          <w:rStyle w:val="Hyperlink"/>
          <w:color w:val="000000" w:themeColor="text1"/>
          <w:u w:val="none"/>
        </w:rPr>
        <w:t>.</w:t>
      </w:r>
      <w:r w:rsidRPr="00181AE5">
        <w:rPr>
          <w:rStyle w:val="Hyperlink"/>
          <w:color w:val="000000" w:themeColor="text1"/>
          <w:u w:val="none"/>
        </w:rPr>
        <w:tab/>
        <w:t>TRANSPORTER, ENERGI, INFRASTRUKTUR OCH INFORMATIONSSAMHÄLLET</w:t>
      </w:r>
      <w:bookmarkEnd w:id="9"/>
    </w:p>
    <w:p w:rsidR="00160A67" w:rsidP="00160A67" w:rsidRDefault="00160A67" w14:paraId="2CBE297E" w14:textId="164A826B">
      <w:pPr>
        <w:rPr>
          <w:rFonts w:eastAsiaTheme="minorEastAsia"/>
        </w:rPr>
      </w:pPr>
    </w:p>
    <w:p w:rsidRPr="00200444" w:rsidR="00200444" w:rsidP="00200444" w:rsidRDefault="00A61A62"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Energidigitalisering: att hitta en balans mellan möjligheter och risker för EU:s konsumenter</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Föredragande:</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w:t>
            </w:r>
            <w:proofErr w:type="spellStart"/>
            <w:r>
              <w:t>Kupšys</w:t>
            </w:r>
            <w:proofErr w:type="spellEnd"/>
            <w:r>
              <w:t xml:space="preserve"> (Gruppen för civilsamhällesorganisationer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Referensdokument:</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Yttrande på eget initiativ</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Europeiska ekonomiska och sociala kommitténs (EESK) ståndpunkt:</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Digitaliseringen blir allt viktigare på grund av den gröna omställningen. Energi bör dock även fortsättningsvis tillhandahållas till överkomliga priser, kunna justeras och vara användarvänlig för konsumenterna. Detta innebär att man utvecklar användarvänliga digitala verktyg som tillgodoser olika behov och främjar lika tillgång till digitala energitjänster. Konsumenterna bör fortfarande kunna välja priser, avtal och kundtjänster på ett ”fördigitalt” sätt.</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Kommittén understryker att </w:t>
      </w:r>
      <w:proofErr w:type="spellStart"/>
      <w:r>
        <w:t>it-säkerhet</w:t>
      </w:r>
      <w:proofErr w:type="spellEnd"/>
      <w:r>
        <w:t xml:space="preserve"> för användardata bör prioriteras. Digitaliseringen ökar behovet av att skapa dynamiska konsumentskyddsbestämmelser som är anpassade till de nya förhållandena och deltagarna i sektorn.</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Den digitala klyftan mellan konsumenter som har råd med dyrare digitala verktyg och dem som inte har det leder till ökad energifattigdom.</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 xml:space="preserve">Arbetstagare bör ges tillgång till utbildning. </w:t>
      </w:r>
      <w:proofErr w:type="spellStart"/>
      <w:r>
        <w:t>Nettonollakademier</w:t>
      </w:r>
      <w:proofErr w:type="spellEnd"/>
      <w:r>
        <w:t xml:space="preserve"> bör främjas för alla berörda parter, med tonvikt på färdigheter avseende energieffektivitet.</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5"/>
        <w:gridCol w:w="5593"/>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Kontaktperson:</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Tfn</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E-post:</w:t>
            </w:r>
          </w:p>
        </w:tc>
        <w:tc>
          <w:tcPr>
            <w:tcW w:w="5670" w:type="dxa"/>
          </w:tcPr>
          <w:p w:rsidRPr="00200444" w:rsidR="00200444" w:rsidP="00200444" w:rsidRDefault="00A61A62"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81AE5" w:rsidR="00160A67" w:rsidP="00181AE5" w:rsidRDefault="003D6811" w14:paraId="5D209F0E" w14:textId="041F5422">
      <w:pPr>
        <w:pStyle w:val="TOC1"/>
        <w:rPr>
          <w:rStyle w:val="Hyperlink"/>
          <w:color w:val="000000" w:themeColor="text1"/>
          <w:u w:val="none"/>
        </w:rPr>
      </w:pPr>
      <w:bookmarkStart w:name="_Toc172292820" w:id="12"/>
      <w:r w:rsidRPr="00181AE5">
        <w:rPr>
          <w:rStyle w:val="Hyperlink"/>
          <w:color w:val="000000" w:themeColor="text1"/>
          <w:u w:val="none"/>
        </w:rPr>
        <w:lastRenderedPageBreak/>
        <w:t>8</w:t>
      </w:r>
      <w:r w:rsidRPr="00181AE5" w:rsidR="004A2755">
        <w:rPr>
          <w:rStyle w:val="Hyperlink"/>
          <w:color w:val="000000" w:themeColor="text1"/>
          <w:u w:val="none"/>
        </w:rPr>
        <w:t>.</w:t>
      </w:r>
      <w:r w:rsidRPr="00181AE5">
        <w:rPr>
          <w:rStyle w:val="Hyperlink"/>
          <w:color w:val="000000" w:themeColor="text1"/>
          <w:u w:val="none"/>
        </w:rPr>
        <w:t xml:space="preserve"> </w:t>
      </w:r>
      <w:r w:rsidRPr="00181AE5">
        <w:rPr>
          <w:rStyle w:val="Hyperlink"/>
          <w:color w:val="000000" w:themeColor="text1"/>
          <w:u w:val="none"/>
        </w:rPr>
        <w:tab/>
        <w:t>RÅDGIVANDE UTSKOTTET FÖR INDUSTRIELL OMVANDLING</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A61A62"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 xml:space="preserve">Bygga framtiden med naturen: främja bioteknik och </w:t>
        </w:r>
        <w:proofErr w:type="spellStart"/>
        <w:r w:rsidR="000B64C3">
          <w:rPr>
            <w:b/>
            <w:i/>
            <w:color w:val="0000FF"/>
            <w:sz w:val="28"/>
            <w:u w:val="single"/>
          </w:rPr>
          <w:t>biotillverkning</w:t>
        </w:r>
        <w:proofErr w:type="spellEnd"/>
        <w:r w:rsidR="000B64C3">
          <w:rPr>
            <w:b/>
            <w:i/>
            <w:color w:val="0000FF"/>
            <w:sz w:val="28"/>
            <w:u w:val="single"/>
          </w:rPr>
          <w:t xml:space="preserve"> i EU</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Föredragande:</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(Arbetstagargruppen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Medföredragande:</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proofErr w:type="spellStart"/>
            <w:r>
              <w:t>Antonello</w:t>
            </w:r>
            <w:proofErr w:type="spellEnd"/>
            <w:r>
              <w:t> </w:t>
            </w:r>
            <w:proofErr w:type="spellStart"/>
            <w:r>
              <w:t>Pezzini</w:t>
            </w:r>
            <w:proofErr w:type="spellEnd"/>
            <w:r>
              <w:t xml:space="preserve"> (Kat. 1–IT)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Referens: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Europeiska ekonomiska och sociala kommitténs (EESK) ståndpunkt:</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Kommittén är besviken över att EU alltjämt saknar en </w:t>
      </w:r>
      <w:r>
        <w:rPr>
          <w:b/>
        </w:rPr>
        <w:t>bioekonomistrategi</w:t>
      </w:r>
      <w:r>
        <w:t xml:space="preserve"> och en </w:t>
      </w:r>
      <w:r>
        <w:rPr>
          <w:b/>
        </w:rPr>
        <w:t>bioteknikakt</w:t>
      </w:r>
      <w:r>
        <w:t>, då vi menar att det finns ett akut behov av sådan lagstiftning med tanke på den globala situationen.</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EESK föreslår att </w:t>
      </w:r>
      <w:r>
        <w:rPr>
          <w:b/>
        </w:rPr>
        <w:t>EU:s bioekonomistrategi</w:t>
      </w:r>
      <w:r>
        <w:t xml:space="preserve"> ska </w:t>
      </w:r>
      <w:r>
        <w:rPr>
          <w:b/>
        </w:rPr>
        <w:t xml:space="preserve">bygga på ett integrerat, </w:t>
      </w:r>
      <w:proofErr w:type="spellStart"/>
      <w:r>
        <w:rPr>
          <w:b/>
        </w:rPr>
        <w:t>sektorsbaserat</w:t>
      </w:r>
      <w:proofErr w:type="spellEnd"/>
      <w:r>
        <w:rPr>
          <w:b/>
        </w:rPr>
        <w:t xml:space="preserve"> tillvägagångssätt</w:t>
      </w:r>
      <w:r>
        <w:t xml:space="preserve"> med specifika målsättningar, inklusive en forskningsagenda för de kommande tio åren, en förteckning över kompetenser och en tydlig roll för det civila samhället.</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En </w:t>
      </w:r>
      <w:r>
        <w:rPr>
          <w:b/>
        </w:rPr>
        <w:t>etisk kod för företag i EU och för produkter som släpps ut på EU:s marknad</w:t>
      </w:r>
      <w:r>
        <w:t xml:space="preserve"> bör övervägas och främjas globalt.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Det behövs </w:t>
      </w:r>
      <w:r>
        <w:rPr>
          <w:b/>
        </w:rPr>
        <w:t>särskilda åtgärder</w:t>
      </w:r>
      <w:r>
        <w:t xml:space="preserve"> för att </w:t>
      </w:r>
      <w:r>
        <w:rPr>
          <w:b/>
        </w:rPr>
        <w:t>utveckla kompetenser</w:t>
      </w:r>
      <w:r>
        <w:t xml:space="preserve"> och </w:t>
      </w:r>
      <w:r>
        <w:rPr>
          <w:b/>
        </w:rPr>
        <w:t>befästa synergieffekter</w:t>
      </w:r>
      <w:r>
        <w:t xml:space="preserve"> mellan kraven på biotekniska färdigheter och behoven av </w:t>
      </w:r>
      <w:proofErr w:type="spellStart"/>
      <w:r>
        <w:t>biotillverkning</w:t>
      </w:r>
      <w:proofErr w:type="spellEnd"/>
      <w:r>
        <w:t>.</w:t>
      </w:r>
    </w:p>
    <w:p w:rsidRPr="00CE7004" w:rsidR="00CE7004" w:rsidP="0088361D" w:rsidRDefault="00CE7004" w14:paraId="68439843" w14:textId="5D9D62C9">
      <w:pPr>
        <w:widowControl w:val="0"/>
        <w:numPr>
          <w:ilvl w:val="0"/>
          <w:numId w:val="47"/>
        </w:numPr>
        <w:overflowPunct w:val="0"/>
        <w:autoSpaceDE w:val="0"/>
        <w:autoSpaceDN w:val="0"/>
        <w:adjustRightInd w:val="0"/>
        <w:ind w:left="284" w:hanging="284"/>
        <w:textAlignment w:val="baseline"/>
        <w:rPr>
          <w:bCs/>
          <w:iCs/>
        </w:rPr>
      </w:pPr>
      <w:r>
        <w:t xml:space="preserve">Kommittén föreslår att utvecklingen av bioteknik och </w:t>
      </w:r>
      <w:proofErr w:type="spellStart"/>
      <w:r>
        <w:t>biotillverkning</w:t>
      </w:r>
      <w:proofErr w:type="spellEnd"/>
      <w:r>
        <w:t xml:space="preserve"> i EU bör omfatta </w:t>
      </w:r>
      <w:r>
        <w:rPr>
          <w:b/>
        </w:rPr>
        <w:t>sektorsvisa indikatorer, offentlig-privata partnerskap, ett sektorsövergripande forskningssystem, en databas med potentiella investerare, snabbare och mindre byråkratiska tillstånds</w:t>
      </w:r>
      <w:r w:rsidR="00274CAB">
        <w:rPr>
          <w:b/>
        </w:rPr>
        <w:softHyphen/>
      </w:r>
      <w:r>
        <w:rPr>
          <w:b/>
        </w:rPr>
        <w:t>förfaranden, en perfekt synergi med målen för hållbar utveckling och den föreslagna blå given</w:t>
      </w:r>
      <w:r>
        <w:t>, särskilda och harmoniserade</w:t>
      </w:r>
      <w:r>
        <w:rPr>
          <w:b/>
        </w:rPr>
        <w:t xml:space="preserve"> europeiska och globala standarder</w:t>
      </w:r>
      <w:r>
        <w:t xml:space="preserve">, åtgärder för att öka </w:t>
      </w:r>
      <w:r>
        <w:rPr>
          <w:b/>
        </w:rPr>
        <w:t>allmänhetens stöd, förtroende och utbildningsnivå</w:t>
      </w:r>
      <w:r>
        <w:t xml:space="preserve"> samt </w:t>
      </w:r>
      <w:r>
        <w:rPr>
          <w:b/>
        </w:rPr>
        <w:t>större tydlighet mellan nationella och delade befogenheter</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EESK föreslår att </w:t>
      </w:r>
      <w:r>
        <w:rPr>
          <w:b/>
        </w:rPr>
        <w:t xml:space="preserve">bioteknik och </w:t>
      </w:r>
      <w:proofErr w:type="spellStart"/>
      <w:r>
        <w:rPr>
          <w:b/>
        </w:rPr>
        <w:t>biotillverkning</w:t>
      </w:r>
      <w:proofErr w:type="spellEnd"/>
      <w:r>
        <w:rPr>
          <w:b/>
        </w:rPr>
        <w:t xml:space="preserve"> i EU bör finansieras</w:t>
      </w:r>
      <w:r>
        <w:t xml:space="preserve"> med vederbörlig hänsyn till en </w:t>
      </w:r>
      <w:r>
        <w:rPr>
          <w:b/>
        </w:rPr>
        <w:t xml:space="preserve">synergibaserad strategi för faciliteten för återhämtning och </w:t>
      </w:r>
      <w:proofErr w:type="spellStart"/>
      <w:r>
        <w:rPr>
          <w:b/>
        </w:rPr>
        <w:t>resiliens</w:t>
      </w:r>
      <w:proofErr w:type="spellEnd"/>
      <w:r>
        <w:rPr>
          <w:b/>
        </w:rPr>
        <w:t>, den europeiska plattformen för strategisk teknik (STEP) och Europeiska investeringsbanken (EIB) och sammanhållningspolitiken</w:t>
      </w:r>
      <w:r>
        <w:t xml:space="preserve">. En del av de pengar som genereras av </w:t>
      </w:r>
      <w:r>
        <w:rPr>
          <w:b/>
        </w:rPr>
        <w:t>miljöskatter</w:t>
      </w:r>
      <w:r>
        <w:t xml:space="preserve"> bör </w:t>
      </w:r>
      <w:r>
        <w:rPr>
          <w:b/>
        </w:rPr>
        <w:t>omdirigeras till att finansiera gröna biotekniska produkter</w:t>
      </w:r>
      <w:r>
        <w:t xml:space="preserve"> och att </w:t>
      </w:r>
      <w:r>
        <w:rPr>
          <w:b/>
        </w:rPr>
        <w:t>en mängd olika och kombinationer av finansieringskällor och medel</w:t>
      </w:r>
      <w:r>
        <w:t xml:space="preserve"> bör användas, såsom lån, riskkapital och offentliga medel.</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Kontaktperson:</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 xml:space="preserve">Marie-Laurence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Tfn</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E-post:</w:t>
            </w:r>
          </w:p>
        </w:tc>
        <w:tc>
          <w:tcPr>
            <w:tcW w:w="3444" w:type="pct"/>
          </w:tcPr>
          <w:p w:rsidRPr="00CE7004" w:rsidR="00CE7004" w:rsidP="00CE7004" w:rsidRDefault="00A61A62"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Koldioxidsnåla och förnybara bränslen: att skapa kapacitet inom den europeiska industrin för att fasa ut fossila bränslen inom luft- och sjöfartssektorerna i en anda av europeisk solidaritet</w:t>
        </w:r>
      </w:hyperlink>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Föredragande: </w:t>
      </w:r>
      <w:r>
        <w:rPr>
          <w:b/>
          <w:sz w:val="20"/>
        </w:rPr>
        <w:tab/>
      </w:r>
      <w:proofErr w:type="spellStart"/>
      <w:r>
        <w:rPr>
          <w:sz w:val="20"/>
        </w:rPr>
        <w:t>Anastasis</w:t>
      </w:r>
      <w:proofErr w:type="spellEnd"/>
      <w:r>
        <w:rPr>
          <w:sz w:val="20"/>
        </w:rPr>
        <w:t xml:space="preserve"> </w:t>
      </w:r>
      <w:proofErr w:type="spellStart"/>
      <w:r>
        <w:rPr>
          <w:sz w:val="20"/>
        </w:rPr>
        <w:t>Yiapanis</w:t>
      </w:r>
      <w:proofErr w:type="spellEnd"/>
      <w:r>
        <w:rPr>
          <w:sz w:val="20"/>
        </w:rPr>
        <w:t xml:space="preserve"> (Gruppen för civilsamhällesorganisationer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Medföredragande:</w:t>
      </w:r>
      <w:r>
        <w:rPr>
          <w:b/>
          <w:sz w:val="20"/>
        </w:rPr>
        <w:tab/>
      </w:r>
      <w:r>
        <w:rPr>
          <w:sz w:val="20"/>
        </w:rPr>
        <w:t xml:space="preserve">Franck </w:t>
      </w:r>
      <w:proofErr w:type="spellStart"/>
      <w:r>
        <w:rPr>
          <w:sz w:val="20"/>
        </w:rPr>
        <w:t>Uhlig</w:t>
      </w:r>
      <w:proofErr w:type="spellEnd"/>
      <w:r>
        <w:rPr>
          <w:sz w:val="20"/>
        </w:rPr>
        <w:t xml:space="preserve"> (Kat. 2–FR)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Referens:</w:t>
      </w:r>
      <w:r>
        <w:rPr>
          <w:b/>
          <w:sz w:val="20"/>
        </w:rPr>
        <w:tab/>
      </w:r>
      <w:r>
        <w:rPr>
          <w:sz w:val="20"/>
        </w:rPr>
        <w:t>Yttrande på eget initiativ</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Huvudpunkter</w:t>
      </w:r>
    </w:p>
    <w:p w:rsidRPr="00D742A4" w:rsidR="00D742A4" w:rsidP="00D742A4" w:rsidRDefault="00D742A4" w14:paraId="696A7DF5" w14:textId="77777777">
      <w:pPr>
        <w:spacing w:after="160" w:line="259" w:lineRule="auto"/>
        <w:jc w:val="left"/>
        <w:rPr>
          <w:rFonts w:eastAsiaTheme="minorHAnsi"/>
        </w:rPr>
      </w:pPr>
      <w:r>
        <w:t>Europeiska ekonomiska och sociala kommitténs (EESK) ståndpunkt:</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EESK konstaterar att det finns en </w:t>
      </w:r>
      <w:r>
        <w:rPr>
          <w:b/>
        </w:rPr>
        <w:t>brist på incitament</w:t>
      </w:r>
      <w:r>
        <w:t xml:space="preserve"> för att utveckla projekt för produktion av hållbara och koldioxidsnåla bränslen. </w:t>
      </w:r>
      <w:r>
        <w:rPr>
          <w:b/>
        </w:rPr>
        <w:t>Höga produktionskostnader och osäkerhet om tillgången till hållbara bränslen</w:t>
      </w:r>
      <w:r>
        <w:t xml:space="preserve"> utgör betydande hinder för ett brett införande av dem.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rPr>
          <w:b/>
        </w:rPr>
        <w:t>En brist på kapacitet att producera hållbara bränslen i EU skulle inverka negativt på EU:s strategiska oberoende</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Kommittén betonar att det är nödvändigt att </w:t>
      </w:r>
      <w:r>
        <w:rPr>
          <w:b/>
        </w:rPr>
        <w:t>bevara och stärka EU-industrins konkurrenskraft</w:t>
      </w:r>
      <w:r>
        <w:t xml:space="preserve"> mot bakgrund av den intensiva globala konkurrensen.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Vi förespråkar </w:t>
      </w:r>
      <w:r>
        <w:rPr>
          <w:b/>
        </w:rPr>
        <w:t>en övergripande färdplan för att öka användningen av hållbara flygbränslen</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Det är en utmaning </w:t>
      </w:r>
      <w:r>
        <w:rPr>
          <w:b/>
        </w:rPr>
        <w:t>för sjöfartsindustrin att inrätta den infrastruktur för bunkring som krävs i hamnar över hela världen för att förse fartyg med alternativa bränslen</w:t>
      </w:r>
      <w:r>
        <w:t>.</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EESK framhåller risken för </w:t>
      </w:r>
      <w:r>
        <w:rPr>
          <w:b/>
        </w:rPr>
        <w:t>en möjlig brist på tillgängliga råvaruresurser och de volymer av koldioxidsnål energi</w:t>
      </w:r>
      <w:r>
        <w:t xml:space="preserve"> som krävs för omställningen till produktion av hållbara bränslen.</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EESK uppmanar till att det </w:t>
      </w:r>
      <w:r>
        <w:rPr>
          <w:b/>
        </w:rPr>
        <w:t>fastställs enhetliga regleringsvillkor som frigör investeringar, med incitament för att stimulera omedelbar produktion och främja en marknad för bränslen med minskat koldioxidavtryck</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Kommittén </w:t>
      </w:r>
      <w:r>
        <w:rPr>
          <w:b/>
        </w:rPr>
        <w:t>föreslår att beskattningen anpassas till varje bränsles klimatpåverkan</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Vi är besvikna över att </w:t>
      </w:r>
      <w:r>
        <w:rPr>
          <w:b/>
          <w:bCs/>
        </w:rPr>
        <w:t>infrastruktur för produktion av koldioxidsnåla och förnybara bränslen för luft- och sjöfartssektorerna inte prioriteras i tillräcklig grad i EU:s bidrag och subventioner</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rPr>
          <w:b/>
        </w:rPr>
        <w:t>FoU är avgörande för att minska kostnaderna</w:t>
      </w:r>
      <w:r>
        <w:t xml:space="preserve"> för avancerad koldioxidsnål teknik.</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EESK efterlyser </w:t>
      </w:r>
      <w:r>
        <w:rPr>
          <w:b/>
        </w:rPr>
        <w:t xml:space="preserve">en helhetsstrategi för en ren omställning av hela industriella värdekedjor, som inbegriper vätgas, utbyggd produktion av biobränslen, ökad produktion av syntetiska bränslen och en fortsättning av befintliga </w:t>
      </w:r>
      <w:proofErr w:type="spellStart"/>
      <w:r>
        <w:rPr>
          <w:b/>
        </w:rPr>
        <w:t>sektorspartnerskap</w:t>
      </w:r>
      <w:proofErr w:type="spellEnd"/>
      <w:r>
        <w:rPr>
          <w:b/>
        </w:rPr>
        <w:t xml:space="preserve"> inom ramen för efterföljaren till Horisont Europa</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rPr>
          <w:b/>
        </w:rPr>
        <w:t>Program för utveckling av färdigheter</w:t>
      </w:r>
      <w:r>
        <w:t xml:space="preserve">, inbegripet yrkesutbildning och stöd till övergångar på arbetsmarknaden, är nödvändiga. EESK upprepar </w:t>
      </w:r>
      <w:r>
        <w:rPr>
          <w:b/>
        </w:rPr>
        <w:t>prioriteringen att säkerställa en hög standard i fråga om hälsa och säkerhet</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Kontaktperson:</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Tfn: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E-post:</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00747EBB" w:rsidRDefault="00747EBB" w14:paraId="01E63EDD" w14:textId="77777777">
      <w:pPr>
        <w:spacing w:after="160" w:line="259" w:lineRule="auto"/>
        <w:jc w:val="left"/>
        <w:rPr>
          <w:rFonts w:eastAsiaTheme="minorHAnsi"/>
          <w:b/>
          <w:bCs/>
          <w:i/>
          <w:iCs/>
          <w:sz w:val="28"/>
          <w:szCs w:val="28"/>
        </w:rPr>
      </w:pPr>
      <w: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Avancerade material för industriellt ledarskap</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Föredragande</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w:t>
            </w:r>
            <w:proofErr w:type="spellStart"/>
            <w:r>
              <w:t>Yiapanis</w:t>
            </w:r>
            <w:proofErr w:type="spellEnd"/>
            <w:r>
              <w:t xml:space="preserve"> (Gruppen för civilsamhällesorganisationer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Medföredragande:</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proofErr w:type="spellStart"/>
            <w:r>
              <w:t>Gerardo</w:t>
            </w:r>
            <w:proofErr w:type="spellEnd"/>
            <w:r>
              <w:t xml:space="preserve"> Luís Arroyo </w:t>
            </w:r>
            <w:proofErr w:type="spellStart"/>
            <w:r>
              <w:t>Herranz</w:t>
            </w:r>
            <w:proofErr w:type="spellEnd"/>
            <w:r>
              <w:t xml:space="preserve"> (Kat. 1–ES)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Referens: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Huvudpunkter</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Europeiska ekonomiska och sociala kommitténs (EESK) ståndpunkt:</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Kommissionens meddelande om avancerade material kan inte betraktas som en strategi i sig, eftersom det saknar kvantifierbara mål, tidsfrister och specifika nyckelprestationsindikatorer till stöd för dess genomförande.</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EU behöver en helhetsstrategi för att minska materialförbrukningen, främja </w:t>
      </w:r>
      <w:proofErr w:type="spellStart"/>
      <w:r>
        <w:t>cirkularitet</w:t>
      </w:r>
      <w:proofErr w:type="spellEnd"/>
      <w:r>
        <w:t xml:space="preserve"> och underlätta omställningen till hållbara affärsmodeller och konsumtionsbeteenden.</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För ett komplext ekosystem för avancerade material krävs en övergripande strategi, betydande finansiering och incitament, tillgång till rätt kompetens samt politiskt stöd på hög nivå.</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EESK välkomnar den förstärkta dialogen mellan EU och Japan om avancerade material och anser att sådana initiativ bör utvidgas till andra ledande länder.</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Det är mycket viktigt att främja konkurrenskraften inom forskning, utveckling och innovation genom att engagera industriaktörer, offentliga myndigheter, arbetsmarknadens parter och den akademiska världen och genom att skapa ett nätverk av gränsöverskridande forskningsinfrastruktur.</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Kommittén föreslår att hälso- och sjukvården inkluderas som ett ytterligare inledande strategiskt område, eftersom den utgör en av de största branscherna i EU och hälso- och sjukvårdsrelaterade avancerade material ofta har beröringspunkter med sektorer såsom elektronik och energi.</w:t>
      </w:r>
    </w:p>
    <w:p w:rsidRPr="00747EBB" w:rsidR="00747EBB" w:rsidP="0088361D" w:rsidRDefault="00747EBB" w14:paraId="76B194F1" w14:textId="79E39F98">
      <w:pPr>
        <w:numPr>
          <w:ilvl w:val="0"/>
          <w:numId w:val="49"/>
        </w:numPr>
        <w:overflowPunct w:val="0"/>
        <w:autoSpaceDE w:val="0"/>
        <w:autoSpaceDN w:val="0"/>
        <w:adjustRightInd w:val="0"/>
        <w:spacing w:after="200" w:line="276" w:lineRule="auto"/>
        <w:ind w:left="284" w:hanging="284"/>
        <w:contextualSpacing/>
        <w:textAlignment w:val="baseline"/>
        <w:rPr>
          <w:bCs/>
          <w:iCs/>
        </w:rPr>
      </w:pPr>
      <w:r>
        <w:t>Det är viktigt att digital teknik och digitala innovationer integreras i materialutvecklings</w:t>
      </w:r>
      <w:r w:rsidR="00274CAB">
        <w:softHyphen/>
      </w:r>
      <w:r>
        <w:t>processerna.</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EESK stöder införandet av digitala produktpass som innehåller informationsstandarder och uppgifter om allt från produktion till återvinning, men varnar för ytterligare byråkrati eller merkostnader för företag eller konsumenter.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Det är nödvändigt att stärka den europeiska produktionen, stödja kommersialiseringen, rationalisera marknadstillträdet och förbättra marknadskontrollen på detta område.</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Kontaktpersoner:</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Niemela-Farrer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Tfn:</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E-post:</w:t>
            </w:r>
          </w:p>
        </w:tc>
        <w:tc>
          <w:tcPr>
            <w:tcW w:w="3444" w:type="pct"/>
          </w:tcPr>
          <w:p w:rsidRPr="00A773FA" w:rsidR="00570D62" w:rsidP="00D76388" w:rsidRDefault="00A61A62"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(SV) </w:t>
    </w:r>
    <w:r>
      <w:fldChar w:fldCharType="begin"/>
    </w:r>
    <w:r>
      <w:instrText xml:space="preserve"> PAGE  \* Arabic  \* MERGEFORMAT </w:instrText>
    </w:r>
    <w:r>
      <w:fldChar w:fldCharType="separate"/>
    </w:r>
    <w:r w:rsidR="000B64C3">
      <w:t>1</w:t>
    </w:r>
    <w:r>
      <w:fldChar w:fldCharType="end"/>
    </w:r>
    <w:r>
      <w:t>/</w:t>
    </w:r>
    <w:r w:rsidR="00A61A62">
      <w:fldChar w:fldCharType="begin"/>
    </w:r>
    <w:r w:rsidR="00A61A62">
      <w:instrText xml:space="preserve"> NUMPAGES </w:instrText>
    </w:r>
    <w:r w:rsidR="00A61A62">
      <w:fldChar w:fldCharType="separate"/>
    </w:r>
    <w:r w:rsidR="000B64C3">
      <w:t>2</w:t>
    </w:r>
    <w:r w:rsidR="00A61A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A61A62">
      <w:fldChar w:fldCharType="begin"/>
    </w:r>
    <w:r w:rsidR="00A61A62">
      <w:instrText xml:space="preserve"> NUMPAGES </w:instrText>
    </w:r>
    <w:r w:rsidR="00A61A62">
      <w:fldChar w:fldCharType="separate"/>
    </w:r>
    <w:r>
      <w:t>16</w:t>
    </w:r>
    <w:r w:rsidR="00A61A6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1AE5"/>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CAB"/>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0A5"/>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2755"/>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57A3F"/>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2CE3"/>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4D14"/>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1A62"/>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35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bidi="hi-x-bh-SD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81AE5"/>
    <w:pPr>
      <w:tabs>
        <w:tab w:val="left" w:pos="440"/>
        <w:tab w:val="right" w:leader="dot" w:pos="9063"/>
      </w:tabs>
      <w:spacing w:before="240"/>
      <w:ind w:right="-284"/>
      <w:outlineLvl w:val="0"/>
    </w:pPr>
    <w:rPr>
      <w:b/>
      <w:noProof/>
      <w:color w:val="000000" w:themeColor="text1"/>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v-S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 w:type="character" w:styleId="UnresolvedMention">
    <w:name w:val="Unresolved Mention"/>
    <w:basedOn w:val="DefaultParagraphFont"/>
    <w:uiPriority w:val="99"/>
    <w:semiHidden/>
    <w:unhideWhenUsed/>
    <w:rsid w:val="00274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sv/our-work/opinions-information-reports/opinions/eu-biotech-and-biomanufacturing-initiative" TargetMode="External"/><Relationship Id="rId21" Type="http://schemas.openxmlformats.org/officeDocument/2006/relationships/hyperlink" Target="https://www.eesc.europa.eu/sv/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sv/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sv/our-work/opinions-information-reports/opinions/general-fisheries-commission-mediterranean" TargetMode="External"/><Relationship Id="rId37" Type="http://schemas.openxmlformats.org/officeDocument/2006/relationships/hyperlink" Target="https://www.eesc.europa.eu/sv/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sv/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sv/our-work/opinions-information-reports/opinions/caregivers" TargetMode="External"/><Relationship Id="rId30" Type="http://schemas.openxmlformats.org/officeDocument/2006/relationships/hyperlink" Target="https://www.eesc.europa.eu/sv/our-work/opinions-information-reports/opinions/proposal-council-recommendation-enhancing-research-security" TargetMode="External"/><Relationship Id="rId35" Type="http://schemas.openxmlformats.org/officeDocument/2006/relationships/hyperlink" Target="https://www.eesc.europa.eu/sv/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hu/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sv/our-work/opinions-information-reports/opinions/no-one-should-be-left-behind-inclusive-and-participatory-cohesion-policy-support-social-economic-and-territorial" TargetMode="External"/><Relationship Id="rId41" Type="http://schemas.openxmlformats.org/officeDocument/2006/relationships/hyperlink" Target="https://www.eesc.europa.eu/sv/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F7M6YNZUATRX-789077548-3234</_dlc_DocId>
    <_dlc_DocIdUrl xmlns="59ace41b-6786-4ce3-be71-52c27066c6ef">
      <Url>http://dm/eesc/2024/_layouts/15/DocIdRedir.aspx?ID=F7M6YNZUATRX-789077548-3234</Url>
      <Description>F7M6YNZUATRX-789077548-3234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2024-07-19T12:00:00+00:00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Wennblom Karin</DisplayName>
        <AccountId>1524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11853503-E79E-4CFE-9165-99460ABA0155}"/>
</file>

<file path=customXml/itemProps2.xml><?xml version="1.0" encoding="utf-8"?>
<ds:datastoreItem xmlns:ds="http://schemas.openxmlformats.org/officeDocument/2006/customXml" ds:itemID="{5FD99036-29D3-4557-89D8-27421A0CD491}"/>
</file>

<file path=customXml/itemProps3.xml><?xml version="1.0" encoding="utf-8"?>
<ds:datastoreItem xmlns:ds="http://schemas.openxmlformats.org/officeDocument/2006/customXml" ds:itemID="{2175795C-93B6-4D5B-9254-2008A4058DBB}"/>
</file>

<file path=customXml/itemProps4.xml><?xml version="1.0" encoding="utf-8"?>
<ds:datastoreItem xmlns:ds="http://schemas.openxmlformats.org/officeDocument/2006/customXml" ds:itemID="{9521144A-59A0-492D-9959-AB83DFA319A6}"/>
</file>

<file path=docProps/app.xml><?xml version="1.0" encoding="utf-8"?>
<Properties xmlns="http://schemas.openxmlformats.org/officeDocument/2006/extended-properties" xmlns:vt="http://schemas.openxmlformats.org/officeDocument/2006/docPropsVTypes">
  <Template>Normal.dotm</Template>
  <TotalTime>0</TotalTime>
  <Pages>17</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antagna yttranden - 589:e plenarsessionen - juli 2024</dc:title>
  <dc:subject>TCD</dc:subject>
  <dc:creator>Nieddu Emma</dc:creator>
  <cp:keywords>EESC-2024-02113-00-01-TCD-TRA-EN</cp:keywords>
  <dc:description>Rapporteur:  - Original language: EN - Date of document: 19/07/2024 - Date of meeting: 30/18/2024 14:30 - External documents:  - Administrator: MME TAMASAUSKIENE Julija</dc:description>
  <cp:lastModifiedBy>Wennblom Karin</cp:lastModifiedBy>
  <cp:revision>14</cp:revision>
  <cp:lastPrinted>2023-06-15T08:00:00Z</cp:lastPrinted>
  <dcterms:created xsi:type="dcterms:W3CDTF">2024-07-19T11:45:00Z</dcterms:created>
  <dcterms:modified xsi:type="dcterms:W3CDTF">2024-07-19T12:50:00Z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2c699b79-6731-44c8-963c-1fbeabaea609</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21;#SV|c2ed69e7-a339-43d7-8f22-d93680a92aa0</vt:lpwstr>
  </property>
  <property fmtid="{D5CDD505-2E9C-101B-9397-08002B2CF9AE}" pid="38" name="_docset_NoMedatataSyncRequired">
    <vt:lpwstr>False</vt:lpwstr>
  </property>
</Properties>
</file>