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775A" w:rsidR="004D7AC0" w:rsidP="00AF2416" w:rsidRDefault="001F0B3A" w14:paraId="785AE44C" w14:textId="411EA67A">
      <w:pPr>
        <w:suppressAutoHyphens/>
        <w:jc w:val="center"/>
      </w:pPr>
      <w:r w:rsidRPr="0015775A">
        <w:rPr>
          <w:noProof/>
          <w:lang w:eastAsia="en-GB"/>
        </w:rPr>
        <w:drawing>
          <wp:inline distT="0" distB="0" distL="0" distR="0" wp14:anchorId="4FE55D20" wp14:editId="2D32876B">
            <wp:extent cx="1792800" cy="1242000"/>
            <wp:effectExtent l="0" t="0" r="0" b="0"/>
            <wp:docPr id="1" name="Picture 1" title="EESCLogo_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sl-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Pr="0015775A" w:rsidR="00721342">
        <w:rPr>
          <w:noProof/>
          <w:sz w:val="20"/>
        </w:rPr>
        <mc:AlternateContent>
          <mc:Choice Requires="wps">
            <w:drawing>
              <wp:anchor distT="0" distB="0" distL="114300" distR="114300" simplePos="0" relativeHeight="251657216" behindDoc="1" locked="0" layoutInCell="0" allowOverlap="1" wp14:editId="730926B3"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B1D16" w:rsidR="00765C4F" w:rsidP="004D7AC0" w:rsidRDefault="00765C4F" w14:paraId="2AA40ECF" w14:textId="77777777">
                            <w:pPr>
                              <w:jc w:val="center"/>
                              <w:rPr>
                                <w:rFonts w:ascii="Arial" w:hAnsi="Arial" w:cs="Arial"/>
                                <w:b/>
                                <w:bCs/>
                                <w:sz w:val="48"/>
                              </w:rPr>
                            </w:pPr>
                            <w:r w:rsidRPr="009B1D16">
                              <w:rPr>
                                <w:rFonts w:ascii="Arial" w:hAnsi="Arial"/>
                                <w:b/>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9B1D16" w:rsidR="00765C4F" w:rsidP="004D7AC0" w:rsidRDefault="00765C4F" w14:paraId="2AA40ECF" w14:textId="77777777">
                      <w:pPr>
                        <w:jc w:val="center"/>
                        <w:rPr>
                          <w:rFonts w:ascii="Arial" w:hAnsi="Arial" w:cs="Arial"/>
                          <w:b/>
                          <w:bCs/>
                          <w:sz w:val="48"/>
                        </w:rPr>
                      </w:pPr>
                      <w:r w:rsidRPr="009B1D16">
                        <w:rPr>
                          <w:rFonts w:ascii="Arial" w:hAnsi="Arial"/>
                          <w:b/>
                          <w:sz w:val="48"/>
                        </w:rPr>
                        <w:t>SL</w:t>
                      </w:r>
                    </w:p>
                  </w:txbxContent>
                </v:textbox>
                <w10:wrap anchorx="page" anchory="page"/>
              </v:shape>
            </w:pict>
          </mc:Fallback>
        </mc:AlternateContent>
      </w:r>
    </w:p>
    <w:p w:rsidRPr="0015775A" w:rsidR="004D7AC0" w:rsidP="00AF2416" w:rsidRDefault="004D7AC0" w14:paraId="51F52D79" w14:textId="77777777">
      <w:pPr>
        <w:suppressAutoHyphens/>
      </w:pPr>
    </w:p>
    <w:p w:rsidRPr="0015775A" w:rsidR="004D7AC0" w:rsidP="00AF2416" w:rsidRDefault="00014C93" w14:paraId="45DE4A28" w14:textId="38182825">
      <w:pPr>
        <w:suppressAutoHyphens/>
        <w:jc w:val="right"/>
      </w:pPr>
      <w:r w:rsidRPr="0015775A">
        <w:t>Bruselj, 16. september 2024</w:t>
      </w:r>
    </w:p>
    <w:p w:rsidRPr="0015775A" w:rsidR="004D7AC0" w:rsidP="00AF2416" w:rsidRDefault="004D7AC0" w14:paraId="6B250092" w14:textId="08CFAF73">
      <w:pPr>
        <w:suppressAutoHyphens/>
      </w:pPr>
    </w:p>
    <w:p w:rsidRPr="0015775A" w:rsidR="001F0B3A" w:rsidP="00AF2416" w:rsidRDefault="001F0B3A" w14:paraId="228A84BA" w14:textId="0D0DE590">
      <w:pPr>
        <w:suppressAutoHyphens/>
      </w:pPr>
    </w:p>
    <w:p w:rsidRPr="0015775A" w:rsidR="001F0B3A" w:rsidP="00AF2416" w:rsidRDefault="001F0B3A" w14:paraId="692C8FF0" w14:textId="77777777">
      <w:pPr>
        <w:suppressAutoHyphens/>
      </w:pPr>
    </w:p>
    <w:p w:rsidRPr="0015775A" w:rsidR="004D7AC0" w:rsidP="00AF2416" w:rsidRDefault="004D7AC0" w14:paraId="0593C6DF" w14:textId="77777777">
      <w:pPr>
        <w:suppressAutoHyphens/>
      </w:pPr>
    </w:p>
    <w:tbl>
      <w:tblPr>
        <w:tblW w:w="0" w:type="auto"/>
        <w:tblLook w:val="04A0" w:firstRow="1" w:lastRow="0" w:firstColumn="1" w:lastColumn="0" w:noHBand="0" w:noVBand="1"/>
      </w:tblPr>
      <w:tblGrid>
        <w:gridCol w:w="9073"/>
      </w:tblGrid>
      <w:tr w:rsidRPr="0015775A" w:rsidR="004D7AC0" w:rsidTr="00662436" w14:paraId="6D7B3453" w14:textId="77777777">
        <w:tc>
          <w:tcPr>
            <w:tcW w:w="9289" w:type="dxa"/>
            <w:tcBorders>
              <w:bottom w:val="double" w:color="auto" w:sz="4" w:space="0"/>
            </w:tcBorders>
          </w:tcPr>
          <w:p w:rsidRPr="0015775A" w:rsidR="001760E9" w:rsidP="00AF2416" w:rsidRDefault="00DA2D88" w14:paraId="3B286D4E" w14:textId="11C8DC33">
            <w:pPr>
              <w:suppressAutoHyphens/>
              <w:snapToGrid w:val="0"/>
              <w:jc w:val="center"/>
              <w:rPr>
                <w:b/>
                <w:sz w:val="32"/>
              </w:rPr>
            </w:pPr>
            <w:r w:rsidRPr="0015775A">
              <w:rPr>
                <w:b/>
                <w:sz w:val="32"/>
              </w:rPr>
              <w:t>589. PLENARNO ZASEDANJE</w:t>
            </w:r>
          </w:p>
          <w:p w:rsidRPr="0015775A" w:rsidR="001760E9" w:rsidP="00AF2416" w:rsidRDefault="001760E9" w14:paraId="6C87A626" w14:textId="0A372E53">
            <w:pPr>
              <w:suppressAutoHyphens/>
              <w:snapToGrid w:val="0"/>
              <w:jc w:val="center"/>
              <w:rPr>
                <w:bCs/>
              </w:rPr>
            </w:pPr>
          </w:p>
          <w:p w:rsidRPr="0015775A" w:rsidR="001F0B3A" w:rsidP="00AF2416" w:rsidRDefault="001F0B3A" w14:paraId="01F8DAC2" w14:textId="77777777">
            <w:pPr>
              <w:suppressAutoHyphens/>
              <w:snapToGrid w:val="0"/>
              <w:jc w:val="center"/>
              <w:rPr>
                <w:bCs/>
              </w:rPr>
            </w:pPr>
          </w:p>
          <w:p w:rsidRPr="0015775A" w:rsidR="001760E9" w:rsidP="00AF2416" w:rsidRDefault="00026AF7" w14:paraId="6CF7229C" w14:textId="767CE9FD">
            <w:pPr>
              <w:suppressAutoHyphens/>
              <w:snapToGrid w:val="0"/>
              <w:jc w:val="center"/>
              <w:rPr>
                <w:b/>
                <w:sz w:val="32"/>
              </w:rPr>
            </w:pPr>
            <w:r w:rsidRPr="0015775A">
              <w:rPr>
                <w:b/>
                <w:sz w:val="32"/>
              </w:rPr>
              <w:t>10. in 11. julij 2024</w:t>
            </w:r>
          </w:p>
          <w:p w:rsidRPr="0015775A" w:rsidR="001760E9" w:rsidP="00AF2416" w:rsidRDefault="001760E9" w14:paraId="0C44BD01" w14:textId="42ECE538">
            <w:pPr>
              <w:suppressAutoHyphens/>
              <w:snapToGrid w:val="0"/>
              <w:jc w:val="center"/>
              <w:rPr>
                <w:bCs/>
              </w:rPr>
            </w:pPr>
          </w:p>
          <w:p w:rsidRPr="0015775A" w:rsidR="001F0B3A" w:rsidP="00AF2416" w:rsidRDefault="001F0B3A" w14:paraId="15227DA6" w14:textId="77777777">
            <w:pPr>
              <w:suppressAutoHyphens/>
              <w:snapToGrid w:val="0"/>
              <w:jc w:val="center"/>
              <w:rPr>
                <w:bCs/>
              </w:rPr>
            </w:pPr>
          </w:p>
          <w:p w:rsidRPr="0015775A" w:rsidR="004D7AC0" w:rsidP="00AF2416" w:rsidRDefault="00CF2F88" w14:paraId="114106CC" w14:textId="11A9DA7B">
            <w:pPr>
              <w:suppressAutoHyphens/>
              <w:snapToGrid w:val="0"/>
              <w:jc w:val="center"/>
              <w:rPr>
                <w:rFonts w:eastAsia="MS Mincho"/>
                <w:b/>
                <w:sz w:val="32"/>
                <w:szCs w:val="32"/>
              </w:rPr>
            </w:pPr>
            <w:r w:rsidRPr="0015775A">
              <w:rPr>
                <w:b/>
                <w:sz w:val="32"/>
              </w:rPr>
              <w:t>POVZETEK SPREJETIH MNENJ, RESOLUCIJ IN INFORMATIVNIH POROČIL / POROČIL O OCENI</w:t>
            </w:r>
          </w:p>
          <w:p w:rsidRPr="0015775A" w:rsidR="004D7AC0" w:rsidP="00AF2416" w:rsidRDefault="004D7AC0" w14:paraId="06AE72EA" w14:textId="77777777">
            <w:pPr>
              <w:suppressAutoHyphens/>
              <w:snapToGrid w:val="0"/>
            </w:pPr>
          </w:p>
        </w:tc>
      </w:tr>
      <w:tr w:rsidRPr="0015775A"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15775A" w:rsidR="00B16284" w:rsidP="00AF2416" w:rsidRDefault="004D7AC0" w14:paraId="0A87E35B" w14:textId="77777777">
            <w:pPr>
              <w:suppressAutoHyphens/>
              <w:snapToGrid w:val="0"/>
              <w:jc w:val="center"/>
            </w:pPr>
            <w:r w:rsidRPr="0015775A">
              <w:t>Dokument je v vseh uradnih jezikih Evropske unije na voljo na spletni strani EESO:</w:t>
            </w:r>
          </w:p>
          <w:p w:rsidRPr="0015775A" w:rsidR="00B16284" w:rsidP="00AF2416" w:rsidRDefault="00B16284" w14:paraId="4F26A4CE" w14:textId="77777777">
            <w:pPr>
              <w:suppressAutoHyphens/>
              <w:snapToGrid w:val="0"/>
              <w:jc w:val="center"/>
            </w:pPr>
          </w:p>
          <w:p w:rsidRPr="0015775A" w:rsidR="004D7AC0" w:rsidP="00AF2416" w:rsidRDefault="006E0B19" w14:paraId="2A9352A2" w14:textId="0680ADB6">
            <w:pPr>
              <w:suppressAutoHyphens/>
              <w:snapToGrid w:val="0"/>
              <w:jc w:val="center"/>
            </w:pPr>
            <w:hyperlink w:history="1" r:id="rId12">
              <w:r w:rsidRPr="0015775A" w:rsidR="00733AB4">
                <w:rPr>
                  <w:rStyle w:val="Hyperlink"/>
                  <w:highlight w:val="yellow"/>
                </w:rPr>
                <w:t>https://www.eesc.europa.eu/sl/our-work/opinions-information-reports/plenary-session-summaries</w:t>
              </w:r>
            </w:hyperlink>
          </w:p>
          <w:p w:rsidRPr="0015775A" w:rsidR="004D7AC0" w:rsidP="00AF2416" w:rsidRDefault="004D7AC0" w14:paraId="70D5DBB4" w14:textId="77777777">
            <w:pPr>
              <w:suppressAutoHyphens/>
              <w:snapToGrid w:val="0"/>
              <w:jc w:val="center"/>
            </w:pPr>
          </w:p>
          <w:p w:rsidRPr="0015775A" w:rsidR="004D7AC0" w:rsidP="00AF2416" w:rsidRDefault="004D7AC0" w14:paraId="575A73D6" w14:textId="77777777">
            <w:pPr>
              <w:suppressAutoHyphens/>
              <w:snapToGrid w:val="0"/>
              <w:jc w:val="center"/>
              <w:rPr>
                <w:rFonts w:eastAsia="SimSun"/>
              </w:rPr>
            </w:pPr>
          </w:p>
          <w:p w:rsidRPr="0015775A" w:rsidR="00B16284" w:rsidP="00AF2416" w:rsidRDefault="004D7AC0" w14:paraId="1C64BC20" w14:textId="77777777">
            <w:pPr>
              <w:suppressAutoHyphens/>
              <w:snapToGrid w:val="0"/>
              <w:jc w:val="center"/>
            </w:pPr>
            <w:r w:rsidRPr="0015775A">
              <w:t>Navedena mnenja so na spletu dostopna prek iskalnika Odbora:</w:t>
            </w:r>
          </w:p>
          <w:p w:rsidRPr="0015775A" w:rsidR="00B16284" w:rsidP="00AF2416" w:rsidRDefault="00B16284" w14:paraId="7A5411A5" w14:textId="77777777">
            <w:pPr>
              <w:suppressAutoHyphens/>
              <w:snapToGrid w:val="0"/>
              <w:jc w:val="center"/>
            </w:pPr>
          </w:p>
          <w:p w:rsidRPr="0015775A" w:rsidR="004D7AC0" w:rsidP="00AF2416" w:rsidRDefault="006E0B19" w14:paraId="441AC4DD" w14:textId="1194D751">
            <w:pPr>
              <w:suppressAutoHyphens/>
              <w:snapToGrid w:val="0"/>
              <w:jc w:val="center"/>
            </w:pPr>
            <w:hyperlink w:history="1" r:id="rId13">
              <w:r w:rsidRPr="0015775A" w:rsidR="00733AB4">
                <w:rPr>
                  <w:rStyle w:val="Hyperlink"/>
                </w:rPr>
                <w:t>https://dmsearch.eesc.europa.eu/search/opinion</w:t>
              </w:r>
            </w:hyperlink>
          </w:p>
          <w:p w:rsidRPr="0015775A" w:rsidR="004D7AC0" w:rsidP="00AF2416" w:rsidRDefault="004D7AC0" w14:paraId="51FF303F" w14:textId="77777777">
            <w:pPr>
              <w:suppressAutoHyphens/>
              <w:snapToGrid w:val="0"/>
              <w:jc w:val="center"/>
            </w:pPr>
          </w:p>
        </w:tc>
      </w:tr>
    </w:tbl>
    <w:p w:rsidRPr="0015775A" w:rsidR="004D7AC0" w:rsidP="00AF2416" w:rsidRDefault="004D7AC0" w14:paraId="57C291FC" w14:textId="77777777">
      <w:pPr>
        <w:suppressAutoHyphens/>
      </w:pPr>
    </w:p>
    <w:p w:rsidRPr="0015775A" w:rsidR="004D7AC0" w:rsidP="00AF2416" w:rsidRDefault="004D7AC0" w14:paraId="5E675360" w14:textId="77777777">
      <w:pPr>
        <w:suppressAutoHyphens/>
      </w:pPr>
    </w:p>
    <w:p w:rsidRPr="0015775A" w:rsidR="005A29D5" w:rsidP="00AF2416" w:rsidRDefault="005A29D5" w14:paraId="3CF67A1E" w14:textId="77777777">
      <w:pPr>
        <w:suppressAutoHyphens/>
        <w:sectPr w:rsidRPr="0015775A" w:rsidR="005A29D5" w:rsidSect="009B1D16">
          <w:footerReference w:type="default" r:id="rId14"/>
          <w:pgSz w:w="11907" w:h="16839"/>
          <w:pgMar w:top="1417" w:right="1417" w:bottom="1417" w:left="1417" w:header="709" w:footer="709" w:gutter="0"/>
          <w:pgNumType w:start="1"/>
          <w:cols w:space="708"/>
          <w:docGrid w:linePitch="360"/>
        </w:sectPr>
      </w:pPr>
    </w:p>
    <w:p w:rsidRPr="0015775A" w:rsidR="00E31152" w:rsidP="00AF2416" w:rsidRDefault="0014322B" w14:paraId="0D3450B1" w14:textId="72CD896C">
      <w:pPr>
        <w:suppressAutoHyphens/>
        <w:ind w:hanging="284"/>
        <w:jc w:val="left"/>
        <w:rPr>
          <w:rFonts w:asciiTheme="majorHAnsi" w:hAnsiTheme="majorHAnsi" w:eastAsiaTheme="majorEastAsia" w:cstheme="majorBidi"/>
          <w:color w:val="2E74B5" w:themeColor="accent1" w:themeShade="BF"/>
          <w:sz w:val="32"/>
          <w:szCs w:val="32"/>
        </w:rPr>
      </w:pPr>
      <w:r w:rsidRPr="0015775A">
        <w:rPr>
          <w:rFonts w:asciiTheme="majorHAnsi" w:hAnsiTheme="majorHAnsi"/>
          <w:color w:val="2E74B5" w:themeColor="accent1" w:themeShade="BF"/>
          <w:sz w:val="32"/>
        </w:rPr>
        <w:lastRenderedPageBreak/>
        <w:t>Vsebina</w:t>
      </w:r>
    </w:p>
    <w:p w:rsidRPr="00FD0B17" w:rsidR="00733AB4" w:rsidP="00AF2416" w:rsidRDefault="0014322B" w14:paraId="4E10F33D" w14:textId="0CCE408D">
      <w:pPr>
        <w:pStyle w:val="TOC1"/>
        <w:spacing w:before="0"/>
        <w:rPr>
          <w:rFonts w:asciiTheme="minorHAnsi" w:hAnsiTheme="minorHAnsi" w:eastAsiaTheme="minorEastAsia" w:cstheme="minorBidi"/>
          <w:b w:val="0"/>
          <w:bCs/>
          <w:sz w:val="22"/>
          <w:szCs w:val="22"/>
          <w:lang w:eastAsia="en-GB"/>
        </w:rPr>
      </w:pPr>
      <w:r w:rsidRPr="00FD0B17">
        <w:rPr>
          <w:b w:val="0"/>
          <w:bCs/>
          <w:noProof w:val="0"/>
        </w:rPr>
        <w:fldChar w:fldCharType="begin"/>
      </w:r>
      <w:r w:rsidRPr="00FD0B17">
        <w:rPr>
          <w:b w:val="0"/>
          <w:bCs/>
          <w:noProof w:val="0"/>
        </w:rPr>
        <w:instrText xml:space="preserve"> TOC \o "1-1" \h \z \u </w:instrText>
      </w:r>
      <w:r w:rsidRPr="00FD0B17">
        <w:rPr>
          <w:b w:val="0"/>
          <w:bCs/>
          <w:noProof w:val="0"/>
        </w:rPr>
        <w:fldChar w:fldCharType="separate"/>
      </w:r>
      <w:hyperlink w:history="1" w:anchor="_Toc172110318">
        <w:r w:rsidRPr="00FD0B17" w:rsidR="00733AB4">
          <w:rPr>
            <w:rStyle w:val="Hyperlink"/>
            <w:b w:val="0"/>
            <w:bCs/>
          </w:rPr>
          <w:t>1.</w:t>
        </w:r>
        <w:r w:rsidRPr="00FD0B17" w:rsidR="00733AB4">
          <w:rPr>
            <w:rFonts w:asciiTheme="minorHAnsi" w:hAnsiTheme="minorHAnsi" w:eastAsiaTheme="minorEastAsia" w:cstheme="minorBidi"/>
            <w:b w:val="0"/>
            <w:bCs/>
            <w:sz w:val="22"/>
            <w:szCs w:val="22"/>
            <w:lang w:eastAsia="en-GB"/>
          </w:rPr>
          <w:tab/>
        </w:r>
        <w:r w:rsidRPr="00FD0B17" w:rsidR="00733AB4">
          <w:rPr>
            <w:rStyle w:val="Hyperlink"/>
          </w:rPr>
          <w:t>RESOLUCIJA</w:t>
        </w:r>
        <w:r w:rsidRPr="00FD0B17" w:rsidR="00733AB4">
          <w:rPr>
            <w:b w:val="0"/>
            <w:bCs/>
            <w:webHidden/>
          </w:rPr>
          <w:tab/>
        </w:r>
        <w:r w:rsidRPr="00FD0B17" w:rsidR="00733AB4">
          <w:rPr>
            <w:b w:val="0"/>
            <w:bCs/>
            <w:webHidden/>
          </w:rPr>
          <w:fldChar w:fldCharType="begin"/>
        </w:r>
        <w:r w:rsidRPr="00FD0B17" w:rsidR="00733AB4">
          <w:rPr>
            <w:b w:val="0"/>
            <w:bCs/>
            <w:webHidden/>
          </w:rPr>
          <w:instrText xml:space="preserve"> PAGEREF _Toc172110318 \h </w:instrText>
        </w:r>
        <w:r w:rsidRPr="00FD0B17" w:rsidR="00733AB4">
          <w:rPr>
            <w:b w:val="0"/>
            <w:bCs/>
            <w:webHidden/>
          </w:rPr>
        </w:r>
        <w:r w:rsidRPr="00FD0B17" w:rsidR="00733AB4">
          <w:rPr>
            <w:b w:val="0"/>
            <w:bCs/>
            <w:webHidden/>
          </w:rPr>
          <w:fldChar w:fldCharType="separate"/>
        </w:r>
        <w:r w:rsidRPr="00FD0B17" w:rsidR="00FD0B17">
          <w:rPr>
            <w:b w:val="0"/>
            <w:bCs/>
            <w:webHidden/>
          </w:rPr>
          <w:t>3</w:t>
        </w:r>
        <w:r w:rsidRPr="00FD0B17" w:rsidR="00733AB4">
          <w:rPr>
            <w:b w:val="0"/>
            <w:bCs/>
            <w:webHidden/>
          </w:rPr>
          <w:fldChar w:fldCharType="end"/>
        </w:r>
      </w:hyperlink>
    </w:p>
    <w:p w:rsidRPr="00FD0B17" w:rsidR="00733AB4" w:rsidP="00AF2416" w:rsidRDefault="006E0B19" w14:paraId="7B5043A6" w14:textId="540A3B59">
      <w:pPr>
        <w:pStyle w:val="TOC1"/>
        <w:spacing w:before="0"/>
        <w:rPr>
          <w:rFonts w:asciiTheme="minorHAnsi" w:hAnsiTheme="minorHAnsi" w:eastAsiaTheme="minorEastAsia" w:cstheme="minorBidi"/>
          <w:b w:val="0"/>
          <w:bCs/>
          <w:sz w:val="22"/>
          <w:szCs w:val="22"/>
          <w:lang w:eastAsia="en-GB"/>
        </w:rPr>
      </w:pPr>
      <w:hyperlink w:history="1" w:anchor="_Toc172110319">
        <w:r w:rsidRPr="00FD0B17" w:rsidR="00733AB4">
          <w:rPr>
            <w:rStyle w:val="Hyperlink"/>
            <w:b w:val="0"/>
            <w:bCs/>
          </w:rPr>
          <w:t>2.</w:t>
        </w:r>
        <w:r w:rsidRPr="00FD0B17" w:rsidR="00733AB4">
          <w:rPr>
            <w:rFonts w:asciiTheme="minorHAnsi" w:hAnsiTheme="minorHAnsi" w:eastAsiaTheme="minorEastAsia" w:cstheme="minorBidi"/>
            <w:b w:val="0"/>
            <w:bCs/>
            <w:sz w:val="22"/>
            <w:szCs w:val="22"/>
            <w:lang w:eastAsia="en-GB"/>
          </w:rPr>
          <w:tab/>
        </w:r>
        <w:r w:rsidRPr="00FD0B17" w:rsidR="00733AB4">
          <w:rPr>
            <w:rStyle w:val="Hyperlink"/>
          </w:rPr>
          <w:t>EKONOMSKA IN MONETARNA UNIJA TER EKONOMSKA IN SOCIALNA KOHEZIJA</w:t>
        </w:r>
        <w:r w:rsidRPr="00FD0B17" w:rsidR="00733AB4">
          <w:rPr>
            <w:b w:val="0"/>
            <w:bCs/>
            <w:webHidden/>
          </w:rPr>
          <w:tab/>
        </w:r>
        <w:r w:rsidRPr="00FD0B17" w:rsidR="00733AB4">
          <w:rPr>
            <w:b w:val="0"/>
            <w:bCs/>
            <w:webHidden/>
          </w:rPr>
          <w:fldChar w:fldCharType="begin"/>
        </w:r>
        <w:r w:rsidRPr="00FD0B17" w:rsidR="00733AB4">
          <w:rPr>
            <w:b w:val="0"/>
            <w:bCs/>
            <w:webHidden/>
          </w:rPr>
          <w:instrText xml:space="preserve"> PAGEREF _Toc172110319 \h </w:instrText>
        </w:r>
        <w:r w:rsidRPr="00FD0B17" w:rsidR="00733AB4">
          <w:rPr>
            <w:b w:val="0"/>
            <w:bCs/>
            <w:webHidden/>
          </w:rPr>
        </w:r>
        <w:r w:rsidRPr="00FD0B17" w:rsidR="00733AB4">
          <w:rPr>
            <w:b w:val="0"/>
            <w:bCs/>
            <w:webHidden/>
          </w:rPr>
          <w:fldChar w:fldCharType="separate"/>
        </w:r>
        <w:r w:rsidRPr="00FD0B17" w:rsidR="00FD0B17">
          <w:rPr>
            <w:b w:val="0"/>
            <w:bCs/>
            <w:webHidden/>
          </w:rPr>
          <w:t>4</w:t>
        </w:r>
        <w:r w:rsidRPr="00FD0B17" w:rsidR="00733AB4">
          <w:rPr>
            <w:b w:val="0"/>
            <w:bCs/>
            <w:webHidden/>
          </w:rPr>
          <w:fldChar w:fldCharType="end"/>
        </w:r>
      </w:hyperlink>
    </w:p>
    <w:p w:rsidRPr="00FD0B17" w:rsidR="00733AB4" w:rsidP="00AF2416" w:rsidRDefault="006E0B19" w14:paraId="51402500" w14:textId="18F8B7FB">
      <w:pPr>
        <w:pStyle w:val="TOC1"/>
        <w:spacing w:before="0"/>
        <w:rPr>
          <w:rFonts w:asciiTheme="minorHAnsi" w:hAnsiTheme="minorHAnsi" w:eastAsiaTheme="minorEastAsia" w:cstheme="minorBidi"/>
          <w:b w:val="0"/>
          <w:bCs/>
          <w:sz w:val="22"/>
          <w:szCs w:val="22"/>
          <w:lang w:eastAsia="en-GB"/>
        </w:rPr>
      </w:pPr>
      <w:hyperlink w:history="1" w:anchor="_Toc172110320">
        <w:r w:rsidRPr="00FD0B17" w:rsidR="00733AB4">
          <w:rPr>
            <w:rStyle w:val="Hyperlink"/>
            <w:b w:val="0"/>
            <w:bCs/>
          </w:rPr>
          <w:t>3.</w:t>
        </w:r>
        <w:r w:rsidRPr="00FD0B17" w:rsidR="00733AB4">
          <w:rPr>
            <w:rFonts w:asciiTheme="minorHAnsi" w:hAnsiTheme="minorHAnsi" w:eastAsiaTheme="minorEastAsia" w:cstheme="minorBidi"/>
            <w:b w:val="0"/>
            <w:bCs/>
            <w:sz w:val="22"/>
            <w:szCs w:val="22"/>
            <w:lang w:eastAsia="en-GB"/>
          </w:rPr>
          <w:tab/>
        </w:r>
        <w:r w:rsidRPr="00FD0B17" w:rsidR="00733AB4">
          <w:rPr>
            <w:rStyle w:val="Hyperlink"/>
          </w:rPr>
          <w:t>ZAPOSLOVANJE, SOCIALNE ZADEVE IN DRŽAVLJANSTVO</w:t>
        </w:r>
        <w:r w:rsidRPr="00FD0B17" w:rsidR="00733AB4">
          <w:rPr>
            <w:b w:val="0"/>
            <w:bCs/>
            <w:webHidden/>
          </w:rPr>
          <w:tab/>
        </w:r>
        <w:r w:rsidRPr="00FD0B17" w:rsidR="00733AB4">
          <w:rPr>
            <w:b w:val="0"/>
            <w:bCs/>
            <w:webHidden/>
          </w:rPr>
          <w:fldChar w:fldCharType="begin"/>
        </w:r>
        <w:r w:rsidRPr="00FD0B17" w:rsidR="00733AB4">
          <w:rPr>
            <w:b w:val="0"/>
            <w:bCs/>
            <w:webHidden/>
          </w:rPr>
          <w:instrText xml:space="preserve"> PAGEREF _Toc172110320 \h </w:instrText>
        </w:r>
        <w:r w:rsidRPr="00FD0B17" w:rsidR="00733AB4">
          <w:rPr>
            <w:b w:val="0"/>
            <w:bCs/>
            <w:webHidden/>
          </w:rPr>
        </w:r>
        <w:r w:rsidRPr="00FD0B17" w:rsidR="00733AB4">
          <w:rPr>
            <w:b w:val="0"/>
            <w:bCs/>
            <w:webHidden/>
          </w:rPr>
          <w:fldChar w:fldCharType="separate"/>
        </w:r>
        <w:r w:rsidRPr="00FD0B17" w:rsidR="00FD0B17">
          <w:rPr>
            <w:b w:val="0"/>
            <w:bCs/>
            <w:webHidden/>
          </w:rPr>
          <w:t>5</w:t>
        </w:r>
        <w:r w:rsidRPr="00FD0B17" w:rsidR="00733AB4">
          <w:rPr>
            <w:b w:val="0"/>
            <w:bCs/>
            <w:webHidden/>
          </w:rPr>
          <w:fldChar w:fldCharType="end"/>
        </w:r>
      </w:hyperlink>
    </w:p>
    <w:p w:rsidRPr="00FD0B17" w:rsidR="00733AB4" w:rsidP="00AF2416" w:rsidRDefault="006E0B19" w14:paraId="24D847D8" w14:textId="344A3857">
      <w:pPr>
        <w:pStyle w:val="TOC1"/>
        <w:spacing w:before="0"/>
        <w:rPr>
          <w:rFonts w:asciiTheme="minorHAnsi" w:hAnsiTheme="minorHAnsi" w:eastAsiaTheme="minorEastAsia" w:cstheme="minorBidi"/>
          <w:b w:val="0"/>
          <w:bCs/>
          <w:sz w:val="22"/>
          <w:szCs w:val="22"/>
          <w:lang w:eastAsia="en-GB"/>
        </w:rPr>
      </w:pPr>
      <w:hyperlink w:history="1" w:anchor="_Toc172110321">
        <w:r w:rsidRPr="00FD0B17" w:rsidR="00733AB4">
          <w:rPr>
            <w:rStyle w:val="Hyperlink"/>
            <w:b w:val="0"/>
            <w:bCs/>
          </w:rPr>
          <w:t>4.</w:t>
        </w:r>
        <w:r w:rsidRPr="00FD0B17" w:rsidR="00733AB4">
          <w:rPr>
            <w:rFonts w:asciiTheme="minorHAnsi" w:hAnsiTheme="minorHAnsi" w:eastAsiaTheme="minorEastAsia" w:cstheme="minorBidi"/>
            <w:b w:val="0"/>
            <w:bCs/>
            <w:sz w:val="22"/>
            <w:szCs w:val="22"/>
            <w:lang w:eastAsia="en-GB"/>
          </w:rPr>
          <w:tab/>
        </w:r>
        <w:r w:rsidRPr="00FD0B17" w:rsidR="00733AB4">
          <w:rPr>
            <w:rStyle w:val="Hyperlink"/>
          </w:rPr>
          <w:t>ENOTNI TRG, PROIZVODNJA IN POTROŠNJA</w:t>
        </w:r>
        <w:r w:rsidRPr="00FD0B17" w:rsidR="00733AB4">
          <w:rPr>
            <w:b w:val="0"/>
            <w:bCs/>
            <w:webHidden/>
          </w:rPr>
          <w:tab/>
        </w:r>
        <w:r w:rsidRPr="00FD0B17" w:rsidR="00733AB4">
          <w:rPr>
            <w:b w:val="0"/>
            <w:bCs/>
            <w:webHidden/>
          </w:rPr>
          <w:fldChar w:fldCharType="begin"/>
        </w:r>
        <w:r w:rsidRPr="00FD0B17" w:rsidR="00733AB4">
          <w:rPr>
            <w:b w:val="0"/>
            <w:bCs/>
            <w:webHidden/>
          </w:rPr>
          <w:instrText xml:space="preserve"> PAGEREF _Toc172110321 \h </w:instrText>
        </w:r>
        <w:r w:rsidRPr="00FD0B17" w:rsidR="00733AB4">
          <w:rPr>
            <w:b w:val="0"/>
            <w:bCs/>
            <w:webHidden/>
          </w:rPr>
        </w:r>
        <w:r w:rsidRPr="00FD0B17" w:rsidR="00733AB4">
          <w:rPr>
            <w:b w:val="0"/>
            <w:bCs/>
            <w:webHidden/>
          </w:rPr>
          <w:fldChar w:fldCharType="separate"/>
        </w:r>
        <w:r w:rsidRPr="00FD0B17" w:rsidR="00FD0B17">
          <w:rPr>
            <w:b w:val="0"/>
            <w:bCs/>
            <w:webHidden/>
          </w:rPr>
          <w:t>9</w:t>
        </w:r>
        <w:r w:rsidRPr="00FD0B17" w:rsidR="00733AB4">
          <w:rPr>
            <w:b w:val="0"/>
            <w:bCs/>
            <w:webHidden/>
          </w:rPr>
          <w:fldChar w:fldCharType="end"/>
        </w:r>
      </w:hyperlink>
    </w:p>
    <w:p w:rsidRPr="00FD0B17" w:rsidR="00733AB4" w:rsidP="00AF2416" w:rsidRDefault="006E0B19" w14:paraId="1848F0F4" w14:textId="3D7BB02A">
      <w:pPr>
        <w:pStyle w:val="TOC1"/>
        <w:spacing w:before="0"/>
        <w:rPr>
          <w:rFonts w:asciiTheme="minorHAnsi" w:hAnsiTheme="minorHAnsi" w:eastAsiaTheme="minorEastAsia" w:cstheme="minorBidi"/>
          <w:b w:val="0"/>
          <w:bCs/>
          <w:sz w:val="22"/>
          <w:szCs w:val="22"/>
          <w:lang w:eastAsia="en-GB"/>
        </w:rPr>
      </w:pPr>
      <w:hyperlink w:history="1" w:anchor="_Toc172110322">
        <w:r w:rsidRPr="00FD0B17" w:rsidR="00733AB4">
          <w:rPr>
            <w:rStyle w:val="Hyperlink"/>
            <w:b w:val="0"/>
            <w:bCs/>
          </w:rPr>
          <w:t>5.</w:t>
        </w:r>
        <w:r w:rsidRPr="00FD0B17" w:rsidR="00733AB4">
          <w:rPr>
            <w:rFonts w:asciiTheme="minorHAnsi" w:hAnsiTheme="minorHAnsi" w:eastAsiaTheme="minorEastAsia" w:cstheme="minorBidi"/>
            <w:b w:val="0"/>
            <w:bCs/>
            <w:sz w:val="22"/>
            <w:szCs w:val="22"/>
            <w:lang w:eastAsia="en-GB"/>
          </w:rPr>
          <w:tab/>
        </w:r>
        <w:r w:rsidRPr="00FD0B17" w:rsidR="00733AB4">
          <w:rPr>
            <w:rStyle w:val="Hyperlink"/>
          </w:rPr>
          <w:t>KMETIJSTVO, RAZVOJ PODEŽELJA IN OKOLJE</w:t>
        </w:r>
        <w:r w:rsidRPr="00FD0B17" w:rsidR="00733AB4">
          <w:rPr>
            <w:b w:val="0"/>
            <w:bCs/>
            <w:webHidden/>
          </w:rPr>
          <w:tab/>
        </w:r>
        <w:r w:rsidRPr="00FD0B17" w:rsidR="00733AB4">
          <w:rPr>
            <w:b w:val="0"/>
            <w:bCs/>
            <w:webHidden/>
          </w:rPr>
          <w:fldChar w:fldCharType="begin"/>
        </w:r>
        <w:r w:rsidRPr="00FD0B17" w:rsidR="00733AB4">
          <w:rPr>
            <w:b w:val="0"/>
            <w:bCs/>
            <w:webHidden/>
          </w:rPr>
          <w:instrText xml:space="preserve"> PAGEREF _Toc172110322 \h </w:instrText>
        </w:r>
        <w:r w:rsidRPr="00FD0B17" w:rsidR="00733AB4">
          <w:rPr>
            <w:b w:val="0"/>
            <w:bCs/>
            <w:webHidden/>
          </w:rPr>
        </w:r>
        <w:r w:rsidRPr="00FD0B17" w:rsidR="00733AB4">
          <w:rPr>
            <w:b w:val="0"/>
            <w:bCs/>
            <w:webHidden/>
          </w:rPr>
          <w:fldChar w:fldCharType="separate"/>
        </w:r>
        <w:r w:rsidRPr="00FD0B17" w:rsidR="00FD0B17">
          <w:rPr>
            <w:b w:val="0"/>
            <w:bCs/>
            <w:webHidden/>
          </w:rPr>
          <w:t>10</w:t>
        </w:r>
        <w:r w:rsidRPr="00FD0B17" w:rsidR="00733AB4">
          <w:rPr>
            <w:b w:val="0"/>
            <w:bCs/>
            <w:webHidden/>
          </w:rPr>
          <w:fldChar w:fldCharType="end"/>
        </w:r>
      </w:hyperlink>
    </w:p>
    <w:p w:rsidRPr="00FD0B17" w:rsidR="00733AB4" w:rsidP="00AF2416" w:rsidRDefault="006E0B19" w14:paraId="41507F0E" w14:textId="1A3A5F43">
      <w:pPr>
        <w:pStyle w:val="TOC1"/>
        <w:spacing w:before="0"/>
        <w:rPr>
          <w:rFonts w:asciiTheme="minorHAnsi" w:hAnsiTheme="minorHAnsi" w:eastAsiaTheme="minorEastAsia" w:cstheme="minorBidi"/>
          <w:b w:val="0"/>
          <w:bCs/>
          <w:sz w:val="22"/>
          <w:szCs w:val="22"/>
          <w:lang w:eastAsia="en-GB"/>
        </w:rPr>
      </w:pPr>
      <w:hyperlink w:history="1" w:anchor="_Toc172110323">
        <w:r w:rsidRPr="00FD0B17" w:rsidR="00733AB4">
          <w:rPr>
            <w:rStyle w:val="Hyperlink"/>
            <w:b w:val="0"/>
            <w:bCs/>
          </w:rPr>
          <w:t>6.</w:t>
        </w:r>
        <w:r w:rsidRPr="00FD0B17" w:rsidR="00733AB4">
          <w:rPr>
            <w:rFonts w:asciiTheme="minorHAnsi" w:hAnsiTheme="minorHAnsi" w:eastAsiaTheme="minorEastAsia" w:cstheme="minorBidi"/>
            <w:b w:val="0"/>
            <w:bCs/>
            <w:sz w:val="22"/>
            <w:szCs w:val="22"/>
            <w:lang w:eastAsia="en-GB"/>
          </w:rPr>
          <w:tab/>
        </w:r>
        <w:r w:rsidRPr="00FD0B17" w:rsidR="00733AB4">
          <w:rPr>
            <w:rStyle w:val="Hyperlink"/>
          </w:rPr>
          <w:t>ZUNANJI ODNOSI</w:t>
        </w:r>
        <w:r w:rsidRPr="00FD0B17" w:rsidR="00733AB4">
          <w:rPr>
            <w:b w:val="0"/>
            <w:bCs/>
            <w:webHidden/>
          </w:rPr>
          <w:tab/>
        </w:r>
        <w:r w:rsidRPr="00FD0B17" w:rsidR="00733AB4">
          <w:rPr>
            <w:b w:val="0"/>
            <w:bCs/>
            <w:webHidden/>
          </w:rPr>
          <w:fldChar w:fldCharType="begin"/>
        </w:r>
        <w:r w:rsidRPr="00FD0B17" w:rsidR="00733AB4">
          <w:rPr>
            <w:b w:val="0"/>
            <w:bCs/>
            <w:webHidden/>
          </w:rPr>
          <w:instrText xml:space="preserve"> PAGEREF _Toc172110323 \h </w:instrText>
        </w:r>
        <w:r w:rsidRPr="00FD0B17" w:rsidR="00733AB4">
          <w:rPr>
            <w:b w:val="0"/>
            <w:bCs/>
            <w:webHidden/>
          </w:rPr>
        </w:r>
        <w:r w:rsidRPr="00FD0B17" w:rsidR="00733AB4">
          <w:rPr>
            <w:b w:val="0"/>
            <w:bCs/>
            <w:webHidden/>
          </w:rPr>
          <w:fldChar w:fldCharType="separate"/>
        </w:r>
        <w:r w:rsidRPr="00FD0B17" w:rsidR="00FD0B17">
          <w:rPr>
            <w:b w:val="0"/>
            <w:bCs/>
            <w:webHidden/>
          </w:rPr>
          <w:t>12</w:t>
        </w:r>
        <w:r w:rsidRPr="00FD0B17" w:rsidR="00733AB4">
          <w:rPr>
            <w:b w:val="0"/>
            <w:bCs/>
            <w:webHidden/>
          </w:rPr>
          <w:fldChar w:fldCharType="end"/>
        </w:r>
      </w:hyperlink>
    </w:p>
    <w:p w:rsidRPr="00FD0B17" w:rsidR="00733AB4" w:rsidP="00AF2416" w:rsidRDefault="006E0B19" w14:paraId="482721B0" w14:textId="43B3D8AF">
      <w:pPr>
        <w:pStyle w:val="TOC1"/>
        <w:spacing w:before="0"/>
        <w:rPr>
          <w:rFonts w:asciiTheme="minorHAnsi" w:hAnsiTheme="minorHAnsi" w:eastAsiaTheme="minorEastAsia" w:cstheme="minorBidi"/>
          <w:b w:val="0"/>
          <w:bCs/>
          <w:sz w:val="22"/>
          <w:szCs w:val="22"/>
          <w:lang w:eastAsia="en-GB"/>
        </w:rPr>
      </w:pPr>
      <w:hyperlink w:history="1" w:anchor="_Toc172110324">
        <w:r w:rsidRPr="00FD0B17" w:rsidR="00733AB4">
          <w:rPr>
            <w:rStyle w:val="Hyperlink"/>
            <w:b w:val="0"/>
            <w:bCs/>
          </w:rPr>
          <w:t>7.</w:t>
        </w:r>
        <w:r w:rsidRPr="00FD0B17" w:rsidR="00733AB4">
          <w:rPr>
            <w:rFonts w:asciiTheme="minorHAnsi" w:hAnsiTheme="minorHAnsi" w:eastAsiaTheme="minorEastAsia" w:cstheme="minorBidi"/>
            <w:b w:val="0"/>
            <w:bCs/>
            <w:sz w:val="22"/>
            <w:szCs w:val="22"/>
            <w:lang w:eastAsia="en-GB"/>
          </w:rPr>
          <w:tab/>
        </w:r>
        <w:r w:rsidRPr="00FD0B17" w:rsidR="00733AB4">
          <w:rPr>
            <w:rStyle w:val="Hyperlink"/>
          </w:rPr>
          <w:t>PROMET, ENERGIJA, INFRASTRUKTURA IN INFORMACIJSKA DRUŽBA</w:t>
        </w:r>
        <w:r w:rsidRPr="00FD0B17" w:rsidR="00733AB4">
          <w:rPr>
            <w:b w:val="0"/>
            <w:bCs/>
            <w:webHidden/>
          </w:rPr>
          <w:tab/>
        </w:r>
        <w:r w:rsidRPr="00FD0B17" w:rsidR="00733AB4">
          <w:rPr>
            <w:b w:val="0"/>
            <w:bCs/>
            <w:webHidden/>
          </w:rPr>
          <w:fldChar w:fldCharType="begin"/>
        </w:r>
        <w:r w:rsidRPr="00FD0B17" w:rsidR="00733AB4">
          <w:rPr>
            <w:b w:val="0"/>
            <w:bCs/>
            <w:webHidden/>
          </w:rPr>
          <w:instrText xml:space="preserve"> PAGEREF _Toc172110324 \h </w:instrText>
        </w:r>
        <w:r w:rsidRPr="00FD0B17" w:rsidR="00733AB4">
          <w:rPr>
            <w:b w:val="0"/>
            <w:bCs/>
            <w:webHidden/>
          </w:rPr>
        </w:r>
        <w:r w:rsidRPr="00FD0B17" w:rsidR="00733AB4">
          <w:rPr>
            <w:b w:val="0"/>
            <w:bCs/>
            <w:webHidden/>
          </w:rPr>
          <w:fldChar w:fldCharType="separate"/>
        </w:r>
        <w:r w:rsidRPr="00FD0B17" w:rsidR="00FD0B17">
          <w:rPr>
            <w:b w:val="0"/>
            <w:bCs/>
            <w:webHidden/>
          </w:rPr>
          <w:t>13</w:t>
        </w:r>
        <w:r w:rsidRPr="00FD0B17" w:rsidR="00733AB4">
          <w:rPr>
            <w:b w:val="0"/>
            <w:bCs/>
            <w:webHidden/>
          </w:rPr>
          <w:fldChar w:fldCharType="end"/>
        </w:r>
      </w:hyperlink>
    </w:p>
    <w:p w:rsidRPr="00FD0B17" w:rsidR="00733AB4" w:rsidP="00AF2416" w:rsidRDefault="006E0B19" w14:paraId="20444278" w14:textId="4ED61D90">
      <w:pPr>
        <w:pStyle w:val="TOC1"/>
        <w:spacing w:before="0"/>
        <w:rPr>
          <w:rFonts w:asciiTheme="minorHAnsi" w:hAnsiTheme="minorHAnsi" w:eastAsiaTheme="minorEastAsia" w:cstheme="minorBidi"/>
          <w:b w:val="0"/>
          <w:bCs/>
          <w:sz w:val="22"/>
          <w:szCs w:val="22"/>
          <w:lang w:eastAsia="en-GB"/>
        </w:rPr>
      </w:pPr>
      <w:hyperlink w:history="1" w:anchor="_Toc172110325">
        <w:r w:rsidRPr="00FD0B17" w:rsidR="00733AB4">
          <w:rPr>
            <w:rStyle w:val="Hyperlink"/>
            <w:b w:val="0"/>
            <w:bCs/>
          </w:rPr>
          <w:t>8.</w:t>
        </w:r>
        <w:r w:rsidRPr="00FD0B17" w:rsidR="00733AB4">
          <w:rPr>
            <w:rFonts w:asciiTheme="minorHAnsi" w:hAnsiTheme="minorHAnsi" w:eastAsiaTheme="minorEastAsia" w:cstheme="minorBidi"/>
            <w:b w:val="0"/>
            <w:bCs/>
            <w:sz w:val="22"/>
            <w:szCs w:val="22"/>
            <w:lang w:eastAsia="en-GB"/>
          </w:rPr>
          <w:tab/>
        </w:r>
        <w:r w:rsidRPr="00FD0B17" w:rsidR="00733AB4">
          <w:rPr>
            <w:rStyle w:val="Hyperlink"/>
          </w:rPr>
          <w:t>POSVETOVALNA KOMISIJA ZA SPREMEMBE V INDUSTRIJI</w:t>
        </w:r>
        <w:r w:rsidRPr="00FD0B17" w:rsidR="00733AB4">
          <w:rPr>
            <w:b w:val="0"/>
            <w:bCs/>
            <w:webHidden/>
          </w:rPr>
          <w:tab/>
        </w:r>
        <w:r w:rsidRPr="00FD0B17" w:rsidR="00733AB4">
          <w:rPr>
            <w:b w:val="0"/>
            <w:bCs/>
            <w:webHidden/>
          </w:rPr>
          <w:fldChar w:fldCharType="begin"/>
        </w:r>
        <w:r w:rsidRPr="00FD0B17" w:rsidR="00733AB4">
          <w:rPr>
            <w:b w:val="0"/>
            <w:bCs/>
            <w:webHidden/>
          </w:rPr>
          <w:instrText xml:space="preserve"> PAGEREF _Toc172110325 \h </w:instrText>
        </w:r>
        <w:r w:rsidRPr="00FD0B17" w:rsidR="00733AB4">
          <w:rPr>
            <w:b w:val="0"/>
            <w:bCs/>
            <w:webHidden/>
          </w:rPr>
        </w:r>
        <w:r w:rsidRPr="00FD0B17" w:rsidR="00733AB4">
          <w:rPr>
            <w:b w:val="0"/>
            <w:bCs/>
            <w:webHidden/>
          </w:rPr>
          <w:fldChar w:fldCharType="separate"/>
        </w:r>
        <w:r w:rsidRPr="00FD0B17" w:rsidR="00FD0B17">
          <w:rPr>
            <w:b w:val="0"/>
            <w:bCs/>
            <w:webHidden/>
          </w:rPr>
          <w:t>14</w:t>
        </w:r>
        <w:r w:rsidRPr="00FD0B17" w:rsidR="00733AB4">
          <w:rPr>
            <w:b w:val="0"/>
            <w:bCs/>
            <w:webHidden/>
          </w:rPr>
          <w:fldChar w:fldCharType="end"/>
        </w:r>
      </w:hyperlink>
    </w:p>
    <w:p w:rsidRPr="0015775A" w:rsidR="00C86ABD" w:rsidP="00AF2416" w:rsidRDefault="0014322B" w14:paraId="4EDE006A" w14:textId="75B6ADC9">
      <w:pPr>
        <w:suppressAutoHyphens/>
        <w:jc w:val="left"/>
      </w:pPr>
      <w:r w:rsidRPr="00FD0B17">
        <w:rPr>
          <w:bCs/>
        </w:rPr>
        <w:fldChar w:fldCharType="end"/>
      </w:r>
      <w:r w:rsidRPr="0015775A">
        <w:br w:type="page"/>
      </w:r>
    </w:p>
    <w:p w:rsidRPr="0015775A" w:rsidR="00C86ABD" w:rsidP="00AF2416" w:rsidRDefault="00C86ABD" w14:paraId="6C806385" w14:textId="322B11F1">
      <w:pPr>
        <w:pStyle w:val="Heading1"/>
        <w:suppressAutoHyphens/>
        <w:spacing w:before="0"/>
        <w:ind w:left="709" w:hanging="720"/>
        <w:rPr>
          <w:b/>
          <w:bCs/>
        </w:rPr>
      </w:pPr>
      <w:bookmarkStart w:name="_Toc172110318" w:id="0"/>
      <w:r w:rsidRPr="0015775A">
        <w:rPr>
          <w:b/>
        </w:rPr>
        <w:lastRenderedPageBreak/>
        <w:t>RESOLUCIJA</w:t>
      </w:r>
      <w:bookmarkEnd w:id="0"/>
    </w:p>
    <w:p w:rsidRPr="0015775A" w:rsidR="004516BD" w:rsidP="00AF2416" w:rsidRDefault="004516BD" w14:paraId="46F44DDA" w14:textId="77777777">
      <w:pPr>
        <w:suppressAutoHyphens/>
      </w:pPr>
    </w:p>
    <w:p w:rsidRPr="0015775A" w:rsidR="00311D60" w:rsidP="00AF2416" w:rsidRDefault="006E0B19" w14:paraId="1FC7AEF4" w14:textId="77777777">
      <w:pPr>
        <w:numPr>
          <w:ilvl w:val="0"/>
          <w:numId w:val="21"/>
        </w:numPr>
        <w:suppressAutoHyphens/>
        <w:ind w:left="567" w:hanging="567"/>
        <w:rPr>
          <w:b/>
          <w:bCs/>
          <w:i/>
          <w:iCs/>
          <w:sz w:val="28"/>
          <w:szCs w:val="28"/>
        </w:rPr>
      </w:pPr>
      <w:hyperlink w:history="1" r:id="rId15">
        <w:r w:rsidRPr="0015775A" w:rsidR="00311D60">
          <w:rPr>
            <w:rStyle w:val="Hyperlink"/>
            <w:b/>
            <w:i/>
            <w:sz w:val="28"/>
          </w:rPr>
          <w:t>Nihče ne sme biti zapostavljen!</w:t>
        </w:r>
      </w:hyperlink>
      <w:r w:rsidRPr="0015775A" w:rsidR="00311D60">
        <w:rPr>
          <w:rStyle w:val="Hyperlink"/>
          <w:b/>
          <w:i/>
          <w:sz w:val="28"/>
        </w:rPr>
        <w:t xml:space="preserve"> </w:t>
      </w:r>
      <w:hyperlink w:history="1" r:id="rId16">
        <w:r w:rsidRPr="0015775A" w:rsidR="00311D60">
          <w:rPr>
            <w:rStyle w:val="Hyperlink"/>
            <w:b/>
            <w:i/>
            <w:sz w:val="28"/>
          </w:rPr>
          <w:t>Za vključujočo in participativno kohezijsko politiko v podporo socialni, ekonomski in teritorialni koheziji</w:t>
        </w:r>
      </w:hyperlink>
    </w:p>
    <w:p w:rsidRPr="0015775A" w:rsidR="00311D60" w:rsidP="00AF2416" w:rsidRDefault="00311D60" w14:paraId="4A8F8D73" w14:textId="77777777">
      <w:pPr>
        <w:suppressAutoHyphens/>
        <w:rPr>
          <w:bCs/>
          <w:iCs/>
        </w:rPr>
      </w:pPr>
    </w:p>
    <w:tbl>
      <w:tblPr>
        <w:tblStyle w:val="TableGrid"/>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422"/>
      </w:tblGrid>
      <w:tr w:rsidRPr="0015775A" w:rsidR="00311D60" w:rsidTr="00311D60" w14:paraId="4404E280" w14:textId="77777777">
        <w:tc>
          <w:tcPr>
            <w:tcW w:w="1305" w:type="pct"/>
            <w:hideMark/>
          </w:tcPr>
          <w:p w:rsidRPr="0015775A" w:rsidR="00311D60" w:rsidP="00AF2416" w:rsidRDefault="00311D60" w14:paraId="00324135" w14:textId="77777777">
            <w:pPr>
              <w:tabs>
                <w:tab w:val="center" w:pos="284"/>
              </w:tabs>
              <w:suppressAutoHyphens/>
              <w:ind w:left="266" w:hanging="266"/>
              <w:rPr>
                <w:b/>
              </w:rPr>
            </w:pPr>
            <w:r w:rsidRPr="0015775A">
              <w:rPr>
                <w:b/>
              </w:rPr>
              <w:t>Poročevalec</w:t>
            </w:r>
          </w:p>
        </w:tc>
        <w:tc>
          <w:tcPr>
            <w:tcW w:w="3695" w:type="pct"/>
            <w:hideMark/>
          </w:tcPr>
          <w:p w:rsidRPr="0015775A" w:rsidR="00311D60" w:rsidP="00AF2416" w:rsidRDefault="00311D60" w14:paraId="22FC4C39" w14:textId="77777777">
            <w:pPr>
              <w:suppressAutoHyphens/>
            </w:pPr>
            <w:r w:rsidRPr="0015775A">
              <w:t>Ioannis VARDAKASTANIS (skupina organizacij civilne družbe – EL)</w:t>
            </w:r>
          </w:p>
        </w:tc>
      </w:tr>
      <w:tr w:rsidRPr="0015775A" w:rsidR="00311D60" w:rsidTr="00311D60" w14:paraId="59795FCF" w14:textId="77777777">
        <w:tc>
          <w:tcPr>
            <w:tcW w:w="5000" w:type="pct"/>
            <w:gridSpan w:val="2"/>
          </w:tcPr>
          <w:p w:rsidRPr="0015775A" w:rsidR="00311D60" w:rsidP="00AF2416" w:rsidRDefault="00311D60" w14:paraId="0A722EC8" w14:textId="77777777">
            <w:pPr>
              <w:tabs>
                <w:tab w:val="center" w:pos="284"/>
              </w:tabs>
              <w:suppressAutoHyphens/>
              <w:spacing w:line="240" w:lineRule="auto"/>
              <w:ind w:left="266" w:hanging="266"/>
              <w:rPr>
                <w:sz w:val="16"/>
                <w:szCs w:val="16"/>
              </w:rPr>
            </w:pPr>
          </w:p>
        </w:tc>
      </w:tr>
      <w:tr w:rsidRPr="0015775A" w:rsidR="00311D60" w:rsidTr="00311D60" w14:paraId="7DFEFFFA" w14:textId="77777777">
        <w:tc>
          <w:tcPr>
            <w:tcW w:w="1305" w:type="pct"/>
            <w:hideMark/>
          </w:tcPr>
          <w:p w:rsidRPr="0015775A" w:rsidR="00311D60" w:rsidP="00AF2416" w:rsidRDefault="00311D60" w14:paraId="205D6809" w14:textId="77777777">
            <w:pPr>
              <w:tabs>
                <w:tab w:val="center" w:pos="284"/>
              </w:tabs>
              <w:suppressAutoHyphens/>
              <w:ind w:left="266" w:hanging="266"/>
              <w:rPr>
                <w:b/>
              </w:rPr>
            </w:pPr>
            <w:r w:rsidRPr="0015775A">
              <w:rPr>
                <w:b/>
              </w:rPr>
              <w:t>Referenčni dokument</w:t>
            </w:r>
          </w:p>
        </w:tc>
        <w:tc>
          <w:tcPr>
            <w:tcW w:w="3695" w:type="pct"/>
            <w:hideMark/>
          </w:tcPr>
          <w:p w:rsidRPr="0015775A" w:rsidR="00311D60" w:rsidP="00AF2416" w:rsidRDefault="00311D60" w14:paraId="3A6CE0F6" w14:textId="77777777">
            <w:pPr>
              <w:tabs>
                <w:tab w:val="center" w:pos="284"/>
              </w:tabs>
              <w:suppressAutoHyphens/>
              <w:ind w:left="266" w:hanging="266"/>
            </w:pPr>
            <w:r w:rsidRPr="0015775A">
              <w:t>EESC-2024-02528-00-00-RES</w:t>
            </w:r>
          </w:p>
        </w:tc>
      </w:tr>
    </w:tbl>
    <w:p w:rsidRPr="0015775A" w:rsidR="00311D60" w:rsidP="00AF2416" w:rsidRDefault="00311D60" w14:paraId="3AAF0604" w14:textId="77777777">
      <w:pPr>
        <w:suppressAutoHyphens/>
        <w:spacing w:line="240" w:lineRule="auto"/>
        <w:rPr>
          <w:bCs/>
          <w:iCs/>
        </w:rPr>
      </w:pPr>
    </w:p>
    <w:p w:rsidRPr="0015775A" w:rsidR="00311D60" w:rsidP="00AF2416" w:rsidRDefault="00311D60" w14:paraId="6786AC61" w14:textId="77777777">
      <w:pPr>
        <w:suppressAutoHyphens/>
        <w:rPr>
          <w:szCs w:val="20"/>
        </w:rPr>
      </w:pPr>
      <w:r w:rsidRPr="0015775A">
        <w:rPr>
          <w:b/>
        </w:rPr>
        <w:t>Glavne točke</w:t>
      </w:r>
    </w:p>
    <w:p w:rsidRPr="0015775A" w:rsidR="00311D60" w:rsidP="00AF2416" w:rsidRDefault="00311D60" w14:paraId="348FF8C7" w14:textId="77777777">
      <w:pPr>
        <w:suppressAutoHyphens/>
        <w:spacing w:line="240" w:lineRule="auto"/>
      </w:pPr>
    </w:p>
    <w:p w:rsidRPr="0015775A" w:rsidR="00311D60" w:rsidP="00AF2416" w:rsidRDefault="00311D60" w14:paraId="1247C795" w14:textId="77777777">
      <w:pPr>
        <w:suppressAutoHyphens/>
      </w:pPr>
      <w:r w:rsidRPr="0015775A">
        <w:t>EESO:</w:t>
      </w:r>
    </w:p>
    <w:p w:rsidRPr="0015775A" w:rsidR="00311D60" w:rsidP="00AF2416" w:rsidRDefault="00311D60" w14:paraId="7BFFAC89" w14:textId="77777777">
      <w:pPr>
        <w:numPr>
          <w:ilvl w:val="0"/>
          <w:numId w:val="22"/>
        </w:numPr>
        <w:suppressAutoHyphens/>
        <w:ind w:left="284" w:hanging="284"/>
        <w:rPr>
          <w:bCs/>
        </w:rPr>
      </w:pPr>
      <w:r w:rsidRPr="0015775A">
        <w:t>poziva države članice Evropske unije in njihove voditelje ter evropske institucije in državljane EU, naj ohranijo in zaščitijo ekonomsko, socialno in teritorialno kohezijo EU v skladu s členom 174 PDEU;</w:t>
      </w:r>
    </w:p>
    <w:p w:rsidRPr="0015775A" w:rsidR="00311D60" w:rsidP="00AF2416" w:rsidRDefault="00311D60" w14:paraId="1A8B0998" w14:textId="733F6BBA">
      <w:pPr>
        <w:numPr>
          <w:ilvl w:val="0"/>
          <w:numId w:val="22"/>
        </w:numPr>
        <w:suppressAutoHyphens/>
        <w:ind w:left="284" w:hanging="284"/>
        <w:rPr>
          <w:bCs/>
        </w:rPr>
      </w:pPr>
      <w:r w:rsidRPr="0015775A">
        <w:t>poudarja, da je v kohezijski politiki še vedno trdno in veljavno temeljno načelo, da nihče ne sme biti zapostavljen, ter da so si sogovorniki iz civilne družbe še naprej pripravljeni prizadevati zanj s trdno naložbeno politiko EU;</w:t>
      </w:r>
    </w:p>
    <w:p w:rsidRPr="0015775A" w:rsidR="00311D60" w:rsidP="00AF2416" w:rsidRDefault="00311D60" w14:paraId="62FBCF94" w14:textId="77777777">
      <w:pPr>
        <w:numPr>
          <w:ilvl w:val="0"/>
          <w:numId w:val="22"/>
        </w:numPr>
        <w:suppressAutoHyphens/>
        <w:ind w:left="284" w:hanging="284"/>
        <w:rPr>
          <w:bCs/>
        </w:rPr>
      </w:pPr>
      <w:r w:rsidRPr="0015775A">
        <w:t>poudarja, da lahko neenake možnosti dolgoročno škodijo rasti in konkurenčnosti na regionalni in nacionalni ravni ter ravni EU, zato je treba kohezijsko politiko bolj diverzificirati in jo narediti prožnejšo, hkrati pa mora biti verodostojna, stabilna in jasna, da bo mogoče več pozornosti nameniti ljudem, zlasti najbolj ranljivim, ter bolje obravnavati neenake možnosti, s katerimi se mnogi spopadajo;</w:t>
      </w:r>
    </w:p>
    <w:p w:rsidRPr="0015775A" w:rsidR="00311D60" w:rsidP="00AF2416" w:rsidRDefault="00311D60" w14:paraId="715745EB" w14:textId="3E9B7910">
      <w:pPr>
        <w:numPr>
          <w:ilvl w:val="0"/>
          <w:numId w:val="22"/>
        </w:numPr>
        <w:suppressAutoHyphens/>
        <w:ind w:left="284" w:hanging="284"/>
        <w:rPr>
          <w:bCs/>
        </w:rPr>
      </w:pPr>
      <w:r w:rsidRPr="0015775A">
        <w:t>je kritičen do odprave vloge komisarja, čigar glavna pristojnost je kohezijska politika;</w:t>
      </w:r>
    </w:p>
    <w:p w:rsidRPr="0015775A" w:rsidR="00311D60" w:rsidP="00AF2416" w:rsidRDefault="00311D60" w14:paraId="3C222A74" w14:textId="77777777">
      <w:pPr>
        <w:numPr>
          <w:ilvl w:val="0"/>
          <w:numId w:val="22"/>
        </w:numPr>
        <w:suppressAutoHyphens/>
        <w:ind w:left="284" w:hanging="284"/>
        <w:rPr>
          <w:bCs/>
        </w:rPr>
      </w:pPr>
      <w:r w:rsidRPr="0015775A">
        <w:t>nasprotuje reduciranju in preoblikovanju kohezijske politike v instrument za reševanje izrednih kriz;</w:t>
      </w:r>
    </w:p>
    <w:p w:rsidRPr="0015775A" w:rsidR="00311D60" w:rsidP="00AF2416" w:rsidRDefault="00311D60" w14:paraId="05C37524" w14:textId="323D3668">
      <w:pPr>
        <w:numPr>
          <w:ilvl w:val="0"/>
          <w:numId w:val="22"/>
        </w:numPr>
        <w:suppressAutoHyphens/>
        <w:ind w:left="284" w:hanging="284"/>
        <w:rPr>
          <w:bCs/>
        </w:rPr>
      </w:pPr>
      <w:r w:rsidRPr="0015775A">
        <w:t>zavrača zamisel o preoblikovanju kohezijske politike v instrument, podoben mehanizmu za okrevanje in odpornost (RRF), z malo ali nič strukturne vključenosti deležnikov, deljenega upravljanja in upravljanja na več ravneh;</w:t>
      </w:r>
    </w:p>
    <w:p w:rsidRPr="0015775A" w:rsidR="00311D60" w:rsidP="00AF2416" w:rsidRDefault="00311D60" w14:paraId="3671A71E" w14:textId="77777777">
      <w:pPr>
        <w:numPr>
          <w:ilvl w:val="0"/>
          <w:numId w:val="22"/>
        </w:numPr>
        <w:suppressAutoHyphens/>
        <w:ind w:left="284" w:hanging="284"/>
        <w:rPr>
          <w:bCs/>
        </w:rPr>
      </w:pPr>
      <w:r w:rsidRPr="0015775A">
        <w:t>podpira načelo partnerstva in jasna pravila za vključitev civilne družbe v izbiranje, upravljanje in spremljanje ukrepov, ki jih financira EU;</w:t>
      </w:r>
    </w:p>
    <w:p w:rsidRPr="0015775A" w:rsidR="00311D60" w:rsidP="00AF2416" w:rsidRDefault="00311D60" w14:paraId="4124F6DA" w14:textId="77777777">
      <w:pPr>
        <w:numPr>
          <w:ilvl w:val="0"/>
          <w:numId w:val="22"/>
        </w:numPr>
        <w:suppressAutoHyphens/>
        <w:ind w:left="284" w:hanging="284"/>
        <w:rPr>
          <w:bCs/>
        </w:rPr>
      </w:pPr>
      <w:r w:rsidRPr="0015775A">
        <w:t>zahteva , da se v naslednji uredbi o skupnih določbah, ki bo urejala uporabo kohezijskih skladov in drugih sredstev EU po letu 2027, enako odločno kot v obdobju 2021–2027 poudari vključevanje civilne družbe;</w:t>
      </w:r>
    </w:p>
    <w:p w:rsidRPr="0015775A" w:rsidR="00311D60" w:rsidP="00AF2416" w:rsidRDefault="00311D60" w14:paraId="421ED194" w14:textId="77777777">
      <w:pPr>
        <w:numPr>
          <w:ilvl w:val="0"/>
          <w:numId w:val="22"/>
        </w:numPr>
        <w:suppressAutoHyphens/>
        <w:ind w:left="284" w:hanging="284"/>
        <w:rPr>
          <w:bCs/>
        </w:rPr>
      </w:pPr>
      <w:r w:rsidRPr="0015775A">
        <w:t>poziva k oblikovanju kohezijske politike, ki izhaja iz krajev in ljudi;</w:t>
      </w:r>
    </w:p>
    <w:p w:rsidRPr="0015775A" w:rsidR="00311D60" w:rsidP="00AF2416" w:rsidRDefault="00311D60" w14:paraId="335AE013" w14:textId="77777777">
      <w:pPr>
        <w:numPr>
          <w:ilvl w:val="0"/>
          <w:numId w:val="22"/>
        </w:numPr>
        <w:suppressAutoHyphens/>
        <w:ind w:left="284" w:hanging="284"/>
        <w:rPr>
          <w:bCs/>
        </w:rPr>
      </w:pPr>
      <w:r w:rsidRPr="0015775A">
        <w:t>poziva k novemu zagonu kohezijske politike. Meni, da je treba razširiti, posodobiti ali pregledati niz instrumentov in pristopov, da bi zgradili trdno, učinkovito, prožno in prenovljeno kohezijsko politiko, ki bi se bolj osredotočala na zmogljivosti, vezi med regijami, učinkovite rezultate in priložnosti za prejemnike sredstev;</w:t>
      </w:r>
    </w:p>
    <w:p w:rsidRPr="0015775A" w:rsidR="00311D60" w:rsidP="00AF2416" w:rsidRDefault="00311D60" w14:paraId="4053136B" w14:textId="77777777">
      <w:pPr>
        <w:numPr>
          <w:ilvl w:val="0"/>
          <w:numId w:val="22"/>
        </w:numPr>
        <w:suppressAutoHyphens/>
        <w:ind w:left="284" w:hanging="284"/>
        <w:rPr>
          <w:bCs/>
        </w:rPr>
      </w:pPr>
      <w:r w:rsidRPr="0015775A">
        <w:t>bo naredil vse, kar je potrebno za zaščito temeljnih načel kohezijske politike, da bo ta še naprej vezivo, ki drži Evropo skupaj.</w:t>
      </w:r>
    </w:p>
    <w:p w:rsidRPr="0015775A" w:rsidR="00311D60" w:rsidP="00AF2416" w:rsidRDefault="00311D60" w14:paraId="4E1CB388"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45"/>
      </w:tblGrid>
      <w:tr w:rsidRPr="0015775A" w:rsidR="00311D60" w:rsidTr="00311D60" w14:paraId="5318A023" w14:textId="77777777">
        <w:tc>
          <w:tcPr>
            <w:tcW w:w="1843" w:type="dxa"/>
            <w:hideMark/>
          </w:tcPr>
          <w:p w:rsidRPr="0015775A" w:rsidR="00311D60" w:rsidP="00AF2416" w:rsidRDefault="00311D60" w14:paraId="3E204312" w14:textId="77777777">
            <w:pPr>
              <w:suppressAutoHyphens/>
              <w:rPr>
                <w:i/>
              </w:rPr>
            </w:pPr>
            <w:r w:rsidRPr="0015775A">
              <w:rPr>
                <w:b/>
                <w:i/>
              </w:rPr>
              <w:t>Kontaktna oseba</w:t>
            </w:r>
          </w:p>
        </w:tc>
        <w:tc>
          <w:tcPr>
            <w:tcW w:w="5245" w:type="dxa"/>
            <w:hideMark/>
          </w:tcPr>
          <w:p w:rsidRPr="0015775A" w:rsidR="00311D60" w:rsidP="00AF2416" w:rsidRDefault="00311D60" w14:paraId="76B9DB22" w14:textId="77777777">
            <w:pPr>
              <w:suppressAutoHyphens/>
              <w:rPr>
                <w:i/>
              </w:rPr>
            </w:pPr>
            <w:r w:rsidRPr="0015775A">
              <w:rPr>
                <w:i/>
              </w:rPr>
              <w:t>Georgios MELEAS</w:t>
            </w:r>
          </w:p>
        </w:tc>
      </w:tr>
      <w:tr w:rsidRPr="0015775A" w:rsidR="00311D60" w:rsidTr="00311D60" w14:paraId="34166D73" w14:textId="77777777">
        <w:tc>
          <w:tcPr>
            <w:tcW w:w="1843" w:type="dxa"/>
            <w:hideMark/>
          </w:tcPr>
          <w:p w:rsidRPr="0015775A" w:rsidR="00311D60" w:rsidP="00AF2416" w:rsidRDefault="00311D60" w14:paraId="72C4310F" w14:textId="77777777">
            <w:pPr>
              <w:suppressAutoHyphens/>
              <w:rPr>
                <w:i/>
              </w:rPr>
            </w:pPr>
            <w:r w:rsidRPr="0015775A">
              <w:rPr>
                <w:i/>
              </w:rPr>
              <w:t>Telefon</w:t>
            </w:r>
          </w:p>
        </w:tc>
        <w:tc>
          <w:tcPr>
            <w:tcW w:w="5245" w:type="dxa"/>
            <w:hideMark/>
          </w:tcPr>
          <w:p w:rsidRPr="0015775A" w:rsidR="00311D60" w:rsidP="00AF2416" w:rsidRDefault="00311D60" w14:paraId="6B9AFE30" w14:textId="77777777">
            <w:pPr>
              <w:suppressAutoHyphens/>
              <w:rPr>
                <w:i/>
              </w:rPr>
            </w:pPr>
            <w:r w:rsidRPr="0015775A">
              <w:rPr>
                <w:i/>
              </w:rPr>
              <w:t>+32 25469795</w:t>
            </w:r>
          </w:p>
        </w:tc>
      </w:tr>
      <w:tr w:rsidRPr="0015775A" w:rsidR="00311D60" w:rsidTr="00311D60" w14:paraId="61FD801E" w14:textId="77777777">
        <w:tc>
          <w:tcPr>
            <w:tcW w:w="1843" w:type="dxa"/>
            <w:hideMark/>
          </w:tcPr>
          <w:p w:rsidRPr="0015775A" w:rsidR="00311D60" w:rsidP="00AF2416" w:rsidRDefault="00311D60" w14:paraId="5B71B1E9" w14:textId="77777777">
            <w:pPr>
              <w:suppressAutoHyphens/>
              <w:rPr>
                <w:i/>
              </w:rPr>
            </w:pPr>
            <w:r w:rsidRPr="0015775A">
              <w:rPr>
                <w:i/>
              </w:rPr>
              <w:t>E-naslov</w:t>
            </w:r>
          </w:p>
        </w:tc>
        <w:tc>
          <w:tcPr>
            <w:tcW w:w="5245" w:type="dxa"/>
            <w:hideMark/>
          </w:tcPr>
          <w:p w:rsidRPr="0015775A" w:rsidR="00311D60" w:rsidP="00AF2416" w:rsidRDefault="006E0B19" w14:paraId="33C32F62" w14:textId="7FF341AA">
            <w:pPr>
              <w:suppressAutoHyphens/>
              <w:rPr>
                <w:i/>
              </w:rPr>
            </w:pPr>
            <w:hyperlink w:history="1" r:id="rId17">
              <w:r w:rsidRPr="0015775A" w:rsidR="00311D60">
                <w:rPr>
                  <w:rStyle w:val="Hyperlink"/>
                  <w:i/>
                </w:rPr>
                <w:t>Georgios.Meleas@eesc.europa.eu</w:t>
              </w:r>
            </w:hyperlink>
          </w:p>
        </w:tc>
      </w:tr>
    </w:tbl>
    <w:p w:rsidRPr="0015775A" w:rsidR="00311D60" w:rsidP="00AF2416" w:rsidRDefault="00311D60" w14:paraId="1BE43E05" w14:textId="77777777">
      <w:pPr>
        <w:spacing w:line="259" w:lineRule="auto"/>
        <w:jc w:val="left"/>
      </w:pPr>
      <w:bookmarkStart w:name="_Toc162435201" w:id="1"/>
      <w:bookmarkStart w:name="_Toc162435202" w:id="2"/>
      <w:bookmarkEnd w:id="1"/>
      <w:bookmarkEnd w:id="2"/>
      <w:r w:rsidRPr="0015775A">
        <w:br w:type="page"/>
      </w:r>
    </w:p>
    <w:p w:rsidRPr="0015775A" w:rsidR="00311D60" w:rsidP="00AF2416" w:rsidRDefault="00311D60" w14:paraId="3BB9A0AE" w14:textId="1E2C15B1">
      <w:pPr>
        <w:pStyle w:val="Heading1"/>
        <w:suppressAutoHyphens/>
        <w:spacing w:before="0"/>
        <w:ind w:hanging="928"/>
        <w:rPr>
          <w:b/>
        </w:rPr>
      </w:pPr>
      <w:bookmarkStart w:name="_Toc172110319" w:id="3"/>
      <w:r w:rsidRPr="0015775A">
        <w:rPr>
          <w:b/>
        </w:rPr>
        <w:lastRenderedPageBreak/>
        <w:t>EKONOMSKA IN MONETARNA UNIJA TER EKONOMSKA IN SOCIALNA KOHEZIJA</w:t>
      </w:r>
      <w:bookmarkEnd w:id="3"/>
    </w:p>
    <w:p w:rsidRPr="0015775A" w:rsidR="00311D60" w:rsidP="00AF2416" w:rsidRDefault="00311D60" w14:paraId="1C48F2E8" w14:textId="77777777"/>
    <w:p w:rsidRPr="0015775A" w:rsidR="00257DCA" w:rsidP="00AF2416" w:rsidRDefault="006E0B19" w14:paraId="13638CB4" w14:textId="153EF61F">
      <w:pPr>
        <w:rPr>
          <w:bCs/>
          <w:iCs/>
        </w:rPr>
      </w:pPr>
      <w:hyperlink w:history="1" r:id="rId18">
        <w:r w:rsidRPr="0015775A" w:rsidR="00257DCA">
          <w:rPr>
            <w:rStyle w:val="Hyperlink"/>
            <w:b/>
            <w:i/>
            <w:sz w:val="28"/>
          </w:rPr>
          <w:t>Davčni okvir za subjekte socialne ekonomije</w:t>
        </w:r>
      </w:hyperlink>
    </w:p>
    <w:p w:rsidRPr="0015775A" w:rsidR="00257DCA" w:rsidP="00AF2416" w:rsidRDefault="00257DCA" w14:paraId="6D1988CA" w14:textId="77777777">
      <w:pPr>
        <w:tabs>
          <w:tab w:val="center" w:pos="284"/>
        </w:tabs>
        <w:suppressAutoHyphens/>
        <w:ind w:left="266" w:hanging="266"/>
        <w:rPr>
          <w:bCs/>
        </w:rPr>
      </w:pPr>
    </w:p>
    <w:tbl>
      <w:tblPr>
        <w:tblStyle w:val="TableGrid"/>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20"/>
        <w:gridCol w:w="6185"/>
      </w:tblGrid>
      <w:tr w:rsidRPr="0015775A" w:rsidR="00257DCA" w:rsidTr="00257DCA" w14:paraId="1E4AE79B" w14:textId="77777777">
        <w:tc>
          <w:tcPr>
            <w:tcW w:w="1364" w:type="pct"/>
            <w:hideMark/>
          </w:tcPr>
          <w:p w:rsidRPr="0015775A" w:rsidR="00257DCA" w:rsidP="00AF2416" w:rsidRDefault="00257DCA" w14:paraId="07A19E74" w14:textId="77777777">
            <w:pPr>
              <w:tabs>
                <w:tab w:val="center" w:pos="284"/>
              </w:tabs>
              <w:suppressAutoHyphens/>
              <w:ind w:left="266" w:hanging="266"/>
              <w:rPr>
                <w:b/>
              </w:rPr>
            </w:pPr>
            <w:r w:rsidRPr="0015775A">
              <w:rPr>
                <w:b/>
              </w:rPr>
              <w:t>Poročevalec</w:t>
            </w:r>
          </w:p>
        </w:tc>
        <w:tc>
          <w:tcPr>
            <w:tcW w:w="3636" w:type="pct"/>
            <w:hideMark/>
          </w:tcPr>
          <w:p w:rsidRPr="0015775A" w:rsidR="00257DCA" w:rsidP="00AF2416" w:rsidRDefault="00257DCA" w14:paraId="5E487F5C" w14:textId="77777777">
            <w:pPr>
              <w:tabs>
                <w:tab w:val="center" w:pos="284"/>
              </w:tabs>
              <w:suppressAutoHyphens/>
              <w:ind w:left="266" w:hanging="266"/>
            </w:pPr>
            <w:r w:rsidRPr="0015775A">
              <w:t>Giuseppe GUERINI (skupina organizacij civilne družbe – IT)</w:t>
            </w:r>
          </w:p>
        </w:tc>
      </w:tr>
      <w:tr w:rsidRPr="0015775A" w:rsidR="00257DCA" w:rsidTr="00257DCA" w14:paraId="3E4CBFD3" w14:textId="77777777">
        <w:tc>
          <w:tcPr>
            <w:tcW w:w="5000" w:type="pct"/>
            <w:gridSpan w:val="2"/>
          </w:tcPr>
          <w:p w:rsidRPr="0015775A" w:rsidR="00257DCA" w:rsidP="00AF2416" w:rsidRDefault="00257DCA" w14:paraId="3AA3F076" w14:textId="77777777">
            <w:pPr>
              <w:tabs>
                <w:tab w:val="center" w:pos="284"/>
              </w:tabs>
              <w:suppressAutoHyphens/>
              <w:spacing w:line="240" w:lineRule="auto"/>
              <w:ind w:left="266" w:hanging="266"/>
              <w:rPr>
                <w:sz w:val="16"/>
                <w:szCs w:val="16"/>
              </w:rPr>
            </w:pPr>
          </w:p>
        </w:tc>
      </w:tr>
      <w:tr w:rsidRPr="0015775A" w:rsidR="00257DCA" w:rsidTr="00257DCA" w14:paraId="707B0265" w14:textId="77777777">
        <w:tc>
          <w:tcPr>
            <w:tcW w:w="1364" w:type="pct"/>
            <w:hideMark/>
          </w:tcPr>
          <w:p w:rsidRPr="0015775A" w:rsidR="00257DCA" w:rsidP="00AF2416" w:rsidRDefault="00257DCA" w14:paraId="2167DD24" w14:textId="77777777">
            <w:pPr>
              <w:tabs>
                <w:tab w:val="center" w:pos="284"/>
              </w:tabs>
              <w:suppressAutoHyphens/>
              <w:ind w:left="266" w:hanging="266"/>
              <w:rPr>
                <w:b/>
              </w:rPr>
            </w:pPr>
            <w:r w:rsidRPr="0015775A">
              <w:rPr>
                <w:b/>
              </w:rPr>
              <w:t>Referenčni dokument</w:t>
            </w:r>
          </w:p>
        </w:tc>
        <w:tc>
          <w:tcPr>
            <w:tcW w:w="3636" w:type="pct"/>
            <w:hideMark/>
          </w:tcPr>
          <w:p w:rsidRPr="0015775A" w:rsidR="001F0B3A" w:rsidP="00AF2416" w:rsidRDefault="002E55EE" w14:paraId="6AA055B0" w14:textId="1DF6A92C">
            <w:pPr>
              <w:tabs>
                <w:tab w:val="center" w:pos="284"/>
              </w:tabs>
              <w:suppressAutoHyphens/>
              <w:ind w:left="266" w:hanging="266"/>
            </w:pPr>
            <w:r w:rsidRPr="0015775A">
              <w:t>m</w:t>
            </w:r>
            <w:r w:rsidRPr="0015775A" w:rsidR="001F0B3A">
              <w:t>nenje na lastno pobudo</w:t>
            </w:r>
          </w:p>
          <w:p w:rsidRPr="0015775A" w:rsidR="00257DCA" w:rsidP="00AF2416" w:rsidRDefault="00257DCA" w14:paraId="289B7F9A" w14:textId="6D9AE717">
            <w:pPr>
              <w:tabs>
                <w:tab w:val="center" w:pos="284"/>
              </w:tabs>
              <w:suppressAutoHyphens/>
              <w:ind w:left="266" w:hanging="266"/>
            </w:pPr>
            <w:r w:rsidRPr="0015775A">
              <w:t>EESC-2024-00699-00-00-AC</w:t>
            </w:r>
          </w:p>
        </w:tc>
      </w:tr>
    </w:tbl>
    <w:p w:rsidRPr="0015775A" w:rsidR="00257DCA" w:rsidP="00AF2416" w:rsidRDefault="00257DCA" w14:paraId="3A17D986" w14:textId="77777777">
      <w:pPr>
        <w:tabs>
          <w:tab w:val="center" w:pos="284"/>
        </w:tabs>
        <w:suppressAutoHyphens/>
        <w:ind w:left="266" w:hanging="266"/>
      </w:pPr>
    </w:p>
    <w:p w:rsidRPr="0015775A" w:rsidR="00257DCA" w:rsidP="00AF2416" w:rsidRDefault="00257DCA" w14:paraId="4000B4D5" w14:textId="77777777">
      <w:pPr>
        <w:tabs>
          <w:tab w:val="center" w:pos="284"/>
        </w:tabs>
        <w:suppressAutoHyphens/>
        <w:ind w:left="266" w:hanging="266"/>
        <w:rPr>
          <w:b/>
        </w:rPr>
      </w:pPr>
      <w:r w:rsidRPr="0015775A">
        <w:rPr>
          <w:b/>
        </w:rPr>
        <w:t>Glavne točke</w:t>
      </w:r>
    </w:p>
    <w:p w:rsidRPr="0015775A" w:rsidR="00257DCA" w:rsidP="00AF2416" w:rsidRDefault="00257DCA" w14:paraId="76263055" w14:textId="77777777">
      <w:pPr>
        <w:rPr>
          <w:szCs w:val="20"/>
        </w:rPr>
      </w:pPr>
    </w:p>
    <w:p w:rsidRPr="0015775A" w:rsidR="00257DCA" w:rsidP="00AF2416" w:rsidRDefault="00257DCA" w14:paraId="32192EBB" w14:textId="77777777">
      <w:pPr>
        <w:suppressAutoHyphens/>
        <w:rPr>
          <w:bCs/>
          <w:iCs/>
        </w:rPr>
      </w:pPr>
      <w:r w:rsidRPr="0015775A">
        <w:t>EESO:</w:t>
      </w:r>
    </w:p>
    <w:p w:rsidRPr="0015775A" w:rsidR="00257DCA" w:rsidP="00AF2416" w:rsidRDefault="00257DCA" w14:paraId="0B228D89" w14:textId="77777777">
      <w:pPr>
        <w:suppressAutoHyphens/>
        <w:rPr>
          <w:bCs/>
          <w:iCs/>
        </w:rPr>
      </w:pPr>
    </w:p>
    <w:p w:rsidRPr="0015775A" w:rsidR="00257DCA" w:rsidP="00AF2416" w:rsidRDefault="00257DCA" w14:paraId="479C6CD4" w14:textId="77777777">
      <w:pPr>
        <w:numPr>
          <w:ilvl w:val="0"/>
          <w:numId w:val="4"/>
        </w:numPr>
        <w:suppressAutoHyphens/>
        <w:overflowPunct w:val="0"/>
        <w:autoSpaceDE w:val="0"/>
        <w:autoSpaceDN w:val="0"/>
        <w:adjustRightInd w:val="0"/>
        <w:ind w:left="426" w:hanging="426"/>
      </w:pPr>
      <w:r w:rsidRPr="0015775A">
        <w:t>poudarja, da davčni sistemi držav članic nikakor ne smejo ovirati razvoja socialne ekonomije, in pozdravlja cilj Evropske komisije, ki bo podprla države članice, tako da bo objavila smernice o ustreznih davčnih okvirih za subjekte socialne ekonomije;</w:t>
      </w:r>
    </w:p>
    <w:p w:rsidRPr="0015775A" w:rsidR="00257DCA" w:rsidP="00AF2416" w:rsidRDefault="00257DCA" w14:paraId="5707D35C" w14:textId="77777777">
      <w:pPr>
        <w:numPr>
          <w:ilvl w:val="0"/>
          <w:numId w:val="4"/>
        </w:numPr>
        <w:suppressAutoHyphens/>
        <w:overflowPunct w:val="0"/>
        <w:autoSpaceDE w:val="0"/>
        <w:autoSpaceDN w:val="0"/>
        <w:adjustRightInd w:val="0"/>
        <w:ind w:left="426" w:hanging="426"/>
      </w:pPr>
      <w:r w:rsidRPr="0015775A">
        <w:t>ugotavlja, da je lahko poznavanje pristopov, ki so jih sprejele posamezne države članice, pomembno izhodišče za poglobitev in izboljšanje splošnega davčnega okvira za subjekte socialne ekonomije na notranjem trgu;</w:t>
      </w:r>
    </w:p>
    <w:p w:rsidRPr="0015775A" w:rsidR="00257DCA" w:rsidP="00AF2416" w:rsidRDefault="00257DCA" w14:paraId="62446229" w14:textId="77777777">
      <w:pPr>
        <w:numPr>
          <w:ilvl w:val="0"/>
          <w:numId w:val="4"/>
        </w:numPr>
        <w:suppressAutoHyphens/>
        <w:overflowPunct w:val="0"/>
        <w:autoSpaceDE w:val="0"/>
        <w:autoSpaceDN w:val="0"/>
        <w:adjustRightInd w:val="0"/>
        <w:ind w:left="426" w:hanging="426"/>
      </w:pPr>
      <w:r w:rsidRPr="0015775A">
        <w:t>upa, da bo v prihodnosti mogoče nadaljevati prizadevanja za uskladitev pristopov k obdavčitvi subjektov socialne ekonomije in s tem utrditev notranjega trga;</w:t>
      </w:r>
    </w:p>
    <w:p w:rsidRPr="0015775A" w:rsidR="00257DCA" w:rsidP="00AF2416" w:rsidRDefault="00257DCA" w14:paraId="7476B4C1" w14:textId="77777777">
      <w:pPr>
        <w:numPr>
          <w:ilvl w:val="0"/>
          <w:numId w:val="4"/>
        </w:numPr>
        <w:suppressAutoHyphens/>
        <w:overflowPunct w:val="0"/>
        <w:autoSpaceDE w:val="0"/>
        <w:autoSpaceDN w:val="0"/>
        <w:adjustRightInd w:val="0"/>
        <w:ind w:left="426" w:hanging="426"/>
      </w:pPr>
      <w:r w:rsidRPr="0015775A">
        <w:t>poziva k podrobnemu razmisleku o različnih možnostih prihodnje uskladitve obdavčitve socialne ekonomije v EU;</w:t>
      </w:r>
    </w:p>
    <w:p w:rsidRPr="0015775A" w:rsidR="00257DCA" w:rsidP="00AF2416" w:rsidRDefault="00257DCA" w14:paraId="0901459B" w14:textId="77777777">
      <w:pPr>
        <w:numPr>
          <w:ilvl w:val="0"/>
          <w:numId w:val="4"/>
        </w:numPr>
        <w:suppressAutoHyphens/>
        <w:overflowPunct w:val="0"/>
        <w:autoSpaceDE w:val="0"/>
        <w:autoSpaceDN w:val="0"/>
        <w:adjustRightInd w:val="0"/>
        <w:ind w:left="426" w:hanging="426"/>
      </w:pPr>
      <w:r w:rsidRPr="0015775A">
        <w:t>spodbuja Evropsko komisijo in države članice, naj razmislijo tudi o še ugodnejših stopnjah DDV za družbeno koristne dejavnosti, ki jih izvajajo subjekti socialne ekonomije, in za socialne storitve, zlasti na področju socialnega in zdravstvenega varstva starejših, osebnih storitev, dolgotrajne oskrbe in izobraževanja.</w:t>
      </w:r>
    </w:p>
    <w:p w:rsidRPr="0015775A" w:rsidR="00257DCA" w:rsidP="00AF2416" w:rsidRDefault="00257DCA" w14:paraId="10D7F798" w14:textId="77777777">
      <w:pPr>
        <w:rPr>
          <w:szCs w:val="20"/>
        </w:rPr>
      </w:pPr>
    </w:p>
    <w:tbl>
      <w:tblPr>
        <w:tblStyle w:val="TableGrid"/>
        <w:tblW w:w="425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4"/>
        <w:gridCol w:w="5737"/>
      </w:tblGrid>
      <w:tr w:rsidRPr="0015775A" w:rsidR="00257DCA" w:rsidTr="00257DCA" w14:paraId="187F2A10" w14:textId="77777777">
        <w:tc>
          <w:tcPr>
            <w:tcW w:w="1285" w:type="pct"/>
            <w:hideMark/>
          </w:tcPr>
          <w:p w:rsidRPr="0015775A" w:rsidR="00257DCA" w:rsidP="00AF2416" w:rsidRDefault="00257DCA" w14:paraId="4842431B" w14:textId="77777777">
            <w:pPr>
              <w:suppressAutoHyphens/>
              <w:rPr>
                <w:i/>
              </w:rPr>
            </w:pPr>
            <w:r w:rsidRPr="0015775A">
              <w:rPr>
                <w:b/>
                <w:i/>
              </w:rPr>
              <w:t>Kontaktna oseba</w:t>
            </w:r>
          </w:p>
        </w:tc>
        <w:tc>
          <w:tcPr>
            <w:tcW w:w="3715" w:type="pct"/>
            <w:hideMark/>
          </w:tcPr>
          <w:p w:rsidRPr="0015775A" w:rsidR="00257DCA" w:rsidP="00AF2416" w:rsidRDefault="00257DCA" w14:paraId="31154830" w14:textId="77777777">
            <w:pPr>
              <w:suppressAutoHyphens/>
              <w:rPr>
                <w:i/>
              </w:rPr>
            </w:pPr>
            <w:r w:rsidRPr="0015775A">
              <w:rPr>
                <w:i/>
              </w:rPr>
              <w:t>Jüri SOOSAAR</w:t>
            </w:r>
          </w:p>
        </w:tc>
      </w:tr>
      <w:tr w:rsidRPr="0015775A" w:rsidR="00257DCA" w:rsidTr="00257DCA" w14:paraId="32932B0C" w14:textId="77777777">
        <w:tc>
          <w:tcPr>
            <w:tcW w:w="1285" w:type="pct"/>
            <w:hideMark/>
          </w:tcPr>
          <w:p w:rsidRPr="0015775A" w:rsidR="00257DCA" w:rsidP="00AF2416" w:rsidRDefault="00257DCA" w14:paraId="617D6C5F" w14:textId="77777777">
            <w:pPr>
              <w:suppressAutoHyphens/>
              <w:rPr>
                <w:i/>
              </w:rPr>
            </w:pPr>
            <w:r w:rsidRPr="0015775A">
              <w:rPr>
                <w:i/>
              </w:rPr>
              <w:t>Telefon</w:t>
            </w:r>
          </w:p>
        </w:tc>
        <w:tc>
          <w:tcPr>
            <w:tcW w:w="3715" w:type="pct"/>
            <w:hideMark/>
          </w:tcPr>
          <w:p w:rsidRPr="0015775A" w:rsidR="00257DCA" w:rsidP="00AF2416" w:rsidRDefault="00257DCA" w14:paraId="23B35A12" w14:textId="77777777">
            <w:pPr>
              <w:suppressAutoHyphens/>
              <w:rPr>
                <w:i/>
              </w:rPr>
            </w:pPr>
            <w:r w:rsidRPr="0015775A">
              <w:rPr>
                <w:i/>
              </w:rPr>
              <w:t>+32 25469628</w:t>
            </w:r>
          </w:p>
        </w:tc>
      </w:tr>
      <w:tr w:rsidRPr="0015775A" w:rsidR="00257DCA" w:rsidTr="00257DCA" w14:paraId="7ED3672D" w14:textId="77777777">
        <w:tc>
          <w:tcPr>
            <w:tcW w:w="1285" w:type="pct"/>
            <w:hideMark/>
          </w:tcPr>
          <w:p w:rsidRPr="0015775A" w:rsidR="00257DCA" w:rsidP="00AF2416" w:rsidRDefault="00257DCA" w14:paraId="52E74246" w14:textId="77777777">
            <w:pPr>
              <w:suppressAutoHyphens/>
              <w:rPr>
                <w:i/>
              </w:rPr>
            </w:pPr>
            <w:r w:rsidRPr="0015775A">
              <w:rPr>
                <w:i/>
              </w:rPr>
              <w:t>E-naslov</w:t>
            </w:r>
          </w:p>
        </w:tc>
        <w:tc>
          <w:tcPr>
            <w:tcW w:w="3715" w:type="pct"/>
            <w:hideMark/>
          </w:tcPr>
          <w:p w:rsidRPr="0015775A" w:rsidR="00257DCA" w:rsidP="00AF2416" w:rsidRDefault="006E0B19" w14:paraId="0CE66C3F" w14:textId="77777777">
            <w:pPr>
              <w:suppressAutoHyphens/>
              <w:rPr>
                <w:i/>
              </w:rPr>
            </w:pPr>
            <w:hyperlink w:history="1" r:id="rId19">
              <w:r w:rsidRPr="0015775A" w:rsidR="00257DCA">
                <w:rPr>
                  <w:rStyle w:val="Hyperlink"/>
                  <w:i/>
                </w:rPr>
                <w:t>Juri.Soosaar@eesc.europa.eu</w:t>
              </w:r>
            </w:hyperlink>
          </w:p>
        </w:tc>
      </w:tr>
    </w:tbl>
    <w:p w:rsidRPr="0015775A" w:rsidR="009401A5" w:rsidP="00AF2416" w:rsidRDefault="009401A5" w14:paraId="6DB3B370" w14:textId="77777777">
      <w:pPr>
        <w:suppressAutoHyphens/>
        <w:spacing w:line="259" w:lineRule="auto"/>
        <w:jc w:val="left"/>
        <w:rPr>
          <w:color w:val="000000" w:themeColor="text1"/>
        </w:rPr>
      </w:pPr>
      <w:r w:rsidRPr="0015775A">
        <w:br w:type="page"/>
      </w:r>
    </w:p>
    <w:bookmarkStart w:name="_Toc162435204" w:id="4"/>
    <w:bookmarkStart w:name="_Hlk171935721" w:id="5"/>
    <w:bookmarkEnd w:id="4"/>
    <w:p w:rsidRPr="0015775A" w:rsidR="00C37F51" w:rsidP="00AF2416" w:rsidRDefault="00C34921" w14:paraId="264EB5BB" w14:textId="60F31ED8">
      <w:pPr>
        <w:pStyle w:val="Heading1"/>
        <w:spacing w:before="0"/>
        <w:ind w:hanging="928"/>
        <w:rPr>
          <w:rStyle w:val="Hyperlink"/>
          <w:b/>
          <w:bCs/>
          <w:color w:val="000000" w:themeColor="text1"/>
          <w:u w:val="none"/>
        </w:rPr>
      </w:pPr>
      <w:r w:rsidRPr="0015775A">
        <w:rPr>
          <w:sz w:val="20"/>
        </w:rPr>
        <w:lastRenderedPageBreak/>
        <w:fldChar w:fldCharType="begin"/>
      </w:r>
      <w:r w:rsidRPr="0015775A">
        <w:rPr>
          <w:b/>
          <w:bCs/>
        </w:rPr>
        <w:instrText xml:space="preserve"> HYPERLINK \l "_Toc164353188" </w:instrText>
      </w:r>
      <w:r w:rsidRPr="0015775A">
        <w:rPr>
          <w:sz w:val="20"/>
        </w:rPr>
        <w:fldChar w:fldCharType="separate"/>
      </w:r>
      <w:bookmarkStart w:name="_Toc172110320" w:id="6"/>
      <w:r w:rsidRPr="0015775A">
        <w:rPr>
          <w:b/>
          <w:bCs/>
        </w:rPr>
        <w:t>ZAPOSLOVANJE, SOCIALNE ZADEVE IN DRŽAVLJANSTVO</w:t>
      </w:r>
      <w:bookmarkEnd w:id="6"/>
      <w:r w:rsidRPr="0015775A">
        <w:rPr>
          <w:rStyle w:val="Hyperlink"/>
          <w:b/>
          <w:bCs/>
          <w:color w:val="000000" w:themeColor="text1"/>
          <w:u w:val="none"/>
        </w:rPr>
        <w:fldChar w:fldCharType="end"/>
      </w:r>
    </w:p>
    <w:bookmarkEnd w:id="5"/>
    <w:p w:rsidRPr="0015775A" w:rsidR="00D92244" w:rsidP="00AF2416" w:rsidRDefault="00D92244" w14:paraId="38D997EF" w14:textId="77777777">
      <w:pPr>
        <w:suppressAutoHyphens/>
        <w:rPr>
          <w:rFonts w:eastAsiaTheme="minorEastAsia"/>
        </w:rPr>
      </w:pPr>
    </w:p>
    <w:p w:rsidRPr="0015775A" w:rsidR="00FE5254" w:rsidP="00AF2416" w:rsidRDefault="006E0B19" w14:paraId="34C60E42" w14:textId="77777777">
      <w:pPr>
        <w:numPr>
          <w:ilvl w:val="0"/>
          <w:numId w:val="4"/>
        </w:numPr>
        <w:suppressAutoHyphens/>
        <w:overflowPunct w:val="0"/>
        <w:autoSpaceDE w:val="0"/>
        <w:autoSpaceDN w:val="0"/>
        <w:adjustRightInd w:val="0"/>
        <w:ind w:hanging="567"/>
        <w:rPr>
          <w:rStyle w:val="Hyperlink"/>
          <w:b/>
          <w:bCs/>
          <w:i/>
          <w:iCs/>
          <w:sz w:val="28"/>
          <w:szCs w:val="28"/>
        </w:rPr>
      </w:pPr>
      <w:hyperlink w:history="1" r:id="rId20">
        <w:r w:rsidRPr="0015775A" w:rsidR="00FE5254">
          <w:rPr>
            <w:rStyle w:val="Hyperlink"/>
            <w:b/>
            <w:i/>
            <w:sz w:val="28"/>
          </w:rPr>
          <w:t>Boj proti spolni zlorabi otrok</w:t>
        </w:r>
      </w:hyperlink>
    </w:p>
    <w:p w:rsidRPr="0015775A" w:rsidR="00FE5254" w:rsidP="00AF2416" w:rsidRDefault="00FE5254" w14:paraId="2D1DC55B" w14:textId="77777777">
      <w:pPr>
        <w:suppressAutoHyphens/>
      </w:pPr>
    </w:p>
    <w:tbl>
      <w:tblPr>
        <w:tblStyle w:val="TableGrid"/>
        <w:tblW w:w="499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6517"/>
      </w:tblGrid>
      <w:tr w:rsidRPr="0015775A" w:rsidR="00FE5254" w:rsidTr="00FE5254" w14:paraId="69F82F8C" w14:textId="77777777">
        <w:tc>
          <w:tcPr>
            <w:tcW w:w="1407" w:type="pct"/>
            <w:hideMark/>
          </w:tcPr>
          <w:p w:rsidRPr="0015775A" w:rsidR="00FE5254" w:rsidP="00AF2416" w:rsidRDefault="00FE5254" w14:paraId="6A29038E" w14:textId="77777777">
            <w:pPr>
              <w:suppressAutoHyphens/>
              <w:ind w:left="-113"/>
              <w:rPr>
                <w:b/>
              </w:rPr>
            </w:pPr>
            <w:r w:rsidRPr="0015775A">
              <w:rPr>
                <w:b/>
              </w:rPr>
              <w:t>Poročevalec</w:t>
            </w:r>
          </w:p>
        </w:tc>
        <w:tc>
          <w:tcPr>
            <w:tcW w:w="3593" w:type="pct"/>
            <w:hideMark/>
          </w:tcPr>
          <w:p w:rsidRPr="0015775A" w:rsidR="00FE5254" w:rsidP="00AF2416" w:rsidRDefault="00FE5254" w14:paraId="427A5413" w14:textId="77777777">
            <w:pPr>
              <w:tabs>
                <w:tab w:val="left" w:pos="4572"/>
              </w:tabs>
              <w:suppressAutoHyphens/>
              <w:ind w:left="-113" w:right="-823"/>
              <w:rPr>
                <w:szCs w:val="20"/>
              </w:rPr>
            </w:pPr>
            <w:r w:rsidRPr="0015775A">
              <w:t>Christian BÄUMLER (skupina delojemalcev – DE)</w:t>
            </w:r>
          </w:p>
        </w:tc>
      </w:tr>
      <w:tr w:rsidRPr="0015775A" w:rsidR="00FE5254" w:rsidTr="00FE5254" w14:paraId="1CC6A9EC" w14:textId="77777777">
        <w:tc>
          <w:tcPr>
            <w:tcW w:w="1407" w:type="pct"/>
            <w:hideMark/>
          </w:tcPr>
          <w:p w:rsidRPr="0015775A" w:rsidR="00FE5254" w:rsidP="00AF2416" w:rsidRDefault="00FE5254" w14:paraId="7144F51C" w14:textId="77777777">
            <w:pPr>
              <w:suppressAutoHyphens/>
              <w:ind w:left="-113"/>
              <w:rPr>
                <w:b/>
              </w:rPr>
            </w:pPr>
            <w:r w:rsidRPr="0015775A">
              <w:rPr>
                <w:b/>
              </w:rPr>
              <w:t>Soporočevalka</w:t>
            </w:r>
          </w:p>
        </w:tc>
        <w:tc>
          <w:tcPr>
            <w:tcW w:w="3593" w:type="pct"/>
            <w:hideMark/>
          </w:tcPr>
          <w:p w:rsidRPr="0015775A" w:rsidR="00FE5254" w:rsidP="00AF2416" w:rsidRDefault="00FE5254" w14:paraId="7D7C188C" w14:textId="77777777">
            <w:pPr>
              <w:tabs>
                <w:tab w:val="left" w:pos="4572"/>
              </w:tabs>
              <w:suppressAutoHyphens/>
              <w:ind w:left="-113" w:right="-823"/>
            </w:pPr>
            <w:r w:rsidRPr="0015775A">
              <w:t>Diana INDJOVA (skupina organizacij civilne družbe – BG)</w:t>
            </w:r>
          </w:p>
        </w:tc>
      </w:tr>
      <w:tr w:rsidRPr="0015775A" w:rsidR="00FE5254" w:rsidTr="00FE5254" w14:paraId="7B6E5DA5" w14:textId="77777777">
        <w:tc>
          <w:tcPr>
            <w:tcW w:w="5000" w:type="pct"/>
            <w:gridSpan w:val="2"/>
          </w:tcPr>
          <w:p w:rsidRPr="0015775A" w:rsidR="00FE5254" w:rsidP="00AF2416" w:rsidRDefault="00FE5254" w14:paraId="0C718E57" w14:textId="77777777">
            <w:pPr>
              <w:tabs>
                <w:tab w:val="left" w:pos="4572"/>
              </w:tabs>
              <w:suppressAutoHyphens/>
              <w:spacing w:line="240" w:lineRule="auto"/>
              <w:ind w:left="-113" w:right="-823"/>
              <w:rPr>
                <w:sz w:val="16"/>
                <w:szCs w:val="16"/>
              </w:rPr>
            </w:pPr>
          </w:p>
        </w:tc>
      </w:tr>
      <w:tr w:rsidRPr="0015775A" w:rsidR="00FE5254" w:rsidTr="00FE5254" w14:paraId="37974F79" w14:textId="77777777">
        <w:trPr>
          <w:trHeight w:val="216"/>
        </w:trPr>
        <w:tc>
          <w:tcPr>
            <w:tcW w:w="1407" w:type="pct"/>
            <w:hideMark/>
          </w:tcPr>
          <w:p w:rsidRPr="0015775A" w:rsidR="00FE5254" w:rsidP="00AF2416" w:rsidRDefault="00FE5254" w14:paraId="540B6C11" w14:textId="1AC4C239">
            <w:pPr>
              <w:suppressAutoHyphens/>
              <w:ind w:left="-113"/>
              <w:rPr>
                <w:b/>
              </w:rPr>
            </w:pPr>
            <w:r w:rsidRPr="0015775A">
              <w:rPr>
                <w:b/>
              </w:rPr>
              <w:t>Referenčn</w:t>
            </w:r>
            <w:r w:rsidRPr="0015775A" w:rsidR="008E042C">
              <w:rPr>
                <w:b/>
              </w:rPr>
              <w:t>a</w:t>
            </w:r>
            <w:r w:rsidRPr="0015775A">
              <w:rPr>
                <w:b/>
              </w:rPr>
              <w:t xml:space="preserve"> dokument</w:t>
            </w:r>
            <w:r w:rsidRPr="0015775A" w:rsidR="008E042C">
              <w:rPr>
                <w:b/>
              </w:rPr>
              <w:t>a</w:t>
            </w:r>
          </w:p>
        </w:tc>
        <w:tc>
          <w:tcPr>
            <w:tcW w:w="3593" w:type="pct"/>
            <w:hideMark/>
          </w:tcPr>
          <w:p w:rsidRPr="0015775A" w:rsidR="001F0B3A" w:rsidP="00AF2416" w:rsidRDefault="001F0B3A" w14:paraId="4408C9EB" w14:textId="4D7CCE80">
            <w:pPr>
              <w:tabs>
                <w:tab w:val="left" w:pos="4430"/>
              </w:tabs>
              <w:suppressAutoHyphens/>
              <w:ind w:left="-113" w:right="-823"/>
            </w:pPr>
            <w:r w:rsidRPr="0015775A">
              <w:t>COM(2024) 60 final</w:t>
            </w:r>
          </w:p>
          <w:p w:rsidRPr="0015775A" w:rsidR="00FE5254" w:rsidP="00AF2416" w:rsidRDefault="00FE5254" w14:paraId="553D9C05" w14:textId="0EFABBF1">
            <w:pPr>
              <w:tabs>
                <w:tab w:val="left" w:pos="4430"/>
              </w:tabs>
              <w:suppressAutoHyphens/>
              <w:ind w:left="-113" w:right="-823"/>
            </w:pPr>
            <w:r w:rsidRPr="0015775A">
              <w:t>EESC-2024-00873-00-00-AC</w:t>
            </w:r>
          </w:p>
        </w:tc>
      </w:tr>
    </w:tbl>
    <w:p w:rsidRPr="0015775A" w:rsidR="00FE5254" w:rsidP="00AF2416" w:rsidRDefault="00FE5254" w14:paraId="42D09EC3" w14:textId="77777777">
      <w:pPr>
        <w:tabs>
          <w:tab w:val="center" w:pos="284"/>
        </w:tabs>
        <w:suppressAutoHyphens/>
        <w:ind w:left="266" w:hanging="266"/>
        <w:rPr>
          <w:bCs/>
          <w:szCs w:val="20"/>
        </w:rPr>
      </w:pPr>
    </w:p>
    <w:p w:rsidRPr="0015775A" w:rsidR="00FE5254" w:rsidP="00AF2416" w:rsidRDefault="00FE5254" w14:paraId="58677575" w14:textId="77777777">
      <w:pPr>
        <w:tabs>
          <w:tab w:val="center" w:pos="284"/>
        </w:tabs>
        <w:suppressAutoHyphens/>
        <w:ind w:left="266" w:hanging="266"/>
        <w:rPr>
          <w:b/>
        </w:rPr>
      </w:pPr>
      <w:r w:rsidRPr="0015775A">
        <w:rPr>
          <w:b/>
        </w:rPr>
        <w:t>Glavne točke</w:t>
      </w:r>
    </w:p>
    <w:p w:rsidRPr="0015775A" w:rsidR="00FE5254" w:rsidP="00AF2416" w:rsidRDefault="00FE5254" w14:paraId="1411E272" w14:textId="77777777">
      <w:pPr>
        <w:tabs>
          <w:tab w:val="center" w:pos="284"/>
        </w:tabs>
        <w:suppressAutoHyphens/>
        <w:ind w:left="266" w:hanging="266"/>
        <w:rPr>
          <w:bCs/>
        </w:rPr>
      </w:pPr>
    </w:p>
    <w:p w:rsidRPr="0015775A" w:rsidR="00FE5254" w:rsidP="00AF2416" w:rsidRDefault="00FE5254" w14:paraId="0D28FA32" w14:textId="77777777">
      <w:pPr>
        <w:tabs>
          <w:tab w:val="center" w:pos="284"/>
        </w:tabs>
        <w:suppressAutoHyphens/>
        <w:ind w:left="266" w:hanging="266"/>
        <w:rPr>
          <w:szCs w:val="20"/>
        </w:rPr>
      </w:pPr>
      <w:r w:rsidRPr="0015775A">
        <w:t>EESO:</w:t>
      </w:r>
    </w:p>
    <w:p w:rsidRPr="0015775A" w:rsidR="00FE5254" w:rsidP="00AF2416" w:rsidRDefault="00FE5254" w14:paraId="78130E47" w14:textId="77777777"/>
    <w:p w:rsidRPr="0015775A" w:rsidR="00FE5254" w:rsidP="00AF2416" w:rsidRDefault="00FE5254" w14:paraId="0E17A9E4" w14:textId="77777777">
      <w:pPr>
        <w:numPr>
          <w:ilvl w:val="0"/>
          <w:numId w:val="23"/>
        </w:numPr>
        <w:suppressAutoHyphens/>
        <w:spacing w:line="276" w:lineRule="auto"/>
        <w:ind w:left="426" w:hanging="426"/>
      </w:pPr>
      <w:r w:rsidRPr="0015775A">
        <w:t>podpira cilj predloga, in sicer inkriminacijo vseh oblik spolne zlorabe in spolnega izkoriščanja otrok, vključno s tistimi, ki jih omogoča ali olajšuje tehnološki razvoj;</w:t>
      </w:r>
    </w:p>
    <w:p w:rsidRPr="0015775A" w:rsidR="00FE5254" w:rsidP="00AF2416" w:rsidRDefault="00FE5254" w14:paraId="3CDD391D" w14:textId="77777777">
      <w:pPr>
        <w:numPr>
          <w:ilvl w:val="0"/>
          <w:numId w:val="23"/>
        </w:numPr>
        <w:suppressAutoHyphens/>
        <w:spacing w:line="276" w:lineRule="auto"/>
        <w:ind w:left="426" w:hanging="426"/>
      </w:pPr>
      <w:r w:rsidRPr="0015775A">
        <w:t>poudarja, da je treba posebno pozornost nameniti posebej ranljivi skupini invalidnih otrok, ki lahko hitro postanejo žrtve spolne zlorabe, spolnega izkoriščanja in kibernetske kriminalitete;</w:t>
      </w:r>
    </w:p>
    <w:p w:rsidRPr="0015775A" w:rsidR="00FE5254" w:rsidP="00AF2416" w:rsidRDefault="00FE5254" w14:paraId="0DE4EA99" w14:textId="77777777">
      <w:pPr>
        <w:numPr>
          <w:ilvl w:val="0"/>
          <w:numId w:val="23"/>
        </w:numPr>
        <w:suppressAutoHyphens/>
        <w:spacing w:line="276" w:lineRule="auto"/>
        <w:ind w:left="426" w:hanging="426"/>
      </w:pPr>
      <w:r w:rsidRPr="0015775A">
        <w:t>podpira boljše usklajevanje pri preprečevanju spolne zlorabe otrok in boju proti njej v vseh državah članicah in na nacionalni ravni; podpira predlagano obveznost držav članic, da ustanovijo nacionalne organe, pristojne za to usklajevanje;</w:t>
      </w:r>
    </w:p>
    <w:p w:rsidRPr="0015775A" w:rsidR="00FE5254" w:rsidP="00AF2416" w:rsidRDefault="00FE5254" w14:paraId="2208B9FD" w14:textId="77777777">
      <w:pPr>
        <w:numPr>
          <w:ilvl w:val="0"/>
          <w:numId w:val="23"/>
        </w:numPr>
        <w:suppressAutoHyphens/>
        <w:spacing w:line="276" w:lineRule="auto"/>
        <w:ind w:left="426" w:hanging="426"/>
      </w:pPr>
      <w:r w:rsidRPr="0015775A">
        <w:t>poudarja pomen skupnih minimalnih standardov za opredelitev kaznivih dejanj in strogost s tem povezanih kazni za učinkovit pregon storilcev kaznivih dejanj in zaščito žrtev po vsej EU; podpira inkriminacijo t. i. pedofilskih priročnikov;</w:t>
      </w:r>
    </w:p>
    <w:p w:rsidRPr="0015775A" w:rsidR="00FE5254" w:rsidP="00AF2416" w:rsidRDefault="00FE5254" w14:paraId="43D3E08C" w14:textId="77777777">
      <w:pPr>
        <w:numPr>
          <w:ilvl w:val="0"/>
          <w:numId w:val="23"/>
        </w:numPr>
        <w:suppressAutoHyphens/>
        <w:spacing w:line="276" w:lineRule="auto"/>
        <w:ind w:left="426" w:hanging="426"/>
      </w:pPr>
      <w:r w:rsidRPr="0015775A">
        <w:t>poziva, naj se dejansko uredi mednarodna izmenjava podatkov v zvezi s spolno zlorabo in spolnim izkoriščanjem otrok ter razširijo možnosti hrambe podatkov v vseh državah članicah z oblikovanjem raziskovalnega središča EU;</w:t>
      </w:r>
    </w:p>
    <w:p w:rsidRPr="0015775A" w:rsidR="00FE5254" w:rsidP="00AF2416" w:rsidRDefault="00FE5254" w14:paraId="325A3932" w14:textId="77777777">
      <w:pPr>
        <w:numPr>
          <w:ilvl w:val="0"/>
          <w:numId w:val="23"/>
        </w:numPr>
        <w:suppressAutoHyphens/>
        <w:spacing w:line="276" w:lineRule="auto"/>
        <w:ind w:left="426" w:hanging="426"/>
      </w:pPr>
      <w:r w:rsidRPr="0015775A">
        <w:t>se strinja s ciljem glede izboljšanja preprečevanja in pomoči žrtvam spolnega izkoriščanja in zlorabe; podpira predlagano zvišanje najnižjih kazni in podaljšanje zastaralnih rokov;</w:t>
      </w:r>
    </w:p>
    <w:p w:rsidRPr="0015775A" w:rsidR="00FE5254" w:rsidP="00AF2416" w:rsidRDefault="00FE5254" w14:paraId="4A5100F0" w14:textId="77777777">
      <w:pPr>
        <w:numPr>
          <w:ilvl w:val="0"/>
          <w:numId w:val="23"/>
        </w:numPr>
        <w:suppressAutoHyphens/>
        <w:spacing w:line="276" w:lineRule="auto"/>
        <w:ind w:left="426" w:hanging="426"/>
      </w:pPr>
      <w:r w:rsidRPr="0015775A">
        <w:t xml:space="preserve">poudarja pomen stalnega usposabljanja uradnikov organov kazenskega pregona in vseh, ki so v stiku z otroki, da bodo lahko ustrezno opravljali svoje naloge; </w:t>
      </w:r>
    </w:p>
    <w:p w:rsidRPr="0015775A" w:rsidR="00FE5254" w:rsidP="00AF2416" w:rsidRDefault="00FE5254" w14:paraId="209DE5DC" w14:textId="77777777">
      <w:pPr>
        <w:numPr>
          <w:ilvl w:val="0"/>
          <w:numId w:val="23"/>
        </w:numPr>
        <w:suppressAutoHyphens/>
        <w:spacing w:line="276" w:lineRule="auto"/>
        <w:ind w:left="426" w:hanging="426"/>
      </w:pPr>
      <w:r w:rsidRPr="0015775A">
        <w:t>meni, da je ključnega pomena vključenost civilne družbe v boj proti spolni zlorabi in spolnemu izkoriščanju otrok kot tudi v preprečevanje in podporo žrtvam.</w:t>
      </w:r>
    </w:p>
    <w:p w:rsidRPr="0015775A" w:rsidR="00FE5254" w:rsidP="00AF2416" w:rsidRDefault="00FE5254" w14:paraId="6487E743" w14:textId="77777777"/>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15775A" w:rsidR="00FE5254" w:rsidTr="00FE5254" w14:paraId="3F4FA6FE" w14:textId="77777777">
        <w:tc>
          <w:tcPr>
            <w:tcW w:w="1556" w:type="pct"/>
            <w:hideMark/>
          </w:tcPr>
          <w:p w:rsidRPr="0015775A" w:rsidR="00FE5254" w:rsidP="00AF2416" w:rsidRDefault="00FE5254" w14:paraId="4CBFD3F9" w14:textId="77777777">
            <w:pPr>
              <w:suppressAutoHyphens/>
              <w:spacing w:line="240" w:lineRule="auto"/>
              <w:rPr>
                <w:i/>
              </w:rPr>
            </w:pPr>
            <w:r w:rsidRPr="0015775A">
              <w:rPr>
                <w:b/>
                <w:i/>
              </w:rPr>
              <w:t>Kontaktna oseba</w:t>
            </w:r>
          </w:p>
        </w:tc>
        <w:tc>
          <w:tcPr>
            <w:tcW w:w="3444" w:type="pct"/>
            <w:hideMark/>
          </w:tcPr>
          <w:p w:rsidRPr="0015775A" w:rsidR="00FE5254" w:rsidP="00AF2416" w:rsidRDefault="00FE5254" w14:paraId="7633E11A" w14:textId="77777777">
            <w:pPr>
              <w:suppressAutoHyphens/>
              <w:spacing w:line="240" w:lineRule="auto"/>
              <w:rPr>
                <w:i/>
              </w:rPr>
            </w:pPr>
            <w:r w:rsidRPr="0015775A">
              <w:rPr>
                <w:i/>
              </w:rPr>
              <w:t>Sabrina BORG</w:t>
            </w:r>
          </w:p>
        </w:tc>
      </w:tr>
      <w:tr w:rsidRPr="0015775A" w:rsidR="00FE5254" w:rsidTr="00FE5254" w14:paraId="4E2FAE7E" w14:textId="77777777">
        <w:tc>
          <w:tcPr>
            <w:tcW w:w="1556" w:type="pct"/>
            <w:hideMark/>
          </w:tcPr>
          <w:p w:rsidRPr="0015775A" w:rsidR="00FE5254" w:rsidP="00AF2416" w:rsidRDefault="00FE5254" w14:paraId="6DC6448C" w14:textId="77777777">
            <w:pPr>
              <w:suppressAutoHyphens/>
              <w:spacing w:line="240" w:lineRule="auto"/>
              <w:rPr>
                <w:i/>
              </w:rPr>
            </w:pPr>
            <w:r w:rsidRPr="0015775A">
              <w:rPr>
                <w:i/>
              </w:rPr>
              <w:t>Telefon</w:t>
            </w:r>
          </w:p>
        </w:tc>
        <w:tc>
          <w:tcPr>
            <w:tcW w:w="3444" w:type="pct"/>
            <w:hideMark/>
          </w:tcPr>
          <w:p w:rsidRPr="0015775A" w:rsidR="00FE5254" w:rsidP="00AF2416" w:rsidRDefault="00FE5254" w14:paraId="6A40ACBD" w14:textId="77777777">
            <w:pPr>
              <w:suppressAutoHyphens/>
              <w:spacing w:line="240" w:lineRule="auto"/>
              <w:rPr>
                <w:i/>
              </w:rPr>
            </w:pPr>
            <w:r w:rsidRPr="0015775A">
              <w:rPr>
                <w:i/>
              </w:rPr>
              <w:t>+32 25469727</w:t>
            </w:r>
          </w:p>
        </w:tc>
      </w:tr>
      <w:tr w:rsidRPr="0015775A" w:rsidR="00FE5254" w:rsidTr="00FE5254" w14:paraId="02189653" w14:textId="77777777">
        <w:tc>
          <w:tcPr>
            <w:tcW w:w="1556" w:type="pct"/>
            <w:hideMark/>
          </w:tcPr>
          <w:p w:rsidRPr="0015775A" w:rsidR="00FE5254" w:rsidP="00AF2416" w:rsidRDefault="00FE5254" w14:paraId="1645FDD4" w14:textId="77777777">
            <w:pPr>
              <w:suppressAutoHyphens/>
              <w:spacing w:line="240" w:lineRule="auto"/>
              <w:rPr>
                <w:i/>
              </w:rPr>
            </w:pPr>
            <w:r w:rsidRPr="0015775A">
              <w:rPr>
                <w:i/>
              </w:rPr>
              <w:t>E-naslov</w:t>
            </w:r>
          </w:p>
        </w:tc>
        <w:tc>
          <w:tcPr>
            <w:tcW w:w="3444" w:type="pct"/>
            <w:hideMark/>
          </w:tcPr>
          <w:p w:rsidRPr="0015775A" w:rsidR="00FE5254" w:rsidP="00AF2416" w:rsidRDefault="006E0B19" w14:paraId="162770A1" w14:textId="77777777">
            <w:pPr>
              <w:suppressAutoHyphens/>
              <w:spacing w:line="240" w:lineRule="auto"/>
              <w:rPr>
                <w:rStyle w:val="Hyperlink"/>
                <w:szCs w:val="20"/>
              </w:rPr>
            </w:pPr>
            <w:hyperlink w:history="1" r:id="rId21">
              <w:r w:rsidRPr="0015775A" w:rsidR="00FE5254">
                <w:rPr>
                  <w:rStyle w:val="Hyperlink"/>
                  <w:i/>
                </w:rPr>
                <w:t>Sabrina.Borg@eesc.europa.eu</w:t>
              </w:r>
            </w:hyperlink>
          </w:p>
        </w:tc>
      </w:tr>
    </w:tbl>
    <w:p w:rsidRPr="0015775A" w:rsidR="00231B83" w:rsidP="00AF2416" w:rsidRDefault="00231B83" w14:paraId="1E1037F2" w14:textId="77777777">
      <w:pPr>
        <w:suppressAutoHyphens/>
        <w:spacing w:line="259" w:lineRule="auto"/>
        <w:jc w:val="left"/>
        <w:rPr>
          <w:rFonts w:eastAsiaTheme="minorEastAsia"/>
        </w:rPr>
      </w:pPr>
      <w:r w:rsidRPr="0015775A">
        <w:br w:type="page"/>
      </w:r>
    </w:p>
    <w:p w:rsidRPr="0015775A" w:rsidR="00B00538" w:rsidP="00AF2416" w:rsidRDefault="006E0B19" w14:paraId="4C026859" w14:textId="77777777">
      <w:pPr>
        <w:numPr>
          <w:ilvl w:val="0"/>
          <w:numId w:val="4"/>
        </w:numPr>
        <w:suppressAutoHyphens/>
        <w:overflowPunct w:val="0"/>
        <w:autoSpaceDE w:val="0"/>
        <w:autoSpaceDN w:val="0"/>
        <w:adjustRightInd w:val="0"/>
        <w:ind w:hanging="567"/>
        <w:rPr>
          <w:rStyle w:val="Hyperlink"/>
          <w:b/>
          <w:bCs/>
          <w:i/>
          <w:iCs/>
          <w:sz w:val="28"/>
          <w:szCs w:val="28"/>
        </w:rPr>
      </w:pPr>
      <w:hyperlink w:history="1" r:id="rId22">
        <w:r w:rsidRPr="0015775A" w:rsidR="00B00538">
          <w:rPr>
            <w:rStyle w:val="Hyperlink"/>
            <w:b/>
            <w:i/>
            <w:sz w:val="28"/>
          </w:rPr>
          <w:t>Sveženj za preprečevanje tihotapljenja</w:t>
        </w:r>
      </w:hyperlink>
    </w:p>
    <w:p w:rsidRPr="0015775A" w:rsidR="00B00538" w:rsidP="00AF2416" w:rsidRDefault="00B00538" w14:paraId="1369F387" w14:textId="77777777">
      <w:pPr>
        <w:rPr>
          <w:sz w:val="16"/>
          <w:szCs w:val="20"/>
        </w:rPr>
      </w:pPr>
    </w:p>
    <w:tbl>
      <w:tblPr>
        <w:tblStyle w:val="TableGrid"/>
        <w:tblW w:w="47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34"/>
        <w:gridCol w:w="5811"/>
      </w:tblGrid>
      <w:tr w:rsidRPr="0015775A" w:rsidR="00B00538" w:rsidTr="00B00538" w14:paraId="50EA07E3" w14:textId="77777777">
        <w:tc>
          <w:tcPr>
            <w:tcW w:w="1639" w:type="pct"/>
            <w:hideMark/>
          </w:tcPr>
          <w:p w:rsidRPr="0015775A" w:rsidR="00B00538" w:rsidP="00AF2416" w:rsidRDefault="00B00538" w14:paraId="62B049AC" w14:textId="77777777">
            <w:pPr>
              <w:suppressAutoHyphens/>
              <w:ind w:left="-113"/>
              <w:rPr>
                <w:b/>
              </w:rPr>
            </w:pPr>
            <w:r w:rsidRPr="0015775A">
              <w:rPr>
                <w:b/>
              </w:rPr>
              <w:t>Poročevalec</w:t>
            </w:r>
          </w:p>
        </w:tc>
        <w:tc>
          <w:tcPr>
            <w:tcW w:w="3361" w:type="pct"/>
            <w:hideMark/>
          </w:tcPr>
          <w:p w:rsidRPr="0015775A" w:rsidR="00B00538" w:rsidP="00AF2416" w:rsidRDefault="00B00538" w14:paraId="20073E34" w14:textId="77777777">
            <w:pPr>
              <w:tabs>
                <w:tab w:val="left" w:pos="4572"/>
              </w:tabs>
              <w:suppressAutoHyphens/>
              <w:ind w:left="-113" w:right="-823"/>
              <w:rPr>
                <w:szCs w:val="20"/>
              </w:rPr>
            </w:pPr>
            <w:r w:rsidRPr="0015775A">
              <w:t>Florin BERCEA (skupina delojemalcev – RO)</w:t>
            </w:r>
          </w:p>
        </w:tc>
      </w:tr>
      <w:tr w:rsidRPr="0015775A" w:rsidR="00B00538" w:rsidTr="00B00538" w14:paraId="79DAD189" w14:textId="77777777">
        <w:tc>
          <w:tcPr>
            <w:tcW w:w="5000" w:type="pct"/>
            <w:gridSpan w:val="2"/>
          </w:tcPr>
          <w:p w:rsidRPr="0015775A" w:rsidR="00B00538" w:rsidP="00AF2416" w:rsidRDefault="00B00538" w14:paraId="3D3D75BE" w14:textId="77777777">
            <w:pPr>
              <w:tabs>
                <w:tab w:val="left" w:pos="4572"/>
              </w:tabs>
              <w:suppressAutoHyphens/>
              <w:spacing w:line="240" w:lineRule="auto"/>
              <w:ind w:left="-113" w:right="-823"/>
              <w:rPr>
                <w:sz w:val="16"/>
                <w:szCs w:val="16"/>
              </w:rPr>
            </w:pPr>
          </w:p>
        </w:tc>
      </w:tr>
      <w:tr w:rsidRPr="0015775A" w:rsidR="00B00538" w:rsidTr="00B00538" w14:paraId="41E43080" w14:textId="77777777">
        <w:tc>
          <w:tcPr>
            <w:tcW w:w="1639" w:type="pct"/>
            <w:hideMark/>
          </w:tcPr>
          <w:p w:rsidRPr="0015775A" w:rsidR="00B00538" w:rsidP="00AF2416" w:rsidRDefault="00B00538" w14:paraId="5AA57AF7" w14:textId="095BB1E4">
            <w:pPr>
              <w:suppressAutoHyphens/>
              <w:ind w:left="-113"/>
              <w:rPr>
                <w:b/>
                <w:szCs w:val="20"/>
              </w:rPr>
            </w:pPr>
            <w:r w:rsidRPr="0015775A">
              <w:rPr>
                <w:b/>
              </w:rPr>
              <w:t>Referenčn</w:t>
            </w:r>
            <w:r w:rsidRPr="0015775A" w:rsidR="008E042C">
              <w:rPr>
                <w:b/>
              </w:rPr>
              <w:t>a</w:t>
            </w:r>
            <w:r w:rsidRPr="0015775A">
              <w:rPr>
                <w:b/>
              </w:rPr>
              <w:t xml:space="preserve"> dokument</w:t>
            </w:r>
            <w:r w:rsidRPr="0015775A" w:rsidR="008E042C">
              <w:rPr>
                <w:b/>
              </w:rPr>
              <w:t>a</w:t>
            </w:r>
          </w:p>
        </w:tc>
        <w:tc>
          <w:tcPr>
            <w:tcW w:w="3361" w:type="pct"/>
            <w:hideMark/>
          </w:tcPr>
          <w:p w:rsidRPr="0015775A" w:rsidR="001F0B3A" w:rsidP="00AF2416" w:rsidRDefault="001F0B3A" w14:paraId="787F40D4" w14:textId="69E4D82C">
            <w:pPr>
              <w:tabs>
                <w:tab w:val="left" w:pos="4430"/>
              </w:tabs>
              <w:overflowPunct w:val="0"/>
              <w:autoSpaceDE w:val="0"/>
              <w:autoSpaceDN w:val="0"/>
              <w:adjustRightInd w:val="0"/>
              <w:ind w:left="-113" w:right="-823"/>
              <w:textAlignment w:val="baseline"/>
            </w:pPr>
            <w:r w:rsidRPr="0015775A">
              <w:t>COM(2023) 754 final, COM(2023) 755 final</w:t>
            </w:r>
          </w:p>
          <w:p w:rsidRPr="0015775A" w:rsidR="00B00538" w:rsidP="00AF2416" w:rsidRDefault="00B00538" w14:paraId="196B3BDC" w14:textId="3B098D51">
            <w:pPr>
              <w:tabs>
                <w:tab w:val="left" w:pos="4572"/>
              </w:tabs>
              <w:suppressAutoHyphens/>
              <w:ind w:left="-113" w:right="-823"/>
            </w:pPr>
            <w:r w:rsidRPr="0015775A">
              <w:t>EESC-2024-00141-00-00-AC</w:t>
            </w:r>
          </w:p>
        </w:tc>
      </w:tr>
    </w:tbl>
    <w:p w:rsidRPr="0015775A" w:rsidR="00B00538" w:rsidP="00AF2416" w:rsidRDefault="00B00538" w14:paraId="6A258693" w14:textId="77777777">
      <w:pPr>
        <w:rPr>
          <w:szCs w:val="20"/>
        </w:rPr>
      </w:pPr>
    </w:p>
    <w:p w:rsidRPr="0015775A" w:rsidR="00B00538" w:rsidP="00AF2416" w:rsidRDefault="00B00538" w14:paraId="3CA89AB5" w14:textId="77777777">
      <w:pPr>
        <w:tabs>
          <w:tab w:val="center" w:pos="284"/>
        </w:tabs>
        <w:suppressAutoHyphens/>
        <w:ind w:left="266" w:hanging="266"/>
        <w:rPr>
          <w:b/>
        </w:rPr>
      </w:pPr>
      <w:r w:rsidRPr="0015775A">
        <w:rPr>
          <w:b/>
        </w:rPr>
        <w:t>Glavne točke</w:t>
      </w:r>
    </w:p>
    <w:p w:rsidRPr="0015775A" w:rsidR="00B00538" w:rsidP="00AF2416" w:rsidRDefault="00B00538" w14:paraId="2B43DB69" w14:textId="77777777">
      <w:pPr>
        <w:rPr>
          <w:szCs w:val="20"/>
        </w:rPr>
      </w:pPr>
    </w:p>
    <w:p w:rsidRPr="0015775A" w:rsidR="00B00538" w:rsidP="00AF2416" w:rsidRDefault="00B00538" w14:paraId="654513D3" w14:textId="77777777">
      <w:pPr>
        <w:tabs>
          <w:tab w:val="center" w:pos="284"/>
        </w:tabs>
        <w:suppressAutoHyphens/>
        <w:ind w:left="266" w:hanging="266"/>
      </w:pPr>
      <w:r w:rsidRPr="0015775A">
        <w:t>EESO:</w:t>
      </w:r>
    </w:p>
    <w:p w:rsidRPr="0015775A" w:rsidR="00B00538" w:rsidP="00AF2416" w:rsidRDefault="00B00538" w14:paraId="261666D6" w14:textId="77777777"/>
    <w:p w:rsidRPr="0015775A" w:rsidR="00B00538" w:rsidP="00AF2416" w:rsidRDefault="00B00538" w14:paraId="4473E9C5" w14:textId="77777777">
      <w:pPr>
        <w:numPr>
          <w:ilvl w:val="0"/>
          <w:numId w:val="23"/>
        </w:numPr>
        <w:tabs>
          <w:tab w:val="center" w:pos="0"/>
        </w:tabs>
        <w:suppressAutoHyphens/>
        <w:ind w:left="426" w:hanging="426"/>
      </w:pPr>
      <w:r w:rsidRPr="0015775A">
        <w:t>ugotavlja, da se z zakonodajnima predlogoma in svetovnim zavezništvom predlaga sorazmerna in postopna krepitev zmogljivosti, vendar sta za učinkovito obvladovanje tega procesa potrebni večja strateška ambicioznost in zavezanost;</w:t>
      </w:r>
    </w:p>
    <w:p w:rsidRPr="0015775A" w:rsidR="00B00538" w:rsidP="00AF2416" w:rsidRDefault="00B00538" w14:paraId="2DDC1617" w14:textId="77777777">
      <w:pPr>
        <w:numPr>
          <w:ilvl w:val="0"/>
          <w:numId w:val="23"/>
        </w:numPr>
        <w:tabs>
          <w:tab w:val="center" w:pos="0"/>
        </w:tabs>
        <w:suppressAutoHyphens/>
        <w:ind w:left="426" w:hanging="426"/>
      </w:pPr>
      <w:r w:rsidRPr="0015775A">
        <w:t>priznava, da sta za boj proti tihotapljenju migrantov potrebna tudi nov zagon in boljše usklajevanje na vseh ravneh. Hkrati meni, da je bistveno, da se vzpostavijo zakonite migracijske poti in postopki za tiste, ki želijo varno in zakonito priti v EU;</w:t>
      </w:r>
    </w:p>
    <w:p w:rsidRPr="0015775A" w:rsidR="00B00538" w:rsidP="00AF2416" w:rsidRDefault="00B00538" w14:paraId="6F483CEE" w14:textId="77777777">
      <w:pPr>
        <w:numPr>
          <w:ilvl w:val="0"/>
          <w:numId w:val="23"/>
        </w:numPr>
        <w:tabs>
          <w:tab w:val="center" w:pos="0"/>
        </w:tabs>
        <w:suppressAutoHyphens/>
        <w:ind w:left="426" w:hanging="426"/>
      </w:pPr>
      <w:r w:rsidRPr="0015775A">
        <w:t>priznava, da je za učinkovit azilni sistem EU ključnega pomena, da se najdejo načini za reševanje težav sistematičnega zavračanja na zunanjih mejah EU, saj je to prepovedano z Ženevsko konvencijo. Ker ni varnih in zakonitih poti za vstop v EU, imajo begunci in migranti, ki iščejo varnost, samo možnost uporabe nevarnejših poti, ki ogrožajo njihovo življenje;</w:t>
      </w:r>
    </w:p>
    <w:p w:rsidRPr="0015775A" w:rsidR="00B00538" w:rsidP="00AF2416" w:rsidRDefault="00B00538" w14:paraId="415668BA" w14:textId="77777777">
      <w:pPr>
        <w:numPr>
          <w:ilvl w:val="0"/>
          <w:numId w:val="23"/>
        </w:numPr>
        <w:tabs>
          <w:tab w:val="center" w:pos="0"/>
        </w:tabs>
        <w:suppressAutoHyphens/>
        <w:ind w:left="426" w:hanging="426"/>
      </w:pPr>
      <w:r w:rsidRPr="0015775A">
        <w:t>poziva Komisijo, naj poleg svetovnega zavezništva razvije trdnejši pristop za krepitev zmogljivosti tretjih držav ter spodbujanje sodelovanja z Europolom in organi kazenskega pregona držav članic;</w:t>
      </w:r>
    </w:p>
    <w:p w:rsidRPr="0015775A" w:rsidR="00B00538" w:rsidP="00AF2416" w:rsidRDefault="00B00538" w14:paraId="2AFC8190" w14:textId="77777777">
      <w:pPr>
        <w:numPr>
          <w:ilvl w:val="0"/>
          <w:numId w:val="23"/>
        </w:numPr>
        <w:tabs>
          <w:tab w:val="center" w:pos="0"/>
        </w:tabs>
        <w:suppressAutoHyphens/>
        <w:ind w:left="426" w:hanging="426"/>
      </w:pPr>
      <w:r w:rsidRPr="0015775A">
        <w:t>obžaluje, da sveženj ne obravnava oseb, ki uporabljajo storitve tihotapcev migrantov, čeprav so priznane kot potencialne žrtve. EU mora v svojo strategijo za boj proti tihotapljenju vključiti vidik temeljnih pravic za ljudi, ki so obupani in dovolj ranljivi, da uporabijo storitve tihotapcev. Politika bi morala biti tudi bolj usmerjena v še ranljivejše skupine ljudi, kot so invalidi;</w:t>
      </w:r>
    </w:p>
    <w:p w:rsidRPr="0015775A" w:rsidR="00B00538" w:rsidP="00AF2416" w:rsidRDefault="00B00538" w14:paraId="34032A8F" w14:textId="77777777">
      <w:pPr>
        <w:numPr>
          <w:ilvl w:val="0"/>
          <w:numId w:val="23"/>
        </w:numPr>
        <w:tabs>
          <w:tab w:val="center" w:pos="0"/>
        </w:tabs>
        <w:suppressAutoHyphens/>
        <w:ind w:left="426" w:hanging="426"/>
      </w:pPr>
      <w:r w:rsidRPr="0015775A">
        <w:t>poziva k večji preglednosti pri pripravi predlogov, saj predlogoma ni bilo priloženo poročilo o predhodni oceni učinka;</w:t>
      </w:r>
    </w:p>
    <w:p w:rsidRPr="0015775A" w:rsidR="00B00538" w:rsidP="00AF2416" w:rsidRDefault="00B00538" w14:paraId="78848118" w14:textId="77777777">
      <w:pPr>
        <w:numPr>
          <w:ilvl w:val="0"/>
          <w:numId w:val="23"/>
        </w:numPr>
        <w:tabs>
          <w:tab w:val="center" w:pos="0"/>
        </w:tabs>
        <w:suppressAutoHyphens/>
        <w:ind w:left="426" w:hanging="426"/>
      </w:pPr>
      <w:r w:rsidRPr="0015775A">
        <w:t>pozdravlja direktivo, vendar opozarja, da bi lahko njena vsebina resno vplivala na temeljne pravice migrantov in oseb, ki jim pomagajo iz humanitarnih razlogov. Odbor meni, da je ustvarjanje in ohranjanje strahu pred humanitarno, pravno ali celo upravno pomočjo napačen in nesprejemljiv način boja proti tihotapljenju;</w:t>
      </w:r>
    </w:p>
    <w:p w:rsidRPr="0015775A" w:rsidR="00B00538" w:rsidP="00AF2416" w:rsidRDefault="00B00538" w14:paraId="0E596B0F" w14:textId="77777777">
      <w:pPr>
        <w:numPr>
          <w:ilvl w:val="0"/>
          <w:numId w:val="23"/>
        </w:numPr>
        <w:tabs>
          <w:tab w:val="center" w:pos="0"/>
        </w:tabs>
        <w:suppressAutoHyphens/>
        <w:ind w:left="426" w:hanging="426"/>
      </w:pPr>
      <w:r w:rsidRPr="0015775A">
        <w:t>poleg tega meni, da bi bilo treba humanitarne delavce, družinske člane in druge osebe, ki migrantom zagotavljajo storitve, izvzeti iz kazenskega pregona, ki bi moral biti mogoč le, če gre za neupravičeno finančno korist.</w:t>
      </w:r>
    </w:p>
    <w:p w:rsidRPr="0015775A" w:rsidR="00B00538" w:rsidP="00AF2416" w:rsidRDefault="00B00538" w14:paraId="176CE350" w14:textId="77777777"/>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15775A" w:rsidR="00B00538" w:rsidTr="00B00538" w14:paraId="6ECE2C45" w14:textId="77777777">
        <w:tc>
          <w:tcPr>
            <w:tcW w:w="1556" w:type="pct"/>
            <w:hideMark/>
          </w:tcPr>
          <w:p w:rsidRPr="0015775A" w:rsidR="00B00538" w:rsidP="00AF2416" w:rsidRDefault="00B00538" w14:paraId="475924C4" w14:textId="77777777">
            <w:pPr>
              <w:suppressAutoHyphens/>
              <w:spacing w:line="240" w:lineRule="auto"/>
              <w:rPr>
                <w:i/>
              </w:rPr>
            </w:pPr>
            <w:r w:rsidRPr="0015775A">
              <w:rPr>
                <w:b/>
                <w:i/>
              </w:rPr>
              <w:t>Kontaktna oseba</w:t>
            </w:r>
          </w:p>
        </w:tc>
        <w:tc>
          <w:tcPr>
            <w:tcW w:w="3444" w:type="pct"/>
            <w:hideMark/>
          </w:tcPr>
          <w:p w:rsidRPr="0015775A" w:rsidR="00B00538" w:rsidP="00AF2416" w:rsidRDefault="00B00538" w14:paraId="41E44F97" w14:textId="77777777">
            <w:pPr>
              <w:suppressAutoHyphens/>
              <w:spacing w:line="240" w:lineRule="auto"/>
              <w:rPr>
                <w:i/>
              </w:rPr>
            </w:pPr>
            <w:r w:rsidRPr="0015775A">
              <w:rPr>
                <w:i/>
              </w:rPr>
              <w:t>Gemma AMRAN</w:t>
            </w:r>
          </w:p>
        </w:tc>
      </w:tr>
      <w:tr w:rsidRPr="0015775A" w:rsidR="00B00538" w:rsidTr="00B00538" w14:paraId="56F61C2B" w14:textId="77777777">
        <w:tc>
          <w:tcPr>
            <w:tcW w:w="1556" w:type="pct"/>
            <w:hideMark/>
          </w:tcPr>
          <w:p w:rsidRPr="0015775A" w:rsidR="00B00538" w:rsidP="00AF2416" w:rsidRDefault="00B00538" w14:paraId="768539CA" w14:textId="77777777">
            <w:pPr>
              <w:suppressAutoHyphens/>
              <w:spacing w:line="240" w:lineRule="auto"/>
              <w:rPr>
                <w:i/>
              </w:rPr>
            </w:pPr>
            <w:r w:rsidRPr="0015775A">
              <w:rPr>
                <w:i/>
              </w:rPr>
              <w:t>Telefon</w:t>
            </w:r>
          </w:p>
        </w:tc>
        <w:tc>
          <w:tcPr>
            <w:tcW w:w="3444" w:type="pct"/>
            <w:hideMark/>
          </w:tcPr>
          <w:p w:rsidRPr="0015775A" w:rsidR="00B00538" w:rsidP="00AF2416" w:rsidRDefault="00B00538" w14:paraId="7006FBC8" w14:textId="77777777">
            <w:pPr>
              <w:suppressAutoHyphens/>
              <w:spacing w:line="240" w:lineRule="auto"/>
              <w:rPr>
                <w:i/>
              </w:rPr>
            </w:pPr>
            <w:r w:rsidRPr="0015775A">
              <w:rPr>
                <w:i/>
              </w:rPr>
              <w:t>+32 25469415</w:t>
            </w:r>
          </w:p>
        </w:tc>
      </w:tr>
      <w:tr w:rsidRPr="0015775A" w:rsidR="00B00538" w:rsidTr="00B00538" w14:paraId="6E396D27" w14:textId="77777777">
        <w:tc>
          <w:tcPr>
            <w:tcW w:w="1556" w:type="pct"/>
            <w:hideMark/>
          </w:tcPr>
          <w:p w:rsidRPr="0015775A" w:rsidR="00B00538" w:rsidP="00AF2416" w:rsidRDefault="00B00538" w14:paraId="3AA388D8" w14:textId="77777777">
            <w:pPr>
              <w:suppressAutoHyphens/>
              <w:spacing w:line="240" w:lineRule="auto"/>
              <w:rPr>
                <w:i/>
              </w:rPr>
            </w:pPr>
            <w:r w:rsidRPr="0015775A">
              <w:rPr>
                <w:i/>
              </w:rPr>
              <w:t>E-naslov</w:t>
            </w:r>
          </w:p>
        </w:tc>
        <w:tc>
          <w:tcPr>
            <w:tcW w:w="3444" w:type="pct"/>
            <w:hideMark/>
          </w:tcPr>
          <w:p w:rsidRPr="0015775A" w:rsidR="00B00538" w:rsidP="00AF2416" w:rsidRDefault="006E0B19" w14:paraId="2EC59D89" w14:textId="77777777">
            <w:pPr>
              <w:suppressAutoHyphens/>
              <w:spacing w:line="240" w:lineRule="auto"/>
              <w:rPr>
                <w:rStyle w:val="Hyperlink"/>
                <w:szCs w:val="20"/>
              </w:rPr>
            </w:pPr>
            <w:hyperlink w:history="1" r:id="rId23">
              <w:r w:rsidRPr="0015775A" w:rsidR="00B00538">
                <w:rPr>
                  <w:rStyle w:val="Hyperlink"/>
                  <w:i/>
                </w:rPr>
                <w:t>Gemma.Amran@eesc.europa.eu</w:t>
              </w:r>
            </w:hyperlink>
          </w:p>
        </w:tc>
      </w:tr>
    </w:tbl>
    <w:p w:rsidRPr="0015775A" w:rsidR="009E4F7F" w:rsidP="00AF2416" w:rsidRDefault="009E4F7F" w14:paraId="01C3F58C" w14:textId="77777777">
      <w:pPr>
        <w:suppressAutoHyphens/>
        <w:spacing w:line="259" w:lineRule="auto"/>
        <w:jc w:val="left"/>
        <w:rPr>
          <w:rFonts w:eastAsiaTheme="minorEastAsia"/>
        </w:rPr>
      </w:pPr>
      <w:r w:rsidRPr="0015775A">
        <w:br w:type="page"/>
      </w:r>
    </w:p>
    <w:p w:rsidRPr="0015775A" w:rsidR="00B00538" w:rsidP="00AF2416" w:rsidRDefault="006E0B19" w14:paraId="2F79E653" w14:textId="77777777">
      <w:pPr>
        <w:widowControl w:val="0"/>
        <w:numPr>
          <w:ilvl w:val="0"/>
          <w:numId w:val="4"/>
        </w:numPr>
        <w:overflowPunct w:val="0"/>
        <w:autoSpaceDE w:val="0"/>
        <w:autoSpaceDN w:val="0"/>
        <w:adjustRightInd w:val="0"/>
        <w:ind w:hanging="567"/>
        <w:rPr>
          <w:rStyle w:val="Hyperlink"/>
          <w:b/>
          <w:bCs/>
          <w:i/>
          <w:iCs/>
          <w:sz w:val="28"/>
          <w:szCs w:val="28"/>
        </w:rPr>
      </w:pPr>
      <w:hyperlink w:history="1" r:id="rId24">
        <w:r w:rsidRPr="0015775A" w:rsidR="00B00538">
          <w:rPr>
            <w:rStyle w:val="Hyperlink"/>
            <w:b/>
            <w:i/>
            <w:sz w:val="28"/>
          </w:rPr>
          <w:t>Oskrbovalci</w:t>
        </w:r>
      </w:hyperlink>
    </w:p>
    <w:p w:rsidRPr="0015775A" w:rsidR="00B00538" w:rsidP="00AF2416" w:rsidRDefault="00B00538" w14:paraId="7285DC1C" w14:textId="77777777"/>
    <w:tbl>
      <w:tblPr>
        <w:tblStyle w:val="TableGrid"/>
        <w:tblW w:w="499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9"/>
        <w:gridCol w:w="6660"/>
      </w:tblGrid>
      <w:tr w:rsidRPr="0015775A" w:rsidR="00B00538" w:rsidTr="00B00538" w14:paraId="474AFE95" w14:textId="77777777">
        <w:tc>
          <w:tcPr>
            <w:tcW w:w="1328" w:type="pct"/>
            <w:hideMark/>
          </w:tcPr>
          <w:p w:rsidRPr="0015775A" w:rsidR="00B00538" w:rsidP="00AF2416" w:rsidRDefault="00B00538" w14:paraId="145A15D6" w14:textId="77777777">
            <w:pPr>
              <w:widowControl w:val="0"/>
              <w:ind w:left="-113"/>
              <w:rPr>
                <w:b/>
              </w:rPr>
            </w:pPr>
            <w:r w:rsidRPr="0015775A">
              <w:rPr>
                <w:b/>
              </w:rPr>
              <w:t>Poročevalec</w:t>
            </w:r>
          </w:p>
        </w:tc>
        <w:tc>
          <w:tcPr>
            <w:tcW w:w="3672" w:type="pct"/>
            <w:hideMark/>
          </w:tcPr>
          <w:p w:rsidRPr="0015775A" w:rsidR="00B00538" w:rsidP="00AF2416" w:rsidRDefault="00B00538" w14:paraId="5F04695D" w14:textId="77777777">
            <w:pPr>
              <w:widowControl w:val="0"/>
              <w:tabs>
                <w:tab w:val="left" w:pos="4572"/>
              </w:tabs>
              <w:ind w:left="-113" w:right="-823"/>
              <w:rPr>
                <w:szCs w:val="20"/>
              </w:rPr>
            </w:pPr>
            <w:r w:rsidRPr="0015775A">
              <w:t>Pietro Vittorio BARBIERI (skupina organizacij civilne družbe – IT)</w:t>
            </w:r>
          </w:p>
        </w:tc>
      </w:tr>
      <w:tr w:rsidRPr="0015775A" w:rsidR="00B00538" w:rsidTr="00B00538" w14:paraId="0BCC2337" w14:textId="77777777">
        <w:tc>
          <w:tcPr>
            <w:tcW w:w="5000" w:type="pct"/>
            <w:gridSpan w:val="2"/>
          </w:tcPr>
          <w:p w:rsidRPr="0015775A" w:rsidR="00B00538" w:rsidP="00AF2416" w:rsidRDefault="00B00538" w14:paraId="23158641" w14:textId="77777777">
            <w:pPr>
              <w:widowControl w:val="0"/>
              <w:tabs>
                <w:tab w:val="left" w:pos="4572"/>
              </w:tabs>
              <w:ind w:left="-113" w:right="-823"/>
              <w:rPr>
                <w:sz w:val="16"/>
                <w:szCs w:val="16"/>
              </w:rPr>
            </w:pPr>
          </w:p>
        </w:tc>
      </w:tr>
      <w:tr w:rsidRPr="0015775A" w:rsidR="00B00538" w:rsidTr="00B00538" w14:paraId="72CE0A33" w14:textId="77777777">
        <w:trPr>
          <w:trHeight w:val="286"/>
        </w:trPr>
        <w:tc>
          <w:tcPr>
            <w:tcW w:w="1328" w:type="pct"/>
            <w:hideMark/>
          </w:tcPr>
          <w:p w:rsidRPr="0015775A" w:rsidR="00B00538" w:rsidP="00AF2416" w:rsidRDefault="00B00538" w14:paraId="316F9FEA" w14:textId="77777777">
            <w:pPr>
              <w:widowControl w:val="0"/>
              <w:ind w:left="-113"/>
              <w:rPr>
                <w:b/>
              </w:rPr>
            </w:pPr>
            <w:r w:rsidRPr="0015775A">
              <w:rPr>
                <w:b/>
              </w:rPr>
              <w:t>Referenčni dokument</w:t>
            </w:r>
          </w:p>
        </w:tc>
        <w:tc>
          <w:tcPr>
            <w:tcW w:w="3672" w:type="pct"/>
            <w:hideMark/>
          </w:tcPr>
          <w:p w:rsidRPr="0015775A" w:rsidR="001F0B3A" w:rsidP="00AF2416" w:rsidRDefault="008E042C" w14:paraId="14C06E79" w14:textId="1DC43F9D">
            <w:pPr>
              <w:widowControl w:val="0"/>
              <w:tabs>
                <w:tab w:val="left" w:pos="4430"/>
              </w:tabs>
              <w:ind w:left="-113" w:right="-823"/>
            </w:pPr>
            <w:r w:rsidRPr="0015775A">
              <w:t>m</w:t>
            </w:r>
            <w:r w:rsidRPr="0015775A" w:rsidR="001F0B3A">
              <w:t>nenje na lastno pobudo</w:t>
            </w:r>
          </w:p>
          <w:p w:rsidRPr="0015775A" w:rsidR="00B00538" w:rsidP="00AF2416" w:rsidRDefault="00B00538" w14:paraId="2256B0EC" w14:textId="0B45EDCC">
            <w:pPr>
              <w:widowControl w:val="0"/>
              <w:tabs>
                <w:tab w:val="left" w:pos="4430"/>
              </w:tabs>
              <w:ind w:left="-113" w:right="-823"/>
            </w:pPr>
            <w:r w:rsidRPr="0015775A">
              <w:t>EESC-2024-00018-00-00-AC-TRA</w:t>
            </w:r>
          </w:p>
        </w:tc>
      </w:tr>
    </w:tbl>
    <w:p w:rsidRPr="0015775A" w:rsidR="00B00538" w:rsidP="00AF2416" w:rsidRDefault="00B00538" w14:paraId="656A36C5" w14:textId="77777777">
      <w:pPr>
        <w:rPr>
          <w:szCs w:val="20"/>
        </w:rPr>
      </w:pPr>
    </w:p>
    <w:p w:rsidRPr="0015775A" w:rsidR="00B00538" w:rsidP="00AF2416" w:rsidRDefault="00B00538" w14:paraId="36C4014D" w14:textId="77777777">
      <w:pPr>
        <w:widowControl w:val="0"/>
        <w:tabs>
          <w:tab w:val="center" w:pos="284"/>
        </w:tabs>
        <w:ind w:left="266" w:hanging="266"/>
        <w:rPr>
          <w:b/>
        </w:rPr>
      </w:pPr>
      <w:r w:rsidRPr="0015775A">
        <w:rPr>
          <w:b/>
        </w:rPr>
        <w:t>Glavne točke</w:t>
      </w:r>
    </w:p>
    <w:p w:rsidRPr="0015775A" w:rsidR="00B00538" w:rsidP="00AF2416" w:rsidRDefault="00B00538" w14:paraId="1872C9BB" w14:textId="77777777">
      <w:pPr>
        <w:rPr>
          <w:szCs w:val="20"/>
        </w:rPr>
      </w:pPr>
    </w:p>
    <w:p w:rsidRPr="0015775A" w:rsidR="00B00538" w:rsidP="00AF2416" w:rsidRDefault="00B00538" w14:paraId="06B1CDD9" w14:textId="77777777">
      <w:pPr>
        <w:widowControl w:val="0"/>
        <w:tabs>
          <w:tab w:val="center" w:pos="284"/>
        </w:tabs>
        <w:ind w:left="266" w:hanging="266"/>
      </w:pPr>
      <w:r w:rsidRPr="0015775A">
        <w:t>EESO:</w:t>
      </w:r>
    </w:p>
    <w:p w:rsidRPr="0015775A" w:rsidR="00B00538" w:rsidP="00AF2416" w:rsidRDefault="00B00538" w14:paraId="6E32B92C" w14:textId="77777777">
      <w:pPr>
        <w:widowControl w:val="0"/>
        <w:tabs>
          <w:tab w:val="center" w:pos="284"/>
        </w:tabs>
        <w:ind w:left="266" w:hanging="266"/>
      </w:pPr>
    </w:p>
    <w:p w:rsidRPr="0015775A" w:rsidR="00B00538" w:rsidP="00AF2416" w:rsidRDefault="00B00538" w14:paraId="2AF6C7CB" w14:textId="77777777">
      <w:pPr>
        <w:numPr>
          <w:ilvl w:val="0"/>
          <w:numId w:val="24"/>
        </w:numPr>
        <w:ind w:left="426" w:hanging="426"/>
      </w:pPr>
      <w:r w:rsidRPr="0015775A">
        <w:t>poziva Komisijo, naj sprejme direktivo v podporo položaju neformalnih oskrbovalcev, saj jih ne evropska strategija oskrbe ne Direktiva (EU) 2019/1158 o usklajevanju poklicnega in zasebnega življenja ne podpirata dovolj;</w:t>
      </w:r>
    </w:p>
    <w:p w:rsidRPr="0015775A" w:rsidR="00B00538" w:rsidP="00AF2416" w:rsidRDefault="00B00538" w14:paraId="585B857F" w14:textId="77777777">
      <w:pPr>
        <w:numPr>
          <w:ilvl w:val="0"/>
          <w:numId w:val="24"/>
        </w:numPr>
        <w:ind w:left="426" w:hanging="426"/>
        <w:rPr>
          <w:color w:val="000000"/>
        </w:rPr>
      </w:pPr>
      <w:r w:rsidRPr="0015775A">
        <w:t xml:space="preserve">poziva države članice, naj sprejmejo politike, ki bodo spodbujale zagotavljanje in uporabo visokokakovostnih storitev dolgotrajne oskrbe v skupnosti, ter razpoložljivost nadomestne oskrbe </w:t>
      </w:r>
      <w:r w:rsidRPr="0015775A">
        <w:rPr>
          <w:color w:val="000000"/>
        </w:rPr>
        <w:t>in preventivne medicine za zaščito neformalnih oskrbovalcev, da bi obravnavale visoko tveganje njihove izgorelosti ter fizične in psihične preobremenjenosti;</w:t>
      </w:r>
    </w:p>
    <w:p w:rsidRPr="0015775A" w:rsidR="00B00538" w:rsidP="00AF2416" w:rsidRDefault="00B00538" w14:paraId="4A1D2F4E" w14:textId="77777777">
      <w:pPr>
        <w:numPr>
          <w:ilvl w:val="0"/>
          <w:numId w:val="24"/>
        </w:numPr>
        <w:ind w:left="426" w:hanging="426"/>
        <w:rPr>
          <w:color w:val="000000"/>
        </w:rPr>
      </w:pPr>
      <w:r w:rsidRPr="0015775A">
        <w:rPr>
          <w:color w:val="000000"/>
        </w:rPr>
        <w:t>poziva države članice, naj sprejmejo ustrezne ukrepe, da bo odločitev o sprejetju neformalne oskrbe lahko prostovoljna, da se odpravijo neenakosti med spoloma, da lahko neformalni oskrbovalci s prožnejšimi delovnimi pogoji ohranijo zaposlitev in plačilo ter zlahka ponovno vstopijo na trg dela, če so ga bili prisiljeni zapustiti;</w:t>
      </w:r>
    </w:p>
    <w:p w:rsidRPr="0015775A" w:rsidR="00B00538" w:rsidP="00AF2416" w:rsidRDefault="00B00538" w14:paraId="5CAC98D4" w14:textId="77777777">
      <w:pPr>
        <w:numPr>
          <w:ilvl w:val="0"/>
          <w:numId w:val="24"/>
        </w:numPr>
        <w:ind w:left="426" w:hanging="426"/>
        <w:rPr>
          <w:color w:val="000000"/>
        </w:rPr>
      </w:pPr>
      <w:r w:rsidRPr="0015775A">
        <w:rPr>
          <w:color w:val="000000"/>
        </w:rPr>
        <w:t>poziva k vključitvi družinskih oskrbovalcev v praznovanje mednarodnega dne oskrbe, da bi dobili vidno mesto v evropskem sistemu oskrbe;</w:t>
      </w:r>
    </w:p>
    <w:p w:rsidRPr="0015775A" w:rsidR="00B00538" w:rsidP="00AF2416" w:rsidRDefault="00B00538" w14:paraId="646FE085" w14:textId="77777777">
      <w:pPr>
        <w:widowControl w:val="0"/>
        <w:numPr>
          <w:ilvl w:val="0"/>
          <w:numId w:val="25"/>
        </w:numPr>
        <w:ind w:left="426" w:hanging="426"/>
      </w:pPr>
      <w:r w:rsidRPr="0015775A">
        <w:t>meni, da je razpoložljivost kvalitativnih in kvantitativnih podatkov o dejanskih življenjskih razmerah neformalnih oskrbovalcev zelo pomembna in poziva k sprejetju nadaljnjih raziskovalnih strategij.</w:t>
      </w:r>
    </w:p>
    <w:p w:rsidRPr="0015775A" w:rsidR="00B00538" w:rsidP="00AF2416" w:rsidRDefault="00B00538" w14:paraId="3305308C" w14:textId="77777777"/>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15775A" w:rsidR="00B00538" w:rsidTr="00B00538" w14:paraId="47015B17" w14:textId="77777777">
        <w:tc>
          <w:tcPr>
            <w:tcW w:w="1556" w:type="pct"/>
            <w:hideMark/>
          </w:tcPr>
          <w:p w:rsidRPr="0015775A" w:rsidR="00B00538" w:rsidP="00AF2416" w:rsidRDefault="00B00538" w14:paraId="692449B7" w14:textId="77777777">
            <w:pPr>
              <w:widowControl w:val="0"/>
              <w:rPr>
                <w:i/>
              </w:rPr>
            </w:pPr>
            <w:r w:rsidRPr="0015775A">
              <w:rPr>
                <w:b/>
                <w:i/>
              </w:rPr>
              <w:t>Kontaktna oseba</w:t>
            </w:r>
          </w:p>
        </w:tc>
        <w:tc>
          <w:tcPr>
            <w:tcW w:w="3444" w:type="pct"/>
            <w:hideMark/>
          </w:tcPr>
          <w:p w:rsidRPr="0015775A" w:rsidR="00B00538" w:rsidP="00AF2416" w:rsidRDefault="00B00538" w14:paraId="302CF009" w14:textId="77777777">
            <w:pPr>
              <w:widowControl w:val="0"/>
              <w:rPr>
                <w:i/>
              </w:rPr>
            </w:pPr>
            <w:r w:rsidRPr="0015775A">
              <w:rPr>
                <w:i/>
              </w:rPr>
              <w:t>Valeria ATZORI</w:t>
            </w:r>
          </w:p>
        </w:tc>
      </w:tr>
      <w:tr w:rsidRPr="0015775A" w:rsidR="00B00538" w:rsidTr="00B00538" w14:paraId="6DD08573" w14:textId="77777777">
        <w:tc>
          <w:tcPr>
            <w:tcW w:w="1556" w:type="pct"/>
            <w:hideMark/>
          </w:tcPr>
          <w:p w:rsidRPr="0015775A" w:rsidR="00B00538" w:rsidP="00AF2416" w:rsidRDefault="00B00538" w14:paraId="1A1068AF" w14:textId="77777777">
            <w:pPr>
              <w:widowControl w:val="0"/>
              <w:rPr>
                <w:i/>
              </w:rPr>
            </w:pPr>
            <w:r w:rsidRPr="0015775A">
              <w:rPr>
                <w:i/>
              </w:rPr>
              <w:t>Telefon</w:t>
            </w:r>
          </w:p>
        </w:tc>
        <w:tc>
          <w:tcPr>
            <w:tcW w:w="3444" w:type="pct"/>
            <w:hideMark/>
          </w:tcPr>
          <w:p w:rsidRPr="0015775A" w:rsidR="00B00538" w:rsidP="00AF2416" w:rsidRDefault="00B00538" w14:paraId="028CC790" w14:textId="77777777">
            <w:pPr>
              <w:widowControl w:val="0"/>
              <w:rPr>
                <w:i/>
              </w:rPr>
            </w:pPr>
            <w:r w:rsidRPr="0015775A">
              <w:rPr>
                <w:i/>
              </w:rPr>
              <w:t>+32 25468774</w:t>
            </w:r>
          </w:p>
        </w:tc>
      </w:tr>
      <w:tr w:rsidRPr="0015775A" w:rsidR="00B00538" w:rsidTr="00B00538" w14:paraId="1AD17DB3" w14:textId="77777777">
        <w:tc>
          <w:tcPr>
            <w:tcW w:w="1556" w:type="pct"/>
            <w:hideMark/>
          </w:tcPr>
          <w:p w:rsidRPr="0015775A" w:rsidR="00B00538" w:rsidP="00AF2416" w:rsidRDefault="00B00538" w14:paraId="739C7813" w14:textId="77777777">
            <w:pPr>
              <w:widowControl w:val="0"/>
              <w:rPr>
                <w:i/>
              </w:rPr>
            </w:pPr>
            <w:r w:rsidRPr="0015775A">
              <w:rPr>
                <w:i/>
              </w:rPr>
              <w:t>E-naslov</w:t>
            </w:r>
          </w:p>
        </w:tc>
        <w:tc>
          <w:tcPr>
            <w:tcW w:w="3444" w:type="pct"/>
            <w:hideMark/>
          </w:tcPr>
          <w:p w:rsidRPr="0015775A" w:rsidR="00B00538" w:rsidP="00AF2416" w:rsidRDefault="006E0B19" w14:paraId="54B76604" w14:textId="77777777">
            <w:pPr>
              <w:widowControl w:val="0"/>
              <w:rPr>
                <w:rStyle w:val="Hyperlink"/>
                <w:szCs w:val="20"/>
              </w:rPr>
            </w:pPr>
            <w:hyperlink w:history="1" r:id="rId25">
              <w:r w:rsidRPr="0015775A" w:rsidR="00B00538">
                <w:rPr>
                  <w:rStyle w:val="Hyperlink"/>
                  <w:i/>
                </w:rPr>
                <w:t>Valeria.Atzori@eesc.europa.eu</w:t>
              </w:r>
            </w:hyperlink>
          </w:p>
        </w:tc>
      </w:tr>
    </w:tbl>
    <w:p w:rsidRPr="0015775A" w:rsidR="002646B8" w:rsidP="00AF2416" w:rsidRDefault="002646B8" w14:paraId="5EA58BBC" w14:textId="77777777">
      <w:pPr>
        <w:suppressAutoHyphens/>
        <w:spacing w:line="259" w:lineRule="auto"/>
        <w:jc w:val="left"/>
        <w:rPr>
          <w:rFonts w:eastAsiaTheme="minorEastAsia"/>
        </w:rPr>
      </w:pPr>
      <w:r w:rsidRPr="0015775A">
        <w:br w:type="page"/>
      </w:r>
    </w:p>
    <w:p w:rsidRPr="0015775A" w:rsidR="00B00538" w:rsidP="00AF2416" w:rsidRDefault="006E0B19" w14:paraId="3B8BBDAE" w14:textId="77777777">
      <w:pPr>
        <w:numPr>
          <w:ilvl w:val="0"/>
          <w:numId w:val="4"/>
        </w:numPr>
        <w:suppressAutoHyphens/>
        <w:overflowPunct w:val="0"/>
        <w:autoSpaceDE w:val="0"/>
        <w:autoSpaceDN w:val="0"/>
        <w:adjustRightInd w:val="0"/>
        <w:ind w:hanging="567"/>
        <w:rPr>
          <w:rStyle w:val="Hyperlink"/>
          <w:b/>
          <w:bCs/>
          <w:i/>
          <w:iCs/>
          <w:sz w:val="28"/>
          <w:szCs w:val="28"/>
        </w:rPr>
      </w:pPr>
      <w:hyperlink w:history="1" r:id="rId26">
        <w:r w:rsidRPr="0015775A" w:rsidR="00B00538">
          <w:rPr>
            <w:rStyle w:val="Hyperlink"/>
            <w:b/>
            <w:i/>
            <w:sz w:val="28"/>
          </w:rPr>
          <w:t>Direktiva o pripravništvih in okrepljeni okvir za kakovost pripravništev</w:t>
        </w:r>
      </w:hyperlink>
    </w:p>
    <w:p w:rsidRPr="0015775A" w:rsidR="00B00538" w:rsidP="00AF2416" w:rsidRDefault="00B00538" w14:paraId="7AF8A149" w14:textId="77777777"/>
    <w:tbl>
      <w:tblPr>
        <w:tblStyle w:val="TableGrid"/>
        <w:tblW w:w="46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095"/>
      </w:tblGrid>
      <w:tr w:rsidRPr="0015775A" w:rsidR="00B00538" w:rsidTr="00B00538" w14:paraId="29B05045" w14:textId="77777777">
        <w:tc>
          <w:tcPr>
            <w:tcW w:w="1356" w:type="pct"/>
            <w:hideMark/>
          </w:tcPr>
          <w:p w:rsidRPr="0015775A" w:rsidR="00B00538" w:rsidP="00AF2416" w:rsidRDefault="00B00538" w14:paraId="2F506EFF" w14:textId="77777777">
            <w:pPr>
              <w:suppressAutoHyphens/>
              <w:ind w:left="-113"/>
              <w:rPr>
                <w:b/>
              </w:rPr>
            </w:pPr>
            <w:r w:rsidRPr="0015775A">
              <w:rPr>
                <w:b/>
                <w:bCs/>
              </w:rPr>
              <w:t>Poročevalka</w:t>
            </w:r>
          </w:p>
        </w:tc>
        <w:tc>
          <w:tcPr>
            <w:tcW w:w="3644" w:type="pct"/>
            <w:hideMark/>
          </w:tcPr>
          <w:p w:rsidRPr="0015775A" w:rsidR="00B00538" w:rsidP="00AF2416" w:rsidRDefault="00B00538" w14:paraId="3BBF01AE" w14:textId="77777777">
            <w:pPr>
              <w:tabs>
                <w:tab w:val="left" w:pos="4572"/>
              </w:tabs>
              <w:suppressAutoHyphens/>
              <w:ind w:left="-113" w:right="-823"/>
              <w:rPr>
                <w:szCs w:val="20"/>
              </w:rPr>
            </w:pPr>
            <w:r w:rsidRPr="0015775A">
              <w:t>Nicoletta MERLO (skupina delojemalcev – IT)</w:t>
            </w:r>
          </w:p>
        </w:tc>
      </w:tr>
      <w:tr w:rsidRPr="0015775A" w:rsidR="00B00538" w:rsidTr="00B00538" w14:paraId="58D820DB" w14:textId="77777777">
        <w:tc>
          <w:tcPr>
            <w:tcW w:w="5000" w:type="pct"/>
            <w:gridSpan w:val="2"/>
          </w:tcPr>
          <w:p w:rsidRPr="0015775A" w:rsidR="00B00538" w:rsidP="00AF2416" w:rsidRDefault="00B00538" w14:paraId="61641DCD" w14:textId="77777777">
            <w:pPr>
              <w:tabs>
                <w:tab w:val="left" w:pos="4572"/>
              </w:tabs>
              <w:suppressAutoHyphens/>
              <w:spacing w:line="240" w:lineRule="auto"/>
              <w:ind w:left="-113" w:right="-823"/>
              <w:rPr>
                <w:sz w:val="16"/>
                <w:szCs w:val="16"/>
              </w:rPr>
            </w:pPr>
          </w:p>
        </w:tc>
      </w:tr>
      <w:tr w:rsidRPr="0015775A" w:rsidR="00B00538" w:rsidTr="00B00538" w14:paraId="16EDD6B0" w14:textId="77777777">
        <w:trPr>
          <w:trHeight w:val="122"/>
        </w:trPr>
        <w:tc>
          <w:tcPr>
            <w:tcW w:w="1356" w:type="pct"/>
            <w:hideMark/>
          </w:tcPr>
          <w:p w:rsidRPr="0015775A" w:rsidR="00B00538" w:rsidP="00AF2416" w:rsidRDefault="00B00538" w14:paraId="6C043BA8" w14:textId="4CD10F3D">
            <w:pPr>
              <w:suppressAutoHyphens/>
              <w:ind w:left="-113"/>
              <w:rPr>
                <w:b/>
              </w:rPr>
            </w:pPr>
            <w:r w:rsidRPr="0015775A">
              <w:rPr>
                <w:b/>
              </w:rPr>
              <w:t>Referenčni dokument</w:t>
            </w:r>
            <w:r w:rsidRPr="0015775A" w:rsidR="008E042C">
              <w:rPr>
                <w:b/>
              </w:rPr>
              <w:t>i</w:t>
            </w:r>
          </w:p>
        </w:tc>
        <w:tc>
          <w:tcPr>
            <w:tcW w:w="3644" w:type="pct"/>
            <w:hideMark/>
          </w:tcPr>
          <w:p w:rsidRPr="0015775A" w:rsidR="001F0B3A" w:rsidP="00AF2416" w:rsidRDefault="001F0B3A" w14:paraId="550C0251" w14:textId="485644B8">
            <w:pPr>
              <w:tabs>
                <w:tab w:val="left" w:pos="4430"/>
              </w:tabs>
              <w:overflowPunct w:val="0"/>
              <w:autoSpaceDE w:val="0"/>
              <w:autoSpaceDN w:val="0"/>
              <w:adjustRightInd w:val="0"/>
              <w:ind w:left="-113" w:right="-823"/>
              <w:textAlignment w:val="baseline"/>
            </w:pPr>
            <w:r w:rsidRPr="0015775A">
              <w:rPr>
                <w:lang w:eastAsia="fr-BE"/>
              </w:rPr>
              <w:t>COM(2024) 132 final, COM(2024) 133 final</w:t>
            </w:r>
          </w:p>
          <w:p w:rsidRPr="0015775A" w:rsidR="00B00538" w:rsidP="00AF2416" w:rsidRDefault="00B00538" w14:paraId="79719F01" w14:textId="4BFA1BDE">
            <w:pPr>
              <w:tabs>
                <w:tab w:val="left" w:pos="4430"/>
              </w:tabs>
              <w:suppressAutoHyphens/>
              <w:ind w:left="-113" w:right="-823"/>
            </w:pPr>
            <w:r w:rsidRPr="0015775A">
              <w:t>EESC-2024-01418-00-00-AC</w:t>
            </w:r>
          </w:p>
        </w:tc>
      </w:tr>
    </w:tbl>
    <w:p w:rsidRPr="0015775A" w:rsidR="00B00538" w:rsidP="00AF2416" w:rsidRDefault="00B00538" w14:paraId="2121A44B" w14:textId="77777777">
      <w:pPr>
        <w:rPr>
          <w:szCs w:val="20"/>
        </w:rPr>
      </w:pPr>
    </w:p>
    <w:p w:rsidRPr="0015775A" w:rsidR="00B00538" w:rsidP="00AF2416" w:rsidRDefault="00B00538" w14:paraId="22A8A731" w14:textId="77777777">
      <w:pPr>
        <w:tabs>
          <w:tab w:val="center" w:pos="284"/>
        </w:tabs>
        <w:suppressAutoHyphens/>
        <w:ind w:left="266" w:hanging="266"/>
        <w:rPr>
          <w:b/>
        </w:rPr>
      </w:pPr>
      <w:r w:rsidRPr="0015775A">
        <w:rPr>
          <w:b/>
        </w:rPr>
        <w:t>Glavne točke</w:t>
      </w:r>
    </w:p>
    <w:p w:rsidRPr="0015775A" w:rsidR="00B00538" w:rsidP="00AF2416" w:rsidRDefault="00B00538" w14:paraId="3B22C364" w14:textId="77777777">
      <w:pPr>
        <w:rPr>
          <w:szCs w:val="20"/>
        </w:rPr>
      </w:pPr>
    </w:p>
    <w:p w:rsidRPr="0015775A" w:rsidR="00B00538" w:rsidP="00AF2416" w:rsidRDefault="00B00538" w14:paraId="3FAE9CD5" w14:textId="77777777">
      <w:pPr>
        <w:tabs>
          <w:tab w:val="center" w:pos="284"/>
        </w:tabs>
        <w:suppressAutoHyphens/>
        <w:ind w:left="266" w:hanging="266"/>
      </w:pPr>
      <w:r w:rsidRPr="0015775A">
        <w:t>EESO:</w:t>
      </w:r>
    </w:p>
    <w:p w:rsidRPr="0015775A" w:rsidR="00B00538" w:rsidP="00AF2416" w:rsidRDefault="00B00538" w14:paraId="28C3787D" w14:textId="77777777">
      <w:pPr>
        <w:rPr>
          <w:szCs w:val="20"/>
        </w:rPr>
      </w:pPr>
    </w:p>
    <w:p w:rsidRPr="0015775A" w:rsidR="00B00538" w:rsidP="00AF2416" w:rsidRDefault="00B00538" w14:paraId="6DF21678" w14:textId="77777777">
      <w:pPr>
        <w:numPr>
          <w:ilvl w:val="0"/>
          <w:numId w:val="23"/>
        </w:numPr>
        <w:tabs>
          <w:tab w:val="center" w:pos="0"/>
        </w:tabs>
        <w:suppressAutoHyphens/>
        <w:ind w:left="426" w:hanging="426"/>
      </w:pPr>
      <w:r w:rsidRPr="0015775A">
        <w:t xml:space="preserve">poudarja, da sta vajeništvo in pripravništvo različni praksi z različnimi cilji in predpisi; </w:t>
      </w:r>
    </w:p>
    <w:p w:rsidRPr="0015775A" w:rsidR="00B00538" w:rsidP="00AF2416" w:rsidRDefault="00B00538" w14:paraId="7B54E93C" w14:textId="77777777">
      <w:pPr>
        <w:numPr>
          <w:ilvl w:val="0"/>
          <w:numId w:val="23"/>
        </w:numPr>
        <w:tabs>
          <w:tab w:val="center" w:pos="0"/>
        </w:tabs>
        <w:suppressAutoHyphens/>
        <w:ind w:left="426" w:hanging="426"/>
      </w:pPr>
      <w:r w:rsidRPr="0015775A">
        <w:t>priporoča, naj se na podlagi opredelitev pojmov v členu 2 držav članic ne obvezuje, da pripravništva uvrstijo med delovna razmerja, če v skladu s predpisi držav članic ta delovna praksa ne spada v opredelitev „pripravnika“ iz direktive;</w:t>
      </w:r>
    </w:p>
    <w:p w:rsidRPr="0015775A" w:rsidR="00B00538" w:rsidP="00AF2416" w:rsidRDefault="00B00538" w14:paraId="03849584" w14:textId="77777777">
      <w:pPr>
        <w:numPr>
          <w:ilvl w:val="0"/>
          <w:numId w:val="23"/>
        </w:numPr>
        <w:tabs>
          <w:tab w:val="center" w:pos="0"/>
        </w:tabs>
        <w:suppressAutoHyphens/>
        <w:ind w:left="426" w:hanging="426"/>
      </w:pPr>
      <w:r w:rsidRPr="0015775A">
        <w:t>predlaga, da se v direktivo vključi seznam delovnih pogojev, za katere ni mogoče odstopanje, da se zagotovi boljša zaščita interesov pripravnikov in hkrati ohrani avtonomija socialnih partnerjev pri zakonskem urejanju pogojev pripravništva na odprtem trgu;</w:t>
      </w:r>
    </w:p>
    <w:p w:rsidRPr="0015775A" w:rsidR="00B00538" w:rsidP="00AF2416" w:rsidRDefault="00B00538" w14:paraId="1068A007" w14:textId="77777777">
      <w:pPr>
        <w:numPr>
          <w:ilvl w:val="0"/>
          <w:numId w:val="23"/>
        </w:numPr>
        <w:tabs>
          <w:tab w:val="center" w:pos="0"/>
        </w:tabs>
        <w:suppressAutoHyphens/>
        <w:ind w:left="426" w:hanging="426"/>
      </w:pPr>
      <w:r w:rsidRPr="0015775A">
        <w:t>poudarja ključno vlogo pristojnih organov v boju proti rednim delovnim razmerjem, ki so prikrita kot pripravništva, in priznava pomembno vlogo socialnih partnerjev v okviru teh prizadevanj;</w:t>
      </w:r>
    </w:p>
    <w:p w:rsidRPr="0015775A" w:rsidR="00B00538" w:rsidP="00AF2416" w:rsidRDefault="00B00538" w14:paraId="18CFF36E" w14:textId="77777777">
      <w:pPr>
        <w:numPr>
          <w:ilvl w:val="0"/>
          <w:numId w:val="23"/>
        </w:numPr>
        <w:tabs>
          <w:tab w:val="center" w:pos="0"/>
        </w:tabs>
        <w:suppressAutoHyphens/>
        <w:ind w:left="426" w:hanging="426"/>
      </w:pPr>
      <w:r w:rsidRPr="0015775A">
        <w:t>poziva k sprejetju določb, ki bodo predstavnikom delavcev vedno omogočale posredovanje za zaščito pripravnikov, tudi če pripravništvo ni delovno razmerje;</w:t>
      </w:r>
    </w:p>
    <w:p w:rsidRPr="0015775A" w:rsidR="00B00538" w:rsidP="00AF2416" w:rsidRDefault="00B00538" w14:paraId="7CBA6FFD" w14:textId="77777777">
      <w:pPr>
        <w:numPr>
          <w:ilvl w:val="0"/>
          <w:numId w:val="23"/>
        </w:numPr>
        <w:tabs>
          <w:tab w:val="center" w:pos="0"/>
        </w:tabs>
        <w:suppressAutoHyphens/>
        <w:ind w:left="426" w:hanging="426"/>
      </w:pPr>
      <w:r w:rsidRPr="0015775A">
        <w:t>priporoča opredelitev minimalnih meril kakovosti za vsako vrsto pripravništva po vsej EU, da se zagotovijo visoki standardi in skupni osnovni okvir v vseh državah članicah; poudarja pomen zbiranja podatkov in izmenjave dobrih nacionalnih praks za vsako vrsto pripravništva na ravni EU v okviru postopka pregleda in izvajanja;</w:t>
      </w:r>
    </w:p>
    <w:p w:rsidRPr="0015775A" w:rsidR="00B00538" w:rsidP="00AF2416" w:rsidRDefault="00B00538" w14:paraId="1767437C" w14:textId="77777777">
      <w:pPr>
        <w:numPr>
          <w:ilvl w:val="0"/>
          <w:numId w:val="23"/>
        </w:numPr>
        <w:tabs>
          <w:tab w:val="center" w:pos="0"/>
        </w:tabs>
        <w:suppressAutoHyphens/>
        <w:ind w:left="426" w:hanging="426"/>
      </w:pPr>
      <w:r w:rsidRPr="0015775A">
        <w:t>poudarja pomen pravičnega nadomestila, ki upošteva morebitne stroške udeležbe pri usposabljanju in s tem povezane življenjske potrebe.</w:t>
      </w:r>
    </w:p>
    <w:p w:rsidRPr="0015775A" w:rsidR="00B00538" w:rsidP="00AF2416" w:rsidRDefault="00B00538" w14:paraId="6F94A836" w14:textId="77777777"/>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15775A" w:rsidR="00B00538" w:rsidTr="00B00538" w14:paraId="62C1207A" w14:textId="77777777">
        <w:tc>
          <w:tcPr>
            <w:tcW w:w="1556" w:type="pct"/>
            <w:hideMark/>
          </w:tcPr>
          <w:p w:rsidRPr="0015775A" w:rsidR="00B00538" w:rsidP="00AF2416" w:rsidRDefault="00B00538" w14:paraId="35061A5A" w14:textId="77777777">
            <w:pPr>
              <w:suppressAutoHyphens/>
              <w:rPr>
                <w:i/>
              </w:rPr>
            </w:pPr>
            <w:r w:rsidRPr="0015775A">
              <w:rPr>
                <w:b/>
                <w:i/>
              </w:rPr>
              <w:t>Kontaktna oseba</w:t>
            </w:r>
          </w:p>
        </w:tc>
        <w:tc>
          <w:tcPr>
            <w:tcW w:w="3444" w:type="pct"/>
            <w:hideMark/>
          </w:tcPr>
          <w:p w:rsidRPr="0015775A" w:rsidR="00B00538" w:rsidP="00AF2416" w:rsidRDefault="00B00538" w14:paraId="462DB68D" w14:textId="77777777">
            <w:pPr>
              <w:suppressAutoHyphens/>
              <w:rPr>
                <w:i/>
              </w:rPr>
            </w:pPr>
            <w:r w:rsidRPr="0015775A">
              <w:rPr>
                <w:i/>
              </w:rPr>
              <w:t>Sabrina BORG</w:t>
            </w:r>
          </w:p>
        </w:tc>
      </w:tr>
      <w:tr w:rsidRPr="0015775A" w:rsidR="00B00538" w:rsidTr="00B00538" w14:paraId="4E3A3CFC" w14:textId="77777777">
        <w:tc>
          <w:tcPr>
            <w:tcW w:w="1556" w:type="pct"/>
            <w:hideMark/>
          </w:tcPr>
          <w:p w:rsidRPr="0015775A" w:rsidR="00B00538" w:rsidP="00AF2416" w:rsidRDefault="00B00538" w14:paraId="2607DFAF" w14:textId="77777777">
            <w:pPr>
              <w:suppressAutoHyphens/>
              <w:rPr>
                <w:i/>
              </w:rPr>
            </w:pPr>
            <w:r w:rsidRPr="0015775A">
              <w:rPr>
                <w:i/>
              </w:rPr>
              <w:t>Telefon</w:t>
            </w:r>
          </w:p>
        </w:tc>
        <w:tc>
          <w:tcPr>
            <w:tcW w:w="3444" w:type="pct"/>
            <w:hideMark/>
          </w:tcPr>
          <w:p w:rsidRPr="0015775A" w:rsidR="00B00538" w:rsidP="00AF2416" w:rsidRDefault="00B00538" w14:paraId="171CFD9D" w14:textId="77777777">
            <w:pPr>
              <w:suppressAutoHyphens/>
              <w:rPr>
                <w:i/>
              </w:rPr>
            </w:pPr>
            <w:r w:rsidRPr="0015775A">
              <w:rPr>
                <w:i/>
              </w:rPr>
              <w:t>+32 25469727</w:t>
            </w:r>
          </w:p>
        </w:tc>
      </w:tr>
      <w:tr w:rsidRPr="0015775A" w:rsidR="00B00538" w:rsidTr="00B00538" w14:paraId="1361CA1A" w14:textId="77777777">
        <w:tc>
          <w:tcPr>
            <w:tcW w:w="1556" w:type="pct"/>
            <w:hideMark/>
          </w:tcPr>
          <w:p w:rsidRPr="0015775A" w:rsidR="00B00538" w:rsidP="00AF2416" w:rsidRDefault="00B00538" w14:paraId="2B427E4B" w14:textId="77777777">
            <w:pPr>
              <w:suppressAutoHyphens/>
              <w:rPr>
                <w:i/>
              </w:rPr>
            </w:pPr>
            <w:r w:rsidRPr="0015775A">
              <w:rPr>
                <w:i/>
              </w:rPr>
              <w:t>E-naslov</w:t>
            </w:r>
          </w:p>
        </w:tc>
        <w:tc>
          <w:tcPr>
            <w:tcW w:w="3444" w:type="pct"/>
            <w:hideMark/>
          </w:tcPr>
          <w:p w:rsidRPr="0015775A" w:rsidR="00B00538" w:rsidP="00AF2416" w:rsidRDefault="006E0B19" w14:paraId="30F3C88E" w14:textId="77777777">
            <w:pPr>
              <w:suppressAutoHyphens/>
              <w:rPr>
                <w:rStyle w:val="Hyperlink"/>
                <w:szCs w:val="20"/>
              </w:rPr>
            </w:pPr>
            <w:hyperlink w:history="1" r:id="rId27">
              <w:r w:rsidRPr="0015775A" w:rsidR="00B00538">
                <w:rPr>
                  <w:rStyle w:val="Hyperlink"/>
                  <w:i/>
                </w:rPr>
                <w:t>Sabrina.Borg@eesc.europa.eu</w:t>
              </w:r>
            </w:hyperlink>
          </w:p>
        </w:tc>
      </w:tr>
    </w:tbl>
    <w:p w:rsidRPr="0015775A" w:rsidR="00C34921" w:rsidP="00AF2416" w:rsidRDefault="00C34921" w14:paraId="7C56FAB2" w14:textId="77777777">
      <w:pPr>
        <w:suppressAutoHyphens/>
        <w:spacing w:line="259" w:lineRule="auto"/>
        <w:jc w:val="left"/>
        <w:rPr>
          <w:rFonts w:eastAsiaTheme="minorEastAsia"/>
        </w:rPr>
      </w:pPr>
      <w:r w:rsidRPr="0015775A">
        <w:br w:type="page"/>
      </w:r>
    </w:p>
    <w:p w:rsidRPr="0015775A" w:rsidR="00DC26B9" w:rsidP="00AF2416" w:rsidRDefault="00DC26B9" w14:paraId="153FDF23" w14:textId="1FAF7220">
      <w:pPr>
        <w:pStyle w:val="Heading1"/>
        <w:tabs>
          <w:tab w:val="clear" w:pos="440"/>
          <w:tab w:val="left" w:pos="0"/>
        </w:tabs>
        <w:suppressAutoHyphens/>
        <w:spacing w:before="0"/>
        <w:ind w:left="567" w:hanging="567"/>
        <w:rPr>
          <w:b/>
          <w:bCs/>
          <w:color w:val="000000" w:themeColor="text1"/>
        </w:rPr>
      </w:pPr>
      <w:bookmarkStart w:name="_Toc172110321" w:id="7"/>
      <w:bookmarkStart w:name="_Hlk171938252" w:id="8"/>
      <w:r w:rsidRPr="0015775A">
        <w:rPr>
          <w:b/>
          <w:bCs/>
        </w:rPr>
        <w:lastRenderedPageBreak/>
        <w:t>ENOTNI TRG, PROIZVODNJA IN POTROŠNJA</w:t>
      </w:r>
      <w:bookmarkEnd w:id="7"/>
    </w:p>
    <w:p w:rsidRPr="0015775A" w:rsidR="00C34921" w:rsidP="00AF2416" w:rsidRDefault="006E0B19" w14:paraId="65737401" w14:textId="157C195D">
      <w:pPr>
        <w:pStyle w:val="TOC1"/>
        <w:suppressAutoHyphens/>
        <w:spacing w:before="0"/>
        <w:rPr>
          <w:rStyle w:val="Hyperlink"/>
          <w:b w:val="0"/>
          <w:noProof w:val="0"/>
          <w:color w:val="000000" w:themeColor="text1"/>
          <w:sz w:val="22"/>
          <w:szCs w:val="22"/>
          <w:u w:val="none"/>
        </w:rPr>
      </w:pPr>
      <w:hyperlink w:history="1" w:anchor="_Toc164353188"/>
    </w:p>
    <w:bookmarkEnd w:id="8"/>
    <w:p w:rsidRPr="0015775A" w:rsidR="005A3628" w:rsidP="00AF2416" w:rsidRDefault="001F0B3A" w14:paraId="7DAD39E9" w14:textId="0E1DE4AA">
      <w:pPr>
        <w:numPr>
          <w:ilvl w:val="0"/>
          <w:numId w:val="4"/>
        </w:numPr>
        <w:suppressAutoHyphens/>
        <w:overflowPunct w:val="0"/>
        <w:autoSpaceDE w:val="0"/>
        <w:autoSpaceDN w:val="0"/>
        <w:adjustRightInd w:val="0"/>
        <w:ind w:hanging="567"/>
        <w:rPr>
          <w:sz w:val="20"/>
        </w:rPr>
      </w:pPr>
      <w:r w:rsidRPr="0015775A">
        <w:rPr>
          <w:b/>
          <w:bCs/>
          <w:i/>
          <w:iCs/>
          <w:color w:val="0000FF"/>
          <w:sz w:val="28"/>
          <w:szCs w:val="28"/>
          <w:u w:val="single"/>
        </w:rPr>
        <w:t>Predlog priporočila Sveta o povečanju varnosti raziskav</w:t>
      </w:r>
    </w:p>
    <w:p w:rsidRPr="0015775A" w:rsidR="005A3628" w:rsidP="00AF2416" w:rsidRDefault="005A3628" w14:paraId="79939E92" w14:textId="77777777">
      <w:pPr>
        <w:suppressAutoHyphens/>
      </w:pPr>
    </w:p>
    <w:tbl>
      <w:tblPr>
        <w:tblStyle w:val="TableGrid"/>
        <w:tblW w:w="484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58"/>
        <w:gridCol w:w="6328"/>
      </w:tblGrid>
      <w:tr w:rsidRPr="0015775A" w:rsidR="005A3628" w:rsidTr="005A3628" w14:paraId="1B4A430C" w14:textId="77777777">
        <w:tc>
          <w:tcPr>
            <w:tcW w:w="1399" w:type="pct"/>
            <w:hideMark/>
          </w:tcPr>
          <w:p w:rsidRPr="0015775A" w:rsidR="005A3628" w:rsidP="00AF2416" w:rsidRDefault="005A3628" w14:paraId="2F373BDB" w14:textId="77777777">
            <w:pPr>
              <w:tabs>
                <w:tab w:val="center" w:pos="284"/>
              </w:tabs>
              <w:suppressAutoHyphens/>
              <w:ind w:left="266" w:hanging="266"/>
              <w:rPr>
                <w:b/>
              </w:rPr>
            </w:pPr>
            <w:r w:rsidRPr="0015775A">
              <w:rPr>
                <w:b/>
                <w:bCs/>
              </w:rPr>
              <w:t>Poročevalec</w:t>
            </w:r>
          </w:p>
        </w:tc>
        <w:tc>
          <w:tcPr>
            <w:tcW w:w="3601" w:type="pct"/>
            <w:hideMark/>
          </w:tcPr>
          <w:p w:rsidRPr="0015775A" w:rsidR="005A3628" w:rsidP="00AF2416" w:rsidRDefault="005A3628" w14:paraId="74FFFAED" w14:textId="77777777">
            <w:pPr>
              <w:tabs>
                <w:tab w:val="center" w:pos="284"/>
              </w:tabs>
              <w:suppressAutoHyphens/>
              <w:ind w:left="266" w:hanging="266"/>
              <w:rPr>
                <w:bCs/>
              </w:rPr>
            </w:pPr>
            <w:r w:rsidRPr="0015775A">
              <w:t>Stefano PALMIERI (skupina delojemalcev – IT)</w:t>
            </w:r>
          </w:p>
        </w:tc>
      </w:tr>
      <w:tr w:rsidRPr="0015775A" w:rsidR="005A3628" w:rsidTr="005A3628" w14:paraId="54B19A2C" w14:textId="77777777">
        <w:tc>
          <w:tcPr>
            <w:tcW w:w="5000" w:type="pct"/>
            <w:gridSpan w:val="2"/>
          </w:tcPr>
          <w:p w:rsidRPr="0015775A" w:rsidR="005A3628" w:rsidP="00AF2416" w:rsidRDefault="005A3628" w14:paraId="0AFADB09" w14:textId="77777777">
            <w:pPr>
              <w:tabs>
                <w:tab w:val="center" w:pos="284"/>
              </w:tabs>
              <w:suppressAutoHyphens/>
              <w:spacing w:line="240" w:lineRule="auto"/>
              <w:ind w:left="266" w:hanging="266"/>
              <w:rPr>
                <w:sz w:val="16"/>
                <w:szCs w:val="16"/>
              </w:rPr>
            </w:pPr>
          </w:p>
        </w:tc>
      </w:tr>
      <w:tr w:rsidRPr="0015775A" w:rsidR="00AF2416" w:rsidTr="00696BCD" w14:paraId="4C7CEA12" w14:textId="77777777">
        <w:trPr>
          <w:trHeight w:val="607"/>
        </w:trPr>
        <w:tc>
          <w:tcPr>
            <w:tcW w:w="1399" w:type="pct"/>
            <w:hideMark/>
          </w:tcPr>
          <w:p w:rsidRPr="0015775A" w:rsidR="00AF2416" w:rsidP="00AF2416" w:rsidRDefault="00AF2416" w14:paraId="3C7462C6" w14:textId="77777777">
            <w:pPr>
              <w:tabs>
                <w:tab w:val="center" w:pos="284"/>
              </w:tabs>
              <w:suppressAutoHyphens/>
              <w:ind w:left="266" w:hanging="266"/>
              <w:rPr>
                <w:b/>
              </w:rPr>
            </w:pPr>
            <w:r w:rsidRPr="0015775A">
              <w:rPr>
                <w:b/>
              </w:rPr>
              <w:t>Referenčna dokumenta</w:t>
            </w:r>
          </w:p>
        </w:tc>
        <w:tc>
          <w:tcPr>
            <w:tcW w:w="3601" w:type="pct"/>
            <w:hideMark/>
          </w:tcPr>
          <w:p w:rsidRPr="0015775A" w:rsidR="00AF2416" w:rsidP="00AF2416" w:rsidRDefault="00AF2416" w14:paraId="4ED37BA0" w14:textId="77777777">
            <w:pPr>
              <w:tabs>
                <w:tab w:val="center" w:pos="284"/>
              </w:tabs>
              <w:suppressAutoHyphens/>
              <w:ind w:left="266" w:hanging="266"/>
            </w:pPr>
            <w:r w:rsidRPr="0015775A">
              <w:t>COM(2024) 26 final</w:t>
            </w:r>
          </w:p>
          <w:p w:rsidRPr="0015775A" w:rsidR="00AF2416" w:rsidP="00AF2416" w:rsidRDefault="00AF2416" w14:paraId="57FE2922" w14:textId="223A843D">
            <w:pPr>
              <w:tabs>
                <w:tab w:val="center" w:pos="284"/>
              </w:tabs>
              <w:suppressAutoHyphens/>
              <w:ind w:left="266" w:hanging="266"/>
            </w:pPr>
            <w:r w:rsidRPr="0015775A">
              <w:t>EESC-2024-00827-00-00-AC</w:t>
            </w:r>
          </w:p>
        </w:tc>
      </w:tr>
    </w:tbl>
    <w:p w:rsidRPr="0015775A" w:rsidR="005A3628" w:rsidP="00AF2416" w:rsidRDefault="005A3628" w14:paraId="69CB958F" w14:textId="77777777">
      <w:pPr>
        <w:tabs>
          <w:tab w:val="center" w:pos="284"/>
        </w:tabs>
        <w:suppressAutoHyphens/>
        <w:ind w:left="266" w:hanging="266"/>
      </w:pPr>
    </w:p>
    <w:p w:rsidRPr="0015775A" w:rsidR="005A3628" w:rsidP="00AF2416" w:rsidRDefault="005A3628" w14:paraId="42356FAF" w14:textId="77777777">
      <w:pPr>
        <w:tabs>
          <w:tab w:val="center" w:pos="284"/>
        </w:tabs>
        <w:suppressAutoHyphens/>
        <w:ind w:left="266" w:hanging="266"/>
        <w:rPr>
          <w:b/>
        </w:rPr>
      </w:pPr>
      <w:r w:rsidRPr="0015775A">
        <w:rPr>
          <w:b/>
        </w:rPr>
        <w:t>Glavne točke</w:t>
      </w:r>
    </w:p>
    <w:p w:rsidRPr="0015775A" w:rsidR="005A3628" w:rsidP="00AF2416" w:rsidRDefault="005A3628" w14:paraId="170A5329" w14:textId="77777777">
      <w:pPr>
        <w:rPr>
          <w:szCs w:val="20"/>
        </w:rPr>
      </w:pPr>
    </w:p>
    <w:p w:rsidRPr="0015775A" w:rsidR="005A3628" w:rsidP="00AF2416" w:rsidRDefault="005A3628" w14:paraId="0225036C" w14:textId="5052C6B3">
      <w:pPr>
        <w:suppressAutoHyphens/>
      </w:pPr>
      <w:r w:rsidRPr="0015775A">
        <w:t>EESO:</w:t>
      </w:r>
    </w:p>
    <w:p w:rsidRPr="0015775A" w:rsidR="005A3628" w:rsidP="00AF2416" w:rsidRDefault="005A3628" w14:paraId="129DB1F3" w14:textId="77777777">
      <w:pPr>
        <w:suppressAutoHyphens/>
        <w:rPr>
          <w:bCs/>
          <w:iCs/>
        </w:rPr>
      </w:pPr>
    </w:p>
    <w:p w:rsidRPr="0015775A" w:rsidR="005A3628" w:rsidP="00AF2416" w:rsidRDefault="005A3628" w14:paraId="6100EA33" w14:textId="77777777">
      <w:pPr>
        <w:numPr>
          <w:ilvl w:val="0"/>
          <w:numId w:val="4"/>
        </w:numPr>
        <w:suppressAutoHyphens/>
        <w:overflowPunct w:val="0"/>
        <w:autoSpaceDE w:val="0"/>
        <w:autoSpaceDN w:val="0"/>
        <w:adjustRightInd w:val="0"/>
        <w:ind w:left="426" w:hanging="426"/>
        <w:rPr>
          <w:bCs/>
          <w:iCs/>
        </w:rPr>
      </w:pPr>
      <w:r w:rsidRPr="0015775A">
        <w:t>meni, da bi bilo treba vzpostaviti pravično ravnovesje med potrebo po varnosti in potrebo po ohranitvi mednarodne odprtosti sektorja raziskav in inovacij, saj se zaveda ranljivosti tega sektorja ob morebitnem zlonamernem vmešavanju državnih in nedržavnih akterjev v nekatere dejavnosti mednarodnega sodelovanja na področju raziskav in inovacij;</w:t>
      </w:r>
    </w:p>
    <w:p w:rsidRPr="0015775A" w:rsidR="005A3628" w:rsidP="00AF2416" w:rsidRDefault="005A3628" w14:paraId="7B25878F" w14:textId="77777777">
      <w:pPr>
        <w:numPr>
          <w:ilvl w:val="0"/>
          <w:numId w:val="4"/>
        </w:numPr>
        <w:suppressAutoHyphens/>
        <w:overflowPunct w:val="0"/>
        <w:autoSpaceDE w:val="0"/>
        <w:autoSpaceDN w:val="0"/>
        <w:adjustRightInd w:val="0"/>
        <w:ind w:left="426" w:hanging="426"/>
        <w:rPr>
          <w:bCs/>
          <w:iCs/>
        </w:rPr>
      </w:pPr>
      <w:r w:rsidRPr="0015775A">
        <w:t>meni, da varnostni ukrepi v okviru raziskav in inovacij nikoli ne smejo biti v nasprotju z uveljavljanjem popolne avtonomije in svobode raziskovanja;</w:t>
      </w:r>
    </w:p>
    <w:p w:rsidRPr="0015775A" w:rsidR="005A3628" w:rsidP="00AF2416" w:rsidRDefault="005A3628" w14:paraId="69CE7268" w14:textId="77777777">
      <w:pPr>
        <w:numPr>
          <w:ilvl w:val="0"/>
          <w:numId w:val="4"/>
        </w:numPr>
        <w:suppressAutoHyphens/>
        <w:overflowPunct w:val="0"/>
        <w:autoSpaceDE w:val="0"/>
        <w:autoSpaceDN w:val="0"/>
        <w:adjustRightInd w:val="0"/>
        <w:ind w:left="426" w:hanging="426"/>
        <w:rPr>
          <w:bCs/>
          <w:iCs/>
        </w:rPr>
      </w:pPr>
      <w:r w:rsidRPr="0015775A">
        <w:t>priporoča, da se načelo „svobode z odgovornostjo“ akterjev na področju raziskav in inovacij uveljavlja z uspešnim, učinkovitim in preglednim samoupravljanjem sektorja;</w:t>
      </w:r>
    </w:p>
    <w:p w:rsidRPr="0015775A" w:rsidR="005A3628" w:rsidP="00AF2416" w:rsidRDefault="005A3628" w14:paraId="3007EA8E" w14:textId="77777777">
      <w:pPr>
        <w:numPr>
          <w:ilvl w:val="0"/>
          <w:numId w:val="4"/>
        </w:numPr>
        <w:suppressAutoHyphens/>
        <w:overflowPunct w:val="0"/>
        <w:autoSpaceDE w:val="0"/>
        <w:autoSpaceDN w:val="0"/>
        <w:adjustRightInd w:val="0"/>
        <w:ind w:left="426" w:hanging="426"/>
        <w:rPr>
          <w:bCs/>
          <w:iCs/>
        </w:rPr>
      </w:pPr>
      <w:r w:rsidRPr="0015775A">
        <w:t>meni, da se cilj varnega mednarodnega sodelovanja na področju raziskav in inovacij nikoli ne sme sprevreči v diskriminatorno ali zlonamerno ravnanje z akterji na področju raziskav in inovacij ali biti v nasprotju s pravicami delavcev in ohranjanjem delovnih pogojev zaposlenih v sektorju raziskav in inovacij v EU;</w:t>
      </w:r>
    </w:p>
    <w:p w:rsidRPr="0015775A" w:rsidR="005A3628" w:rsidP="00AF2416" w:rsidRDefault="005A3628" w14:paraId="3ABE1D35" w14:textId="77777777">
      <w:pPr>
        <w:numPr>
          <w:ilvl w:val="0"/>
          <w:numId w:val="4"/>
        </w:numPr>
        <w:suppressAutoHyphens/>
        <w:overflowPunct w:val="0"/>
        <w:autoSpaceDE w:val="0"/>
        <w:autoSpaceDN w:val="0"/>
        <w:adjustRightInd w:val="0"/>
        <w:ind w:left="426" w:hanging="426"/>
        <w:rPr>
          <w:bCs/>
          <w:iCs/>
        </w:rPr>
      </w:pPr>
      <w:r w:rsidRPr="0015775A">
        <w:t>upa, da se bo v enotnem in usklajenem okviru v vseh državah članicah EU lahko do konca razvila avtonomija raziskav in inovacij;</w:t>
      </w:r>
    </w:p>
    <w:p w:rsidRPr="0015775A" w:rsidR="005A3628" w:rsidP="00AF2416" w:rsidRDefault="005A3628" w14:paraId="2A734901" w14:textId="77777777">
      <w:pPr>
        <w:numPr>
          <w:ilvl w:val="0"/>
          <w:numId w:val="4"/>
        </w:numPr>
        <w:suppressAutoHyphens/>
        <w:overflowPunct w:val="0"/>
        <w:autoSpaceDE w:val="0"/>
        <w:autoSpaceDN w:val="0"/>
        <w:adjustRightInd w:val="0"/>
        <w:ind w:left="426" w:hanging="426"/>
        <w:rPr>
          <w:bCs/>
          <w:iCs/>
        </w:rPr>
      </w:pPr>
      <w:r w:rsidRPr="0015775A">
        <w:t>poudarja, da je treba okrepiti zaščito intelektualne lastnine inovacij, ki lahko zagotavljajo nacionalno varnost ter razširiti pregled neposrednih tujih naložb na podjetja, ki so predmet združitev in prevzemov v desetih kritičnih sektorjih in proizvodnji blaga z dvojno rabo;</w:t>
      </w:r>
    </w:p>
    <w:p w:rsidRPr="0015775A" w:rsidR="005A3628" w:rsidP="00AF2416" w:rsidRDefault="005A3628" w14:paraId="23C48188" w14:textId="77777777">
      <w:pPr>
        <w:numPr>
          <w:ilvl w:val="0"/>
          <w:numId w:val="4"/>
        </w:numPr>
        <w:suppressAutoHyphens/>
        <w:overflowPunct w:val="0"/>
        <w:autoSpaceDE w:val="0"/>
        <w:autoSpaceDN w:val="0"/>
        <w:adjustRightInd w:val="0"/>
        <w:ind w:left="426" w:hanging="426"/>
        <w:rPr>
          <w:bCs/>
          <w:iCs/>
        </w:rPr>
      </w:pPr>
      <w:r w:rsidRPr="0015775A">
        <w:t>meni, da bi pomanjkanje bolj specifičnih smernic v priporočilu, s katerimi bi podprli dejavnosti akterjev raziskav in inovacij na področjih i) potrebne skrbnosti; ii) profiliranja tveganja in iii) priprave memorandumov o soglasju z mednarodnimi partnerskimi organizacijami, lahko naknadno odpravili s prihodnjim delom evropskega strokovnega centra za varnost raziskav;</w:t>
      </w:r>
    </w:p>
    <w:p w:rsidRPr="0015775A" w:rsidR="005A3628" w:rsidP="00AF2416" w:rsidRDefault="005A3628" w14:paraId="44AA13E6" w14:textId="77777777">
      <w:pPr>
        <w:numPr>
          <w:ilvl w:val="0"/>
          <w:numId w:val="4"/>
        </w:numPr>
        <w:suppressAutoHyphens/>
        <w:overflowPunct w:val="0"/>
        <w:autoSpaceDE w:val="0"/>
        <w:autoSpaceDN w:val="0"/>
        <w:adjustRightInd w:val="0"/>
        <w:ind w:left="426" w:hanging="426"/>
        <w:rPr>
          <w:bCs/>
          <w:iCs/>
        </w:rPr>
      </w:pPr>
      <w:r w:rsidRPr="0015775A">
        <w:t>upa, da bo evropski strokovni center za varnost raziskav opravljal funkcijo platforme za zbiranje in izmenjavo dokumentacije, v celoti spoštoval medsebojno preglednost ter organiziral usposabljanja in osvežitvene tečaje o varnosti raziskav.</w:t>
      </w:r>
    </w:p>
    <w:p w:rsidRPr="0015775A" w:rsidR="005A3628" w:rsidP="00AF2416" w:rsidRDefault="005A3628" w14:paraId="4BCA420F" w14:textId="77777777">
      <w:pPr>
        <w:rPr>
          <w:szCs w:val="20"/>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15775A" w:rsidR="005A3628" w:rsidTr="005A3628" w14:paraId="2DE2A7BB" w14:textId="77777777">
        <w:tc>
          <w:tcPr>
            <w:tcW w:w="1556" w:type="pct"/>
            <w:hideMark/>
          </w:tcPr>
          <w:p w:rsidRPr="0015775A" w:rsidR="005A3628" w:rsidP="00AF2416" w:rsidRDefault="005A3628" w14:paraId="29551BAF" w14:textId="77777777">
            <w:pPr>
              <w:suppressAutoHyphens/>
              <w:spacing w:line="240" w:lineRule="auto"/>
              <w:rPr>
                <w:i/>
              </w:rPr>
            </w:pPr>
            <w:r w:rsidRPr="0015775A">
              <w:rPr>
                <w:b/>
                <w:i/>
              </w:rPr>
              <w:t>Kontaktna oseba</w:t>
            </w:r>
          </w:p>
        </w:tc>
        <w:tc>
          <w:tcPr>
            <w:tcW w:w="3444" w:type="pct"/>
            <w:hideMark/>
          </w:tcPr>
          <w:p w:rsidRPr="0015775A" w:rsidR="005A3628" w:rsidP="00AF2416" w:rsidRDefault="005A3628" w14:paraId="4113C112" w14:textId="77777777">
            <w:pPr>
              <w:suppressAutoHyphens/>
              <w:spacing w:line="240" w:lineRule="auto"/>
              <w:rPr>
                <w:i/>
              </w:rPr>
            </w:pPr>
            <w:r w:rsidRPr="0015775A">
              <w:rPr>
                <w:i/>
              </w:rPr>
              <w:t>Marco MANFRONI</w:t>
            </w:r>
          </w:p>
        </w:tc>
      </w:tr>
      <w:tr w:rsidRPr="0015775A" w:rsidR="005A3628" w:rsidTr="005A3628" w14:paraId="2E526E1C" w14:textId="77777777">
        <w:tc>
          <w:tcPr>
            <w:tcW w:w="1556" w:type="pct"/>
            <w:hideMark/>
          </w:tcPr>
          <w:p w:rsidRPr="0015775A" w:rsidR="005A3628" w:rsidP="00AF2416" w:rsidRDefault="005A3628" w14:paraId="6B4982C1" w14:textId="77777777">
            <w:pPr>
              <w:suppressAutoHyphens/>
              <w:spacing w:line="240" w:lineRule="auto"/>
              <w:rPr>
                <w:i/>
              </w:rPr>
            </w:pPr>
            <w:r w:rsidRPr="0015775A">
              <w:rPr>
                <w:i/>
              </w:rPr>
              <w:t>Telefon</w:t>
            </w:r>
          </w:p>
        </w:tc>
        <w:tc>
          <w:tcPr>
            <w:tcW w:w="3444" w:type="pct"/>
            <w:hideMark/>
          </w:tcPr>
          <w:p w:rsidRPr="0015775A" w:rsidR="005A3628" w:rsidP="00AF2416" w:rsidRDefault="005A3628" w14:paraId="7E2A0D70" w14:textId="77777777">
            <w:pPr>
              <w:suppressAutoHyphens/>
              <w:spacing w:line="240" w:lineRule="auto"/>
              <w:rPr>
                <w:bCs/>
                <w:i/>
              </w:rPr>
            </w:pPr>
            <w:r w:rsidRPr="0015775A">
              <w:rPr>
                <w:i/>
              </w:rPr>
              <w:t>+32 25469140</w:t>
            </w:r>
          </w:p>
        </w:tc>
      </w:tr>
      <w:tr w:rsidRPr="0015775A" w:rsidR="005A3628" w:rsidTr="005A3628" w14:paraId="79C39969" w14:textId="77777777">
        <w:tc>
          <w:tcPr>
            <w:tcW w:w="1556" w:type="pct"/>
            <w:hideMark/>
          </w:tcPr>
          <w:p w:rsidRPr="0015775A" w:rsidR="005A3628" w:rsidP="00AF2416" w:rsidRDefault="005A3628" w14:paraId="2B56FBB8" w14:textId="77777777">
            <w:pPr>
              <w:suppressAutoHyphens/>
              <w:spacing w:line="240" w:lineRule="auto"/>
              <w:rPr>
                <w:i/>
              </w:rPr>
            </w:pPr>
            <w:r w:rsidRPr="0015775A">
              <w:rPr>
                <w:i/>
              </w:rPr>
              <w:t>E-naslov</w:t>
            </w:r>
          </w:p>
        </w:tc>
        <w:tc>
          <w:tcPr>
            <w:tcW w:w="3444" w:type="pct"/>
            <w:hideMark/>
          </w:tcPr>
          <w:p w:rsidRPr="0015775A" w:rsidR="005A3628" w:rsidP="00AF2416" w:rsidRDefault="006E0B19" w14:paraId="430389A0" w14:textId="77777777">
            <w:pPr>
              <w:suppressAutoHyphens/>
              <w:spacing w:line="240" w:lineRule="auto"/>
              <w:rPr>
                <w:i/>
              </w:rPr>
            </w:pPr>
            <w:hyperlink w:history="1" r:id="rId28">
              <w:r w:rsidRPr="0015775A" w:rsidR="005A3628">
                <w:rPr>
                  <w:rStyle w:val="Hyperlink"/>
                  <w:i/>
                </w:rPr>
                <w:t>Marco.Manfroni@eesc.europa.eu</w:t>
              </w:r>
            </w:hyperlink>
          </w:p>
        </w:tc>
      </w:tr>
    </w:tbl>
    <w:p w:rsidRPr="0015775A" w:rsidR="00DC26B9" w:rsidP="00AF2416" w:rsidRDefault="00DC26B9" w14:paraId="3806A840" w14:textId="77777777">
      <w:pPr>
        <w:suppressAutoHyphens/>
        <w:spacing w:line="259" w:lineRule="auto"/>
        <w:jc w:val="left"/>
        <w:rPr>
          <w:rFonts w:eastAsiaTheme="minorEastAsia"/>
        </w:rPr>
      </w:pPr>
      <w:r w:rsidRPr="0015775A">
        <w:br w:type="page"/>
      </w:r>
    </w:p>
    <w:p w:rsidRPr="0015775A" w:rsidR="006A7E31" w:rsidP="00AF2416" w:rsidRDefault="00520680" w14:paraId="295BACE7" w14:textId="677332D8">
      <w:pPr>
        <w:pStyle w:val="Heading1"/>
        <w:tabs>
          <w:tab w:val="clear" w:pos="440"/>
          <w:tab w:val="left" w:pos="0"/>
        </w:tabs>
        <w:spacing w:before="0"/>
        <w:ind w:left="567" w:hanging="567"/>
        <w:rPr>
          <w:b/>
          <w:bCs/>
        </w:rPr>
      </w:pPr>
      <w:bookmarkStart w:name="_Toc172110322" w:id="9"/>
      <w:bookmarkStart w:name="_Hlk171938165" w:id="10"/>
      <w:r w:rsidRPr="0015775A">
        <w:rPr>
          <w:b/>
          <w:bCs/>
        </w:rPr>
        <w:lastRenderedPageBreak/>
        <w:t>KMETIJSTVO, RAZVOJ PODEŽELJA IN OKOLJE</w:t>
      </w:r>
      <w:bookmarkEnd w:id="9"/>
    </w:p>
    <w:p w:rsidRPr="0015775A" w:rsidR="006A7E31" w:rsidP="00AF2416" w:rsidRDefault="006A7E31" w14:paraId="016FD202" w14:textId="77777777">
      <w:pPr>
        <w:suppressAutoHyphens/>
        <w:rPr>
          <w:rFonts w:eastAsiaTheme="minorEastAsia"/>
        </w:rPr>
      </w:pPr>
    </w:p>
    <w:p w:rsidRPr="0015775A" w:rsidR="00006828" w:rsidP="00AF2416" w:rsidRDefault="006E0B19" w14:paraId="20A65770" w14:textId="77777777">
      <w:pPr>
        <w:numPr>
          <w:ilvl w:val="0"/>
          <w:numId w:val="4"/>
        </w:numPr>
        <w:suppressAutoHyphens/>
        <w:overflowPunct w:val="0"/>
        <w:autoSpaceDE w:val="0"/>
        <w:autoSpaceDN w:val="0"/>
        <w:adjustRightInd w:val="0"/>
        <w:ind w:hanging="567"/>
        <w:rPr>
          <w:sz w:val="28"/>
          <w:szCs w:val="28"/>
        </w:rPr>
      </w:pPr>
      <w:hyperlink w:history="1" r:id="rId29">
        <w:r w:rsidRPr="0015775A" w:rsidR="00006828">
          <w:rPr>
            <w:rStyle w:val="Hyperlink"/>
            <w:b/>
            <w:i/>
            <w:sz w:val="28"/>
            <w:szCs w:val="28"/>
          </w:rPr>
          <w:t>Generalna komisija za ribištvo v Sredozemlju</w:t>
        </w:r>
      </w:hyperlink>
    </w:p>
    <w:p w:rsidRPr="0015775A" w:rsidR="00006828" w:rsidP="00AF2416" w:rsidRDefault="00006828" w14:paraId="287536A3" w14:textId="77777777">
      <w:pPr>
        <w:tabs>
          <w:tab w:val="center" w:pos="284"/>
        </w:tabs>
        <w:suppressAutoHyphens/>
        <w:ind w:left="266" w:hanging="266"/>
        <w:rPr>
          <w:bCs/>
        </w:rPr>
      </w:pPr>
    </w:p>
    <w:tbl>
      <w:tblPr>
        <w:tblStyle w:val="TableGrid"/>
        <w:tblW w:w="437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1"/>
        <w:gridCol w:w="5386"/>
      </w:tblGrid>
      <w:tr w:rsidRPr="0015775A" w:rsidR="00006828" w:rsidTr="00006828" w14:paraId="13611496" w14:textId="77777777">
        <w:tc>
          <w:tcPr>
            <w:tcW w:w="1607" w:type="pct"/>
            <w:vMerge w:val="restart"/>
            <w:hideMark/>
          </w:tcPr>
          <w:p w:rsidRPr="0015775A" w:rsidR="00006828" w:rsidP="00AF2416" w:rsidRDefault="00006828" w14:paraId="33BDC19D" w14:textId="77777777">
            <w:pPr>
              <w:tabs>
                <w:tab w:val="center" w:pos="284"/>
              </w:tabs>
              <w:suppressAutoHyphens/>
              <w:ind w:left="266" w:hanging="266"/>
              <w:rPr>
                <w:b/>
              </w:rPr>
            </w:pPr>
            <w:r w:rsidRPr="0015775A">
              <w:rPr>
                <w:b/>
              </w:rPr>
              <w:t>Referenčna dokumenta</w:t>
            </w:r>
          </w:p>
        </w:tc>
        <w:tc>
          <w:tcPr>
            <w:tcW w:w="3393" w:type="pct"/>
            <w:hideMark/>
          </w:tcPr>
          <w:p w:rsidRPr="0015775A" w:rsidR="00006828" w:rsidP="00AF2416" w:rsidRDefault="00006828" w14:paraId="11B978EF" w14:textId="77777777">
            <w:pPr>
              <w:tabs>
                <w:tab w:val="center" w:pos="284"/>
              </w:tabs>
              <w:suppressAutoHyphens/>
              <w:ind w:left="266" w:hanging="266"/>
            </w:pPr>
            <w:r w:rsidRPr="0015775A">
              <w:t>COM(2024) 183 final</w:t>
            </w:r>
          </w:p>
        </w:tc>
      </w:tr>
      <w:tr w:rsidRPr="0015775A" w:rsidR="00006828" w:rsidTr="00006828" w14:paraId="30F1AC38" w14:textId="77777777">
        <w:tc>
          <w:tcPr>
            <w:tcW w:w="0" w:type="auto"/>
            <w:vMerge/>
            <w:vAlign w:val="center"/>
            <w:hideMark/>
          </w:tcPr>
          <w:p w:rsidRPr="0015775A" w:rsidR="00006828" w:rsidP="00AF2416" w:rsidRDefault="00006828" w14:paraId="0E5F74F8" w14:textId="77777777">
            <w:pPr>
              <w:spacing w:line="240" w:lineRule="auto"/>
              <w:jc w:val="left"/>
              <w:rPr>
                <w:b/>
              </w:rPr>
            </w:pPr>
          </w:p>
        </w:tc>
        <w:tc>
          <w:tcPr>
            <w:tcW w:w="3393" w:type="pct"/>
            <w:hideMark/>
          </w:tcPr>
          <w:p w:rsidRPr="0015775A" w:rsidR="00006828" w:rsidP="00AF2416" w:rsidRDefault="00006828" w14:paraId="073AD020" w14:textId="77777777">
            <w:pPr>
              <w:tabs>
                <w:tab w:val="center" w:pos="284"/>
              </w:tabs>
              <w:suppressAutoHyphens/>
              <w:ind w:left="266" w:hanging="266"/>
            </w:pPr>
            <w:r w:rsidRPr="0015775A">
              <w:t>EESC-2024-02260-00-00-AC</w:t>
            </w:r>
          </w:p>
          <w:p w:rsidRPr="0015775A" w:rsidR="001F0B3A" w:rsidP="00AF2416" w:rsidRDefault="008E042C" w14:paraId="7F170397" w14:textId="0CC91DF7">
            <w:pPr>
              <w:tabs>
                <w:tab w:val="center" w:pos="284"/>
              </w:tabs>
              <w:suppressAutoHyphens/>
              <w:ind w:left="266" w:hanging="266"/>
            </w:pPr>
            <w:r w:rsidRPr="0015775A">
              <w:t>m</w:t>
            </w:r>
            <w:r w:rsidRPr="0015775A" w:rsidR="001F0B3A">
              <w:t>nenje kategorije C</w:t>
            </w:r>
          </w:p>
        </w:tc>
      </w:tr>
    </w:tbl>
    <w:p w:rsidRPr="0015775A" w:rsidR="00006828" w:rsidP="00AF2416" w:rsidRDefault="00006828" w14:paraId="4268BDA1" w14:textId="77777777">
      <w:pPr>
        <w:tabs>
          <w:tab w:val="center" w:pos="284"/>
        </w:tabs>
        <w:suppressAutoHyphens/>
        <w:ind w:left="266" w:hanging="266"/>
      </w:pPr>
    </w:p>
    <w:p w:rsidRPr="0015775A" w:rsidR="00006828" w:rsidP="00AF2416" w:rsidRDefault="00006828" w14:paraId="473FA8CC" w14:textId="77777777">
      <w:pPr>
        <w:tabs>
          <w:tab w:val="center" w:pos="284"/>
        </w:tabs>
        <w:suppressAutoHyphens/>
        <w:ind w:left="266" w:hanging="266"/>
        <w:rPr>
          <w:b/>
        </w:rPr>
      </w:pPr>
      <w:r w:rsidRPr="0015775A">
        <w:rPr>
          <w:b/>
        </w:rPr>
        <w:t>Glavne točke</w:t>
      </w:r>
    </w:p>
    <w:p w:rsidRPr="0015775A" w:rsidR="00006828" w:rsidP="00AF2416" w:rsidRDefault="00006828" w14:paraId="703B75BE" w14:textId="77777777">
      <w:pPr>
        <w:tabs>
          <w:tab w:val="center" w:pos="284"/>
        </w:tabs>
        <w:suppressAutoHyphens/>
        <w:ind w:left="266" w:hanging="266"/>
        <w:rPr>
          <w:bCs/>
        </w:rPr>
      </w:pPr>
    </w:p>
    <w:p w:rsidRPr="0015775A" w:rsidR="00006828" w:rsidP="00AF2416" w:rsidRDefault="00006828" w14:paraId="3420FFD9" w14:textId="77777777">
      <w:pPr>
        <w:suppressAutoHyphens/>
        <w:rPr>
          <w:bCs/>
          <w:iCs/>
        </w:rPr>
      </w:pPr>
      <w:r w:rsidRPr="0015775A">
        <w:t>EESO:</w:t>
      </w:r>
    </w:p>
    <w:p w:rsidRPr="0015775A" w:rsidR="00006828" w:rsidP="00AF2416" w:rsidRDefault="00006828" w14:paraId="7103EB31" w14:textId="77777777">
      <w:pPr>
        <w:suppressAutoHyphens/>
        <w:rPr>
          <w:bCs/>
          <w:iCs/>
        </w:rPr>
      </w:pPr>
    </w:p>
    <w:p w:rsidRPr="0015775A" w:rsidR="00006828" w:rsidP="00AF2416" w:rsidRDefault="00006828" w14:paraId="3E629BF4" w14:textId="77777777">
      <w:pPr>
        <w:numPr>
          <w:ilvl w:val="0"/>
          <w:numId w:val="4"/>
        </w:numPr>
        <w:suppressAutoHyphens/>
        <w:overflowPunct w:val="0"/>
        <w:autoSpaceDE w:val="0"/>
        <w:autoSpaceDN w:val="0"/>
        <w:adjustRightInd w:val="0"/>
        <w:ind w:left="426" w:hanging="426"/>
        <w:rPr>
          <w:bCs/>
          <w:iCs/>
        </w:rPr>
      </w:pPr>
      <w:r w:rsidRPr="0015775A">
        <w:t>se v celoti strinja z vsebino predloga in nima nobenih pripomb.</w:t>
      </w:r>
    </w:p>
    <w:p w:rsidRPr="0015775A" w:rsidR="00006828" w:rsidP="00AF2416" w:rsidRDefault="00006828" w14:paraId="6805C1DF" w14:textId="77777777">
      <w:pPr>
        <w:rPr>
          <w:szCs w:val="20"/>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15775A" w:rsidR="00006828" w:rsidTr="00006828" w14:paraId="6CF609B6" w14:textId="77777777">
        <w:tc>
          <w:tcPr>
            <w:tcW w:w="1556" w:type="pct"/>
            <w:hideMark/>
          </w:tcPr>
          <w:p w:rsidRPr="0015775A" w:rsidR="00006828" w:rsidP="00AF2416" w:rsidRDefault="00006828" w14:paraId="3FEB66DF" w14:textId="77777777">
            <w:pPr>
              <w:suppressAutoHyphens/>
              <w:ind w:hanging="110"/>
              <w:rPr>
                <w:i/>
              </w:rPr>
            </w:pPr>
            <w:r w:rsidRPr="0015775A">
              <w:rPr>
                <w:b/>
                <w:i/>
              </w:rPr>
              <w:t>Kontaktna oseba</w:t>
            </w:r>
          </w:p>
        </w:tc>
        <w:tc>
          <w:tcPr>
            <w:tcW w:w="3444" w:type="pct"/>
            <w:hideMark/>
          </w:tcPr>
          <w:p w:rsidRPr="0015775A" w:rsidR="00006828" w:rsidP="00AF2416" w:rsidRDefault="00006828" w14:paraId="44D65134" w14:textId="77777777">
            <w:pPr>
              <w:suppressAutoHyphens/>
              <w:rPr>
                <w:i/>
              </w:rPr>
            </w:pPr>
            <w:r w:rsidRPr="0015775A">
              <w:rPr>
                <w:i/>
              </w:rPr>
              <w:t>Martine DELANOY</w:t>
            </w:r>
          </w:p>
        </w:tc>
      </w:tr>
      <w:tr w:rsidRPr="0015775A" w:rsidR="00006828" w:rsidTr="00006828" w14:paraId="3514066E" w14:textId="77777777">
        <w:tc>
          <w:tcPr>
            <w:tcW w:w="1556" w:type="pct"/>
            <w:hideMark/>
          </w:tcPr>
          <w:p w:rsidRPr="0015775A" w:rsidR="00006828" w:rsidP="00AF2416" w:rsidRDefault="00006828" w14:paraId="35DF7272" w14:textId="77777777">
            <w:pPr>
              <w:suppressAutoHyphens/>
              <w:ind w:left="-110"/>
              <w:rPr>
                <w:i/>
              </w:rPr>
            </w:pPr>
            <w:r w:rsidRPr="0015775A">
              <w:rPr>
                <w:i/>
              </w:rPr>
              <w:t>Telefon</w:t>
            </w:r>
          </w:p>
        </w:tc>
        <w:tc>
          <w:tcPr>
            <w:tcW w:w="3444" w:type="pct"/>
            <w:hideMark/>
          </w:tcPr>
          <w:p w:rsidRPr="0015775A" w:rsidR="00006828" w:rsidP="00AF2416" w:rsidRDefault="00006828" w14:paraId="58364579" w14:textId="77777777">
            <w:pPr>
              <w:suppressAutoHyphens/>
              <w:rPr>
                <w:i/>
              </w:rPr>
            </w:pPr>
            <w:r w:rsidRPr="0015775A">
              <w:rPr>
                <w:i/>
              </w:rPr>
              <w:t>+32 25469802</w:t>
            </w:r>
          </w:p>
        </w:tc>
      </w:tr>
      <w:tr w:rsidRPr="0015775A" w:rsidR="00006828" w:rsidTr="00006828" w14:paraId="0D5E3A5A" w14:textId="77777777">
        <w:tc>
          <w:tcPr>
            <w:tcW w:w="1556" w:type="pct"/>
            <w:hideMark/>
          </w:tcPr>
          <w:p w:rsidRPr="0015775A" w:rsidR="00006828" w:rsidP="00AF2416" w:rsidRDefault="00006828" w14:paraId="5C476AC6" w14:textId="77777777">
            <w:pPr>
              <w:suppressAutoHyphens/>
              <w:ind w:hanging="110"/>
              <w:rPr>
                <w:i/>
              </w:rPr>
            </w:pPr>
            <w:r w:rsidRPr="0015775A">
              <w:rPr>
                <w:i/>
              </w:rPr>
              <w:t>E-naslov</w:t>
            </w:r>
          </w:p>
        </w:tc>
        <w:tc>
          <w:tcPr>
            <w:tcW w:w="3444" w:type="pct"/>
            <w:hideMark/>
          </w:tcPr>
          <w:p w:rsidRPr="0015775A" w:rsidR="00006828" w:rsidP="00AF2416" w:rsidRDefault="006E0B19" w14:paraId="3AD80C57" w14:textId="70C62477">
            <w:pPr>
              <w:suppressAutoHyphens/>
              <w:rPr>
                <w:i/>
              </w:rPr>
            </w:pPr>
            <w:hyperlink w:history="1" r:id="rId30">
              <w:r w:rsidRPr="0015775A" w:rsidR="00006828">
                <w:rPr>
                  <w:rStyle w:val="Hyperlink"/>
                  <w:i/>
                </w:rPr>
                <w:t>Martine.Delanoy@eesc.europa.eu</w:t>
              </w:r>
            </w:hyperlink>
          </w:p>
        </w:tc>
      </w:tr>
    </w:tbl>
    <w:p w:rsidRPr="0015775A" w:rsidR="00006828" w:rsidP="00AF2416" w:rsidRDefault="00006828" w14:paraId="72F152E1" w14:textId="77777777">
      <w:pPr>
        <w:suppressAutoHyphens/>
        <w:rPr>
          <w:szCs w:val="20"/>
        </w:rPr>
      </w:pPr>
    </w:p>
    <w:p w:rsidRPr="0015775A" w:rsidR="006A7E31" w:rsidP="00AF2416" w:rsidRDefault="006A7E31" w14:paraId="640EBCAF" w14:textId="77777777">
      <w:pPr>
        <w:suppressAutoHyphens/>
        <w:spacing w:line="259" w:lineRule="auto"/>
        <w:jc w:val="left"/>
        <w:rPr>
          <w:rFonts w:eastAsiaTheme="minorEastAsia"/>
        </w:rPr>
      </w:pPr>
      <w:r w:rsidRPr="0015775A">
        <w:br w:type="page"/>
      </w:r>
    </w:p>
    <w:p w:rsidRPr="0015775A" w:rsidR="00E634A0" w:rsidP="00AF2416" w:rsidRDefault="001F0B3A" w14:paraId="0EE387C3" w14:textId="45A9176C">
      <w:pPr>
        <w:numPr>
          <w:ilvl w:val="0"/>
          <w:numId w:val="4"/>
        </w:numPr>
        <w:suppressAutoHyphens/>
        <w:overflowPunct w:val="0"/>
        <w:autoSpaceDE w:val="0"/>
        <w:autoSpaceDN w:val="0"/>
        <w:adjustRightInd w:val="0"/>
        <w:spacing w:line="276" w:lineRule="auto"/>
        <w:ind w:hanging="567"/>
        <w:rPr>
          <w:b/>
          <w:bCs/>
          <w:color w:val="0000FF"/>
          <w:sz w:val="20"/>
          <w:u w:val="single"/>
        </w:rPr>
      </w:pPr>
      <w:bookmarkStart w:name="_Hlk171938874" w:id="11"/>
      <w:r w:rsidRPr="0015775A">
        <w:rPr>
          <w:b/>
          <w:bCs/>
          <w:i/>
          <w:iCs/>
          <w:color w:val="0000FF"/>
          <w:sz w:val="28"/>
          <w:szCs w:val="28"/>
          <w:u w:val="single"/>
        </w:rPr>
        <w:lastRenderedPageBreak/>
        <w:t>Kako zagotoviti socialno, okoljsko in ekonomsko trajnostnost agroživilskega sektorja EU v okviru prihodnje širitve</w:t>
      </w:r>
    </w:p>
    <w:p w:rsidRPr="0015775A" w:rsidR="00E634A0" w:rsidP="00AF2416" w:rsidRDefault="00E634A0" w14:paraId="49DC039B" w14:textId="77777777">
      <w:pPr>
        <w:suppressAutoHyphens/>
        <w:spacing w:line="240" w:lineRule="auto"/>
      </w:pPr>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7"/>
        <w:gridCol w:w="6379"/>
      </w:tblGrid>
      <w:tr w:rsidRPr="0015775A" w:rsidR="00E634A0" w:rsidTr="00E634A0" w14:paraId="6156B96F" w14:textId="77777777">
        <w:tc>
          <w:tcPr>
            <w:tcW w:w="1311" w:type="pct"/>
            <w:hideMark/>
          </w:tcPr>
          <w:p w:rsidRPr="0015775A" w:rsidR="00E634A0" w:rsidP="00AF2416" w:rsidRDefault="00E634A0" w14:paraId="18831AE4" w14:textId="77777777">
            <w:pPr>
              <w:tabs>
                <w:tab w:val="center" w:pos="284"/>
              </w:tabs>
              <w:suppressAutoHyphens/>
              <w:spacing w:line="276" w:lineRule="auto"/>
              <w:ind w:left="266" w:hanging="266"/>
              <w:rPr>
                <w:b/>
              </w:rPr>
            </w:pPr>
            <w:r w:rsidRPr="0015775A">
              <w:rPr>
                <w:b/>
              </w:rPr>
              <w:t>Poročevalec</w:t>
            </w:r>
          </w:p>
        </w:tc>
        <w:tc>
          <w:tcPr>
            <w:tcW w:w="3689" w:type="pct"/>
            <w:hideMark/>
          </w:tcPr>
          <w:p w:rsidRPr="0015775A" w:rsidR="00E634A0" w:rsidP="00AF2416" w:rsidRDefault="00E634A0" w14:paraId="78AB5E89" w14:textId="77777777">
            <w:pPr>
              <w:tabs>
                <w:tab w:val="center" w:pos="284"/>
              </w:tabs>
              <w:suppressAutoHyphens/>
              <w:spacing w:line="276" w:lineRule="auto"/>
              <w:ind w:left="266" w:hanging="266"/>
              <w:rPr>
                <w:bCs/>
              </w:rPr>
            </w:pPr>
            <w:r w:rsidRPr="0015775A">
              <w:t>Stoyan TCHOUKANOV (skupina organizacij civilne družbe – BG)</w:t>
            </w:r>
          </w:p>
        </w:tc>
      </w:tr>
      <w:tr w:rsidRPr="0015775A" w:rsidR="00E634A0" w:rsidTr="00E634A0" w14:paraId="533043A6" w14:textId="77777777">
        <w:tc>
          <w:tcPr>
            <w:tcW w:w="5000" w:type="pct"/>
            <w:gridSpan w:val="2"/>
          </w:tcPr>
          <w:p w:rsidRPr="0015775A" w:rsidR="00E634A0" w:rsidP="00AF2416" w:rsidRDefault="00E634A0" w14:paraId="5714C757" w14:textId="77777777">
            <w:pPr>
              <w:tabs>
                <w:tab w:val="center" w:pos="284"/>
              </w:tabs>
              <w:suppressAutoHyphens/>
              <w:spacing w:line="276" w:lineRule="auto"/>
              <w:ind w:left="266" w:hanging="266"/>
              <w:rPr>
                <w:sz w:val="16"/>
                <w:szCs w:val="16"/>
              </w:rPr>
            </w:pPr>
          </w:p>
        </w:tc>
      </w:tr>
      <w:tr w:rsidRPr="0015775A" w:rsidR="00E634A0" w:rsidTr="00E634A0" w14:paraId="5FB9DD35" w14:textId="77777777">
        <w:trPr>
          <w:trHeight w:val="172"/>
        </w:trPr>
        <w:tc>
          <w:tcPr>
            <w:tcW w:w="1311" w:type="pct"/>
            <w:hideMark/>
          </w:tcPr>
          <w:p w:rsidRPr="0015775A" w:rsidR="00E634A0" w:rsidP="00AF2416" w:rsidRDefault="00E634A0" w14:paraId="7DA0187C" w14:textId="77777777">
            <w:pPr>
              <w:tabs>
                <w:tab w:val="center" w:pos="284"/>
              </w:tabs>
              <w:suppressAutoHyphens/>
              <w:spacing w:line="276" w:lineRule="auto"/>
              <w:ind w:left="266" w:hanging="266"/>
              <w:rPr>
                <w:b/>
              </w:rPr>
            </w:pPr>
            <w:r w:rsidRPr="0015775A">
              <w:rPr>
                <w:b/>
              </w:rPr>
              <w:t>Referenčni dokument</w:t>
            </w:r>
          </w:p>
        </w:tc>
        <w:tc>
          <w:tcPr>
            <w:tcW w:w="3689" w:type="pct"/>
            <w:hideMark/>
          </w:tcPr>
          <w:p w:rsidRPr="0015775A" w:rsidR="001F0B3A" w:rsidP="00AF2416" w:rsidRDefault="008E042C" w14:paraId="45E717FB" w14:textId="1A8F3B7D">
            <w:pPr>
              <w:tabs>
                <w:tab w:val="center" w:pos="284"/>
              </w:tabs>
              <w:suppressAutoHyphens/>
              <w:spacing w:line="276" w:lineRule="auto"/>
              <w:ind w:left="266" w:hanging="266"/>
            </w:pPr>
            <w:r w:rsidRPr="0015775A">
              <w:t>r</w:t>
            </w:r>
            <w:r w:rsidRPr="0015775A" w:rsidR="001F0B3A">
              <w:t>aziskovalno mnenje na zaprosilo Evropske komisije</w:t>
            </w:r>
          </w:p>
          <w:p w:rsidRPr="0015775A" w:rsidR="00E634A0" w:rsidP="00AF2416" w:rsidRDefault="00E634A0" w14:paraId="01D83D72" w14:textId="6C604FED">
            <w:pPr>
              <w:tabs>
                <w:tab w:val="center" w:pos="284"/>
              </w:tabs>
              <w:suppressAutoHyphens/>
              <w:spacing w:line="276" w:lineRule="auto"/>
              <w:ind w:left="266" w:hanging="266"/>
            </w:pPr>
            <w:r w:rsidRPr="0015775A">
              <w:t>EESC-2024-01019-00-00-AC</w:t>
            </w:r>
          </w:p>
        </w:tc>
      </w:tr>
    </w:tbl>
    <w:p w:rsidRPr="0015775A" w:rsidR="00E634A0" w:rsidP="00AF2416" w:rsidRDefault="00E634A0" w14:paraId="78682D31" w14:textId="77777777">
      <w:pPr>
        <w:suppressAutoHyphens/>
        <w:spacing w:line="240" w:lineRule="auto"/>
        <w:rPr>
          <w:szCs w:val="20"/>
        </w:rPr>
      </w:pPr>
    </w:p>
    <w:p w:rsidRPr="0015775A" w:rsidR="00E634A0" w:rsidP="00AF2416" w:rsidRDefault="00E634A0" w14:paraId="4F9ABA12" w14:textId="77777777">
      <w:pPr>
        <w:tabs>
          <w:tab w:val="center" w:pos="284"/>
        </w:tabs>
        <w:suppressAutoHyphens/>
        <w:spacing w:line="276" w:lineRule="auto"/>
        <w:ind w:left="266" w:hanging="266"/>
        <w:rPr>
          <w:b/>
        </w:rPr>
      </w:pPr>
      <w:r w:rsidRPr="0015775A">
        <w:rPr>
          <w:b/>
        </w:rPr>
        <w:t>Glavne točke</w:t>
      </w:r>
    </w:p>
    <w:p w:rsidRPr="0015775A" w:rsidR="00E634A0" w:rsidP="00AF2416" w:rsidRDefault="00E634A0" w14:paraId="7DE11562" w14:textId="77777777">
      <w:pPr>
        <w:suppressAutoHyphens/>
        <w:spacing w:line="240" w:lineRule="auto"/>
        <w:rPr>
          <w:szCs w:val="20"/>
        </w:rPr>
      </w:pPr>
    </w:p>
    <w:p w:rsidRPr="0015775A" w:rsidR="00E634A0" w:rsidP="00AF2416" w:rsidRDefault="00E634A0" w14:paraId="3EFE506E" w14:textId="77777777">
      <w:pPr>
        <w:suppressAutoHyphens/>
        <w:spacing w:line="276" w:lineRule="auto"/>
        <w:rPr>
          <w:bCs/>
          <w:iCs/>
        </w:rPr>
      </w:pPr>
      <w:r w:rsidRPr="0015775A">
        <w:t>EESO:</w:t>
      </w:r>
    </w:p>
    <w:p w:rsidRPr="0015775A" w:rsidR="00E634A0" w:rsidP="00AF2416" w:rsidRDefault="00E634A0" w14:paraId="3581C2E8" w14:textId="77777777">
      <w:pPr>
        <w:numPr>
          <w:ilvl w:val="0"/>
          <w:numId w:val="4"/>
        </w:numPr>
        <w:suppressAutoHyphens/>
        <w:overflowPunct w:val="0"/>
        <w:autoSpaceDE w:val="0"/>
        <w:autoSpaceDN w:val="0"/>
        <w:adjustRightInd w:val="0"/>
        <w:spacing w:line="276" w:lineRule="auto"/>
        <w:ind w:left="426" w:hanging="426"/>
        <w:rPr>
          <w:bCs/>
          <w:iCs/>
        </w:rPr>
      </w:pPr>
      <w:r w:rsidRPr="0015775A">
        <w:t>poudarja, da se bo naslednja širitev od vseh prejšnjih sicer razlikovala zaradi izrednih trenutnih geopolitičnih razmer, vendar to ne bi smelo okrniti pripravljenosti držav kandidatk, pomena potrebnih zakonodajnih reform in spoštovanja temeljnih vrednot EU;</w:t>
      </w:r>
    </w:p>
    <w:p w:rsidRPr="0015775A" w:rsidR="00E634A0" w:rsidP="00AF2416" w:rsidRDefault="00E634A0" w14:paraId="4E1F0264" w14:textId="77777777">
      <w:pPr>
        <w:numPr>
          <w:ilvl w:val="0"/>
          <w:numId w:val="4"/>
        </w:numPr>
        <w:suppressAutoHyphens/>
        <w:overflowPunct w:val="0"/>
        <w:autoSpaceDE w:val="0"/>
        <w:autoSpaceDN w:val="0"/>
        <w:adjustRightInd w:val="0"/>
        <w:spacing w:line="276" w:lineRule="auto"/>
        <w:ind w:left="426" w:hanging="426"/>
        <w:rPr>
          <w:bCs/>
          <w:iCs/>
        </w:rPr>
      </w:pPr>
      <w:r w:rsidRPr="0015775A">
        <w:t>poudarja, da je zaradi vse večjih geopolitičnih napetosti zanesljivost oskrbe pri proizvodnji hrane v EU še toliko bolj pomembna in morajo imeti vse regije EU možnost, da tudi v prihodnje ohranijo kmetijsko proizvodnjo;</w:t>
      </w:r>
    </w:p>
    <w:p w:rsidRPr="0015775A" w:rsidR="00E634A0" w:rsidP="00AF2416" w:rsidRDefault="00E634A0" w14:paraId="16AB9471" w14:textId="77777777">
      <w:pPr>
        <w:numPr>
          <w:ilvl w:val="0"/>
          <w:numId w:val="4"/>
        </w:numPr>
        <w:suppressAutoHyphens/>
        <w:overflowPunct w:val="0"/>
        <w:autoSpaceDE w:val="0"/>
        <w:autoSpaceDN w:val="0"/>
        <w:adjustRightInd w:val="0"/>
        <w:spacing w:line="276" w:lineRule="auto"/>
        <w:ind w:left="426" w:hanging="426"/>
        <w:rPr>
          <w:bCs/>
          <w:iCs/>
        </w:rPr>
      </w:pPr>
      <w:r w:rsidRPr="0015775A">
        <w:t>poudarja, da je ta širitev priložnost za dodatno krepitev strateške avtonomije EU in nadaljnje zmanjšanje okoljskega odtisa sektorja, vendar se hkrati zaveda, da je prejšnja širitev imela mešane rezultate, saj je prinesla zmagovalce in poražence. Pri tem so šibka podeželska območja od tega procesa imela veliko manj koristi kot aglomeracije, male evropske kmetije pa izginjajo; zato poziva Evropsko komisijo in države članice kandidatke, naj upoštevajo in omejijo učinke širitve za morebitne poražence, pri čemer naj imajo posebej v mislih družinske kmetije ter mala in srednja agroživilska podjetja v EU in državah kandidatkah;</w:t>
      </w:r>
    </w:p>
    <w:p w:rsidRPr="0015775A" w:rsidR="00E634A0" w:rsidP="00AF2416" w:rsidRDefault="00E634A0" w14:paraId="4F6A6BEC" w14:textId="77777777">
      <w:pPr>
        <w:numPr>
          <w:ilvl w:val="0"/>
          <w:numId w:val="4"/>
        </w:numPr>
        <w:suppressAutoHyphens/>
        <w:overflowPunct w:val="0"/>
        <w:autoSpaceDE w:val="0"/>
        <w:autoSpaceDN w:val="0"/>
        <w:adjustRightInd w:val="0"/>
        <w:spacing w:line="276" w:lineRule="auto"/>
        <w:ind w:left="426" w:hanging="426"/>
        <w:rPr>
          <w:bCs/>
          <w:iCs/>
        </w:rPr>
      </w:pPr>
      <w:r w:rsidRPr="0015775A">
        <w:t>poudarja, da se bodo morale države kandidatke uskladiti s splošnimi cilji in vrednotami SKP, pred širitvijo pa se bo treba dogovoriti o potrebnih reformah te politike in finančnem okviru, ki je s tem povezan;</w:t>
      </w:r>
    </w:p>
    <w:p w:rsidRPr="0015775A" w:rsidR="00E634A0" w:rsidP="00AF2416" w:rsidRDefault="00E634A0" w14:paraId="40BB1167" w14:textId="77777777">
      <w:pPr>
        <w:numPr>
          <w:ilvl w:val="0"/>
          <w:numId w:val="4"/>
        </w:numPr>
        <w:suppressAutoHyphens/>
        <w:overflowPunct w:val="0"/>
        <w:autoSpaceDE w:val="0"/>
        <w:autoSpaceDN w:val="0"/>
        <w:adjustRightInd w:val="0"/>
        <w:spacing w:line="276" w:lineRule="auto"/>
        <w:ind w:left="426" w:hanging="426"/>
        <w:rPr>
          <w:bCs/>
          <w:iCs/>
        </w:rPr>
      </w:pPr>
      <w:r w:rsidRPr="0015775A">
        <w:t>priporoča, naj se v okviru SKP sedanja osnovna dohodkovna podpora, ki temelji na površini, postopno zamenja s finančnimi spodbudami za storitve, ki koristijo okolju in družbi, in plačili, ki se postopno znižujejo, obvezno omejitvijo ali povečanjem za prve hektarje za vse države članice; poziva, naj se kmetijske politike in politike razvoja podeželja še bolj usmerijo v lokalno gospodarstvo in naj se ta načela prenesejo na nove države kandidatke;</w:t>
      </w:r>
    </w:p>
    <w:p w:rsidRPr="0015775A" w:rsidR="00E634A0" w:rsidP="00AF2416" w:rsidRDefault="00E634A0" w14:paraId="63977FFF" w14:textId="77777777">
      <w:pPr>
        <w:numPr>
          <w:ilvl w:val="0"/>
          <w:numId w:val="4"/>
        </w:numPr>
        <w:suppressAutoHyphens/>
        <w:overflowPunct w:val="0"/>
        <w:autoSpaceDE w:val="0"/>
        <w:autoSpaceDN w:val="0"/>
        <w:adjustRightInd w:val="0"/>
        <w:spacing w:line="276" w:lineRule="auto"/>
        <w:ind w:left="426" w:hanging="426"/>
        <w:rPr>
          <w:bCs/>
          <w:iCs/>
          <w:spacing w:val="-4"/>
        </w:rPr>
      </w:pPr>
      <w:r w:rsidRPr="0015775A">
        <w:t>poziva k povečanju proračuna SKP, ki mora biti namenjeno ustrezni izravnavi negativnih učinkov na kmete v EU, pri čemer je treba upoštevati tudi morebitne socialne stroške. To pomeni, da morajo biti sedanje neto plačnice pripravljene, da bodo Evropski uniji v novem finančnem obdobju plačevale višji delež svojega bruto domačega proizvoda (BDP), saj bo širitev izvoznikom industrijskega blaga in storitev iz EU prinesla neto koristi, obenem pa bodo nižji proizvodni stroški nekaterih novih članic spodkopali cene v agroživilskem sektorju;</w:t>
      </w:r>
    </w:p>
    <w:p w:rsidRPr="0015775A" w:rsidR="00E634A0" w:rsidP="00AF2416" w:rsidRDefault="00E634A0" w14:paraId="461642D6" w14:textId="77777777">
      <w:pPr>
        <w:numPr>
          <w:ilvl w:val="0"/>
          <w:numId w:val="4"/>
        </w:numPr>
        <w:suppressAutoHyphens/>
        <w:overflowPunct w:val="0"/>
        <w:autoSpaceDE w:val="0"/>
        <w:autoSpaceDN w:val="0"/>
        <w:adjustRightInd w:val="0"/>
        <w:spacing w:line="276" w:lineRule="auto"/>
        <w:ind w:left="426" w:hanging="426"/>
        <w:rPr>
          <w:bCs/>
          <w:iCs/>
        </w:rPr>
      </w:pPr>
      <w:r w:rsidRPr="0015775A">
        <w:t>poudarja, da so potrebni podrobni in zanesljivi podatki, ter poziva Evropsko komisijo, naj pozorno spremlja kmetijsko proizvodnjo in potek reform, tudi kar zadeva špekulacije z zemljišči;</w:t>
      </w:r>
    </w:p>
    <w:p w:rsidRPr="0015775A" w:rsidR="00E634A0" w:rsidP="00AF2416" w:rsidRDefault="00E634A0" w14:paraId="5F0EE67B" w14:textId="77777777">
      <w:pPr>
        <w:numPr>
          <w:ilvl w:val="0"/>
          <w:numId w:val="4"/>
        </w:numPr>
        <w:suppressAutoHyphens/>
        <w:overflowPunct w:val="0"/>
        <w:autoSpaceDE w:val="0"/>
        <w:autoSpaceDN w:val="0"/>
        <w:adjustRightInd w:val="0"/>
        <w:spacing w:line="276" w:lineRule="auto"/>
        <w:ind w:left="426" w:hanging="426"/>
        <w:rPr>
          <w:bCs/>
          <w:iCs/>
        </w:rPr>
      </w:pPr>
      <w:r w:rsidRPr="0015775A">
        <w:t>ugotavlja, da se je proces povezovanja na nek način že začel, saj se trgi EU odpirajo kmetijskim proizvodom iz držav kandidatk. To bi lahko negativno vplivalo na države EU, čemur se je treba izogniti z jasnimi pravili, ki jih morajo države kandidatke upoštevati.</w:t>
      </w:r>
    </w:p>
    <w:p w:rsidRPr="0015775A" w:rsidR="00E634A0" w:rsidP="00AF2416" w:rsidRDefault="00E634A0" w14:paraId="43DF76F2" w14:textId="77777777">
      <w:pPr>
        <w:suppressAutoHyphens/>
        <w:spacing w:line="240" w:lineRule="auto"/>
        <w:jc w:val="left"/>
        <w:rPr>
          <w:szCs w:val="20"/>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15775A" w:rsidR="00E634A0" w:rsidTr="006E7A94" w14:paraId="1FC011FA" w14:textId="77777777">
        <w:tc>
          <w:tcPr>
            <w:tcW w:w="1556" w:type="pct"/>
            <w:hideMark/>
          </w:tcPr>
          <w:p w:rsidRPr="0015775A" w:rsidR="00E634A0" w:rsidP="00AF2416" w:rsidRDefault="00E634A0" w14:paraId="05633AB4" w14:textId="77777777">
            <w:pPr>
              <w:suppressAutoHyphens/>
              <w:spacing w:line="276" w:lineRule="auto"/>
              <w:rPr>
                <w:i/>
              </w:rPr>
            </w:pPr>
            <w:r w:rsidRPr="0015775A">
              <w:rPr>
                <w:b/>
                <w:i/>
              </w:rPr>
              <w:t>Kontaktna oseba</w:t>
            </w:r>
          </w:p>
        </w:tc>
        <w:tc>
          <w:tcPr>
            <w:tcW w:w="3444" w:type="pct"/>
            <w:hideMark/>
          </w:tcPr>
          <w:p w:rsidRPr="0015775A" w:rsidR="00E634A0" w:rsidP="00AF2416" w:rsidRDefault="00E634A0" w14:paraId="4ACFC4DC" w14:textId="77777777">
            <w:pPr>
              <w:suppressAutoHyphens/>
              <w:spacing w:line="276" w:lineRule="auto"/>
              <w:rPr>
                <w:i/>
              </w:rPr>
            </w:pPr>
            <w:r w:rsidRPr="0015775A">
              <w:rPr>
                <w:i/>
              </w:rPr>
              <w:t>Martine DELANOY</w:t>
            </w:r>
          </w:p>
        </w:tc>
      </w:tr>
      <w:tr w:rsidRPr="0015775A" w:rsidR="00E634A0" w:rsidTr="006E7A94" w14:paraId="76BDC175" w14:textId="77777777">
        <w:tc>
          <w:tcPr>
            <w:tcW w:w="1556" w:type="pct"/>
            <w:hideMark/>
          </w:tcPr>
          <w:p w:rsidRPr="0015775A" w:rsidR="00E634A0" w:rsidP="00AF2416" w:rsidRDefault="00E634A0" w14:paraId="267E666F" w14:textId="77777777">
            <w:pPr>
              <w:suppressAutoHyphens/>
              <w:spacing w:line="276" w:lineRule="auto"/>
              <w:rPr>
                <w:i/>
              </w:rPr>
            </w:pPr>
            <w:r w:rsidRPr="0015775A">
              <w:rPr>
                <w:i/>
              </w:rPr>
              <w:t>Telefon</w:t>
            </w:r>
          </w:p>
        </w:tc>
        <w:tc>
          <w:tcPr>
            <w:tcW w:w="3444" w:type="pct"/>
            <w:hideMark/>
          </w:tcPr>
          <w:p w:rsidRPr="0015775A" w:rsidR="00E634A0" w:rsidP="00AF2416" w:rsidRDefault="00E634A0" w14:paraId="5A2C7628" w14:textId="77777777">
            <w:pPr>
              <w:suppressAutoHyphens/>
              <w:spacing w:line="276" w:lineRule="auto"/>
              <w:rPr>
                <w:i/>
              </w:rPr>
            </w:pPr>
            <w:r w:rsidRPr="0015775A">
              <w:rPr>
                <w:i/>
              </w:rPr>
              <w:t>+32 25469802</w:t>
            </w:r>
          </w:p>
        </w:tc>
      </w:tr>
      <w:tr w:rsidRPr="0015775A" w:rsidR="00E634A0" w:rsidTr="006E7A94" w14:paraId="0ACD2136" w14:textId="77777777">
        <w:tc>
          <w:tcPr>
            <w:tcW w:w="1556" w:type="pct"/>
            <w:hideMark/>
          </w:tcPr>
          <w:p w:rsidRPr="0015775A" w:rsidR="00E634A0" w:rsidP="00AF2416" w:rsidRDefault="00E634A0" w14:paraId="68B3990B" w14:textId="77777777">
            <w:pPr>
              <w:suppressAutoHyphens/>
              <w:spacing w:line="276" w:lineRule="auto"/>
              <w:rPr>
                <w:i/>
              </w:rPr>
            </w:pPr>
            <w:r w:rsidRPr="0015775A">
              <w:rPr>
                <w:i/>
              </w:rPr>
              <w:t>E-naslov</w:t>
            </w:r>
          </w:p>
        </w:tc>
        <w:tc>
          <w:tcPr>
            <w:tcW w:w="3444" w:type="pct"/>
            <w:hideMark/>
          </w:tcPr>
          <w:p w:rsidRPr="0015775A" w:rsidR="00E634A0" w:rsidP="00AF2416" w:rsidRDefault="006E0B19" w14:paraId="4D03186E" w14:textId="77777777">
            <w:pPr>
              <w:suppressAutoHyphens/>
              <w:spacing w:line="276" w:lineRule="auto"/>
              <w:rPr>
                <w:i/>
              </w:rPr>
            </w:pPr>
            <w:hyperlink w:history="1" r:id="rId31">
              <w:r w:rsidRPr="0015775A" w:rsidR="00E634A0">
                <w:rPr>
                  <w:rStyle w:val="Hyperlink"/>
                  <w:i/>
                </w:rPr>
                <w:t>Martine.Delanoy@eesc.europa.eu</w:t>
              </w:r>
            </w:hyperlink>
          </w:p>
        </w:tc>
      </w:tr>
    </w:tbl>
    <w:p w:rsidRPr="0015775A" w:rsidR="00E634A0" w:rsidP="00AF2416" w:rsidRDefault="00E634A0" w14:paraId="59ACD53F" w14:textId="6EE303B1">
      <w:pPr>
        <w:spacing w:line="259" w:lineRule="auto"/>
        <w:jc w:val="left"/>
        <w:rPr>
          <w:szCs w:val="20"/>
        </w:rPr>
      </w:pPr>
      <w:r w:rsidRPr="0015775A">
        <w:rPr>
          <w:szCs w:val="20"/>
        </w:rPr>
        <w:br w:type="page"/>
      </w:r>
    </w:p>
    <w:p w:rsidRPr="0015775A" w:rsidR="00520680" w:rsidP="00AF2416" w:rsidRDefault="006A7E31" w14:paraId="3600B088" w14:textId="293D1F82">
      <w:pPr>
        <w:pStyle w:val="Heading1"/>
        <w:tabs>
          <w:tab w:val="clear" w:pos="440"/>
          <w:tab w:val="left" w:pos="0"/>
        </w:tabs>
        <w:spacing w:before="0"/>
        <w:ind w:left="567" w:hanging="567"/>
        <w:rPr>
          <w:b/>
          <w:bCs/>
        </w:rPr>
      </w:pPr>
      <w:bookmarkStart w:name="_Toc172110323" w:id="12"/>
      <w:r w:rsidRPr="0015775A">
        <w:rPr>
          <w:b/>
          <w:bCs/>
        </w:rPr>
        <w:lastRenderedPageBreak/>
        <w:t>ZUNANJI ODNOSI</w:t>
      </w:r>
      <w:bookmarkEnd w:id="10"/>
      <w:bookmarkEnd w:id="11"/>
      <w:bookmarkEnd w:id="12"/>
    </w:p>
    <w:p w:rsidRPr="0015775A" w:rsidR="006A7E31" w:rsidP="00AF2416" w:rsidRDefault="006A7E31" w14:paraId="7F857315" w14:textId="77777777">
      <w:pPr>
        <w:suppressAutoHyphens/>
      </w:pPr>
    </w:p>
    <w:p w:rsidRPr="0015775A" w:rsidR="00960451" w:rsidP="00AF2416" w:rsidRDefault="006E0B19" w14:paraId="14D70EBE" w14:textId="77777777">
      <w:pPr>
        <w:numPr>
          <w:ilvl w:val="0"/>
          <w:numId w:val="26"/>
        </w:numPr>
        <w:suppressAutoHyphens/>
        <w:overflowPunct w:val="0"/>
        <w:autoSpaceDE w:val="0"/>
        <w:autoSpaceDN w:val="0"/>
        <w:adjustRightInd w:val="0"/>
        <w:ind w:left="567" w:hanging="567"/>
        <w:jc w:val="left"/>
        <w:textAlignment w:val="baseline"/>
        <w:rPr>
          <w:sz w:val="20"/>
        </w:rPr>
      </w:pPr>
      <w:hyperlink w:history="1" r:id="rId32">
        <w:r w:rsidRPr="0015775A" w:rsidR="00960451">
          <w:rPr>
            <w:rStyle w:val="Hyperlink"/>
            <w:b/>
            <w:i/>
            <w:sz w:val="28"/>
          </w:rPr>
          <w:t>Pregled tujih naložb v Uniji</w:t>
        </w:r>
      </w:hyperlink>
    </w:p>
    <w:p w:rsidRPr="0015775A" w:rsidR="00960451" w:rsidP="00AF2416" w:rsidRDefault="00960451" w14:paraId="195D5A7B" w14:textId="77777777">
      <w:pPr>
        <w:suppressAutoHyphens/>
        <w:jc w:val="left"/>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38"/>
        <w:gridCol w:w="6433"/>
      </w:tblGrid>
      <w:tr w:rsidRPr="0015775A" w:rsidR="00960451" w:rsidTr="00960451" w14:paraId="1FD7C8FD" w14:textId="77777777">
        <w:trPr>
          <w:trHeight w:val="330"/>
        </w:trPr>
        <w:tc>
          <w:tcPr>
            <w:tcW w:w="2660" w:type="dxa"/>
            <w:hideMark/>
          </w:tcPr>
          <w:p w:rsidRPr="0015775A" w:rsidR="00960451" w:rsidP="00AF2416" w:rsidRDefault="00960451" w14:paraId="2D64D0CA" w14:textId="77777777">
            <w:pPr>
              <w:tabs>
                <w:tab w:val="center" w:pos="284"/>
              </w:tabs>
              <w:suppressAutoHyphens/>
              <w:rPr>
                <w:b/>
              </w:rPr>
            </w:pPr>
            <w:r w:rsidRPr="0015775A">
              <w:rPr>
                <w:b/>
              </w:rPr>
              <w:t>Poročevalec</w:t>
            </w:r>
          </w:p>
        </w:tc>
        <w:tc>
          <w:tcPr>
            <w:tcW w:w="6520" w:type="dxa"/>
            <w:hideMark/>
          </w:tcPr>
          <w:p w:rsidRPr="0015775A" w:rsidR="00960451" w:rsidP="00AF2416" w:rsidRDefault="00960451" w14:paraId="0FAAA064" w14:textId="77777777">
            <w:pPr>
              <w:tabs>
                <w:tab w:val="center" w:pos="2585"/>
              </w:tabs>
              <w:suppressAutoHyphens/>
              <w:jc w:val="left"/>
            </w:pPr>
            <w:r w:rsidRPr="0015775A">
              <w:t>Javier DOZ ORRIT (skupina delojemalcev – ES)</w:t>
            </w:r>
          </w:p>
        </w:tc>
      </w:tr>
      <w:tr w:rsidRPr="0015775A" w:rsidR="00960451" w:rsidTr="00960451" w14:paraId="085C2792" w14:textId="77777777">
        <w:trPr>
          <w:trHeight w:val="70"/>
        </w:trPr>
        <w:tc>
          <w:tcPr>
            <w:tcW w:w="9180" w:type="dxa"/>
            <w:gridSpan w:val="2"/>
          </w:tcPr>
          <w:p w:rsidRPr="0015775A" w:rsidR="00960451" w:rsidP="00AF2416" w:rsidRDefault="00960451" w14:paraId="34464F47" w14:textId="77777777">
            <w:pPr>
              <w:spacing w:line="240" w:lineRule="auto"/>
              <w:rPr>
                <w:sz w:val="16"/>
                <w:szCs w:val="16"/>
              </w:rPr>
            </w:pPr>
          </w:p>
        </w:tc>
      </w:tr>
      <w:tr w:rsidRPr="0015775A" w:rsidR="00960451" w:rsidTr="00960451" w14:paraId="246CD63B" w14:textId="77777777">
        <w:tc>
          <w:tcPr>
            <w:tcW w:w="2660" w:type="dxa"/>
            <w:hideMark/>
          </w:tcPr>
          <w:p w:rsidRPr="0015775A" w:rsidR="00960451" w:rsidP="00AF2416" w:rsidRDefault="00960451" w14:paraId="5266B82C" w14:textId="77777777">
            <w:pPr>
              <w:tabs>
                <w:tab w:val="center" w:pos="284"/>
              </w:tabs>
              <w:suppressAutoHyphens/>
              <w:rPr>
                <w:b/>
              </w:rPr>
            </w:pPr>
            <w:r w:rsidRPr="0015775A">
              <w:rPr>
                <w:b/>
              </w:rPr>
              <w:t>Referenčni dokument</w:t>
            </w:r>
          </w:p>
        </w:tc>
        <w:tc>
          <w:tcPr>
            <w:tcW w:w="6520" w:type="dxa"/>
            <w:hideMark/>
          </w:tcPr>
          <w:p w:rsidRPr="0015775A" w:rsidR="001F0B3A" w:rsidP="00AF2416" w:rsidRDefault="001F0B3A" w14:paraId="698989DF" w14:textId="5C7B146A">
            <w:pPr>
              <w:tabs>
                <w:tab w:val="center" w:pos="284"/>
              </w:tabs>
              <w:suppressAutoHyphens/>
              <w:ind w:hanging="2"/>
            </w:pPr>
            <w:r w:rsidRPr="0015775A">
              <w:t>COM(2024) 23 final</w:t>
            </w:r>
          </w:p>
          <w:p w:rsidRPr="0015775A" w:rsidR="00960451" w:rsidP="00AF2416" w:rsidRDefault="00960451" w14:paraId="49B4494C" w14:textId="6BFCE998">
            <w:pPr>
              <w:tabs>
                <w:tab w:val="center" w:pos="284"/>
              </w:tabs>
              <w:suppressAutoHyphens/>
              <w:ind w:hanging="2"/>
            </w:pPr>
            <w:r w:rsidRPr="0015775A">
              <w:t>EESC-2024-01434-00-02-AC</w:t>
            </w:r>
          </w:p>
        </w:tc>
      </w:tr>
    </w:tbl>
    <w:p w:rsidRPr="0015775A" w:rsidR="00960451" w:rsidP="00AF2416" w:rsidRDefault="00960451" w14:paraId="7E63654E" w14:textId="77777777">
      <w:pPr>
        <w:spacing w:line="240" w:lineRule="auto"/>
        <w:rPr>
          <w:bCs/>
        </w:rPr>
      </w:pPr>
    </w:p>
    <w:p w:rsidRPr="0015775A" w:rsidR="00960451" w:rsidP="00AF2416" w:rsidRDefault="00960451" w14:paraId="4632534D" w14:textId="77777777">
      <w:pPr>
        <w:tabs>
          <w:tab w:val="center" w:pos="0"/>
        </w:tabs>
        <w:suppressAutoHyphens/>
        <w:rPr>
          <w:b/>
        </w:rPr>
      </w:pPr>
      <w:r w:rsidRPr="0015775A">
        <w:rPr>
          <w:b/>
        </w:rPr>
        <w:t>Glavne točke</w:t>
      </w:r>
    </w:p>
    <w:p w:rsidRPr="0015775A" w:rsidR="00960451" w:rsidP="00AF2416" w:rsidRDefault="00960451" w14:paraId="13B29574" w14:textId="77777777">
      <w:pPr>
        <w:spacing w:line="240" w:lineRule="auto"/>
        <w:rPr>
          <w:bCs/>
        </w:rPr>
      </w:pPr>
    </w:p>
    <w:p w:rsidRPr="0015775A" w:rsidR="00960451" w:rsidP="00AF2416" w:rsidRDefault="00960451" w14:paraId="451C4CDF" w14:textId="77777777">
      <w:pPr>
        <w:suppressAutoHyphens/>
      </w:pPr>
      <w:r w:rsidRPr="0015775A">
        <w:t>EESO:</w:t>
      </w:r>
    </w:p>
    <w:p w:rsidRPr="0015775A" w:rsidR="00960451" w:rsidP="00AF2416" w:rsidRDefault="00960451" w14:paraId="69BDD6A9" w14:textId="77777777">
      <w:pPr>
        <w:suppressAutoHyphens/>
        <w:rPr>
          <w:bCs/>
          <w:iCs/>
        </w:rPr>
      </w:pPr>
    </w:p>
    <w:p w:rsidRPr="0015775A" w:rsidR="00960451" w:rsidP="00AF2416" w:rsidRDefault="00960451" w14:paraId="32E0EE75" w14:textId="77777777">
      <w:pPr>
        <w:numPr>
          <w:ilvl w:val="0"/>
          <w:numId w:val="26"/>
        </w:numPr>
        <w:suppressAutoHyphens/>
        <w:overflowPunct w:val="0"/>
        <w:autoSpaceDE w:val="0"/>
        <w:autoSpaceDN w:val="0"/>
        <w:adjustRightInd w:val="0"/>
        <w:ind w:left="284" w:hanging="284"/>
        <w:textAlignment w:val="baseline"/>
      </w:pPr>
      <w:r w:rsidRPr="0015775A">
        <w:t>pozdravlja predlagano uredbo kot korak v pravo smer, ki krepi mehanizme pregleda neposrednih tujih naložb v EU. Namen uredbe je uskladiti nacionalne postopke in okrepiti mehanizem EU za sodelovanje, da se zagotovi javni nadzor nad kritičnimi sektorji in programi;</w:t>
      </w:r>
    </w:p>
    <w:p w:rsidRPr="0015775A" w:rsidR="00960451" w:rsidP="00AF2416" w:rsidRDefault="00960451" w14:paraId="7A28C8E8" w14:textId="77777777">
      <w:pPr>
        <w:numPr>
          <w:ilvl w:val="0"/>
          <w:numId w:val="26"/>
        </w:numPr>
        <w:suppressAutoHyphens/>
        <w:overflowPunct w:val="0"/>
        <w:autoSpaceDE w:val="0"/>
        <w:autoSpaceDN w:val="0"/>
        <w:adjustRightInd w:val="0"/>
        <w:ind w:left="284" w:hanging="284"/>
        <w:textAlignment w:val="baseline"/>
      </w:pPr>
      <w:r w:rsidRPr="0015775A">
        <w:t>poudarja pomen spodbujanja večje usklajenosti nacionalnih norm, ki urejajo neposredne tuje naložbe in mehanizme pregleda. To vključuje: i) določitev doslednih pragov za nadzor neposrednih tujih naložb in enotnih rokov za odzive; ii) uskladitev opredelitev tveganj za varnost in javni red; iii) krepitev zmogljivosti držav članic za učinkovito izvajanje nalog nadzora neposrednih tujih naložb;</w:t>
      </w:r>
    </w:p>
    <w:p w:rsidRPr="0015775A" w:rsidR="00960451" w:rsidP="00AF2416" w:rsidRDefault="00960451" w14:paraId="09B05449" w14:textId="77777777">
      <w:pPr>
        <w:numPr>
          <w:ilvl w:val="0"/>
          <w:numId w:val="26"/>
        </w:numPr>
        <w:suppressAutoHyphens/>
        <w:ind w:left="284" w:hanging="284"/>
      </w:pPr>
      <w:r w:rsidRPr="0015775A">
        <w:t>poziva k določitvi izjemnih primerov, v katerih lahko institucije EU prepovejo, ublažijo ali pogojujejo neposredne tuje naložbe zaradi resnega ogrožanja programa ali projekta, ki je v interesu Unije, s čimer bi zagotovili enoten pristop k zagotavljanju javne varnosti in reda v državah članicah. V ta namen bi morala EU vzpostaviti jasne postopke in okoliščine za izvajanje nadzora nad naložbami, ki pomenijo znatno tveganje za interese EU;</w:t>
      </w:r>
    </w:p>
    <w:p w:rsidRPr="0015775A" w:rsidR="00960451" w:rsidP="00AF2416" w:rsidRDefault="00960451" w14:paraId="4C9E2C7E" w14:textId="77777777">
      <w:pPr>
        <w:numPr>
          <w:ilvl w:val="0"/>
          <w:numId w:val="26"/>
        </w:numPr>
        <w:suppressAutoHyphens/>
        <w:ind w:left="284" w:hanging="284"/>
      </w:pPr>
      <w:r w:rsidRPr="0015775A">
        <w:t>predlaga spodbujanje uporabe načela vzajemnosti v trgovinskih, naložbenih ali pridružitvenih sporazumih s tretjimi državami ter spremljanje naložb iz držav, ki omejujejo naložbe EU, da se zagotovi uravnotežena in pravična obravnava; o strogi uporabi bi se odločalo za vsak primer posebej. V konceptualnem okviru strateške avtonomije in strategije za gospodarsko varnost bi bilo treba še naprej spodbujati neposredne tuje naložbe, da bi spodbudili trajnostno konkurenčnost;</w:t>
      </w:r>
    </w:p>
    <w:p w:rsidRPr="0015775A" w:rsidR="00960451" w:rsidP="00AF2416" w:rsidRDefault="00960451" w14:paraId="6B1DAB8C" w14:textId="77777777">
      <w:pPr>
        <w:numPr>
          <w:ilvl w:val="0"/>
          <w:numId w:val="26"/>
        </w:numPr>
        <w:suppressAutoHyphens/>
        <w:ind w:left="284" w:hanging="284"/>
      </w:pPr>
      <w:r w:rsidRPr="0015775A">
        <w:t>poziva, naj se za naložbe iz davčnih oaz uvede poseben nadzor, ki zahteva popolno razkritje dejanskih lastnikov podjetij, ki izvajajo naložbe, in preverjanje zakonitosti uporabljenih sredstev. Države članice bi morale razmisliti o možnosti odprave tako imenovanih zlatih vizumov za pridobitev prebivališča ali državljanstva v državi EU;</w:t>
      </w:r>
    </w:p>
    <w:p w:rsidRPr="0015775A" w:rsidR="00960451" w:rsidP="00AF2416" w:rsidRDefault="00960451" w14:paraId="6C4B0887" w14:textId="77777777">
      <w:pPr>
        <w:numPr>
          <w:ilvl w:val="0"/>
          <w:numId w:val="26"/>
        </w:numPr>
        <w:suppressAutoHyphens/>
        <w:ind w:left="284" w:hanging="284"/>
      </w:pPr>
      <w:r w:rsidRPr="0015775A">
        <w:t>poudarja, da so potrebni mehanizmi za sodelovanje socialnih partnerjev in organizacij civilne družbe v politiki in nadzoru neposrednih tujih naložb na ravni EU in nacionalni ravni, da se zagotovi preglednost in vključenost v postopek ocenjevanja.</w:t>
      </w:r>
    </w:p>
    <w:p w:rsidRPr="0015775A" w:rsidR="00960451" w:rsidP="00AF2416" w:rsidRDefault="00960451" w14:paraId="159307D3" w14:textId="77777777">
      <w:pPr>
        <w:suppressAutoHyphens/>
        <w:spacing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6"/>
        <w:gridCol w:w="4712"/>
      </w:tblGrid>
      <w:tr w:rsidRPr="0015775A" w:rsidR="00960451" w:rsidTr="00960451" w14:paraId="6DAEE382" w14:textId="77777777">
        <w:tc>
          <w:tcPr>
            <w:tcW w:w="2376" w:type="dxa"/>
            <w:hideMark/>
          </w:tcPr>
          <w:p w:rsidRPr="0015775A" w:rsidR="00960451" w:rsidP="00AF2416" w:rsidRDefault="00960451" w14:paraId="449FE8F8" w14:textId="77777777">
            <w:pPr>
              <w:suppressAutoHyphens/>
              <w:rPr>
                <w:i/>
              </w:rPr>
            </w:pPr>
            <w:r w:rsidRPr="0015775A">
              <w:rPr>
                <w:b/>
                <w:i/>
              </w:rPr>
              <w:t>Kontaktna oseba</w:t>
            </w:r>
          </w:p>
        </w:tc>
        <w:tc>
          <w:tcPr>
            <w:tcW w:w="4712" w:type="dxa"/>
            <w:hideMark/>
          </w:tcPr>
          <w:p w:rsidRPr="0015775A" w:rsidR="00960451" w:rsidP="00AF2416" w:rsidRDefault="00960451" w14:paraId="45B9383A" w14:textId="77777777">
            <w:pPr>
              <w:suppressAutoHyphens/>
              <w:rPr>
                <w:i/>
              </w:rPr>
            </w:pPr>
            <w:r w:rsidRPr="0015775A">
              <w:rPr>
                <w:i/>
              </w:rPr>
              <w:t>Marco RISTORI</w:t>
            </w:r>
          </w:p>
        </w:tc>
      </w:tr>
      <w:tr w:rsidRPr="0015775A" w:rsidR="00960451" w:rsidTr="00960451" w14:paraId="2850F384" w14:textId="77777777">
        <w:tc>
          <w:tcPr>
            <w:tcW w:w="2376" w:type="dxa"/>
            <w:hideMark/>
          </w:tcPr>
          <w:p w:rsidRPr="0015775A" w:rsidR="00960451" w:rsidP="00AF2416" w:rsidRDefault="00960451" w14:paraId="695AD548" w14:textId="77777777">
            <w:pPr>
              <w:suppressAutoHyphens/>
              <w:rPr>
                <w:i/>
              </w:rPr>
            </w:pPr>
            <w:r w:rsidRPr="0015775A">
              <w:rPr>
                <w:i/>
              </w:rPr>
              <w:t>Telefon</w:t>
            </w:r>
          </w:p>
        </w:tc>
        <w:tc>
          <w:tcPr>
            <w:tcW w:w="4712" w:type="dxa"/>
            <w:hideMark/>
          </w:tcPr>
          <w:p w:rsidRPr="0015775A" w:rsidR="00960451" w:rsidP="00AF2416" w:rsidRDefault="00960451" w14:paraId="5CB50A17" w14:textId="77777777">
            <w:pPr>
              <w:suppressAutoHyphens/>
              <w:rPr>
                <w:i/>
              </w:rPr>
            </w:pPr>
            <w:r w:rsidRPr="0015775A">
              <w:rPr>
                <w:i/>
              </w:rPr>
              <w:t>+32 25469969</w:t>
            </w:r>
          </w:p>
        </w:tc>
      </w:tr>
      <w:tr w:rsidRPr="0015775A" w:rsidR="00960451" w:rsidTr="00960451" w14:paraId="6F3930F8" w14:textId="77777777">
        <w:tc>
          <w:tcPr>
            <w:tcW w:w="2376" w:type="dxa"/>
            <w:hideMark/>
          </w:tcPr>
          <w:p w:rsidRPr="0015775A" w:rsidR="00960451" w:rsidP="00AF2416" w:rsidRDefault="00960451" w14:paraId="449ADCA7" w14:textId="77777777">
            <w:pPr>
              <w:suppressAutoHyphens/>
              <w:rPr>
                <w:i/>
              </w:rPr>
            </w:pPr>
            <w:r w:rsidRPr="0015775A">
              <w:rPr>
                <w:i/>
              </w:rPr>
              <w:t>E-naslov</w:t>
            </w:r>
          </w:p>
        </w:tc>
        <w:tc>
          <w:tcPr>
            <w:tcW w:w="4712" w:type="dxa"/>
            <w:hideMark/>
          </w:tcPr>
          <w:p w:rsidRPr="0015775A" w:rsidR="00960451" w:rsidP="00AF2416" w:rsidRDefault="006E0B19" w14:paraId="040FDA5F" w14:textId="77777777">
            <w:pPr>
              <w:suppressAutoHyphens/>
              <w:rPr>
                <w:i/>
              </w:rPr>
            </w:pPr>
            <w:hyperlink w:history="1" r:id="rId33">
              <w:r w:rsidRPr="0015775A" w:rsidR="00960451">
                <w:rPr>
                  <w:rStyle w:val="Hyperlink"/>
                  <w:i/>
                </w:rPr>
                <w:t>Marco.Ristori@eesc.europa.eu</w:t>
              </w:r>
            </w:hyperlink>
          </w:p>
        </w:tc>
      </w:tr>
    </w:tbl>
    <w:p w:rsidRPr="0015775A" w:rsidR="003567CE" w:rsidP="00AF2416" w:rsidRDefault="003567CE" w14:paraId="67F3595B" w14:textId="7DB7E2AE">
      <w:pPr>
        <w:tabs>
          <w:tab w:val="left" w:pos="426"/>
        </w:tabs>
        <w:suppressAutoHyphens/>
        <w:spacing w:line="259" w:lineRule="auto"/>
        <w:ind w:left="426" w:hanging="426"/>
        <w:jc w:val="left"/>
        <w:rPr>
          <w:rFonts w:eastAsiaTheme="minorEastAsia"/>
        </w:rPr>
      </w:pPr>
      <w:r w:rsidRPr="0015775A">
        <w:br w:type="page"/>
      </w:r>
    </w:p>
    <w:p w:rsidRPr="0015775A" w:rsidR="006A7E31" w:rsidP="00AF2416" w:rsidRDefault="005B22AA" w14:paraId="07F93DE3" w14:textId="274A44D7">
      <w:pPr>
        <w:pStyle w:val="Heading1"/>
        <w:tabs>
          <w:tab w:val="clear" w:pos="440"/>
          <w:tab w:val="left" w:pos="0"/>
        </w:tabs>
        <w:spacing w:before="0"/>
        <w:ind w:left="567" w:hanging="567"/>
        <w:rPr>
          <w:b/>
          <w:bCs/>
        </w:rPr>
      </w:pPr>
      <w:bookmarkStart w:name="_Toc172110324" w:id="13"/>
      <w:bookmarkStart w:name="_Hlk171940016" w:id="14"/>
      <w:r w:rsidRPr="0015775A">
        <w:rPr>
          <w:b/>
          <w:bCs/>
        </w:rPr>
        <w:lastRenderedPageBreak/>
        <w:t>PROMET, ENERGIJA, INFRASTRUKTURA IN INFORMACIJSKA DRUŽBA</w:t>
      </w:r>
      <w:bookmarkEnd w:id="13"/>
    </w:p>
    <w:bookmarkEnd w:id="14"/>
    <w:p w:rsidRPr="0015775A" w:rsidR="00160A67" w:rsidP="00AF2416" w:rsidRDefault="00160A67" w14:paraId="2CBE297E" w14:textId="164A826B">
      <w:pPr>
        <w:suppressAutoHyphens/>
        <w:rPr>
          <w:rFonts w:eastAsiaTheme="minorEastAsia"/>
        </w:rPr>
      </w:pPr>
    </w:p>
    <w:p w:rsidRPr="0015775A" w:rsidR="005B22AA" w:rsidP="00AF2416" w:rsidRDefault="006E0B19" w14:paraId="659E576F" w14:textId="77777777">
      <w:pPr>
        <w:numPr>
          <w:ilvl w:val="0"/>
          <w:numId w:val="4"/>
        </w:numPr>
        <w:suppressAutoHyphens/>
        <w:overflowPunct w:val="0"/>
        <w:autoSpaceDE w:val="0"/>
        <w:autoSpaceDN w:val="0"/>
        <w:adjustRightInd w:val="0"/>
        <w:ind w:hanging="567"/>
        <w:rPr>
          <w:sz w:val="20"/>
        </w:rPr>
      </w:pPr>
      <w:hyperlink w:history="1" r:id="rId34">
        <w:r w:rsidRPr="0015775A" w:rsidR="005B22AA">
          <w:rPr>
            <w:rStyle w:val="Hyperlink"/>
            <w:b/>
            <w:i/>
            <w:sz w:val="28"/>
          </w:rPr>
          <w:t>Digitalizacija energetike: iskanje ravnovesja med priložnostmi in tveganji za evropske odjemalce</w:t>
        </w:r>
      </w:hyperlink>
    </w:p>
    <w:p w:rsidRPr="0015775A" w:rsidR="005B22AA" w:rsidP="00AF2416" w:rsidRDefault="005B22AA" w14:paraId="068D2867" w14:textId="77777777"/>
    <w:tbl>
      <w:tblPr>
        <w:tblStyle w:val="TableGrid"/>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663"/>
      </w:tblGrid>
      <w:tr w:rsidRPr="0015775A" w:rsidR="005B22AA" w:rsidTr="005B22AA" w14:paraId="37358E22" w14:textId="77777777">
        <w:tc>
          <w:tcPr>
            <w:tcW w:w="2410" w:type="dxa"/>
            <w:hideMark/>
          </w:tcPr>
          <w:p w:rsidRPr="0015775A" w:rsidR="005B22AA" w:rsidP="00AF2416" w:rsidRDefault="005B22AA" w14:paraId="70539A2F" w14:textId="77777777">
            <w:pPr>
              <w:tabs>
                <w:tab w:val="center" w:pos="284"/>
              </w:tabs>
              <w:suppressAutoHyphens/>
              <w:ind w:left="266" w:hanging="266"/>
              <w:rPr>
                <w:b/>
              </w:rPr>
            </w:pPr>
            <w:r w:rsidRPr="0015775A">
              <w:rPr>
                <w:b/>
              </w:rPr>
              <w:t>Poročevalec</w:t>
            </w:r>
          </w:p>
        </w:tc>
        <w:tc>
          <w:tcPr>
            <w:tcW w:w="6663" w:type="dxa"/>
            <w:hideMark/>
          </w:tcPr>
          <w:p w:rsidRPr="0015775A" w:rsidR="005B22AA" w:rsidP="00AF2416" w:rsidRDefault="005B22AA" w14:paraId="524EE1B4" w14:textId="77777777">
            <w:pPr>
              <w:tabs>
                <w:tab w:val="center" w:pos="284"/>
              </w:tabs>
              <w:suppressAutoHyphens/>
              <w:ind w:left="266" w:hanging="266"/>
            </w:pPr>
            <w:r w:rsidRPr="0015775A">
              <w:t>Kęstutis KUPŠYS (skupina organizacij civilne družbe – LT)</w:t>
            </w:r>
          </w:p>
        </w:tc>
      </w:tr>
      <w:tr w:rsidRPr="0015775A" w:rsidR="005B22AA" w:rsidTr="005B22AA" w14:paraId="6DAFC542" w14:textId="77777777">
        <w:tc>
          <w:tcPr>
            <w:tcW w:w="9073" w:type="dxa"/>
            <w:gridSpan w:val="2"/>
          </w:tcPr>
          <w:p w:rsidRPr="0015775A" w:rsidR="005B22AA" w:rsidP="00AF2416" w:rsidRDefault="005B22AA" w14:paraId="1C9A7CBB" w14:textId="77777777">
            <w:pPr>
              <w:tabs>
                <w:tab w:val="center" w:pos="284"/>
              </w:tabs>
              <w:suppressAutoHyphens/>
              <w:spacing w:line="240" w:lineRule="auto"/>
              <w:ind w:left="266" w:hanging="266"/>
              <w:rPr>
                <w:sz w:val="16"/>
                <w:szCs w:val="16"/>
              </w:rPr>
            </w:pPr>
          </w:p>
        </w:tc>
      </w:tr>
      <w:tr w:rsidRPr="0015775A" w:rsidR="00AF2416" w:rsidTr="00B24F46" w14:paraId="67C87E3E" w14:textId="77777777">
        <w:trPr>
          <w:trHeight w:val="607"/>
        </w:trPr>
        <w:tc>
          <w:tcPr>
            <w:tcW w:w="2410" w:type="dxa"/>
            <w:hideMark/>
          </w:tcPr>
          <w:p w:rsidRPr="0015775A" w:rsidR="00AF2416" w:rsidP="00AF2416" w:rsidRDefault="00AF2416" w14:paraId="0B2F5F14" w14:textId="77777777">
            <w:pPr>
              <w:tabs>
                <w:tab w:val="center" w:pos="284"/>
              </w:tabs>
              <w:suppressAutoHyphens/>
              <w:ind w:left="266" w:hanging="266"/>
              <w:rPr>
                <w:b/>
              </w:rPr>
            </w:pPr>
            <w:r w:rsidRPr="0015775A">
              <w:rPr>
                <w:b/>
              </w:rPr>
              <w:t>Referenčni dokument</w:t>
            </w:r>
          </w:p>
        </w:tc>
        <w:tc>
          <w:tcPr>
            <w:tcW w:w="6663" w:type="dxa"/>
            <w:hideMark/>
          </w:tcPr>
          <w:p w:rsidRPr="0015775A" w:rsidR="00AF2416" w:rsidP="00AF2416" w:rsidRDefault="00AF2416" w14:paraId="1DD6A722" w14:textId="77777777">
            <w:pPr>
              <w:tabs>
                <w:tab w:val="center" w:pos="0"/>
              </w:tabs>
              <w:suppressAutoHyphens/>
            </w:pPr>
            <w:r w:rsidRPr="0015775A">
              <w:t>mnenje na lastno pobudo</w:t>
            </w:r>
          </w:p>
          <w:p w:rsidRPr="0015775A" w:rsidR="00AF2416" w:rsidP="00AF2416" w:rsidRDefault="00AF2416" w14:paraId="335F3D89" w14:textId="4ED675ED">
            <w:pPr>
              <w:tabs>
                <w:tab w:val="center" w:pos="0"/>
              </w:tabs>
              <w:suppressAutoHyphens/>
            </w:pPr>
            <w:r w:rsidRPr="0015775A">
              <w:t>EESC-2024-01212-00-00-AC</w:t>
            </w:r>
          </w:p>
        </w:tc>
      </w:tr>
    </w:tbl>
    <w:p w:rsidRPr="0015775A" w:rsidR="005B22AA" w:rsidP="00AF2416" w:rsidRDefault="005B22AA" w14:paraId="06A76C2D" w14:textId="77777777">
      <w:pPr>
        <w:rPr>
          <w:szCs w:val="20"/>
        </w:rPr>
      </w:pPr>
    </w:p>
    <w:p w:rsidRPr="0015775A" w:rsidR="005B22AA" w:rsidP="00AF2416" w:rsidRDefault="005B22AA" w14:paraId="5FEDB803" w14:textId="77777777">
      <w:pPr>
        <w:tabs>
          <w:tab w:val="center" w:pos="284"/>
        </w:tabs>
        <w:suppressAutoHyphens/>
        <w:ind w:left="266" w:hanging="266"/>
        <w:rPr>
          <w:b/>
        </w:rPr>
      </w:pPr>
      <w:r w:rsidRPr="0015775A">
        <w:rPr>
          <w:b/>
        </w:rPr>
        <w:t>Glavne točke</w:t>
      </w:r>
    </w:p>
    <w:p w:rsidRPr="0015775A" w:rsidR="005B22AA" w:rsidP="00AF2416" w:rsidRDefault="005B22AA" w14:paraId="3DB937BD" w14:textId="77777777">
      <w:pPr>
        <w:rPr>
          <w:szCs w:val="20"/>
        </w:rPr>
      </w:pPr>
    </w:p>
    <w:p w:rsidRPr="0015775A" w:rsidR="005B22AA" w:rsidP="00AF2416" w:rsidRDefault="005B22AA" w14:paraId="059C0FAD" w14:textId="77777777">
      <w:pPr>
        <w:suppressAutoHyphens/>
        <w:rPr>
          <w:bCs/>
          <w:iCs/>
        </w:rPr>
      </w:pPr>
      <w:r w:rsidRPr="0015775A">
        <w:t>EESO:</w:t>
      </w:r>
    </w:p>
    <w:p w:rsidRPr="0015775A" w:rsidR="005B22AA" w:rsidP="00AF2416" w:rsidRDefault="005B22AA" w14:paraId="4F12144C" w14:textId="77777777">
      <w:pPr>
        <w:rPr>
          <w:szCs w:val="20"/>
        </w:rPr>
      </w:pPr>
    </w:p>
    <w:p w:rsidRPr="0015775A" w:rsidR="005B22AA" w:rsidP="00AF2416" w:rsidRDefault="005B22AA" w14:paraId="03A18726" w14:textId="77777777">
      <w:pPr>
        <w:numPr>
          <w:ilvl w:val="0"/>
          <w:numId w:val="27"/>
        </w:numPr>
        <w:suppressAutoHyphens/>
        <w:ind w:left="426" w:hanging="426"/>
      </w:pPr>
      <w:r w:rsidRPr="0015775A">
        <w:t>poudarja, da digitalizacija postaja vse pomembnejša zaradi zelenega prehoda, vendar bi morala ob tem energija za odjemalce ostati cenovno dostopna, prilagodljiva in enostavna za uporabo. To zajema razvoj uporabniku prijaznih digitalnih orodij, ki bodo ustrezala različnim potrebam in spodbujala enak dostop do digitalnih energetskih storitev. Odjemalci bi morali imeti še naprej možnost izbire cen, pogodb in podpornih storitev iz „preddigitalne dobe“;</w:t>
      </w:r>
    </w:p>
    <w:p w:rsidRPr="0015775A" w:rsidR="005B22AA" w:rsidP="00AF2416" w:rsidRDefault="005B22AA" w14:paraId="66CA609E" w14:textId="77777777">
      <w:pPr>
        <w:numPr>
          <w:ilvl w:val="0"/>
          <w:numId w:val="27"/>
        </w:numPr>
        <w:suppressAutoHyphens/>
        <w:ind w:left="426" w:hanging="426"/>
      </w:pPr>
      <w:r w:rsidRPr="0015775A">
        <w:t>poudarja, da je kibernetska varnost uporabnikov prednostna naloga. Digitalizacija le še povečuje potrebo po oblikovanju dinamičnih predpisov o varstvu odjemalcev, ki morajo biti prilagojeni novim razmeram in udeležencem v energetskem sektorju;</w:t>
      </w:r>
    </w:p>
    <w:p w:rsidRPr="0015775A" w:rsidR="005B22AA" w:rsidP="00AF2416" w:rsidRDefault="005B22AA" w14:paraId="7CE986DB" w14:textId="77777777">
      <w:pPr>
        <w:numPr>
          <w:ilvl w:val="0"/>
          <w:numId w:val="27"/>
        </w:numPr>
        <w:suppressAutoHyphens/>
        <w:ind w:left="426" w:hanging="426"/>
      </w:pPr>
      <w:r w:rsidRPr="0015775A">
        <w:t>poudarja, da digitalni razkorak med odjemalci, ki si lahko privoščijo dražja digitalna orodja, in tistimi, ki si jih ne morejo privoščiti, vodi v večjo energijsko revščino;</w:t>
      </w:r>
    </w:p>
    <w:p w:rsidRPr="0015775A" w:rsidR="005B22AA" w:rsidP="00AF2416" w:rsidRDefault="005B22AA" w14:paraId="25E76A42" w14:textId="77777777">
      <w:pPr>
        <w:numPr>
          <w:ilvl w:val="0"/>
          <w:numId w:val="27"/>
        </w:numPr>
        <w:suppressAutoHyphens/>
        <w:ind w:left="426" w:hanging="426"/>
      </w:pPr>
      <w:r w:rsidRPr="0015775A">
        <w:t>priporoča, da se zaposlenim zagotovi usposabljanje. Akademije za neto ničelne tehnologije bi bilo treba promovirati pri vseh deležnikih, s poudarkom na znanjih in spretnostih na področju energijske učinkovitosti.</w:t>
      </w:r>
    </w:p>
    <w:p w:rsidRPr="0015775A" w:rsidR="005B22AA" w:rsidP="00AF2416" w:rsidRDefault="005B22AA" w14:paraId="39E432A1" w14:textId="77777777"/>
    <w:tbl>
      <w:tblPr>
        <w:tblStyle w:val="TableGrid"/>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45"/>
      </w:tblGrid>
      <w:tr w:rsidRPr="0015775A" w:rsidR="005B22AA" w:rsidTr="005B22AA" w14:paraId="6A499EFF" w14:textId="77777777">
        <w:tc>
          <w:tcPr>
            <w:tcW w:w="1843" w:type="dxa"/>
            <w:hideMark/>
          </w:tcPr>
          <w:p w:rsidRPr="0015775A" w:rsidR="005B22AA" w:rsidP="00AF2416" w:rsidRDefault="005B22AA" w14:paraId="02771D5D" w14:textId="77777777">
            <w:pPr>
              <w:suppressAutoHyphens/>
              <w:rPr>
                <w:i/>
              </w:rPr>
            </w:pPr>
            <w:r w:rsidRPr="0015775A">
              <w:rPr>
                <w:b/>
                <w:i/>
              </w:rPr>
              <w:t>Kontaktna oseba</w:t>
            </w:r>
          </w:p>
        </w:tc>
        <w:tc>
          <w:tcPr>
            <w:tcW w:w="5245" w:type="dxa"/>
            <w:hideMark/>
          </w:tcPr>
          <w:p w:rsidRPr="0015775A" w:rsidR="005B22AA" w:rsidP="00AF2416" w:rsidRDefault="005B22AA" w14:paraId="2EAE2837" w14:textId="77777777">
            <w:pPr>
              <w:suppressAutoHyphens/>
              <w:rPr>
                <w:i/>
              </w:rPr>
            </w:pPr>
            <w:r w:rsidRPr="0015775A">
              <w:rPr>
                <w:i/>
              </w:rPr>
              <w:t>Aleksandra ŠARMAN GRILC</w:t>
            </w:r>
          </w:p>
        </w:tc>
      </w:tr>
      <w:tr w:rsidRPr="0015775A" w:rsidR="005B22AA" w:rsidTr="005B22AA" w14:paraId="1AB8F4E8" w14:textId="77777777">
        <w:tc>
          <w:tcPr>
            <w:tcW w:w="1843" w:type="dxa"/>
            <w:hideMark/>
          </w:tcPr>
          <w:p w:rsidRPr="0015775A" w:rsidR="005B22AA" w:rsidP="00AF2416" w:rsidRDefault="005B22AA" w14:paraId="25658563" w14:textId="77777777">
            <w:pPr>
              <w:suppressAutoHyphens/>
              <w:rPr>
                <w:i/>
              </w:rPr>
            </w:pPr>
            <w:r w:rsidRPr="0015775A">
              <w:rPr>
                <w:i/>
              </w:rPr>
              <w:t>Telefon</w:t>
            </w:r>
          </w:p>
        </w:tc>
        <w:tc>
          <w:tcPr>
            <w:tcW w:w="5245" w:type="dxa"/>
            <w:hideMark/>
          </w:tcPr>
          <w:p w:rsidRPr="0015775A" w:rsidR="005B22AA" w:rsidP="00AF2416" w:rsidRDefault="005B22AA" w14:paraId="42BAFE42" w14:textId="77777777">
            <w:pPr>
              <w:suppressAutoHyphens/>
              <w:rPr>
                <w:i/>
              </w:rPr>
            </w:pPr>
            <w:r w:rsidRPr="0015775A">
              <w:rPr>
                <w:i/>
              </w:rPr>
              <w:t>+32 25468333</w:t>
            </w:r>
          </w:p>
        </w:tc>
      </w:tr>
      <w:tr w:rsidRPr="0015775A" w:rsidR="005B22AA" w:rsidTr="005B22AA" w14:paraId="47B63E55" w14:textId="77777777">
        <w:tc>
          <w:tcPr>
            <w:tcW w:w="1843" w:type="dxa"/>
            <w:hideMark/>
          </w:tcPr>
          <w:p w:rsidRPr="0015775A" w:rsidR="005B22AA" w:rsidP="00AF2416" w:rsidRDefault="005B22AA" w14:paraId="44983455" w14:textId="77777777">
            <w:pPr>
              <w:suppressAutoHyphens/>
              <w:rPr>
                <w:i/>
              </w:rPr>
            </w:pPr>
            <w:r w:rsidRPr="0015775A">
              <w:rPr>
                <w:i/>
              </w:rPr>
              <w:t>E-naslov</w:t>
            </w:r>
          </w:p>
        </w:tc>
        <w:tc>
          <w:tcPr>
            <w:tcW w:w="5245" w:type="dxa"/>
            <w:hideMark/>
          </w:tcPr>
          <w:p w:rsidRPr="0015775A" w:rsidR="005B22AA" w:rsidP="00AF2416" w:rsidRDefault="006E0B19" w14:paraId="1E1C88BB" w14:textId="77777777">
            <w:pPr>
              <w:suppressAutoHyphens/>
              <w:rPr>
                <w:i/>
                <w:iCs/>
                <w:szCs w:val="20"/>
              </w:rPr>
            </w:pPr>
            <w:hyperlink w:history="1" r:id="rId35">
              <w:r w:rsidRPr="0015775A" w:rsidR="005B22AA">
                <w:rPr>
                  <w:rStyle w:val="Hyperlink"/>
                  <w:i/>
                </w:rPr>
                <w:t>Aleksandra.SarmanGrilc@eesc.europa.eu</w:t>
              </w:r>
            </w:hyperlink>
          </w:p>
        </w:tc>
      </w:tr>
    </w:tbl>
    <w:p w:rsidRPr="0015775A" w:rsidR="00F95EAA" w:rsidP="00AF2416" w:rsidRDefault="00F95EAA" w14:paraId="7B0DAFA4" w14:textId="2A13BDE7">
      <w:pPr>
        <w:suppressAutoHyphens/>
        <w:spacing w:line="259" w:lineRule="auto"/>
        <w:jc w:val="left"/>
        <w:rPr>
          <w14:scene3d>
            <w14:camera w14:prst="orthographicFront"/>
            <w14:lightRig w14:rig="threePt" w14:dir="t">
              <w14:rot w14:lat="0" w14:lon="0" w14:rev="0"/>
            </w14:lightRig>
          </w14:scene3d>
        </w:rPr>
      </w:pPr>
      <w:bookmarkStart w:name="_Toc153539713" w:id="15"/>
      <w:bookmarkStart w:name="_Toc153547136" w:id="16"/>
      <w:r w:rsidRPr="0015775A">
        <w:br w:type="page"/>
      </w:r>
    </w:p>
    <w:p w:rsidRPr="0015775A" w:rsidR="00160A67" w:rsidP="00AF2416" w:rsidRDefault="003D6811" w14:paraId="5D209F0E" w14:textId="0E2A464C">
      <w:pPr>
        <w:pStyle w:val="Heading1"/>
        <w:tabs>
          <w:tab w:val="clear" w:pos="440"/>
          <w:tab w:val="left" w:pos="0"/>
        </w:tabs>
        <w:spacing w:before="0"/>
        <w:ind w:left="567" w:hanging="567"/>
        <w:rPr>
          <w:rFonts w:eastAsiaTheme="minorEastAsia"/>
          <w:b/>
          <w:bCs/>
        </w:rPr>
      </w:pPr>
      <w:bookmarkStart w:name="_Toc172110325" w:id="17"/>
      <w:r w:rsidRPr="0015775A">
        <w:rPr>
          <w:b/>
          <w:bCs/>
        </w:rPr>
        <w:lastRenderedPageBreak/>
        <w:t>POSVETOVALNA KOMISIJA ZA SPREMEMBE V INDUSTRIJI</w:t>
      </w:r>
      <w:bookmarkEnd w:id="15"/>
      <w:bookmarkEnd w:id="16"/>
      <w:bookmarkEnd w:id="17"/>
    </w:p>
    <w:p w:rsidRPr="0015775A" w:rsidR="0018585A" w:rsidP="00AF2416" w:rsidRDefault="0018585A" w14:paraId="57026A6C" w14:textId="12B99797">
      <w:pPr>
        <w:suppressAutoHyphens/>
        <w:overflowPunct w:val="0"/>
        <w:autoSpaceDE w:val="0"/>
        <w:autoSpaceDN w:val="0"/>
        <w:adjustRightInd w:val="0"/>
        <w:jc w:val="left"/>
        <w:textAlignment w:val="baseline"/>
      </w:pPr>
    </w:p>
    <w:p w:rsidRPr="0015775A" w:rsidR="005B5C38" w:rsidP="00AF2416" w:rsidRDefault="006E0B19" w14:paraId="20BD1F73" w14:textId="77777777">
      <w:pPr>
        <w:numPr>
          <w:ilvl w:val="0"/>
          <w:numId w:val="4"/>
        </w:numPr>
        <w:suppressAutoHyphens/>
        <w:overflowPunct w:val="0"/>
        <w:autoSpaceDE w:val="0"/>
        <w:autoSpaceDN w:val="0"/>
        <w:adjustRightInd w:val="0"/>
        <w:ind w:hanging="567"/>
        <w:rPr>
          <w:i/>
          <w:iCs/>
          <w:sz w:val="28"/>
          <w:szCs w:val="28"/>
        </w:rPr>
      </w:pPr>
      <w:hyperlink w:history="1" r:id="rId36">
        <w:r w:rsidRPr="0015775A" w:rsidR="005B5C38">
          <w:rPr>
            <w:rStyle w:val="Hyperlink"/>
            <w:b/>
            <w:i/>
            <w:sz w:val="28"/>
          </w:rPr>
          <w:t>Gradnja prihodnosti z naravo: spodbujanje biotehnologije in bioproizvodnje v EU</w:t>
        </w:r>
      </w:hyperlink>
    </w:p>
    <w:p w:rsidRPr="0015775A" w:rsidR="005B5C38" w:rsidP="00AF2416" w:rsidRDefault="005B5C38" w14:paraId="126C4956" w14:textId="77777777">
      <w:pPr>
        <w:suppressAutoHyphens/>
      </w:pPr>
    </w:p>
    <w:tbl>
      <w:tblPr>
        <w:tblStyle w:val="TableGrid"/>
        <w:tblW w:w="49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20"/>
        <w:gridCol w:w="6644"/>
      </w:tblGrid>
      <w:tr w:rsidRPr="0015775A" w:rsidR="005B5C38" w:rsidTr="005B5C38" w14:paraId="28F07D53" w14:textId="77777777">
        <w:tc>
          <w:tcPr>
            <w:tcW w:w="1294" w:type="pct"/>
            <w:hideMark/>
          </w:tcPr>
          <w:p w:rsidRPr="0015775A" w:rsidR="005B5C38" w:rsidP="00AF2416" w:rsidRDefault="005B5C38" w14:paraId="5F461173" w14:textId="77777777">
            <w:pPr>
              <w:tabs>
                <w:tab w:val="center" w:pos="284"/>
              </w:tabs>
              <w:suppressAutoHyphens/>
              <w:ind w:left="266" w:hanging="266"/>
              <w:rPr>
                <w:b/>
              </w:rPr>
            </w:pPr>
            <w:r w:rsidRPr="0015775A">
              <w:rPr>
                <w:b/>
                <w:bCs/>
              </w:rPr>
              <w:t>Poročevalec</w:t>
            </w:r>
          </w:p>
        </w:tc>
        <w:tc>
          <w:tcPr>
            <w:tcW w:w="3706" w:type="pct"/>
            <w:hideMark/>
          </w:tcPr>
          <w:p w:rsidRPr="0015775A" w:rsidR="005B5C38" w:rsidP="00AF2416" w:rsidRDefault="005B5C38" w14:paraId="1E18653C" w14:textId="77777777">
            <w:pPr>
              <w:tabs>
                <w:tab w:val="center" w:pos="284"/>
              </w:tabs>
              <w:suppressAutoHyphens/>
              <w:ind w:left="266" w:hanging="266"/>
              <w:rPr>
                <w:b/>
                <w:bCs/>
              </w:rPr>
            </w:pPr>
            <w:r w:rsidRPr="0015775A">
              <w:rPr>
                <w:b/>
              </w:rPr>
              <w:t>Florian MARIN (skupina delojemalcev – RO)</w:t>
            </w:r>
          </w:p>
        </w:tc>
      </w:tr>
      <w:tr w:rsidRPr="0015775A" w:rsidR="005B5C38" w:rsidTr="005B5C38" w14:paraId="5DF4F02A" w14:textId="77777777">
        <w:tc>
          <w:tcPr>
            <w:tcW w:w="1294" w:type="pct"/>
            <w:hideMark/>
          </w:tcPr>
          <w:p w:rsidRPr="0015775A" w:rsidR="005B5C38" w:rsidP="00AF2416" w:rsidRDefault="005B5C38" w14:paraId="2D049A6B" w14:textId="77777777">
            <w:pPr>
              <w:tabs>
                <w:tab w:val="center" w:pos="284"/>
              </w:tabs>
              <w:suppressAutoHyphens/>
              <w:ind w:left="266" w:hanging="266"/>
              <w:rPr>
                <w:b/>
              </w:rPr>
            </w:pPr>
            <w:r w:rsidRPr="0015775A">
              <w:rPr>
                <w:b/>
              </w:rPr>
              <w:t>Soporočevalec</w:t>
            </w:r>
          </w:p>
        </w:tc>
        <w:tc>
          <w:tcPr>
            <w:tcW w:w="3706" w:type="pct"/>
            <w:hideMark/>
          </w:tcPr>
          <w:p w:rsidRPr="0015775A" w:rsidR="005B5C38" w:rsidP="00AF2416" w:rsidRDefault="005B5C38" w14:paraId="24A4B65E" w14:textId="6EFCDAF6">
            <w:pPr>
              <w:tabs>
                <w:tab w:val="center" w:pos="284"/>
              </w:tabs>
              <w:suppressAutoHyphens/>
              <w:ind w:left="266" w:hanging="266"/>
              <w:rPr>
                <w:b/>
                <w:bCs/>
              </w:rPr>
            </w:pPr>
            <w:r w:rsidRPr="0015775A">
              <w:rPr>
                <w:b/>
              </w:rPr>
              <w:t>Antonello PEZZINI (IT</w:t>
            </w:r>
            <w:r w:rsidRPr="0015775A" w:rsidR="008E042C">
              <w:rPr>
                <w:b/>
              </w:rPr>
              <w:t>-</w:t>
            </w:r>
            <w:r w:rsidRPr="0015775A">
              <w:rPr>
                <w:b/>
              </w:rPr>
              <w:t>1. kat.)</w:t>
            </w:r>
          </w:p>
        </w:tc>
      </w:tr>
      <w:tr w:rsidRPr="0015775A" w:rsidR="005B5C38" w:rsidTr="005B5C38" w14:paraId="75DAB108" w14:textId="77777777">
        <w:tc>
          <w:tcPr>
            <w:tcW w:w="5000" w:type="pct"/>
            <w:gridSpan w:val="2"/>
          </w:tcPr>
          <w:p w:rsidRPr="0015775A" w:rsidR="005B5C38" w:rsidP="00AF2416" w:rsidRDefault="005B5C38" w14:paraId="18AE680E" w14:textId="77777777">
            <w:pPr>
              <w:tabs>
                <w:tab w:val="center" w:pos="284"/>
              </w:tabs>
              <w:suppressAutoHyphens/>
              <w:spacing w:line="240" w:lineRule="auto"/>
              <w:ind w:left="266" w:hanging="266"/>
              <w:rPr>
                <w:sz w:val="16"/>
                <w:szCs w:val="16"/>
              </w:rPr>
            </w:pPr>
          </w:p>
        </w:tc>
      </w:tr>
      <w:tr w:rsidRPr="0015775A" w:rsidR="005B5C38" w:rsidTr="005B5C38" w14:paraId="7F7F6F34" w14:textId="77777777">
        <w:trPr>
          <w:trHeight w:val="283"/>
        </w:trPr>
        <w:tc>
          <w:tcPr>
            <w:tcW w:w="1294" w:type="pct"/>
            <w:hideMark/>
          </w:tcPr>
          <w:p w:rsidRPr="0015775A" w:rsidR="005B5C38" w:rsidP="00AF2416" w:rsidRDefault="005B5C38" w14:paraId="61C678D7" w14:textId="756913B0">
            <w:pPr>
              <w:tabs>
                <w:tab w:val="center" w:pos="284"/>
              </w:tabs>
              <w:suppressAutoHyphens/>
              <w:ind w:left="266" w:hanging="266"/>
              <w:rPr>
                <w:b/>
              </w:rPr>
            </w:pPr>
            <w:r w:rsidRPr="0015775A">
              <w:rPr>
                <w:b/>
              </w:rPr>
              <w:t>Referenčn</w:t>
            </w:r>
            <w:r w:rsidRPr="0015775A" w:rsidR="008E042C">
              <w:rPr>
                <w:b/>
              </w:rPr>
              <w:t>a</w:t>
            </w:r>
            <w:r w:rsidRPr="0015775A">
              <w:rPr>
                <w:b/>
              </w:rPr>
              <w:t xml:space="preserve"> dokument</w:t>
            </w:r>
            <w:r w:rsidRPr="0015775A" w:rsidR="008E042C">
              <w:rPr>
                <w:b/>
              </w:rPr>
              <w:t>a</w:t>
            </w:r>
          </w:p>
        </w:tc>
        <w:tc>
          <w:tcPr>
            <w:tcW w:w="3706" w:type="pct"/>
            <w:hideMark/>
          </w:tcPr>
          <w:p w:rsidRPr="0015775A" w:rsidR="001F0B3A" w:rsidP="00AF2416" w:rsidRDefault="001F0B3A" w14:paraId="5298EFB6" w14:textId="210E7090">
            <w:pPr>
              <w:tabs>
                <w:tab w:val="center" w:pos="284"/>
              </w:tabs>
              <w:suppressAutoHyphens/>
              <w:ind w:left="266" w:hanging="266"/>
            </w:pPr>
            <w:r w:rsidRPr="0015775A">
              <w:rPr>
                <w:lang w:eastAsia="fr-BE"/>
              </w:rPr>
              <w:t>COM(2024) 137 final</w:t>
            </w:r>
          </w:p>
          <w:p w:rsidRPr="0015775A" w:rsidR="005B5C38" w:rsidP="00AF2416" w:rsidRDefault="005B5C38" w14:paraId="1616B08B" w14:textId="0318343E">
            <w:pPr>
              <w:tabs>
                <w:tab w:val="center" w:pos="284"/>
              </w:tabs>
              <w:suppressAutoHyphens/>
              <w:ind w:left="266" w:hanging="266"/>
            </w:pPr>
            <w:r w:rsidRPr="0015775A">
              <w:t>EESC-2024-00997-00-00-A</w:t>
            </w:r>
            <w:r w:rsidRPr="0015775A" w:rsidR="001F0B3A">
              <w:t>C</w:t>
            </w:r>
          </w:p>
        </w:tc>
      </w:tr>
    </w:tbl>
    <w:p w:rsidRPr="0015775A" w:rsidR="005B5C38" w:rsidP="00AF2416" w:rsidRDefault="005B5C38" w14:paraId="56DA0C42" w14:textId="77777777">
      <w:pPr>
        <w:tabs>
          <w:tab w:val="center" w:pos="284"/>
        </w:tabs>
        <w:suppressAutoHyphens/>
        <w:ind w:left="266" w:hanging="266"/>
        <w:rPr>
          <w:bCs/>
        </w:rPr>
      </w:pPr>
    </w:p>
    <w:p w:rsidRPr="0015775A" w:rsidR="005B5C38" w:rsidP="00AF2416" w:rsidRDefault="005B5C38" w14:paraId="06152F40" w14:textId="77777777">
      <w:pPr>
        <w:tabs>
          <w:tab w:val="center" w:pos="284"/>
        </w:tabs>
        <w:suppressAutoHyphens/>
        <w:ind w:left="266" w:hanging="266"/>
        <w:rPr>
          <w:b/>
        </w:rPr>
      </w:pPr>
      <w:r w:rsidRPr="0015775A">
        <w:rPr>
          <w:b/>
        </w:rPr>
        <w:t>Glavne točke</w:t>
      </w:r>
    </w:p>
    <w:p w:rsidRPr="0015775A" w:rsidR="005B5C38" w:rsidP="00AF2416" w:rsidRDefault="005B5C38" w14:paraId="75C2539C" w14:textId="77777777">
      <w:pPr>
        <w:tabs>
          <w:tab w:val="center" w:pos="284"/>
        </w:tabs>
        <w:suppressAutoHyphens/>
        <w:ind w:left="266" w:hanging="266"/>
        <w:rPr>
          <w:bCs/>
        </w:rPr>
      </w:pPr>
    </w:p>
    <w:p w:rsidRPr="0015775A" w:rsidR="005B5C38" w:rsidP="00AF2416" w:rsidRDefault="005B5C38" w14:paraId="3B0E6BB4" w14:textId="77777777">
      <w:pPr>
        <w:suppressAutoHyphens/>
        <w:rPr>
          <w:bCs/>
          <w:iCs/>
        </w:rPr>
      </w:pPr>
      <w:r w:rsidRPr="0015775A">
        <w:t>EESO:</w:t>
      </w:r>
    </w:p>
    <w:p w:rsidRPr="0015775A" w:rsidR="005B5C38" w:rsidP="00AF2416" w:rsidRDefault="005B5C38" w14:paraId="33469EC0" w14:textId="77777777">
      <w:pPr>
        <w:numPr>
          <w:ilvl w:val="0"/>
          <w:numId w:val="4"/>
        </w:numPr>
        <w:suppressAutoHyphens/>
        <w:overflowPunct w:val="0"/>
        <w:autoSpaceDE w:val="0"/>
        <w:autoSpaceDN w:val="0"/>
        <w:adjustRightInd w:val="0"/>
        <w:ind w:left="426" w:hanging="426"/>
        <w:rPr>
          <w:bCs/>
          <w:iCs/>
        </w:rPr>
      </w:pPr>
      <w:r w:rsidRPr="0015775A">
        <w:t xml:space="preserve">je razočaran, ker EU še ni sprejela </w:t>
      </w:r>
      <w:r w:rsidRPr="0015775A">
        <w:rPr>
          <w:b/>
        </w:rPr>
        <w:t>strategije za biogospodarstvo</w:t>
      </w:r>
      <w:r w:rsidRPr="0015775A">
        <w:t xml:space="preserve"> ali akta </w:t>
      </w:r>
      <w:r w:rsidRPr="0015775A">
        <w:rPr>
          <w:b/>
        </w:rPr>
        <w:t>o biotehnologiji</w:t>
      </w:r>
      <w:r w:rsidRPr="0015775A">
        <w:t>, saj ocenjuje, da je zaradi svetovnih razmer takšna zakonodaja nujno potrebna;</w:t>
      </w:r>
    </w:p>
    <w:p w:rsidRPr="0015775A" w:rsidR="005B5C38" w:rsidP="00AF2416" w:rsidRDefault="005B5C38" w14:paraId="3744F4BB" w14:textId="77777777">
      <w:pPr>
        <w:numPr>
          <w:ilvl w:val="0"/>
          <w:numId w:val="4"/>
        </w:numPr>
        <w:suppressAutoHyphens/>
        <w:overflowPunct w:val="0"/>
        <w:autoSpaceDE w:val="0"/>
        <w:autoSpaceDN w:val="0"/>
        <w:adjustRightInd w:val="0"/>
        <w:ind w:left="426" w:hanging="426"/>
        <w:rPr>
          <w:bCs/>
          <w:iCs/>
        </w:rPr>
      </w:pPr>
      <w:r w:rsidRPr="0015775A">
        <w:t xml:space="preserve">predlaga, naj </w:t>
      </w:r>
      <w:r w:rsidRPr="0015775A">
        <w:rPr>
          <w:b/>
        </w:rPr>
        <w:t>strategija EU za biogospodarstvo</w:t>
      </w:r>
      <w:r w:rsidRPr="0015775A">
        <w:t xml:space="preserve"> </w:t>
      </w:r>
      <w:r w:rsidRPr="0015775A">
        <w:rPr>
          <w:b/>
        </w:rPr>
        <w:t>temelji na celostnem sektorskem pristopu</w:t>
      </w:r>
      <w:r w:rsidRPr="0015775A">
        <w:t xml:space="preserve"> s posebnimi cilji, med katerimi so raziskovalni program za naslednjih deset let, seznam znanj in spretnosti ter jasna vloga civilne družbe;</w:t>
      </w:r>
    </w:p>
    <w:p w:rsidRPr="0015775A" w:rsidR="005B5C38" w:rsidP="00AF2416" w:rsidRDefault="005B5C38" w14:paraId="6B6D80A0" w14:textId="77777777">
      <w:pPr>
        <w:numPr>
          <w:ilvl w:val="0"/>
          <w:numId w:val="4"/>
        </w:numPr>
        <w:suppressAutoHyphens/>
        <w:overflowPunct w:val="0"/>
        <w:autoSpaceDE w:val="0"/>
        <w:autoSpaceDN w:val="0"/>
        <w:adjustRightInd w:val="0"/>
        <w:ind w:left="426" w:hanging="426"/>
        <w:rPr>
          <w:bCs/>
          <w:iCs/>
        </w:rPr>
      </w:pPr>
      <w:r w:rsidRPr="0015775A">
        <w:t xml:space="preserve">meni, da bi bilo treba razmisliti o </w:t>
      </w:r>
      <w:r w:rsidRPr="0015775A">
        <w:rPr>
          <w:b/>
        </w:rPr>
        <w:t>etičnem kodeksu za podjetja EU in izdelke, ki se dajejo na trg EU</w:t>
      </w:r>
      <w:r w:rsidRPr="0015775A">
        <w:t>, in ga spodbujati po vsem svetu;</w:t>
      </w:r>
    </w:p>
    <w:p w:rsidRPr="0015775A" w:rsidR="005B5C38" w:rsidP="00AF2416" w:rsidRDefault="005B5C38" w14:paraId="62EC5A08" w14:textId="77777777">
      <w:pPr>
        <w:numPr>
          <w:ilvl w:val="0"/>
          <w:numId w:val="4"/>
        </w:numPr>
        <w:suppressAutoHyphens/>
        <w:overflowPunct w:val="0"/>
        <w:autoSpaceDE w:val="0"/>
        <w:autoSpaceDN w:val="0"/>
        <w:adjustRightInd w:val="0"/>
        <w:ind w:left="426" w:hanging="426"/>
        <w:rPr>
          <w:bCs/>
          <w:iCs/>
        </w:rPr>
      </w:pPr>
      <w:r w:rsidRPr="0015775A">
        <w:t xml:space="preserve">meni, da so potrebni </w:t>
      </w:r>
      <w:r w:rsidRPr="0015775A">
        <w:rPr>
          <w:b/>
        </w:rPr>
        <w:t>namenski ukrepi</w:t>
      </w:r>
      <w:r w:rsidRPr="0015775A">
        <w:t xml:space="preserve"> za </w:t>
      </w:r>
      <w:r w:rsidRPr="0015775A">
        <w:rPr>
          <w:b/>
        </w:rPr>
        <w:t>razvoj kompetenc</w:t>
      </w:r>
      <w:r w:rsidRPr="0015775A">
        <w:t xml:space="preserve"> in </w:t>
      </w:r>
      <w:r w:rsidRPr="0015775A">
        <w:rPr>
          <w:b/>
        </w:rPr>
        <w:t>utrditev sinergij</w:t>
      </w:r>
      <w:r w:rsidRPr="0015775A">
        <w:t xml:space="preserve"> med zahtevami po biotehnoloških znanjih in spretnostih ter potrebami na področju bioproizvodnje;</w:t>
      </w:r>
    </w:p>
    <w:p w:rsidRPr="0015775A" w:rsidR="005B5C38" w:rsidP="00AF2416" w:rsidRDefault="005B5C38" w14:paraId="2046D1EE" w14:textId="77777777">
      <w:pPr>
        <w:numPr>
          <w:ilvl w:val="0"/>
          <w:numId w:val="4"/>
        </w:numPr>
        <w:suppressAutoHyphens/>
        <w:overflowPunct w:val="0"/>
        <w:autoSpaceDE w:val="0"/>
        <w:autoSpaceDN w:val="0"/>
        <w:adjustRightInd w:val="0"/>
        <w:ind w:left="426" w:hanging="426"/>
        <w:rPr>
          <w:bCs/>
          <w:iCs/>
        </w:rPr>
      </w:pPr>
      <w:r w:rsidRPr="0015775A">
        <w:t xml:space="preserve">predlaga, naj razvoj biotehnologije in bioproizvodnje v EU vključuje </w:t>
      </w:r>
      <w:r w:rsidRPr="0015775A">
        <w:rPr>
          <w:b/>
        </w:rPr>
        <w:t>sektorske kazalnike</w:t>
      </w:r>
      <w:r w:rsidRPr="0015775A">
        <w:t xml:space="preserve">, </w:t>
      </w:r>
      <w:r w:rsidRPr="0015775A">
        <w:rPr>
          <w:b/>
        </w:rPr>
        <w:t>javno-zasebna partnerstva</w:t>
      </w:r>
      <w:r w:rsidRPr="0015775A">
        <w:t xml:space="preserve">, </w:t>
      </w:r>
      <w:r w:rsidRPr="0015775A">
        <w:rPr>
          <w:b/>
        </w:rPr>
        <w:t>medsektorski raziskovalni sistem</w:t>
      </w:r>
      <w:r w:rsidRPr="0015775A">
        <w:t xml:space="preserve">,  </w:t>
      </w:r>
      <w:r w:rsidRPr="0015775A">
        <w:rPr>
          <w:b/>
        </w:rPr>
        <w:t>podatkovno zbirko, v kateri bodo navedeni potencialni vlagatelji</w:t>
      </w:r>
      <w:r w:rsidRPr="0015775A">
        <w:t xml:space="preserve">, </w:t>
      </w:r>
      <w:r w:rsidRPr="0015775A">
        <w:rPr>
          <w:b/>
        </w:rPr>
        <w:t>hitrejše in manj birokratske postopke za izdajo dovoljenj</w:t>
      </w:r>
      <w:r w:rsidRPr="0015775A">
        <w:t xml:space="preserve">, </w:t>
      </w:r>
      <w:r w:rsidRPr="0015775A">
        <w:rPr>
          <w:b/>
        </w:rPr>
        <w:t>popolno sinergijo s cilji trajnostnega razvoja in predlaganim modrim dogovorom</w:t>
      </w:r>
      <w:r w:rsidRPr="0015775A">
        <w:t xml:space="preserve">, namenske in usklajene </w:t>
      </w:r>
      <w:r w:rsidRPr="0015775A">
        <w:rPr>
          <w:b/>
        </w:rPr>
        <w:t>evropske in svetovne standarde</w:t>
      </w:r>
      <w:r w:rsidRPr="0015775A">
        <w:t xml:space="preserve">, ukrepe za povečanje </w:t>
      </w:r>
      <w:r w:rsidRPr="0015775A">
        <w:rPr>
          <w:b/>
        </w:rPr>
        <w:t>javne podpore, zaupanja in izobraževanja</w:t>
      </w:r>
      <w:r w:rsidRPr="0015775A">
        <w:t xml:space="preserve"> ter </w:t>
      </w:r>
      <w:r w:rsidRPr="0015775A">
        <w:rPr>
          <w:b/>
        </w:rPr>
        <w:t>več jasnosti pri ločevanju med nacionalnimi in deljenimi pristojnostmi</w:t>
      </w:r>
      <w:r w:rsidRPr="0015775A">
        <w:t>;</w:t>
      </w:r>
    </w:p>
    <w:p w:rsidRPr="0015775A" w:rsidR="005B5C38" w:rsidP="00AF2416" w:rsidRDefault="005B5C38" w14:paraId="57F055F3" w14:textId="77777777">
      <w:pPr>
        <w:numPr>
          <w:ilvl w:val="0"/>
          <w:numId w:val="4"/>
        </w:numPr>
        <w:suppressAutoHyphens/>
        <w:overflowPunct w:val="0"/>
        <w:autoSpaceDE w:val="0"/>
        <w:autoSpaceDN w:val="0"/>
        <w:adjustRightInd w:val="0"/>
        <w:ind w:left="426" w:hanging="426"/>
        <w:rPr>
          <w:bCs/>
          <w:iCs/>
        </w:rPr>
      </w:pPr>
      <w:r w:rsidRPr="0015775A">
        <w:t xml:space="preserve">predlaga, naj se </w:t>
      </w:r>
      <w:r w:rsidRPr="0015775A">
        <w:rPr>
          <w:b/>
        </w:rPr>
        <w:t>biotehnologija in bioproizvodnja v EU financirata</w:t>
      </w:r>
      <w:r w:rsidRPr="0015775A">
        <w:t xml:space="preserve"> ob ustreznem upoštevanju</w:t>
      </w:r>
      <w:r w:rsidRPr="0015775A">
        <w:rPr>
          <w:b/>
        </w:rPr>
        <w:t xml:space="preserve"> na sinergijah temelječega pristopa v zvezi z mehanizmom za okrevanje in odpornost</w:t>
      </w:r>
      <w:r w:rsidRPr="0015775A">
        <w:t xml:space="preserve">, </w:t>
      </w:r>
      <w:r w:rsidRPr="0015775A">
        <w:rPr>
          <w:b/>
        </w:rPr>
        <w:t>Evropsko investicijsko banko (EIB)</w:t>
      </w:r>
      <w:r w:rsidRPr="0015775A">
        <w:t xml:space="preserve"> in </w:t>
      </w:r>
      <w:r w:rsidRPr="0015775A">
        <w:rPr>
          <w:b/>
        </w:rPr>
        <w:t>kohezijsko politiko</w:t>
      </w:r>
      <w:r w:rsidRPr="0015775A">
        <w:t xml:space="preserve">; meni, da bi bilo treba del denarja, ustvarjenega z </w:t>
      </w:r>
      <w:r w:rsidRPr="0015775A">
        <w:rPr>
          <w:b/>
        </w:rPr>
        <w:t>okoljskimi davki</w:t>
      </w:r>
      <w:r w:rsidRPr="0015775A">
        <w:t xml:space="preserve">, preusmeriti v financiranje proizvodov zelene biotehnologije in da bi bilo treba uporabiti </w:t>
      </w:r>
      <w:r w:rsidRPr="0015775A">
        <w:rPr>
          <w:b/>
        </w:rPr>
        <w:t>različne in kombinirane finančne vire in sklade</w:t>
      </w:r>
      <w:r w:rsidRPr="0015775A">
        <w:t>, kot so posojila, tvegani kapital in javni skladi.</w:t>
      </w:r>
    </w:p>
    <w:p w:rsidRPr="0015775A" w:rsidR="005B5C38" w:rsidP="00AF2416" w:rsidRDefault="005B5C38" w14:paraId="3A1E37D9" w14:textId="77777777">
      <w:pPr>
        <w:suppressAutoHyphens/>
        <w:rPr>
          <w:bCs/>
          <w:iCs/>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15775A" w:rsidR="005B5C38" w:rsidTr="005B5C38" w14:paraId="3E03B7E1" w14:textId="77777777">
        <w:tc>
          <w:tcPr>
            <w:tcW w:w="1556" w:type="pct"/>
            <w:hideMark/>
          </w:tcPr>
          <w:p w:rsidRPr="0015775A" w:rsidR="005B5C38" w:rsidP="00AF2416" w:rsidRDefault="005B5C38" w14:paraId="3451613D" w14:textId="77777777">
            <w:pPr>
              <w:suppressAutoHyphens/>
              <w:rPr>
                <w:i/>
              </w:rPr>
            </w:pPr>
            <w:r w:rsidRPr="0015775A">
              <w:rPr>
                <w:b/>
                <w:i/>
              </w:rPr>
              <w:t>Kontaktna oseba</w:t>
            </w:r>
          </w:p>
        </w:tc>
        <w:tc>
          <w:tcPr>
            <w:tcW w:w="3444" w:type="pct"/>
            <w:hideMark/>
          </w:tcPr>
          <w:p w:rsidRPr="0015775A" w:rsidR="005B5C38" w:rsidP="00AF2416" w:rsidRDefault="005B5C38" w14:paraId="310C4018" w14:textId="77777777">
            <w:pPr>
              <w:suppressAutoHyphens/>
              <w:rPr>
                <w:bCs/>
                <w:i/>
              </w:rPr>
            </w:pPr>
            <w:r w:rsidRPr="0015775A">
              <w:rPr>
                <w:bCs/>
                <w:i/>
              </w:rPr>
              <w:t>Marie-Laurence DRILLON</w:t>
            </w:r>
          </w:p>
        </w:tc>
      </w:tr>
      <w:tr w:rsidRPr="0015775A" w:rsidR="005B5C38" w:rsidTr="005B5C38" w14:paraId="39C6AECA" w14:textId="77777777">
        <w:tc>
          <w:tcPr>
            <w:tcW w:w="1556" w:type="pct"/>
            <w:hideMark/>
          </w:tcPr>
          <w:p w:rsidRPr="0015775A" w:rsidR="005B5C38" w:rsidP="00AF2416" w:rsidRDefault="005B5C38" w14:paraId="2FB20071" w14:textId="77777777">
            <w:pPr>
              <w:suppressAutoHyphens/>
              <w:rPr>
                <w:i/>
              </w:rPr>
            </w:pPr>
            <w:r w:rsidRPr="0015775A">
              <w:rPr>
                <w:i/>
              </w:rPr>
              <w:t>Telefon</w:t>
            </w:r>
          </w:p>
        </w:tc>
        <w:tc>
          <w:tcPr>
            <w:tcW w:w="3444" w:type="pct"/>
            <w:hideMark/>
          </w:tcPr>
          <w:p w:rsidRPr="0015775A" w:rsidR="005B5C38" w:rsidP="00AF2416" w:rsidRDefault="005B5C38" w14:paraId="5AC7B063" w14:textId="77777777">
            <w:pPr>
              <w:suppressAutoHyphens/>
              <w:rPr>
                <w:i/>
              </w:rPr>
            </w:pPr>
            <w:r w:rsidRPr="0015775A">
              <w:rPr>
                <w:i/>
              </w:rPr>
              <w:t>+32 25468320</w:t>
            </w:r>
          </w:p>
        </w:tc>
      </w:tr>
      <w:tr w:rsidRPr="0015775A" w:rsidR="005B5C38" w:rsidTr="005B5C38" w14:paraId="164FF32E" w14:textId="77777777">
        <w:tc>
          <w:tcPr>
            <w:tcW w:w="1556" w:type="pct"/>
            <w:hideMark/>
          </w:tcPr>
          <w:p w:rsidRPr="0015775A" w:rsidR="005B5C38" w:rsidP="00AF2416" w:rsidRDefault="005B5C38" w14:paraId="162C59A5" w14:textId="77777777">
            <w:pPr>
              <w:suppressAutoHyphens/>
              <w:rPr>
                <w:i/>
              </w:rPr>
            </w:pPr>
            <w:r w:rsidRPr="0015775A">
              <w:rPr>
                <w:i/>
              </w:rPr>
              <w:t>E-naslov</w:t>
            </w:r>
          </w:p>
        </w:tc>
        <w:tc>
          <w:tcPr>
            <w:tcW w:w="3444" w:type="pct"/>
            <w:hideMark/>
          </w:tcPr>
          <w:p w:rsidRPr="0015775A" w:rsidR="005B5C38" w:rsidP="00AF2416" w:rsidRDefault="006E0B19" w14:paraId="3E77D5C0" w14:textId="77777777">
            <w:pPr>
              <w:suppressAutoHyphens/>
              <w:rPr>
                <w:i/>
              </w:rPr>
            </w:pPr>
            <w:hyperlink w:history="1" r:id="rId37">
              <w:r w:rsidRPr="0015775A" w:rsidR="005B5C38">
                <w:rPr>
                  <w:rStyle w:val="Hyperlink"/>
                  <w:i/>
                </w:rPr>
                <w:t>Marie-Laurence.Drillon@eesc.europa.eu</w:t>
              </w:r>
            </w:hyperlink>
          </w:p>
        </w:tc>
      </w:tr>
    </w:tbl>
    <w:p w:rsidRPr="0015775A" w:rsidR="00D742A4" w:rsidP="00AF2416" w:rsidRDefault="00D742A4" w14:paraId="6193E08C" w14:textId="259E3A50">
      <w:pPr>
        <w:suppressAutoHyphens/>
        <w:spacing w:line="259" w:lineRule="auto"/>
        <w:jc w:val="left"/>
        <w:rPr>
          <w:b/>
          <w:i/>
          <w:sz w:val="28"/>
        </w:rPr>
      </w:pPr>
      <w:r w:rsidRPr="0015775A">
        <w:rPr>
          <w:b/>
          <w:i/>
          <w:sz w:val="28"/>
        </w:rPr>
        <w:br w:type="page"/>
      </w:r>
    </w:p>
    <w:p w:rsidRPr="0015775A" w:rsidR="005B5C38" w:rsidP="00AF2416" w:rsidRDefault="001F0B3A" w14:paraId="35B33329" w14:textId="54ED65CD">
      <w:pPr>
        <w:numPr>
          <w:ilvl w:val="0"/>
          <w:numId w:val="28"/>
        </w:numPr>
        <w:tabs>
          <w:tab w:val="center" w:pos="0"/>
        </w:tabs>
        <w:suppressAutoHyphens/>
        <w:overflowPunct w:val="0"/>
        <w:autoSpaceDE w:val="0"/>
        <w:autoSpaceDN w:val="0"/>
        <w:adjustRightInd w:val="0"/>
        <w:ind w:left="567" w:hanging="567"/>
        <w:textAlignment w:val="baseline"/>
        <w:rPr>
          <w:b/>
          <w:i/>
          <w:iCs/>
          <w:sz w:val="28"/>
          <w:szCs w:val="28"/>
        </w:rPr>
      </w:pPr>
      <w:r w:rsidRPr="0015775A">
        <w:rPr>
          <w:b/>
          <w:bCs/>
          <w:i/>
          <w:iCs/>
          <w:color w:val="0000FF"/>
          <w:sz w:val="28"/>
          <w:szCs w:val="28"/>
          <w:u w:val="single"/>
        </w:rPr>
        <w:lastRenderedPageBreak/>
        <w:t>Nizkoogljična in obnovljiva goriva: krepitev zmogljivosti evropske industrije za razogljičenje letalskega in pomorskega sektorja v interesu evropske avtonomije</w:t>
      </w:r>
    </w:p>
    <w:p w:rsidRPr="0015775A" w:rsidR="005B5C38" w:rsidP="00AF2416" w:rsidRDefault="005B5C38" w14:paraId="36BE7327" w14:textId="77777777">
      <w:pPr>
        <w:tabs>
          <w:tab w:val="center" w:pos="284"/>
        </w:tabs>
        <w:suppressAutoHyphens/>
        <w:overflowPunct w:val="0"/>
        <w:autoSpaceDE w:val="0"/>
        <w:autoSpaceDN w:val="0"/>
        <w:adjustRightInd w:val="0"/>
        <w:textAlignment w:val="baseline"/>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41"/>
        <w:gridCol w:w="6630"/>
      </w:tblGrid>
      <w:tr w:rsidRPr="0015775A" w:rsidR="005B5C38" w:rsidTr="00AF2416" w14:paraId="186705FD" w14:textId="77777777">
        <w:tc>
          <w:tcPr>
            <w:tcW w:w="2441" w:type="dxa"/>
            <w:hideMark/>
          </w:tcPr>
          <w:p w:rsidRPr="0015775A" w:rsidR="005B5C38" w:rsidP="00AF2416" w:rsidRDefault="005B5C38" w14:paraId="43546F0B" w14:textId="77777777">
            <w:pPr>
              <w:tabs>
                <w:tab w:val="center" w:pos="284"/>
              </w:tabs>
              <w:suppressAutoHyphens/>
              <w:overflowPunct w:val="0"/>
              <w:autoSpaceDE w:val="0"/>
              <w:autoSpaceDN w:val="0"/>
              <w:adjustRightInd w:val="0"/>
              <w:textAlignment w:val="baseline"/>
              <w:rPr>
                <w:bCs/>
              </w:rPr>
            </w:pPr>
            <w:r w:rsidRPr="0015775A">
              <w:rPr>
                <w:b/>
                <w:bCs/>
              </w:rPr>
              <w:t>Poročevalec</w:t>
            </w:r>
          </w:p>
        </w:tc>
        <w:tc>
          <w:tcPr>
            <w:tcW w:w="6630" w:type="dxa"/>
            <w:hideMark/>
          </w:tcPr>
          <w:p w:rsidRPr="0015775A" w:rsidR="005B5C38" w:rsidP="00AF2416" w:rsidRDefault="005B5C38" w14:paraId="1934C49A" w14:textId="77777777">
            <w:pPr>
              <w:tabs>
                <w:tab w:val="center" w:pos="284"/>
              </w:tabs>
              <w:suppressAutoHyphens/>
              <w:overflowPunct w:val="0"/>
              <w:autoSpaceDE w:val="0"/>
              <w:autoSpaceDN w:val="0"/>
              <w:adjustRightInd w:val="0"/>
              <w:textAlignment w:val="baseline"/>
              <w:rPr>
                <w:bCs/>
              </w:rPr>
            </w:pPr>
            <w:r w:rsidRPr="0015775A">
              <w:rPr>
                <w:bCs/>
              </w:rPr>
              <w:t>Anastasis YIAPANIS (skupina organizacij civilne družbe – CY)</w:t>
            </w:r>
          </w:p>
        </w:tc>
      </w:tr>
      <w:tr w:rsidRPr="0015775A" w:rsidR="005B5C38" w:rsidTr="00AF2416" w14:paraId="5FA8B14C" w14:textId="77777777">
        <w:tc>
          <w:tcPr>
            <w:tcW w:w="2441" w:type="dxa"/>
            <w:hideMark/>
          </w:tcPr>
          <w:p w:rsidRPr="0015775A" w:rsidR="005B5C38" w:rsidP="00AF2416" w:rsidRDefault="005B5C38" w14:paraId="435D7DAC" w14:textId="77777777">
            <w:pPr>
              <w:tabs>
                <w:tab w:val="center" w:pos="284"/>
              </w:tabs>
              <w:suppressAutoHyphens/>
              <w:overflowPunct w:val="0"/>
              <w:autoSpaceDE w:val="0"/>
              <w:autoSpaceDN w:val="0"/>
              <w:adjustRightInd w:val="0"/>
              <w:textAlignment w:val="baseline"/>
              <w:rPr>
                <w:bCs/>
              </w:rPr>
            </w:pPr>
            <w:r w:rsidRPr="0015775A">
              <w:rPr>
                <w:b/>
              </w:rPr>
              <w:t>Soporočevalec</w:t>
            </w:r>
          </w:p>
        </w:tc>
        <w:tc>
          <w:tcPr>
            <w:tcW w:w="6630" w:type="dxa"/>
            <w:hideMark/>
          </w:tcPr>
          <w:p w:rsidRPr="0015775A" w:rsidR="005B5C38" w:rsidP="00AF2416" w:rsidRDefault="005B5C38" w14:paraId="74AB0340" w14:textId="5B253EBF">
            <w:pPr>
              <w:tabs>
                <w:tab w:val="center" w:pos="284"/>
              </w:tabs>
              <w:suppressAutoHyphens/>
              <w:overflowPunct w:val="0"/>
              <w:autoSpaceDE w:val="0"/>
              <w:autoSpaceDN w:val="0"/>
              <w:adjustRightInd w:val="0"/>
              <w:textAlignment w:val="baseline"/>
              <w:rPr>
                <w:bCs/>
              </w:rPr>
            </w:pPr>
            <w:r w:rsidRPr="0015775A">
              <w:rPr>
                <w:bCs/>
              </w:rPr>
              <w:t>Franck UHLIG (FR</w:t>
            </w:r>
            <w:r w:rsidRPr="0015775A" w:rsidR="008E042C">
              <w:rPr>
                <w:bCs/>
              </w:rPr>
              <w:t>-2. kat.</w:t>
            </w:r>
            <w:r w:rsidRPr="0015775A">
              <w:rPr>
                <w:bCs/>
              </w:rPr>
              <w:t>)</w:t>
            </w:r>
          </w:p>
        </w:tc>
      </w:tr>
      <w:tr w:rsidRPr="0015775A" w:rsidR="005B5C38" w:rsidTr="00AF2416" w14:paraId="4513C1AB" w14:textId="77777777">
        <w:tc>
          <w:tcPr>
            <w:tcW w:w="9071" w:type="dxa"/>
            <w:gridSpan w:val="2"/>
          </w:tcPr>
          <w:p w:rsidRPr="0015775A" w:rsidR="005B5C38" w:rsidP="00AF2416" w:rsidRDefault="005B5C38" w14:paraId="65A6A4F9" w14:textId="77777777">
            <w:pPr>
              <w:tabs>
                <w:tab w:val="center" w:pos="284"/>
              </w:tabs>
              <w:suppressAutoHyphens/>
              <w:overflowPunct w:val="0"/>
              <w:autoSpaceDE w:val="0"/>
              <w:autoSpaceDN w:val="0"/>
              <w:adjustRightInd w:val="0"/>
              <w:spacing w:line="240" w:lineRule="auto"/>
              <w:textAlignment w:val="baseline"/>
              <w:rPr>
                <w:bCs/>
                <w:sz w:val="16"/>
                <w:szCs w:val="16"/>
              </w:rPr>
            </w:pPr>
          </w:p>
        </w:tc>
      </w:tr>
      <w:tr w:rsidRPr="0015775A" w:rsidR="00AF2416" w:rsidTr="00AF2416" w14:paraId="19496C36" w14:textId="77777777">
        <w:trPr>
          <w:trHeight w:val="607"/>
        </w:trPr>
        <w:tc>
          <w:tcPr>
            <w:tcW w:w="2441" w:type="dxa"/>
            <w:hideMark/>
          </w:tcPr>
          <w:p w:rsidRPr="0015775A" w:rsidR="00AF2416" w:rsidP="00AF2416" w:rsidRDefault="00AF2416" w14:paraId="21F99577" w14:textId="77777777">
            <w:pPr>
              <w:tabs>
                <w:tab w:val="center" w:pos="284"/>
              </w:tabs>
              <w:suppressAutoHyphens/>
              <w:overflowPunct w:val="0"/>
              <w:autoSpaceDE w:val="0"/>
              <w:autoSpaceDN w:val="0"/>
              <w:adjustRightInd w:val="0"/>
              <w:textAlignment w:val="baseline"/>
              <w:rPr>
                <w:bCs/>
              </w:rPr>
            </w:pPr>
            <w:r w:rsidRPr="0015775A">
              <w:rPr>
                <w:b/>
              </w:rPr>
              <w:t>Referenčni dokument</w:t>
            </w:r>
          </w:p>
        </w:tc>
        <w:tc>
          <w:tcPr>
            <w:tcW w:w="6630" w:type="dxa"/>
            <w:hideMark/>
          </w:tcPr>
          <w:p w:rsidRPr="0015775A" w:rsidR="00AF2416" w:rsidP="00AF2416" w:rsidRDefault="00AF2416" w14:paraId="390D18C5" w14:textId="77777777">
            <w:pPr>
              <w:tabs>
                <w:tab w:val="center" w:pos="284"/>
              </w:tabs>
              <w:suppressAutoHyphens/>
              <w:overflowPunct w:val="0"/>
              <w:autoSpaceDE w:val="0"/>
              <w:autoSpaceDN w:val="0"/>
              <w:adjustRightInd w:val="0"/>
              <w:textAlignment w:val="baseline"/>
              <w:rPr>
                <w:bCs/>
              </w:rPr>
            </w:pPr>
            <w:r w:rsidRPr="0015775A">
              <w:rPr>
                <w:bCs/>
              </w:rPr>
              <w:t>mnenje na lastno pobudo</w:t>
            </w:r>
          </w:p>
          <w:p w:rsidRPr="0015775A" w:rsidR="00AF2416" w:rsidP="00AF2416" w:rsidRDefault="00AF2416" w14:paraId="7EE7AF9F" w14:textId="467C1CCD">
            <w:pPr>
              <w:tabs>
                <w:tab w:val="center" w:pos="284"/>
              </w:tabs>
              <w:suppressAutoHyphens/>
              <w:overflowPunct w:val="0"/>
              <w:autoSpaceDE w:val="0"/>
              <w:autoSpaceDN w:val="0"/>
              <w:adjustRightInd w:val="0"/>
              <w:textAlignment w:val="baseline"/>
              <w:rPr>
                <w:bCs/>
              </w:rPr>
            </w:pPr>
            <w:r w:rsidRPr="0015775A">
              <w:rPr>
                <w:bCs/>
              </w:rPr>
              <w:t>EESC-2024-00735-00-00-AC</w:t>
            </w:r>
          </w:p>
        </w:tc>
      </w:tr>
    </w:tbl>
    <w:p w:rsidRPr="0015775A" w:rsidR="005B5C38" w:rsidP="00AF2416" w:rsidRDefault="005B5C38" w14:paraId="2355F362" w14:textId="77777777">
      <w:pPr>
        <w:tabs>
          <w:tab w:val="left" w:pos="1843"/>
        </w:tabs>
        <w:suppressAutoHyphens/>
        <w:overflowPunct w:val="0"/>
        <w:autoSpaceDE w:val="0"/>
        <w:autoSpaceDN w:val="0"/>
        <w:adjustRightInd w:val="0"/>
        <w:textAlignment w:val="baseline"/>
        <w:rPr>
          <w:bCs/>
        </w:rPr>
      </w:pPr>
    </w:p>
    <w:p w:rsidRPr="0015775A" w:rsidR="005B5C38" w:rsidP="00AF2416" w:rsidRDefault="005B5C38" w14:paraId="3366CEA5" w14:textId="77777777">
      <w:pPr>
        <w:suppressAutoHyphens/>
        <w:ind w:left="142" w:hanging="142"/>
        <w:rPr>
          <w:rFonts w:cstheme="minorBidi"/>
          <w:b/>
        </w:rPr>
      </w:pPr>
      <w:r w:rsidRPr="0015775A">
        <w:rPr>
          <w:b/>
        </w:rPr>
        <w:t>Glavne točke</w:t>
      </w:r>
    </w:p>
    <w:p w:rsidRPr="0015775A" w:rsidR="005B5C38" w:rsidP="00AF2416" w:rsidRDefault="005B5C38" w14:paraId="0A1253D4" w14:textId="77777777">
      <w:pPr>
        <w:suppressAutoHyphens/>
        <w:ind w:left="142" w:hanging="142"/>
        <w:rPr>
          <w:bCs/>
        </w:rPr>
      </w:pPr>
    </w:p>
    <w:p w:rsidRPr="0015775A" w:rsidR="005B5C38" w:rsidP="00AF2416" w:rsidRDefault="005B5C38" w14:paraId="7C26B538" w14:textId="77777777">
      <w:pPr>
        <w:suppressAutoHyphens/>
        <w:rPr>
          <w:rFonts w:cstheme="minorBidi"/>
        </w:rPr>
      </w:pPr>
      <w:r w:rsidRPr="0015775A">
        <w:t>EESO:</w:t>
      </w:r>
    </w:p>
    <w:p w:rsidRPr="0015775A" w:rsidR="005B5C38" w:rsidP="00AF2416" w:rsidRDefault="005B5C38" w14:paraId="34ADC119" w14:textId="77777777">
      <w:pPr>
        <w:numPr>
          <w:ilvl w:val="0"/>
          <w:numId w:val="29"/>
        </w:numPr>
        <w:suppressAutoHyphens/>
        <w:ind w:left="426" w:hanging="426"/>
      </w:pPr>
      <w:r w:rsidRPr="0015775A">
        <w:t xml:space="preserve">ugotavlja, da </w:t>
      </w:r>
      <w:r w:rsidRPr="0015775A">
        <w:rPr>
          <w:b/>
          <w:bCs/>
        </w:rPr>
        <w:t>ni spodbud</w:t>
      </w:r>
      <w:r w:rsidRPr="0015775A">
        <w:t xml:space="preserve"> za razvoj projektov za proizvodnjo trajnostnih in nizkoogljičnih goriv ter da so </w:t>
      </w:r>
      <w:r w:rsidRPr="0015775A">
        <w:rPr>
          <w:b/>
          <w:bCs/>
        </w:rPr>
        <w:t>visoki proizvodni stroški in negotovost glede razpoložljivosti trajnostnih goriv</w:t>
      </w:r>
      <w:r w:rsidRPr="0015775A">
        <w:t xml:space="preserve"> velika ovira za njihovo široko uporabo;</w:t>
      </w:r>
    </w:p>
    <w:p w:rsidRPr="0015775A" w:rsidR="005B5C38" w:rsidP="00AF2416" w:rsidRDefault="005B5C38" w14:paraId="08D5A3F1" w14:textId="77777777">
      <w:pPr>
        <w:numPr>
          <w:ilvl w:val="0"/>
          <w:numId w:val="29"/>
        </w:numPr>
        <w:suppressAutoHyphens/>
        <w:ind w:left="426" w:hanging="426"/>
      </w:pPr>
      <w:r w:rsidRPr="0015775A">
        <w:t xml:space="preserve">meni, da </w:t>
      </w:r>
      <w:r w:rsidRPr="0015775A">
        <w:rPr>
          <w:b/>
          <w:bCs/>
        </w:rPr>
        <w:t>bi premajhna proizvodnja trajnostnih goriv v EU negativno vplivala na strateško avtonomijo EU</w:t>
      </w:r>
      <w:r w:rsidRPr="0015775A">
        <w:t>;</w:t>
      </w:r>
    </w:p>
    <w:p w:rsidRPr="0015775A" w:rsidR="005B5C38" w:rsidP="00AF2416" w:rsidRDefault="005B5C38" w14:paraId="06FF0F73" w14:textId="77777777">
      <w:pPr>
        <w:numPr>
          <w:ilvl w:val="0"/>
          <w:numId w:val="29"/>
        </w:numPr>
        <w:suppressAutoHyphens/>
        <w:ind w:left="426" w:hanging="426"/>
      </w:pPr>
      <w:r w:rsidRPr="0015775A">
        <w:t xml:space="preserve">poudarja, da je treba ob močni svetovni konkurenci </w:t>
      </w:r>
      <w:r w:rsidRPr="0015775A">
        <w:rPr>
          <w:b/>
          <w:bCs/>
        </w:rPr>
        <w:t>ohraniti in okrepiti konkurenčnost industrije EU</w:t>
      </w:r>
      <w:r w:rsidRPr="0015775A">
        <w:t>;</w:t>
      </w:r>
    </w:p>
    <w:p w:rsidRPr="0015775A" w:rsidR="005B5C38" w:rsidP="00AF2416" w:rsidRDefault="005B5C38" w14:paraId="0200596A" w14:textId="77777777">
      <w:pPr>
        <w:numPr>
          <w:ilvl w:val="0"/>
          <w:numId w:val="29"/>
        </w:numPr>
        <w:suppressAutoHyphens/>
        <w:ind w:left="426" w:hanging="426"/>
        <w:rPr>
          <w:b/>
          <w:bCs/>
        </w:rPr>
      </w:pPr>
      <w:r w:rsidRPr="0015775A">
        <w:t xml:space="preserve">se zavzema za </w:t>
      </w:r>
      <w:r w:rsidRPr="0015775A">
        <w:rPr>
          <w:b/>
          <w:bCs/>
        </w:rPr>
        <w:t>celovit načrt za povečanje uporabe trajnostnih letalskih goriv</w:t>
      </w:r>
      <w:r w:rsidRPr="0015775A">
        <w:t>;</w:t>
      </w:r>
    </w:p>
    <w:p w:rsidRPr="0015775A" w:rsidR="005B5C38" w:rsidP="00AF2416" w:rsidRDefault="005B5C38" w14:paraId="6272F88B" w14:textId="77777777">
      <w:pPr>
        <w:numPr>
          <w:ilvl w:val="0"/>
          <w:numId w:val="29"/>
        </w:numPr>
        <w:suppressAutoHyphens/>
        <w:ind w:left="426" w:hanging="426"/>
        <w:rPr>
          <w:b/>
          <w:bCs/>
        </w:rPr>
      </w:pPr>
      <w:r w:rsidRPr="0015775A">
        <w:t xml:space="preserve">meni, da je </w:t>
      </w:r>
      <w:r w:rsidRPr="0015775A">
        <w:rPr>
          <w:b/>
          <w:bCs/>
        </w:rPr>
        <w:t>za pomorski sektor</w:t>
      </w:r>
      <w:r w:rsidRPr="0015775A">
        <w:t xml:space="preserve"> izziv </w:t>
      </w:r>
      <w:r w:rsidRPr="0015775A">
        <w:rPr>
          <w:b/>
          <w:bCs/>
        </w:rPr>
        <w:t>vzpostavitev infrastrukture za napajanje z gorivom v pristaniščih po vsem svetu za oskrbo ladij z alternativnimi gorivi</w:t>
      </w:r>
      <w:r w:rsidRPr="0015775A">
        <w:t>;</w:t>
      </w:r>
    </w:p>
    <w:p w:rsidRPr="0015775A" w:rsidR="005B5C38" w:rsidP="00AF2416" w:rsidRDefault="005B5C38" w14:paraId="6FB5DFCF" w14:textId="77777777">
      <w:pPr>
        <w:numPr>
          <w:ilvl w:val="0"/>
          <w:numId w:val="29"/>
        </w:numPr>
        <w:suppressAutoHyphens/>
        <w:ind w:left="426" w:hanging="426"/>
      </w:pPr>
      <w:r w:rsidRPr="0015775A">
        <w:t xml:space="preserve">opozarja na tveganje </w:t>
      </w:r>
      <w:r w:rsidRPr="0015775A">
        <w:rPr>
          <w:b/>
          <w:bCs/>
        </w:rPr>
        <w:t>morebitnega pomanjkanja razpoložljivih surovin in</w:t>
      </w:r>
      <w:r w:rsidRPr="0015775A">
        <w:t xml:space="preserve"> zadostne </w:t>
      </w:r>
      <w:r w:rsidRPr="0015775A">
        <w:rPr>
          <w:b/>
          <w:bCs/>
        </w:rPr>
        <w:t>količine razogljičene energije</w:t>
      </w:r>
      <w:r w:rsidRPr="0015775A">
        <w:t xml:space="preserve"> za prehod na proizvodnjo trajnostnih goriv;</w:t>
      </w:r>
    </w:p>
    <w:p w:rsidRPr="0015775A" w:rsidR="005B5C38" w:rsidP="00AF2416" w:rsidRDefault="005B5C38" w14:paraId="2F580DF3" w14:textId="77777777">
      <w:pPr>
        <w:numPr>
          <w:ilvl w:val="0"/>
          <w:numId w:val="29"/>
        </w:numPr>
        <w:suppressAutoHyphens/>
        <w:ind w:left="426" w:hanging="426"/>
      </w:pPr>
      <w:r w:rsidRPr="0015775A">
        <w:t xml:space="preserve">poziva, naj </w:t>
      </w:r>
      <w:r w:rsidRPr="0015775A">
        <w:rPr>
          <w:b/>
          <w:bCs/>
        </w:rPr>
        <w:t>se ustvarijo skladni regulativni pogoji za sprostitev naložb s spodbudami za takojšnjo proizvodnjo in vzpostavitev trga za goriva z zmanjšanim ogljičnim odtisom</w:t>
      </w:r>
      <w:r w:rsidRPr="0015775A">
        <w:t>;</w:t>
      </w:r>
    </w:p>
    <w:p w:rsidRPr="0015775A" w:rsidR="005B5C38" w:rsidP="00AF2416" w:rsidRDefault="005B5C38" w14:paraId="601BDF98" w14:textId="77777777">
      <w:pPr>
        <w:numPr>
          <w:ilvl w:val="0"/>
          <w:numId w:val="29"/>
        </w:numPr>
        <w:suppressAutoHyphens/>
        <w:ind w:left="426" w:hanging="426"/>
      </w:pPr>
      <w:r w:rsidRPr="0015775A">
        <w:t xml:space="preserve">predlaga </w:t>
      </w:r>
      <w:r w:rsidRPr="0015775A">
        <w:rPr>
          <w:b/>
          <w:bCs/>
        </w:rPr>
        <w:t>uskladitev obdavčitve z vplivom posameznega goriva na podnebje</w:t>
      </w:r>
      <w:r w:rsidRPr="0015775A">
        <w:t>;</w:t>
      </w:r>
    </w:p>
    <w:p w:rsidRPr="0015775A" w:rsidR="005B5C38" w:rsidP="00AF2416" w:rsidRDefault="005B5C38" w14:paraId="285DAC87" w14:textId="77777777">
      <w:pPr>
        <w:numPr>
          <w:ilvl w:val="0"/>
          <w:numId w:val="29"/>
        </w:numPr>
        <w:suppressAutoHyphens/>
        <w:ind w:left="426" w:hanging="426"/>
        <w:rPr>
          <w:rFonts w:cstheme="minorBidi"/>
        </w:rPr>
      </w:pPr>
      <w:r w:rsidRPr="0015775A">
        <w:t xml:space="preserve">je razočaran, ker </w:t>
      </w:r>
      <w:r w:rsidRPr="0015775A">
        <w:rPr>
          <w:b/>
          <w:bCs/>
        </w:rPr>
        <w:t>nepovratna sredstva in subvencije EU ne dajejo dovolj prednosti infrastrukturi za proizvodnjo nizkoogljičnih in obnovljivih goriv za letalski in pomorski sektor</w:t>
      </w:r>
      <w:r w:rsidRPr="0015775A">
        <w:t>;</w:t>
      </w:r>
    </w:p>
    <w:p w:rsidRPr="0015775A" w:rsidR="005B5C38" w:rsidP="00AF2416" w:rsidRDefault="005B5C38" w14:paraId="2CB07682" w14:textId="77777777">
      <w:pPr>
        <w:numPr>
          <w:ilvl w:val="0"/>
          <w:numId w:val="29"/>
        </w:numPr>
        <w:suppressAutoHyphens/>
        <w:ind w:left="426" w:hanging="426"/>
      </w:pPr>
      <w:r w:rsidRPr="0015775A">
        <w:t xml:space="preserve">meni, da so </w:t>
      </w:r>
      <w:r w:rsidRPr="0015775A">
        <w:rPr>
          <w:b/>
          <w:bCs/>
        </w:rPr>
        <w:t>raziskave in razvoj bistvenega pomena za zmanjšanje stroškov</w:t>
      </w:r>
      <w:r w:rsidRPr="0015775A">
        <w:t xml:space="preserve"> naprednih nizkoogljičnih tehnologij;</w:t>
      </w:r>
    </w:p>
    <w:p w:rsidRPr="0015775A" w:rsidR="005B5C38" w:rsidP="00AF2416" w:rsidRDefault="005B5C38" w14:paraId="08BF2D4D" w14:textId="77777777">
      <w:pPr>
        <w:numPr>
          <w:ilvl w:val="0"/>
          <w:numId w:val="29"/>
        </w:numPr>
        <w:suppressAutoHyphens/>
        <w:ind w:left="426" w:hanging="426"/>
      </w:pPr>
      <w:r w:rsidRPr="0015775A">
        <w:t xml:space="preserve">poziva k </w:t>
      </w:r>
      <w:r w:rsidRPr="0015775A">
        <w:rPr>
          <w:b/>
          <w:bCs/>
        </w:rPr>
        <w:t>celostni strategiji za prehod celotnih industrijskih vrednostnih verig na čisto energijo, ki bo zajemal vodik, povečanje uporabe biogoriv in sintetičnih goriv ter nadaljevanje obstoječih sektorskih partnerstev v okviru naslednika programa Obzorje Evropa</w:t>
      </w:r>
      <w:r w:rsidRPr="0015775A">
        <w:t>;</w:t>
      </w:r>
    </w:p>
    <w:p w:rsidRPr="0015775A" w:rsidR="005B5C38" w:rsidP="00AF2416" w:rsidRDefault="005B5C38" w14:paraId="29398ECF" w14:textId="77777777">
      <w:pPr>
        <w:numPr>
          <w:ilvl w:val="0"/>
          <w:numId w:val="29"/>
        </w:numPr>
        <w:suppressAutoHyphens/>
        <w:ind w:left="426" w:hanging="426"/>
      </w:pPr>
      <w:r w:rsidRPr="0015775A">
        <w:t xml:space="preserve">zagotavlja, da so potrebni </w:t>
      </w:r>
      <w:r w:rsidRPr="0015775A">
        <w:rPr>
          <w:b/>
          <w:bCs/>
        </w:rPr>
        <w:t>programi za razvoj znanj in spretnosti</w:t>
      </w:r>
      <w:r w:rsidRPr="0015775A">
        <w:t xml:space="preserve">, vključno s poklicnim usposabljanjem in podporo pri prehajanju med delovnimi mesti; ponovno poudarja, da je </w:t>
      </w:r>
      <w:r w:rsidRPr="0015775A">
        <w:rPr>
          <w:b/>
          <w:bCs/>
        </w:rPr>
        <w:t>prednostna naloga zagotoviti visoke zdravstvene in varnostne standarde</w:t>
      </w:r>
      <w:r w:rsidRPr="0015775A">
        <w:t>.</w:t>
      </w:r>
    </w:p>
    <w:p w:rsidRPr="0015775A" w:rsidR="005B5C38" w:rsidP="00AF2416" w:rsidRDefault="005B5C38" w14:paraId="202858A5" w14:textId="77777777">
      <w:pPr>
        <w:suppressAutoHyphens/>
      </w:pPr>
    </w:p>
    <w:tbl>
      <w:tblPr>
        <w:tblStyle w:val="TableGrid"/>
        <w:tblW w:w="418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07"/>
        <w:gridCol w:w="5478"/>
      </w:tblGrid>
      <w:tr w:rsidRPr="0015775A" w:rsidR="005B5C38" w:rsidTr="005B5C38" w14:paraId="1FAA97F3" w14:textId="77777777">
        <w:tc>
          <w:tcPr>
            <w:tcW w:w="1389" w:type="pct"/>
            <w:hideMark/>
          </w:tcPr>
          <w:p w:rsidRPr="0015775A" w:rsidR="005B5C38" w:rsidP="00AF2416" w:rsidRDefault="005B5C38" w14:paraId="46DD6352" w14:textId="77777777">
            <w:pPr>
              <w:suppressAutoHyphens/>
              <w:rPr>
                <w:i/>
              </w:rPr>
            </w:pPr>
            <w:r w:rsidRPr="0015775A">
              <w:rPr>
                <w:b/>
                <w:i/>
                <w:szCs w:val="20"/>
              </w:rPr>
              <w:t>Kontaktna oseba</w:t>
            </w:r>
          </w:p>
        </w:tc>
        <w:tc>
          <w:tcPr>
            <w:tcW w:w="3611" w:type="pct"/>
            <w:hideMark/>
          </w:tcPr>
          <w:p w:rsidRPr="0015775A" w:rsidR="005B5C38" w:rsidP="00AF2416" w:rsidRDefault="005B5C38" w14:paraId="36380F2A" w14:textId="77777777">
            <w:pPr>
              <w:suppressAutoHyphens/>
              <w:rPr>
                <w:i/>
              </w:rPr>
            </w:pPr>
            <w:r w:rsidRPr="0015775A">
              <w:rPr>
                <w:i/>
                <w:szCs w:val="20"/>
              </w:rPr>
              <w:t>Adam DORYWALSKI</w:t>
            </w:r>
          </w:p>
        </w:tc>
      </w:tr>
      <w:tr w:rsidRPr="0015775A" w:rsidR="005B5C38" w:rsidTr="005B5C38" w14:paraId="3D581BC2" w14:textId="77777777">
        <w:tc>
          <w:tcPr>
            <w:tcW w:w="1389" w:type="pct"/>
            <w:hideMark/>
          </w:tcPr>
          <w:p w:rsidRPr="0015775A" w:rsidR="005B5C38" w:rsidP="00AF2416" w:rsidRDefault="005B5C38" w14:paraId="6E940903" w14:textId="77777777">
            <w:pPr>
              <w:suppressAutoHyphens/>
              <w:rPr>
                <w:i/>
              </w:rPr>
            </w:pPr>
            <w:r w:rsidRPr="0015775A">
              <w:rPr>
                <w:i/>
                <w:szCs w:val="20"/>
              </w:rPr>
              <w:t>Telefon</w:t>
            </w:r>
          </w:p>
        </w:tc>
        <w:tc>
          <w:tcPr>
            <w:tcW w:w="3611" w:type="pct"/>
            <w:hideMark/>
          </w:tcPr>
          <w:p w:rsidRPr="0015775A" w:rsidR="005B5C38" w:rsidP="00AF2416" w:rsidRDefault="005B5C38" w14:paraId="402A99B9" w14:textId="77777777">
            <w:pPr>
              <w:suppressAutoHyphens/>
              <w:rPr>
                <w:i/>
              </w:rPr>
            </w:pPr>
            <w:r w:rsidRPr="0015775A">
              <w:rPr>
                <w:i/>
                <w:szCs w:val="20"/>
              </w:rPr>
              <w:t>+32 25469397</w:t>
            </w:r>
          </w:p>
        </w:tc>
      </w:tr>
      <w:tr w:rsidRPr="0015775A" w:rsidR="005B5C38" w:rsidTr="005B5C38" w14:paraId="5D3002A7" w14:textId="77777777">
        <w:tc>
          <w:tcPr>
            <w:tcW w:w="1389" w:type="pct"/>
            <w:hideMark/>
          </w:tcPr>
          <w:p w:rsidRPr="0015775A" w:rsidR="005B5C38" w:rsidP="00AF2416" w:rsidRDefault="005B5C38" w14:paraId="782DBB3D" w14:textId="77777777">
            <w:pPr>
              <w:suppressAutoHyphens/>
              <w:rPr>
                <w:i/>
                <w:iCs/>
              </w:rPr>
            </w:pPr>
            <w:r w:rsidRPr="0015775A">
              <w:rPr>
                <w:i/>
                <w:szCs w:val="20"/>
              </w:rPr>
              <w:t>E-naslov</w:t>
            </w:r>
          </w:p>
        </w:tc>
        <w:tc>
          <w:tcPr>
            <w:tcW w:w="3611" w:type="pct"/>
            <w:hideMark/>
          </w:tcPr>
          <w:p w:rsidRPr="0015775A" w:rsidR="005B5C38" w:rsidP="00AF2416" w:rsidRDefault="005B5C38" w14:paraId="0D75043B" w14:textId="77777777">
            <w:pPr>
              <w:suppressAutoHyphens/>
              <w:rPr>
                <w:i/>
                <w:iCs/>
              </w:rPr>
            </w:pPr>
            <w:r w:rsidRPr="0015775A">
              <w:rPr>
                <w:i/>
                <w:color w:val="0000FF"/>
                <w:szCs w:val="20"/>
                <w:u w:val="single"/>
              </w:rPr>
              <w:t>Adam.Dorywalski@eesc.europa.eu</w:t>
            </w:r>
          </w:p>
        </w:tc>
      </w:tr>
    </w:tbl>
    <w:p w:rsidRPr="0015775A" w:rsidR="00747EBB" w:rsidP="00AF2416" w:rsidRDefault="00747EBB" w14:paraId="01E63EDD" w14:textId="29923592">
      <w:pPr>
        <w:suppressAutoHyphens/>
        <w:spacing w:line="259" w:lineRule="auto"/>
        <w:jc w:val="left"/>
        <w:rPr>
          <w:rFonts w:eastAsiaTheme="minorHAnsi"/>
          <w:i/>
          <w:iCs/>
        </w:rPr>
      </w:pPr>
      <w:r w:rsidRPr="0015775A">
        <w:br w:type="page"/>
      </w:r>
    </w:p>
    <w:p w:rsidRPr="0015775A" w:rsidR="001D3CE7" w:rsidP="00AF2416" w:rsidRDefault="001F0B3A" w14:paraId="3B33B09E" w14:textId="362D8DEC">
      <w:pPr>
        <w:numPr>
          <w:ilvl w:val="0"/>
          <w:numId w:val="4"/>
        </w:numPr>
        <w:suppressAutoHyphens/>
        <w:overflowPunct w:val="0"/>
        <w:autoSpaceDE w:val="0"/>
        <w:autoSpaceDN w:val="0"/>
        <w:adjustRightInd w:val="0"/>
        <w:ind w:hanging="567"/>
        <w:rPr>
          <w:sz w:val="20"/>
        </w:rPr>
      </w:pPr>
      <w:r w:rsidRPr="0015775A">
        <w:rPr>
          <w:b/>
          <w:bCs/>
          <w:i/>
          <w:iCs/>
          <w:color w:val="0000FF"/>
          <w:sz w:val="28"/>
          <w:szCs w:val="28"/>
          <w:u w:val="single"/>
        </w:rPr>
        <w:lastRenderedPageBreak/>
        <w:t>Napredni materiali za vodilni položaj v industriji</w:t>
      </w:r>
    </w:p>
    <w:p w:rsidRPr="0015775A" w:rsidR="001D3CE7" w:rsidP="00AF2416" w:rsidRDefault="001D3CE7" w14:paraId="490B5EBC" w14:textId="77777777"/>
    <w:tbl>
      <w:tblPr>
        <w:tblStyle w:val="TableGrid"/>
        <w:tblW w:w="499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60"/>
        <w:gridCol w:w="6609"/>
      </w:tblGrid>
      <w:tr w:rsidRPr="0015775A" w:rsidR="001D3CE7" w:rsidTr="001D3CE7" w14:paraId="255AC57D" w14:textId="77777777">
        <w:tc>
          <w:tcPr>
            <w:tcW w:w="1356" w:type="pct"/>
            <w:hideMark/>
          </w:tcPr>
          <w:p w:rsidRPr="0015775A" w:rsidR="001D3CE7" w:rsidP="00AF2416" w:rsidRDefault="001D3CE7" w14:paraId="543E3B1F" w14:textId="77777777">
            <w:pPr>
              <w:tabs>
                <w:tab w:val="center" w:pos="284"/>
              </w:tabs>
              <w:suppressAutoHyphens/>
              <w:ind w:left="266" w:hanging="266"/>
              <w:rPr>
                <w:b/>
              </w:rPr>
            </w:pPr>
            <w:r w:rsidRPr="0015775A">
              <w:rPr>
                <w:b/>
                <w:bCs/>
              </w:rPr>
              <w:t>Poročevalec</w:t>
            </w:r>
          </w:p>
        </w:tc>
        <w:tc>
          <w:tcPr>
            <w:tcW w:w="3644" w:type="pct"/>
            <w:hideMark/>
          </w:tcPr>
          <w:p w:rsidRPr="0015775A" w:rsidR="001D3CE7" w:rsidP="00AF2416" w:rsidRDefault="001D3CE7" w14:paraId="726EF285" w14:textId="77777777">
            <w:pPr>
              <w:tabs>
                <w:tab w:val="center" w:pos="284"/>
              </w:tabs>
              <w:suppressAutoHyphens/>
              <w:ind w:left="266" w:right="-812" w:hanging="266"/>
            </w:pPr>
            <w:r w:rsidRPr="0015775A">
              <w:rPr>
                <w:b/>
              </w:rPr>
              <w:t>Anastasis YIAPANIS (skupina organizacij civilne družbe – CY)</w:t>
            </w:r>
          </w:p>
        </w:tc>
      </w:tr>
      <w:tr w:rsidRPr="0015775A" w:rsidR="001D3CE7" w:rsidTr="001D3CE7" w14:paraId="64493495" w14:textId="77777777">
        <w:tc>
          <w:tcPr>
            <w:tcW w:w="1356" w:type="pct"/>
            <w:hideMark/>
          </w:tcPr>
          <w:p w:rsidRPr="0015775A" w:rsidR="001D3CE7" w:rsidP="00AF2416" w:rsidRDefault="001D3CE7" w14:paraId="265718EA" w14:textId="77777777">
            <w:pPr>
              <w:tabs>
                <w:tab w:val="center" w:pos="284"/>
              </w:tabs>
              <w:suppressAutoHyphens/>
              <w:ind w:left="266" w:hanging="266"/>
              <w:rPr>
                <w:b/>
              </w:rPr>
            </w:pPr>
            <w:r w:rsidRPr="0015775A">
              <w:rPr>
                <w:b/>
              </w:rPr>
              <w:t>Soporočevalec</w:t>
            </w:r>
          </w:p>
        </w:tc>
        <w:tc>
          <w:tcPr>
            <w:tcW w:w="3644" w:type="pct"/>
            <w:hideMark/>
          </w:tcPr>
          <w:p w:rsidRPr="0015775A" w:rsidR="001D3CE7" w:rsidP="00AF2416" w:rsidRDefault="001D3CE7" w14:paraId="76638DF0" w14:textId="3EE5104F">
            <w:pPr>
              <w:tabs>
                <w:tab w:val="center" w:pos="284"/>
              </w:tabs>
              <w:suppressAutoHyphens/>
              <w:ind w:left="266" w:right="-1383" w:hanging="266"/>
            </w:pPr>
            <w:r w:rsidRPr="0015775A">
              <w:rPr>
                <w:b/>
              </w:rPr>
              <w:t>Gerardo Luis ARROYO HERRANZ (ES</w:t>
            </w:r>
            <w:r w:rsidRPr="0015775A" w:rsidR="008E042C">
              <w:rPr>
                <w:b/>
              </w:rPr>
              <w:t>-</w:t>
            </w:r>
            <w:r w:rsidRPr="0015775A">
              <w:rPr>
                <w:b/>
              </w:rPr>
              <w:t>1. kat.)</w:t>
            </w:r>
          </w:p>
        </w:tc>
      </w:tr>
      <w:tr w:rsidRPr="0015775A" w:rsidR="001D3CE7" w:rsidTr="001D3CE7" w14:paraId="4A0B6923" w14:textId="77777777">
        <w:tc>
          <w:tcPr>
            <w:tcW w:w="5000" w:type="pct"/>
            <w:gridSpan w:val="2"/>
          </w:tcPr>
          <w:p w:rsidRPr="0015775A" w:rsidR="001D3CE7" w:rsidP="00AF2416" w:rsidRDefault="001D3CE7" w14:paraId="677336D5" w14:textId="77777777">
            <w:pPr>
              <w:tabs>
                <w:tab w:val="center" w:pos="284"/>
              </w:tabs>
              <w:suppressAutoHyphens/>
              <w:ind w:left="266" w:hanging="266"/>
              <w:rPr>
                <w:sz w:val="16"/>
                <w:szCs w:val="16"/>
              </w:rPr>
            </w:pPr>
          </w:p>
        </w:tc>
      </w:tr>
      <w:tr w:rsidRPr="0015775A" w:rsidR="00AF2416" w:rsidTr="00B567C9" w14:paraId="199EABB7" w14:textId="77777777">
        <w:trPr>
          <w:trHeight w:val="607"/>
        </w:trPr>
        <w:tc>
          <w:tcPr>
            <w:tcW w:w="1356" w:type="pct"/>
            <w:hideMark/>
          </w:tcPr>
          <w:p w:rsidRPr="0015775A" w:rsidR="00AF2416" w:rsidP="00AF2416" w:rsidRDefault="00AF2416" w14:paraId="32CD42CD" w14:textId="74AF8841">
            <w:pPr>
              <w:tabs>
                <w:tab w:val="center" w:pos="284"/>
              </w:tabs>
              <w:suppressAutoHyphens/>
              <w:ind w:left="266" w:hanging="266"/>
              <w:rPr>
                <w:b/>
                <w:highlight w:val="yellow"/>
              </w:rPr>
            </w:pPr>
            <w:r w:rsidRPr="0015775A">
              <w:rPr>
                <w:b/>
              </w:rPr>
              <w:t>Referenčna dokumenta</w:t>
            </w:r>
          </w:p>
        </w:tc>
        <w:tc>
          <w:tcPr>
            <w:tcW w:w="3644" w:type="pct"/>
            <w:hideMark/>
          </w:tcPr>
          <w:p w:rsidRPr="0015775A" w:rsidR="00AF2416" w:rsidP="00AF2416" w:rsidRDefault="00AF2416" w14:paraId="4B50E056" w14:textId="77777777">
            <w:pPr>
              <w:tabs>
                <w:tab w:val="center" w:pos="284"/>
              </w:tabs>
              <w:suppressAutoHyphens/>
              <w:ind w:left="266" w:hanging="266"/>
              <w:rPr>
                <w:highlight w:val="yellow"/>
              </w:rPr>
            </w:pPr>
            <w:r w:rsidRPr="0015775A">
              <w:t>COM(2024) 98 final</w:t>
            </w:r>
          </w:p>
          <w:p w:rsidRPr="0015775A" w:rsidR="00AF2416" w:rsidP="00AF2416" w:rsidRDefault="00AF2416" w14:paraId="07887935" w14:textId="78BB1D9A">
            <w:pPr>
              <w:tabs>
                <w:tab w:val="center" w:pos="284"/>
              </w:tabs>
              <w:suppressAutoHyphens/>
              <w:ind w:left="266" w:hanging="266"/>
              <w:rPr>
                <w:highlight w:val="yellow"/>
              </w:rPr>
            </w:pPr>
            <w:r w:rsidRPr="0015775A">
              <w:t>EESC-2024-01425-00-00-AC</w:t>
            </w:r>
          </w:p>
        </w:tc>
      </w:tr>
    </w:tbl>
    <w:p w:rsidRPr="0015775A" w:rsidR="001D3CE7" w:rsidP="00AF2416" w:rsidRDefault="001D3CE7" w14:paraId="2E56D5CC" w14:textId="77777777">
      <w:pPr>
        <w:rPr>
          <w:szCs w:val="20"/>
        </w:rPr>
      </w:pPr>
    </w:p>
    <w:p w:rsidRPr="0015775A" w:rsidR="001D3CE7" w:rsidP="00AF2416" w:rsidRDefault="001D3CE7" w14:paraId="5454BE90" w14:textId="77777777">
      <w:pPr>
        <w:tabs>
          <w:tab w:val="center" w:pos="284"/>
        </w:tabs>
        <w:suppressAutoHyphens/>
        <w:ind w:left="266" w:hanging="266"/>
        <w:rPr>
          <w:b/>
        </w:rPr>
      </w:pPr>
      <w:r w:rsidRPr="0015775A">
        <w:rPr>
          <w:b/>
        </w:rPr>
        <w:t>Glavne točke</w:t>
      </w:r>
    </w:p>
    <w:p w:rsidRPr="0015775A" w:rsidR="001D3CE7" w:rsidP="00AF2416" w:rsidRDefault="001D3CE7" w14:paraId="521F70C7" w14:textId="77777777">
      <w:pPr>
        <w:rPr>
          <w:szCs w:val="20"/>
        </w:rPr>
      </w:pPr>
    </w:p>
    <w:p w:rsidRPr="0015775A" w:rsidR="001D3CE7" w:rsidP="00AF2416" w:rsidRDefault="001D3CE7" w14:paraId="1B3673A9" w14:textId="77777777">
      <w:pPr>
        <w:suppressAutoHyphens/>
      </w:pPr>
      <w:r w:rsidRPr="0015775A">
        <w:t>EESO:</w:t>
      </w:r>
    </w:p>
    <w:p w:rsidRPr="0015775A" w:rsidR="001D3CE7" w:rsidP="00AF2416" w:rsidRDefault="001D3CE7" w14:paraId="12FFED6B" w14:textId="77777777"/>
    <w:p w:rsidRPr="0015775A" w:rsidR="001D3CE7" w:rsidP="00AF2416" w:rsidRDefault="001D3CE7" w14:paraId="7F43DF3C" w14:textId="77777777">
      <w:pPr>
        <w:numPr>
          <w:ilvl w:val="0"/>
          <w:numId w:val="4"/>
        </w:numPr>
        <w:suppressAutoHyphens/>
        <w:ind w:left="426" w:hanging="426"/>
        <w:rPr>
          <w:bCs/>
          <w:iCs/>
        </w:rPr>
      </w:pPr>
      <w:r w:rsidRPr="0015775A">
        <w:t>meni, da sporočila Evropske komisije o naprednih materialih ni mogoče obravnavati kot strategijo, saj ne vsebuje merljivih ciljev, rokov in posebnih ključnih kazalnikov uspešnosti, ki bi podprli njegovo izvajanje;</w:t>
      </w:r>
    </w:p>
    <w:p w:rsidRPr="0015775A" w:rsidR="001D3CE7" w:rsidP="00AF2416" w:rsidRDefault="001D3CE7" w14:paraId="69D7F7EE" w14:textId="77777777">
      <w:pPr>
        <w:numPr>
          <w:ilvl w:val="0"/>
          <w:numId w:val="4"/>
        </w:numPr>
        <w:suppressAutoHyphens/>
        <w:ind w:left="426" w:hanging="426"/>
        <w:rPr>
          <w:bCs/>
          <w:iCs/>
        </w:rPr>
      </w:pPr>
      <w:r w:rsidRPr="0015775A">
        <w:t>je prepričan, da EU potrebuje celosten pristop za zmanjšanje porabe materialov, spodbujanje krožnosti ter lajšanje prehoda na trajnostne poslovne modele in trajnostno potrošniško vedenje;</w:t>
      </w:r>
    </w:p>
    <w:p w:rsidRPr="0015775A" w:rsidR="001D3CE7" w:rsidP="00AF2416" w:rsidRDefault="001D3CE7" w14:paraId="1D4F5E79" w14:textId="77777777">
      <w:pPr>
        <w:numPr>
          <w:ilvl w:val="0"/>
          <w:numId w:val="4"/>
        </w:numPr>
        <w:suppressAutoHyphens/>
        <w:ind w:left="426" w:hanging="426"/>
        <w:rPr>
          <w:bCs/>
          <w:iCs/>
        </w:rPr>
      </w:pPr>
      <w:r w:rsidRPr="0015775A">
        <w:t>ugotavlja, da so za kompleksen ekosistem naprednih materialov potrebni celovita strategija, znatno financiranje in spodbude, prava znanja in spretnosti ter politična podpora na visoki ravni;</w:t>
      </w:r>
    </w:p>
    <w:p w:rsidRPr="0015775A" w:rsidR="001D3CE7" w:rsidP="00AF2416" w:rsidRDefault="001D3CE7" w14:paraId="08E808D9" w14:textId="77777777">
      <w:pPr>
        <w:numPr>
          <w:ilvl w:val="0"/>
          <w:numId w:val="4"/>
        </w:numPr>
        <w:suppressAutoHyphens/>
        <w:ind w:left="426" w:hanging="426"/>
        <w:rPr>
          <w:bCs/>
          <w:iCs/>
        </w:rPr>
      </w:pPr>
      <w:r w:rsidRPr="0015775A">
        <w:t>pozdravlja okrepljen dialog o naprednih materialih med EU in Japonsko in meni, da bi bilo treba takšne pobude razširiti še na druge vodilne države;</w:t>
      </w:r>
    </w:p>
    <w:p w:rsidRPr="0015775A" w:rsidR="001D3CE7" w:rsidP="00AF2416" w:rsidRDefault="001D3CE7" w14:paraId="48A82BD9" w14:textId="77777777">
      <w:pPr>
        <w:numPr>
          <w:ilvl w:val="0"/>
          <w:numId w:val="4"/>
        </w:numPr>
        <w:suppressAutoHyphens/>
        <w:ind w:left="426" w:hanging="426"/>
        <w:rPr>
          <w:bCs/>
          <w:iCs/>
        </w:rPr>
      </w:pPr>
      <w:r w:rsidRPr="0015775A">
        <w:t>meni, da je ključno spodbujati konkurenčnost na področju raziskav, razvoja in inovacij z vključevanjem industrijskih akterjev, javnih organov, socialnih partnerjev in visokega šolstva ter z vzpostavitvijo čezmejne raziskovalne mreže;</w:t>
      </w:r>
    </w:p>
    <w:p w:rsidRPr="0015775A" w:rsidR="001D3CE7" w:rsidP="00AF2416" w:rsidRDefault="001D3CE7" w14:paraId="76A6F474" w14:textId="77777777">
      <w:pPr>
        <w:numPr>
          <w:ilvl w:val="0"/>
          <w:numId w:val="4"/>
        </w:numPr>
        <w:suppressAutoHyphens/>
        <w:ind w:left="426" w:hanging="426"/>
        <w:rPr>
          <w:bCs/>
          <w:iCs/>
        </w:rPr>
      </w:pPr>
      <w:r w:rsidRPr="0015775A">
        <w:t>predlaga, da se zdravstveno varstvo doda med strateška področja na začetku, saj gre za enega največjih evropskih sektorjev, poleg tega pa se napredni materiali, povezani z zdravstvom, pogosto prekrivajo s sektorji, kot sta elektronika in energetika;</w:t>
      </w:r>
    </w:p>
    <w:p w:rsidRPr="0015775A" w:rsidR="001D3CE7" w:rsidP="00AF2416" w:rsidRDefault="001D3CE7" w14:paraId="7DFCF10F" w14:textId="77777777">
      <w:pPr>
        <w:numPr>
          <w:ilvl w:val="0"/>
          <w:numId w:val="4"/>
        </w:numPr>
        <w:suppressAutoHyphens/>
        <w:ind w:left="426" w:hanging="426"/>
        <w:rPr>
          <w:bCs/>
          <w:iCs/>
        </w:rPr>
      </w:pPr>
      <w:r w:rsidRPr="0015775A">
        <w:t>poudarja pomen vključevanja digitalnih tehnologij in inovacij v procese razvoja materialov;</w:t>
      </w:r>
    </w:p>
    <w:p w:rsidRPr="0015775A" w:rsidR="001D3CE7" w:rsidP="00AF2416" w:rsidRDefault="001D3CE7" w14:paraId="6BB8D471" w14:textId="04E633FA">
      <w:pPr>
        <w:numPr>
          <w:ilvl w:val="0"/>
          <w:numId w:val="4"/>
        </w:numPr>
        <w:suppressAutoHyphens/>
        <w:ind w:left="426" w:hanging="426"/>
        <w:rPr>
          <w:bCs/>
          <w:iCs/>
        </w:rPr>
      </w:pPr>
      <w:r w:rsidRPr="0015775A">
        <w:t>podpira uvedbo digitalnih potnih listov za izdelke, ki vsebujejo informacijske standarde in podatke od proizvodnje do recikliranja, vendar svari pred dodatnimi upravnimi bremeni ali stroški za podjetja ali potrošnike;</w:t>
      </w:r>
    </w:p>
    <w:p w:rsidRPr="0015775A" w:rsidR="001D3CE7" w:rsidP="00AF2416" w:rsidRDefault="001D3CE7" w14:paraId="2CBAE6F7" w14:textId="77777777">
      <w:pPr>
        <w:numPr>
          <w:ilvl w:val="0"/>
          <w:numId w:val="4"/>
        </w:numPr>
        <w:suppressAutoHyphens/>
        <w:ind w:left="426" w:hanging="426"/>
        <w:rPr>
          <w:bCs/>
          <w:iCs/>
        </w:rPr>
      </w:pPr>
      <w:r w:rsidRPr="0015775A">
        <w:t>meni, da je treba okrepiti evropsko proizvodnjo, podpreti trženje, poenostaviti dostop do trga in izboljšati nadzor trga na tem področju.</w:t>
      </w:r>
    </w:p>
    <w:p w:rsidRPr="0015775A" w:rsidR="001D3CE7" w:rsidP="00AF2416" w:rsidRDefault="001D3CE7" w14:paraId="193B6B92" w14:textId="77777777"/>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228"/>
      </w:tblGrid>
      <w:tr w:rsidRPr="0015775A" w:rsidR="001D3CE7" w:rsidTr="001D3CE7" w14:paraId="41B66574" w14:textId="77777777">
        <w:tc>
          <w:tcPr>
            <w:tcW w:w="1016" w:type="pct"/>
            <w:hideMark/>
          </w:tcPr>
          <w:p w:rsidRPr="0015775A" w:rsidR="001D3CE7" w:rsidP="00AF2416" w:rsidRDefault="001D3CE7" w14:paraId="179A91B7" w14:textId="77777777">
            <w:pPr>
              <w:suppressAutoHyphens/>
              <w:rPr>
                <w:i/>
              </w:rPr>
            </w:pPr>
            <w:r w:rsidRPr="0015775A">
              <w:rPr>
                <w:b/>
                <w:i/>
              </w:rPr>
              <w:t>Kontaktna oseba</w:t>
            </w:r>
          </w:p>
        </w:tc>
        <w:tc>
          <w:tcPr>
            <w:tcW w:w="3984" w:type="pct"/>
            <w:hideMark/>
          </w:tcPr>
          <w:p w:rsidRPr="0015775A" w:rsidR="001D3CE7" w:rsidP="00AF2416" w:rsidRDefault="001D3CE7" w14:paraId="1FD4CC82" w14:textId="77777777">
            <w:pPr>
              <w:suppressAutoHyphens/>
              <w:rPr>
                <w:bCs/>
                <w:i/>
              </w:rPr>
            </w:pPr>
            <w:r w:rsidRPr="0015775A">
              <w:rPr>
                <w:bCs/>
                <w:i/>
              </w:rPr>
              <w:t>Heli NIEMELÄ-FARRER</w:t>
            </w:r>
          </w:p>
        </w:tc>
      </w:tr>
      <w:tr w:rsidRPr="0015775A" w:rsidR="001D3CE7" w:rsidTr="001D3CE7" w14:paraId="24E12981" w14:textId="77777777">
        <w:tc>
          <w:tcPr>
            <w:tcW w:w="1016" w:type="pct"/>
            <w:hideMark/>
          </w:tcPr>
          <w:p w:rsidRPr="0015775A" w:rsidR="001D3CE7" w:rsidP="00AF2416" w:rsidRDefault="001D3CE7" w14:paraId="0D5EDEE6" w14:textId="77777777">
            <w:pPr>
              <w:suppressAutoHyphens/>
              <w:rPr>
                <w:i/>
              </w:rPr>
            </w:pPr>
            <w:r w:rsidRPr="0015775A">
              <w:rPr>
                <w:i/>
              </w:rPr>
              <w:t>Telefon</w:t>
            </w:r>
          </w:p>
        </w:tc>
        <w:tc>
          <w:tcPr>
            <w:tcW w:w="3984" w:type="pct"/>
            <w:hideMark/>
          </w:tcPr>
          <w:p w:rsidRPr="0015775A" w:rsidR="001D3CE7" w:rsidP="00AF2416" w:rsidRDefault="001D3CE7" w14:paraId="0B99C32C" w14:textId="77777777">
            <w:pPr>
              <w:suppressAutoHyphens/>
              <w:rPr>
                <w:i/>
                <w:szCs w:val="20"/>
              </w:rPr>
            </w:pPr>
            <w:r w:rsidRPr="0015775A">
              <w:rPr>
                <w:i/>
              </w:rPr>
              <w:t>+32 22822464</w:t>
            </w:r>
          </w:p>
        </w:tc>
      </w:tr>
      <w:tr w:rsidRPr="0015775A" w:rsidR="001D3CE7" w:rsidTr="001D3CE7" w14:paraId="16C68B0B" w14:textId="77777777">
        <w:tc>
          <w:tcPr>
            <w:tcW w:w="1016" w:type="pct"/>
            <w:hideMark/>
          </w:tcPr>
          <w:p w:rsidRPr="0015775A" w:rsidR="001D3CE7" w:rsidP="00AF2416" w:rsidRDefault="001D3CE7" w14:paraId="6D020E61" w14:textId="77777777">
            <w:pPr>
              <w:tabs>
                <w:tab w:val="left" w:pos="5160"/>
              </w:tabs>
              <w:suppressAutoHyphens/>
              <w:rPr>
                <w:i/>
                <w:iCs/>
              </w:rPr>
            </w:pPr>
            <w:r w:rsidRPr="0015775A">
              <w:rPr>
                <w:i/>
              </w:rPr>
              <w:t>E-naslov</w:t>
            </w:r>
          </w:p>
        </w:tc>
        <w:tc>
          <w:tcPr>
            <w:tcW w:w="3984" w:type="pct"/>
            <w:hideMark/>
          </w:tcPr>
          <w:p w:rsidRPr="0015775A" w:rsidR="001D3CE7" w:rsidP="00AF2416" w:rsidRDefault="006E0B19" w14:paraId="02EE9B40" w14:textId="77777777">
            <w:pPr>
              <w:tabs>
                <w:tab w:val="left" w:pos="5160"/>
              </w:tabs>
              <w:suppressAutoHyphens/>
              <w:rPr>
                <w:i/>
                <w:szCs w:val="20"/>
              </w:rPr>
            </w:pPr>
            <w:hyperlink w:history="1" r:id="rId38">
              <w:r w:rsidRPr="0015775A" w:rsidR="001D3CE7">
                <w:rPr>
                  <w:rStyle w:val="Hyperlink"/>
                  <w:i/>
                </w:rPr>
                <w:t>Heli.Niemela-Farrer@eesc.europa.eu</w:t>
              </w:r>
            </w:hyperlink>
          </w:p>
        </w:tc>
      </w:tr>
    </w:tbl>
    <w:p w:rsidRPr="0015775A" w:rsidR="004351D4" w:rsidP="00AF2416" w:rsidRDefault="004351D4" w14:paraId="0AE04AB9" w14:textId="0E64AD1A"/>
    <w:p w:rsidRPr="0015775A" w:rsidR="001D3CE7" w:rsidP="00AF2416" w:rsidRDefault="001D3CE7" w14:paraId="1A7D1192" w14:textId="77777777">
      <w:pPr>
        <w:overflowPunct w:val="0"/>
        <w:autoSpaceDE w:val="0"/>
        <w:autoSpaceDN w:val="0"/>
        <w:adjustRightInd w:val="0"/>
        <w:jc w:val="center"/>
        <w:textAlignment w:val="baseline"/>
      </w:pPr>
      <w:r w:rsidRPr="0015775A">
        <w:t>_____________</w:t>
      </w:r>
    </w:p>
    <w:p w:rsidRPr="0015775A" w:rsidR="001D3CE7" w:rsidP="00AF2416" w:rsidRDefault="001D3CE7" w14:paraId="4B17DFC9" w14:textId="77777777"/>
    <w:sectPr w:rsidRPr="0015775A" w:rsidR="001D3CE7" w:rsidSect="009B1D16">
      <w:headerReference w:type="even" r:id="rId39"/>
      <w:headerReference w:type="default" r:id="rId40"/>
      <w:footerReference w:type="even" r:id="rId41"/>
      <w:footerReference w:type="default" r:id="rId42"/>
      <w:headerReference w:type="first" r:id="rId43"/>
      <w:footerReference w:type="first" r:id="rId44"/>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CD019" w14:textId="77777777" w:rsidR="00B47A5B" w:rsidRDefault="00B47A5B" w:rsidP="003B0516">
      <w:pPr>
        <w:spacing w:line="240" w:lineRule="auto"/>
      </w:pPr>
      <w:r>
        <w:separator/>
      </w:r>
    </w:p>
  </w:endnote>
  <w:endnote w:type="continuationSeparator" w:id="0">
    <w:p w14:paraId="7EAA2A5B" w14:textId="77777777" w:rsidR="00B47A5B" w:rsidRDefault="00B47A5B"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3C4ED72E" w:rsidR="00765C4F" w:rsidRPr="009B1D16" w:rsidRDefault="009B1D16" w:rsidP="009B1D16">
    <w:pPr>
      <w:pStyle w:val="Footer"/>
    </w:pPr>
    <w:r>
      <w:t xml:space="preserve">EESC-2024-02113-00-01-TCD-TRA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r w:rsidR="006E0B19">
      <w:fldChar w:fldCharType="begin"/>
    </w:r>
    <w:r w:rsidR="006E0B19">
      <w:instrText xml:space="preserve"> NUMPAGES </w:instrText>
    </w:r>
    <w:r w:rsidR="006E0B19">
      <w:fldChar w:fldCharType="separate"/>
    </w:r>
    <w:r w:rsidR="00B31BA9">
      <w:rPr>
        <w:noProof/>
      </w:rPr>
      <w:instrText>16</w:instrText>
    </w:r>
    <w:r w:rsidR="006E0B19">
      <w:rPr>
        <w:noProof/>
      </w:rPr>
      <w:fldChar w:fldCharType="end"/>
    </w:r>
    <w:r>
      <w:instrText xml:space="preserve"> -0 </w:instrText>
    </w:r>
    <w:r>
      <w:fldChar w:fldCharType="separate"/>
    </w:r>
    <w:r w:rsidR="00B31BA9">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9B1D16" w:rsidRDefault="00E4258F" w:rsidP="009B1D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2621B753" w:rsidR="00E4258F" w:rsidRPr="009B1D16" w:rsidRDefault="009B1D16" w:rsidP="009B1D16">
    <w:pPr>
      <w:pStyle w:val="Footer"/>
    </w:pPr>
    <w:r>
      <w:t xml:space="preserve">EESC-2024-02113-00-01-TCD-TRA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r w:rsidR="006E0B19">
      <w:fldChar w:fldCharType="begin"/>
    </w:r>
    <w:r w:rsidR="006E0B19">
      <w:instrText xml:space="preserve"> NUMPAGES </w:instrText>
    </w:r>
    <w:r w:rsidR="006E0B19">
      <w:fldChar w:fldCharType="separate"/>
    </w:r>
    <w:r w:rsidR="00B31BA9">
      <w:rPr>
        <w:noProof/>
      </w:rPr>
      <w:instrText>16</w:instrText>
    </w:r>
    <w:r w:rsidR="006E0B19">
      <w:rPr>
        <w:noProof/>
      </w:rPr>
      <w:fldChar w:fldCharType="end"/>
    </w:r>
    <w:r>
      <w:instrText xml:space="preserve"> -0 </w:instrText>
    </w:r>
    <w:r>
      <w:fldChar w:fldCharType="separate"/>
    </w:r>
    <w:r w:rsidR="00B31BA9">
      <w:rPr>
        <w:noProof/>
      </w:rPr>
      <w:t>16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9B1D16" w:rsidRDefault="00E4258F" w:rsidP="009B1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B8D56" w14:textId="77777777" w:rsidR="00B47A5B" w:rsidRDefault="00B47A5B" w:rsidP="003B0516">
      <w:pPr>
        <w:spacing w:line="240" w:lineRule="auto"/>
      </w:pPr>
      <w:r>
        <w:separator/>
      </w:r>
    </w:p>
  </w:footnote>
  <w:footnote w:type="continuationSeparator" w:id="0">
    <w:p w14:paraId="728BC228" w14:textId="77777777" w:rsidR="00B47A5B" w:rsidRDefault="00B47A5B"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9B1D16" w:rsidRDefault="00E4258F" w:rsidP="009B1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FFB5680" w:rsidR="00E4258F" w:rsidRPr="009B1D16" w:rsidRDefault="00E4258F" w:rsidP="009B1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9B1D16" w:rsidRDefault="00E4258F" w:rsidP="009B1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0829479D"/>
    <w:multiLevelType w:val="hybridMultilevel"/>
    <w:tmpl w:val="F0BA911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0936141B"/>
    <w:multiLevelType w:val="hybridMultilevel"/>
    <w:tmpl w:val="0FEC57F8"/>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5" w15:restartNumberingAfterBreak="0">
    <w:nsid w:val="0B986667"/>
    <w:multiLevelType w:val="hybridMultilevel"/>
    <w:tmpl w:val="77C2AEA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7" w15:restartNumberingAfterBreak="0">
    <w:nsid w:val="13DD303B"/>
    <w:multiLevelType w:val="hybridMultilevel"/>
    <w:tmpl w:val="01C6726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7D16DC2"/>
    <w:multiLevelType w:val="hybridMultilevel"/>
    <w:tmpl w:val="CF686BB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19074987"/>
    <w:multiLevelType w:val="hybridMultilevel"/>
    <w:tmpl w:val="25B4C3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27B45D08"/>
    <w:multiLevelType w:val="hybridMultilevel"/>
    <w:tmpl w:val="819CD394"/>
    <w:lvl w:ilvl="0" w:tplc="85C8C05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91645BE"/>
    <w:multiLevelType w:val="hybridMultilevel"/>
    <w:tmpl w:val="B9A436A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3AB60AE3"/>
    <w:multiLevelType w:val="hybridMultilevel"/>
    <w:tmpl w:val="8DFEB8B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3DB51499"/>
    <w:multiLevelType w:val="singleLevel"/>
    <w:tmpl w:val="080C0001"/>
    <w:lvl w:ilvl="0">
      <w:start w:val="1"/>
      <w:numFmt w:val="bullet"/>
      <w:lvlText w:val=""/>
      <w:lvlJc w:val="left"/>
      <w:pPr>
        <w:ind w:left="360" w:hanging="360"/>
      </w:pPr>
      <w:rPr>
        <w:rFonts w:ascii="Symbol" w:hAnsi="Symbol" w:hint="default"/>
      </w:rPr>
    </w:lvl>
  </w:abstractNum>
  <w:abstractNum w:abstractNumId="14" w15:restartNumberingAfterBreak="0">
    <w:nsid w:val="3DD01171"/>
    <w:multiLevelType w:val="hybridMultilevel"/>
    <w:tmpl w:val="C2BC4C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5B44E3A"/>
    <w:multiLevelType w:val="hybridMultilevel"/>
    <w:tmpl w:val="A56487F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06F038A"/>
    <w:multiLevelType w:val="hybridMultilevel"/>
    <w:tmpl w:val="EA567300"/>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51AD2AAE"/>
    <w:multiLevelType w:val="hybridMultilevel"/>
    <w:tmpl w:val="3FFC13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3652359"/>
    <w:multiLevelType w:val="hybridMultilevel"/>
    <w:tmpl w:val="9A0E92A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5B593470"/>
    <w:multiLevelType w:val="hybridMultilevel"/>
    <w:tmpl w:val="DCC0522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5B966248"/>
    <w:multiLevelType w:val="hybridMultilevel"/>
    <w:tmpl w:val="550C47C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3" w15:restartNumberingAfterBreak="0">
    <w:nsid w:val="631A290F"/>
    <w:multiLevelType w:val="hybridMultilevel"/>
    <w:tmpl w:val="E37832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5" w15:restartNumberingAfterBreak="0">
    <w:nsid w:val="6EEC1EC8"/>
    <w:multiLevelType w:val="hybridMultilevel"/>
    <w:tmpl w:val="2BA0EF5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2FC79E8"/>
    <w:multiLevelType w:val="hybridMultilevel"/>
    <w:tmpl w:val="16F4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1"/>
  </w:num>
  <w:num w:numId="4">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13"/>
  </w:num>
  <w:num w:numId="6">
    <w:abstractNumId w:val="6"/>
  </w:num>
  <w:num w:numId="7">
    <w:abstractNumId w:val="19"/>
  </w:num>
  <w:num w:numId="8">
    <w:abstractNumId w:val="23"/>
  </w:num>
  <w:num w:numId="9">
    <w:abstractNumId w:val="5"/>
  </w:num>
  <w:num w:numId="10">
    <w:abstractNumId w:val="17"/>
  </w:num>
  <w:num w:numId="11">
    <w:abstractNumId w:val="7"/>
  </w:num>
  <w:num w:numId="12">
    <w:abstractNumId w:val="25"/>
  </w:num>
  <w:num w:numId="13">
    <w:abstractNumId w:val="20"/>
  </w:num>
  <w:num w:numId="14">
    <w:abstractNumId w:val="16"/>
  </w:num>
  <w:num w:numId="15">
    <w:abstractNumId w:val="9"/>
  </w:num>
  <w:num w:numId="16">
    <w:abstractNumId w:val="4"/>
  </w:num>
  <w:num w:numId="17">
    <w:abstractNumId w:val="8"/>
  </w:num>
  <w:num w:numId="18">
    <w:abstractNumId w:val="11"/>
  </w:num>
  <w:num w:numId="19">
    <w:abstractNumId w:val="15"/>
  </w:num>
  <w:num w:numId="20">
    <w:abstractNumId w:val="18"/>
  </w:num>
  <w:num w:numId="21">
    <w:abstractNumId w:val="26"/>
  </w:num>
  <w:num w:numId="22">
    <w:abstractNumId w:val="14"/>
  </w:num>
  <w:num w:numId="23">
    <w:abstractNumId w:val="22"/>
  </w:num>
  <w:num w:numId="24">
    <w:abstractNumId w:val="12"/>
  </w:num>
  <w:num w:numId="25">
    <w:abstractNumId w:val="24"/>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1"/>
  </w:num>
  <w:num w:numId="29">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277"/>
    <w:rsid w:val="000058F8"/>
    <w:rsid w:val="0000682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6AF7"/>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5A"/>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BCC"/>
    <w:rsid w:val="00071F4C"/>
    <w:rsid w:val="00072D9B"/>
    <w:rsid w:val="00073491"/>
    <w:rsid w:val="000736D0"/>
    <w:rsid w:val="0007419A"/>
    <w:rsid w:val="000748E3"/>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3B3B"/>
    <w:rsid w:val="000B5492"/>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45"/>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72C"/>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75A"/>
    <w:rsid w:val="00157F0F"/>
    <w:rsid w:val="001606AD"/>
    <w:rsid w:val="00160A67"/>
    <w:rsid w:val="00163106"/>
    <w:rsid w:val="00164813"/>
    <w:rsid w:val="0016534C"/>
    <w:rsid w:val="00165EA2"/>
    <w:rsid w:val="001711D7"/>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585A"/>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CE7"/>
    <w:rsid w:val="001D3D0A"/>
    <w:rsid w:val="001D6EF9"/>
    <w:rsid w:val="001D6FFF"/>
    <w:rsid w:val="001D770D"/>
    <w:rsid w:val="001E0F0C"/>
    <w:rsid w:val="001E1489"/>
    <w:rsid w:val="001E1833"/>
    <w:rsid w:val="001E2286"/>
    <w:rsid w:val="001E2BD2"/>
    <w:rsid w:val="001E347B"/>
    <w:rsid w:val="001E3DFE"/>
    <w:rsid w:val="001E418F"/>
    <w:rsid w:val="001E6413"/>
    <w:rsid w:val="001E6AE6"/>
    <w:rsid w:val="001E6F69"/>
    <w:rsid w:val="001E715B"/>
    <w:rsid w:val="001E71D7"/>
    <w:rsid w:val="001F0687"/>
    <w:rsid w:val="001F0B3A"/>
    <w:rsid w:val="001F1433"/>
    <w:rsid w:val="001F1862"/>
    <w:rsid w:val="001F3E4F"/>
    <w:rsid w:val="001F47B5"/>
    <w:rsid w:val="001F56CE"/>
    <w:rsid w:val="001F5A42"/>
    <w:rsid w:val="001F6FD5"/>
    <w:rsid w:val="001F773D"/>
    <w:rsid w:val="00200222"/>
    <w:rsid w:val="00200444"/>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1B83"/>
    <w:rsid w:val="00232374"/>
    <w:rsid w:val="002326F4"/>
    <w:rsid w:val="00232868"/>
    <w:rsid w:val="002328D2"/>
    <w:rsid w:val="0023415A"/>
    <w:rsid w:val="00234EA0"/>
    <w:rsid w:val="0023561C"/>
    <w:rsid w:val="00235B94"/>
    <w:rsid w:val="00237481"/>
    <w:rsid w:val="00240C09"/>
    <w:rsid w:val="00240D4D"/>
    <w:rsid w:val="002419CA"/>
    <w:rsid w:val="00241C29"/>
    <w:rsid w:val="00242666"/>
    <w:rsid w:val="00243BC0"/>
    <w:rsid w:val="00245136"/>
    <w:rsid w:val="002457A2"/>
    <w:rsid w:val="00245A60"/>
    <w:rsid w:val="00245CD4"/>
    <w:rsid w:val="002460C7"/>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DCA"/>
    <w:rsid w:val="00260907"/>
    <w:rsid w:val="00260B0A"/>
    <w:rsid w:val="00261903"/>
    <w:rsid w:val="00261EA6"/>
    <w:rsid w:val="00261FDB"/>
    <w:rsid w:val="002634CF"/>
    <w:rsid w:val="002635C7"/>
    <w:rsid w:val="00263616"/>
    <w:rsid w:val="002646B8"/>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6C54"/>
    <w:rsid w:val="002879B4"/>
    <w:rsid w:val="00287B4A"/>
    <w:rsid w:val="002908E2"/>
    <w:rsid w:val="002910B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5CF2"/>
    <w:rsid w:val="002B6D6C"/>
    <w:rsid w:val="002B75A5"/>
    <w:rsid w:val="002B7981"/>
    <w:rsid w:val="002B7C5C"/>
    <w:rsid w:val="002B7F3A"/>
    <w:rsid w:val="002C016E"/>
    <w:rsid w:val="002C07E4"/>
    <w:rsid w:val="002C08B8"/>
    <w:rsid w:val="002C0E2F"/>
    <w:rsid w:val="002C2466"/>
    <w:rsid w:val="002C24B9"/>
    <w:rsid w:val="002C2B80"/>
    <w:rsid w:val="002C42F2"/>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55EE"/>
    <w:rsid w:val="002E615C"/>
    <w:rsid w:val="002E62B0"/>
    <w:rsid w:val="002E7F30"/>
    <w:rsid w:val="002F0853"/>
    <w:rsid w:val="002F0F3E"/>
    <w:rsid w:val="002F31FD"/>
    <w:rsid w:val="002F32E6"/>
    <w:rsid w:val="002F47C0"/>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1D60"/>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00D"/>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7CE"/>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88F"/>
    <w:rsid w:val="003A0DB7"/>
    <w:rsid w:val="003A2251"/>
    <w:rsid w:val="003A3334"/>
    <w:rsid w:val="003A37C0"/>
    <w:rsid w:val="003A3C4C"/>
    <w:rsid w:val="003A5627"/>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6811"/>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3D32"/>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3C4"/>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44"/>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0FB"/>
    <w:rsid w:val="004C1E12"/>
    <w:rsid w:val="004C1EDE"/>
    <w:rsid w:val="004C2872"/>
    <w:rsid w:val="004C3902"/>
    <w:rsid w:val="004C40E4"/>
    <w:rsid w:val="004C40FF"/>
    <w:rsid w:val="004C4101"/>
    <w:rsid w:val="004C583B"/>
    <w:rsid w:val="004C758D"/>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680"/>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143"/>
    <w:rsid w:val="005414B4"/>
    <w:rsid w:val="00542A74"/>
    <w:rsid w:val="00542AB1"/>
    <w:rsid w:val="00542C6F"/>
    <w:rsid w:val="005445DD"/>
    <w:rsid w:val="00544D95"/>
    <w:rsid w:val="005463FF"/>
    <w:rsid w:val="0054651F"/>
    <w:rsid w:val="00546746"/>
    <w:rsid w:val="00546842"/>
    <w:rsid w:val="00546843"/>
    <w:rsid w:val="00546B94"/>
    <w:rsid w:val="005475DA"/>
    <w:rsid w:val="00550800"/>
    <w:rsid w:val="0055106D"/>
    <w:rsid w:val="00552022"/>
    <w:rsid w:val="005522C8"/>
    <w:rsid w:val="0055236A"/>
    <w:rsid w:val="005523A0"/>
    <w:rsid w:val="005531A7"/>
    <w:rsid w:val="00553758"/>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62"/>
    <w:rsid w:val="00570DDC"/>
    <w:rsid w:val="00571BCD"/>
    <w:rsid w:val="00571FEB"/>
    <w:rsid w:val="005721DA"/>
    <w:rsid w:val="00572679"/>
    <w:rsid w:val="00572735"/>
    <w:rsid w:val="005727A8"/>
    <w:rsid w:val="00574403"/>
    <w:rsid w:val="00574E5A"/>
    <w:rsid w:val="00577672"/>
    <w:rsid w:val="00582A42"/>
    <w:rsid w:val="00584D91"/>
    <w:rsid w:val="00585857"/>
    <w:rsid w:val="0058593B"/>
    <w:rsid w:val="0058593F"/>
    <w:rsid w:val="005864FB"/>
    <w:rsid w:val="00586967"/>
    <w:rsid w:val="00586B4B"/>
    <w:rsid w:val="005874AF"/>
    <w:rsid w:val="00587FA5"/>
    <w:rsid w:val="00590BDD"/>
    <w:rsid w:val="00593F1B"/>
    <w:rsid w:val="00594140"/>
    <w:rsid w:val="005941E3"/>
    <w:rsid w:val="00594760"/>
    <w:rsid w:val="0059541C"/>
    <w:rsid w:val="0059647B"/>
    <w:rsid w:val="005967FB"/>
    <w:rsid w:val="005A1FA3"/>
    <w:rsid w:val="005A297E"/>
    <w:rsid w:val="005A29D5"/>
    <w:rsid w:val="005A31A4"/>
    <w:rsid w:val="005A3628"/>
    <w:rsid w:val="005A3AC1"/>
    <w:rsid w:val="005A3DF8"/>
    <w:rsid w:val="005A3E6D"/>
    <w:rsid w:val="005A4945"/>
    <w:rsid w:val="005A4ABB"/>
    <w:rsid w:val="005A4E72"/>
    <w:rsid w:val="005A622F"/>
    <w:rsid w:val="005A67F3"/>
    <w:rsid w:val="005A6946"/>
    <w:rsid w:val="005A755F"/>
    <w:rsid w:val="005A7D66"/>
    <w:rsid w:val="005B0E27"/>
    <w:rsid w:val="005B22AA"/>
    <w:rsid w:val="005B3012"/>
    <w:rsid w:val="005B3E1F"/>
    <w:rsid w:val="005B3E41"/>
    <w:rsid w:val="005B4680"/>
    <w:rsid w:val="005B4EE6"/>
    <w:rsid w:val="005B5038"/>
    <w:rsid w:val="005B5C38"/>
    <w:rsid w:val="005B6007"/>
    <w:rsid w:val="005B7660"/>
    <w:rsid w:val="005C0363"/>
    <w:rsid w:val="005C0454"/>
    <w:rsid w:val="005C078D"/>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0F8C"/>
    <w:rsid w:val="00621329"/>
    <w:rsid w:val="0062138E"/>
    <w:rsid w:val="00621E7B"/>
    <w:rsid w:val="00622199"/>
    <w:rsid w:val="00622822"/>
    <w:rsid w:val="00623469"/>
    <w:rsid w:val="00624785"/>
    <w:rsid w:val="00624933"/>
    <w:rsid w:val="00624CAC"/>
    <w:rsid w:val="00625885"/>
    <w:rsid w:val="006260A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5DC1"/>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E31"/>
    <w:rsid w:val="006A7FB4"/>
    <w:rsid w:val="006B050A"/>
    <w:rsid w:val="006B106B"/>
    <w:rsid w:val="006B13C2"/>
    <w:rsid w:val="006B265F"/>
    <w:rsid w:val="006B318C"/>
    <w:rsid w:val="006B3316"/>
    <w:rsid w:val="006B3967"/>
    <w:rsid w:val="006B5025"/>
    <w:rsid w:val="006B58ED"/>
    <w:rsid w:val="006B5D99"/>
    <w:rsid w:val="006B6D88"/>
    <w:rsid w:val="006C1160"/>
    <w:rsid w:val="006C23B2"/>
    <w:rsid w:val="006C24B2"/>
    <w:rsid w:val="006C25B5"/>
    <w:rsid w:val="006C2C92"/>
    <w:rsid w:val="006C2EB9"/>
    <w:rsid w:val="006C4311"/>
    <w:rsid w:val="006C4EC5"/>
    <w:rsid w:val="006C4ED2"/>
    <w:rsid w:val="006C61EF"/>
    <w:rsid w:val="006C7863"/>
    <w:rsid w:val="006D0A58"/>
    <w:rsid w:val="006D1EA4"/>
    <w:rsid w:val="006D32E3"/>
    <w:rsid w:val="006D3464"/>
    <w:rsid w:val="006D3C90"/>
    <w:rsid w:val="006D4315"/>
    <w:rsid w:val="006D4847"/>
    <w:rsid w:val="006D498C"/>
    <w:rsid w:val="006D6086"/>
    <w:rsid w:val="006D7794"/>
    <w:rsid w:val="006D7F35"/>
    <w:rsid w:val="006E0B19"/>
    <w:rsid w:val="006E0BCE"/>
    <w:rsid w:val="006E0E88"/>
    <w:rsid w:val="006E10B5"/>
    <w:rsid w:val="006E16D5"/>
    <w:rsid w:val="006E1DD7"/>
    <w:rsid w:val="006E224A"/>
    <w:rsid w:val="006E3078"/>
    <w:rsid w:val="006E360B"/>
    <w:rsid w:val="006E3F60"/>
    <w:rsid w:val="006E4430"/>
    <w:rsid w:val="006E489B"/>
    <w:rsid w:val="006E4F6C"/>
    <w:rsid w:val="006E6434"/>
    <w:rsid w:val="006E679C"/>
    <w:rsid w:val="006F04AD"/>
    <w:rsid w:val="006F108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9C1"/>
    <w:rsid w:val="00727B0D"/>
    <w:rsid w:val="00730A22"/>
    <w:rsid w:val="00730BCC"/>
    <w:rsid w:val="00730BDD"/>
    <w:rsid w:val="00730F46"/>
    <w:rsid w:val="007313E4"/>
    <w:rsid w:val="007327CD"/>
    <w:rsid w:val="00732CC4"/>
    <w:rsid w:val="00733A55"/>
    <w:rsid w:val="00733AB4"/>
    <w:rsid w:val="00734181"/>
    <w:rsid w:val="00735256"/>
    <w:rsid w:val="00737766"/>
    <w:rsid w:val="007406C8"/>
    <w:rsid w:val="007425D2"/>
    <w:rsid w:val="0074379C"/>
    <w:rsid w:val="00743FAB"/>
    <w:rsid w:val="0074419C"/>
    <w:rsid w:val="00744C0A"/>
    <w:rsid w:val="0074506B"/>
    <w:rsid w:val="00745EAA"/>
    <w:rsid w:val="00746B35"/>
    <w:rsid w:val="007473E6"/>
    <w:rsid w:val="00747EBB"/>
    <w:rsid w:val="0075076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6D0"/>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6D78"/>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37D"/>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19D2"/>
    <w:rsid w:val="00862DC9"/>
    <w:rsid w:val="0086458A"/>
    <w:rsid w:val="008653E0"/>
    <w:rsid w:val="008663D5"/>
    <w:rsid w:val="00866533"/>
    <w:rsid w:val="00866A28"/>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879E6"/>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B5E"/>
    <w:rsid w:val="008C3DBE"/>
    <w:rsid w:val="008C3E09"/>
    <w:rsid w:val="008C4B50"/>
    <w:rsid w:val="008C4FD1"/>
    <w:rsid w:val="008C5358"/>
    <w:rsid w:val="008C5DFD"/>
    <w:rsid w:val="008D089A"/>
    <w:rsid w:val="008D1E60"/>
    <w:rsid w:val="008D2131"/>
    <w:rsid w:val="008D315D"/>
    <w:rsid w:val="008D5168"/>
    <w:rsid w:val="008D5213"/>
    <w:rsid w:val="008D6032"/>
    <w:rsid w:val="008E042C"/>
    <w:rsid w:val="008E0931"/>
    <w:rsid w:val="008E0C2D"/>
    <w:rsid w:val="008E0C2F"/>
    <w:rsid w:val="008E0E80"/>
    <w:rsid w:val="008E2A59"/>
    <w:rsid w:val="008E2BA0"/>
    <w:rsid w:val="008E2CDC"/>
    <w:rsid w:val="008E2CDD"/>
    <w:rsid w:val="008E32A8"/>
    <w:rsid w:val="008E4427"/>
    <w:rsid w:val="008E499D"/>
    <w:rsid w:val="008E4C6E"/>
    <w:rsid w:val="008E5076"/>
    <w:rsid w:val="008E639A"/>
    <w:rsid w:val="008E679C"/>
    <w:rsid w:val="008E7618"/>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451"/>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58AF"/>
    <w:rsid w:val="009960A0"/>
    <w:rsid w:val="00996E9C"/>
    <w:rsid w:val="009A1011"/>
    <w:rsid w:val="009A1B51"/>
    <w:rsid w:val="009A3E0E"/>
    <w:rsid w:val="009A6A17"/>
    <w:rsid w:val="009A6D65"/>
    <w:rsid w:val="009A7B62"/>
    <w:rsid w:val="009B0CDF"/>
    <w:rsid w:val="009B0E36"/>
    <w:rsid w:val="009B17D8"/>
    <w:rsid w:val="009B1D16"/>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4F7F"/>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75"/>
    <w:rsid w:val="00A15A99"/>
    <w:rsid w:val="00A17267"/>
    <w:rsid w:val="00A200F9"/>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0DCD"/>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2EDD"/>
    <w:rsid w:val="00A73BB9"/>
    <w:rsid w:val="00A73D4A"/>
    <w:rsid w:val="00A743EB"/>
    <w:rsid w:val="00A7450E"/>
    <w:rsid w:val="00A74B4C"/>
    <w:rsid w:val="00A7552F"/>
    <w:rsid w:val="00A76236"/>
    <w:rsid w:val="00A763E7"/>
    <w:rsid w:val="00A769C2"/>
    <w:rsid w:val="00A773FA"/>
    <w:rsid w:val="00A77796"/>
    <w:rsid w:val="00A81862"/>
    <w:rsid w:val="00A8187F"/>
    <w:rsid w:val="00A8271E"/>
    <w:rsid w:val="00A827D2"/>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3E5"/>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6EAC"/>
    <w:rsid w:val="00AD75EB"/>
    <w:rsid w:val="00AD762D"/>
    <w:rsid w:val="00AE0239"/>
    <w:rsid w:val="00AE0A52"/>
    <w:rsid w:val="00AE0E0E"/>
    <w:rsid w:val="00AE0F6C"/>
    <w:rsid w:val="00AE2AF5"/>
    <w:rsid w:val="00AE2E3C"/>
    <w:rsid w:val="00AE4A8E"/>
    <w:rsid w:val="00AE4F16"/>
    <w:rsid w:val="00AE6038"/>
    <w:rsid w:val="00AE6E34"/>
    <w:rsid w:val="00AE6F01"/>
    <w:rsid w:val="00AF07E3"/>
    <w:rsid w:val="00AF0BE2"/>
    <w:rsid w:val="00AF10D4"/>
    <w:rsid w:val="00AF1233"/>
    <w:rsid w:val="00AF1A9F"/>
    <w:rsid w:val="00AF2416"/>
    <w:rsid w:val="00AF27D5"/>
    <w:rsid w:val="00AF2C37"/>
    <w:rsid w:val="00AF45AD"/>
    <w:rsid w:val="00AF4F10"/>
    <w:rsid w:val="00AF562C"/>
    <w:rsid w:val="00AF5A72"/>
    <w:rsid w:val="00B00538"/>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187"/>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1BA9"/>
    <w:rsid w:val="00B320F5"/>
    <w:rsid w:val="00B334FC"/>
    <w:rsid w:val="00B339AC"/>
    <w:rsid w:val="00B34E93"/>
    <w:rsid w:val="00B35908"/>
    <w:rsid w:val="00B371BD"/>
    <w:rsid w:val="00B40093"/>
    <w:rsid w:val="00B40158"/>
    <w:rsid w:val="00B408BC"/>
    <w:rsid w:val="00B41E79"/>
    <w:rsid w:val="00B42E2F"/>
    <w:rsid w:val="00B42F7B"/>
    <w:rsid w:val="00B4330A"/>
    <w:rsid w:val="00B444D1"/>
    <w:rsid w:val="00B44B44"/>
    <w:rsid w:val="00B44BB9"/>
    <w:rsid w:val="00B44E37"/>
    <w:rsid w:val="00B4522B"/>
    <w:rsid w:val="00B4791A"/>
    <w:rsid w:val="00B47A5B"/>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1FC"/>
    <w:rsid w:val="00B5652D"/>
    <w:rsid w:val="00B60CC7"/>
    <w:rsid w:val="00B60ED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08AC"/>
    <w:rsid w:val="00B81D0F"/>
    <w:rsid w:val="00B8331B"/>
    <w:rsid w:val="00B83A51"/>
    <w:rsid w:val="00B83E7B"/>
    <w:rsid w:val="00B83F1F"/>
    <w:rsid w:val="00B84B22"/>
    <w:rsid w:val="00B84DE4"/>
    <w:rsid w:val="00B85573"/>
    <w:rsid w:val="00B856BD"/>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8F5"/>
    <w:rsid w:val="00BC2966"/>
    <w:rsid w:val="00BC29C8"/>
    <w:rsid w:val="00BC3670"/>
    <w:rsid w:val="00BC375B"/>
    <w:rsid w:val="00BC376C"/>
    <w:rsid w:val="00BC3933"/>
    <w:rsid w:val="00BC39DD"/>
    <w:rsid w:val="00BC3EF9"/>
    <w:rsid w:val="00BC3FCE"/>
    <w:rsid w:val="00BC41D9"/>
    <w:rsid w:val="00BC4CB8"/>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4111"/>
    <w:rsid w:val="00C142B4"/>
    <w:rsid w:val="00C1585F"/>
    <w:rsid w:val="00C15B26"/>
    <w:rsid w:val="00C15C6A"/>
    <w:rsid w:val="00C16CAA"/>
    <w:rsid w:val="00C1769B"/>
    <w:rsid w:val="00C17A76"/>
    <w:rsid w:val="00C20094"/>
    <w:rsid w:val="00C20E82"/>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921"/>
    <w:rsid w:val="00C34AB4"/>
    <w:rsid w:val="00C34B35"/>
    <w:rsid w:val="00C351BF"/>
    <w:rsid w:val="00C35EED"/>
    <w:rsid w:val="00C362DC"/>
    <w:rsid w:val="00C37843"/>
    <w:rsid w:val="00C3794C"/>
    <w:rsid w:val="00C37AC2"/>
    <w:rsid w:val="00C37F51"/>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676E"/>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3DF8"/>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004"/>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D08"/>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0FB"/>
    <w:rsid w:val="00D7226F"/>
    <w:rsid w:val="00D725C2"/>
    <w:rsid w:val="00D742A4"/>
    <w:rsid w:val="00D7590E"/>
    <w:rsid w:val="00D761CD"/>
    <w:rsid w:val="00D76363"/>
    <w:rsid w:val="00D77C31"/>
    <w:rsid w:val="00D80558"/>
    <w:rsid w:val="00D805B3"/>
    <w:rsid w:val="00D80C88"/>
    <w:rsid w:val="00D8145F"/>
    <w:rsid w:val="00D81C25"/>
    <w:rsid w:val="00D82C3A"/>
    <w:rsid w:val="00D82E7E"/>
    <w:rsid w:val="00D83C26"/>
    <w:rsid w:val="00D84FBD"/>
    <w:rsid w:val="00D85838"/>
    <w:rsid w:val="00D85D67"/>
    <w:rsid w:val="00D86432"/>
    <w:rsid w:val="00D91EA9"/>
    <w:rsid w:val="00D92244"/>
    <w:rsid w:val="00D92EBC"/>
    <w:rsid w:val="00D93D43"/>
    <w:rsid w:val="00D944B2"/>
    <w:rsid w:val="00D94C7B"/>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A7AFB"/>
    <w:rsid w:val="00DB2B61"/>
    <w:rsid w:val="00DB34D6"/>
    <w:rsid w:val="00DB3C05"/>
    <w:rsid w:val="00DB3DBA"/>
    <w:rsid w:val="00DB4124"/>
    <w:rsid w:val="00DB5B6E"/>
    <w:rsid w:val="00DB678B"/>
    <w:rsid w:val="00DB6D98"/>
    <w:rsid w:val="00DC054C"/>
    <w:rsid w:val="00DC057E"/>
    <w:rsid w:val="00DC097D"/>
    <w:rsid w:val="00DC15A9"/>
    <w:rsid w:val="00DC1607"/>
    <w:rsid w:val="00DC17CF"/>
    <w:rsid w:val="00DC26B9"/>
    <w:rsid w:val="00DC2874"/>
    <w:rsid w:val="00DC28F0"/>
    <w:rsid w:val="00DC2D49"/>
    <w:rsid w:val="00DC3563"/>
    <w:rsid w:val="00DC3717"/>
    <w:rsid w:val="00DC53E9"/>
    <w:rsid w:val="00DC6FA7"/>
    <w:rsid w:val="00DC72D3"/>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110"/>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3B1"/>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4A0"/>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6F39"/>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4A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D7BC7"/>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3DC3"/>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12D"/>
    <w:rsid w:val="00F423CE"/>
    <w:rsid w:val="00F42580"/>
    <w:rsid w:val="00F43ACE"/>
    <w:rsid w:val="00F443A0"/>
    <w:rsid w:val="00F44B50"/>
    <w:rsid w:val="00F453DD"/>
    <w:rsid w:val="00F4549F"/>
    <w:rsid w:val="00F45BF8"/>
    <w:rsid w:val="00F471FB"/>
    <w:rsid w:val="00F47818"/>
    <w:rsid w:val="00F508B3"/>
    <w:rsid w:val="00F512BB"/>
    <w:rsid w:val="00F51327"/>
    <w:rsid w:val="00F52B9D"/>
    <w:rsid w:val="00F54023"/>
    <w:rsid w:val="00F54247"/>
    <w:rsid w:val="00F545CF"/>
    <w:rsid w:val="00F547C8"/>
    <w:rsid w:val="00F5682F"/>
    <w:rsid w:val="00F569A1"/>
    <w:rsid w:val="00F5763E"/>
    <w:rsid w:val="00F6157E"/>
    <w:rsid w:val="00F63F2A"/>
    <w:rsid w:val="00F646EF"/>
    <w:rsid w:val="00F649E5"/>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5EAA"/>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B17"/>
    <w:rsid w:val="00FD0F60"/>
    <w:rsid w:val="00FD118E"/>
    <w:rsid w:val="00FD2623"/>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2F95"/>
    <w:rsid w:val="00FE394E"/>
    <w:rsid w:val="00FE5254"/>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7B2"/>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2"/>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C10FB"/>
    <w:rPr>
      <w:rFonts w:ascii="Times New Roman" w:hAnsi="Times New Roman"/>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D92244"/>
    <w:pPr>
      <w:tabs>
        <w:tab w:val="left" w:pos="440"/>
        <w:tab w:val="right" w:leader="dot" w:pos="9063"/>
      </w:tabs>
      <w:spacing w:before="240"/>
      <w:ind w:right="-284"/>
      <w:outlineLvl w:val="0"/>
    </w:pPr>
    <w:rPr>
      <w:b/>
      <w:noProof/>
      <w:sz w:val="20"/>
      <w:szCs w:val="20"/>
      <w14:scene3d>
        <w14:camera w14:prst="orthographicFront"/>
        <w14:lightRig w14:rig="threePt" w14:dir="t">
          <w14:rot w14:lat="0" w14:lon="0" w14:rev="0"/>
        </w14:lightRig>
      </w14:scene3d>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sl-SI"/>
    </w:rPr>
  </w:style>
  <w:style w:type="paragraph" w:styleId="CommentSubject">
    <w:name w:val="annotation subject"/>
    <w:basedOn w:val="Normal"/>
    <w:next w:val="Normal"/>
    <w:link w:val="CommentSubjectChar"/>
    <w:uiPriority w:val="99"/>
    <w:semiHidden/>
    <w:unhideWhenUsed/>
    <w:rsid w:val="004C10FB"/>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4C10FB"/>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D6E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231B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D759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3A3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2646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575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572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3567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2004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CE7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D742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747E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57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2586">
      <w:bodyDiv w:val="1"/>
      <w:marLeft w:val="0"/>
      <w:marRight w:val="0"/>
      <w:marTop w:val="0"/>
      <w:marBottom w:val="0"/>
      <w:divBdr>
        <w:top w:val="none" w:sz="0" w:space="0" w:color="auto"/>
        <w:left w:val="none" w:sz="0" w:space="0" w:color="auto"/>
        <w:bottom w:val="none" w:sz="0" w:space="0" w:color="auto"/>
        <w:right w:val="none" w:sz="0" w:space="0" w:color="auto"/>
      </w:divBdr>
    </w:div>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68658">
      <w:bodyDiv w:val="1"/>
      <w:marLeft w:val="0"/>
      <w:marRight w:val="0"/>
      <w:marTop w:val="0"/>
      <w:marBottom w:val="0"/>
      <w:divBdr>
        <w:top w:val="none" w:sz="0" w:space="0" w:color="auto"/>
        <w:left w:val="none" w:sz="0" w:space="0" w:color="auto"/>
        <w:bottom w:val="none" w:sz="0" w:space="0" w:color="auto"/>
        <w:right w:val="none" w:sz="0" w:space="0" w:color="auto"/>
      </w:divBdr>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753404659">
      <w:bodyDiv w:val="1"/>
      <w:marLeft w:val="0"/>
      <w:marRight w:val="0"/>
      <w:marTop w:val="0"/>
      <w:marBottom w:val="0"/>
      <w:divBdr>
        <w:top w:val="none" w:sz="0" w:space="0" w:color="auto"/>
        <w:left w:val="none" w:sz="0" w:space="0" w:color="auto"/>
        <w:bottom w:val="none" w:sz="0" w:space="0" w:color="auto"/>
        <w:right w:val="none" w:sz="0" w:space="0" w:color="auto"/>
      </w:divBdr>
    </w:div>
    <w:div w:id="772866445">
      <w:bodyDiv w:val="1"/>
      <w:marLeft w:val="0"/>
      <w:marRight w:val="0"/>
      <w:marTop w:val="0"/>
      <w:marBottom w:val="0"/>
      <w:divBdr>
        <w:top w:val="none" w:sz="0" w:space="0" w:color="auto"/>
        <w:left w:val="none" w:sz="0" w:space="0" w:color="auto"/>
        <w:bottom w:val="none" w:sz="0" w:space="0" w:color="auto"/>
        <w:right w:val="none" w:sz="0" w:space="0" w:color="auto"/>
      </w:divBdr>
    </w:div>
    <w:div w:id="943268471">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24561870">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347444843">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1564490878">
      <w:bodyDiv w:val="1"/>
      <w:marLeft w:val="0"/>
      <w:marRight w:val="0"/>
      <w:marTop w:val="0"/>
      <w:marBottom w:val="0"/>
      <w:divBdr>
        <w:top w:val="none" w:sz="0" w:space="0" w:color="auto"/>
        <w:left w:val="none" w:sz="0" w:space="0" w:color="auto"/>
        <w:bottom w:val="none" w:sz="0" w:space="0" w:color="auto"/>
        <w:right w:val="none" w:sz="0" w:space="0" w:color="auto"/>
      </w:divBdr>
    </w:div>
    <w:div w:id="1651985956">
      <w:bodyDiv w:val="1"/>
      <w:marLeft w:val="0"/>
      <w:marRight w:val="0"/>
      <w:marTop w:val="0"/>
      <w:marBottom w:val="0"/>
      <w:divBdr>
        <w:top w:val="none" w:sz="0" w:space="0" w:color="auto"/>
        <w:left w:val="none" w:sz="0" w:space="0" w:color="auto"/>
        <w:bottom w:val="none" w:sz="0" w:space="0" w:color="auto"/>
        <w:right w:val="none" w:sz="0" w:space="0" w:color="auto"/>
      </w:divBdr>
    </w:div>
    <w:div w:id="1777170106">
      <w:bodyDiv w:val="1"/>
      <w:marLeft w:val="0"/>
      <w:marRight w:val="0"/>
      <w:marTop w:val="0"/>
      <w:marBottom w:val="0"/>
      <w:divBdr>
        <w:top w:val="none" w:sz="0" w:space="0" w:color="auto"/>
        <w:left w:val="none" w:sz="0" w:space="0" w:color="auto"/>
        <w:bottom w:val="none" w:sz="0" w:space="0" w:color="auto"/>
        <w:right w:val="none" w:sz="0" w:space="0" w:color="auto"/>
      </w:divBdr>
    </w:div>
    <w:div w:id="1847936628">
      <w:bodyDiv w:val="1"/>
      <w:marLeft w:val="0"/>
      <w:marRight w:val="0"/>
      <w:marTop w:val="0"/>
      <w:marBottom w:val="0"/>
      <w:divBdr>
        <w:top w:val="none" w:sz="0" w:space="0" w:color="auto"/>
        <w:left w:val="none" w:sz="0" w:space="0" w:color="auto"/>
        <w:bottom w:val="none" w:sz="0" w:space="0" w:color="auto"/>
        <w:right w:val="none" w:sz="0" w:space="0" w:color="auto"/>
      </w:divBdr>
    </w:div>
    <w:div w:id="1900824791">
      <w:bodyDiv w:val="1"/>
      <w:marLeft w:val="0"/>
      <w:marRight w:val="0"/>
      <w:marTop w:val="0"/>
      <w:marBottom w:val="0"/>
      <w:divBdr>
        <w:top w:val="none" w:sz="0" w:space="0" w:color="auto"/>
        <w:left w:val="none" w:sz="0" w:space="0" w:color="auto"/>
        <w:bottom w:val="none" w:sz="0" w:space="0" w:color="auto"/>
        <w:right w:val="none" w:sz="0" w:space="0" w:color="auto"/>
      </w:divBdr>
    </w:div>
    <w:div w:id="1903519894">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 w:id="212280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https://www.eesc.europa.eu/sl/our-work/opinions-information-reports/opinions/taxation-framework-social-economy-entities" TargetMode="External"/><Relationship Id="rId26" Type="http://schemas.openxmlformats.org/officeDocument/2006/relationships/hyperlink" Target="https://www.eesc.europa.eu/sl/our-work/opinions-information-reports/opinions/traineeship-directive-and-reinforced-quality-framework-traineeships" TargetMode="External"/><Relationship Id="rId39" Type="http://schemas.openxmlformats.org/officeDocument/2006/relationships/header" Target="header1.xml"/><Relationship Id="rId21" Type="http://schemas.openxmlformats.org/officeDocument/2006/relationships/hyperlink" Target="mailto:Sabrina.Borg@eesc.europa.eu" TargetMode="External"/><Relationship Id="rId34" Type="http://schemas.openxmlformats.org/officeDocument/2006/relationships/hyperlink" Target="https://www.eesc.europa.eu/sl/our-work/opinions-information-reports/opinions/energy-digitalisation-balancing-opportunities-and-risks-european-consumers" TargetMode="External"/><Relationship Id="rId42" Type="http://schemas.openxmlformats.org/officeDocument/2006/relationships/footer" Target="footer3.xml"/><Relationship Id="rId47" Type="http://schemas.openxmlformats.org/officeDocument/2006/relationships/customXml" Target="../customXml/item1.xml"/><Relationship Id="rId50"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hyperlink" Target="https://www.eesc.europa.eu/sl/our-work/opinions-information-reports/opinions/no-one-should-be-left-behind-inclusive-and-participatory-cohesion-policy-support-social-economic-and-territorial" TargetMode="External"/><Relationship Id="rId29" Type="http://schemas.openxmlformats.org/officeDocument/2006/relationships/hyperlink" Target="https://www.eesc.europa.eu/sl/our-work/opinions-information-reports/opinions/general-fisheries-commission-mediterranean"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sl/our-work/opinions-information-reports/opinions/caregivers" TargetMode="External"/><Relationship Id="rId32" Type="http://schemas.openxmlformats.org/officeDocument/2006/relationships/hyperlink" Target="https://www.eesc.europa.eu/sl/our-work/opinions-information-reports/opinions/screening-foreign-investments-union" TargetMode="External"/><Relationship Id="rId37" Type="http://schemas.openxmlformats.org/officeDocument/2006/relationships/hyperlink" Target="mailto:Marie-Laurence.Drillon@eesc.europa.eu"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esc.europa.eu/sl/our-work/opinions-information-reports/opinions/no-one-should-be-left-behind-inclusive-and-participatory-cohesion-policy-support-social-economic-and-territorial" TargetMode="External"/><Relationship Id="rId23" Type="http://schemas.openxmlformats.org/officeDocument/2006/relationships/hyperlink" Target="mailto:Gemma.Amran@eesc.europa.eu" TargetMode="External"/><Relationship Id="rId28" Type="http://schemas.openxmlformats.org/officeDocument/2006/relationships/hyperlink" Target="mailto:Marco.Manfroni@eesc.europa.eu" TargetMode="External"/><Relationship Id="rId36" Type="http://schemas.openxmlformats.org/officeDocument/2006/relationships/hyperlink" Target="https://www.eesc.europa.eu/sl/our-work/opinions-information-reports/opinions/eu-biotech-and-biomanufacturing-initiative" TargetMode="External"/><Relationship Id="rId49"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hyperlink" Target="mailto:Juri.Soosaar@eesc.europa.eu" TargetMode="External"/><Relationship Id="rId31" Type="http://schemas.openxmlformats.org/officeDocument/2006/relationships/hyperlink" Target="mailto:Martine.Delanoy@eesc.europa.eu" TargetMode="External"/><Relationship Id="rId44"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sl/our-work/opinions-information-reports/opinions/anti-smuggling-package" TargetMode="External"/><Relationship Id="rId27" Type="http://schemas.openxmlformats.org/officeDocument/2006/relationships/hyperlink" Target="mailto:Sabrina.Borg@eesc.europa.eu" TargetMode="External"/><Relationship Id="rId30" Type="http://schemas.openxmlformats.org/officeDocument/2006/relationships/hyperlink" Target="mailto:Martine.Delanoy@eesc.europa.eu" TargetMode="External"/><Relationship Id="rId35" Type="http://schemas.openxmlformats.org/officeDocument/2006/relationships/hyperlink" Target="mailto:Aleksandra.SarmanGrilc@eesc.europa.eu" TargetMode="External"/><Relationship Id="rId43" Type="http://schemas.openxmlformats.org/officeDocument/2006/relationships/header" Target="header3.xml"/><Relationship Id="rId48" Type="http://schemas.openxmlformats.org/officeDocument/2006/relationships/customXml" Target="../customXml/item2.xml"/><Relationship Id="rId8" Type="http://schemas.openxmlformats.org/officeDocument/2006/relationships/webSettings" Target="webSettings.xml"/><Relationship Id="rId12" Type="http://schemas.openxmlformats.org/officeDocument/2006/relationships/hyperlink" Target="https://www.eesc.europa.eu/sl/our-work/opinions-information-reports/plenary-session-summaries" TargetMode="External"/><Relationship Id="rId17" Type="http://schemas.openxmlformats.org/officeDocument/2006/relationships/hyperlink" Target="mailto:Georgios.Meleas@eesc.europa.eu" TargetMode="External"/><Relationship Id="rId25" Type="http://schemas.openxmlformats.org/officeDocument/2006/relationships/hyperlink" Target="mailto:Valeria.Atzori@eesc.europa.eu" TargetMode="External"/><Relationship Id="rId33" Type="http://schemas.openxmlformats.org/officeDocument/2006/relationships/hyperlink" Target="mailto:Marco.Ristori@eesc.europa.eu" TargetMode="External"/><Relationship Id="rId38" Type="http://schemas.openxmlformats.org/officeDocument/2006/relationships/hyperlink" Target="mailto:Heli.Niemela-Farrer@eesc.europa.eu" TargetMode="External"/><Relationship Id="rId46" Type="http://schemas.openxmlformats.org/officeDocument/2006/relationships/theme" Target="theme/theme1.xml"/><Relationship Id="rId20" Type="http://schemas.openxmlformats.org/officeDocument/2006/relationships/hyperlink" Target="https://www.eesc.europa.eu/sl/our-work/opinions-information-reports/opinions/combating-sexual-abuse-and-sexual-exploitation-children-and-child-pornography"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F7M6YNZUATRX-789077548-3249</_dlc_DocId>
    <_dlc_DocIdUrl xmlns="59ace41b-6786-4ce3-be71-52c27066c6ef">
      <Url>http://dm/eesc/2024/_layouts/15/DocIdRedir.aspx?ID=F7M6YNZUATRX-789077548-3249</Url>
      <Description>F7M6YNZUATRX-789077548-3249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2024-07-19T12:00:00+00:00</ProductionDate>
    <DocumentNumber xmlns="36007a90-28ab-40da-967b-595e4ec83007">2113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2024-09-18T12:00:00+00:00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7682</FicheNumber>
    <OriginalSender xmlns="59ace41b-6786-4ce3-be71-52c27066c6ef">
      <UserInfo>
        <DisplayName>Sinko Borut</DisplayName>
        <AccountId>1546</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590</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D5CA7F-EDAF-487E-88F4-A1E0B435738F}"/>
</file>

<file path=customXml/itemProps2.xml><?xml version="1.0" encoding="utf-8"?>
<ds:datastoreItem xmlns:ds="http://schemas.openxmlformats.org/officeDocument/2006/customXml" ds:itemID="{3A54E36A-458B-4D0E-B040-793C962FE336}"/>
</file>

<file path=customXml/itemProps3.xml><?xml version="1.0" encoding="utf-8"?>
<ds:datastoreItem xmlns:ds="http://schemas.openxmlformats.org/officeDocument/2006/customXml" ds:itemID="{76A5A2A7-2672-4C53-9755-BD5C6949C1A3}"/>
</file>

<file path=customXml/itemProps4.xml><?xml version="1.0" encoding="utf-8"?>
<ds:datastoreItem xmlns:ds="http://schemas.openxmlformats.org/officeDocument/2006/customXml" ds:itemID="{F2170DAE-7D5C-4849-8E9B-D8656F57B581}"/>
</file>

<file path=docProps/app.xml><?xml version="1.0" encoding="utf-8"?>
<Properties xmlns="http://schemas.openxmlformats.org/officeDocument/2006/extended-properties" xmlns:vt="http://schemas.openxmlformats.org/officeDocument/2006/docPropsVTypes">
  <Template>Normal.dotm</Template>
  <TotalTime>0</TotalTime>
  <Pages>16</Pages>
  <Words>4764</Words>
  <Characters>27159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31860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Povzetek sprejetih mnenj - 589. plenarno zasedanje - julij 2024</dc:title>
  <dc:subject>TCD</dc:subject>
  <dc:creator>Nieddu Emma</dc:creator>
  <cp:keywords>EESC-2024-02113-00-01-TCD-TRA-EN</cp:keywords>
  <dc:description>Rapporteur:  - Original language: EN - Date of document: 19/07/2024 - Date of meeting: 30/18/2024 14:30 - External documents:  - Administrator: MME TAMASAUSKIENE Julija</dc:description>
  <cp:lastModifiedBy>Sinko Borut</cp:lastModifiedBy>
  <cp:revision>23</cp:revision>
  <cp:lastPrinted>2023-06-15T08:00:00Z</cp:lastPrinted>
  <dcterms:created xsi:type="dcterms:W3CDTF">2024-07-17T09:22:00Z</dcterms:created>
  <dcterms:modified xsi:type="dcterms:W3CDTF">2024-07-19T14:41:00Z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17/07/2024, 09/04/2024, 27/03/2024, 03/01/2024, 13/11/2023, 25/09/2023, 25/07/2023, 30/06/2023, 23/06/2023, 26/05/2023, 07/03/2023, 11/01/2023, 10/01/2023, 29/03/2022, 04/03/2022, 15/12/2021, 13/09/2021, 03/09/2021, 28/06/2021</vt:lpwstr>
  </property>
  <property fmtid="{D5CDD505-2E9C-101B-9397-08002B2CF9AE}" pid="4" name="Pref_Time">
    <vt:lpwstr>10:55:58, 17:11:40, 12:24:19, 15:02:18, 17:01:12, 16:07:19, 11:58:41, 14:00:08, 12:39:02, 15:12:50, 10:27:54, 10:12:15, 11:41:25, 14:21:50, 16:54:06, 17:56:36, 14:13:00, 10:08:10, 08:41:48</vt:lpwstr>
  </property>
  <property fmtid="{D5CDD505-2E9C-101B-9397-08002B2CF9AE}" pid="5" name="Pref_User">
    <vt:lpwstr>jhvi, jhvi, pacup, enied, amett, amett, jhvi, pacup, jhvi, pacup, enied, pacup, enied, jhvi, enied, hnic, amett, enied, enied</vt:lpwstr>
  </property>
  <property fmtid="{D5CDD505-2E9C-101B-9397-08002B2CF9AE}" pid="6" name="Pref_FileName">
    <vt:lpwstr>eesc-2024-02113-00-00-tcd-ori.docx, EESC-2024-00740-00-01-TCD-ORI.docx, EESC-2024-00740-00-00-TCD-TRA.docx, EESC-2023-04915-00-00-TCD-ORI.docx, EESC-2023-04201-00-00-TCD-ORI.docx, EESC-2023-03625-00-00-TCD-ORI.docx, EESC-2023-03078-00-00-TCD-TRA-EN-CRR.do</vt:lpwstr>
  </property>
  <property fmtid="{D5CDD505-2E9C-101B-9397-08002B2CF9AE}" pid="7" name="ContentTypeId">
    <vt:lpwstr>0x010100EA97B91038054C99906057A708A1480A00C9C698F2971CE54890F427AFE3EB568F</vt:lpwstr>
  </property>
  <property fmtid="{D5CDD505-2E9C-101B-9397-08002B2CF9AE}" pid="8" name="_dlc_DocIdItemGuid">
    <vt:lpwstr>610c5a79-ad8a-466e-b7ed-8fe596a05ed7</vt:lpwstr>
  </property>
  <property fmtid="{D5CDD505-2E9C-101B-9397-08002B2CF9AE}" pid="9" name="AvailableTranslations">
    <vt:lpwstr>26;#SK|46d9fce0-ef79-4f71-b89b-cd6aa82426b8;#35;#FI|87606a43-d45f-42d6-b8c9-e1a3457db5b7;#30;#HR|2f555653-ed1a-4fe6-8362-9082d95989e5;#28;#LV|46f7e311-5d9f-4663-b433-18aeccb7ace7;#31;#NL|55c6556c-b4f4-441d-9acf-c498d4f838bd;#21;#SV|c2ed69e7-a339-43d7-8f22-d93680a92aa0;#34;#LT|a7ff5ce7-6123-4f68-865a-a57c31810414;#37;#RO|feb747a2-64cd-4299-af12-4833ddc30497;#12;#IT|0774613c-01ed-4e5d-a25d-11d2388de825;#16;#DA|5d49c027-8956-412b-aa16-e85a0f96ad0e;#22;#BG|1a1b3951-7821-4e6a-85f5-5673fc08bd2c;#29;#EL|6d4f4d51-af9b-4650-94b4-4276bee85c91;#32;#HU|6b229040-c589-4408-b4c1-4285663d20a8;#36;#PT|50ccc04a-eadd-42ae-a0cb-acaf45f812ba;#24;#ES|e7a6b05b-ae16-40c8-add9-68b64b03aeba;#33;#ET|ff6c3f4c-b02c-4c3c-ab07-2c37995a7a0a;#5;#EN|f2175f21-25d7-44a3-96da-d6a61b075e1b;#14;#FR|d2afafd3-4c81-4f60-8f52-ee33f2f54ff3;#27;#SL|98a412ae-eb01-49e9-ae3d-585a81724cfc;#25;#DE|f6b31e5a-26fa-4935-b661-318e46daf27e;#43;#CS|72f9705b-0217-4fd3-bea2-cbc7ed80e26e;#17;#PL|1e03da61-4678-4e07-b136-b5024ca9197b</vt:lpwstr>
  </property>
  <property fmtid="{D5CDD505-2E9C-101B-9397-08002B2CF9AE}" pid="10" name="DocumentType_0">
    <vt:lpwstr>TCD|cd9d6eb6-3f4f-424a-b2d1-57c9d450eaaf</vt:lpwstr>
  </property>
  <property fmtid="{D5CDD505-2E9C-101B-9397-08002B2CF9AE}" pid="11" name="MeetingNumber">
    <vt:i4>590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2113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2024-09-18T12:00:00Z</vt:filetime>
  </property>
  <property fmtid="{D5CDD505-2E9C-101B-9397-08002B2CF9AE}" pid="29" name="AvailableTranslations_0">
    <vt:lpwstr>FI|87606a43-d45f-42d6-b8c9-e1a3457db5b7;SV|c2ed69e7-a339-43d7-8f22-d93680a92aa0;BG|1a1b3951-7821-4e6a-85f5-5673fc08bd2c;PT|50ccc04a-eadd-42ae-a0cb-acaf45f812ba;ES|e7a6b05b-ae16-40c8-add9-68b64b03aeba;EN|f2175f21-25d7-44a3-96da-d6a61b075e1b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24;#ES|e7a6b05b-ae16-40c8-add9-68b64b03aeba;#22;#BG|1a1b3951-7821-4e6a-85f5-5673fc08bd2c;#21;#SV|c2ed69e7-a339-43d7-8f22-d93680a92aa0;#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7682</vt:i4>
  </property>
  <property fmtid="{D5CDD505-2E9C-101B-9397-08002B2CF9AE}" pid="37" name="DocumentLanguage">
    <vt:lpwstr>27;#SL|98a412ae-eb01-49e9-ae3d-585a81724cfc</vt:lpwstr>
  </property>
  <property fmtid="{D5CDD505-2E9C-101B-9397-08002B2CF9AE}" pid="38" name="_docset_NoMedatataSyncRequired">
    <vt:lpwstr>False</vt:lpwstr>
  </property>
</Properties>
</file>