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B6B" w:rsidR="004D7AC0" w:rsidP="00775FC4" w:rsidRDefault="00580203" w14:paraId="785AE44C" w14:textId="0EA4F12B">
      <w:pPr>
        <w:jc w:val="center"/>
      </w:pPr>
      <w:r>
        <w:rPr>
          <w:noProof/>
        </w:rPr>
        <w:drawing>
          <wp:inline distT="0" distB="0" distL="0" distR="0" wp14:anchorId="7D06498A" wp14:editId="21C145F1">
            <wp:extent cx="1792605" cy="1239520"/>
            <wp:effectExtent l="0" t="0" r="0" b="0"/>
            <wp:docPr id="2" name="Picture 2" title="EESCLogo_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title="EESCLogo_SK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3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editId="68C4A997" wp14:anchorId="60050413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65C4F" w:rsidP="004D7AC0" w:rsidRDefault="00765C4F" w14:paraId="2AA40EC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050413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765C4F" w:rsidP="004D7AC0" w:rsidRDefault="00765C4F" w14:paraId="2AA40EC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094B6B" w:rsidR="004D7AC0" w:rsidP="00775FC4" w:rsidRDefault="004D7AC0" w14:paraId="51F52D79" w14:textId="77777777"/>
    <w:p w:rsidRPr="00094B6B" w:rsidR="004D7AC0" w:rsidP="00775FC4" w:rsidRDefault="00014C93" w14:paraId="45DE4A28" w14:textId="052B1CED">
      <w:pPr>
        <w:jc w:val="right"/>
      </w:pPr>
      <w:r>
        <w:t>Brusel 16. septembra 2024</w:t>
      </w:r>
    </w:p>
    <w:p w:rsidRPr="00094B6B" w:rsidR="004D7AC0" w:rsidP="00775FC4" w:rsidRDefault="004D7AC0" w14:paraId="6B250092" w14:textId="77777777"/>
    <w:p w:rsidRPr="00094B6B" w:rsidR="004D7AC0" w:rsidP="00775FC4" w:rsidRDefault="004D7AC0" w14:paraId="0593C6DF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Pr="00094B6B" w:rsidR="004D7AC0" w:rsidTr="00662436" w14:paraId="6D7B3453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094B6B" w:rsidR="001760E9" w:rsidP="00775FC4" w:rsidRDefault="00DA2D88" w14:paraId="3B286D4E" w14:textId="3CC9A351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589.</w:t>
            </w:r>
            <w:r w:rsidR="0070348F">
              <w:rPr>
                <w:b/>
                <w:sz w:val="32"/>
              </w:rPr>
              <w:t> </w:t>
            </w:r>
            <w:r>
              <w:rPr>
                <w:b/>
                <w:sz w:val="32"/>
              </w:rPr>
              <w:t>PLENÁRNE ZASADNUTIE</w:t>
            </w:r>
          </w:p>
          <w:p w:rsidRPr="00094B6B" w:rsidR="001760E9" w:rsidP="00775FC4" w:rsidRDefault="001760E9" w14:paraId="6C87A626" w14:textId="0AE2882C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1760E9" w:rsidP="00775FC4" w:rsidRDefault="00026AF7" w14:paraId="6CF7229C" w14:textId="5FF829C8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10. a 11. júla 2024</w:t>
            </w:r>
          </w:p>
          <w:p w:rsidRPr="00094B6B" w:rsidR="001760E9" w:rsidP="00775FC4" w:rsidRDefault="001760E9" w14:paraId="0C44BD01" w14:textId="2F8EBB07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4D7AC0" w:rsidP="00775FC4" w:rsidRDefault="00CF2F88" w14:paraId="114106CC" w14:textId="5D722599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SÚHRN PRIJATÝCH STANOVÍSK, UZNESENÍ A</w:t>
            </w:r>
            <w:r w:rsidR="0070348F">
              <w:rPr>
                <w:b/>
                <w:sz w:val="32"/>
              </w:rPr>
              <w:t> </w:t>
            </w:r>
            <w:r>
              <w:rPr>
                <w:b/>
                <w:sz w:val="32"/>
              </w:rPr>
              <w:t>INFORMAČNÝCH/HODNOTIACICH SPRÁV</w:t>
            </w:r>
          </w:p>
          <w:p w:rsidRPr="00094B6B" w:rsidR="004D7AC0" w:rsidP="00775FC4" w:rsidRDefault="004D7AC0" w14:paraId="06AE72EA" w14:textId="77777777">
            <w:pPr>
              <w:snapToGrid w:val="0"/>
            </w:pPr>
          </w:p>
        </w:tc>
      </w:tr>
      <w:tr w:rsidRPr="00094B6B" w:rsidR="004D7AC0" w:rsidTr="00662436" w14:paraId="45EAB22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94B6B" w:rsidR="00B16284" w:rsidP="00775FC4" w:rsidRDefault="004D7AC0" w14:paraId="0A87E35B" w14:textId="77777777">
            <w:pPr>
              <w:snapToGrid w:val="0"/>
              <w:jc w:val="center"/>
            </w:pPr>
            <w:r>
              <w:t>Tento dokument je dostupný vo všetkých úradných jazykoch EÚ na webovom sídle EHSV:</w:t>
            </w:r>
          </w:p>
          <w:p w:rsidRPr="00094B6B" w:rsidR="00B16284" w:rsidP="00775FC4" w:rsidRDefault="00B16284" w14:paraId="4F26A4CE" w14:textId="77777777">
            <w:pPr>
              <w:snapToGrid w:val="0"/>
              <w:jc w:val="center"/>
            </w:pPr>
          </w:p>
          <w:p w:rsidRPr="00094B6B" w:rsidR="004D7AC0" w:rsidP="00775FC4" w:rsidRDefault="0056687F" w14:paraId="2A9352A2" w14:textId="0680ADB6">
            <w:pPr>
              <w:snapToGrid w:val="0"/>
              <w:jc w:val="center"/>
            </w:pPr>
            <w:hyperlink w:history="1" r:id="rId12">
              <w:r w:rsidR="000B64C3">
                <w:rPr>
                  <w:rStyle w:val="Hyperlink"/>
                  <w:highlight w:val="yellow"/>
                </w:rPr>
                <w:t>https://www.eesc.europa.eu/sk/our-work/opinions-information-reports/plenary-session-summaries</w:t>
              </w:r>
            </w:hyperlink>
          </w:p>
          <w:p w:rsidRPr="00094B6B" w:rsidR="004D7AC0" w:rsidP="00775FC4" w:rsidRDefault="004D7AC0" w14:paraId="70D5DBB4" w14:textId="77777777">
            <w:pPr>
              <w:snapToGrid w:val="0"/>
              <w:jc w:val="center"/>
            </w:pPr>
          </w:p>
          <w:p w:rsidRPr="00094B6B" w:rsidR="004D7AC0" w:rsidP="00775FC4" w:rsidRDefault="004D7AC0" w14:paraId="575A73D6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094B6B" w:rsidR="00B16284" w:rsidP="00775FC4" w:rsidRDefault="004D7AC0" w14:paraId="1C64BC20" w14:textId="77777777">
            <w:pPr>
              <w:snapToGrid w:val="0"/>
              <w:jc w:val="center"/>
            </w:pPr>
            <w:r>
              <w:t>Uvedené stanoviská možno nájsť on-line cez vyhľadávač EHSV:</w:t>
            </w:r>
          </w:p>
          <w:p w:rsidRPr="00094B6B" w:rsidR="00B16284" w:rsidP="00775FC4" w:rsidRDefault="00B16284" w14:paraId="7A5411A5" w14:textId="77777777">
            <w:pPr>
              <w:snapToGrid w:val="0"/>
              <w:jc w:val="center"/>
            </w:pPr>
          </w:p>
          <w:p w:rsidRPr="00094B6B" w:rsidR="004D7AC0" w:rsidP="00775FC4" w:rsidRDefault="0056687F" w14:paraId="441AC4DD" w14:textId="1194D751">
            <w:pPr>
              <w:snapToGrid w:val="0"/>
              <w:jc w:val="center"/>
            </w:pPr>
            <w:hyperlink w:history="1" r:id="rId13">
              <w:r w:rsidR="000B64C3">
                <w:rPr>
                  <w:rStyle w:val="Hyperlink"/>
                </w:rPr>
                <w:t>https://dmsearch.eesc.europa.eu/search/opinion</w:t>
              </w:r>
            </w:hyperlink>
          </w:p>
          <w:p w:rsidRPr="00094B6B" w:rsidR="004D7AC0" w:rsidP="00775FC4" w:rsidRDefault="004D7AC0" w14:paraId="51FF303F" w14:textId="77777777">
            <w:pPr>
              <w:snapToGrid w:val="0"/>
              <w:jc w:val="center"/>
            </w:pPr>
          </w:p>
        </w:tc>
      </w:tr>
    </w:tbl>
    <w:p w:rsidRPr="00094B6B" w:rsidR="004D7AC0" w:rsidP="00775FC4" w:rsidRDefault="004D7AC0" w14:paraId="5E675360" w14:textId="77777777"/>
    <w:p w:rsidRPr="00094B6B" w:rsidR="005A29D5" w:rsidP="00775FC4" w:rsidRDefault="005A29D5" w14:paraId="3CF67A1E" w14:textId="77777777">
      <w:pPr>
        <w:sectPr w:rsidRPr="00094B6B" w:rsidR="005A29D5" w:rsidSect="0071141F">
          <w:footerReference w:type="default" r:id="rId14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E31152" w:rsidR="00E31152" w:rsidP="00775FC4" w:rsidRDefault="0014322B" w14:paraId="0D3450B1" w14:textId="72CD896C">
      <w:pPr>
        <w:keepNext/>
        <w:keepLines/>
        <w:ind w:hanging="284"/>
        <w:jc w:val="left"/>
        <w:rPr>
          <w:rFonts w:asciiTheme="majorHAnsi" w:hAnsiTheme="majorHAnsi" w:eastAsiaTheme="majorEastAsia" w:cstheme="majorBidi"/>
          <w:color w:val="2E74B5" w:themeColor="accent1" w:themeShade="BF"/>
          <w:sz w:val="32"/>
          <w:szCs w:val="32"/>
        </w:rPr>
      </w:pPr>
      <w:r>
        <w:rPr>
          <w:rFonts w:asciiTheme="majorHAnsi" w:hAnsiTheme="majorHAnsi"/>
          <w:color w:val="2E74B5" w:themeColor="accent1" w:themeShade="BF"/>
          <w:sz w:val="32"/>
        </w:rPr>
        <w:lastRenderedPageBreak/>
        <w:t>Obsah</w:t>
      </w:r>
    </w:p>
    <w:p w:rsidR="0070348F" w:rsidRDefault="0014322B" w14:paraId="6819D274" w14:textId="4830A3F3">
      <w:pPr>
        <w:pStyle w:val="TOC1"/>
        <w:rPr>
          <w:rFonts w:asciiTheme="minorHAnsi" w:hAnsiTheme="minorHAnsi" w:eastAsiaTheme="minorEastAsia" w:cstheme="minorBidi"/>
          <w:b w:val="0"/>
          <w:sz w:val="22"/>
          <w:szCs w:val="22"/>
          <w:lang w:val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history="1" w:anchor="_Toc172649318">
        <w:r w:rsidRPr="00455B3F" w:rsidR="0070348F">
          <w:rPr>
            <w:rStyle w:val="Hyperlink"/>
          </w:rPr>
          <w:t>1.</w:t>
        </w:r>
        <w:r w:rsidR="0070348F">
          <w:rPr>
            <w:rFonts w:asciiTheme="minorHAnsi" w:hAnsiTheme="minorHAnsi" w:eastAsiaTheme="minorEastAsia" w:cstheme="minorBidi"/>
            <w:b w:val="0"/>
            <w:sz w:val="22"/>
            <w:szCs w:val="22"/>
            <w:lang w:val="en-US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455B3F" w:rsidR="0070348F">
          <w:rPr>
            <w:rStyle w:val="Hyperlink"/>
          </w:rPr>
          <w:t>UZNESENIE</w:t>
        </w:r>
        <w:r w:rsidR="0070348F">
          <w:rPr>
            <w:webHidden/>
          </w:rPr>
          <w:tab/>
        </w:r>
        <w:r w:rsidR="0070348F">
          <w:rPr>
            <w:webHidden/>
          </w:rPr>
          <w:fldChar w:fldCharType="begin"/>
        </w:r>
        <w:r w:rsidR="0070348F">
          <w:rPr>
            <w:webHidden/>
          </w:rPr>
          <w:instrText xml:space="preserve"> PAGEREF _Toc172649318 \h </w:instrText>
        </w:r>
        <w:r w:rsidR="0070348F">
          <w:rPr>
            <w:webHidden/>
          </w:rPr>
        </w:r>
        <w:r w:rsidR="0070348F">
          <w:rPr>
            <w:webHidden/>
          </w:rPr>
          <w:fldChar w:fldCharType="separate"/>
        </w:r>
        <w:r w:rsidR="001E0BF5">
          <w:rPr>
            <w:webHidden/>
          </w:rPr>
          <w:t>3</w:t>
        </w:r>
        <w:r w:rsidR="0070348F">
          <w:rPr>
            <w:webHidden/>
          </w:rPr>
          <w:fldChar w:fldCharType="end"/>
        </w:r>
      </w:hyperlink>
    </w:p>
    <w:p w:rsidR="0070348F" w:rsidRDefault="0070348F" w14:paraId="41AB9C02" w14:textId="7D9096D8">
      <w:pPr>
        <w:pStyle w:val="TOC1"/>
        <w:rPr>
          <w:rFonts w:asciiTheme="minorHAnsi" w:hAnsiTheme="minorHAnsi" w:eastAsiaTheme="minorEastAsia" w:cstheme="minorBidi"/>
          <w:b w:val="0"/>
          <w:sz w:val="22"/>
          <w:szCs w:val="22"/>
          <w:lang w:val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history="1" w:anchor="_Toc172649319">
        <w:r w:rsidRPr="00455B3F">
          <w:rPr>
            <w:rStyle w:val="Hyperlink"/>
          </w:rPr>
          <w:t>2.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lang w:val="en-US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455B3F">
          <w:rPr>
            <w:rStyle w:val="Hyperlink"/>
          </w:rPr>
          <w:t>HOSPODÁRSKA A MENOVÁ ÚNIA, HOSPODÁRSKA A SOCIÁLNA SÚDRŽNOSŤ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_Toc172649319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E0BF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0348F" w:rsidRDefault="0070348F" w14:paraId="6F8CD9D5" w14:textId="77B6AEC3">
      <w:pPr>
        <w:pStyle w:val="TOC1"/>
        <w:rPr>
          <w:rFonts w:asciiTheme="minorHAnsi" w:hAnsiTheme="minorHAnsi" w:eastAsiaTheme="minorEastAsia" w:cstheme="minorBidi"/>
          <w:b w:val="0"/>
          <w:sz w:val="22"/>
          <w:szCs w:val="22"/>
          <w:lang w:val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history="1" w:anchor="_Toc172649320">
        <w:r w:rsidRPr="00455B3F">
          <w:rPr>
            <w:rStyle w:val="Hyperlink"/>
          </w:rPr>
          <w:t>3.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lang w:val="en-US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455B3F">
          <w:rPr>
            <w:rStyle w:val="Hyperlink"/>
          </w:rPr>
          <w:t>ZAMESTNANOSŤ, SOCIÁLNE VECI A OBČIANSTVO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_Toc172649320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E0BF5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0348F" w:rsidRDefault="0070348F" w14:paraId="098DA9CF" w14:textId="68F15682">
      <w:pPr>
        <w:pStyle w:val="TOC1"/>
        <w:rPr>
          <w:rFonts w:asciiTheme="minorHAnsi" w:hAnsiTheme="minorHAnsi" w:eastAsiaTheme="minorEastAsia" w:cstheme="minorBidi"/>
          <w:b w:val="0"/>
          <w:sz w:val="22"/>
          <w:szCs w:val="22"/>
          <w:lang w:val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history="1" w:anchor="_Toc172649321">
        <w:r w:rsidRPr="00455B3F">
          <w:rPr>
            <w:rStyle w:val="Hyperlink"/>
          </w:rPr>
          <w:t>4.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lang w:val="en-US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455B3F">
          <w:rPr>
            <w:rStyle w:val="Hyperlink"/>
          </w:rPr>
          <w:t>JEDNOTNÝ TRH, VÝROBA A SPOTREBA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_Toc172649321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E0BF5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0348F" w:rsidRDefault="0070348F" w14:paraId="1AB80D31" w14:textId="00B9CA15">
      <w:pPr>
        <w:pStyle w:val="TOC1"/>
        <w:rPr>
          <w:rFonts w:asciiTheme="minorHAnsi" w:hAnsiTheme="minorHAnsi" w:eastAsiaTheme="minorEastAsia" w:cstheme="minorBidi"/>
          <w:b w:val="0"/>
          <w:sz w:val="22"/>
          <w:szCs w:val="22"/>
          <w:lang w:val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history="1" w:anchor="_Toc172649322">
        <w:r w:rsidRPr="00455B3F">
          <w:rPr>
            <w:rStyle w:val="Hyperlink"/>
          </w:rPr>
          <w:t>5.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lang w:val="en-US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455B3F">
          <w:rPr>
            <w:rStyle w:val="Hyperlink"/>
          </w:rPr>
          <w:t>POĽNOHOSPODÁRSTVO, ROZVOJ VIDIEKA A ŽIVOTNÉ PROSTREDIE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_Toc172649322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E0BF5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0348F" w:rsidRDefault="0070348F" w14:paraId="21DEE3F9" w14:textId="3A9D3CE8">
      <w:pPr>
        <w:pStyle w:val="TOC1"/>
        <w:rPr>
          <w:rFonts w:asciiTheme="minorHAnsi" w:hAnsiTheme="minorHAnsi" w:eastAsiaTheme="minorEastAsia" w:cstheme="minorBidi"/>
          <w:b w:val="0"/>
          <w:sz w:val="22"/>
          <w:szCs w:val="22"/>
          <w:lang w:val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history="1" w:anchor="_Toc172649323">
        <w:r w:rsidRPr="00455B3F">
          <w:rPr>
            <w:rStyle w:val="Hyperlink"/>
          </w:rPr>
          <w:t>6.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lang w:val="en-US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455B3F">
          <w:rPr>
            <w:rStyle w:val="Hyperlink"/>
          </w:rPr>
          <w:t>VONKAJŠIE VZŤAHY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_Toc172649323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E0BF5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0348F" w:rsidRDefault="0070348F" w14:paraId="7EDC92C2" w14:textId="6B303D54">
      <w:pPr>
        <w:pStyle w:val="TOC1"/>
        <w:rPr>
          <w:rFonts w:asciiTheme="minorHAnsi" w:hAnsiTheme="minorHAnsi" w:eastAsiaTheme="minorEastAsia" w:cstheme="minorBidi"/>
          <w:b w:val="0"/>
          <w:sz w:val="22"/>
          <w:szCs w:val="22"/>
          <w:lang w:val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history="1" w:anchor="_Toc172649324">
        <w:r w:rsidRPr="00455B3F">
          <w:rPr>
            <w:rStyle w:val="Hyperlink"/>
          </w:rPr>
          <w:t>7.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lang w:val="en-US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455B3F">
          <w:rPr>
            <w:rStyle w:val="Hyperlink"/>
          </w:rPr>
          <w:t>DOPRAVA, ENERGETIKA, INFRAŠTRUKTÚRA A INFORMAČNÁ SPOLOČNOSŤ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_Toc172649324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E0BF5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0348F" w:rsidRDefault="0070348F" w14:paraId="6EF70B5E" w14:textId="068FDF64">
      <w:pPr>
        <w:pStyle w:val="TOC1"/>
        <w:rPr>
          <w:rFonts w:asciiTheme="minorHAnsi" w:hAnsiTheme="minorHAnsi" w:eastAsiaTheme="minorEastAsia" w:cstheme="minorBidi"/>
          <w:b w:val="0"/>
          <w:sz w:val="22"/>
          <w:szCs w:val="22"/>
          <w:lang w:val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history="1" w:anchor="_Toc172649325">
        <w:r w:rsidRPr="00455B3F">
          <w:rPr>
            <w:rStyle w:val="Hyperlink"/>
          </w:rPr>
          <w:t xml:space="preserve">8. 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lang w:val="en-US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455B3F">
          <w:rPr>
            <w:rStyle w:val="Hyperlink"/>
          </w:rPr>
          <w:t>PORADNÁ KOMISIA PRE PRIEMYSELNÉ ZMENY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_Toc172649325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E0BF5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86ABD" w:rsidRDefault="0014322B" w14:paraId="4EDE006A" w14:textId="167C0EC3">
      <w:pPr>
        <w:jc w:val="left"/>
      </w:pPr>
      <w:r>
        <w:fldChar w:fldCharType="end"/>
      </w:r>
      <w:r>
        <w:br w:type="page"/>
      </w:r>
    </w:p>
    <w:p w:rsidR="00C86ABD" w:rsidP="00810736" w:rsidRDefault="00C86ABD" w14:paraId="6C806385" w14:textId="036A4087">
      <w:pPr>
        <w:pStyle w:val="Heading1"/>
        <w:ind w:left="709" w:hanging="720"/>
        <w:rPr>
          <w:b/>
        </w:rPr>
      </w:pPr>
      <w:bookmarkStart w:name="_Toc172649318" w:id="0"/>
      <w:r>
        <w:rPr>
          <w:b/>
        </w:rPr>
        <w:lastRenderedPageBreak/>
        <w:t>UZNESENIE</w:t>
      </w:r>
      <w:bookmarkEnd w:id="0"/>
    </w:p>
    <w:p w:rsidRPr="00607C1D" w:rsidR="00607C1D" w:rsidP="00607C1D" w:rsidRDefault="00607C1D" w14:paraId="5864B418" w14:textId="77777777"/>
    <w:p w:rsidRPr="00A86421" w:rsidR="00607C1D" w:rsidP="00607C1D" w:rsidRDefault="0056687F" w14:paraId="09333E38" w14:textId="15AF4DAC">
      <w:pPr>
        <w:pStyle w:val="ListParagraph"/>
        <w:numPr>
          <w:ilvl w:val="0"/>
          <w:numId w:val="26"/>
        </w:numPr>
        <w:spacing w:after="200" w:line="276" w:lineRule="auto"/>
        <w:ind w:left="567" w:hanging="567"/>
        <w:rPr>
          <w:b/>
          <w:bCs/>
          <w:i/>
          <w:iCs/>
          <w:spacing w:val="-6"/>
          <w:sz w:val="28"/>
          <w:szCs w:val="28"/>
        </w:rPr>
      </w:pPr>
      <w:hyperlink w:history="1" r:id="rId15">
        <w:r w:rsidRPr="00A86421" w:rsidR="00607C1D">
          <w:rPr>
            <w:rStyle w:val="Hyperlink"/>
            <w:b/>
            <w:i/>
            <w:spacing w:val="-6"/>
            <w:sz w:val="28"/>
          </w:rPr>
          <w:t xml:space="preserve">Na nikoho by sa nemalo zabúdať. </w:t>
        </w:r>
      </w:hyperlink>
      <w:hyperlink w:history="1" r:id="rId16">
        <w:r w:rsidRPr="00A86421" w:rsidR="00607C1D">
          <w:rPr>
            <w:rStyle w:val="Hyperlink"/>
            <w:b/>
            <w:i/>
            <w:spacing w:val="-6"/>
            <w:sz w:val="28"/>
          </w:rPr>
          <w:t>Za inkluzívnu a </w:t>
        </w:r>
        <w:proofErr w:type="spellStart"/>
        <w:r w:rsidRPr="00A86421" w:rsidR="00607C1D">
          <w:rPr>
            <w:rStyle w:val="Hyperlink"/>
            <w:b/>
            <w:i/>
            <w:spacing w:val="-6"/>
            <w:sz w:val="28"/>
          </w:rPr>
          <w:t>participatívnu</w:t>
        </w:r>
        <w:proofErr w:type="spellEnd"/>
        <w:r w:rsidRPr="00A86421" w:rsidR="00607C1D">
          <w:rPr>
            <w:rStyle w:val="Hyperlink"/>
            <w:b/>
            <w:i/>
            <w:spacing w:val="-6"/>
            <w:sz w:val="28"/>
          </w:rPr>
          <w:t xml:space="preserve"> politiku súdržnosti na podporu sociálnej, hospodárskej a územnej súdržnosti</w:t>
        </w:r>
      </w:hyperlink>
    </w:p>
    <w:p w:rsidRPr="00A86421" w:rsidR="00607C1D" w:rsidP="00607C1D" w:rsidRDefault="00607C1D" w14:paraId="0DE69176" w14:textId="77777777">
      <w:pPr>
        <w:rPr>
          <w:bCs/>
          <w:iCs/>
        </w:rPr>
      </w:pPr>
    </w:p>
    <w:tbl>
      <w:tblPr>
        <w:tblStyle w:val="TableGrid"/>
        <w:tblW w:w="4865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25"/>
        <w:gridCol w:w="7511"/>
      </w:tblGrid>
      <w:tr w:rsidRPr="00A86421" w:rsidR="00607C1D" w:rsidTr="003D64A7" w14:paraId="12E0AF40" w14:textId="77777777">
        <w:tc>
          <w:tcPr>
            <w:tcW w:w="844" w:type="pct"/>
          </w:tcPr>
          <w:p w:rsidRPr="00A86421" w:rsidR="00607C1D" w:rsidP="003D64A7" w:rsidRDefault="00607C1D" w14:paraId="6167084C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A86421">
              <w:rPr>
                <w:b/>
              </w:rPr>
              <w:t>Spravodajca:</w:t>
            </w:r>
          </w:p>
        </w:tc>
        <w:tc>
          <w:tcPr>
            <w:tcW w:w="4156" w:type="pct"/>
          </w:tcPr>
          <w:p w:rsidRPr="00A86421" w:rsidR="00607C1D" w:rsidP="003D64A7" w:rsidRDefault="00607C1D" w14:paraId="48B640CC" w14:textId="77777777">
            <w:proofErr w:type="spellStart"/>
            <w:r w:rsidRPr="00A86421">
              <w:t>Ioannis</w:t>
            </w:r>
            <w:proofErr w:type="spellEnd"/>
            <w:r w:rsidRPr="00A86421">
              <w:t xml:space="preserve"> VARDAKASTANIS (skupina Organizácie občianskej spoločnosti</w:t>
            </w:r>
            <w:r>
              <w:t> – </w:t>
            </w:r>
            <w:r w:rsidRPr="00A86421">
              <w:t>EL)</w:t>
            </w:r>
          </w:p>
        </w:tc>
      </w:tr>
      <w:tr w:rsidRPr="00A86421" w:rsidR="00607C1D" w:rsidTr="003D64A7" w14:paraId="049528DC" w14:textId="77777777">
        <w:tc>
          <w:tcPr>
            <w:tcW w:w="5000" w:type="pct"/>
            <w:gridSpan w:val="2"/>
          </w:tcPr>
          <w:p w:rsidRPr="00A86421" w:rsidR="00607C1D" w:rsidP="003D64A7" w:rsidRDefault="00607C1D" w14:paraId="50AFD542" w14:textId="77777777">
            <w:pPr>
              <w:tabs>
                <w:tab w:val="center" w:pos="284"/>
              </w:tabs>
              <w:spacing w:line="160" w:lineRule="exact"/>
              <w:ind w:left="266" w:hanging="266"/>
            </w:pPr>
          </w:p>
        </w:tc>
      </w:tr>
      <w:tr w:rsidRPr="00A86421" w:rsidR="00607C1D" w:rsidTr="003D64A7" w14:paraId="595F18DA" w14:textId="77777777">
        <w:tc>
          <w:tcPr>
            <w:tcW w:w="844" w:type="pct"/>
          </w:tcPr>
          <w:p w:rsidRPr="00A86421" w:rsidR="00607C1D" w:rsidP="003D64A7" w:rsidRDefault="00607C1D" w14:paraId="694D3844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A86421">
              <w:rPr>
                <w:b/>
              </w:rPr>
              <w:t>Ref</w:t>
            </w:r>
            <w:proofErr w:type="spellEnd"/>
            <w:r w:rsidRPr="00A86421">
              <w:rPr>
                <w:b/>
              </w:rPr>
              <w:t>.:</w:t>
            </w:r>
          </w:p>
        </w:tc>
        <w:tc>
          <w:tcPr>
            <w:tcW w:w="4156" w:type="pct"/>
          </w:tcPr>
          <w:p w:rsidRPr="00A86421" w:rsidR="00607C1D" w:rsidP="003D64A7" w:rsidRDefault="00607C1D" w14:paraId="52747952" w14:textId="77777777">
            <w:pPr>
              <w:tabs>
                <w:tab w:val="center" w:pos="284"/>
              </w:tabs>
              <w:ind w:left="266" w:hanging="266"/>
            </w:pPr>
            <w:r w:rsidRPr="00A86421">
              <w:t>EESC-2024-02528-00-00-RES</w:t>
            </w:r>
          </w:p>
        </w:tc>
      </w:tr>
    </w:tbl>
    <w:p w:rsidRPr="0070348F" w:rsidR="00607C1D" w:rsidP="00607C1D" w:rsidRDefault="00607C1D" w14:paraId="304949C6" w14:textId="77777777">
      <w:pPr>
        <w:rPr>
          <w:bCs/>
          <w:iCs/>
        </w:rPr>
      </w:pPr>
    </w:p>
    <w:p w:rsidRPr="00A86421" w:rsidR="00607C1D" w:rsidP="00607C1D" w:rsidRDefault="00607C1D" w14:paraId="069FFDF6" w14:textId="77777777">
      <w:pPr>
        <w:spacing w:before="120" w:after="120"/>
        <w:rPr>
          <w:bCs/>
          <w:iCs/>
        </w:rPr>
      </w:pPr>
      <w:r w:rsidRPr="00A86421">
        <w:t>EHSV:</w:t>
      </w:r>
    </w:p>
    <w:p w:rsidRPr="00A86421" w:rsidR="00607C1D" w:rsidP="00607C1D" w:rsidRDefault="00607C1D" w14:paraId="42DE6F5A" w14:textId="77777777">
      <w:pPr>
        <w:pStyle w:val="ListParagraph"/>
        <w:numPr>
          <w:ilvl w:val="0"/>
          <w:numId w:val="25"/>
        </w:numPr>
        <w:spacing w:after="200" w:line="276" w:lineRule="auto"/>
        <w:rPr>
          <w:bCs/>
        </w:rPr>
      </w:pPr>
      <w:r w:rsidRPr="00A86421">
        <w:t>vyzýva členské štáty Európskej únie</w:t>
      </w:r>
      <w:r>
        <w:t xml:space="preserve"> a </w:t>
      </w:r>
      <w:r w:rsidRPr="00A86421">
        <w:t>jej vedúcich predstaviteľov, európske inštitúcie</w:t>
      </w:r>
      <w:r>
        <w:t xml:space="preserve"> a </w:t>
      </w:r>
      <w:r w:rsidRPr="00A86421">
        <w:t>občanov EÚ, aby zabezpečili</w:t>
      </w:r>
      <w:r>
        <w:t xml:space="preserve"> a </w:t>
      </w:r>
      <w:r w:rsidRPr="00A86421">
        <w:t>chránili hospodársku, sociálnu</w:t>
      </w:r>
      <w:r>
        <w:t xml:space="preserve"> a </w:t>
      </w:r>
      <w:r w:rsidRPr="00A86421">
        <w:t>územnú súdržnosť EÚ</w:t>
      </w:r>
      <w:r>
        <w:t xml:space="preserve"> v </w:t>
      </w:r>
      <w:r w:rsidRPr="00A86421">
        <w:t>súlade</w:t>
      </w:r>
      <w:r>
        <w:t xml:space="preserve"> s </w:t>
      </w:r>
      <w:r w:rsidRPr="00A86421">
        <w:t>článkom</w:t>
      </w:r>
      <w:r>
        <w:t> </w:t>
      </w:r>
      <w:r w:rsidRPr="00A86421">
        <w:t>174 ZFEÚ;</w:t>
      </w:r>
    </w:p>
    <w:p w:rsidR="00607C1D" w:rsidP="00607C1D" w:rsidRDefault="00607C1D" w14:paraId="6A62B73E" w14:textId="77777777">
      <w:pPr>
        <w:pStyle w:val="ListParagraph"/>
        <w:numPr>
          <w:ilvl w:val="0"/>
          <w:numId w:val="25"/>
        </w:numPr>
        <w:spacing w:after="200" w:line="276" w:lineRule="auto"/>
      </w:pPr>
      <w:r w:rsidRPr="00A86421">
        <w:t>zdôrazňuje, že základná zásada „na nikoho nezabudnúť“</w:t>
      </w:r>
      <w:r>
        <w:t xml:space="preserve"> v </w:t>
      </w:r>
      <w:r w:rsidRPr="00A86421">
        <w:t>politike súdržnosti je naďalej zmysluplná</w:t>
      </w:r>
      <w:r>
        <w:t xml:space="preserve"> a </w:t>
      </w:r>
      <w:r w:rsidRPr="00A86421">
        <w:t>platná</w:t>
      </w:r>
      <w:r>
        <w:t xml:space="preserve"> a </w:t>
      </w:r>
      <w:r w:rsidRPr="00A86421">
        <w:t>že partneri občianskej spoločnosti sú pripravení pokračovať</w:t>
      </w:r>
      <w:r>
        <w:t xml:space="preserve"> v </w:t>
      </w:r>
      <w:r w:rsidRPr="00A86421">
        <w:t>práci na jej uplatňovaní</w:t>
      </w:r>
      <w:r>
        <w:t xml:space="preserve"> v </w:t>
      </w:r>
      <w:r w:rsidRPr="00A86421">
        <w:t>praxi prostredníctvom silnej investičnej politiky EÚ</w:t>
      </w:r>
      <w:r>
        <w:t>;</w:t>
      </w:r>
    </w:p>
    <w:p w:rsidRPr="00A86421" w:rsidR="00607C1D" w:rsidP="00607C1D" w:rsidRDefault="00607C1D" w14:paraId="681CC6C6" w14:textId="77777777">
      <w:pPr>
        <w:pStyle w:val="ListParagraph"/>
        <w:numPr>
          <w:ilvl w:val="0"/>
          <w:numId w:val="25"/>
        </w:numPr>
        <w:spacing w:after="200" w:line="276" w:lineRule="auto"/>
        <w:rPr>
          <w:bCs/>
        </w:rPr>
      </w:pPr>
      <w:r w:rsidRPr="00A86421">
        <w:t>zdôrazňuje, že nerovnosť príležitostí môže mať negatívny vplyv na dlhodobý rast</w:t>
      </w:r>
      <w:r>
        <w:t xml:space="preserve"> a </w:t>
      </w:r>
      <w:r w:rsidRPr="00A86421">
        <w:t>konkurencieschopnosť na regionálnej</w:t>
      </w:r>
      <w:r>
        <w:t xml:space="preserve"> a </w:t>
      </w:r>
      <w:r w:rsidRPr="00A86421">
        <w:t xml:space="preserve">národnej úrovni, ako aj na úrovni EÚ. Politika súdržnosti preto musí byť </w:t>
      </w:r>
      <w:proofErr w:type="spellStart"/>
      <w:r w:rsidRPr="00A86421">
        <w:t>diverzifikovanejšia</w:t>
      </w:r>
      <w:proofErr w:type="spellEnd"/>
      <w:r>
        <w:t xml:space="preserve"> a </w:t>
      </w:r>
      <w:r w:rsidRPr="00A86421">
        <w:t>pružnejšia, no zároveň dôveryhodná, stabilná</w:t>
      </w:r>
      <w:r>
        <w:t xml:space="preserve"> a </w:t>
      </w:r>
      <w:r w:rsidRPr="00A86421">
        <w:t>jednoznačná, aby sa mohla venovať väčšia pozornosť ľuďom, najmä tým najzraniteľnejším,</w:t>
      </w:r>
      <w:r>
        <w:t xml:space="preserve"> a </w:t>
      </w:r>
      <w:r w:rsidRPr="00A86421">
        <w:t>lepšie riešiť nerovnosť príležitostí, ktorým mnohí čelia;</w:t>
      </w:r>
    </w:p>
    <w:p w:rsidR="00607C1D" w:rsidP="00607C1D" w:rsidRDefault="00607C1D" w14:paraId="3302806F" w14:textId="77777777">
      <w:pPr>
        <w:pStyle w:val="ListParagraph"/>
        <w:numPr>
          <w:ilvl w:val="0"/>
          <w:numId w:val="25"/>
        </w:numPr>
        <w:spacing w:after="200" w:line="276" w:lineRule="auto"/>
      </w:pPr>
      <w:r w:rsidRPr="00A86421">
        <w:t>kriticky sa stavia</w:t>
      </w:r>
      <w:r>
        <w:t xml:space="preserve"> k </w:t>
      </w:r>
      <w:r w:rsidRPr="00A86421">
        <w:t>tomu, aby sa zrušila funkcia komisára, ktorého hlavnou zodpovednosťou je portfólio politiky súdržnosti</w:t>
      </w:r>
      <w:r>
        <w:t>;</w:t>
      </w:r>
    </w:p>
    <w:p w:rsidRPr="00A86421" w:rsidR="00607C1D" w:rsidP="00607C1D" w:rsidRDefault="00607C1D" w14:paraId="0205E863" w14:textId="77777777">
      <w:pPr>
        <w:pStyle w:val="ListParagraph"/>
        <w:numPr>
          <w:ilvl w:val="0"/>
          <w:numId w:val="25"/>
        </w:numPr>
        <w:spacing w:after="200" w:line="276" w:lineRule="auto"/>
        <w:rPr>
          <w:bCs/>
          <w:spacing w:val="-6"/>
        </w:rPr>
      </w:pPr>
      <w:r w:rsidRPr="00A86421">
        <w:rPr>
          <w:spacing w:val="-6"/>
        </w:rPr>
        <w:t>je proti obmedzovaniu politiky súdržnosti a jej transformácii na nástroj na riešenie krízových situácií;</w:t>
      </w:r>
    </w:p>
    <w:p w:rsidR="00607C1D" w:rsidP="00607C1D" w:rsidRDefault="00607C1D" w14:paraId="37B0CB13" w14:textId="77777777">
      <w:pPr>
        <w:pStyle w:val="ListParagraph"/>
        <w:numPr>
          <w:ilvl w:val="0"/>
          <w:numId w:val="25"/>
        </w:numPr>
        <w:spacing w:after="200" w:line="276" w:lineRule="auto"/>
      </w:pPr>
      <w:r w:rsidRPr="00A86421">
        <w:t>myšlienku premeniť politiku súdržnosti na nástroj, ktorý bude podobný Mechanizmu na podporu obnovy</w:t>
      </w:r>
      <w:r>
        <w:t xml:space="preserve"> a </w:t>
      </w:r>
      <w:r w:rsidRPr="00A86421">
        <w:t>odolnosti</w:t>
      </w:r>
      <w:r>
        <w:t xml:space="preserve"> a v </w:t>
      </w:r>
      <w:r w:rsidRPr="00A86421">
        <w:t>rámci ktorého bude štrukturálne zapojenie zainteresovaných strán, spoločné riadenie</w:t>
      </w:r>
      <w:r>
        <w:t xml:space="preserve"> a </w:t>
      </w:r>
      <w:r w:rsidRPr="00A86421">
        <w:t>viacúrovňové riadenie iba čiastočné alebo žiadne</w:t>
      </w:r>
      <w:r>
        <w:t>;</w:t>
      </w:r>
    </w:p>
    <w:p w:rsidRPr="00A86421" w:rsidR="00607C1D" w:rsidP="00607C1D" w:rsidRDefault="00607C1D" w14:paraId="146B58B8" w14:textId="77777777">
      <w:pPr>
        <w:pStyle w:val="ListParagraph"/>
        <w:numPr>
          <w:ilvl w:val="0"/>
          <w:numId w:val="25"/>
        </w:numPr>
        <w:spacing w:after="200" w:line="276" w:lineRule="auto"/>
        <w:rPr>
          <w:bCs/>
        </w:rPr>
      </w:pPr>
      <w:r w:rsidRPr="00A86421">
        <w:t>podporuje zásadu partnerstva</w:t>
      </w:r>
      <w:r>
        <w:t xml:space="preserve"> a </w:t>
      </w:r>
      <w:r w:rsidRPr="00A86421">
        <w:t>jasné pravidlá zapájania občianskej spoločnosti do výberu, riadenia</w:t>
      </w:r>
      <w:r>
        <w:t xml:space="preserve"> a </w:t>
      </w:r>
      <w:r w:rsidRPr="00A86421">
        <w:t>monitorovania činností financovaných Európskou úniou;</w:t>
      </w:r>
    </w:p>
    <w:p w:rsidRPr="00A86421" w:rsidR="00607C1D" w:rsidP="00607C1D" w:rsidRDefault="00607C1D" w14:paraId="753759E4" w14:textId="77777777">
      <w:pPr>
        <w:pStyle w:val="ListParagraph"/>
        <w:numPr>
          <w:ilvl w:val="0"/>
          <w:numId w:val="25"/>
        </w:numPr>
        <w:spacing w:after="200" w:line="276" w:lineRule="auto"/>
        <w:rPr>
          <w:bCs/>
        </w:rPr>
      </w:pPr>
      <w:r w:rsidRPr="00A86421">
        <w:t>žiada, aby sa</w:t>
      </w:r>
      <w:r>
        <w:t xml:space="preserve"> v </w:t>
      </w:r>
      <w:r w:rsidRPr="00A86421">
        <w:t>ďalšom nariadení</w:t>
      </w:r>
      <w:r>
        <w:t xml:space="preserve"> o </w:t>
      </w:r>
      <w:r w:rsidRPr="00A86421">
        <w:t>spoločných ustanoveniach, ktoré bude upravovať využívanie kohéznych fondov</w:t>
      </w:r>
      <w:r>
        <w:t xml:space="preserve"> a </w:t>
      </w:r>
      <w:r w:rsidRPr="00A86421">
        <w:t>iných finančných prostriedkov EÚ po roku</w:t>
      </w:r>
      <w:r>
        <w:t> </w:t>
      </w:r>
      <w:r w:rsidRPr="00A86421">
        <w:t>2027, použilo rovnako jednoznačné znenie týkajúce sa zapojenia občianskej spoločnosti ako</w:t>
      </w:r>
      <w:r>
        <w:t xml:space="preserve"> v </w:t>
      </w:r>
      <w:r w:rsidRPr="00A86421">
        <w:t>nariadení na roky</w:t>
      </w:r>
      <w:r>
        <w:t> </w:t>
      </w:r>
      <w:r w:rsidRPr="00A86421">
        <w:t>2021 až 2027;</w:t>
      </w:r>
    </w:p>
    <w:p w:rsidRPr="00A86421" w:rsidR="00607C1D" w:rsidP="00607C1D" w:rsidRDefault="00607C1D" w14:paraId="678071DE" w14:textId="77777777">
      <w:pPr>
        <w:pStyle w:val="ListParagraph"/>
        <w:numPr>
          <w:ilvl w:val="0"/>
          <w:numId w:val="25"/>
        </w:numPr>
        <w:spacing w:after="200" w:line="276" w:lineRule="auto"/>
        <w:rPr>
          <w:bCs/>
        </w:rPr>
      </w:pPr>
      <w:r w:rsidRPr="00A86421">
        <w:t>takú politiku súdržnosti, ktorá bude miestne orientovaná</w:t>
      </w:r>
      <w:r>
        <w:t xml:space="preserve"> a </w:t>
      </w:r>
      <w:r w:rsidRPr="00A86421">
        <w:t>zameraná na ľudí;</w:t>
      </w:r>
    </w:p>
    <w:p w:rsidRPr="00A86421" w:rsidR="00607C1D" w:rsidP="00607C1D" w:rsidRDefault="00607C1D" w14:paraId="459D3D2C" w14:textId="77777777">
      <w:pPr>
        <w:pStyle w:val="ListParagraph"/>
        <w:numPr>
          <w:ilvl w:val="0"/>
          <w:numId w:val="25"/>
        </w:numPr>
        <w:spacing w:after="200" w:line="276" w:lineRule="auto"/>
        <w:rPr>
          <w:bCs/>
          <w:spacing w:val="-4"/>
        </w:rPr>
      </w:pPr>
      <w:r w:rsidRPr="00A86421">
        <w:rPr>
          <w:spacing w:val="-4"/>
        </w:rPr>
        <w:t>žiada pre politiku súdržnosti nový impulz a je presvedčený o tom, že treba rozšíriť, zmodernizovať alebo zrevidovať súbor nástrojov a prístupov s cieľom vybudovať silnú, účinnú, flexibilnú a obnovenú politiku súdržnosti s väčším zameraním na kapacity, medziregionálne prepojenia, efektívne výsledky a príležitosti pre príjemcov nad rámec bežných investícií;</w:t>
      </w:r>
    </w:p>
    <w:p w:rsidRPr="00A86421" w:rsidR="00607C1D" w:rsidP="00607C1D" w:rsidRDefault="00607C1D" w14:paraId="3C408D90" w14:textId="77777777">
      <w:pPr>
        <w:pStyle w:val="ListParagraph"/>
        <w:numPr>
          <w:ilvl w:val="0"/>
          <w:numId w:val="25"/>
        </w:numPr>
        <w:spacing w:after="200" w:line="276" w:lineRule="auto"/>
        <w:rPr>
          <w:bCs/>
        </w:rPr>
      </w:pPr>
      <w:r w:rsidRPr="00A86421">
        <w:t>urobí všetko preto, aby sa zachovali základné zásady politiky súdržnosti</w:t>
      </w:r>
      <w:r>
        <w:t xml:space="preserve"> a </w:t>
      </w:r>
      <w:r w:rsidRPr="00A86421">
        <w:t>aby táto politika zostala prvkom, ktorý udržiava jednotu Európy.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70348F" w:rsidR="00607C1D" w:rsidTr="003D64A7" w14:paraId="348AA5D5" w14:textId="77777777">
        <w:tc>
          <w:tcPr>
            <w:tcW w:w="1418" w:type="dxa"/>
          </w:tcPr>
          <w:p w:rsidRPr="0070348F" w:rsidR="00607C1D" w:rsidP="003D64A7" w:rsidRDefault="00607C1D" w14:paraId="13839938" w14:textId="581EC895">
            <w:pPr>
              <w:keepNext/>
              <w:keepLines/>
              <w:spacing w:line="240" w:lineRule="auto"/>
              <w:rPr>
                <w:i/>
              </w:rPr>
            </w:pPr>
            <w:r w:rsidRPr="0070348F">
              <w:rPr>
                <w:b/>
                <w:i/>
              </w:rPr>
              <w:t>Kontakt</w:t>
            </w:r>
            <w:r w:rsidR="00556213">
              <w:rPr>
                <w:b/>
                <w:i/>
              </w:rPr>
              <w:t>:</w:t>
            </w:r>
          </w:p>
        </w:tc>
        <w:tc>
          <w:tcPr>
            <w:tcW w:w="5670" w:type="dxa"/>
          </w:tcPr>
          <w:p w:rsidRPr="0070348F" w:rsidR="00607C1D" w:rsidP="003D64A7" w:rsidRDefault="00607C1D" w14:paraId="3A99ACE5" w14:textId="77777777">
            <w:pPr>
              <w:keepNext/>
              <w:keepLines/>
              <w:spacing w:line="240" w:lineRule="auto"/>
              <w:rPr>
                <w:i/>
              </w:rPr>
            </w:pPr>
            <w:proofErr w:type="spellStart"/>
            <w:r w:rsidRPr="0070348F">
              <w:rPr>
                <w:i/>
              </w:rPr>
              <w:t>Georgios</w:t>
            </w:r>
            <w:proofErr w:type="spellEnd"/>
            <w:r w:rsidRPr="0070348F">
              <w:rPr>
                <w:i/>
              </w:rPr>
              <w:t xml:space="preserve"> </w:t>
            </w:r>
            <w:proofErr w:type="spellStart"/>
            <w:r w:rsidRPr="0070348F">
              <w:rPr>
                <w:i/>
              </w:rPr>
              <w:t>Meleas</w:t>
            </w:r>
            <w:proofErr w:type="spellEnd"/>
          </w:p>
        </w:tc>
      </w:tr>
      <w:tr w:rsidRPr="0070348F" w:rsidR="00607C1D" w:rsidTr="003D64A7" w14:paraId="0633BB84" w14:textId="77777777">
        <w:tc>
          <w:tcPr>
            <w:tcW w:w="1418" w:type="dxa"/>
          </w:tcPr>
          <w:p w:rsidRPr="0070348F" w:rsidR="00607C1D" w:rsidP="003D64A7" w:rsidRDefault="00607C1D" w14:paraId="4608B1A6" w14:textId="77777777">
            <w:pPr>
              <w:keepNext/>
              <w:keepLines/>
              <w:spacing w:line="240" w:lineRule="auto"/>
              <w:rPr>
                <w:i/>
              </w:rPr>
            </w:pPr>
            <w:r w:rsidRPr="0070348F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70348F" w:rsidR="00607C1D" w:rsidP="003D64A7" w:rsidRDefault="00607C1D" w14:paraId="5693FBE7" w14:textId="77777777">
            <w:pPr>
              <w:keepNext/>
              <w:keepLines/>
              <w:spacing w:line="240" w:lineRule="auto"/>
              <w:rPr>
                <w:i/>
              </w:rPr>
            </w:pPr>
            <w:r w:rsidRPr="0070348F">
              <w:rPr>
                <w:i/>
              </w:rPr>
              <w:t>+32 25469795</w:t>
            </w:r>
          </w:p>
        </w:tc>
      </w:tr>
    </w:tbl>
    <w:tbl>
      <w:tblPr>
        <w:tblStyle w:val="TableGrid19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70348F" w:rsidR="00A773FA" w:rsidTr="001F4854" w14:paraId="719936AC" w14:textId="77777777">
        <w:tc>
          <w:tcPr>
            <w:tcW w:w="1418" w:type="dxa"/>
          </w:tcPr>
          <w:p w:rsidRPr="0070348F" w:rsidR="00A773FA" w:rsidP="00A773FA" w:rsidRDefault="0070348F" w14:paraId="3BFA5A9D" w14:textId="3A63C69D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70348F"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70348F" w:rsidR="00A773FA" w:rsidP="00A773FA" w:rsidRDefault="0056687F" w14:paraId="0E731FD7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hyperlink w:history="1" r:id="rId17">
              <w:r w:rsidRPr="0070348F" w:rsidR="000B64C3">
                <w:rPr>
                  <w:i/>
                  <w:color w:val="0000FF"/>
                  <w:sz w:val="22"/>
                  <w:szCs w:val="22"/>
                  <w:u w:val="single"/>
                </w:rPr>
                <w:t>Georgios.Meleas@eesc.europa.eu</w:t>
              </w:r>
            </w:hyperlink>
            <w:r w:rsidRPr="0070348F" w:rsidR="000B64C3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8469D4" w:rsidP="008469D4" w:rsidRDefault="008469D4" w14:paraId="1862AFC9" w14:textId="6D1C7136"/>
    <w:p w:rsidRPr="00EE2FBD" w:rsidR="0038273B" w:rsidP="0038273B" w:rsidRDefault="0038273B" w14:paraId="62CE6920" w14:textId="4AB21D19">
      <w:pPr>
        <w:pStyle w:val="Heading1"/>
        <w:ind w:hanging="928"/>
        <w:rPr>
          <w:b/>
          <w:bCs/>
        </w:rPr>
      </w:pPr>
      <w:bookmarkStart w:name="_Toc162435201" w:id="1"/>
      <w:bookmarkStart w:name="_Toc162435202" w:id="2"/>
      <w:bookmarkStart w:name="_Toc172649319" w:id="3"/>
      <w:bookmarkEnd w:id="1"/>
      <w:bookmarkEnd w:id="2"/>
      <w:r>
        <w:rPr>
          <w:b/>
        </w:rPr>
        <w:lastRenderedPageBreak/>
        <w:t>HOSPODÁRSKA A MENOVÁ ÚNIA, HOSPODÁRSKA A SOCIÁLNA SÚDRŽNOSŤ</w:t>
      </w:r>
      <w:bookmarkEnd w:id="3"/>
    </w:p>
    <w:p w:rsidRPr="0065553F" w:rsidR="00B807B4" w:rsidP="005271CC" w:rsidRDefault="00B807B4" w14:paraId="3CAC710B" w14:textId="11524E6A">
      <w:pPr>
        <w:pStyle w:val="Heading1"/>
        <w:numPr>
          <w:ilvl w:val="0"/>
          <w:numId w:val="0"/>
        </w:numPr>
      </w:pPr>
    </w:p>
    <w:p w:rsidRPr="006502EC" w:rsidR="004F2100" w:rsidP="004F2100" w:rsidRDefault="0056687F" w14:paraId="4B6E5AEC" w14:textId="33648B4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hyperlink w:history="1" r:id="rId18">
        <w:r w:rsidRPr="006502EC" w:rsidR="004F2100">
          <w:rPr>
            <w:rStyle w:val="Hyperlink"/>
            <w:b/>
            <w:i/>
            <w:sz w:val="28"/>
          </w:rPr>
          <w:t>Daňový rámec pre subjekty sociálneho hospodárstva</w:t>
        </w:r>
      </w:hyperlink>
    </w:p>
    <w:p w:rsidRPr="0065553F" w:rsidR="004F2100" w:rsidP="004F2100" w:rsidRDefault="004F2100" w14:paraId="63A2DEEF" w14:textId="77777777">
      <w:pPr>
        <w:tabs>
          <w:tab w:val="center" w:pos="284"/>
        </w:tabs>
        <w:ind w:left="266" w:hanging="266"/>
        <w:rPr>
          <w:bCs/>
        </w:rPr>
      </w:pPr>
    </w:p>
    <w:tbl>
      <w:tblPr>
        <w:tblStyle w:val="TableGrid"/>
        <w:tblW w:w="468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6675"/>
      </w:tblGrid>
      <w:tr w:rsidRPr="006502EC" w:rsidR="004F2100" w:rsidTr="003D64A7" w14:paraId="22AB26C1" w14:textId="77777777">
        <w:tc>
          <w:tcPr>
            <w:tcW w:w="1167" w:type="pct"/>
          </w:tcPr>
          <w:p w:rsidRPr="006502EC" w:rsidR="004F2100" w:rsidP="003D64A7" w:rsidRDefault="004F2100" w14:paraId="7A4F506F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6502EC">
              <w:rPr>
                <w:b/>
              </w:rPr>
              <w:t>Spravodajca:</w:t>
            </w:r>
          </w:p>
        </w:tc>
        <w:tc>
          <w:tcPr>
            <w:tcW w:w="3833" w:type="pct"/>
          </w:tcPr>
          <w:p w:rsidRPr="006502EC" w:rsidR="004F2100" w:rsidP="003D64A7" w:rsidRDefault="004F2100" w14:paraId="4FCDBBD1" w14:textId="1AEDED7F">
            <w:pPr>
              <w:tabs>
                <w:tab w:val="center" w:pos="284"/>
              </w:tabs>
              <w:ind w:left="266" w:hanging="266"/>
            </w:pPr>
            <w:r w:rsidRPr="006502EC">
              <w:t xml:space="preserve">Giuseppe </w:t>
            </w:r>
            <w:r w:rsidRPr="006502EC" w:rsidR="005271CC">
              <w:t>GUERINI</w:t>
            </w:r>
            <w:r w:rsidRPr="006502EC">
              <w:t xml:space="preserve"> (skupina Organizácie občianskej spoločnosti</w:t>
            </w:r>
            <w:r>
              <w:t> </w:t>
            </w:r>
            <w:r w:rsidRPr="006502EC">
              <w:t>–</w:t>
            </w:r>
            <w:r>
              <w:t> </w:t>
            </w:r>
            <w:r w:rsidRPr="006502EC">
              <w:t>IT)</w:t>
            </w:r>
          </w:p>
        </w:tc>
      </w:tr>
      <w:tr w:rsidRPr="006502EC" w:rsidR="004F2100" w:rsidTr="003D64A7" w14:paraId="192D7346" w14:textId="77777777">
        <w:tc>
          <w:tcPr>
            <w:tcW w:w="5000" w:type="pct"/>
            <w:gridSpan w:val="2"/>
          </w:tcPr>
          <w:p w:rsidRPr="006502EC" w:rsidR="004F2100" w:rsidP="003D64A7" w:rsidRDefault="004F2100" w14:paraId="1AFA8E2F" w14:textId="77777777">
            <w:pPr>
              <w:tabs>
                <w:tab w:val="center" w:pos="284"/>
              </w:tabs>
              <w:spacing w:line="160" w:lineRule="exact"/>
              <w:ind w:left="266" w:hanging="266"/>
            </w:pPr>
          </w:p>
        </w:tc>
      </w:tr>
      <w:tr w:rsidRPr="006502EC" w:rsidR="004F2100" w:rsidTr="003D64A7" w14:paraId="528D7D90" w14:textId="77777777">
        <w:tc>
          <w:tcPr>
            <w:tcW w:w="1167" w:type="pct"/>
          </w:tcPr>
          <w:p w:rsidRPr="006502EC" w:rsidR="004F2100" w:rsidP="003D64A7" w:rsidRDefault="004F2100" w14:paraId="7FAC01DE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6502EC">
              <w:rPr>
                <w:b/>
              </w:rPr>
              <w:t>Ref</w:t>
            </w:r>
            <w:proofErr w:type="spellEnd"/>
            <w:r w:rsidRPr="006502EC">
              <w:rPr>
                <w:b/>
              </w:rPr>
              <w:t>.:</w:t>
            </w:r>
          </w:p>
        </w:tc>
        <w:tc>
          <w:tcPr>
            <w:tcW w:w="3833" w:type="pct"/>
          </w:tcPr>
          <w:p w:rsidRPr="006502EC" w:rsidR="004F2100" w:rsidP="003D64A7" w:rsidRDefault="004F2100" w14:paraId="04D09FC2" w14:textId="77777777">
            <w:pPr>
              <w:tabs>
                <w:tab w:val="center" w:pos="284"/>
              </w:tabs>
              <w:ind w:left="266" w:hanging="266"/>
            </w:pPr>
            <w:r w:rsidRPr="006502EC">
              <w:t>EESC-2024-00699-00-00-AC</w:t>
            </w:r>
          </w:p>
        </w:tc>
      </w:tr>
    </w:tbl>
    <w:p w:rsidRPr="006502EC" w:rsidR="004F2100" w:rsidP="004F2100" w:rsidRDefault="004F2100" w14:paraId="1916DDF9" w14:textId="77777777">
      <w:pPr>
        <w:tabs>
          <w:tab w:val="center" w:pos="284"/>
        </w:tabs>
        <w:ind w:left="266" w:hanging="266"/>
      </w:pPr>
    </w:p>
    <w:p w:rsidRPr="006502EC" w:rsidR="004F2100" w:rsidP="004F2100" w:rsidRDefault="004F2100" w14:paraId="1D4E5913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6502EC">
        <w:rPr>
          <w:b/>
        </w:rPr>
        <w:t>Hlavné body</w:t>
      </w:r>
    </w:p>
    <w:p w:rsidRPr="006502EC" w:rsidR="004F2100" w:rsidP="004F2100" w:rsidRDefault="004F2100" w14:paraId="61BBE98B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6502EC" w:rsidR="004F2100" w:rsidP="004F2100" w:rsidRDefault="004F2100" w14:paraId="00FB69D1" w14:textId="77777777">
      <w:pPr>
        <w:rPr>
          <w:bCs/>
          <w:iCs/>
        </w:rPr>
      </w:pPr>
      <w:r w:rsidRPr="006502EC">
        <w:t>EHSV:</w:t>
      </w:r>
    </w:p>
    <w:p w:rsidRPr="006502EC" w:rsidR="004F2100" w:rsidP="004F2100" w:rsidRDefault="004F2100" w14:paraId="4817351E" w14:textId="77777777">
      <w:pPr>
        <w:rPr>
          <w:bCs/>
          <w:iCs/>
        </w:rPr>
      </w:pPr>
    </w:p>
    <w:p w:rsidRPr="006502EC" w:rsidR="004F2100" w:rsidP="004F2100" w:rsidRDefault="004F2100" w14:paraId="3D5D9099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709"/>
      </w:pPr>
      <w:r w:rsidRPr="006502EC">
        <w:t>zdôrazňuje, že je dôležité, aby daňové systémy členských štátov nebránili rozvoju sociálneho hospodárstva</w:t>
      </w:r>
      <w:r>
        <w:t xml:space="preserve"> a </w:t>
      </w:r>
      <w:r w:rsidRPr="006502EC">
        <w:t>víta cieľ Európskej komisie podporovať členské štáty zverejňovaním usmernení</w:t>
      </w:r>
      <w:r>
        <w:t xml:space="preserve"> o </w:t>
      </w:r>
      <w:r w:rsidRPr="006502EC">
        <w:t>príslušných daňových rámcoch uplatniteľných na subjekty sociálneho hospodárstva;</w:t>
      </w:r>
    </w:p>
    <w:p w:rsidRPr="006502EC" w:rsidR="004F2100" w:rsidP="004F2100" w:rsidRDefault="004F2100" w14:paraId="49811493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709"/>
      </w:pPr>
      <w:r w:rsidRPr="006502EC">
        <w:t>konštatuje, že znalosť prístupov prijatých</w:t>
      </w:r>
      <w:r>
        <w:t xml:space="preserve"> v </w:t>
      </w:r>
      <w:r w:rsidRPr="006502EC">
        <w:t>rôznych členských štátoch môže predstavovať dôležitý východiskový bod pre prehĺbenie</w:t>
      </w:r>
      <w:r>
        <w:t xml:space="preserve"> a </w:t>
      </w:r>
      <w:r w:rsidRPr="006502EC">
        <w:t>zlepšenie celkového rámca zdaňovania subjektov sociálneho hospodárstva na vnútornom trhu;</w:t>
      </w:r>
    </w:p>
    <w:p w:rsidRPr="006502EC" w:rsidR="004F2100" w:rsidP="004F2100" w:rsidRDefault="004F2100" w14:paraId="77FF20D1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709"/>
      </w:pPr>
      <w:r w:rsidRPr="006502EC">
        <w:t>dúfa, že</w:t>
      </w:r>
      <w:r>
        <w:t xml:space="preserve"> v </w:t>
      </w:r>
      <w:r w:rsidRPr="006502EC">
        <w:t>budúcnosti bude možné pokračovať</w:t>
      </w:r>
      <w:r>
        <w:t xml:space="preserve"> v </w:t>
      </w:r>
      <w:r w:rsidRPr="006502EC">
        <w:t>harmonizácii prístupu</w:t>
      </w:r>
      <w:r>
        <w:t xml:space="preserve"> k </w:t>
      </w:r>
      <w:r w:rsidRPr="006502EC">
        <w:t>zdaňovaniu subjektov sociálneho hospodárstva</w:t>
      </w:r>
      <w:r>
        <w:t xml:space="preserve"> s </w:t>
      </w:r>
      <w:r w:rsidRPr="006502EC">
        <w:t>cieľom konsolidovať vnútorný trh;</w:t>
      </w:r>
    </w:p>
    <w:p w:rsidRPr="006502EC" w:rsidR="004F2100" w:rsidP="004F2100" w:rsidRDefault="004F2100" w14:paraId="119AF4D4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709"/>
      </w:pPr>
      <w:r w:rsidRPr="006502EC">
        <w:t>žiada, aby sa dôkladne zvážili možné formy budúcej harmonizácie zdaňovania sociálneho hospodárstva</w:t>
      </w:r>
      <w:r>
        <w:t xml:space="preserve"> v </w:t>
      </w:r>
      <w:r w:rsidRPr="006502EC">
        <w:t>EÚ;</w:t>
      </w:r>
    </w:p>
    <w:p w:rsidRPr="006502EC" w:rsidR="004F2100" w:rsidP="004F2100" w:rsidRDefault="004F2100" w14:paraId="00AF2915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709"/>
      </w:pPr>
      <w:r w:rsidRPr="006502EC">
        <w:t>nabáda Európsku komisiu</w:t>
      </w:r>
      <w:r>
        <w:t xml:space="preserve"> a </w:t>
      </w:r>
      <w:r w:rsidRPr="006502EC">
        <w:t>členské štáty, aby zvážili aj mimoriadne zvýhodnené sadzby DPH na verejnoprospešné činnosti vykonávané subjektmi sociálneho hospodárstva</w:t>
      </w:r>
      <w:r>
        <w:t xml:space="preserve"> a </w:t>
      </w:r>
      <w:r w:rsidRPr="006502EC">
        <w:t>na poskytovanie sociálnych služieb, najmä</w:t>
      </w:r>
      <w:r>
        <w:t xml:space="preserve"> v </w:t>
      </w:r>
      <w:r w:rsidRPr="006502EC">
        <w:t>sektore zdravotnej</w:t>
      </w:r>
      <w:r>
        <w:t xml:space="preserve"> a </w:t>
      </w:r>
      <w:r w:rsidRPr="006502EC">
        <w:t>sociálnej starostlivosti</w:t>
      </w:r>
      <w:r>
        <w:t xml:space="preserve"> o </w:t>
      </w:r>
      <w:r w:rsidRPr="006502EC">
        <w:t>starších ľudí, ako aj</w:t>
      </w:r>
      <w:r>
        <w:t xml:space="preserve"> v </w:t>
      </w:r>
      <w:r w:rsidRPr="006502EC">
        <w:t>sektore osobných služieb, dlhodobej starostlivosti</w:t>
      </w:r>
      <w:r>
        <w:t xml:space="preserve"> a </w:t>
      </w:r>
      <w:r w:rsidRPr="006502EC">
        <w:t>vzdelávania.</w:t>
      </w:r>
    </w:p>
    <w:p w:rsidRPr="006502EC" w:rsidR="004F2100" w:rsidP="004F2100" w:rsidRDefault="004F2100" w14:paraId="5AC7C9B8" w14:textId="77777777">
      <w:pPr>
        <w:pStyle w:val="ListParagraph"/>
        <w:spacing w:line="360" w:lineRule="auto"/>
        <w:ind w:left="714" w:hanging="714"/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6502EC" w:rsidR="004F2100" w:rsidTr="003D64A7" w14:paraId="1DC665C6" w14:textId="77777777">
        <w:tc>
          <w:tcPr>
            <w:tcW w:w="1556" w:type="pct"/>
          </w:tcPr>
          <w:p w:rsidRPr="006502EC" w:rsidR="004F2100" w:rsidP="003D64A7" w:rsidRDefault="004F2100" w14:paraId="3D926F70" w14:textId="77777777">
            <w:pPr>
              <w:spacing w:line="240" w:lineRule="auto"/>
              <w:rPr>
                <w:i/>
              </w:rPr>
            </w:pPr>
            <w:r w:rsidRPr="006502EC"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:rsidRPr="006502EC" w:rsidR="004F2100" w:rsidP="003D64A7" w:rsidRDefault="004F2100" w14:paraId="35C9E797" w14:textId="77777777">
            <w:pPr>
              <w:spacing w:line="240" w:lineRule="auto"/>
              <w:rPr>
                <w:i/>
              </w:rPr>
            </w:pPr>
            <w:proofErr w:type="spellStart"/>
            <w:r w:rsidRPr="006502EC">
              <w:rPr>
                <w:i/>
              </w:rPr>
              <w:t>Jüri</w:t>
            </w:r>
            <w:proofErr w:type="spellEnd"/>
            <w:r w:rsidRPr="006502EC">
              <w:rPr>
                <w:i/>
              </w:rPr>
              <w:t xml:space="preserve"> SOOSAAR</w:t>
            </w:r>
          </w:p>
        </w:tc>
      </w:tr>
      <w:tr w:rsidRPr="006502EC" w:rsidR="004F2100" w:rsidTr="003D64A7" w14:paraId="17829848" w14:textId="77777777">
        <w:tc>
          <w:tcPr>
            <w:tcW w:w="1556" w:type="pct"/>
          </w:tcPr>
          <w:p w:rsidRPr="006502EC" w:rsidR="004F2100" w:rsidP="003D64A7" w:rsidRDefault="004F2100" w14:paraId="5F3B0F34" w14:textId="77777777">
            <w:pPr>
              <w:spacing w:line="240" w:lineRule="auto"/>
              <w:rPr>
                <w:i/>
              </w:rPr>
            </w:pPr>
            <w:r w:rsidRPr="006502EC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6502EC" w:rsidR="004F2100" w:rsidP="003D64A7" w:rsidRDefault="004F2100" w14:paraId="77C33985" w14:textId="5AFCEFE8">
            <w:pPr>
              <w:spacing w:line="240" w:lineRule="auto"/>
              <w:rPr>
                <w:i/>
              </w:rPr>
            </w:pPr>
            <w:r w:rsidRPr="006502EC">
              <w:rPr>
                <w:i/>
              </w:rPr>
              <w:t>+32</w:t>
            </w:r>
            <w:r>
              <w:rPr>
                <w:i/>
              </w:rPr>
              <w:t> </w:t>
            </w:r>
            <w:r w:rsidRPr="006502EC">
              <w:rPr>
                <w:i/>
              </w:rPr>
              <w:t>25469628</w:t>
            </w:r>
          </w:p>
        </w:tc>
      </w:tr>
      <w:tr w:rsidRPr="006502EC" w:rsidR="004F2100" w:rsidTr="003D64A7" w14:paraId="5DA8C0AC" w14:textId="77777777">
        <w:tc>
          <w:tcPr>
            <w:tcW w:w="1556" w:type="pct"/>
          </w:tcPr>
          <w:p w:rsidRPr="006502EC" w:rsidR="004F2100" w:rsidP="003D64A7" w:rsidRDefault="004F2100" w14:paraId="0818CA77" w14:textId="77777777">
            <w:pPr>
              <w:spacing w:line="240" w:lineRule="auto"/>
              <w:rPr>
                <w:i/>
              </w:rPr>
            </w:pPr>
            <w:r w:rsidRPr="006502EC">
              <w:rPr>
                <w:i/>
              </w:rPr>
              <w:t>E-mail:</w:t>
            </w:r>
          </w:p>
        </w:tc>
        <w:tc>
          <w:tcPr>
            <w:tcW w:w="3444" w:type="pct"/>
          </w:tcPr>
          <w:p w:rsidRPr="006502EC" w:rsidR="004F2100" w:rsidP="003D64A7" w:rsidRDefault="0056687F" w14:paraId="3A1BF592" w14:textId="77777777">
            <w:pPr>
              <w:spacing w:line="240" w:lineRule="auto"/>
              <w:rPr>
                <w:i/>
              </w:rPr>
            </w:pPr>
            <w:hyperlink w:history="1" r:id="rId19">
              <w:r w:rsidRPr="006502EC" w:rsidR="004F2100">
                <w:rPr>
                  <w:rStyle w:val="Hyperlink"/>
                  <w:i/>
                </w:rPr>
                <w:t>Juri.Soosaar@eesc.europa.eu</w:t>
              </w:r>
            </w:hyperlink>
          </w:p>
        </w:tc>
      </w:tr>
    </w:tbl>
    <w:p w:rsidR="009401A5" w:rsidRDefault="009401A5" w14:paraId="6DB3B370" w14:textId="77777777">
      <w:pPr>
        <w:spacing w:after="160" w:line="259" w:lineRule="auto"/>
        <w:jc w:val="left"/>
        <w:rPr>
          <w:color w:val="000000" w:themeColor="text1"/>
        </w:rPr>
      </w:pPr>
      <w:r>
        <w:br w:type="page"/>
      </w:r>
    </w:p>
    <w:bookmarkStart w:name="_Toc162435204" w:id="4"/>
    <w:bookmarkEnd w:id="4"/>
    <w:p w:rsidR="00C37F51" w:rsidP="00D92244" w:rsidRDefault="00C34921" w14:paraId="264EB5BB" w14:textId="64EED120">
      <w:pPr>
        <w:pStyle w:val="TOC1"/>
        <w:rPr>
          <w:rStyle w:val="Hyperlink"/>
          <w:b w:val="0"/>
          <w:color w:val="000000" w:themeColor="text1"/>
          <w:sz w:val="22"/>
          <w:szCs w:val="22"/>
          <w:u w:val="none"/>
        </w:rPr>
      </w:pPr>
      <w:r>
        <w:lastRenderedPageBreak/>
        <w:fldChar w:fldCharType="begin"/>
      </w:r>
      <w:r>
        <w:instrText xml:space="preserve"> HYPERLINK \l "_Toc164353188" </w:instrText>
      </w:r>
      <w:r>
        <w:fldChar w:fldCharType="separate"/>
      </w:r>
      <w:bookmarkStart w:name="_Toc172649320" w:id="5"/>
      <w:r>
        <w:rPr>
          <w:rStyle w:val="Hyperlink"/>
          <w:color w:val="000000" w:themeColor="text1"/>
          <w:sz w:val="22"/>
          <w:u w:val="none"/>
        </w:rPr>
        <w:t>3.</w:t>
      </w:r>
      <w:r>
        <w:rPr>
          <w:rFonts w:asciiTheme="minorHAnsi" w:hAnsiTheme="minorHAnsi"/>
          <w:color w:val="000000" w:themeColor="text1"/>
        </w:rPr>
        <w:tab/>
      </w:r>
      <w:r>
        <w:t>ZAMESTNANOSŤ, SOCIÁLNE VECI A OBČIANSTVO</w:t>
      </w:r>
      <w:bookmarkEnd w:id="5"/>
      <w:r>
        <w:rPr>
          <w:rStyle w:val="Hyperlink"/>
          <w:rFonts w:asciiTheme="minorHAnsi" w:hAnsiTheme="minorHAnsi"/>
          <w:color w:val="auto"/>
          <w:sz w:val="22"/>
          <w:u w:val="none"/>
        </w:rPr>
        <w:t xml:space="preserve"> </w:t>
      </w:r>
      <w:r>
        <w:rPr>
          <w:rStyle w:val="Hyperlink"/>
          <w:color w:val="000000" w:themeColor="text1"/>
          <w:sz w:val="22"/>
          <w:u w:val="none"/>
        </w:rPr>
        <w:fldChar w:fldCharType="end"/>
      </w:r>
    </w:p>
    <w:p w:rsidRPr="00D92244" w:rsidR="00D92244" w:rsidP="00D92244" w:rsidRDefault="00D92244" w14:paraId="38D997EF" w14:textId="77777777">
      <w:pPr>
        <w:rPr>
          <w:rFonts w:eastAsiaTheme="minorEastAsia"/>
        </w:rPr>
      </w:pPr>
    </w:p>
    <w:p w:rsidRPr="00271BDD" w:rsidR="004F2100" w:rsidP="004F2100" w:rsidRDefault="004F2100" w14:paraId="34ECA775" w14:textId="348C73F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hanging="567"/>
        <w:textAlignment w:val="baseline"/>
        <w:rPr>
          <w:rStyle w:val="Hyperlink"/>
          <w:b/>
          <w:bCs/>
          <w:i/>
          <w:iCs/>
          <w:sz w:val="28"/>
          <w:szCs w:val="28"/>
        </w:rPr>
      </w:pPr>
      <w:r w:rsidRPr="00271BDD">
        <w:rPr>
          <w:b/>
          <w:i/>
          <w:sz w:val="28"/>
        </w:rPr>
        <w:fldChar w:fldCharType="begin"/>
      </w:r>
      <w:r w:rsidRPr="00271BDD">
        <w:rPr>
          <w:b/>
          <w:i/>
          <w:sz w:val="28"/>
        </w:rPr>
        <w:instrText>HYPERLINK "https://www.eesc.europa.eu/sk/our-work/opinions-information-reports/opinions/combating-sexual-abuse-and-sexual-exploitation-children-and-child-pornography"</w:instrText>
      </w:r>
      <w:r w:rsidRPr="00271BDD">
        <w:rPr>
          <w:b/>
          <w:i/>
          <w:sz w:val="28"/>
        </w:rPr>
        <w:fldChar w:fldCharType="separate"/>
      </w:r>
      <w:r w:rsidRPr="00271BDD">
        <w:rPr>
          <w:rStyle w:val="Hyperlink"/>
          <w:b/>
          <w:i/>
          <w:sz w:val="28"/>
        </w:rPr>
        <w:t>Boj proti sexuálnemu zneužívaniu</w:t>
      </w:r>
      <w:r>
        <w:rPr>
          <w:rStyle w:val="Hyperlink"/>
          <w:b/>
          <w:i/>
          <w:sz w:val="28"/>
        </w:rPr>
        <w:t xml:space="preserve"> a </w:t>
      </w:r>
      <w:r w:rsidRPr="00271BDD">
        <w:rPr>
          <w:rStyle w:val="Hyperlink"/>
          <w:b/>
          <w:i/>
          <w:sz w:val="28"/>
        </w:rPr>
        <w:t>sexuálnemu vykorisťovaniu detí</w:t>
      </w:r>
      <w:r>
        <w:rPr>
          <w:rStyle w:val="Hyperlink"/>
          <w:b/>
          <w:i/>
          <w:sz w:val="28"/>
        </w:rPr>
        <w:t xml:space="preserve"> a </w:t>
      </w:r>
      <w:r w:rsidRPr="00271BDD">
        <w:rPr>
          <w:rStyle w:val="Hyperlink"/>
          <w:b/>
          <w:i/>
          <w:sz w:val="28"/>
        </w:rPr>
        <w:t>proti detskej pornografii</w:t>
      </w:r>
    </w:p>
    <w:p w:rsidRPr="00271BDD" w:rsidR="004F2100" w:rsidP="004F2100" w:rsidRDefault="004F2100" w14:paraId="75E0F6B6" w14:textId="77777777">
      <w:pPr>
        <w:widowControl w:val="0"/>
        <w:ind w:left="567" w:hanging="567"/>
        <w:rPr>
          <w:bCs/>
          <w:iCs/>
          <w:sz w:val="28"/>
        </w:rPr>
      </w:pPr>
      <w:r w:rsidRPr="00271BDD">
        <w:rPr>
          <w:b/>
          <w:i/>
          <w:sz w:val="28"/>
        </w:rPr>
        <w:fldChar w:fldCharType="end"/>
      </w: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02"/>
        <w:gridCol w:w="6785"/>
      </w:tblGrid>
      <w:tr w:rsidRPr="00271BDD" w:rsidR="004F2100" w:rsidTr="003D64A7" w14:paraId="45AF01BA" w14:textId="77777777">
        <w:trPr>
          <w:trHeight w:val="601"/>
        </w:trPr>
        <w:tc>
          <w:tcPr>
            <w:tcW w:w="1347" w:type="pct"/>
          </w:tcPr>
          <w:p w:rsidRPr="00271BDD" w:rsidR="004F2100" w:rsidP="003D64A7" w:rsidRDefault="004F2100" w14:paraId="5265A1B2" w14:textId="0B49BF06">
            <w:pPr>
              <w:ind w:left="-113"/>
              <w:rPr>
                <w:b/>
              </w:rPr>
            </w:pPr>
            <w:r w:rsidRPr="00271BDD">
              <w:rPr>
                <w:b/>
              </w:rPr>
              <w:t>Spravodajca</w:t>
            </w:r>
            <w:r w:rsidR="0065553F">
              <w:rPr>
                <w:b/>
              </w:rPr>
              <w:t>:</w:t>
            </w:r>
          </w:p>
          <w:p w:rsidRPr="00271BDD" w:rsidR="004F2100" w:rsidP="003D64A7" w:rsidRDefault="004F2100" w14:paraId="1FF913FD" w14:textId="2731F910">
            <w:pPr>
              <w:ind w:left="-113"/>
              <w:rPr>
                <w:b/>
              </w:rPr>
            </w:pPr>
            <w:proofErr w:type="spellStart"/>
            <w:r w:rsidRPr="00271BDD">
              <w:rPr>
                <w:b/>
              </w:rPr>
              <w:t>Spoluspravodajcovia</w:t>
            </w:r>
            <w:proofErr w:type="spellEnd"/>
            <w:r w:rsidR="0065553F">
              <w:rPr>
                <w:b/>
              </w:rPr>
              <w:t>:</w:t>
            </w:r>
          </w:p>
        </w:tc>
        <w:tc>
          <w:tcPr>
            <w:tcW w:w="3653" w:type="pct"/>
          </w:tcPr>
          <w:p w:rsidRPr="00271BDD" w:rsidR="004F2100" w:rsidP="003D64A7" w:rsidRDefault="004F2100" w14:paraId="3180A116" w14:textId="77777777">
            <w:pPr>
              <w:tabs>
                <w:tab w:val="left" w:pos="4572"/>
              </w:tabs>
              <w:ind w:left="-113" w:right="-823"/>
            </w:pPr>
            <w:r w:rsidRPr="00271BDD">
              <w:t>Christian BÄUMLER (skupina Pracovníci</w:t>
            </w:r>
            <w:r>
              <w:t> </w:t>
            </w:r>
            <w:r w:rsidRPr="00271BDD">
              <w:t>–</w:t>
            </w:r>
            <w:r>
              <w:t> </w:t>
            </w:r>
            <w:r w:rsidRPr="00271BDD">
              <w:t>DE)</w:t>
            </w:r>
          </w:p>
          <w:p w:rsidRPr="00271BDD" w:rsidR="004F2100" w:rsidP="003D64A7" w:rsidRDefault="004F2100" w14:paraId="2EB08A1B" w14:textId="77777777">
            <w:pPr>
              <w:tabs>
                <w:tab w:val="left" w:pos="4572"/>
              </w:tabs>
              <w:ind w:left="-113" w:right="-823"/>
            </w:pPr>
            <w:r w:rsidRPr="00271BDD">
              <w:t>Diana INDŽOVA (skupina Organizácie občianskej spoločnosti</w:t>
            </w:r>
            <w:r>
              <w:t> </w:t>
            </w:r>
            <w:r w:rsidRPr="00271BDD">
              <w:t>–</w:t>
            </w:r>
            <w:r>
              <w:t> </w:t>
            </w:r>
            <w:r w:rsidRPr="00271BDD">
              <w:t>BG)</w:t>
            </w:r>
          </w:p>
        </w:tc>
      </w:tr>
      <w:tr w:rsidRPr="00271BDD" w:rsidR="004F2100" w:rsidTr="003D64A7" w14:paraId="01D751D4" w14:textId="77777777">
        <w:trPr>
          <w:trHeight w:val="313"/>
        </w:trPr>
        <w:tc>
          <w:tcPr>
            <w:tcW w:w="1347" w:type="pct"/>
            <w:vMerge w:val="restart"/>
          </w:tcPr>
          <w:p w:rsidRPr="00271BDD" w:rsidR="004F2100" w:rsidP="003D64A7" w:rsidRDefault="004F2100" w14:paraId="65E22731" w14:textId="432C90E9">
            <w:pPr>
              <w:ind w:left="-113"/>
              <w:rPr>
                <w:b/>
              </w:rPr>
            </w:pPr>
            <w:proofErr w:type="spellStart"/>
            <w:r w:rsidRPr="00271BDD">
              <w:rPr>
                <w:b/>
              </w:rPr>
              <w:t>Ref</w:t>
            </w:r>
            <w:proofErr w:type="spellEnd"/>
            <w:r w:rsidRPr="00271BDD">
              <w:rPr>
                <w:b/>
              </w:rPr>
              <w:t>.</w:t>
            </w:r>
            <w:r w:rsidR="0065553F">
              <w:rPr>
                <w:b/>
              </w:rPr>
              <w:t>:</w:t>
            </w:r>
          </w:p>
        </w:tc>
        <w:tc>
          <w:tcPr>
            <w:tcW w:w="3653" w:type="pct"/>
          </w:tcPr>
          <w:p w:rsidRPr="00271BDD" w:rsidR="004F2100" w:rsidP="003D64A7" w:rsidRDefault="004F2100" w14:paraId="30066ED9" w14:textId="77777777">
            <w:pPr>
              <w:tabs>
                <w:tab w:val="left" w:pos="4430"/>
              </w:tabs>
              <w:ind w:left="-113" w:right="-823"/>
            </w:pPr>
            <w:r w:rsidRPr="00271BDD">
              <w:t>EESC-2024-00873-00-00-AC</w:t>
            </w:r>
          </w:p>
        </w:tc>
      </w:tr>
      <w:tr w:rsidRPr="00271BDD" w:rsidR="004F2100" w:rsidTr="003D64A7" w14:paraId="75F87241" w14:textId="77777777">
        <w:trPr>
          <w:trHeight w:val="301"/>
        </w:trPr>
        <w:tc>
          <w:tcPr>
            <w:tcW w:w="1347" w:type="pct"/>
            <w:vMerge/>
          </w:tcPr>
          <w:p w:rsidRPr="00271BDD" w:rsidR="004F2100" w:rsidP="003D64A7" w:rsidRDefault="004F2100" w14:paraId="3C6AE112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3653" w:type="pct"/>
          </w:tcPr>
          <w:p w:rsidRPr="00271BDD" w:rsidR="004F2100" w:rsidP="003D64A7" w:rsidRDefault="004F2100" w14:paraId="6B494C13" w14:textId="77777777">
            <w:pPr>
              <w:tabs>
                <w:tab w:val="center" w:pos="284"/>
                <w:tab w:val="left" w:pos="4430"/>
              </w:tabs>
              <w:ind w:left="266" w:right="-823" w:hanging="266"/>
            </w:pPr>
          </w:p>
        </w:tc>
      </w:tr>
    </w:tbl>
    <w:p w:rsidRPr="00271BDD" w:rsidR="004F2100" w:rsidP="004F2100" w:rsidRDefault="004F2100" w14:paraId="57442378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271BDD">
        <w:rPr>
          <w:b/>
        </w:rPr>
        <w:t>Hlavné body</w:t>
      </w:r>
    </w:p>
    <w:p w:rsidRPr="00271BDD" w:rsidR="004F2100" w:rsidP="004F2100" w:rsidRDefault="004F2100" w14:paraId="6C11962C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271BDD" w:rsidR="004F2100" w:rsidP="004F2100" w:rsidRDefault="004F2100" w14:paraId="79BAFF2E" w14:textId="77777777">
      <w:pPr>
        <w:keepNext/>
        <w:keepLines/>
        <w:tabs>
          <w:tab w:val="center" w:pos="284"/>
        </w:tabs>
        <w:ind w:left="266" w:hanging="266"/>
      </w:pPr>
      <w:r w:rsidRPr="00271BDD">
        <w:t>EHSV:</w:t>
      </w:r>
    </w:p>
    <w:p w:rsidRPr="00271BDD" w:rsidR="004F2100" w:rsidP="004F2100" w:rsidRDefault="004F2100" w14:paraId="15DC88D1" w14:textId="77777777">
      <w:pPr>
        <w:pStyle w:val="ListParagraph"/>
        <w:keepNext/>
        <w:keepLines/>
        <w:tabs>
          <w:tab w:val="center" w:pos="284"/>
        </w:tabs>
        <w:ind w:hanging="720"/>
      </w:pPr>
    </w:p>
    <w:p w:rsidRPr="00271BDD" w:rsidR="004F2100" w:rsidP="004F2100" w:rsidRDefault="004F2100" w14:paraId="48796C34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271BDD">
        <w:t>podporuje cieľ návrhu zabezpečiť, aby všetky formy sexuálneho zneužívania</w:t>
      </w:r>
      <w:r>
        <w:t xml:space="preserve"> a </w:t>
      </w:r>
      <w:r w:rsidRPr="00271BDD">
        <w:t>sexuálneho vykorisťovania detí, vrátane tých, ktoré umožnil alebo uľahčil technologický vývoj, boli kriminalizované;</w:t>
      </w:r>
    </w:p>
    <w:p w:rsidRPr="00271BDD" w:rsidR="004F2100" w:rsidP="004F2100" w:rsidRDefault="004F2100" w14:paraId="7538DC28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271BDD">
        <w:t>zdôrazňuje zameranie sa na obzvlášť zraniteľnú skupinu detí so zdravotným postihnutím, ktoré sa môžu ľahko stať obeťami sexuálneho zneužívania</w:t>
      </w:r>
      <w:r>
        <w:t xml:space="preserve"> a </w:t>
      </w:r>
      <w:r w:rsidRPr="00271BDD">
        <w:t>sexuálneho vykorisťovania</w:t>
      </w:r>
      <w:r>
        <w:t xml:space="preserve"> a </w:t>
      </w:r>
      <w:r w:rsidRPr="00271BDD">
        <w:t>počítačovej kriminality;</w:t>
      </w:r>
    </w:p>
    <w:p w:rsidRPr="00271BDD" w:rsidR="004F2100" w:rsidP="004F2100" w:rsidRDefault="004F2100" w14:paraId="2162DF7F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271BDD">
        <w:t>podporuje lepšiu koordináciu</w:t>
      </w:r>
      <w:r>
        <w:t xml:space="preserve"> v </w:t>
      </w:r>
      <w:r w:rsidRPr="00271BDD">
        <w:t>oblasti prevencie sexuálneho zneužívania detí</w:t>
      </w:r>
      <w:r>
        <w:t xml:space="preserve"> a </w:t>
      </w:r>
      <w:r w:rsidRPr="00271BDD">
        <w:t>boja proti nemu vo všetkých členských štátoch</w:t>
      </w:r>
      <w:r>
        <w:t xml:space="preserve"> a </w:t>
      </w:r>
      <w:r w:rsidRPr="00271BDD">
        <w:t>na vnútroštátnej úrovni. Podporuje navrhovanú povinnosť členských štátov zriadiť vnútroštátne orgány zodpovedné za takúto koordináciu;</w:t>
      </w:r>
    </w:p>
    <w:p w:rsidRPr="00271BDD" w:rsidR="004F2100" w:rsidP="004F2100" w:rsidRDefault="004F2100" w14:paraId="6924D371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271BDD">
        <w:t>zdôrazňuje, že účinné stíhanie páchateľov</w:t>
      </w:r>
      <w:r>
        <w:t xml:space="preserve"> a </w:t>
      </w:r>
      <w:r w:rsidRPr="00271BDD">
        <w:t>zabezpečenie ochrany obetí</w:t>
      </w:r>
      <w:r>
        <w:t xml:space="preserve"> v </w:t>
      </w:r>
      <w:r w:rsidRPr="00271BDD">
        <w:t>celej EÚ si vyžaduje spoločné minimálne normy pre vymedzenie trestných činov</w:t>
      </w:r>
      <w:r>
        <w:t xml:space="preserve"> a </w:t>
      </w:r>
      <w:r w:rsidRPr="00271BDD">
        <w:t xml:space="preserve">prísnosť súvisiacich trestov. Podporuje </w:t>
      </w:r>
      <w:proofErr w:type="spellStart"/>
      <w:r w:rsidRPr="00271BDD">
        <w:t>kriminalizáciu</w:t>
      </w:r>
      <w:proofErr w:type="spellEnd"/>
      <w:r w:rsidRPr="00271BDD">
        <w:t xml:space="preserve"> „príručiek pre pedofilov“;</w:t>
      </w:r>
    </w:p>
    <w:p w:rsidRPr="00271BDD" w:rsidR="004F2100" w:rsidP="004F2100" w:rsidRDefault="004F2100" w14:paraId="44D07AC1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271BDD">
        <w:t>tiež žiada, aby sa osobitne upravila medzinárodná výmena údajov týkajúcich sa sexuálneho zneužívania</w:t>
      </w:r>
      <w:r>
        <w:t xml:space="preserve"> a </w:t>
      </w:r>
      <w:r w:rsidRPr="00271BDD">
        <w:t>vykorisťovania detí</w:t>
      </w:r>
      <w:r>
        <w:t xml:space="preserve"> a </w:t>
      </w:r>
      <w:r w:rsidRPr="00271BDD">
        <w:t>rozšírili možnosti uchovávania údajov vo všetkých členských štátoch vytvorením výskumného centra EÚ;</w:t>
      </w:r>
    </w:p>
    <w:p w:rsidRPr="00271BDD" w:rsidR="004F2100" w:rsidP="004F2100" w:rsidRDefault="004F2100" w14:paraId="0D021CC0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271BDD">
        <w:t>podporuje cieľ zlepšiť prevenciu</w:t>
      </w:r>
      <w:r>
        <w:t xml:space="preserve"> a </w:t>
      </w:r>
      <w:r w:rsidRPr="00271BDD">
        <w:t>pomoc obetiam sexuálneho vykorisťovania</w:t>
      </w:r>
      <w:r>
        <w:t xml:space="preserve"> a </w:t>
      </w:r>
      <w:r w:rsidRPr="00271BDD">
        <w:t>zneužívania; podporuje navrhované zvýšenie minimálnych trestov</w:t>
      </w:r>
      <w:r>
        <w:t xml:space="preserve"> a </w:t>
      </w:r>
      <w:r w:rsidRPr="00271BDD">
        <w:t>predĺženie premlčacích lehôt;</w:t>
      </w:r>
    </w:p>
    <w:p w:rsidR="004F2100" w:rsidP="004F2100" w:rsidRDefault="004F2100" w14:paraId="2515B50A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271BDD">
        <w:t>zdôrazňuje význam nepretržitej odbornej prípravy pre príslušníkov orgánov presadzovania práva</w:t>
      </w:r>
      <w:r>
        <w:t xml:space="preserve"> a </w:t>
      </w:r>
      <w:r w:rsidRPr="00271BDD">
        <w:t>pre každého, kto je</w:t>
      </w:r>
      <w:r>
        <w:t xml:space="preserve"> v </w:t>
      </w:r>
      <w:r w:rsidRPr="00271BDD">
        <w:t>kontakte</w:t>
      </w:r>
      <w:r>
        <w:t xml:space="preserve"> s </w:t>
      </w:r>
      <w:r w:rsidRPr="00271BDD">
        <w:t>deťmi, aby si mohol plniť svoje povinnosti</w:t>
      </w:r>
      <w:r>
        <w:t>;</w:t>
      </w:r>
    </w:p>
    <w:p w:rsidRPr="00271BDD" w:rsidR="004F2100" w:rsidP="004F2100" w:rsidRDefault="004F2100" w14:paraId="4CCEF874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271BDD">
        <w:t>žiada, aby bola občianska spoločnosť zapájaná do boja proti sexuálnemu zneužívaniu</w:t>
      </w:r>
      <w:r>
        <w:t xml:space="preserve"> a </w:t>
      </w:r>
      <w:r w:rsidRPr="00271BDD">
        <w:t>sexuálnemu vykorisťovaniu detí, ako aj do prevencie</w:t>
      </w:r>
      <w:r>
        <w:t xml:space="preserve"> a </w:t>
      </w:r>
      <w:r w:rsidRPr="00271BDD">
        <w:t>podpory obetí.</w:t>
      </w:r>
    </w:p>
    <w:p w:rsidRPr="00271BDD" w:rsidR="004F2100" w:rsidP="004F2100" w:rsidRDefault="004F2100" w14:paraId="3B1E6058" w14:textId="77777777">
      <w:pPr>
        <w:pStyle w:val="ListParagraph"/>
        <w:keepNext/>
        <w:keepLines/>
        <w:tabs>
          <w:tab w:val="center" w:pos="284"/>
        </w:tabs>
        <w:ind w:hanging="720"/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271BDD" w:rsidR="004F2100" w:rsidTr="003D64A7" w14:paraId="4B71A8F5" w14:textId="77777777">
        <w:tc>
          <w:tcPr>
            <w:tcW w:w="1556" w:type="pct"/>
          </w:tcPr>
          <w:p w:rsidRPr="00271BDD" w:rsidR="004F2100" w:rsidP="003D64A7" w:rsidRDefault="004F2100" w14:paraId="1762E085" w14:textId="3001E987">
            <w:pPr>
              <w:spacing w:line="240" w:lineRule="auto"/>
              <w:rPr>
                <w:i/>
              </w:rPr>
            </w:pPr>
            <w:r w:rsidRPr="00271BDD">
              <w:rPr>
                <w:b/>
                <w:i/>
              </w:rPr>
              <w:t>Kontakt</w:t>
            </w:r>
            <w:r w:rsidR="00556213">
              <w:rPr>
                <w:b/>
                <w:i/>
              </w:rPr>
              <w:t>:</w:t>
            </w:r>
          </w:p>
        </w:tc>
        <w:tc>
          <w:tcPr>
            <w:tcW w:w="3444" w:type="pct"/>
          </w:tcPr>
          <w:p w:rsidRPr="00271BDD" w:rsidR="004F2100" w:rsidP="003D64A7" w:rsidRDefault="004F2100" w14:paraId="474C0BE8" w14:textId="77777777">
            <w:pPr>
              <w:spacing w:line="240" w:lineRule="auto"/>
              <w:rPr>
                <w:i/>
              </w:rPr>
            </w:pPr>
            <w:proofErr w:type="spellStart"/>
            <w:r w:rsidRPr="00271BDD">
              <w:rPr>
                <w:i/>
              </w:rPr>
              <w:t>Sabrina</w:t>
            </w:r>
            <w:proofErr w:type="spellEnd"/>
            <w:r w:rsidRPr="00271BDD">
              <w:rPr>
                <w:i/>
              </w:rPr>
              <w:t xml:space="preserve"> BORG</w:t>
            </w:r>
          </w:p>
        </w:tc>
      </w:tr>
      <w:tr w:rsidRPr="00271BDD" w:rsidR="004F2100" w:rsidTr="003D64A7" w14:paraId="0FCC053F" w14:textId="77777777">
        <w:tc>
          <w:tcPr>
            <w:tcW w:w="1556" w:type="pct"/>
          </w:tcPr>
          <w:p w:rsidRPr="00271BDD" w:rsidR="004F2100" w:rsidP="003D64A7" w:rsidRDefault="004F2100" w14:paraId="626BAB80" w14:textId="77777777">
            <w:pPr>
              <w:spacing w:line="240" w:lineRule="auto"/>
              <w:rPr>
                <w:i/>
              </w:rPr>
            </w:pPr>
            <w:r w:rsidRPr="00271BDD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271BDD" w:rsidR="004F2100" w:rsidP="003D64A7" w:rsidRDefault="004F2100" w14:paraId="579F27F0" w14:textId="27B36127">
            <w:pPr>
              <w:spacing w:line="240" w:lineRule="auto"/>
              <w:rPr>
                <w:i/>
              </w:rPr>
            </w:pPr>
            <w:r w:rsidRPr="00271BDD">
              <w:rPr>
                <w:i/>
              </w:rPr>
              <w:t>+32</w:t>
            </w:r>
            <w:r>
              <w:rPr>
                <w:i/>
              </w:rPr>
              <w:t> </w:t>
            </w:r>
            <w:r w:rsidRPr="00271BDD">
              <w:rPr>
                <w:i/>
              </w:rPr>
              <w:t>25469727</w:t>
            </w:r>
          </w:p>
        </w:tc>
      </w:tr>
      <w:tr w:rsidRPr="00271BDD" w:rsidR="004F2100" w:rsidTr="003D64A7" w14:paraId="257E28AE" w14:textId="77777777">
        <w:tc>
          <w:tcPr>
            <w:tcW w:w="1556" w:type="pct"/>
          </w:tcPr>
          <w:p w:rsidRPr="00271BDD" w:rsidR="004F2100" w:rsidP="003D64A7" w:rsidRDefault="004F2100" w14:paraId="20F1FA4F" w14:textId="77777777">
            <w:pPr>
              <w:spacing w:line="240" w:lineRule="auto"/>
              <w:rPr>
                <w:i/>
              </w:rPr>
            </w:pPr>
            <w:r w:rsidRPr="00271BDD">
              <w:rPr>
                <w:i/>
              </w:rPr>
              <w:t>E-mail:</w:t>
            </w:r>
          </w:p>
        </w:tc>
        <w:tc>
          <w:tcPr>
            <w:tcW w:w="3444" w:type="pct"/>
          </w:tcPr>
          <w:p w:rsidRPr="00271BDD" w:rsidR="004F2100" w:rsidP="003D64A7" w:rsidRDefault="0056687F" w14:paraId="7E1C79EB" w14:textId="77777777">
            <w:pPr>
              <w:spacing w:line="240" w:lineRule="auto"/>
              <w:rPr>
                <w:rStyle w:val="Hyperlink"/>
              </w:rPr>
            </w:pPr>
            <w:hyperlink w:history="1" r:id="rId20">
              <w:r w:rsidRPr="00271BDD" w:rsidR="004F2100">
                <w:rPr>
                  <w:rStyle w:val="Hyperlink"/>
                  <w:i/>
                </w:rPr>
                <w:t>Sabrina.Borg@eesc.europa.eu</w:t>
              </w:r>
            </w:hyperlink>
          </w:p>
        </w:tc>
      </w:tr>
    </w:tbl>
    <w:p w:rsidR="00231B83" w:rsidRDefault="00231B83" w14:paraId="1E1037F2" w14:textId="77777777">
      <w:pPr>
        <w:spacing w:after="160" w:line="259" w:lineRule="auto"/>
        <w:jc w:val="left"/>
        <w:rPr>
          <w:rFonts w:eastAsiaTheme="minorEastAsia"/>
        </w:rPr>
      </w:pPr>
      <w:r>
        <w:br w:type="page"/>
      </w:r>
    </w:p>
    <w:p w:rsidRPr="001A0E57" w:rsidR="004F2100" w:rsidP="004F2100" w:rsidRDefault="004F2100" w14:paraId="68D7795F" w14:textId="27A2CA25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hanging="567"/>
        <w:textAlignment w:val="baseline"/>
        <w:rPr>
          <w:rStyle w:val="Hyperlink"/>
          <w:b/>
          <w:bCs/>
          <w:i/>
          <w:iCs/>
          <w:sz w:val="28"/>
          <w:szCs w:val="28"/>
        </w:rPr>
      </w:pPr>
      <w:r w:rsidRPr="001A0E57">
        <w:rPr>
          <w:b/>
          <w:i/>
          <w:sz w:val="28"/>
        </w:rPr>
        <w:lastRenderedPageBreak/>
        <w:fldChar w:fldCharType="begin"/>
      </w:r>
      <w:r w:rsidRPr="001A0E57">
        <w:rPr>
          <w:b/>
          <w:i/>
          <w:sz w:val="28"/>
        </w:rPr>
        <w:instrText xml:space="preserve"> HYPERLINK "https://www.eesc.europa.eu/sk/our-work/opinions-information-reports/opinions/anti-smuggling-package" </w:instrText>
      </w:r>
      <w:r w:rsidRPr="001A0E57">
        <w:rPr>
          <w:b/>
          <w:i/>
          <w:sz w:val="28"/>
        </w:rPr>
        <w:fldChar w:fldCharType="separate"/>
      </w:r>
      <w:r w:rsidRPr="001A0E57">
        <w:rPr>
          <w:rStyle w:val="Hyperlink"/>
          <w:b/>
          <w:i/>
          <w:sz w:val="28"/>
        </w:rPr>
        <w:t xml:space="preserve">Balík opatrení na boj proti </w:t>
      </w:r>
      <w:proofErr w:type="spellStart"/>
      <w:r w:rsidRPr="001A0E57">
        <w:rPr>
          <w:rStyle w:val="Hyperlink"/>
          <w:b/>
          <w:i/>
          <w:sz w:val="28"/>
        </w:rPr>
        <w:t>prevádzačstvu</w:t>
      </w:r>
      <w:proofErr w:type="spellEnd"/>
    </w:p>
    <w:p w:rsidRPr="001A0E57" w:rsidR="004F2100" w:rsidP="004F2100" w:rsidRDefault="004F2100" w14:paraId="2D5828B9" w14:textId="77777777">
      <w:pPr>
        <w:widowControl w:val="0"/>
        <w:rPr>
          <w:bCs/>
          <w:iCs/>
        </w:rPr>
      </w:pPr>
      <w:r w:rsidRPr="001A0E57">
        <w:rPr>
          <w:b/>
          <w:i/>
          <w:sz w:val="28"/>
        </w:rPr>
        <w:fldChar w:fldCharType="end"/>
      </w:r>
    </w:p>
    <w:tbl>
      <w:tblPr>
        <w:tblStyle w:val="TableGrid"/>
        <w:tblW w:w="3594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643"/>
      </w:tblGrid>
      <w:tr w:rsidRPr="001A0E57" w:rsidR="004F2100" w:rsidTr="003D64A7" w14:paraId="21CC93D8" w14:textId="77777777">
        <w:tc>
          <w:tcPr>
            <w:tcW w:w="1522" w:type="pct"/>
          </w:tcPr>
          <w:p w:rsidRPr="001A0E57" w:rsidR="004F2100" w:rsidP="003D64A7" w:rsidRDefault="004F2100" w14:paraId="2A1F1AAC" w14:textId="77777777">
            <w:pPr>
              <w:ind w:left="-113"/>
              <w:rPr>
                <w:b/>
              </w:rPr>
            </w:pPr>
            <w:r w:rsidRPr="001A0E57">
              <w:rPr>
                <w:b/>
              </w:rPr>
              <w:t>Spravodajca:</w:t>
            </w:r>
          </w:p>
        </w:tc>
        <w:tc>
          <w:tcPr>
            <w:tcW w:w="3478" w:type="pct"/>
          </w:tcPr>
          <w:p w:rsidRPr="001A0E57" w:rsidR="004F2100" w:rsidP="003D64A7" w:rsidRDefault="004F2100" w14:paraId="064F0DAF" w14:textId="77777777">
            <w:pPr>
              <w:tabs>
                <w:tab w:val="left" w:pos="4572"/>
              </w:tabs>
              <w:ind w:left="-113" w:right="-823"/>
            </w:pPr>
            <w:proofErr w:type="spellStart"/>
            <w:r w:rsidRPr="001A0E57">
              <w:t>Florin</w:t>
            </w:r>
            <w:proofErr w:type="spellEnd"/>
            <w:r w:rsidRPr="001A0E57">
              <w:t xml:space="preserve"> BERCEA (skupina Pracovníci</w:t>
            </w:r>
            <w:r>
              <w:t> </w:t>
            </w:r>
            <w:r w:rsidRPr="001A0E57">
              <w:t>–</w:t>
            </w:r>
            <w:r>
              <w:t> </w:t>
            </w:r>
            <w:r w:rsidRPr="001A0E57">
              <w:t>RO)</w:t>
            </w:r>
          </w:p>
        </w:tc>
      </w:tr>
      <w:tr w:rsidRPr="001A0E57" w:rsidR="004F2100" w:rsidTr="003D64A7" w14:paraId="382D8095" w14:textId="77777777">
        <w:tc>
          <w:tcPr>
            <w:tcW w:w="1522" w:type="pct"/>
            <w:vMerge w:val="restart"/>
          </w:tcPr>
          <w:p w:rsidRPr="001A0E57" w:rsidR="004F2100" w:rsidP="003D64A7" w:rsidRDefault="004F2100" w14:paraId="405091D2" w14:textId="77777777">
            <w:pPr>
              <w:ind w:left="-113"/>
              <w:rPr>
                <w:b/>
              </w:rPr>
            </w:pPr>
            <w:proofErr w:type="spellStart"/>
            <w:r w:rsidRPr="001A0E57">
              <w:rPr>
                <w:b/>
              </w:rPr>
              <w:t>Ref</w:t>
            </w:r>
            <w:proofErr w:type="spellEnd"/>
            <w:r w:rsidRPr="001A0E57">
              <w:rPr>
                <w:b/>
              </w:rPr>
              <w:t>.:</w:t>
            </w:r>
          </w:p>
        </w:tc>
        <w:tc>
          <w:tcPr>
            <w:tcW w:w="3478" w:type="pct"/>
          </w:tcPr>
          <w:p w:rsidRPr="001A0E57" w:rsidR="004F2100" w:rsidP="003D64A7" w:rsidRDefault="004F2100" w14:paraId="6DF702A6" w14:textId="77777777">
            <w:pPr>
              <w:tabs>
                <w:tab w:val="left" w:pos="4430"/>
              </w:tabs>
              <w:ind w:left="-113" w:right="-823"/>
            </w:pPr>
            <w:r w:rsidRPr="001A0E57">
              <w:t>EESC-2024-00141-00-00-AC</w:t>
            </w:r>
          </w:p>
        </w:tc>
      </w:tr>
      <w:tr w:rsidRPr="001A0E57" w:rsidR="004F2100" w:rsidTr="003D64A7" w14:paraId="628A98A5" w14:textId="77777777">
        <w:trPr>
          <w:gridAfter w:val="1"/>
          <w:wAfter w:w="3478" w:type="pct"/>
          <w:trHeight w:val="304"/>
        </w:trPr>
        <w:tc>
          <w:tcPr>
            <w:tcW w:w="1522" w:type="pct"/>
            <w:vMerge/>
          </w:tcPr>
          <w:p w:rsidRPr="001A0E57" w:rsidR="004F2100" w:rsidP="003D64A7" w:rsidRDefault="004F2100" w14:paraId="44AAABB8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</w:tr>
    </w:tbl>
    <w:p w:rsidRPr="001A0E57" w:rsidR="004F2100" w:rsidP="004F2100" w:rsidRDefault="004F2100" w14:paraId="7A0ED3DF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1A0E57">
        <w:rPr>
          <w:b/>
        </w:rPr>
        <w:t>Hlavné body</w:t>
      </w:r>
    </w:p>
    <w:p w:rsidRPr="0065553F" w:rsidR="004F2100" w:rsidP="004F2100" w:rsidRDefault="004F2100" w14:paraId="25E2FB5D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1A0E57" w:rsidR="004F2100" w:rsidP="004F2100" w:rsidRDefault="004F2100" w14:paraId="0FD1E140" w14:textId="77777777">
      <w:pPr>
        <w:keepNext/>
        <w:keepLines/>
        <w:tabs>
          <w:tab w:val="center" w:pos="284"/>
        </w:tabs>
        <w:ind w:left="266" w:hanging="266"/>
      </w:pPr>
      <w:r w:rsidRPr="001A0E57">
        <w:t>EHSV:</w:t>
      </w:r>
    </w:p>
    <w:p w:rsidRPr="0065553F" w:rsidR="004F2100" w:rsidP="004F2100" w:rsidRDefault="004F2100" w14:paraId="01BB0C27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1A0E57" w:rsidR="004F2100" w:rsidP="004F2100" w:rsidRDefault="004F2100" w14:paraId="7FCDD49C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1A0E57">
        <w:t>konštatuje, že</w:t>
      </w:r>
      <w:r>
        <w:t xml:space="preserve"> v </w:t>
      </w:r>
      <w:r w:rsidRPr="001A0E57">
        <w:t>rámci dvoch legislatívnych návrhov</w:t>
      </w:r>
      <w:r>
        <w:t xml:space="preserve"> a </w:t>
      </w:r>
      <w:r w:rsidRPr="001A0E57">
        <w:t>globálnej aliancie sa navrhuje proporcionálne</w:t>
      </w:r>
      <w:r>
        <w:t xml:space="preserve"> a </w:t>
      </w:r>
      <w:r w:rsidRPr="001A0E57">
        <w:t>postupné budovanie kapacít, na úspešné zvládnutie tohto procesu sú však potrebné hlbšie strategické ambície</w:t>
      </w:r>
      <w:r>
        <w:t xml:space="preserve"> a </w:t>
      </w:r>
      <w:r w:rsidRPr="001A0E57">
        <w:t>väčšie odhodlanie;</w:t>
      </w:r>
    </w:p>
    <w:p w:rsidRPr="001A0E57" w:rsidR="004F2100" w:rsidP="004F2100" w:rsidRDefault="004F2100" w14:paraId="16625778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1A0E57">
        <w:t xml:space="preserve">uznáva, že boj proti </w:t>
      </w:r>
      <w:proofErr w:type="spellStart"/>
      <w:r w:rsidRPr="001A0E57">
        <w:t>prevádzačstvu</w:t>
      </w:r>
      <w:proofErr w:type="spellEnd"/>
      <w:r w:rsidRPr="001A0E57">
        <w:t xml:space="preserve"> migrantov si vyžaduje nový impulz</w:t>
      </w:r>
      <w:r>
        <w:t xml:space="preserve"> a </w:t>
      </w:r>
      <w:r w:rsidRPr="001A0E57">
        <w:t>lepšiu koordináciu na všetkých úrovniach. Zároveň sa EHSV domnieva, že je nevyhnutné zaviesť legálne spôsoby</w:t>
      </w:r>
      <w:r>
        <w:t xml:space="preserve"> a </w:t>
      </w:r>
      <w:r w:rsidRPr="001A0E57">
        <w:t>postupy migrácie pre tých, ktorí chcú bezpečne</w:t>
      </w:r>
      <w:r>
        <w:t xml:space="preserve"> a </w:t>
      </w:r>
      <w:r w:rsidRPr="001A0E57">
        <w:t>legálne vstúpiť na územie EÚ;</w:t>
      </w:r>
    </w:p>
    <w:p w:rsidRPr="001A0E57" w:rsidR="004F2100" w:rsidP="004F2100" w:rsidRDefault="004F2100" w14:paraId="55C24546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1A0E57">
        <w:t xml:space="preserve">uznáva, že na to, aby azylový systém EÚ fungoval efektívne, je nevyhnutné nájsť spôsob, ako vyriešiť problémy systematického využívania zavracania migrantov na vonkajších hraniciach (tzv. </w:t>
      </w:r>
      <w:proofErr w:type="spellStart"/>
      <w:r w:rsidRPr="001A0E57">
        <w:rPr>
          <w:i/>
          <w:iCs/>
        </w:rPr>
        <w:t>push-back</w:t>
      </w:r>
      <w:proofErr w:type="spellEnd"/>
      <w:r w:rsidRPr="001A0E57">
        <w:t>), keďže to zakazuje Ženevský dohovor. Neexistencia bezpečných</w:t>
      </w:r>
      <w:r>
        <w:t xml:space="preserve"> a </w:t>
      </w:r>
      <w:r w:rsidRPr="001A0E57">
        <w:t>legálnych ciest na vstup do EÚ spôsobuje, že utečenci</w:t>
      </w:r>
      <w:r>
        <w:t xml:space="preserve"> a </w:t>
      </w:r>
      <w:r w:rsidRPr="001A0E57">
        <w:t>migranti, ktorí hľadajú bezpečie, nemajú inú možnosť ako použiť nebezpečnejšie trasy, ktoré ohrozujú ich životy;</w:t>
      </w:r>
    </w:p>
    <w:p w:rsidRPr="001A0E57" w:rsidR="004F2100" w:rsidP="004F2100" w:rsidRDefault="004F2100" w14:paraId="18E86E7E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1A0E57">
        <w:t>vyzýva Komisiu, aby vyvinula stabilnejší prístup nad rámec globálnej aliancie</w:t>
      </w:r>
      <w:r>
        <w:t xml:space="preserve"> s </w:t>
      </w:r>
      <w:r w:rsidRPr="001A0E57">
        <w:t>cieľom posilniť kapacity tretích krajín</w:t>
      </w:r>
      <w:r>
        <w:t xml:space="preserve"> a </w:t>
      </w:r>
      <w:r w:rsidRPr="001A0E57">
        <w:t>podporiť spoluprácu</w:t>
      </w:r>
      <w:r>
        <w:t xml:space="preserve"> s </w:t>
      </w:r>
      <w:proofErr w:type="spellStart"/>
      <w:r w:rsidRPr="001A0E57">
        <w:t>Europolom</w:t>
      </w:r>
      <w:proofErr w:type="spellEnd"/>
      <w:r>
        <w:t xml:space="preserve"> a </w:t>
      </w:r>
      <w:r w:rsidRPr="001A0E57">
        <w:t>orgánmi presadzovania práva členských štátov;</w:t>
      </w:r>
    </w:p>
    <w:p w:rsidRPr="001A0E57" w:rsidR="004F2100" w:rsidP="004F2100" w:rsidRDefault="004F2100" w14:paraId="27E38602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1A0E57">
        <w:t xml:space="preserve">vyjadruje poľutovanie nad tým, že balík sa nevzťahuje na osoby, ktoré využívajú služby prevádzačov migrantov, hoci sú považované za potenciálne obete. EÚ musí do svojej stratégie boja proti </w:t>
      </w:r>
      <w:proofErr w:type="spellStart"/>
      <w:r w:rsidRPr="001A0E57">
        <w:t>prevádzačstvu</w:t>
      </w:r>
      <w:proofErr w:type="spellEnd"/>
      <w:r w:rsidRPr="001A0E57">
        <w:t xml:space="preserve"> zahrnúť rozmer základných práv osôb, ktoré sú natoľko zúfalé</w:t>
      </w:r>
      <w:r>
        <w:t xml:space="preserve"> a </w:t>
      </w:r>
      <w:r w:rsidRPr="001A0E57">
        <w:t>zraniteľné, že sa rozhodnú využiť služby prevádzačov. Politika by mala byť tiež viac zameraná na skupiny osôb, ktoré sú ešte viac zraniteľné než osoby so zdravotným postihnutím;</w:t>
      </w:r>
    </w:p>
    <w:p w:rsidRPr="001A0E57" w:rsidR="004F2100" w:rsidP="004F2100" w:rsidRDefault="004F2100" w14:paraId="5E98B0F9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1A0E57">
        <w:t>požaduje väčšiu transparentnosť pri príprave návrhov, keďže</w:t>
      </w:r>
      <w:r>
        <w:t xml:space="preserve"> k </w:t>
      </w:r>
      <w:r w:rsidRPr="001A0E57">
        <w:t>návrhom nebola priložená správa</w:t>
      </w:r>
      <w:r>
        <w:t xml:space="preserve"> o </w:t>
      </w:r>
      <w:r w:rsidRPr="001A0E57">
        <w:t>posúdení vplyvu ex</w:t>
      </w:r>
      <w:r>
        <w:t> </w:t>
      </w:r>
      <w:proofErr w:type="spellStart"/>
      <w:r w:rsidRPr="001A0E57">
        <w:t>ante</w:t>
      </w:r>
      <w:proofErr w:type="spellEnd"/>
      <w:r w:rsidRPr="001A0E57">
        <w:t>;</w:t>
      </w:r>
    </w:p>
    <w:p w:rsidRPr="001A0E57" w:rsidR="004F2100" w:rsidP="004F2100" w:rsidRDefault="004F2100" w14:paraId="22CA2DC8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1A0E57">
        <w:t>víta túto smernicu, varuje však, že jej obsah by mohol vážne zasiahnuť do základných práv migrantov</w:t>
      </w:r>
      <w:r>
        <w:t xml:space="preserve"> a </w:t>
      </w:r>
      <w:r w:rsidRPr="001A0E57">
        <w:t>mať závažný vplyv na osoby, ktoré im pomáhajú</w:t>
      </w:r>
      <w:r>
        <w:t xml:space="preserve"> z </w:t>
      </w:r>
      <w:r w:rsidRPr="001A0E57">
        <w:t>humanitárnych dôvodov. Výbor sa domnieva, že vytváranie</w:t>
      </w:r>
      <w:r>
        <w:t xml:space="preserve"> a </w:t>
      </w:r>
      <w:r w:rsidRPr="001A0E57">
        <w:t>udržiavanie takejto atmosféry strachu</w:t>
      </w:r>
      <w:r>
        <w:t xml:space="preserve"> v </w:t>
      </w:r>
      <w:r w:rsidRPr="001A0E57">
        <w:t>súvislosti</w:t>
      </w:r>
      <w:r>
        <w:t xml:space="preserve"> s </w:t>
      </w:r>
      <w:r w:rsidRPr="001A0E57">
        <w:t>humanitárnou, právnou alebo dokonca administratívnou pomocou je nesprávnym</w:t>
      </w:r>
      <w:r>
        <w:t xml:space="preserve"> a </w:t>
      </w:r>
      <w:r w:rsidRPr="001A0E57">
        <w:t xml:space="preserve">neprijateľným spôsobom boja proti </w:t>
      </w:r>
      <w:proofErr w:type="spellStart"/>
      <w:r w:rsidRPr="001A0E57">
        <w:t>prevádzačstvu</w:t>
      </w:r>
      <w:proofErr w:type="spellEnd"/>
      <w:r w:rsidRPr="001A0E57">
        <w:t>;</w:t>
      </w:r>
    </w:p>
    <w:p w:rsidR="004F2100" w:rsidP="004F2100" w:rsidRDefault="004F2100" w14:paraId="414B05A8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60" w:line="276" w:lineRule="auto"/>
        <w:ind w:left="714" w:hanging="357"/>
      </w:pPr>
      <w:r w:rsidRPr="001A0E57">
        <w:t>okrem toho zastáva názor, že pracovníci, rodinní príslušníci</w:t>
      </w:r>
      <w:r>
        <w:t xml:space="preserve"> a </w:t>
      </w:r>
      <w:r w:rsidRPr="001A0E57">
        <w:t>iné osoby poskytujúce služby migrantom mali vylúčiť</w:t>
      </w:r>
      <w:r>
        <w:t xml:space="preserve"> z </w:t>
      </w:r>
      <w:r w:rsidRPr="001A0E57">
        <w:t>trestného stíhania. Takéto dôvody na začatie trestného stíhania by malo byť možné uplatniť len vtedy, ak by išlo</w:t>
      </w:r>
      <w:r>
        <w:t xml:space="preserve"> o </w:t>
      </w:r>
      <w:r w:rsidRPr="001A0E57">
        <w:t>neoprávnený finančný prospech.</w:t>
      </w:r>
    </w:p>
    <w:p w:rsidRPr="001A0E57" w:rsidR="004F2100" w:rsidP="004F2100" w:rsidRDefault="004F2100" w14:paraId="7624DA1D" w14:textId="77777777">
      <w:pPr>
        <w:pStyle w:val="ListParagraph"/>
        <w:keepNext/>
        <w:keepLines/>
        <w:tabs>
          <w:tab w:val="center" w:pos="284"/>
        </w:tabs>
        <w:spacing w:after="60"/>
        <w:ind w:left="0"/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1A0E57" w:rsidR="004F2100" w:rsidTr="003D64A7" w14:paraId="314A111D" w14:textId="77777777">
        <w:tc>
          <w:tcPr>
            <w:tcW w:w="1556" w:type="pct"/>
          </w:tcPr>
          <w:p w:rsidRPr="001A0E57" w:rsidR="004F2100" w:rsidP="003D64A7" w:rsidRDefault="004F2100" w14:paraId="7ED093CD" w14:textId="77777777">
            <w:pPr>
              <w:spacing w:line="240" w:lineRule="auto"/>
              <w:rPr>
                <w:i/>
              </w:rPr>
            </w:pPr>
            <w:r w:rsidRPr="001A0E57"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:rsidRPr="001A0E57" w:rsidR="004F2100" w:rsidP="003D64A7" w:rsidRDefault="004F2100" w14:paraId="22C316B0" w14:textId="77777777">
            <w:pPr>
              <w:spacing w:line="240" w:lineRule="auto"/>
              <w:rPr>
                <w:i/>
              </w:rPr>
            </w:pPr>
            <w:proofErr w:type="spellStart"/>
            <w:r w:rsidRPr="001A0E57">
              <w:rPr>
                <w:i/>
              </w:rPr>
              <w:t>Gemma</w:t>
            </w:r>
            <w:proofErr w:type="spellEnd"/>
            <w:r w:rsidRPr="001A0E57">
              <w:rPr>
                <w:i/>
              </w:rPr>
              <w:t xml:space="preserve"> AMRAN</w:t>
            </w:r>
          </w:p>
        </w:tc>
      </w:tr>
      <w:tr w:rsidRPr="001A0E57" w:rsidR="004F2100" w:rsidTr="003D64A7" w14:paraId="6F6721DC" w14:textId="77777777">
        <w:tc>
          <w:tcPr>
            <w:tcW w:w="1556" w:type="pct"/>
          </w:tcPr>
          <w:p w:rsidRPr="001A0E57" w:rsidR="004F2100" w:rsidP="003D64A7" w:rsidRDefault="004F2100" w14:paraId="017F61B3" w14:textId="77777777">
            <w:pPr>
              <w:spacing w:line="240" w:lineRule="auto"/>
              <w:rPr>
                <w:i/>
              </w:rPr>
            </w:pPr>
            <w:r w:rsidRPr="001A0E57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1A0E57" w:rsidR="004F2100" w:rsidP="003D64A7" w:rsidRDefault="004F2100" w14:paraId="0ED3D38B" w14:textId="271152E1">
            <w:pPr>
              <w:spacing w:line="240" w:lineRule="auto"/>
              <w:rPr>
                <w:i/>
              </w:rPr>
            </w:pPr>
            <w:r w:rsidRPr="001A0E57">
              <w:rPr>
                <w:i/>
              </w:rPr>
              <w:t>+32</w:t>
            </w:r>
            <w:r>
              <w:rPr>
                <w:i/>
              </w:rPr>
              <w:t> </w:t>
            </w:r>
            <w:r w:rsidRPr="001A0E57">
              <w:rPr>
                <w:i/>
              </w:rPr>
              <w:t>25469415</w:t>
            </w:r>
          </w:p>
        </w:tc>
      </w:tr>
      <w:tr w:rsidRPr="001A0E57" w:rsidR="004F2100" w:rsidTr="003D64A7" w14:paraId="6130A900" w14:textId="77777777">
        <w:tc>
          <w:tcPr>
            <w:tcW w:w="1556" w:type="pct"/>
          </w:tcPr>
          <w:p w:rsidRPr="001A0E57" w:rsidR="004F2100" w:rsidP="003D64A7" w:rsidRDefault="004F2100" w14:paraId="628ADA43" w14:textId="77777777">
            <w:pPr>
              <w:spacing w:line="240" w:lineRule="auto"/>
              <w:rPr>
                <w:i/>
              </w:rPr>
            </w:pPr>
            <w:r w:rsidRPr="001A0E57">
              <w:rPr>
                <w:i/>
              </w:rPr>
              <w:t>E-mail:</w:t>
            </w:r>
          </w:p>
        </w:tc>
        <w:tc>
          <w:tcPr>
            <w:tcW w:w="3444" w:type="pct"/>
          </w:tcPr>
          <w:p w:rsidRPr="001A0E57" w:rsidR="004F2100" w:rsidP="003D64A7" w:rsidRDefault="0056687F" w14:paraId="03E41CC7" w14:textId="77777777">
            <w:pPr>
              <w:spacing w:line="240" w:lineRule="auto"/>
              <w:rPr>
                <w:rStyle w:val="Hyperlink"/>
              </w:rPr>
            </w:pPr>
            <w:hyperlink w:history="1" r:id="rId21">
              <w:r w:rsidRPr="001A0E57" w:rsidR="004F2100">
                <w:rPr>
                  <w:rStyle w:val="Hyperlink"/>
                  <w:i/>
                </w:rPr>
                <w:t>Gemma.Amran@eesc.europa.eu</w:t>
              </w:r>
            </w:hyperlink>
          </w:p>
        </w:tc>
      </w:tr>
    </w:tbl>
    <w:p w:rsidR="009E4F7F" w:rsidRDefault="009E4F7F" w14:paraId="01C3F58C" w14:textId="77777777">
      <w:pPr>
        <w:spacing w:after="160" w:line="259" w:lineRule="auto"/>
        <w:jc w:val="left"/>
        <w:rPr>
          <w:rFonts w:eastAsiaTheme="minorEastAsia"/>
        </w:rPr>
      </w:pPr>
      <w:r>
        <w:br w:type="page"/>
      </w:r>
    </w:p>
    <w:p w:rsidRPr="00AD2F1B" w:rsidR="00BB3653" w:rsidP="00BB3653" w:rsidRDefault="00BB3653" w14:paraId="2C20561F" w14:textId="460415F2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hanging="567"/>
        <w:textAlignment w:val="baseline"/>
        <w:rPr>
          <w:rStyle w:val="Hyperlink"/>
          <w:b/>
          <w:bCs/>
          <w:i/>
          <w:iCs/>
          <w:sz w:val="28"/>
          <w:szCs w:val="28"/>
        </w:rPr>
      </w:pPr>
      <w:hyperlink w:history="1" r:id="rId22">
        <w:r w:rsidRPr="00B57CCE">
          <w:rPr>
            <w:rStyle w:val="Hyperlink"/>
            <w:b/>
            <w:i/>
            <w:sz w:val="28"/>
          </w:rPr>
          <w:t>Opatrovatelia</w:t>
        </w:r>
      </w:hyperlink>
    </w:p>
    <w:p w:rsidRPr="0065553F" w:rsidR="00BB3653" w:rsidP="00BB3653" w:rsidRDefault="00BB3653" w14:paraId="6F94A319" w14:textId="77777777">
      <w:pPr>
        <w:widowControl w:val="0"/>
        <w:rPr>
          <w:rStyle w:val="Hyperlink"/>
          <w:color w:val="auto"/>
          <w:u w:val="none"/>
        </w:rPr>
      </w:pPr>
    </w:p>
    <w:tbl>
      <w:tblPr>
        <w:tblStyle w:val="TableGrid"/>
        <w:tblW w:w="4484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26"/>
        <w:gridCol w:w="5151"/>
        <w:gridCol w:w="1652"/>
      </w:tblGrid>
      <w:tr w:rsidRPr="00B57CCE" w:rsidR="00BB3653" w:rsidTr="00556213" w14:paraId="235AA3C7" w14:textId="77777777">
        <w:tc>
          <w:tcPr>
            <w:tcW w:w="916" w:type="pct"/>
          </w:tcPr>
          <w:p w:rsidRPr="00B57CCE" w:rsidR="00BB3653" w:rsidP="00B7485A" w:rsidRDefault="00BB3653" w14:paraId="3441ECFF" w14:textId="77777777">
            <w:pPr>
              <w:widowControl w:val="0"/>
              <w:ind w:left="-113"/>
              <w:rPr>
                <w:b/>
              </w:rPr>
            </w:pPr>
            <w:r w:rsidRPr="00B57CCE">
              <w:rPr>
                <w:b/>
              </w:rPr>
              <w:t>Spravodajca:</w:t>
            </w:r>
          </w:p>
          <w:p w:rsidRPr="00B57CCE" w:rsidR="00BB3653" w:rsidP="00B7485A" w:rsidRDefault="00BB3653" w14:paraId="602DB04D" w14:textId="77777777">
            <w:pPr>
              <w:widowControl w:val="0"/>
              <w:ind w:left="-113"/>
              <w:rPr>
                <w:b/>
              </w:rPr>
            </w:pPr>
          </w:p>
        </w:tc>
        <w:tc>
          <w:tcPr>
            <w:tcW w:w="4084" w:type="pct"/>
            <w:gridSpan w:val="2"/>
          </w:tcPr>
          <w:p w:rsidRPr="00B57CCE" w:rsidR="00BB3653" w:rsidP="00B7485A" w:rsidRDefault="00BB3653" w14:paraId="53D1669E" w14:textId="77777777">
            <w:pPr>
              <w:widowControl w:val="0"/>
              <w:tabs>
                <w:tab w:val="left" w:pos="4572"/>
              </w:tabs>
              <w:ind w:left="-113" w:right="-823"/>
            </w:pPr>
            <w:proofErr w:type="spellStart"/>
            <w:r w:rsidRPr="00B57CCE">
              <w:t>Pietro</w:t>
            </w:r>
            <w:proofErr w:type="spellEnd"/>
            <w:r w:rsidRPr="00B57CCE">
              <w:t xml:space="preserve"> </w:t>
            </w:r>
            <w:proofErr w:type="spellStart"/>
            <w:r w:rsidRPr="00B57CCE">
              <w:t>Vittorio</w:t>
            </w:r>
            <w:proofErr w:type="spellEnd"/>
            <w:r w:rsidRPr="00B57CCE">
              <w:t xml:space="preserve"> BARBIERI (Organizácie občianskej spoločnosti</w:t>
            </w:r>
            <w:r>
              <w:t> – </w:t>
            </w:r>
            <w:r w:rsidRPr="00B57CCE">
              <w:t>IT)</w:t>
            </w:r>
          </w:p>
        </w:tc>
      </w:tr>
      <w:tr w:rsidRPr="00B57CCE" w:rsidR="00BB3653" w:rsidTr="00556213" w14:paraId="28A59521" w14:textId="77777777">
        <w:trPr>
          <w:gridAfter w:val="1"/>
          <w:wAfter w:w="992" w:type="pct"/>
        </w:trPr>
        <w:tc>
          <w:tcPr>
            <w:tcW w:w="916" w:type="pct"/>
            <w:vMerge w:val="restart"/>
          </w:tcPr>
          <w:p w:rsidRPr="00B57CCE" w:rsidR="00BB3653" w:rsidP="00B7485A" w:rsidRDefault="00BB3653" w14:paraId="6749BDBE" w14:textId="77777777">
            <w:pPr>
              <w:widowControl w:val="0"/>
              <w:ind w:left="-113"/>
              <w:rPr>
                <w:b/>
              </w:rPr>
            </w:pPr>
            <w:proofErr w:type="spellStart"/>
            <w:r w:rsidRPr="00B57CCE">
              <w:rPr>
                <w:b/>
              </w:rPr>
              <w:t>Ref</w:t>
            </w:r>
            <w:proofErr w:type="spellEnd"/>
            <w:r w:rsidRPr="00B57CCE">
              <w:rPr>
                <w:b/>
              </w:rPr>
              <w:t>.:</w:t>
            </w:r>
          </w:p>
        </w:tc>
        <w:tc>
          <w:tcPr>
            <w:tcW w:w="3092" w:type="pct"/>
          </w:tcPr>
          <w:p w:rsidRPr="00B57CCE" w:rsidR="00BB3653" w:rsidP="00B7485A" w:rsidRDefault="00BB3653" w14:paraId="1301018F" w14:textId="77777777">
            <w:pPr>
              <w:widowControl w:val="0"/>
              <w:tabs>
                <w:tab w:val="left" w:pos="4430"/>
              </w:tabs>
              <w:ind w:left="-113" w:right="-823"/>
            </w:pPr>
            <w:r w:rsidRPr="00B57CCE">
              <w:t>EESC-2024-00018-00-00-AC-TRA</w:t>
            </w:r>
          </w:p>
        </w:tc>
      </w:tr>
      <w:tr w:rsidRPr="00B57CCE" w:rsidR="00BB3653" w:rsidTr="00556213" w14:paraId="2357C92B" w14:textId="77777777">
        <w:trPr>
          <w:gridAfter w:val="1"/>
          <w:wAfter w:w="992" w:type="pct"/>
        </w:trPr>
        <w:tc>
          <w:tcPr>
            <w:tcW w:w="916" w:type="pct"/>
            <w:vMerge/>
          </w:tcPr>
          <w:p w:rsidRPr="00B57CCE" w:rsidR="00BB3653" w:rsidP="00B7485A" w:rsidRDefault="00BB3653" w14:paraId="7356E615" w14:textId="77777777">
            <w:pPr>
              <w:widowControl w:val="0"/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3092" w:type="pct"/>
          </w:tcPr>
          <w:p w:rsidRPr="00B57CCE" w:rsidR="00BB3653" w:rsidP="00B7485A" w:rsidRDefault="00BB3653" w14:paraId="67C59E53" w14:textId="77777777">
            <w:pPr>
              <w:widowControl w:val="0"/>
              <w:tabs>
                <w:tab w:val="center" w:pos="38"/>
                <w:tab w:val="left" w:pos="4430"/>
              </w:tabs>
              <w:ind w:left="266" w:right="-823" w:hanging="370"/>
            </w:pPr>
          </w:p>
        </w:tc>
      </w:tr>
    </w:tbl>
    <w:p w:rsidRPr="0065553F" w:rsidR="00BB3653" w:rsidP="00BB3653" w:rsidRDefault="00BB3653" w14:paraId="79CD497D" w14:textId="77777777">
      <w:pPr>
        <w:widowControl w:val="0"/>
        <w:tabs>
          <w:tab w:val="center" w:pos="284"/>
        </w:tabs>
        <w:ind w:left="266" w:hanging="266"/>
        <w:rPr>
          <w:bCs/>
        </w:rPr>
      </w:pPr>
    </w:p>
    <w:p w:rsidRPr="00B57CCE" w:rsidR="00BB3653" w:rsidP="00BB3653" w:rsidRDefault="00BB3653" w14:paraId="53893C91" w14:textId="77777777">
      <w:pPr>
        <w:widowControl w:val="0"/>
        <w:tabs>
          <w:tab w:val="center" w:pos="284"/>
        </w:tabs>
        <w:ind w:left="266" w:hanging="266"/>
        <w:rPr>
          <w:b/>
        </w:rPr>
      </w:pPr>
      <w:r w:rsidRPr="00B57CCE">
        <w:rPr>
          <w:b/>
        </w:rPr>
        <w:t>Hlavné body</w:t>
      </w:r>
    </w:p>
    <w:p w:rsidRPr="0065553F" w:rsidR="00BB3653" w:rsidP="00BB3653" w:rsidRDefault="00BB3653" w14:paraId="52E55FC4" w14:textId="77777777">
      <w:pPr>
        <w:widowControl w:val="0"/>
        <w:tabs>
          <w:tab w:val="center" w:pos="284"/>
        </w:tabs>
        <w:ind w:left="266" w:hanging="266"/>
        <w:rPr>
          <w:bCs/>
        </w:rPr>
      </w:pPr>
    </w:p>
    <w:p w:rsidRPr="00B57CCE" w:rsidR="00BB3653" w:rsidP="00BB3653" w:rsidRDefault="00BB3653" w14:paraId="4497BAEB" w14:textId="77777777">
      <w:pPr>
        <w:widowControl w:val="0"/>
        <w:tabs>
          <w:tab w:val="center" w:pos="284"/>
        </w:tabs>
        <w:ind w:left="266" w:hanging="266"/>
      </w:pPr>
      <w:r w:rsidRPr="00B57CCE">
        <w:t>EHSV:</w:t>
      </w:r>
    </w:p>
    <w:p w:rsidRPr="00B57CCE" w:rsidR="00BB3653" w:rsidP="00BB3653" w:rsidRDefault="00BB3653" w14:paraId="0BEAA59C" w14:textId="77777777">
      <w:pPr>
        <w:widowControl w:val="0"/>
        <w:tabs>
          <w:tab w:val="center" w:pos="284"/>
        </w:tabs>
        <w:ind w:left="266" w:hanging="266"/>
      </w:pPr>
    </w:p>
    <w:p w:rsidRPr="00B57CCE" w:rsidR="00BB3653" w:rsidP="00BB3653" w:rsidRDefault="00BB3653" w14:paraId="43E01C27" w14:textId="77777777">
      <w:pPr>
        <w:pStyle w:val="ListParagraph"/>
        <w:numPr>
          <w:ilvl w:val="0"/>
          <w:numId w:val="30"/>
        </w:numPr>
        <w:spacing w:after="200" w:line="276" w:lineRule="auto"/>
        <w:rPr>
          <w:color w:val="000000"/>
        </w:rPr>
      </w:pPr>
      <w:r w:rsidRPr="00B57CCE">
        <w:rPr>
          <w:color w:val="000000"/>
        </w:rPr>
        <w:t>vyzýva Komisiu, aby otázku neformálnych opatrovateľov zaradila na popredné miesto politického programu</w:t>
      </w:r>
      <w:r>
        <w:rPr>
          <w:color w:val="000000"/>
        </w:rPr>
        <w:t xml:space="preserve"> a </w:t>
      </w:r>
      <w:r w:rsidRPr="00B57CCE">
        <w:rPr>
          <w:color w:val="000000"/>
        </w:rPr>
        <w:t>zriadila platformu na výmenu najlepších postupov medzi členskými štátmi; vyzýva členské štáty, aby prijali politiky, ktoré podporia poskytovanie</w:t>
      </w:r>
      <w:r>
        <w:rPr>
          <w:color w:val="000000"/>
        </w:rPr>
        <w:t xml:space="preserve"> a </w:t>
      </w:r>
      <w:r w:rsidRPr="00B57CCE">
        <w:rPr>
          <w:color w:val="000000"/>
        </w:rPr>
        <w:t xml:space="preserve">využívanie vysokokvalitných komunitných služieb dlhodobej starostlivosti, dostupnosť </w:t>
      </w:r>
      <w:proofErr w:type="spellStart"/>
      <w:r w:rsidRPr="00B57CCE">
        <w:rPr>
          <w:color w:val="000000"/>
        </w:rPr>
        <w:t>respitných</w:t>
      </w:r>
      <w:proofErr w:type="spellEnd"/>
      <w:r w:rsidRPr="00B57CCE">
        <w:rPr>
          <w:color w:val="000000"/>
        </w:rPr>
        <w:t xml:space="preserve"> služieb pre neformálnych opatrovateľov, ako aj preventívnej medicíny</w:t>
      </w:r>
      <w:r>
        <w:rPr>
          <w:color w:val="000000"/>
        </w:rPr>
        <w:t xml:space="preserve"> s </w:t>
      </w:r>
      <w:r w:rsidRPr="00B57CCE">
        <w:rPr>
          <w:color w:val="000000"/>
        </w:rPr>
        <w:t>cieľom riešiť vysoké riziko vyhorenia</w:t>
      </w:r>
      <w:r>
        <w:rPr>
          <w:color w:val="000000"/>
        </w:rPr>
        <w:t xml:space="preserve"> a </w:t>
      </w:r>
      <w:r w:rsidRPr="00B57CCE">
        <w:rPr>
          <w:color w:val="000000"/>
        </w:rPr>
        <w:t>fyzického</w:t>
      </w:r>
      <w:r>
        <w:rPr>
          <w:color w:val="000000"/>
        </w:rPr>
        <w:t xml:space="preserve"> a </w:t>
      </w:r>
      <w:r w:rsidRPr="00B57CCE">
        <w:rPr>
          <w:color w:val="000000"/>
        </w:rPr>
        <w:t>psychického preťaženia, ktorému sú neformálni opatrovatelia vystavení;</w:t>
      </w:r>
    </w:p>
    <w:p w:rsidRPr="00B57CCE" w:rsidR="00BB3653" w:rsidP="00BB3653" w:rsidRDefault="00BB3653" w14:paraId="07A4CCC7" w14:textId="77777777">
      <w:pPr>
        <w:pStyle w:val="ListParagraph"/>
        <w:numPr>
          <w:ilvl w:val="0"/>
          <w:numId w:val="30"/>
        </w:numPr>
        <w:spacing w:after="200" w:line="276" w:lineRule="auto"/>
        <w:rPr>
          <w:color w:val="000000"/>
        </w:rPr>
      </w:pPr>
      <w:r w:rsidRPr="00B57CCE">
        <w:rPr>
          <w:color w:val="000000"/>
        </w:rPr>
        <w:t>vyzýva členské štáty, aby prijali vhodné opatrenia na zabezpečenie toho, aby rozhodnutie</w:t>
      </w:r>
      <w:r>
        <w:rPr>
          <w:color w:val="000000"/>
        </w:rPr>
        <w:t xml:space="preserve"> o </w:t>
      </w:r>
      <w:r w:rsidRPr="00B57CCE">
        <w:rPr>
          <w:color w:val="000000"/>
        </w:rPr>
        <w:t>neformálnej starostlivosti bolo dobrovoľné, aby sa riešili rodové nerovnosti, aby si neformálni opatrovatelia mohli udržať zamestnanie</w:t>
      </w:r>
      <w:r>
        <w:rPr>
          <w:color w:val="000000"/>
        </w:rPr>
        <w:t xml:space="preserve"> a </w:t>
      </w:r>
      <w:r w:rsidRPr="00B57CCE">
        <w:rPr>
          <w:color w:val="000000"/>
        </w:rPr>
        <w:t>príjem prostredníctvom pružnejších pracovných podmienok</w:t>
      </w:r>
      <w:r>
        <w:rPr>
          <w:color w:val="000000"/>
        </w:rPr>
        <w:t xml:space="preserve"> a </w:t>
      </w:r>
      <w:r w:rsidRPr="00B57CCE">
        <w:rPr>
          <w:color w:val="000000"/>
        </w:rPr>
        <w:t>mohli sa ľahko vrátiť na trh práce, ak sú nútení</w:t>
      </w:r>
      <w:r>
        <w:rPr>
          <w:color w:val="000000"/>
        </w:rPr>
        <w:t xml:space="preserve"> z </w:t>
      </w:r>
      <w:r w:rsidRPr="00B57CCE">
        <w:rPr>
          <w:color w:val="000000"/>
        </w:rPr>
        <w:t>neho odísť;</w:t>
      </w:r>
    </w:p>
    <w:p w:rsidRPr="00B57CCE" w:rsidR="00BB3653" w:rsidP="00BB3653" w:rsidRDefault="00BB3653" w14:paraId="5850A224" w14:textId="77777777">
      <w:pPr>
        <w:pStyle w:val="ListParagraph"/>
        <w:numPr>
          <w:ilvl w:val="0"/>
          <w:numId w:val="30"/>
        </w:numPr>
        <w:spacing w:line="276" w:lineRule="auto"/>
        <w:ind w:left="714" w:hanging="357"/>
        <w:rPr>
          <w:color w:val="000000"/>
        </w:rPr>
      </w:pPr>
      <w:r w:rsidRPr="00B57CCE">
        <w:rPr>
          <w:color w:val="000000"/>
        </w:rPr>
        <w:t>žiada, aby sa rodinní opatrovatelia začlenili do osláv Medzinárodného dňa starostlivosti</w:t>
      </w:r>
      <w:r>
        <w:rPr>
          <w:color w:val="000000"/>
        </w:rPr>
        <w:t xml:space="preserve"> s </w:t>
      </w:r>
      <w:r w:rsidRPr="00B57CCE">
        <w:rPr>
          <w:color w:val="000000"/>
        </w:rPr>
        <w:t>cieľom ich uznania</w:t>
      </w:r>
      <w:r>
        <w:rPr>
          <w:color w:val="000000"/>
        </w:rPr>
        <w:t xml:space="preserve"> v </w:t>
      </w:r>
      <w:r w:rsidRPr="00B57CCE">
        <w:rPr>
          <w:color w:val="000000"/>
        </w:rPr>
        <w:t>európskom systéme starostlivosti;</w:t>
      </w:r>
    </w:p>
    <w:p w:rsidRPr="00B57CCE" w:rsidR="00BB3653" w:rsidP="00BB3653" w:rsidRDefault="00BB3653" w14:paraId="28693398" w14:textId="77777777">
      <w:pPr>
        <w:pStyle w:val="ListParagraph"/>
        <w:widowControl w:val="0"/>
        <w:numPr>
          <w:ilvl w:val="0"/>
          <w:numId w:val="29"/>
        </w:numPr>
        <w:tabs>
          <w:tab w:val="center" w:pos="284"/>
        </w:tabs>
      </w:pPr>
      <w:r w:rsidRPr="00B57CCE">
        <w:t>považuje za mimoriadne dôležité, aby boli</w:t>
      </w:r>
      <w:r>
        <w:t xml:space="preserve"> k </w:t>
      </w:r>
      <w:r w:rsidRPr="00B57CCE">
        <w:t>dispozícii kvalitatívne</w:t>
      </w:r>
      <w:r>
        <w:t xml:space="preserve"> a </w:t>
      </w:r>
      <w:r w:rsidRPr="00B57CCE">
        <w:t>kvantitatívne údaje opisujúce skutočné životné podmienky neformálnych opatrovateľov,</w:t>
      </w:r>
      <w:r>
        <w:t xml:space="preserve"> a </w:t>
      </w:r>
      <w:r w:rsidRPr="00B57CCE">
        <w:t>vyzýva na prijatie ďalších výskumných stratégií.</w:t>
      </w:r>
    </w:p>
    <w:p w:rsidRPr="00B57CCE" w:rsidR="00BB3653" w:rsidP="00BB3653" w:rsidRDefault="00BB3653" w14:paraId="66ED1300" w14:textId="77777777">
      <w:pPr>
        <w:widowControl w:val="0"/>
        <w:tabs>
          <w:tab w:val="center" w:pos="284"/>
        </w:tabs>
        <w:ind w:left="266" w:hanging="266"/>
        <w:rPr>
          <w:b/>
        </w:rPr>
      </w:pPr>
    </w:p>
    <w:p w:rsidRPr="00B57CCE" w:rsidR="00BB3653" w:rsidP="00BB3653" w:rsidRDefault="00BB3653" w14:paraId="2FFEDD77" w14:textId="77777777">
      <w:pPr>
        <w:widowControl w:val="0"/>
        <w:ind w:left="709"/>
        <w:rPr>
          <w:sz w:val="16"/>
          <w:szCs w:val="16"/>
        </w:rPr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B57CCE" w:rsidR="00BB3653" w:rsidTr="00B7485A" w14:paraId="3DE3A542" w14:textId="77777777">
        <w:tc>
          <w:tcPr>
            <w:tcW w:w="1556" w:type="pct"/>
          </w:tcPr>
          <w:p w:rsidRPr="00B57CCE" w:rsidR="00BB3653" w:rsidP="00B7485A" w:rsidRDefault="00BB3653" w14:paraId="5F82D860" w14:textId="77777777">
            <w:pPr>
              <w:widowControl w:val="0"/>
              <w:rPr>
                <w:i/>
              </w:rPr>
            </w:pPr>
            <w:r w:rsidRPr="00B57CCE"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:rsidRPr="00B57CCE" w:rsidR="00BB3653" w:rsidP="00B7485A" w:rsidRDefault="00BB3653" w14:paraId="39B3B2EB" w14:textId="77777777">
            <w:pPr>
              <w:widowControl w:val="0"/>
              <w:rPr>
                <w:i/>
              </w:rPr>
            </w:pPr>
            <w:proofErr w:type="spellStart"/>
            <w:r w:rsidRPr="00B57CCE">
              <w:rPr>
                <w:i/>
              </w:rPr>
              <w:t>Valeria</w:t>
            </w:r>
            <w:proofErr w:type="spellEnd"/>
            <w:r w:rsidRPr="00B57CCE">
              <w:rPr>
                <w:i/>
              </w:rPr>
              <w:t xml:space="preserve"> ATZORI</w:t>
            </w:r>
          </w:p>
        </w:tc>
      </w:tr>
      <w:tr w:rsidRPr="00B57CCE" w:rsidR="00BB3653" w:rsidTr="00B7485A" w14:paraId="050C4840" w14:textId="77777777">
        <w:tc>
          <w:tcPr>
            <w:tcW w:w="1556" w:type="pct"/>
          </w:tcPr>
          <w:p w:rsidRPr="00B57CCE" w:rsidR="00BB3653" w:rsidP="00B7485A" w:rsidRDefault="00BB3653" w14:paraId="61479E2E" w14:textId="77777777">
            <w:pPr>
              <w:widowControl w:val="0"/>
              <w:rPr>
                <w:i/>
              </w:rPr>
            </w:pPr>
            <w:r w:rsidRPr="00B57CCE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B57CCE" w:rsidR="00BB3653" w:rsidP="00B7485A" w:rsidRDefault="00BB3653" w14:paraId="138C3650" w14:textId="77777777">
            <w:pPr>
              <w:widowControl w:val="0"/>
              <w:rPr>
                <w:i/>
              </w:rPr>
            </w:pPr>
            <w:r w:rsidRPr="00B57CCE">
              <w:rPr>
                <w:i/>
              </w:rPr>
              <w:t>+32</w:t>
            </w:r>
            <w:r>
              <w:rPr>
                <w:i/>
              </w:rPr>
              <w:t> </w:t>
            </w:r>
            <w:r w:rsidRPr="00B57CCE">
              <w:rPr>
                <w:i/>
              </w:rPr>
              <w:t>25468774</w:t>
            </w:r>
          </w:p>
        </w:tc>
      </w:tr>
      <w:tr w:rsidRPr="00B57CCE" w:rsidR="00BB3653" w:rsidTr="00B7485A" w14:paraId="0C73485F" w14:textId="77777777">
        <w:tc>
          <w:tcPr>
            <w:tcW w:w="1556" w:type="pct"/>
          </w:tcPr>
          <w:p w:rsidRPr="00B57CCE" w:rsidR="00BB3653" w:rsidP="00B7485A" w:rsidRDefault="00BB3653" w14:paraId="433C60AB" w14:textId="77777777">
            <w:pPr>
              <w:widowControl w:val="0"/>
              <w:rPr>
                <w:i/>
              </w:rPr>
            </w:pPr>
            <w:r w:rsidRPr="00B57CCE">
              <w:rPr>
                <w:i/>
              </w:rPr>
              <w:t>E-mail:</w:t>
            </w:r>
          </w:p>
        </w:tc>
        <w:tc>
          <w:tcPr>
            <w:tcW w:w="3444" w:type="pct"/>
          </w:tcPr>
          <w:p w:rsidRPr="00B57CCE" w:rsidR="00BB3653" w:rsidP="00B7485A" w:rsidRDefault="00BB3653" w14:paraId="2B7A4344" w14:textId="7A5DDB09">
            <w:pPr>
              <w:widowControl w:val="0"/>
              <w:rPr>
                <w:rStyle w:val="Hyperlink"/>
              </w:rPr>
            </w:pPr>
            <w:hyperlink w:history="1" r:id="rId23">
              <w:r w:rsidRPr="00B57CCE">
                <w:rPr>
                  <w:rStyle w:val="Hyperlink"/>
                  <w:i/>
                </w:rPr>
                <w:t>valeria.atzori@eesc.europa.eu</w:t>
              </w:r>
            </w:hyperlink>
          </w:p>
        </w:tc>
      </w:tr>
    </w:tbl>
    <w:p w:rsidR="002646B8" w:rsidRDefault="002646B8" w14:paraId="5EA58BBC" w14:textId="77777777">
      <w:pPr>
        <w:spacing w:after="160" w:line="259" w:lineRule="auto"/>
        <w:jc w:val="left"/>
        <w:rPr>
          <w:rFonts w:eastAsiaTheme="minorEastAsia"/>
        </w:rPr>
      </w:pPr>
      <w:r>
        <w:br w:type="page"/>
      </w:r>
    </w:p>
    <w:p w:rsidRPr="00D80463" w:rsidR="00BB3653" w:rsidP="00BB3653" w:rsidRDefault="00BB3653" w14:paraId="39DD1BC7" w14:textId="1B996969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hanging="567"/>
        <w:textAlignment w:val="baseline"/>
        <w:rPr>
          <w:rStyle w:val="Hyperlink"/>
          <w:b/>
          <w:bCs/>
          <w:i/>
          <w:iCs/>
          <w:sz w:val="28"/>
          <w:szCs w:val="28"/>
        </w:rPr>
      </w:pPr>
      <w:r w:rsidRPr="00D80463">
        <w:rPr>
          <w:b/>
          <w:i/>
          <w:sz w:val="28"/>
        </w:rPr>
        <w:lastRenderedPageBreak/>
        <w:fldChar w:fldCharType="begin"/>
      </w:r>
      <w:r w:rsidRPr="00D80463">
        <w:rPr>
          <w:b/>
          <w:i/>
          <w:sz w:val="28"/>
        </w:rPr>
        <w:instrText>HYPERLINK "https://www.eesc.europa.eu/sk/our-work/opinions-information-reports/opinions/traineeship-directive-and-reinforced-quality-framework-traineeships"</w:instrText>
      </w:r>
      <w:r w:rsidRPr="00D80463">
        <w:rPr>
          <w:b/>
          <w:i/>
          <w:sz w:val="28"/>
        </w:rPr>
        <w:fldChar w:fldCharType="separate"/>
      </w:r>
      <w:r w:rsidRPr="00D80463">
        <w:rPr>
          <w:rStyle w:val="Hyperlink"/>
          <w:b/>
          <w:i/>
          <w:sz w:val="28"/>
        </w:rPr>
        <w:t>Smernica</w:t>
      </w:r>
      <w:r>
        <w:rPr>
          <w:rStyle w:val="Hyperlink"/>
          <w:b/>
          <w:i/>
          <w:sz w:val="28"/>
        </w:rPr>
        <w:t xml:space="preserve"> o </w:t>
      </w:r>
      <w:r w:rsidRPr="00D80463">
        <w:rPr>
          <w:rStyle w:val="Hyperlink"/>
          <w:b/>
          <w:i/>
          <w:sz w:val="28"/>
        </w:rPr>
        <w:t>stáži</w:t>
      </w:r>
      <w:r>
        <w:rPr>
          <w:rStyle w:val="Hyperlink"/>
          <w:b/>
          <w:i/>
          <w:sz w:val="28"/>
        </w:rPr>
        <w:t xml:space="preserve"> a </w:t>
      </w:r>
      <w:r w:rsidRPr="00D80463">
        <w:rPr>
          <w:rStyle w:val="Hyperlink"/>
          <w:b/>
          <w:i/>
          <w:sz w:val="28"/>
        </w:rPr>
        <w:t>posilnený rámec kvality pre stáže</w:t>
      </w:r>
    </w:p>
    <w:p w:rsidRPr="00D80463" w:rsidR="00BB3653" w:rsidP="00BB3653" w:rsidRDefault="00BB3653" w14:paraId="727F63FA" w14:textId="77777777">
      <w:pPr>
        <w:widowControl w:val="0"/>
        <w:ind w:left="-142"/>
        <w:rPr>
          <w:bCs/>
          <w:i/>
          <w:sz w:val="28"/>
        </w:rPr>
      </w:pPr>
      <w:r w:rsidRPr="00D80463">
        <w:rPr>
          <w:b/>
          <w:i/>
          <w:sz w:val="28"/>
        </w:rPr>
        <w:fldChar w:fldCharType="end"/>
      </w:r>
    </w:p>
    <w:tbl>
      <w:tblPr>
        <w:tblStyle w:val="TableGrid"/>
        <w:tblW w:w="3594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643"/>
      </w:tblGrid>
      <w:tr w:rsidRPr="00D80463" w:rsidR="00BB3653" w:rsidTr="00B7485A" w14:paraId="44C9447B" w14:textId="77777777">
        <w:tc>
          <w:tcPr>
            <w:tcW w:w="1522" w:type="pct"/>
          </w:tcPr>
          <w:p w:rsidRPr="00D80463" w:rsidR="00BB3653" w:rsidP="00B7485A" w:rsidRDefault="00BB3653" w14:paraId="1C2B60FD" w14:textId="77777777">
            <w:pPr>
              <w:ind w:left="-113"/>
              <w:rPr>
                <w:b/>
              </w:rPr>
            </w:pPr>
            <w:r w:rsidRPr="00D80463">
              <w:rPr>
                <w:b/>
              </w:rPr>
              <w:t>Spravodajkyňa:</w:t>
            </w:r>
          </w:p>
        </w:tc>
        <w:tc>
          <w:tcPr>
            <w:tcW w:w="3478" w:type="pct"/>
          </w:tcPr>
          <w:p w:rsidRPr="00D80463" w:rsidR="00BB3653" w:rsidP="00B7485A" w:rsidRDefault="00BB3653" w14:paraId="4734846E" w14:textId="77777777">
            <w:pPr>
              <w:tabs>
                <w:tab w:val="left" w:pos="4572"/>
              </w:tabs>
              <w:ind w:left="-113" w:right="-823"/>
            </w:pPr>
            <w:proofErr w:type="spellStart"/>
            <w:r w:rsidRPr="00D80463">
              <w:t>Nicoletta</w:t>
            </w:r>
            <w:proofErr w:type="spellEnd"/>
            <w:r w:rsidRPr="00D80463">
              <w:t xml:space="preserve"> MERLO (skupina Pracovníci</w:t>
            </w:r>
            <w:r>
              <w:t> – </w:t>
            </w:r>
            <w:r w:rsidRPr="00D80463">
              <w:t>IT)</w:t>
            </w:r>
          </w:p>
        </w:tc>
      </w:tr>
      <w:tr w:rsidRPr="00D80463" w:rsidR="00BB3653" w:rsidTr="00B7485A" w14:paraId="7590965B" w14:textId="77777777">
        <w:tc>
          <w:tcPr>
            <w:tcW w:w="1522" w:type="pct"/>
            <w:vMerge w:val="restart"/>
          </w:tcPr>
          <w:p w:rsidRPr="00D80463" w:rsidR="00BB3653" w:rsidP="00B7485A" w:rsidRDefault="00BB3653" w14:paraId="7854F853" w14:textId="77777777">
            <w:pPr>
              <w:ind w:left="-113"/>
              <w:rPr>
                <w:b/>
              </w:rPr>
            </w:pPr>
            <w:proofErr w:type="spellStart"/>
            <w:r w:rsidRPr="00D80463">
              <w:rPr>
                <w:b/>
              </w:rPr>
              <w:t>Ref</w:t>
            </w:r>
            <w:proofErr w:type="spellEnd"/>
            <w:r w:rsidRPr="00D80463">
              <w:rPr>
                <w:b/>
              </w:rPr>
              <w:t>.:</w:t>
            </w:r>
          </w:p>
        </w:tc>
        <w:tc>
          <w:tcPr>
            <w:tcW w:w="3478" w:type="pct"/>
          </w:tcPr>
          <w:p w:rsidRPr="00D80463" w:rsidR="00BB3653" w:rsidP="00B7485A" w:rsidRDefault="00BB3653" w14:paraId="6EC77997" w14:textId="77777777">
            <w:pPr>
              <w:tabs>
                <w:tab w:val="left" w:pos="4430"/>
              </w:tabs>
              <w:ind w:left="-113" w:right="-823"/>
            </w:pPr>
            <w:r w:rsidRPr="00D80463">
              <w:t>EESC-2024-01418-00-00-AC</w:t>
            </w:r>
          </w:p>
        </w:tc>
      </w:tr>
      <w:tr w:rsidRPr="00D80463" w:rsidR="00BB3653" w:rsidTr="00B7485A" w14:paraId="75136C76" w14:textId="77777777">
        <w:tc>
          <w:tcPr>
            <w:tcW w:w="1522" w:type="pct"/>
            <w:vMerge/>
          </w:tcPr>
          <w:p w:rsidRPr="00D80463" w:rsidR="00BB3653" w:rsidP="00B7485A" w:rsidRDefault="00BB3653" w14:paraId="46E50EAE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3478" w:type="pct"/>
          </w:tcPr>
          <w:p w:rsidRPr="00D80463" w:rsidR="00BB3653" w:rsidP="00B7485A" w:rsidRDefault="00BB3653" w14:paraId="5C70F928" w14:textId="77777777">
            <w:pPr>
              <w:tabs>
                <w:tab w:val="center" w:pos="284"/>
                <w:tab w:val="left" w:pos="4430"/>
              </w:tabs>
              <w:ind w:left="266" w:right="-823" w:hanging="266"/>
            </w:pPr>
          </w:p>
        </w:tc>
      </w:tr>
    </w:tbl>
    <w:p w:rsidRPr="00D80463" w:rsidR="00BB3653" w:rsidP="00BB3653" w:rsidRDefault="00BB3653" w14:paraId="0534F184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D80463">
        <w:rPr>
          <w:b/>
        </w:rPr>
        <w:t>Hlavné body</w:t>
      </w:r>
    </w:p>
    <w:p w:rsidRPr="00D80463" w:rsidR="00BB3653" w:rsidP="00BB3653" w:rsidRDefault="00BB3653" w14:paraId="5B22182A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D80463" w:rsidR="00BB3653" w:rsidP="00BB3653" w:rsidRDefault="00BB3653" w14:paraId="4605DA79" w14:textId="77777777">
      <w:pPr>
        <w:keepNext/>
        <w:keepLines/>
        <w:tabs>
          <w:tab w:val="center" w:pos="284"/>
        </w:tabs>
        <w:ind w:left="266" w:hanging="266"/>
      </w:pPr>
      <w:r w:rsidRPr="00D80463">
        <w:t>EHSV:</w:t>
      </w:r>
    </w:p>
    <w:p w:rsidRPr="0065553F" w:rsidR="00BB3653" w:rsidP="0065553F" w:rsidRDefault="00BB3653" w14:paraId="699B3E47" w14:textId="77777777">
      <w:pPr>
        <w:pStyle w:val="ListParagraph"/>
        <w:keepNext/>
        <w:keepLines/>
        <w:tabs>
          <w:tab w:val="center" w:pos="284"/>
        </w:tabs>
        <w:ind w:left="0"/>
      </w:pPr>
    </w:p>
    <w:p w:rsidR="00BB3653" w:rsidP="00BB3653" w:rsidRDefault="00BB3653" w14:paraId="03B12055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D80463">
        <w:t>zdôrazňuje, že učňovská príprava</w:t>
      </w:r>
      <w:r>
        <w:t xml:space="preserve"> a </w:t>
      </w:r>
      <w:r w:rsidRPr="00D80463">
        <w:t>stáže sú dve odlišné formy pracovnej praxe, ktoré majú rôzne ciele</w:t>
      </w:r>
      <w:r>
        <w:t xml:space="preserve"> a </w:t>
      </w:r>
      <w:r w:rsidRPr="00D80463">
        <w:t>na ktoré sa uplatňujú rôzne právne predpisy</w:t>
      </w:r>
      <w:r>
        <w:t>;</w:t>
      </w:r>
    </w:p>
    <w:p w:rsidRPr="00D80463" w:rsidR="00BB3653" w:rsidP="00BB3653" w:rsidRDefault="00BB3653" w14:paraId="3D321DFE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D80463">
        <w:t>odporúča, aby</w:t>
      </w:r>
      <w:r>
        <w:t xml:space="preserve"> z </w:t>
      </w:r>
      <w:r w:rsidRPr="00D80463">
        <w:t>vymedzení pojmov uvedených</w:t>
      </w:r>
      <w:r>
        <w:t xml:space="preserve"> v </w:t>
      </w:r>
      <w:r w:rsidRPr="00D80463">
        <w:t>článku</w:t>
      </w:r>
      <w:r>
        <w:t> </w:t>
      </w:r>
      <w:r w:rsidRPr="00D80463">
        <w:t>2 nevyplývala pre členské štáty žiadna povinnosť klasifikovať stáže ako pracovnoprávne vzťahy, ak podľa ich vnútroštátnych právnych predpisov táto pracovná prax nespadá do vymedzenia pojmu „stážista“ stanoveného</w:t>
      </w:r>
      <w:r>
        <w:t xml:space="preserve"> v </w:t>
      </w:r>
      <w:r w:rsidRPr="00D80463">
        <w:t>smernici;</w:t>
      </w:r>
    </w:p>
    <w:p w:rsidRPr="00D80463" w:rsidR="00BB3653" w:rsidP="00BB3653" w:rsidRDefault="00BB3653" w14:paraId="46B56D31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D80463">
        <w:t>navrhuje zahrnúť do smernice zoznam pracovných podmienok, ktoré musia byť zaručené, aby sa zabezpečila lepšia ochrana záujmov stážistov, pričom by sa mala zachovať autonómia sociálnych partnerov, pokiaľ ide</w:t>
      </w:r>
      <w:r>
        <w:t xml:space="preserve"> o </w:t>
      </w:r>
      <w:r w:rsidRPr="00D80463">
        <w:t>reguláciu podmienok stáží na otvorenom trhu;</w:t>
      </w:r>
    </w:p>
    <w:p w:rsidRPr="00D80463" w:rsidR="00BB3653" w:rsidP="00BB3653" w:rsidRDefault="00BB3653" w14:paraId="392ADB6D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D80463">
        <w:t>zdôrazňuje, že</w:t>
      </w:r>
      <w:r>
        <w:t xml:space="preserve"> v </w:t>
      </w:r>
      <w:r w:rsidRPr="00D80463">
        <w:t>boji proti vydávaniu riadnych pracovnoprávnych vzťahov za stáže zohrávajú dôležitú úlohu príslušné orgány, pričom treba uznať, že na tomto úsilí sa môžu významným spôsobom podieľať aj sociálni partneri;</w:t>
      </w:r>
    </w:p>
    <w:p w:rsidRPr="00D80463" w:rsidR="00BB3653" w:rsidP="00BB3653" w:rsidRDefault="00BB3653" w14:paraId="3C30AA48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D80463">
        <w:t>požaduje, aby sa zaviedli ustanovenia, ktoré zabezpečia, že zástupcovia pracovníkov budú môcť vždy konať</w:t>
      </w:r>
      <w:r>
        <w:t xml:space="preserve"> v </w:t>
      </w:r>
      <w:r w:rsidRPr="00D80463">
        <w:t>záujme ochrany stážistov, aj keď stáž nepredstavuje pracovnoprávny vzťah;</w:t>
      </w:r>
    </w:p>
    <w:p w:rsidRPr="00D80463" w:rsidR="00BB3653" w:rsidP="00BB3653" w:rsidRDefault="00BB3653" w14:paraId="32016326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D80463">
        <w:t>odporúča vymedziť minimálne kritériá kvality pre každý typ stáže</w:t>
      </w:r>
      <w:r>
        <w:t xml:space="preserve"> v </w:t>
      </w:r>
      <w:r w:rsidRPr="00D80463">
        <w:t>celej EÚ</w:t>
      </w:r>
      <w:r>
        <w:t xml:space="preserve"> a v </w:t>
      </w:r>
      <w:r w:rsidRPr="00D80463">
        <w:t>snahe zabezpečiť vo všetkých členských štátoch vysoké normy</w:t>
      </w:r>
      <w:r>
        <w:t xml:space="preserve"> a </w:t>
      </w:r>
      <w:r w:rsidRPr="00D80463">
        <w:t>spoločný základný rámec; zdôrazňuje, že</w:t>
      </w:r>
      <w:r>
        <w:t xml:space="preserve"> v </w:t>
      </w:r>
      <w:r w:rsidRPr="00D80463">
        <w:t>rámci procesu preskúmania</w:t>
      </w:r>
      <w:r>
        <w:t xml:space="preserve"> a </w:t>
      </w:r>
      <w:r w:rsidRPr="00D80463">
        <w:t>vykonávania je nevyhnutné zhromažďovať údaje</w:t>
      </w:r>
      <w:r>
        <w:t xml:space="preserve"> a </w:t>
      </w:r>
      <w:r w:rsidRPr="00D80463">
        <w:t>zbierať</w:t>
      </w:r>
      <w:r>
        <w:t xml:space="preserve"> a </w:t>
      </w:r>
      <w:r w:rsidRPr="00D80463">
        <w:t>vymieňať si príklady osvedčených vnútroštátnych postupov pre každý typ stáže</w:t>
      </w:r>
      <w:r>
        <w:t xml:space="preserve"> v </w:t>
      </w:r>
      <w:r w:rsidRPr="00D80463">
        <w:t>EÚ;</w:t>
      </w:r>
    </w:p>
    <w:p w:rsidRPr="00D80463" w:rsidR="00BB3653" w:rsidP="00BB3653" w:rsidRDefault="00BB3653" w14:paraId="7A457E38" w14:textId="77777777">
      <w:pPr>
        <w:pStyle w:val="ListParagraph"/>
        <w:keepNext/>
        <w:keepLines/>
        <w:numPr>
          <w:ilvl w:val="0"/>
          <w:numId w:val="28"/>
        </w:numPr>
        <w:tabs>
          <w:tab w:val="center" w:pos="284"/>
        </w:tabs>
        <w:spacing w:after="200" w:line="276" w:lineRule="auto"/>
      </w:pPr>
      <w:r w:rsidRPr="00D80463">
        <w:t>upozorňuje na dôležitosť spravodlivej odmeny, ktorá by mala zohľadňovať aj prípadné náklady na účasť na odbornej príprave</w:t>
      </w:r>
      <w:r>
        <w:t xml:space="preserve"> a </w:t>
      </w:r>
      <w:r w:rsidRPr="00D80463">
        <w:t>existenčné potreby, ktoré</w:t>
      </w:r>
      <w:r>
        <w:t xml:space="preserve"> s </w:t>
      </w:r>
      <w:r w:rsidRPr="00D80463">
        <w:t>tým súvisia.</w:t>
      </w: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D80463" w:rsidR="00BB3653" w:rsidTr="00B7485A" w14:paraId="2F0514BB" w14:textId="77777777">
        <w:tc>
          <w:tcPr>
            <w:tcW w:w="1556" w:type="pct"/>
          </w:tcPr>
          <w:p w:rsidRPr="00D80463" w:rsidR="00BB3653" w:rsidP="00B7485A" w:rsidRDefault="00BB3653" w14:paraId="57082D3E" w14:textId="77777777">
            <w:pPr>
              <w:spacing w:line="240" w:lineRule="auto"/>
              <w:rPr>
                <w:i/>
              </w:rPr>
            </w:pPr>
            <w:r w:rsidRPr="00D80463"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:rsidRPr="00D80463" w:rsidR="00BB3653" w:rsidP="00B7485A" w:rsidRDefault="00BB3653" w14:paraId="6FBC89F3" w14:textId="77777777">
            <w:pPr>
              <w:spacing w:line="240" w:lineRule="auto"/>
              <w:rPr>
                <w:i/>
              </w:rPr>
            </w:pPr>
            <w:proofErr w:type="spellStart"/>
            <w:r w:rsidRPr="00D80463">
              <w:rPr>
                <w:i/>
              </w:rPr>
              <w:t>Sabrina</w:t>
            </w:r>
            <w:proofErr w:type="spellEnd"/>
            <w:r w:rsidRPr="00D80463">
              <w:rPr>
                <w:i/>
              </w:rPr>
              <w:t xml:space="preserve"> BORG</w:t>
            </w:r>
          </w:p>
        </w:tc>
      </w:tr>
      <w:tr w:rsidRPr="00D80463" w:rsidR="00BB3653" w:rsidTr="00B7485A" w14:paraId="77E13C8B" w14:textId="77777777">
        <w:tc>
          <w:tcPr>
            <w:tcW w:w="1556" w:type="pct"/>
          </w:tcPr>
          <w:p w:rsidRPr="00D80463" w:rsidR="00BB3653" w:rsidP="00B7485A" w:rsidRDefault="00BB3653" w14:paraId="70F921AC" w14:textId="77777777">
            <w:pPr>
              <w:spacing w:line="240" w:lineRule="auto"/>
              <w:rPr>
                <w:i/>
              </w:rPr>
            </w:pPr>
            <w:r w:rsidRPr="00D80463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D80463" w:rsidR="00BB3653" w:rsidP="00B7485A" w:rsidRDefault="00BB3653" w14:paraId="208DB83A" w14:textId="77777777">
            <w:pPr>
              <w:spacing w:line="240" w:lineRule="auto"/>
              <w:rPr>
                <w:i/>
              </w:rPr>
            </w:pPr>
            <w:r w:rsidRPr="00D80463">
              <w:rPr>
                <w:i/>
              </w:rPr>
              <w:t>+32</w:t>
            </w:r>
            <w:r>
              <w:rPr>
                <w:i/>
              </w:rPr>
              <w:t> </w:t>
            </w:r>
            <w:r w:rsidRPr="00D80463">
              <w:rPr>
                <w:i/>
              </w:rPr>
              <w:t>25469727</w:t>
            </w:r>
          </w:p>
        </w:tc>
      </w:tr>
      <w:tr w:rsidRPr="00D80463" w:rsidR="00BB3653" w:rsidTr="00B7485A" w14:paraId="1C4A8A14" w14:textId="77777777">
        <w:tc>
          <w:tcPr>
            <w:tcW w:w="1556" w:type="pct"/>
          </w:tcPr>
          <w:p w:rsidRPr="00D80463" w:rsidR="00BB3653" w:rsidP="00B7485A" w:rsidRDefault="00BB3653" w14:paraId="16DC9889" w14:textId="77777777">
            <w:pPr>
              <w:spacing w:line="240" w:lineRule="auto"/>
              <w:rPr>
                <w:i/>
              </w:rPr>
            </w:pPr>
            <w:r w:rsidRPr="00D80463">
              <w:rPr>
                <w:i/>
              </w:rPr>
              <w:t>E-mail:</w:t>
            </w:r>
          </w:p>
        </w:tc>
        <w:tc>
          <w:tcPr>
            <w:tcW w:w="3444" w:type="pct"/>
          </w:tcPr>
          <w:p w:rsidRPr="00D80463" w:rsidR="00BB3653" w:rsidP="00B7485A" w:rsidRDefault="00BB3653" w14:paraId="27D472F3" w14:textId="77777777">
            <w:pPr>
              <w:spacing w:line="240" w:lineRule="auto"/>
              <w:rPr>
                <w:rStyle w:val="Hyperlink"/>
              </w:rPr>
            </w:pPr>
            <w:hyperlink w:history="1" r:id="rId24">
              <w:r w:rsidRPr="00D80463">
                <w:rPr>
                  <w:rStyle w:val="Hyperlink"/>
                  <w:i/>
                </w:rPr>
                <w:t>Sabrina.Borg@eesc.europa.eu</w:t>
              </w:r>
            </w:hyperlink>
          </w:p>
        </w:tc>
      </w:tr>
    </w:tbl>
    <w:p w:rsidR="00C34921" w:rsidRDefault="00C34921" w14:paraId="7C56FAB2" w14:textId="77777777">
      <w:pPr>
        <w:spacing w:after="160" w:line="259" w:lineRule="auto"/>
        <w:jc w:val="left"/>
        <w:rPr>
          <w:rFonts w:eastAsiaTheme="minorEastAsia"/>
        </w:rPr>
      </w:pPr>
      <w:r>
        <w:br w:type="page"/>
      </w:r>
    </w:p>
    <w:p w:rsidRPr="002F47C0" w:rsidR="00DC26B9" w:rsidRDefault="0056687F" w14:paraId="153FDF23" w14:textId="654546C0">
      <w:pPr>
        <w:pStyle w:val="TOC1"/>
        <w:rPr>
          <w:color w:val="000000" w:themeColor="text1"/>
        </w:rPr>
      </w:pPr>
      <w:hyperlink w:history="1" w:anchor="_Toc164353189">
        <w:bookmarkStart w:name="_Toc172649321" w:id="6"/>
        <w:r w:rsidR="000B64C3">
          <w:t>4.</w:t>
        </w:r>
        <w:r w:rsidR="000B64C3">
          <w:rPr>
            <w:rFonts w:asciiTheme="minorHAnsi" w:hAnsiTheme="minorHAnsi"/>
            <w:sz w:val="22"/>
          </w:rPr>
          <w:tab/>
        </w:r>
      </w:hyperlink>
      <w:r w:rsidR="000B64C3">
        <w:t>JEDNOTNÝ TRH, VÝROBA A SPOTREBA</w:t>
      </w:r>
      <w:bookmarkEnd w:id="6"/>
    </w:p>
    <w:p w:rsidR="00C34921" w:rsidRDefault="0056687F" w14:paraId="65737401" w14:textId="157C195D">
      <w:pPr>
        <w:pStyle w:val="TOC1"/>
        <w:rPr>
          <w:rStyle w:val="Hyperlink"/>
          <w:b w:val="0"/>
          <w:color w:val="000000" w:themeColor="text1"/>
          <w:sz w:val="22"/>
          <w:szCs w:val="22"/>
          <w:u w:val="none"/>
        </w:rPr>
      </w:pPr>
      <w:hyperlink w:history="1" w:anchor="_Toc164353188"/>
    </w:p>
    <w:p w:rsidR="00BB3653" w:rsidP="00BB3653" w:rsidRDefault="00BB3653" w14:paraId="48A65788" w14:textId="441BCFA5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sz w:val="28"/>
        </w:rPr>
      </w:pPr>
      <w:hyperlink w:history="1" r:id="rId25">
        <w:r w:rsidRPr="009B5BD5">
          <w:rPr>
            <w:rStyle w:val="Hyperlink"/>
            <w:b/>
            <w:i/>
            <w:sz w:val="28"/>
          </w:rPr>
          <w:t>Posilnenie bezpečnosti výskumu</w:t>
        </w:r>
      </w:hyperlink>
    </w:p>
    <w:p w:rsidRPr="0065553F" w:rsidR="00BB3653" w:rsidP="00BB3653" w:rsidRDefault="00BB3653" w14:paraId="3078CA68" w14:textId="77777777">
      <w:pPr>
        <w:tabs>
          <w:tab w:val="center" w:pos="284"/>
        </w:tabs>
        <w:ind w:left="266" w:hanging="266"/>
        <w:rPr>
          <w:bCs/>
        </w:rPr>
      </w:pPr>
    </w:p>
    <w:tbl>
      <w:tblPr>
        <w:tblStyle w:val="TableGrid"/>
        <w:tblW w:w="343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354"/>
      </w:tblGrid>
      <w:tr w:rsidRPr="009B5BD5" w:rsidR="00BB3653" w:rsidTr="00B7485A" w14:paraId="30BE22CB" w14:textId="77777777">
        <w:tc>
          <w:tcPr>
            <w:tcW w:w="1591" w:type="pct"/>
          </w:tcPr>
          <w:p w:rsidRPr="009B5BD5" w:rsidR="00BB3653" w:rsidP="00B7485A" w:rsidRDefault="00BB3653" w14:paraId="24F9D4FE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9B5BD5">
              <w:rPr>
                <w:b/>
              </w:rPr>
              <w:t>Spravodajca:</w:t>
            </w:r>
          </w:p>
        </w:tc>
        <w:tc>
          <w:tcPr>
            <w:tcW w:w="3409" w:type="pct"/>
          </w:tcPr>
          <w:p w:rsidRPr="009B5BD5" w:rsidR="00BB3653" w:rsidP="00B7485A" w:rsidRDefault="00BB3653" w14:paraId="1F6CEC9E" w14:textId="77777777">
            <w:pPr>
              <w:tabs>
                <w:tab w:val="center" w:pos="284"/>
              </w:tabs>
              <w:ind w:left="266" w:hanging="266"/>
              <w:rPr>
                <w:bCs/>
              </w:rPr>
            </w:pPr>
            <w:proofErr w:type="spellStart"/>
            <w:r w:rsidRPr="009B5BD5">
              <w:t>Stefano</w:t>
            </w:r>
            <w:proofErr w:type="spellEnd"/>
            <w:r w:rsidRPr="009B5BD5">
              <w:t xml:space="preserve"> PALMIERI (skupina Pracovníci – IT)</w:t>
            </w:r>
          </w:p>
        </w:tc>
      </w:tr>
      <w:tr w:rsidRPr="009B5BD5" w:rsidR="00BB3653" w:rsidTr="00B7485A" w14:paraId="6945461C" w14:textId="77777777">
        <w:tc>
          <w:tcPr>
            <w:tcW w:w="5000" w:type="pct"/>
            <w:gridSpan w:val="2"/>
          </w:tcPr>
          <w:p w:rsidRPr="009B5BD5" w:rsidR="00BB3653" w:rsidP="00B7485A" w:rsidRDefault="00BB3653" w14:paraId="0949A4D5" w14:textId="77777777">
            <w:pPr>
              <w:tabs>
                <w:tab w:val="center" w:pos="284"/>
              </w:tabs>
              <w:spacing w:line="160" w:lineRule="exact"/>
              <w:ind w:left="266" w:hanging="266"/>
              <w:rPr>
                <w:sz w:val="20"/>
              </w:rPr>
            </w:pPr>
          </w:p>
        </w:tc>
      </w:tr>
      <w:tr w:rsidRPr="009B5BD5" w:rsidR="00BB3653" w:rsidTr="00B7485A" w14:paraId="725FD5FC" w14:textId="77777777">
        <w:tc>
          <w:tcPr>
            <w:tcW w:w="1591" w:type="pct"/>
            <w:vMerge w:val="restart"/>
          </w:tcPr>
          <w:p w:rsidRPr="009B5BD5" w:rsidR="00BB3653" w:rsidP="00B7485A" w:rsidRDefault="00BB3653" w14:paraId="219F8BFF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9B5BD5">
              <w:rPr>
                <w:b/>
              </w:rPr>
              <w:t>Ref</w:t>
            </w:r>
            <w:proofErr w:type="spellEnd"/>
            <w:r w:rsidRPr="009B5BD5">
              <w:rPr>
                <w:b/>
              </w:rPr>
              <w:t>.:</w:t>
            </w:r>
          </w:p>
        </w:tc>
        <w:tc>
          <w:tcPr>
            <w:tcW w:w="3409" w:type="pct"/>
          </w:tcPr>
          <w:p w:rsidRPr="009B5BD5" w:rsidR="00BB3653" w:rsidP="00B7485A" w:rsidRDefault="00BB3653" w14:paraId="00CA77BA" w14:textId="77777777">
            <w:pPr>
              <w:tabs>
                <w:tab w:val="center" w:pos="284"/>
              </w:tabs>
              <w:ind w:left="266" w:hanging="266"/>
            </w:pPr>
            <w:r w:rsidRPr="009B5BD5">
              <w:t>COM(2024)</w:t>
            </w:r>
            <w:r>
              <w:t> </w:t>
            </w:r>
            <w:r w:rsidRPr="009B5BD5">
              <w:t xml:space="preserve">26 </w:t>
            </w:r>
            <w:proofErr w:type="spellStart"/>
            <w:r w:rsidRPr="009B5BD5">
              <w:t>final</w:t>
            </w:r>
            <w:proofErr w:type="spellEnd"/>
          </w:p>
        </w:tc>
      </w:tr>
      <w:tr w:rsidRPr="009B5BD5" w:rsidR="00BB3653" w:rsidTr="00B7485A" w14:paraId="2E3D836A" w14:textId="77777777">
        <w:tc>
          <w:tcPr>
            <w:tcW w:w="1591" w:type="pct"/>
            <w:vMerge/>
          </w:tcPr>
          <w:p w:rsidRPr="009B5BD5" w:rsidR="00BB3653" w:rsidP="00B7485A" w:rsidRDefault="00BB3653" w14:paraId="61A12652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3409" w:type="pct"/>
          </w:tcPr>
          <w:p w:rsidRPr="009B5BD5" w:rsidR="00BB3653" w:rsidP="00B7485A" w:rsidRDefault="00BB3653" w14:paraId="7E48143E" w14:textId="77777777">
            <w:pPr>
              <w:tabs>
                <w:tab w:val="center" w:pos="284"/>
              </w:tabs>
              <w:ind w:left="266" w:hanging="266"/>
            </w:pPr>
            <w:r w:rsidRPr="009B5BD5">
              <w:t>EESC-2024-00827-00-00-AC</w:t>
            </w:r>
          </w:p>
        </w:tc>
      </w:tr>
    </w:tbl>
    <w:p w:rsidRPr="0065553F" w:rsidR="00BB3653" w:rsidP="00BB3653" w:rsidRDefault="00BB3653" w14:paraId="08E73AC6" w14:textId="77777777">
      <w:pPr>
        <w:tabs>
          <w:tab w:val="center" w:pos="284"/>
        </w:tabs>
        <w:ind w:left="266" w:hanging="266"/>
      </w:pPr>
    </w:p>
    <w:p w:rsidRPr="009B5BD5" w:rsidR="00BB3653" w:rsidP="00BB3653" w:rsidRDefault="00BB3653" w14:paraId="29C6796D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9B5BD5">
        <w:rPr>
          <w:b/>
        </w:rPr>
        <w:t>Hlavné body</w:t>
      </w:r>
    </w:p>
    <w:p w:rsidRPr="0065553F" w:rsidR="00BB3653" w:rsidP="00BB3653" w:rsidRDefault="00BB3653" w14:paraId="3E2D069E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9B5BD5" w:rsidR="00BB3653" w:rsidP="00BB3653" w:rsidRDefault="00BB3653" w14:paraId="6063A1D4" w14:textId="77777777">
      <w:pPr>
        <w:rPr>
          <w:bCs/>
          <w:iCs/>
        </w:rPr>
      </w:pPr>
      <w:r w:rsidRPr="009B5BD5">
        <w:t>EHSV:</w:t>
      </w:r>
    </w:p>
    <w:p w:rsidRPr="0065553F" w:rsidR="00BB3653" w:rsidP="00BB3653" w:rsidRDefault="00BB3653" w14:paraId="69443853" w14:textId="77777777">
      <w:pPr>
        <w:rPr>
          <w:bCs/>
          <w:iCs/>
        </w:rPr>
      </w:pPr>
    </w:p>
    <w:p w:rsidRPr="009B5BD5" w:rsidR="00BB3653" w:rsidP="00BB3653" w:rsidRDefault="00BB3653" w14:paraId="7931C115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9B5BD5">
        <w:t>hoci chápe zraniteľnosť odvetvia výskumu</w:t>
      </w:r>
      <w:r>
        <w:t xml:space="preserve"> a </w:t>
      </w:r>
      <w:r w:rsidRPr="009B5BD5">
        <w:t>inovácií voči možnému zlomyseľnému zasahovaniu zo strany štátnych</w:t>
      </w:r>
      <w:r>
        <w:t xml:space="preserve"> a </w:t>
      </w:r>
      <w:r w:rsidRPr="009B5BD5">
        <w:t>neštátnych subjektov</w:t>
      </w:r>
      <w:r>
        <w:t xml:space="preserve"> v </w:t>
      </w:r>
      <w:r w:rsidRPr="009B5BD5">
        <w:t>kontexte niektorých aktivít medzinárodnej spolupráce</w:t>
      </w:r>
      <w:r>
        <w:t xml:space="preserve"> v </w:t>
      </w:r>
      <w:r w:rsidRPr="009B5BD5">
        <w:t>oblasti výskumu</w:t>
      </w:r>
      <w:r>
        <w:t xml:space="preserve"> a </w:t>
      </w:r>
      <w:r w:rsidRPr="009B5BD5">
        <w:t>inovácií, domnieva sa, že treba zabezpečiť správnu rovnováhu medzi potrebou bezpečnosti</w:t>
      </w:r>
      <w:r>
        <w:t xml:space="preserve"> a </w:t>
      </w:r>
      <w:r w:rsidRPr="009B5BD5">
        <w:t>potrebou zachovať medzinárodnú otvorenosť odvetvia;</w:t>
      </w:r>
    </w:p>
    <w:p w:rsidRPr="009B5BD5" w:rsidR="00BB3653" w:rsidP="00BB3653" w:rsidRDefault="00BB3653" w14:paraId="04C94947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9B5BD5">
        <w:t>sa domnieva, že opatrenia zamerané na zaručenie bezpečnosti</w:t>
      </w:r>
      <w:r>
        <w:t xml:space="preserve"> v </w:t>
      </w:r>
      <w:r w:rsidRPr="009B5BD5">
        <w:t>kontexte výskumu</w:t>
      </w:r>
      <w:r>
        <w:t xml:space="preserve"> a </w:t>
      </w:r>
      <w:r w:rsidRPr="009B5BD5">
        <w:t>inovácií nesmú byť nikdy</w:t>
      </w:r>
      <w:r>
        <w:t xml:space="preserve"> v </w:t>
      </w:r>
      <w:r w:rsidRPr="009B5BD5">
        <w:t>rozpore</w:t>
      </w:r>
      <w:r>
        <w:t xml:space="preserve"> s </w:t>
      </w:r>
      <w:r w:rsidRPr="009B5BD5">
        <w:t>potvrdením úplnej autonómie</w:t>
      </w:r>
      <w:r>
        <w:t xml:space="preserve"> a </w:t>
      </w:r>
      <w:r w:rsidRPr="009B5BD5">
        <w:t>slobody výskumu;</w:t>
      </w:r>
    </w:p>
    <w:p w:rsidRPr="009B5BD5" w:rsidR="00BB3653" w:rsidP="00BB3653" w:rsidRDefault="00BB3653" w14:paraId="390CEC01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9B5BD5">
        <w:t>odporúča, aby sa zásada „slobody</w:t>
      </w:r>
      <w:r>
        <w:t xml:space="preserve"> v </w:t>
      </w:r>
      <w:r w:rsidRPr="009B5BD5">
        <w:t>rámci zodpovednosti“ subjektov</w:t>
      </w:r>
      <w:r>
        <w:t xml:space="preserve"> v </w:t>
      </w:r>
      <w:r w:rsidRPr="009B5BD5">
        <w:t>oblasti výskumu</w:t>
      </w:r>
      <w:r>
        <w:t xml:space="preserve"> a </w:t>
      </w:r>
      <w:r w:rsidRPr="009B5BD5">
        <w:t>inovácií dodržiavala prostredníctvom efektívnej, účinnej</w:t>
      </w:r>
      <w:r>
        <w:t xml:space="preserve"> a </w:t>
      </w:r>
      <w:r w:rsidRPr="009B5BD5">
        <w:t>transparentnej samosprávy prevádzkovateľov</w:t>
      </w:r>
      <w:r>
        <w:t xml:space="preserve"> v </w:t>
      </w:r>
      <w:r w:rsidRPr="009B5BD5">
        <w:t>rámci odvetvia;</w:t>
      </w:r>
    </w:p>
    <w:p w:rsidRPr="009B5BD5" w:rsidR="00BB3653" w:rsidP="00BB3653" w:rsidRDefault="00BB3653" w14:paraId="3FC6B995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bCs/>
          <w:iCs/>
          <w:spacing w:val="-2"/>
        </w:rPr>
      </w:pPr>
      <w:r w:rsidRPr="009B5BD5">
        <w:rPr>
          <w:spacing w:val="-2"/>
        </w:rPr>
        <w:t>sa nazdáva, že sa cieľ zaručiť bezpečnú medzinárodnú spoluprácu v oblasti výskumu a inovácií nikdy nesmie zmeniť na uplatňovanie diskriminačných a/alebo represívnych praktík voči prevádzkovateľom výskumu a inovácií, ani dostať do konfliktu s pracovnými právami a ochranou pracovných podmienok pracovníkov zamestnaných v oblasti výskumu a inovácií v EÚ;</w:t>
      </w:r>
    </w:p>
    <w:p w:rsidRPr="009B5BD5" w:rsidR="00BB3653" w:rsidP="00BB3653" w:rsidRDefault="00BB3653" w14:paraId="45CA4D17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9B5BD5">
        <w:t>dúfa, že sa</w:t>
      </w:r>
      <w:r>
        <w:t xml:space="preserve"> v </w:t>
      </w:r>
      <w:r w:rsidRPr="009B5BD5">
        <w:t>rámci jednotného</w:t>
      </w:r>
      <w:r>
        <w:t xml:space="preserve"> a </w:t>
      </w:r>
      <w:r w:rsidRPr="009B5BD5">
        <w:t>koherentného referenčného rámca medzi členskými štátmi EÚ rozvinie úplná autonómia výskumu</w:t>
      </w:r>
      <w:r>
        <w:t xml:space="preserve"> a </w:t>
      </w:r>
      <w:r w:rsidRPr="009B5BD5">
        <w:t>inovácií;</w:t>
      </w:r>
    </w:p>
    <w:p w:rsidRPr="009B5BD5" w:rsidR="00BB3653" w:rsidP="00BB3653" w:rsidRDefault="00BB3653" w14:paraId="7CFC3B86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9B5BD5">
        <w:t>poukazuje na to, že je dôležité posilniť ochranu duševného vlastníctva inovácií schopných zaručiť národnú bezpečnosť</w:t>
      </w:r>
      <w:r>
        <w:t xml:space="preserve"> a </w:t>
      </w:r>
      <w:r w:rsidRPr="009B5BD5">
        <w:t>rozšíriť preverovanie priamych zahraničných investícií na spoločnosti, ktorých sa týkajú fúzie</w:t>
      </w:r>
      <w:r>
        <w:t xml:space="preserve"> a </w:t>
      </w:r>
      <w:r w:rsidRPr="009B5BD5">
        <w:t>akvizície</w:t>
      </w:r>
      <w:r>
        <w:t xml:space="preserve"> a </w:t>
      </w:r>
      <w:r w:rsidRPr="009B5BD5">
        <w:t>ktoré pôsobia</w:t>
      </w:r>
      <w:r>
        <w:t xml:space="preserve"> v </w:t>
      </w:r>
      <w:r w:rsidRPr="009B5BD5">
        <w:t>desiatich kritických odvetviach</w:t>
      </w:r>
      <w:r>
        <w:t xml:space="preserve"> a </w:t>
      </w:r>
      <w:r w:rsidRPr="009B5BD5">
        <w:t>vo výrobe položiek</w:t>
      </w:r>
      <w:r>
        <w:t xml:space="preserve"> s </w:t>
      </w:r>
      <w:r w:rsidRPr="009B5BD5">
        <w:t>dvojakým použitím;</w:t>
      </w:r>
    </w:p>
    <w:p w:rsidRPr="009B5BD5" w:rsidR="00BB3653" w:rsidP="00BB3653" w:rsidRDefault="00BB3653" w14:paraId="73849184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9B5BD5">
        <w:t>sa nazdáva, že nedostatok podrobných usmernení na podporu činnosti subjektov výskumu</w:t>
      </w:r>
      <w:r>
        <w:t xml:space="preserve"> a </w:t>
      </w:r>
      <w:r w:rsidRPr="009B5BD5">
        <w:t>inovácií</w:t>
      </w:r>
      <w:r>
        <w:t xml:space="preserve"> v </w:t>
      </w:r>
      <w:r w:rsidRPr="009B5BD5">
        <w:t>kontexte: i)</w:t>
      </w:r>
      <w:r>
        <w:t> </w:t>
      </w:r>
      <w:r w:rsidRPr="009B5BD5">
        <w:t>náležitej starostlivosti; ii)</w:t>
      </w:r>
      <w:r>
        <w:t> </w:t>
      </w:r>
      <w:r w:rsidRPr="009B5BD5">
        <w:t>profilovania rizika</w:t>
      </w:r>
      <w:r>
        <w:t xml:space="preserve"> a </w:t>
      </w:r>
      <w:r w:rsidRPr="009B5BD5">
        <w:t>iii)</w:t>
      </w:r>
      <w:r>
        <w:t> </w:t>
      </w:r>
      <w:r w:rsidRPr="009B5BD5">
        <w:t>vypracovania memoránd</w:t>
      </w:r>
      <w:r>
        <w:t xml:space="preserve"> o </w:t>
      </w:r>
      <w:r w:rsidRPr="009B5BD5">
        <w:t>porozumení</w:t>
      </w:r>
      <w:r>
        <w:t xml:space="preserve"> s </w:t>
      </w:r>
      <w:r w:rsidRPr="009B5BD5">
        <w:t>medzinárodnými partnerskými organizáciami</w:t>
      </w:r>
      <w:r>
        <w:t xml:space="preserve"> v </w:t>
      </w:r>
      <w:r w:rsidRPr="009B5BD5">
        <w:t>oblasti výskumu</w:t>
      </w:r>
      <w:r>
        <w:t xml:space="preserve"> a </w:t>
      </w:r>
      <w:r w:rsidRPr="009B5BD5">
        <w:t>inovácií možno vyriešiť neskôr prostredníctvom budúcej činnosti Európskeho odborného centra pre bezpečnosť výskumu;</w:t>
      </w:r>
    </w:p>
    <w:p w:rsidRPr="009B5BD5" w:rsidR="00BB3653" w:rsidP="00BB3653" w:rsidRDefault="00BB3653" w14:paraId="3FCF6F50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9B5BD5">
        <w:t>dúfa, že Európske odborné centrum pre bezpečnosť výskumu bude pôsobiť ako platforma na zhromažďovanie</w:t>
      </w:r>
      <w:r>
        <w:t xml:space="preserve"> a </w:t>
      </w:r>
      <w:r w:rsidRPr="009B5BD5">
        <w:t>výmenu dokumentácie pri plnom rešpektovaní vzájomnej transparentnosti</w:t>
      </w:r>
      <w:r>
        <w:t xml:space="preserve"> a </w:t>
      </w:r>
      <w:r w:rsidRPr="009B5BD5">
        <w:t>organizáciu školení</w:t>
      </w:r>
      <w:r>
        <w:t xml:space="preserve"> a </w:t>
      </w:r>
      <w:r w:rsidRPr="009B5BD5">
        <w:t>odborných kurzov na zlepšenie zručností</w:t>
      </w:r>
      <w:r>
        <w:t xml:space="preserve"> v </w:t>
      </w:r>
      <w:r w:rsidRPr="009B5BD5">
        <w:t>oblasti bezpečnosti výskumu.</w:t>
      </w:r>
    </w:p>
    <w:p w:rsidRPr="0065553F" w:rsidR="00BB3653" w:rsidP="00BB3653" w:rsidRDefault="00BB3653" w14:paraId="13EE1B5E" w14:textId="77777777">
      <w:pPr>
        <w:widowControl w:val="0"/>
        <w:ind w:left="709" w:hanging="709"/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9B5BD5" w:rsidR="00BB3653" w:rsidTr="00B7485A" w14:paraId="2820BDC7" w14:textId="77777777">
        <w:tc>
          <w:tcPr>
            <w:tcW w:w="1556" w:type="pct"/>
          </w:tcPr>
          <w:p w:rsidRPr="009B5BD5" w:rsidR="00BB3653" w:rsidP="00B7485A" w:rsidRDefault="00BB3653" w14:paraId="309CADAE" w14:textId="77777777">
            <w:pPr>
              <w:spacing w:line="240" w:lineRule="auto"/>
              <w:rPr>
                <w:i/>
              </w:rPr>
            </w:pPr>
            <w:r w:rsidRPr="009B5BD5"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:rsidRPr="009B5BD5" w:rsidR="00BB3653" w:rsidP="00B7485A" w:rsidRDefault="00BB3653" w14:paraId="05BFBF76" w14:textId="77777777">
            <w:pPr>
              <w:spacing w:line="240" w:lineRule="auto"/>
              <w:rPr>
                <w:i/>
              </w:rPr>
            </w:pPr>
            <w:proofErr w:type="spellStart"/>
            <w:r w:rsidRPr="009B5BD5">
              <w:rPr>
                <w:i/>
              </w:rPr>
              <w:t>Marco</w:t>
            </w:r>
            <w:proofErr w:type="spellEnd"/>
            <w:r w:rsidRPr="009B5BD5">
              <w:rPr>
                <w:i/>
              </w:rPr>
              <w:t xml:space="preserve"> MANFRONI</w:t>
            </w:r>
          </w:p>
        </w:tc>
      </w:tr>
      <w:tr w:rsidRPr="009B5BD5" w:rsidR="00BB3653" w:rsidTr="00B7485A" w14:paraId="336A31D7" w14:textId="77777777">
        <w:tc>
          <w:tcPr>
            <w:tcW w:w="1556" w:type="pct"/>
          </w:tcPr>
          <w:p w:rsidRPr="009B5BD5" w:rsidR="00BB3653" w:rsidP="00B7485A" w:rsidRDefault="00BB3653" w14:paraId="0B1D3FB5" w14:textId="77777777">
            <w:pPr>
              <w:spacing w:line="240" w:lineRule="auto"/>
              <w:rPr>
                <w:i/>
              </w:rPr>
            </w:pPr>
            <w:r w:rsidRPr="009B5BD5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9B5BD5" w:rsidR="00BB3653" w:rsidP="00B7485A" w:rsidRDefault="00BB3653" w14:paraId="7C21B002" w14:textId="76670F21">
            <w:pPr>
              <w:spacing w:line="240" w:lineRule="auto"/>
              <w:rPr>
                <w:bCs/>
                <w:i/>
              </w:rPr>
            </w:pPr>
            <w:r w:rsidRPr="009B5BD5">
              <w:rPr>
                <w:i/>
              </w:rPr>
              <w:t>+32</w:t>
            </w:r>
            <w:r>
              <w:rPr>
                <w:i/>
              </w:rPr>
              <w:t> </w:t>
            </w:r>
            <w:r w:rsidRPr="009B5BD5">
              <w:rPr>
                <w:i/>
              </w:rPr>
              <w:t>25469140</w:t>
            </w:r>
          </w:p>
        </w:tc>
      </w:tr>
      <w:tr w:rsidRPr="009B5BD5" w:rsidR="00BB3653" w:rsidTr="00B7485A" w14:paraId="3D2C6821" w14:textId="77777777">
        <w:tc>
          <w:tcPr>
            <w:tcW w:w="1556" w:type="pct"/>
          </w:tcPr>
          <w:p w:rsidRPr="009B5BD5" w:rsidR="00BB3653" w:rsidP="00B7485A" w:rsidRDefault="00BB3653" w14:paraId="0C06DB5A" w14:textId="77777777">
            <w:pPr>
              <w:spacing w:line="240" w:lineRule="auto"/>
              <w:rPr>
                <w:i/>
              </w:rPr>
            </w:pPr>
            <w:r w:rsidRPr="009B5BD5">
              <w:rPr>
                <w:i/>
              </w:rPr>
              <w:t>E-mail:</w:t>
            </w:r>
          </w:p>
        </w:tc>
        <w:tc>
          <w:tcPr>
            <w:tcW w:w="3444" w:type="pct"/>
          </w:tcPr>
          <w:p w:rsidRPr="009B5BD5" w:rsidR="00BB3653" w:rsidP="00B7485A" w:rsidRDefault="00BB3653" w14:paraId="7E19C1CA" w14:textId="77777777">
            <w:pPr>
              <w:spacing w:line="240" w:lineRule="auto"/>
              <w:rPr>
                <w:i/>
              </w:rPr>
            </w:pPr>
            <w:hyperlink w:history="1" r:id="rId26">
              <w:r w:rsidRPr="009B5BD5">
                <w:rPr>
                  <w:rStyle w:val="Hyperlink"/>
                  <w:i/>
                </w:rPr>
                <w:t>Marco.Manfroni@eesc.europa.eu</w:t>
              </w:r>
            </w:hyperlink>
          </w:p>
        </w:tc>
      </w:tr>
    </w:tbl>
    <w:p w:rsidR="006A7E31" w:rsidP="006A7E31" w:rsidRDefault="00520680" w14:paraId="295BACE7" w14:textId="7EB5E747">
      <w:pPr>
        <w:pStyle w:val="TOC1"/>
      </w:pPr>
      <w:bookmarkStart w:name="_Toc172649322" w:id="7"/>
      <w:r>
        <w:lastRenderedPageBreak/>
        <w:t>5.</w:t>
      </w:r>
      <w:r>
        <w:rPr>
          <w:rFonts w:asciiTheme="minorHAnsi" w:hAnsiTheme="minorHAnsi"/>
          <w:sz w:val="22"/>
        </w:rPr>
        <w:tab/>
      </w:r>
      <w:hyperlink w:history="1" w:anchor="_Toc164353189">
        <w:r>
          <w:t>POĽNOHOSPODÁRSTVO, ROZVOJ VIDIEKA A ŽIVOTNÉ PROSTREDIE</w:t>
        </w:r>
        <w:bookmarkEnd w:id="7"/>
      </w:hyperlink>
    </w:p>
    <w:p w:rsidR="006A7E31" w:rsidP="006A7E31" w:rsidRDefault="006A7E31" w14:paraId="3D04EFC9" w14:textId="77777777">
      <w:pPr>
        <w:rPr>
          <w:rFonts w:eastAsiaTheme="minorEastAsia"/>
        </w:rPr>
      </w:pPr>
    </w:p>
    <w:p w:rsidRPr="00BB3653" w:rsidR="00BB3653" w:rsidP="00BB3653" w:rsidRDefault="00BB3653" w14:paraId="5BD3982A" w14:textId="48839DEC">
      <w:pPr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hyperlink w:history="1" r:id="rId27">
        <w:r w:rsidRPr="00BB3653">
          <w:rPr>
            <w:b/>
            <w:i/>
            <w:color w:val="0000FF"/>
            <w:sz w:val="28"/>
            <w:szCs w:val="20"/>
            <w:u w:val="single"/>
          </w:rPr>
          <w:t>Všeobecná rybárska komisia pre Stredozemné more</w:t>
        </w:r>
      </w:hyperlink>
    </w:p>
    <w:p w:rsidRPr="00BB3653" w:rsidR="00BB3653" w:rsidP="00BB3653" w:rsidRDefault="00BB3653" w14:paraId="5F81607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tbl>
      <w:tblPr>
        <w:tblStyle w:val="TableGrid209"/>
        <w:tblW w:w="343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354"/>
      </w:tblGrid>
      <w:tr w:rsidRPr="00BB3653" w:rsidR="00BB3653" w:rsidTr="00B7485A" w14:paraId="2929B796" w14:textId="77777777">
        <w:tc>
          <w:tcPr>
            <w:tcW w:w="5000" w:type="pct"/>
            <w:gridSpan w:val="2"/>
          </w:tcPr>
          <w:p w:rsidRPr="00BB3653" w:rsidR="00BB3653" w:rsidP="00BB3653" w:rsidRDefault="00BB3653" w14:paraId="015EB3F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BB3653" w:rsidR="00BB3653" w:rsidTr="00B7485A" w14:paraId="242E800D" w14:textId="77777777">
        <w:tc>
          <w:tcPr>
            <w:tcW w:w="1591" w:type="pct"/>
            <w:vMerge w:val="restart"/>
          </w:tcPr>
          <w:p w:rsidRPr="00BB3653" w:rsidR="00BB3653" w:rsidP="00BB3653" w:rsidRDefault="00BB3653" w14:paraId="4074AE37" w14:textId="00649D2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proofErr w:type="spellStart"/>
            <w:r w:rsidRPr="00BB3653">
              <w:rPr>
                <w:b/>
                <w:sz w:val="22"/>
                <w:szCs w:val="22"/>
              </w:rPr>
              <w:t>Ref</w:t>
            </w:r>
            <w:proofErr w:type="spellEnd"/>
            <w:r w:rsidRPr="00BB3653">
              <w:rPr>
                <w:b/>
                <w:sz w:val="22"/>
                <w:szCs w:val="22"/>
              </w:rPr>
              <w:t>.</w:t>
            </w:r>
            <w:r w:rsidRPr="00CF6A1D" w:rsidR="0065553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409" w:type="pct"/>
          </w:tcPr>
          <w:p w:rsidRPr="00BB3653" w:rsidR="00BB3653" w:rsidP="00BB3653" w:rsidRDefault="00BB3653" w14:paraId="574C463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BB3653">
              <w:rPr>
                <w:sz w:val="22"/>
                <w:szCs w:val="22"/>
              </w:rPr>
              <w:t xml:space="preserve">COM(2024) 183 </w:t>
            </w:r>
            <w:proofErr w:type="spellStart"/>
            <w:r w:rsidRPr="00BB3653">
              <w:rPr>
                <w:sz w:val="22"/>
                <w:szCs w:val="22"/>
              </w:rPr>
              <w:t>final</w:t>
            </w:r>
            <w:proofErr w:type="spellEnd"/>
          </w:p>
        </w:tc>
      </w:tr>
      <w:tr w:rsidRPr="00BB3653" w:rsidR="00BB3653" w:rsidTr="00B7485A" w14:paraId="09C3C918" w14:textId="77777777">
        <w:tc>
          <w:tcPr>
            <w:tcW w:w="1591" w:type="pct"/>
            <w:vMerge/>
          </w:tcPr>
          <w:p w:rsidRPr="00BB3653" w:rsidR="00BB3653" w:rsidP="00BB3653" w:rsidRDefault="00BB3653" w14:paraId="26F344E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409" w:type="pct"/>
          </w:tcPr>
          <w:p w:rsidRPr="00BB3653" w:rsidR="00BB3653" w:rsidP="00BB3653" w:rsidRDefault="00BB3653" w14:paraId="5DA7CF2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BB3653">
              <w:rPr>
                <w:sz w:val="22"/>
                <w:szCs w:val="22"/>
              </w:rPr>
              <w:t>EESC-2024-02260-00-00-AC</w:t>
            </w:r>
          </w:p>
        </w:tc>
      </w:tr>
    </w:tbl>
    <w:p w:rsidRPr="00BB3653" w:rsidR="00BB3653" w:rsidP="00BB3653" w:rsidRDefault="00BB3653" w14:paraId="370645BB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BB3653" w:rsidR="00BB3653" w:rsidP="00BB3653" w:rsidRDefault="00BB3653" w14:paraId="06ADF0A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BB3653">
        <w:rPr>
          <w:b/>
          <w:szCs w:val="20"/>
        </w:rPr>
        <w:t>Hlavné body</w:t>
      </w:r>
    </w:p>
    <w:p w:rsidRPr="00BB3653" w:rsidR="00BB3653" w:rsidP="00BB3653" w:rsidRDefault="00BB3653" w14:paraId="59F4EDD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BB3653" w:rsidR="00BB3653" w:rsidP="00BB3653" w:rsidRDefault="00BB3653" w14:paraId="2455F28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BB3653">
        <w:rPr>
          <w:szCs w:val="20"/>
        </w:rPr>
        <w:t>EHSV:</w:t>
      </w:r>
    </w:p>
    <w:p w:rsidRPr="00BB3653" w:rsidR="00BB3653" w:rsidP="00BB3653" w:rsidRDefault="00BB3653" w14:paraId="1046FF11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BB3653" w:rsidR="00BB3653" w:rsidP="00BB3653" w:rsidRDefault="00BB3653" w14:paraId="0EB3DB9D" w14:textId="77777777">
      <w:pPr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ind w:left="709" w:hanging="425"/>
        <w:textAlignment w:val="baseline"/>
        <w:rPr>
          <w:bCs/>
          <w:iCs/>
        </w:rPr>
      </w:pPr>
      <w:r w:rsidRPr="00BB3653">
        <w:rPr>
          <w:szCs w:val="20"/>
        </w:rPr>
        <w:t>usúdil, že návrh je úplne uspokojivý a nie sú k nemu potrebné žiadne pripomienky.</w:t>
      </w:r>
    </w:p>
    <w:p w:rsidRPr="00BB3653" w:rsidR="00BB3653" w:rsidP="00BB3653" w:rsidRDefault="00BB3653" w14:paraId="24FCBE80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tbl>
      <w:tblPr>
        <w:tblStyle w:val="TableGrid209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BB3653" w:rsidR="00BB3653" w:rsidTr="00B7485A" w14:paraId="62B2755A" w14:textId="77777777">
        <w:tc>
          <w:tcPr>
            <w:tcW w:w="1556" w:type="pct"/>
          </w:tcPr>
          <w:p w:rsidRPr="00BB3653" w:rsidR="00BB3653" w:rsidP="00BB3653" w:rsidRDefault="00BB3653" w14:paraId="0F24EB4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  <w:sz w:val="22"/>
                <w:szCs w:val="22"/>
              </w:rPr>
            </w:pPr>
            <w:r w:rsidRPr="00BB3653"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3444" w:type="pct"/>
          </w:tcPr>
          <w:p w:rsidRPr="00BB3653" w:rsidR="00BB3653" w:rsidP="00BB3653" w:rsidRDefault="00BB3653" w14:paraId="1662ADC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BB3653">
              <w:rPr>
                <w:i/>
                <w:sz w:val="22"/>
                <w:szCs w:val="22"/>
              </w:rPr>
              <w:t xml:space="preserve">Martine </w:t>
            </w:r>
            <w:proofErr w:type="spellStart"/>
            <w:r w:rsidRPr="00BB3653">
              <w:rPr>
                <w:i/>
                <w:sz w:val="22"/>
                <w:szCs w:val="22"/>
              </w:rPr>
              <w:t>Delanoy</w:t>
            </w:r>
            <w:proofErr w:type="spellEnd"/>
          </w:p>
        </w:tc>
      </w:tr>
      <w:tr w:rsidRPr="00BB3653" w:rsidR="00BB3653" w:rsidTr="00B7485A" w14:paraId="1461CF69" w14:textId="77777777">
        <w:tc>
          <w:tcPr>
            <w:tcW w:w="1556" w:type="pct"/>
          </w:tcPr>
          <w:p w:rsidRPr="00BB3653" w:rsidR="00BB3653" w:rsidP="00BB3653" w:rsidRDefault="00BB3653" w14:paraId="734CDC6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10"/>
              <w:textAlignment w:val="baseline"/>
              <w:rPr>
                <w:i/>
                <w:sz w:val="22"/>
                <w:szCs w:val="22"/>
              </w:rPr>
            </w:pPr>
            <w:r w:rsidRPr="00BB3653"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3444" w:type="pct"/>
          </w:tcPr>
          <w:p w:rsidRPr="00BB3653" w:rsidR="00BB3653" w:rsidP="00BB3653" w:rsidRDefault="00BB3653" w14:paraId="66B04C0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BB3653">
              <w:rPr>
                <w:i/>
                <w:sz w:val="22"/>
                <w:szCs w:val="22"/>
              </w:rPr>
              <w:t>+32 2 546 9802</w:t>
            </w:r>
          </w:p>
        </w:tc>
      </w:tr>
      <w:tr w:rsidRPr="00BB3653" w:rsidR="00BB3653" w:rsidTr="00B7485A" w14:paraId="372967F5" w14:textId="77777777">
        <w:tc>
          <w:tcPr>
            <w:tcW w:w="1556" w:type="pct"/>
          </w:tcPr>
          <w:p w:rsidRPr="00BB3653" w:rsidR="00BB3653" w:rsidP="00BB3653" w:rsidRDefault="00BB3653" w14:paraId="075EB65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  <w:sz w:val="22"/>
                <w:szCs w:val="22"/>
              </w:rPr>
            </w:pPr>
            <w:r w:rsidRPr="00BB3653"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3444" w:type="pct"/>
          </w:tcPr>
          <w:p w:rsidRPr="00BB3653" w:rsidR="00BB3653" w:rsidP="00BB3653" w:rsidRDefault="00BB3653" w14:paraId="57857D6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hyperlink w:history="1" r:id="rId28">
              <w:r w:rsidRPr="00BB3653">
                <w:rPr>
                  <w:i/>
                  <w:color w:val="0000FF"/>
                  <w:sz w:val="22"/>
                  <w:szCs w:val="22"/>
                  <w:u w:val="single"/>
                </w:rPr>
                <w:t>Martine.Delanoy@eesc.europa.eu</w:t>
              </w:r>
            </w:hyperlink>
            <w:r w:rsidRPr="00BB3653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6A7E31" w:rsidP="006A7E31" w:rsidRDefault="006A7E31" w14:paraId="640EBCAF" w14:textId="77777777">
      <w:pPr>
        <w:spacing w:after="160" w:line="259" w:lineRule="auto"/>
        <w:jc w:val="left"/>
        <w:rPr>
          <w:rFonts w:eastAsiaTheme="minorEastAsia"/>
        </w:rPr>
      </w:pPr>
      <w:r>
        <w:br w:type="page"/>
      </w:r>
    </w:p>
    <w:p w:rsidRPr="00BB3653" w:rsidR="00BB3653" w:rsidP="00BB3653" w:rsidRDefault="00BB3653" w14:paraId="295CEBF4" w14:textId="4519CD39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29">
        <w:r w:rsidRPr="00BB3653">
          <w:rPr>
            <w:b/>
            <w:i/>
            <w:color w:val="0000FF"/>
            <w:sz w:val="28"/>
            <w:szCs w:val="20"/>
            <w:u w:val="single"/>
          </w:rPr>
          <w:t>Rozširovanie a agropotravinárske odvetvie EÚ</w:t>
        </w:r>
      </w:hyperlink>
    </w:p>
    <w:p w:rsidRPr="00BB3653" w:rsidR="00BB3653" w:rsidP="00BB3653" w:rsidRDefault="00BB3653" w14:paraId="6CD4C37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tbl>
      <w:tblPr>
        <w:tblStyle w:val="TableGrid210"/>
        <w:tblW w:w="476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6820"/>
      </w:tblGrid>
      <w:tr w:rsidRPr="00BB3653" w:rsidR="00BB3653" w:rsidTr="00B7485A" w14:paraId="004AF287" w14:textId="77777777">
        <w:tc>
          <w:tcPr>
            <w:tcW w:w="1148" w:type="pct"/>
          </w:tcPr>
          <w:p w:rsidRPr="00BB3653" w:rsidR="00BB3653" w:rsidP="00BB3653" w:rsidRDefault="00BB3653" w14:paraId="395C4FB4" w14:textId="7A6E9C0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BB3653">
              <w:rPr>
                <w:b/>
                <w:sz w:val="22"/>
                <w:szCs w:val="22"/>
              </w:rPr>
              <w:t>Spravodajca</w:t>
            </w:r>
            <w:r w:rsidR="0065553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52" w:type="pct"/>
          </w:tcPr>
          <w:p w:rsidRPr="00BB3653" w:rsidR="00BB3653" w:rsidP="00BB3653" w:rsidRDefault="00BB3653" w14:paraId="256A765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  <w:sz w:val="22"/>
                <w:szCs w:val="22"/>
              </w:rPr>
            </w:pPr>
            <w:r w:rsidRPr="00BB3653">
              <w:rPr>
                <w:sz w:val="22"/>
                <w:szCs w:val="22"/>
              </w:rPr>
              <w:t>Stojan ČUKANOV (skupina Organizácie občianskej spoločnosti – BG)</w:t>
            </w:r>
          </w:p>
        </w:tc>
      </w:tr>
      <w:tr w:rsidRPr="00BB3653" w:rsidR="00BB3653" w:rsidTr="00B7485A" w14:paraId="758E87C4" w14:textId="77777777">
        <w:tc>
          <w:tcPr>
            <w:tcW w:w="5000" w:type="pct"/>
            <w:gridSpan w:val="2"/>
          </w:tcPr>
          <w:p w:rsidRPr="00BB3653" w:rsidR="00BB3653" w:rsidP="00BB3653" w:rsidRDefault="00BB3653" w14:paraId="5646CF6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BB3653" w:rsidR="00BB3653" w:rsidTr="00B7485A" w14:paraId="68943E37" w14:textId="77777777">
        <w:tc>
          <w:tcPr>
            <w:tcW w:w="1148" w:type="pct"/>
            <w:vMerge w:val="restart"/>
          </w:tcPr>
          <w:p w:rsidRPr="00BB3653" w:rsidR="00BB3653" w:rsidP="00BB3653" w:rsidRDefault="00BB3653" w14:paraId="77FB560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proofErr w:type="spellStart"/>
            <w:r w:rsidRPr="00BB3653">
              <w:rPr>
                <w:b/>
                <w:sz w:val="22"/>
                <w:szCs w:val="22"/>
              </w:rPr>
              <w:t>Ref</w:t>
            </w:r>
            <w:proofErr w:type="spellEnd"/>
            <w:r w:rsidRPr="00BB3653">
              <w:rPr>
                <w:b/>
                <w:sz w:val="22"/>
                <w:szCs w:val="22"/>
              </w:rPr>
              <w:t>.:</w:t>
            </w:r>
          </w:p>
        </w:tc>
        <w:tc>
          <w:tcPr>
            <w:tcW w:w="3852" w:type="pct"/>
          </w:tcPr>
          <w:p w:rsidRPr="00BB3653" w:rsidR="00BB3653" w:rsidP="00BB3653" w:rsidRDefault="00BB3653" w14:paraId="00200CB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BB3653">
              <w:rPr>
                <w:sz w:val="22"/>
                <w:szCs w:val="22"/>
              </w:rPr>
              <w:t>EESC-2024-01019-00-00-AC</w:t>
            </w:r>
          </w:p>
        </w:tc>
      </w:tr>
      <w:tr w:rsidRPr="00BB3653" w:rsidR="00BB3653" w:rsidTr="00B7485A" w14:paraId="6D5FCF79" w14:textId="77777777">
        <w:tc>
          <w:tcPr>
            <w:tcW w:w="1148" w:type="pct"/>
            <w:vMerge/>
          </w:tcPr>
          <w:p w:rsidRPr="00BB3653" w:rsidR="00BB3653" w:rsidP="00BB3653" w:rsidRDefault="00BB3653" w14:paraId="1A23A23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52" w:type="pct"/>
          </w:tcPr>
          <w:p w:rsidRPr="00BB3653" w:rsidR="00BB3653" w:rsidP="00BB3653" w:rsidRDefault="00BB3653" w14:paraId="6413F9B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</w:tbl>
    <w:p w:rsidRPr="00BB3653" w:rsidR="00BB3653" w:rsidP="00BB3653" w:rsidRDefault="00BB3653" w14:paraId="0FA747A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BB3653" w:rsidR="00BB3653" w:rsidP="00BB3653" w:rsidRDefault="00BB3653" w14:paraId="1F756EE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BB3653">
        <w:rPr>
          <w:b/>
          <w:szCs w:val="20"/>
        </w:rPr>
        <w:t>Hlavné body</w:t>
      </w:r>
    </w:p>
    <w:p w:rsidRPr="00BB3653" w:rsidR="00BB3653" w:rsidP="00BB3653" w:rsidRDefault="00BB3653" w14:paraId="772D1A9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BB3653" w:rsidR="00BB3653" w:rsidP="00BB3653" w:rsidRDefault="00BB3653" w14:paraId="1862F2CC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BB3653">
        <w:rPr>
          <w:szCs w:val="20"/>
        </w:rPr>
        <w:t>EHSV:</w:t>
      </w:r>
    </w:p>
    <w:p w:rsidRPr="00BB3653" w:rsidR="00BB3653" w:rsidP="00BB3653" w:rsidRDefault="00BB3653" w14:paraId="27093608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BB3653" w:rsidR="00BB3653" w:rsidP="00BB3653" w:rsidRDefault="00BB3653" w14:paraId="276A940B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BB3653">
        <w:rPr>
          <w:szCs w:val="20"/>
        </w:rPr>
        <w:t>zdôrazňuje, že hoci sa proces rozširovania vzhľadom na súčasnú mimoriadnu geopolitickú situáciu líši od všetkých predchádzajúcich rozšírení, nemalo by to byť dôvodom na oslabenie úrovne pripravenosti kandidátskych krajín, dôležitosti potrebných legislatívnych reforiem a dodržiavania základných hodnôt EÚ;</w:t>
      </w:r>
    </w:p>
    <w:p w:rsidRPr="00BB3653" w:rsidR="00BB3653" w:rsidP="00BB3653" w:rsidRDefault="00BB3653" w14:paraId="3EBE3A3F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BB3653">
        <w:rPr>
          <w:szCs w:val="20"/>
        </w:rPr>
        <w:t>zdôrazňuje význam bezpečnosti dodávok vo výrobe potravín v EÚ v kontexte geopolitického napätia a potrebu zabezpečiť, aby bolo v budúcnosti vo všetkých jej regiónoch možné zachovať poľnohospodársku výrobu;</w:t>
      </w:r>
    </w:p>
    <w:p w:rsidRPr="00BB3653" w:rsidR="00BB3653" w:rsidP="00BB3653" w:rsidRDefault="00BB3653" w14:paraId="22CD4AF8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BB3653">
        <w:rPr>
          <w:szCs w:val="20"/>
        </w:rPr>
        <w:t>zdôrazňuje príležitosti tohto rozšírenia na lepšie zabezpečenie strategickej autonómie EÚ a ďalšie zmenšenie environmentálnej stopy tohto odvetvia, zároveň však uznáva zmiešané výsledky predchádzajúceho rozšírenia, pričom poznamenáva, že boli víťazi a porazení, pričom slabé vidiecke oblasti mali z tohto procesu oveľa menší úžitok ako aglomerácie, a menšie európske poľnohospodárske podniky zanikli; preto naliehavo vyzýva Európsku komisiu a kandidátske členské štáty, aby zvážili a riadili vplyv rozširovania s osobitným zreteľom na rodinné poľnohospodárske podniky a malé a stredné agropotravinárske podniky v EÚ aj v kandidátskych krajinách;</w:t>
      </w:r>
    </w:p>
    <w:p w:rsidRPr="00BB3653" w:rsidR="00BB3653" w:rsidP="00BB3653" w:rsidRDefault="00BB3653" w14:paraId="38C1DBE5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BB3653">
        <w:rPr>
          <w:szCs w:val="20"/>
        </w:rPr>
        <w:t>zdôrazňuje, že kandidátske krajiny sa budú musieť zosúladiť s celkovými cieľmi a hodnotami SPP, pričom potrebné reformy SPP a súvisiaci finančný rámec sa budú musieť odsúhlasiť pred rozšírením;</w:t>
      </w:r>
    </w:p>
    <w:p w:rsidRPr="00BB3653" w:rsidR="00BB3653" w:rsidP="00BB3653" w:rsidRDefault="00BB3653" w14:paraId="001DA4D4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BB3653">
        <w:rPr>
          <w:szCs w:val="20"/>
        </w:rPr>
        <w:t xml:space="preserve">odporúča postupné nahradenie súčasnej základnej podpory príjmu založenej na ploche finančnými stimulmi pre služby prospešné pre životné prostredie a spoločnosť, degresívnymi platbami, uplatňovaním povinného stropu alebo zvýšením platby za prvé hektáre pre všetky členské štáty, a tiež vyzýva na zabezpečenie toho, aby sa poľnohospodárske politiky a politiky rozvoja vidieka ešte viac orientovali na </w:t>
      </w:r>
      <w:proofErr w:type="spellStart"/>
      <w:r w:rsidRPr="00BB3653">
        <w:rPr>
          <w:szCs w:val="20"/>
        </w:rPr>
        <w:t>proximitné</w:t>
      </w:r>
      <w:proofErr w:type="spellEnd"/>
      <w:r w:rsidRPr="00BB3653">
        <w:rPr>
          <w:szCs w:val="20"/>
        </w:rPr>
        <w:t xml:space="preserve"> hospodárstvo a aby sa tieto zásady preniesli na nové kandidátske krajiny;</w:t>
      </w:r>
    </w:p>
    <w:p w:rsidRPr="00BB3653" w:rsidR="00BB3653" w:rsidP="00BB3653" w:rsidRDefault="00BB3653" w14:paraId="0C491B2E" w14:textId="77777777">
      <w:pPr>
        <w:keepNext/>
        <w:keepLines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szCs w:val="20"/>
        </w:rPr>
      </w:pPr>
      <w:r w:rsidRPr="00BB3653">
        <w:rPr>
          <w:szCs w:val="20"/>
        </w:rPr>
        <w:t>požaduje zvýšený rozpočet SPP, ktorý sa musí vyčleniť na náležitú kompenzáciu nepriaznivých účinkov na poľnohospodárov v EÚ, pričom treba zohľadniť aj potenciálne sociálne náklady, čo znamená, že súčasní čistí prispievatelia musia byť v novom finančnom období pripravení odvádzať EÚ vyšší podiel svojho HDP, keďže rozšírenie bude čistým prínosom pre vývozcov priemyselného tovaru a služieb z EÚ, zatiaľ čo agropotravinárske odvetvie oslabia nižšie výrobné náklady niektorých nových členov;</w:t>
      </w:r>
    </w:p>
    <w:p w:rsidRPr="00BB3653" w:rsidR="00BB3653" w:rsidP="00BB3653" w:rsidRDefault="00BB3653" w14:paraId="6BA47619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BB3653">
        <w:rPr>
          <w:szCs w:val="20"/>
        </w:rPr>
        <w:t>zdôrazňuje potrebu podrobných a spoľahlivých údajov a naliehavo vyzýva Európsku komisiu, aby pozorne sledovala poľnohospodársku výrobu a vývoj reformných procesov vrátane tých, ktoré sa týkajú špekulácií s pôdou;</w:t>
      </w:r>
    </w:p>
    <w:p w:rsidRPr="00BB3653" w:rsidR="00BB3653" w:rsidP="00BB3653" w:rsidRDefault="00BB3653" w14:paraId="1F5382C1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BB3653">
        <w:rPr>
          <w:szCs w:val="20"/>
        </w:rPr>
        <w:t xml:space="preserve">pozoruje, že integračný proces sa už istým spôsobom začal, keď sa trhy EÚ otvorili poľnohospodárskym produktom z kandidátskych krajín, čo viedlo k vytvoreniu potenciálnych </w:t>
      </w:r>
      <w:r w:rsidRPr="00BB3653">
        <w:rPr>
          <w:szCs w:val="20"/>
        </w:rPr>
        <w:lastRenderedPageBreak/>
        <w:t>nevýhod pre členské štáty EÚ. Týmto nevýhodám treba zabrániť stanovením jasných pravidiel, ktoré budú kandidátske krajiny povinné dodržiavať.</w:t>
      </w:r>
    </w:p>
    <w:p w:rsidRPr="00BB3653" w:rsidR="00BB3653" w:rsidP="00BB3653" w:rsidRDefault="00BB3653" w14:paraId="61CBDD09" w14:textId="77777777">
      <w:pPr>
        <w:widowControl w:val="0"/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</w:p>
    <w:tbl>
      <w:tblPr>
        <w:tblStyle w:val="TableGrid210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BB3653" w:rsidR="00BB3653" w:rsidTr="00B7485A" w14:paraId="539366F3" w14:textId="77777777">
        <w:tc>
          <w:tcPr>
            <w:tcW w:w="1556" w:type="pct"/>
          </w:tcPr>
          <w:p w:rsidRPr="00BB3653" w:rsidR="00BB3653" w:rsidP="00BB3653" w:rsidRDefault="00BB3653" w14:paraId="39D6E667" w14:textId="739DE06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BB3653">
              <w:rPr>
                <w:b/>
                <w:i/>
                <w:sz w:val="22"/>
                <w:szCs w:val="22"/>
              </w:rPr>
              <w:t>Kontakt</w:t>
            </w:r>
            <w:r w:rsidR="00CF6A1D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3444" w:type="pct"/>
          </w:tcPr>
          <w:p w:rsidRPr="00BB3653" w:rsidR="00BB3653" w:rsidP="00BB3653" w:rsidRDefault="00BB3653" w14:paraId="0451DCE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BB3653">
              <w:rPr>
                <w:i/>
                <w:sz w:val="22"/>
                <w:szCs w:val="22"/>
              </w:rPr>
              <w:t>Martine DELANOY</w:t>
            </w:r>
          </w:p>
        </w:tc>
      </w:tr>
      <w:tr w:rsidRPr="00BB3653" w:rsidR="00BB3653" w:rsidTr="00B7485A" w14:paraId="3F1FB241" w14:textId="77777777">
        <w:tc>
          <w:tcPr>
            <w:tcW w:w="1556" w:type="pct"/>
          </w:tcPr>
          <w:p w:rsidRPr="00BB3653" w:rsidR="00BB3653" w:rsidP="00BB3653" w:rsidRDefault="00BB3653" w14:paraId="58E14F7E" w14:textId="0AB7323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BB3653">
              <w:rPr>
                <w:i/>
                <w:sz w:val="22"/>
                <w:szCs w:val="22"/>
              </w:rPr>
              <w:t>Tel.</w:t>
            </w:r>
            <w:r w:rsidR="00CF6A1D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3444" w:type="pct"/>
          </w:tcPr>
          <w:p w:rsidRPr="00BB3653" w:rsidR="00BB3653" w:rsidP="00BB3653" w:rsidRDefault="00BB3653" w14:paraId="56B37F18" w14:textId="5493367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BB3653">
              <w:rPr>
                <w:i/>
                <w:sz w:val="22"/>
                <w:szCs w:val="22"/>
              </w:rPr>
              <w:t>+32 25469802</w:t>
            </w:r>
          </w:p>
        </w:tc>
      </w:tr>
      <w:tr w:rsidRPr="00BB3653" w:rsidR="00BB3653" w:rsidTr="00B7485A" w14:paraId="26ABDD0E" w14:textId="77777777">
        <w:tc>
          <w:tcPr>
            <w:tcW w:w="1556" w:type="pct"/>
          </w:tcPr>
          <w:p w:rsidRPr="00BB3653" w:rsidR="00BB3653" w:rsidP="00BB3653" w:rsidRDefault="00BB3653" w14:paraId="3E064F17" w14:textId="310EAE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BB3653">
              <w:rPr>
                <w:i/>
                <w:sz w:val="22"/>
                <w:szCs w:val="22"/>
              </w:rPr>
              <w:t>E-mail</w:t>
            </w:r>
            <w:r w:rsidR="00CF6A1D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3444" w:type="pct"/>
          </w:tcPr>
          <w:p w:rsidRPr="00BB3653" w:rsidR="00BB3653" w:rsidP="00BB3653" w:rsidRDefault="00BB3653" w14:paraId="1314F94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hyperlink w:history="1" r:id="rId30">
              <w:r w:rsidRPr="00BB3653">
                <w:rPr>
                  <w:i/>
                  <w:color w:val="0000FF"/>
                  <w:sz w:val="22"/>
                  <w:szCs w:val="22"/>
                  <w:u w:val="single"/>
                </w:rPr>
                <w:t>Martine.Delanoy@eesc.europa.eu</w:t>
              </w:r>
            </w:hyperlink>
            <w:r w:rsidRPr="00BB3653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70348F" w:rsidP="00D92244" w:rsidRDefault="0070348F" w14:paraId="745AD27B" w14:textId="5B49A69A">
      <w:pPr>
        <w:pStyle w:val="TOC1"/>
      </w:pPr>
      <w:r w:rsidRPr="00CF6A1D">
        <w:rPr>
          <w:sz w:val="22"/>
          <w:szCs w:val="22"/>
        </w:rPr>
        <w:br w:type="page"/>
      </w:r>
    </w:p>
    <w:p w:rsidR="00520680" w:rsidP="00D92244" w:rsidRDefault="006A7E31" w14:paraId="3600B088" w14:textId="7DD87704">
      <w:pPr>
        <w:pStyle w:val="TOC1"/>
      </w:pPr>
      <w:bookmarkStart w:name="_Toc172649323" w:id="8"/>
      <w:r>
        <w:lastRenderedPageBreak/>
        <w:t>6.</w:t>
      </w:r>
      <w:r>
        <w:tab/>
        <w:t>VONKAJŠIE VZŤAHY</w:t>
      </w:r>
      <w:bookmarkEnd w:id="8"/>
    </w:p>
    <w:p w:rsidRPr="006A7E31" w:rsidR="006A7E31" w:rsidP="006A7E31" w:rsidRDefault="006A7E31" w14:paraId="7F857315" w14:textId="77777777"/>
    <w:p w:rsidRPr="00F132AD" w:rsidR="00BB3653" w:rsidP="00BB3653" w:rsidRDefault="00BB3653" w14:paraId="22BD1EEC" w14:textId="5EEB22A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hanging="567"/>
        <w:jc w:val="left"/>
        <w:textAlignment w:val="baseline"/>
        <w:rPr>
          <w:sz w:val="20"/>
        </w:rPr>
      </w:pPr>
      <w:hyperlink r:id="rId31">
        <w:r w:rsidRPr="00F132AD">
          <w:rPr>
            <w:rStyle w:val="Hyperlink"/>
            <w:b/>
            <w:i/>
            <w:sz w:val="28"/>
          </w:rPr>
          <w:t>Preverovanie zahraničných investícií</w:t>
        </w:r>
        <w:r>
          <w:rPr>
            <w:rStyle w:val="Hyperlink"/>
            <w:b/>
            <w:i/>
            <w:sz w:val="28"/>
          </w:rPr>
          <w:t xml:space="preserve"> v </w:t>
        </w:r>
        <w:r w:rsidRPr="00F132AD">
          <w:rPr>
            <w:rStyle w:val="Hyperlink"/>
            <w:b/>
            <w:i/>
            <w:sz w:val="28"/>
          </w:rPr>
          <w:t>EÚ</w:t>
        </w:r>
      </w:hyperlink>
    </w:p>
    <w:p w:rsidRPr="00CF6A1D" w:rsidR="00BB3653" w:rsidP="00BB3653" w:rsidRDefault="00BB3653" w14:paraId="4C57F590" w14:textId="77777777">
      <w:pPr>
        <w:widowControl w:val="0"/>
        <w:jc w:val="left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F132AD" w:rsidR="00BB3653" w:rsidTr="00B7485A" w14:paraId="0DFA5B33" w14:textId="77777777">
        <w:trPr>
          <w:trHeight w:val="330"/>
        </w:trPr>
        <w:tc>
          <w:tcPr>
            <w:tcW w:w="1701" w:type="dxa"/>
          </w:tcPr>
          <w:p w:rsidRPr="00F132AD" w:rsidR="00BB3653" w:rsidP="00B7485A" w:rsidRDefault="00BB3653" w14:paraId="65746722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F132AD">
              <w:rPr>
                <w:b/>
              </w:rPr>
              <w:t>Spravodajca:</w:t>
            </w:r>
          </w:p>
        </w:tc>
        <w:tc>
          <w:tcPr>
            <w:tcW w:w="5387" w:type="dxa"/>
          </w:tcPr>
          <w:p w:rsidRPr="00F132AD" w:rsidR="00BB3653" w:rsidP="00B7485A" w:rsidRDefault="00BB3653" w14:paraId="3DA56AAE" w14:textId="77777777">
            <w:pPr>
              <w:tabs>
                <w:tab w:val="center" w:pos="2585"/>
              </w:tabs>
              <w:jc w:val="left"/>
            </w:pPr>
            <w:proofErr w:type="spellStart"/>
            <w:r w:rsidRPr="00F132AD">
              <w:t>Javier</w:t>
            </w:r>
            <w:proofErr w:type="spellEnd"/>
            <w:r w:rsidRPr="00F132AD">
              <w:t xml:space="preserve"> DOZ ORRIT (skupina Pracovníci</w:t>
            </w:r>
            <w:r>
              <w:t> </w:t>
            </w:r>
            <w:r w:rsidRPr="00F132AD">
              <w:t>–</w:t>
            </w:r>
            <w:r>
              <w:t> </w:t>
            </w:r>
            <w:r w:rsidRPr="00F132AD">
              <w:t>ES)</w:t>
            </w:r>
          </w:p>
        </w:tc>
      </w:tr>
      <w:tr w:rsidRPr="00F132AD" w:rsidR="00BB3653" w:rsidTr="00B7485A" w14:paraId="7C8B891E" w14:textId="77777777">
        <w:tc>
          <w:tcPr>
            <w:tcW w:w="1701" w:type="dxa"/>
          </w:tcPr>
          <w:p w:rsidRPr="00F132AD" w:rsidR="00BB3653" w:rsidP="00B7485A" w:rsidRDefault="00BB3653" w14:paraId="588959AA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F132AD">
              <w:rPr>
                <w:b/>
              </w:rPr>
              <w:t>Ref</w:t>
            </w:r>
            <w:proofErr w:type="spellEnd"/>
            <w:r w:rsidRPr="00F132AD">
              <w:rPr>
                <w:b/>
              </w:rPr>
              <w:t>.:</w:t>
            </w:r>
          </w:p>
        </w:tc>
        <w:tc>
          <w:tcPr>
            <w:tcW w:w="5387" w:type="dxa"/>
          </w:tcPr>
          <w:p w:rsidRPr="00F132AD" w:rsidR="00BB3653" w:rsidP="00B7485A" w:rsidRDefault="00BB3653" w14:paraId="2841BA0F" w14:textId="538A500B">
            <w:pPr>
              <w:tabs>
                <w:tab w:val="center" w:pos="284"/>
              </w:tabs>
              <w:ind w:left="266" w:hanging="266"/>
            </w:pPr>
            <w:r w:rsidRPr="00F132AD">
              <w:t>EESC-2024-01434-00-02-AC</w:t>
            </w:r>
          </w:p>
        </w:tc>
      </w:tr>
    </w:tbl>
    <w:p w:rsidRPr="00CF6A1D" w:rsidR="00BB3653" w:rsidP="00BB3653" w:rsidRDefault="00BB3653" w14:paraId="10184288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F132AD" w:rsidR="00BB3653" w:rsidP="00BB3653" w:rsidRDefault="00BB3653" w14:paraId="0DBD0DFC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F132AD">
        <w:rPr>
          <w:b/>
        </w:rPr>
        <w:t>Hlavné body</w:t>
      </w:r>
    </w:p>
    <w:p w:rsidRPr="00CF6A1D" w:rsidR="00BB3653" w:rsidP="00BB3653" w:rsidRDefault="00BB3653" w14:paraId="28CE4754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F132AD" w:rsidR="00BB3653" w:rsidP="00BB3653" w:rsidRDefault="00BB3653" w14:paraId="0C931FA2" w14:textId="77777777">
      <w:pPr>
        <w:rPr>
          <w:bCs/>
          <w:iCs/>
        </w:rPr>
      </w:pPr>
      <w:r w:rsidRPr="00F132AD">
        <w:t>EHSV:</w:t>
      </w:r>
    </w:p>
    <w:p w:rsidRPr="00F132AD" w:rsidR="00BB3653" w:rsidP="00BB3653" w:rsidRDefault="00BB3653" w14:paraId="03315396" w14:textId="77777777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before="10" w:after="10"/>
        <w:ind w:left="567" w:hanging="567"/>
        <w:textAlignment w:val="baseline"/>
      </w:pPr>
      <w:r w:rsidRPr="00F132AD">
        <w:t>víta navrhované nariadenie ako krok správnym smerom, ktorým sa posilňujú mechanizmy preverovania priamych zahraničných investícií (PZI)</w:t>
      </w:r>
      <w:r>
        <w:t xml:space="preserve"> v </w:t>
      </w:r>
      <w:r w:rsidRPr="00F132AD">
        <w:t>EÚ. Cieľom tohto nariadenia je harmonizovať vnútroštátne postupy</w:t>
      </w:r>
      <w:r>
        <w:t xml:space="preserve"> a </w:t>
      </w:r>
      <w:r w:rsidRPr="00F132AD">
        <w:t>posilniť mechanizmus spolupráce EÚ,</w:t>
      </w:r>
      <w:r>
        <w:t xml:space="preserve"> a </w:t>
      </w:r>
      <w:r w:rsidRPr="00F132AD">
        <w:t>zabezpečiť pri tom verejnú kontrolu nad kritickými sektormi</w:t>
      </w:r>
      <w:r>
        <w:t xml:space="preserve"> a </w:t>
      </w:r>
      <w:r w:rsidRPr="00F132AD">
        <w:t>programami;</w:t>
      </w:r>
    </w:p>
    <w:p w:rsidRPr="00F132AD" w:rsidR="00BB3653" w:rsidP="00BB3653" w:rsidRDefault="00BB3653" w14:paraId="16604AC8" w14:textId="77777777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before="10" w:after="10"/>
        <w:ind w:left="567" w:hanging="567"/>
        <w:textAlignment w:val="baseline"/>
      </w:pPr>
      <w:r w:rsidRPr="00F132AD">
        <w:t>zdôrazňuje, že je dôležité presadzovať väčšiu harmonizáciu vnútroštátnych právnych noriem, ktorými sa riadia PZI</w:t>
      </w:r>
      <w:r>
        <w:t xml:space="preserve"> a </w:t>
      </w:r>
      <w:r w:rsidRPr="00F132AD">
        <w:t>mechanizmy preverovania. To zahŕňa: i)</w:t>
      </w:r>
      <w:r>
        <w:t> </w:t>
      </w:r>
      <w:r w:rsidRPr="00F132AD">
        <w:t>stanoviť konzistentné prahové hodnoty pre kontrolu PZI</w:t>
      </w:r>
      <w:r>
        <w:t xml:space="preserve"> a </w:t>
      </w:r>
      <w:r w:rsidRPr="00F132AD">
        <w:t>jednotné lehoty na odpovede; ii)</w:t>
      </w:r>
      <w:r>
        <w:t> </w:t>
      </w:r>
      <w:r w:rsidRPr="00F132AD">
        <w:t>zaviesť koherentné vymedzenia rizík pre bezpečnosť</w:t>
      </w:r>
      <w:r>
        <w:t xml:space="preserve"> a </w:t>
      </w:r>
      <w:r w:rsidRPr="00F132AD">
        <w:t>verejný poriadok; iii)</w:t>
      </w:r>
      <w:r>
        <w:t> </w:t>
      </w:r>
      <w:r w:rsidRPr="00F132AD">
        <w:t>posilniť kapacity členských štátov na účinné vykonávanie úloh kontroly PZI;</w:t>
      </w:r>
    </w:p>
    <w:p w:rsidRPr="00F132AD" w:rsidR="00BB3653" w:rsidP="00BB3653" w:rsidRDefault="00BB3653" w14:paraId="0721915C" w14:textId="77777777">
      <w:pPr>
        <w:pStyle w:val="ListParagraph"/>
        <w:widowControl w:val="0"/>
        <w:numPr>
          <w:ilvl w:val="0"/>
          <w:numId w:val="32"/>
        </w:numPr>
        <w:spacing w:before="10" w:after="10" w:line="276" w:lineRule="auto"/>
        <w:ind w:left="567" w:hanging="567"/>
        <w:contextualSpacing w:val="0"/>
      </w:pPr>
      <w:r w:rsidRPr="00F132AD">
        <w:t>vyzýva, aby sa určili výnimočné prípady,</w:t>
      </w:r>
      <w:r>
        <w:t xml:space="preserve"> v </w:t>
      </w:r>
      <w:r w:rsidRPr="00F132AD">
        <w:t>ktorých môžu inštitúcie EÚ zakázať PZI, zmierniť ich riziká alebo podmieniť realizáciu PZI, ktoré ohrozujú programy alebo projekty</w:t>
      </w:r>
      <w:r>
        <w:t xml:space="preserve"> v </w:t>
      </w:r>
      <w:r w:rsidRPr="00F132AD">
        <w:t>záujme Únie, čím sa zabezpečí jednotný prístup</w:t>
      </w:r>
      <w:r>
        <w:t xml:space="preserve"> k </w:t>
      </w:r>
      <w:r w:rsidRPr="00F132AD">
        <w:t>ochrane verejnej bezpečnosti</w:t>
      </w:r>
      <w:r>
        <w:t xml:space="preserve"> a </w:t>
      </w:r>
      <w:r w:rsidRPr="00F132AD">
        <w:t>poriadku vo všetkých členských štátoch. Na tento účel by EÚ mala stanoviť jasné postupy</w:t>
      </w:r>
      <w:r>
        <w:t xml:space="preserve"> a </w:t>
      </w:r>
      <w:r w:rsidRPr="00F132AD">
        <w:t>okolnosti na vykonávanie kontroly nad investíciami, ktoré predstavujú významné riziká pre záujmy EÚ;</w:t>
      </w:r>
    </w:p>
    <w:p w:rsidRPr="00F132AD" w:rsidR="00BB3653" w:rsidP="00BB3653" w:rsidRDefault="00BB3653" w14:paraId="2DD23178" w14:textId="77777777">
      <w:pPr>
        <w:pStyle w:val="ListParagraph"/>
        <w:widowControl w:val="0"/>
        <w:numPr>
          <w:ilvl w:val="0"/>
          <w:numId w:val="32"/>
        </w:numPr>
        <w:spacing w:before="10" w:after="10" w:line="276" w:lineRule="auto"/>
        <w:ind w:left="567" w:hanging="567"/>
        <w:contextualSpacing w:val="0"/>
      </w:pPr>
      <w:r w:rsidRPr="00F132AD">
        <w:t>navrhuje podporovať uplatňovanie zásady reciprocity</w:t>
      </w:r>
      <w:r>
        <w:t xml:space="preserve"> v </w:t>
      </w:r>
      <w:r w:rsidRPr="00F132AD">
        <w:t>obchodných, investičných alebo asociačných dohodách</w:t>
      </w:r>
      <w:r>
        <w:t xml:space="preserve"> s </w:t>
      </w:r>
      <w:r w:rsidRPr="00F132AD">
        <w:t>tretími krajinami</w:t>
      </w:r>
      <w:r>
        <w:t xml:space="preserve"> a </w:t>
      </w:r>
      <w:r w:rsidRPr="00F132AD">
        <w:t>monitorovať investície</w:t>
      </w:r>
      <w:r>
        <w:t xml:space="preserve"> z </w:t>
      </w:r>
      <w:r w:rsidRPr="00F132AD">
        <w:t>krajín, ktoré obmedzujú investície EÚ, aby sa zabezpečilo vyvážené</w:t>
      </w:r>
      <w:r>
        <w:t xml:space="preserve"> a </w:t>
      </w:r>
      <w:r w:rsidRPr="00F132AD">
        <w:t>spravodlivé zaobchádzanie;</w:t>
      </w:r>
      <w:r>
        <w:t xml:space="preserve"> o </w:t>
      </w:r>
      <w:r w:rsidRPr="00F132AD">
        <w:t>prísnom uplatňovaní by sa rozhodovalo podľa okolností</w:t>
      </w:r>
      <w:r>
        <w:t xml:space="preserve"> v </w:t>
      </w:r>
      <w:r w:rsidRPr="00F132AD">
        <w:t>jednotlivých prípadoch.</w:t>
      </w:r>
      <w:r>
        <w:t xml:space="preserve"> V </w:t>
      </w:r>
      <w:r w:rsidRPr="00F132AD">
        <w:t>rámci koncepčného</w:t>
      </w:r>
      <w:r>
        <w:t xml:space="preserve"> a </w:t>
      </w:r>
      <w:r w:rsidRPr="00F132AD">
        <w:t>regulačného rámca politík strategickej autonómie</w:t>
      </w:r>
      <w:r>
        <w:t xml:space="preserve"> a </w:t>
      </w:r>
      <w:r w:rsidRPr="00F132AD">
        <w:t>stratégie hospodárskej bezpečnosti by sa PZI mali podporovať na zvýšenie udržateľnej konkurencieschopnosti;</w:t>
      </w:r>
    </w:p>
    <w:p w:rsidRPr="00F132AD" w:rsidR="00BB3653" w:rsidP="00BB3653" w:rsidRDefault="00BB3653" w14:paraId="73C08129" w14:textId="77777777">
      <w:pPr>
        <w:pStyle w:val="ListParagraph"/>
        <w:widowControl w:val="0"/>
        <w:numPr>
          <w:ilvl w:val="0"/>
          <w:numId w:val="32"/>
        </w:numPr>
        <w:spacing w:before="10" w:after="10" w:line="276" w:lineRule="auto"/>
        <w:ind w:left="567" w:hanging="567"/>
        <w:contextualSpacing w:val="0"/>
      </w:pPr>
      <w:r w:rsidRPr="00F132AD">
        <w:t>vyzýva, aby sa investície</w:t>
      </w:r>
      <w:r>
        <w:t xml:space="preserve"> z </w:t>
      </w:r>
      <w:r w:rsidRPr="00F132AD">
        <w:t>daňových rajov podrobili osobitnému dohľadu, ktorý si vyžaduje úplnú informovanosť</w:t>
      </w:r>
      <w:r>
        <w:t xml:space="preserve"> o </w:t>
      </w:r>
      <w:r w:rsidRPr="00F132AD">
        <w:t>skutočných vlastníkoch investujúcich spoločností</w:t>
      </w:r>
      <w:r>
        <w:t xml:space="preserve"> a v </w:t>
      </w:r>
      <w:r w:rsidRPr="00F132AD">
        <w:t>rámci ktorého sa skúma zákonnosť vynaložených prostriedkov. Členské štáty by mali zvážiť možnosť zrušenia takzvaných „zlatých víz“ na získanie pobytu alebo občianstva</w:t>
      </w:r>
      <w:r>
        <w:t xml:space="preserve"> v </w:t>
      </w:r>
      <w:r w:rsidRPr="00F132AD">
        <w:t>krajine EÚ;</w:t>
      </w:r>
    </w:p>
    <w:p w:rsidR="00BB3653" w:rsidP="00BB3653" w:rsidRDefault="00BB3653" w14:paraId="3B28076B" w14:textId="77777777">
      <w:pPr>
        <w:pStyle w:val="ListParagraph"/>
        <w:widowControl w:val="0"/>
        <w:numPr>
          <w:ilvl w:val="0"/>
          <w:numId w:val="32"/>
        </w:numPr>
        <w:spacing w:before="10" w:after="10" w:line="276" w:lineRule="auto"/>
        <w:ind w:left="567" w:hanging="567"/>
        <w:contextualSpacing w:val="0"/>
      </w:pPr>
      <w:r w:rsidRPr="00F132AD">
        <w:t>zdôrazňuje potrebu mechanizmov zapojenia sociálnych partnerov</w:t>
      </w:r>
      <w:r>
        <w:t xml:space="preserve"> a </w:t>
      </w:r>
      <w:r w:rsidRPr="00F132AD">
        <w:t>organizácií občianskej spoločnosti do politiky</w:t>
      </w:r>
      <w:r>
        <w:t xml:space="preserve"> a </w:t>
      </w:r>
      <w:r w:rsidRPr="00F132AD">
        <w:t>kontroly priamych zahraničných investícií na úrovni EÚ aj na vnútroštátnej úrovni, ktoré zabezpečia transparentnosť</w:t>
      </w:r>
      <w:r>
        <w:t xml:space="preserve"> a </w:t>
      </w:r>
      <w:proofErr w:type="spellStart"/>
      <w:r w:rsidRPr="00F132AD">
        <w:t>inkluzívnosť</w:t>
      </w:r>
      <w:proofErr w:type="spellEnd"/>
      <w:r>
        <w:t xml:space="preserve"> v </w:t>
      </w:r>
      <w:r w:rsidRPr="00F132AD">
        <w:t>procese hodnotenia</w:t>
      </w:r>
      <w:r>
        <w:t>.</w:t>
      </w:r>
    </w:p>
    <w:p w:rsidRPr="00F132AD" w:rsidR="00BB3653" w:rsidP="00BB3653" w:rsidRDefault="00BB3653" w14:paraId="09B161BA" w14:textId="77777777">
      <w:pPr>
        <w:pStyle w:val="ListParagraph"/>
        <w:widowControl w:val="0"/>
        <w:spacing w:before="10" w:after="10"/>
        <w:ind w:left="567" w:hanging="567"/>
        <w:contextualSpacing w:val="0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F132AD" w:rsidR="00BB3653" w:rsidTr="00B7485A" w14:paraId="09AA6FCA" w14:textId="77777777">
        <w:tc>
          <w:tcPr>
            <w:tcW w:w="1418" w:type="dxa"/>
          </w:tcPr>
          <w:p w:rsidRPr="00F132AD" w:rsidR="00BB3653" w:rsidP="00B7485A" w:rsidRDefault="00BB3653" w14:paraId="74FEC57A" w14:textId="77777777">
            <w:pPr>
              <w:rPr>
                <w:i/>
              </w:rPr>
            </w:pPr>
            <w:r w:rsidRPr="00F132AD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F132AD" w:rsidR="00BB3653" w:rsidP="00B7485A" w:rsidRDefault="00BB3653" w14:paraId="6CEAE044" w14:textId="77777777">
            <w:pPr>
              <w:rPr>
                <w:i/>
              </w:rPr>
            </w:pPr>
            <w:proofErr w:type="spellStart"/>
            <w:r w:rsidRPr="00F132AD">
              <w:rPr>
                <w:i/>
              </w:rPr>
              <w:t>Marco</w:t>
            </w:r>
            <w:proofErr w:type="spellEnd"/>
            <w:r w:rsidRPr="00F132AD">
              <w:rPr>
                <w:i/>
              </w:rPr>
              <w:t xml:space="preserve"> </w:t>
            </w:r>
            <w:proofErr w:type="spellStart"/>
            <w:r w:rsidRPr="00F132AD">
              <w:rPr>
                <w:i/>
              </w:rPr>
              <w:t>Ristori</w:t>
            </w:r>
            <w:proofErr w:type="spellEnd"/>
          </w:p>
        </w:tc>
      </w:tr>
      <w:tr w:rsidRPr="00F132AD" w:rsidR="00BB3653" w:rsidTr="00B7485A" w14:paraId="53734066" w14:textId="77777777">
        <w:tc>
          <w:tcPr>
            <w:tcW w:w="1418" w:type="dxa"/>
          </w:tcPr>
          <w:p w:rsidRPr="00F132AD" w:rsidR="00BB3653" w:rsidP="00B7485A" w:rsidRDefault="00BB3653" w14:paraId="6A8F5F30" w14:textId="77777777">
            <w:pPr>
              <w:rPr>
                <w:i/>
              </w:rPr>
            </w:pPr>
            <w:r w:rsidRPr="00F132AD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F132AD" w:rsidR="00BB3653" w:rsidP="00B7485A" w:rsidRDefault="00BB3653" w14:paraId="1943A73B" w14:textId="12DD47AD">
            <w:pPr>
              <w:rPr>
                <w:i/>
              </w:rPr>
            </w:pPr>
            <w:r w:rsidRPr="00F132AD">
              <w:rPr>
                <w:i/>
              </w:rPr>
              <w:t>+32</w:t>
            </w:r>
            <w:r>
              <w:rPr>
                <w:i/>
              </w:rPr>
              <w:t> </w:t>
            </w:r>
            <w:r w:rsidRPr="00F132AD">
              <w:rPr>
                <w:i/>
              </w:rPr>
              <w:t>25469969</w:t>
            </w:r>
          </w:p>
        </w:tc>
      </w:tr>
      <w:tr w:rsidRPr="00F132AD" w:rsidR="00BB3653" w:rsidTr="00B7485A" w14:paraId="22522D8A" w14:textId="77777777">
        <w:tc>
          <w:tcPr>
            <w:tcW w:w="1418" w:type="dxa"/>
          </w:tcPr>
          <w:p w:rsidRPr="00F132AD" w:rsidR="00BB3653" w:rsidP="00B7485A" w:rsidRDefault="00BB3653" w14:paraId="077A6B37" w14:textId="77777777">
            <w:pPr>
              <w:rPr>
                <w:i/>
              </w:rPr>
            </w:pPr>
            <w:r w:rsidRPr="00F132AD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F132AD" w:rsidR="00BB3653" w:rsidP="00B7485A" w:rsidRDefault="00BB3653" w14:paraId="7E6FCE81" w14:textId="77777777">
            <w:pPr>
              <w:rPr>
                <w:i/>
              </w:rPr>
            </w:pPr>
            <w:hyperlink w:history="1" r:id="rId32">
              <w:r w:rsidRPr="00F132AD">
                <w:rPr>
                  <w:rStyle w:val="Hyperlink"/>
                  <w:i/>
                </w:rPr>
                <w:t>Marco.Ristori@eesc.europa.eu</w:t>
              </w:r>
            </w:hyperlink>
          </w:p>
        </w:tc>
      </w:tr>
    </w:tbl>
    <w:p w:rsidR="003567CE" w:rsidP="0088361D" w:rsidRDefault="003567CE" w14:paraId="67F3595B" w14:textId="7DB7E2AE">
      <w:pPr>
        <w:tabs>
          <w:tab w:val="left" w:pos="426"/>
        </w:tabs>
        <w:spacing w:after="160" w:line="259" w:lineRule="auto"/>
        <w:ind w:left="426" w:hanging="426"/>
        <w:jc w:val="left"/>
        <w:rPr>
          <w:rFonts w:eastAsiaTheme="minorEastAsia"/>
        </w:rPr>
      </w:pPr>
      <w:r>
        <w:br w:type="page"/>
      </w:r>
    </w:p>
    <w:p w:rsidR="006A7E31" w:rsidP="00D92244" w:rsidRDefault="00A72EDD" w14:paraId="07F93DE3" w14:textId="5E2145AE">
      <w:pPr>
        <w:pStyle w:val="TOC1"/>
      </w:pPr>
      <w:bookmarkStart w:name="_Toc172649324" w:id="9"/>
      <w:r>
        <w:lastRenderedPageBreak/>
        <w:t>7.</w:t>
      </w:r>
      <w:r>
        <w:tab/>
        <w:t>DOPRAVA, ENERGETIKA, INFRAŠTRUKTÚRA A INFORMAČNÁ SPOLOČNOSŤ</w:t>
      </w:r>
      <w:bookmarkEnd w:id="9"/>
    </w:p>
    <w:p w:rsidR="00160A67" w:rsidP="00160A67" w:rsidRDefault="00160A67" w14:paraId="2CBE297E" w14:textId="164A826B">
      <w:pPr>
        <w:rPr>
          <w:rFonts w:eastAsiaTheme="minorEastAsia"/>
        </w:rPr>
      </w:pPr>
    </w:p>
    <w:p w:rsidRPr="00A70CE0" w:rsidR="00BB3653" w:rsidP="00BB3653" w:rsidRDefault="00BB3653" w14:paraId="13F5D428" w14:textId="59066C76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hyperlink w:history="1" r:id="rId33">
        <w:r w:rsidRPr="00A70CE0">
          <w:rPr>
            <w:rStyle w:val="Hyperlink"/>
            <w:b/>
            <w:i/>
            <w:sz w:val="28"/>
          </w:rPr>
          <w:t>Digitalizácia odvetvia energetiky: vyvážiť príležitosti</w:t>
        </w:r>
        <w:r>
          <w:rPr>
            <w:rStyle w:val="Hyperlink"/>
            <w:b/>
            <w:i/>
            <w:sz w:val="28"/>
          </w:rPr>
          <w:t xml:space="preserve"> a </w:t>
        </w:r>
        <w:r w:rsidRPr="00A70CE0">
          <w:rPr>
            <w:rStyle w:val="Hyperlink"/>
            <w:b/>
            <w:i/>
            <w:sz w:val="28"/>
          </w:rPr>
          <w:t>riziká</w:t>
        </w:r>
        <w:r>
          <w:rPr>
            <w:rStyle w:val="Hyperlink"/>
            <w:b/>
            <w:i/>
            <w:sz w:val="28"/>
          </w:rPr>
          <w:t xml:space="preserve"> v </w:t>
        </w:r>
        <w:r w:rsidRPr="00A70CE0">
          <w:rPr>
            <w:rStyle w:val="Hyperlink"/>
            <w:b/>
            <w:i/>
            <w:sz w:val="28"/>
          </w:rPr>
          <w:t>záujme európskych spotrebiteľov</w:t>
        </w:r>
      </w:hyperlink>
    </w:p>
    <w:p w:rsidRPr="00CF6A1D" w:rsidR="00BB3653" w:rsidP="00BB3653" w:rsidRDefault="00BB3653" w14:paraId="58D8C631" w14:textId="77777777">
      <w:pPr>
        <w:tabs>
          <w:tab w:val="center" w:pos="284"/>
        </w:tabs>
        <w:ind w:left="266" w:hanging="266"/>
        <w:rPr>
          <w:bCs/>
        </w:rPr>
      </w:pPr>
    </w:p>
    <w:tbl>
      <w:tblPr>
        <w:tblStyle w:val="TableGrid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35"/>
        <w:gridCol w:w="6838"/>
      </w:tblGrid>
      <w:tr w:rsidRPr="00A70CE0" w:rsidR="00BB3653" w:rsidTr="00B7485A" w14:paraId="44A40570" w14:textId="77777777">
        <w:tc>
          <w:tcPr>
            <w:tcW w:w="2235" w:type="dxa"/>
          </w:tcPr>
          <w:p w:rsidRPr="00A70CE0" w:rsidR="00BB3653" w:rsidP="00B7485A" w:rsidRDefault="00BB3653" w14:paraId="0F382078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A70CE0">
              <w:rPr>
                <w:b/>
              </w:rPr>
              <w:t>Spravodajca:</w:t>
            </w:r>
          </w:p>
        </w:tc>
        <w:tc>
          <w:tcPr>
            <w:tcW w:w="6838" w:type="dxa"/>
          </w:tcPr>
          <w:p w:rsidRPr="00A70CE0" w:rsidR="00BB3653" w:rsidP="00B7485A" w:rsidRDefault="00BB3653" w14:paraId="774246D3" w14:textId="77777777">
            <w:pPr>
              <w:tabs>
                <w:tab w:val="center" w:pos="284"/>
              </w:tabs>
              <w:ind w:left="266" w:hanging="266"/>
            </w:pPr>
            <w:proofErr w:type="spellStart"/>
            <w:r w:rsidRPr="00A70CE0">
              <w:t>Kęstutis</w:t>
            </w:r>
            <w:proofErr w:type="spellEnd"/>
            <w:r w:rsidRPr="00A70CE0">
              <w:t xml:space="preserve"> KUPŠYS (skupina Organizácie občianskej spoločnosti</w:t>
            </w:r>
            <w:r>
              <w:t> </w:t>
            </w:r>
            <w:r w:rsidRPr="00A70CE0">
              <w:t>–</w:t>
            </w:r>
            <w:r>
              <w:t> </w:t>
            </w:r>
            <w:r w:rsidRPr="00A70CE0">
              <w:t>LT)</w:t>
            </w:r>
          </w:p>
        </w:tc>
      </w:tr>
      <w:tr w:rsidRPr="00A70CE0" w:rsidR="00BB3653" w:rsidTr="00B7485A" w14:paraId="114A60A7" w14:textId="77777777">
        <w:tc>
          <w:tcPr>
            <w:tcW w:w="9073" w:type="dxa"/>
            <w:gridSpan w:val="2"/>
          </w:tcPr>
          <w:p w:rsidRPr="00A70CE0" w:rsidR="00BB3653" w:rsidP="00B7485A" w:rsidRDefault="00BB3653" w14:paraId="63716C08" w14:textId="77777777">
            <w:pPr>
              <w:tabs>
                <w:tab w:val="center" w:pos="284"/>
              </w:tabs>
              <w:spacing w:line="160" w:lineRule="exact"/>
              <w:ind w:left="266" w:hanging="266"/>
            </w:pPr>
          </w:p>
        </w:tc>
      </w:tr>
      <w:tr w:rsidRPr="00A70CE0" w:rsidR="00BB3653" w:rsidTr="00B7485A" w14:paraId="430AEA57" w14:textId="77777777">
        <w:tc>
          <w:tcPr>
            <w:tcW w:w="2235" w:type="dxa"/>
          </w:tcPr>
          <w:p w:rsidRPr="00A70CE0" w:rsidR="00BB3653" w:rsidP="00B7485A" w:rsidRDefault="00BB3653" w14:paraId="6D6A8FCD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A70CE0">
              <w:rPr>
                <w:b/>
              </w:rPr>
              <w:t>Ref</w:t>
            </w:r>
            <w:proofErr w:type="spellEnd"/>
            <w:r w:rsidRPr="00A70CE0">
              <w:rPr>
                <w:b/>
              </w:rPr>
              <w:t>.:</w:t>
            </w:r>
          </w:p>
        </w:tc>
        <w:tc>
          <w:tcPr>
            <w:tcW w:w="6838" w:type="dxa"/>
          </w:tcPr>
          <w:p w:rsidRPr="00A70CE0" w:rsidR="00BB3653" w:rsidP="00B7485A" w:rsidRDefault="00BB3653" w14:paraId="2C1BA0F6" w14:textId="77777777">
            <w:pPr>
              <w:tabs>
                <w:tab w:val="center" w:pos="0"/>
              </w:tabs>
            </w:pPr>
            <w:r w:rsidRPr="00A70CE0">
              <w:t>stanovisko</w:t>
            </w:r>
            <w:r>
              <w:t xml:space="preserve"> z </w:t>
            </w:r>
            <w:r w:rsidRPr="00A70CE0">
              <w:t>vlastnej iniciatívy</w:t>
            </w:r>
          </w:p>
          <w:p w:rsidRPr="00A70CE0" w:rsidR="00BB3653" w:rsidP="00B7485A" w:rsidRDefault="00BB3653" w14:paraId="3AFAD004" w14:textId="77777777">
            <w:pPr>
              <w:tabs>
                <w:tab w:val="center" w:pos="284"/>
              </w:tabs>
              <w:ind w:left="266" w:hanging="266"/>
            </w:pPr>
            <w:r w:rsidRPr="00A70CE0">
              <w:t>EESC-2024-01212-00-00-AC</w:t>
            </w:r>
          </w:p>
        </w:tc>
      </w:tr>
    </w:tbl>
    <w:p w:rsidRPr="00A70CE0" w:rsidR="00BB3653" w:rsidP="00BB3653" w:rsidRDefault="00BB3653" w14:paraId="14CCF0FD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A70CE0">
        <w:rPr>
          <w:b/>
        </w:rPr>
        <w:t>Hlavné body</w:t>
      </w:r>
    </w:p>
    <w:p w:rsidRPr="00CF6A1D" w:rsidR="00BB3653" w:rsidP="00BB3653" w:rsidRDefault="00BB3653" w14:paraId="1545C42C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A70CE0" w:rsidR="00BB3653" w:rsidP="00BB3653" w:rsidRDefault="00BB3653" w14:paraId="3083908C" w14:textId="77777777">
      <w:pPr>
        <w:rPr>
          <w:bCs/>
          <w:iCs/>
        </w:rPr>
      </w:pPr>
      <w:r w:rsidRPr="00A70CE0">
        <w:t>EHSV:</w:t>
      </w:r>
    </w:p>
    <w:p w:rsidRPr="00CF6A1D" w:rsidR="00BB3653" w:rsidP="00BB3653" w:rsidRDefault="00BB3653" w14:paraId="424D060E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A70CE0" w:rsidR="00BB3653" w:rsidP="00BB3653" w:rsidRDefault="00BB3653" w14:paraId="1FEE0D99" w14:textId="77777777">
      <w:pPr>
        <w:pStyle w:val="ListParagraph"/>
        <w:numPr>
          <w:ilvl w:val="0"/>
          <w:numId w:val="33"/>
        </w:numPr>
        <w:ind w:left="567" w:hanging="567"/>
      </w:pPr>
      <w:r w:rsidRPr="00A70CE0">
        <w:t>zdôrazňuje, že digitalizácia je čoraz dôležitejšia vzhľadom na zelenú transformáciu. Energia by však mala zostať cenovo dostupná, prispôsobiteľná</w:t>
      </w:r>
      <w:r>
        <w:t xml:space="preserve"> a </w:t>
      </w:r>
      <w:r w:rsidRPr="00A70CE0">
        <w:t>ľahko použiteľná pre spotrebiteľov. To zahŕňa vývoj používateľsky ústretových digitálnych nástrojov, ktoré zodpovedajú rôznym potrebám</w:t>
      </w:r>
      <w:r>
        <w:t xml:space="preserve"> a </w:t>
      </w:r>
      <w:r w:rsidRPr="00A70CE0">
        <w:t>podporujú rovnaký prístup</w:t>
      </w:r>
      <w:r>
        <w:t xml:space="preserve"> k </w:t>
      </w:r>
      <w:r w:rsidRPr="00A70CE0">
        <w:t>digitálnym energetickým službám. Spotrebitelia by mali mať stále možnosť vybrať si ceny, zmluvy</w:t>
      </w:r>
      <w:r>
        <w:t xml:space="preserve"> a </w:t>
      </w:r>
      <w:r w:rsidRPr="00A70CE0">
        <w:t>zákaznícke služby „</w:t>
      </w:r>
      <w:proofErr w:type="spellStart"/>
      <w:r w:rsidRPr="00A70CE0">
        <w:t>preddigitálnym</w:t>
      </w:r>
      <w:proofErr w:type="spellEnd"/>
      <w:r w:rsidRPr="00A70CE0">
        <w:t>“ spôsobom;</w:t>
      </w:r>
    </w:p>
    <w:p w:rsidRPr="00A70CE0" w:rsidR="00BB3653" w:rsidP="00BB3653" w:rsidRDefault="00BB3653" w14:paraId="0A8C5724" w14:textId="77777777">
      <w:pPr>
        <w:pStyle w:val="ListParagraph"/>
        <w:numPr>
          <w:ilvl w:val="0"/>
          <w:numId w:val="33"/>
        </w:numPr>
        <w:ind w:left="567" w:hanging="567"/>
      </w:pPr>
      <w:r w:rsidRPr="00A70CE0">
        <w:t>zdôrazňuje, že prioritou musí byť kybernetická bezpečnosť údajov. Digitalizácia zvyšuje potrebu vytvoriť dynamické predpisy na ochranu spotrebiteľa prispôsobené novým situáciám</w:t>
      </w:r>
      <w:r>
        <w:t xml:space="preserve"> a </w:t>
      </w:r>
      <w:r w:rsidRPr="00A70CE0">
        <w:t>účastníkom</w:t>
      </w:r>
      <w:r>
        <w:t xml:space="preserve"> v </w:t>
      </w:r>
      <w:r w:rsidRPr="00A70CE0">
        <w:t>tomto odvetví;</w:t>
      </w:r>
    </w:p>
    <w:p w:rsidRPr="00A70CE0" w:rsidR="00BB3653" w:rsidP="00BB3653" w:rsidRDefault="00BB3653" w14:paraId="44F7A82A" w14:textId="77777777">
      <w:pPr>
        <w:pStyle w:val="ListParagraph"/>
        <w:numPr>
          <w:ilvl w:val="0"/>
          <w:numId w:val="33"/>
        </w:numPr>
        <w:ind w:left="567" w:hanging="567"/>
      </w:pPr>
      <w:r w:rsidRPr="00A70CE0">
        <w:t>poukazuje na to, že digitálna priepasť medzi spotrebiteľmi, ktorí si môžu dovoliť drahšie digitálne nástroje,</w:t>
      </w:r>
      <w:r>
        <w:t xml:space="preserve"> a </w:t>
      </w:r>
      <w:r w:rsidRPr="00A70CE0">
        <w:t>tými, ktorí si ich nemôžu dovoliť, vedie</w:t>
      </w:r>
      <w:r>
        <w:t xml:space="preserve"> k </w:t>
      </w:r>
      <w:r w:rsidRPr="00A70CE0">
        <w:t>väčšej energetickej chudobe;</w:t>
      </w:r>
    </w:p>
    <w:p w:rsidRPr="00A70CE0" w:rsidR="00BB3653" w:rsidP="00BB3653" w:rsidRDefault="00BB3653" w14:paraId="6BFB33EA" w14:textId="77777777">
      <w:pPr>
        <w:pStyle w:val="ListParagraph"/>
        <w:numPr>
          <w:ilvl w:val="0"/>
          <w:numId w:val="33"/>
        </w:numPr>
        <w:ind w:left="567" w:hanging="567"/>
      </w:pPr>
      <w:r w:rsidRPr="00A70CE0">
        <w:t>odporúča, aby sa pracovníkom ponúkala odborná príprava. Medzi všetkými zainteresovanými stranami by sa mali propagovať akadémie pre emisne neutrálny priemysel</w:t>
      </w:r>
      <w:r>
        <w:t xml:space="preserve"> s </w:t>
      </w:r>
      <w:r w:rsidRPr="00A70CE0">
        <w:t>dôrazom na zručnosti</w:t>
      </w:r>
      <w:r>
        <w:t xml:space="preserve"> v </w:t>
      </w:r>
      <w:r w:rsidRPr="00A70CE0">
        <w:t>oblasti energetickej účinnosti.</w:t>
      </w:r>
    </w:p>
    <w:p w:rsidRPr="00A70CE0" w:rsidR="00BB3653" w:rsidP="00BB3653" w:rsidRDefault="00BB3653" w14:paraId="1F037DFD" w14:textId="77777777"/>
    <w:tbl>
      <w:tblPr>
        <w:tblStyle w:val="TableGrid"/>
        <w:tblW w:w="70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A70CE0" w:rsidR="00BB3653" w:rsidTr="00B7485A" w14:paraId="09A729D7" w14:textId="77777777">
        <w:tc>
          <w:tcPr>
            <w:tcW w:w="1418" w:type="dxa"/>
          </w:tcPr>
          <w:p w:rsidRPr="00A70CE0" w:rsidR="00BB3653" w:rsidP="00B7485A" w:rsidRDefault="00BB3653" w14:paraId="310F0769" w14:textId="77777777">
            <w:pPr>
              <w:spacing w:line="240" w:lineRule="auto"/>
              <w:rPr>
                <w:i/>
              </w:rPr>
            </w:pPr>
            <w:r w:rsidRPr="00A70CE0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A70CE0" w:rsidR="00BB3653" w:rsidP="00B7485A" w:rsidRDefault="00BB3653" w14:paraId="289C2794" w14:textId="77777777">
            <w:pPr>
              <w:spacing w:line="240" w:lineRule="auto"/>
              <w:rPr>
                <w:i/>
              </w:rPr>
            </w:pPr>
            <w:proofErr w:type="spellStart"/>
            <w:r w:rsidRPr="00A70CE0">
              <w:rPr>
                <w:i/>
              </w:rPr>
              <w:t>Aleksandra</w:t>
            </w:r>
            <w:proofErr w:type="spellEnd"/>
            <w:r w:rsidRPr="00A70CE0">
              <w:rPr>
                <w:i/>
              </w:rPr>
              <w:t xml:space="preserve"> SARMAN GRILC </w:t>
            </w:r>
          </w:p>
        </w:tc>
      </w:tr>
      <w:tr w:rsidRPr="00A70CE0" w:rsidR="00BB3653" w:rsidTr="00B7485A" w14:paraId="1DDAA8E8" w14:textId="77777777">
        <w:tc>
          <w:tcPr>
            <w:tcW w:w="1418" w:type="dxa"/>
          </w:tcPr>
          <w:p w:rsidRPr="00A70CE0" w:rsidR="00BB3653" w:rsidP="00B7485A" w:rsidRDefault="00BB3653" w14:paraId="6CFCE51C" w14:textId="77777777">
            <w:pPr>
              <w:spacing w:line="240" w:lineRule="auto"/>
              <w:rPr>
                <w:i/>
              </w:rPr>
            </w:pPr>
            <w:r w:rsidRPr="00A70CE0">
              <w:rPr>
                <w:i/>
              </w:rPr>
              <w:t>Tel:</w:t>
            </w:r>
          </w:p>
        </w:tc>
        <w:tc>
          <w:tcPr>
            <w:tcW w:w="5670" w:type="dxa"/>
          </w:tcPr>
          <w:p w:rsidRPr="00A70CE0" w:rsidR="00BB3653" w:rsidP="00B7485A" w:rsidRDefault="00BB3653" w14:paraId="3CEE525E" w14:textId="77777777">
            <w:pPr>
              <w:spacing w:line="240" w:lineRule="auto"/>
              <w:rPr>
                <w:i/>
              </w:rPr>
            </w:pPr>
            <w:r w:rsidRPr="00A70CE0">
              <w:rPr>
                <w:i/>
              </w:rPr>
              <w:t>+32</w:t>
            </w:r>
            <w:r>
              <w:rPr>
                <w:i/>
              </w:rPr>
              <w:t> </w:t>
            </w:r>
            <w:r w:rsidRPr="00A70CE0">
              <w:rPr>
                <w:i/>
              </w:rPr>
              <w:t>25468333</w:t>
            </w:r>
          </w:p>
        </w:tc>
      </w:tr>
      <w:tr w:rsidRPr="00A70CE0" w:rsidR="00BB3653" w:rsidTr="00B7485A" w14:paraId="04501751" w14:textId="77777777">
        <w:tc>
          <w:tcPr>
            <w:tcW w:w="1418" w:type="dxa"/>
          </w:tcPr>
          <w:p w:rsidRPr="00A70CE0" w:rsidR="00BB3653" w:rsidP="00B7485A" w:rsidRDefault="00BB3653" w14:paraId="688E8E11" w14:textId="77777777">
            <w:pPr>
              <w:spacing w:line="240" w:lineRule="auto"/>
              <w:rPr>
                <w:i/>
              </w:rPr>
            </w:pPr>
            <w:r w:rsidRPr="00A70CE0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A70CE0" w:rsidR="00BB3653" w:rsidP="00B7485A" w:rsidRDefault="00BB3653" w14:paraId="3FED0E73" w14:textId="77777777">
            <w:pPr>
              <w:spacing w:line="240" w:lineRule="auto"/>
              <w:rPr>
                <w:i/>
                <w:iCs/>
              </w:rPr>
            </w:pPr>
            <w:hyperlink w:history="1" r:id="rId34">
              <w:r w:rsidRPr="00A70CE0">
                <w:rPr>
                  <w:rStyle w:val="Hyperlink"/>
                  <w:i/>
                </w:rPr>
                <w:t>Aleksandra.SarmanGrilc@eesc.europa.eu</w:t>
              </w:r>
            </w:hyperlink>
          </w:p>
        </w:tc>
      </w:tr>
    </w:tbl>
    <w:p w:rsidR="00F95EAA" w:rsidRDefault="00F95EAA" w14:paraId="7B0DAFA4" w14:textId="2A13BDE7">
      <w:pPr>
        <w:spacing w:after="160" w:line="259" w:lineRule="auto"/>
        <w:jc w:val="left"/>
        <w:rPr>
          <w:b/>
          <w:bCs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name="_Toc153539713" w:id="10"/>
      <w:bookmarkStart w:name="_Toc153547136" w:id="11"/>
      <w:r>
        <w:br w:type="page"/>
      </w:r>
    </w:p>
    <w:p w:rsidRPr="00160A67" w:rsidR="00160A67" w:rsidP="00FE2F95" w:rsidRDefault="003D6811" w14:paraId="5D209F0E" w14:textId="6417B82E">
      <w:pPr>
        <w:pStyle w:val="TOC1"/>
        <w:rPr>
          <w:rFonts w:eastAsiaTheme="minorEastAsia"/>
        </w:rPr>
      </w:pPr>
      <w:bookmarkStart w:name="_Toc172649325" w:id="12"/>
      <w:r>
        <w:rPr>
          <w:sz w:val="22"/>
        </w:rPr>
        <w:lastRenderedPageBreak/>
        <w:t>8.</w:t>
      </w:r>
      <w:r>
        <w:rPr>
          <w:sz w:val="22"/>
        </w:rPr>
        <w:tab/>
        <w:t>PORADNÁ KOMISIA PRE PRIEMYSELNÉ ZMENY</w:t>
      </w:r>
      <w:bookmarkEnd w:id="10"/>
      <w:bookmarkEnd w:id="11"/>
      <w:bookmarkEnd w:id="12"/>
    </w:p>
    <w:p w:rsidR="0018585A" w:rsidP="00520680" w:rsidRDefault="0018585A" w14:paraId="57026A6C" w14:textId="12B99797">
      <w:pPr>
        <w:overflowPunct w:val="0"/>
        <w:autoSpaceDE w:val="0"/>
        <w:autoSpaceDN w:val="0"/>
        <w:adjustRightInd w:val="0"/>
        <w:jc w:val="left"/>
        <w:textAlignment w:val="baseline"/>
      </w:pPr>
    </w:p>
    <w:p w:rsidRPr="00BB3653" w:rsidR="00BB3653" w:rsidP="00BB3653" w:rsidRDefault="00BB3653" w14:paraId="29FCC58A" w14:textId="4CDC69BC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hanging="567"/>
        <w:textAlignment w:val="baseline"/>
        <w:rPr>
          <w:i/>
          <w:iCs/>
          <w:sz w:val="28"/>
          <w:szCs w:val="28"/>
        </w:rPr>
      </w:pPr>
      <w:hyperlink w:history="1" r:id="rId35">
        <w:r w:rsidRPr="00BB3653">
          <w:rPr>
            <w:b/>
            <w:i/>
            <w:color w:val="0000FF"/>
            <w:sz w:val="28"/>
            <w:szCs w:val="20"/>
            <w:u w:val="single"/>
          </w:rPr>
          <w:t>Budovanie budúcnosti v spojení s prírodou: podpora biotechnológií a </w:t>
        </w:r>
        <w:proofErr w:type="spellStart"/>
        <w:r w:rsidRPr="00BB3653">
          <w:rPr>
            <w:b/>
            <w:i/>
            <w:color w:val="0000FF"/>
            <w:sz w:val="28"/>
            <w:szCs w:val="20"/>
            <w:u w:val="single"/>
          </w:rPr>
          <w:t>biovýroby</w:t>
        </w:r>
        <w:proofErr w:type="spellEnd"/>
        <w:r w:rsidRPr="00BB3653">
          <w:rPr>
            <w:b/>
            <w:i/>
            <w:color w:val="0000FF"/>
            <w:sz w:val="28"/>
            <w:szCs w:val="20"/>
            <w:u w:val="single"/>
          </w:rPr>
          <w:t xml:space="preserve"> v EÚ</w:t>
        </w:r>
      </w:hyperlink>
    </w:p>
    <w:p w:rsidRPr="00BB3653" w:rsidR="00BB3653" w:rsidP="00BB3653" w:rsidRDefault="00BB3653" w14:paraId="61330F3B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tbl>
      <w:tblPr>
        <w:tblStyle w:val="TableGrid211"/>
        <w:tblW w:w="343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354"/>
      </w:tblGrid>
      <w:tr w:rsidRPr="00BB3653" w:rsidR="00BB3653" w:rsidTr="00B7485A" w14:paraId="3C29862E" w14:textId="77777777">
        <w:tc>
          <w:tcPr>
            <w:tcW w:w="1591" w:type="pct"/>
          </w:tcPr>
          <w:p w:rsidRPr="00BB3653" w:rsidR="00BB3653" w:rsidP="00BB3653" w:rsidRDefault="00BB3653" w14:paraId="7EDC2AF0" w14:textId="5DB5460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BB3653">
              <w:rPr>
                <w:b/>
                <w:sz w:val="22"/>
                <w:szCs w:val="22"/>
              </w:rPr>
              <w:t>Spravodajca</w:t>
            </w:r>
            <w:r w:rsidR="0055621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409" w:type="pct"/>
          </w:tcPr>
          <w:p w:rsidRPr="00BB3653" w:rsidR="00BB3653" w:rsidP="00BB3653" w:rsidRDefault="00BB3653" w14:paraId="5F68379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BB3653">
              <w:rPr>
                <w:b/>
                <w:sz w:val="22"/>
                <w:szCs w:val="22"/>
              </w:rPr>
              <w:t>Florian</w:t>
            </w:r>
            <w:proofErr w:type="spellEnd"/>
            <w:r w:rsidRPr="00BB3653">
              <w:rPr>
                <w:b/>
                <w:sz w:val="22"/>
                <w:szCs w:val="22"/>
              </w:rPr>
              <w:t xml:space="preserve"> Marin (skupina Pracovníci – RO)</w:t>
            </w:r>
          </w:p>
        </w:tc>
      </w:tr>
      <w:tr w:rsidRPr="00BB3653" w:rsidR="00BB3653" w:rsidTr="00B7485A" w14:paraId="163A84B0" w14:textId="77777777">
        <w:tc>
          <w:tcPr>
            <w:tcW w:w="1591" w:type="pct"/>
          </w:tcPr>
          <w:p w:rsidRPr="00BB3653" w:rsidR="00BB3653" w:rsidP="00BB3653" w:rsidRDefault="00BB3653" w14:paraId="200D62E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BB3653">
              <w:rPr>
                <w:b/>
                <w:sz w:val="22"/>
                <w:szCs w:val="22"/>
              </w:rPr>
              <w:t>Spoluspravodajca:</w:t>
            </w:r>
          </w:p>
        </w:tc>
        <w:tc>
          <w:tcPr>
            <w:tcW w:w="3409" w:type="pct"/>
          </w:tcPr>
          <w:p w:rsidRPr="00BB3653" w:rsidR="00BB3653" w:rsidP="00BB3653" w:rsidRDefault="00BB3653" w14:paraId="3C975F9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BB3653">
              <w:rPr>
                <w:b/>
                <w:sz w:val="22"/>
                <w:szCs w:val="22"/>
              </w:rPr>
              <w:t>Antonello</w:t>
            </w:r>
            <w:proofErr w:type="spellEnd"/>
            <w:r w:rsidRPr="00BB36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B3653">
              <w:rPr>
                <w:b/>
                <w:sz w:val="22"/>
                <w:szCs w:val="22"/>
              </w:rPr>
              <w:t>Pezzini</w:t>
            </w:r>
            <w:proofErr w:type="spellEnd"/>
            <w:r w:rsidRPr="00BB3653">
              <w:rPr>
                <w:b/>
                <w:sz w:val="22"/>
                <w:szCs w:val="22"/>
              </w:rPr>
              <w:t xml:space="preserve"> (IT – kat. 1)</w:t>
            </w:r>
          </w:p>
        </w:tc>
      </w:tr>
      <w:tr w:rsidRPr="00BB3653" w:rsidR="00BB3653" w:rsidTr="00B7485A" w14:paraId="6B0A2235" w14:textId="77777777">
        <w:tc>
          <w:tcPr>
            <w:tcW w:w="5000" w:type="pct"/>
            <w:gridSpan w:val="2"/>
          </w:tcPr>
          <w:p w:rsidRPr="00BB3653" w:rsidR="00BB3653" w:rsidP="00BB3653" w:rsidRDefault="00BB3653" w14:paraId="5E01183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BB3653" w:rsidR="00BB3653" w:rsidTr="00B7485A" w14:paraId="282654D7" w14:textId="77777777">
        <w:tc>
          <w:tcPr>
            <w:tcW w:w="1591" w:type="pct"/>
            <w:vMerge w:val="restart"/>
          </w:tcPr>
          <w:p w:rsidRPr="00BB3653" w:rsidR="00BB3653" w:rsidP="00BB3653" w:rsidRDefault="00BB3653" w14:paraId="7ECF489B" w14:textId="0E4C0D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BB3653">
              <w:rPr>
                <w:b/>
                <w:sz w:val="22"/>
                <w:szCs w:val="22"/>
              </w:rPr>
              <w:t>Referenčný dokument</w:t>
            </w:r>
            <w:r w:rsidR="0055621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409" w:type="pct"/>
          </w:tcPr>
          <w:p w:rsidRPr="00BB3653" w:rsidR="00BB3653" w:rsidP="00BB3653" w:rsidRDefault="00BB3653" w14:paraId="71215E2A" w14:textId="4826F2E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BB3653" w:rsidR="00BB3653" w:rsidTr="00B7485A" w14:paraId="363A5F57" w14:textId="77777777">
        <w:tc>
          <w:tcPr>
            <w:tcW w:w="1591" w:type="pct"/>
            <w:vMerge/>
          </w:tcPr>
          <w:p w:rsidRPr="00BB3653" w:rsidR="00BB3653" w:rsidP="00BB3653" w:rsidRDefault="00BB3653" w14:paraId="61917F0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409" w:type="pct"/>
          </w:tcPr>
          <w:p w:rsidRPr="00BB3653" w:rsidR="00BB3653" w:rsidP="00BB3653" w:rsidRDefault="00556213" w14:paraId="25C29E29" w14:textId="1941D1D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BB3653">
              <w:rPr>
                <w:sz w:val="22"/>
                <w:szCs w:val="22"/>
              </w:rPr>
              <w:t>EESC-2024-00997-00-00-AS-TRA</w:t>
            </w:r>
          </w:p>
        </w:tc>
      </w:tr>
    </w:tbl>
    <w:p w:rsidRPr="00BB3653" w:rsidR="00BB3653" w:rsidP="00BB3653" w:rsidRDefault="00BB3653" w14:paraId="78685B47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BB3653" w:rsidR="00BB3653" w:rsidP="00BB3653" w:rsidRDefault="00BB3653" w14:paraId="5682A85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BB3653">
        <w:rPr>
          <w:b/>
          <w:szCs w:val="20"/>
        </w:rPr>
        <w:t>Hlavné body</w:t>
      </w:r>
    </w:p>
    <w:p w:rsidRPr="00BB3653" w:rsidR="00BB3653" w:rsidP="00BB3653" w:rsidRDefault="00BB3653" w14:paraId="6D8184B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BB3653" w:rsidR="00BB3653" w:rsidP="00BB3653" w:rsidRDefault="00BB3653" w14:paraId="1CCE7D7D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BB3653">
        <w:rPr>
          <w:szCs w:val="20"/>
        </w:rPr>
        <w:t>EHSV:</w:t>
      </w:r>
    </w:p>
    <w:p w:rsidRPr="00BB3653" w:rsidR="00BB3653" w:rsidP="00BB3653" w:rsidRDefault="00BB3653" w14:paraId="38B0DFAE" w14:textId="77777777">
      <w:pPr>
        <w:overflowPunct w:val="0"/>
        <w:autoSpaceDE w:val="0"/>
        <w:autoSpaceDN w:val="0"/>
        <w:adjustRightInd w:val="0"/>
        <w:ind w:left="567" w:hanging="567"/>
        <w:textAlignment w:val="baseline"/>
      </w:pPr>
    </w:p>
    <w:p w:rsidRPr="00BB3653" w:rsidR="00BB3653" w:rsidP="00BB3653" w:rsidRDefault="00BB3653" w14:paraId="7481E3AF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709" w:hanging="425"/>
        <w:textAlignment w:val="baseline"/>
        <w:rPr>
          <w:bCs/>
          <w:iCs/>
        </w:rPr>
      </w:pPr>
      <w:r w:rsidRPr="00BB3653">
        <w:rPr>
          <w:szCs w:val="20"/>
        </w:rPr>
        <w:t xml:space="preserve">vyjadruje sklamanie nad skutočnosťou, že EÚ ešte nevypracovala </w:t>
      </w:r>
      <w:r w:rsidRPr="00BB3653">
        <w:rPr>
          <w:b/>
          <w:szCs w:val="20"/>
        </w:rPr>
        <w:t xml:space="preserve">stratégiu pre </w:t>
      </w:r>
      <w:proofErr w:type="spellStart"/>
      <w:r w:rsidRPr="00BB3653">
        <w:rPr>
          <w:b/>
          <w:szCs w:val="20"/>
        </w:rPr>
        <w:t>biohospodárstvo</w:t>
      </w:r>
      <w:proofErr w:type="spellEnd"/>
      <w:r w:rsidRPr="00BB3653">
        <w:rPr>
          <w:szCs w:val="20"/>
        </w:rPr>
        <w:t xml:space="preserve"> ani</w:t>
      </w:r>
      <w:r w:rsidRPr="00BB3653">
        <w:rPr>
          <w:b/>
          <w:szCs w:val="20"/>
        </w:rPr>
        <w:t xml:space="preserve"> akt o biotechnológiách</w:t>
      </w:r>
      <w:r w:rsidRPr="00BB3653">
        <w:rPr>
          <w:szCs w:val="20"/>
        </w:rPr>
        <w:t>, a domnieva sa, že takéto právne predpisy sú vzhľadom na globálnu situáciu naliehavo potrebné;</w:t>
      </w:r>
    </w:p>
    <w:p w:rsidRPr="00BB3653" w:rsidR="00BB3653" w:rsidP="00BB3653" w:rsidRDefault="00BB3653" w14:paraId="3608A9BC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709" w:hanging="425"/>
        <w:textAlignment w:val="baseline"/>
        <w:rPr>
          <w:bCs/>
          <w:iCs/>
        </w:rPr>
      </w:pPr>
      <w:r w:rsidRPr="00BB3653">
        <w:rPr>
          <w:szCs w:val="20"/>
        </w:rPr>
        <w:t xml:space="preserve">navrhuje, aby </w:t>
      </w:r>
      <w:r w:rsidRPr="00BB3653">
        <w:rPr>
          <w:b/>
          <w:szCs w:val="20"/>
        </w:rPr>
        <w:t xml:space="preserve">stratégia EÚ pre </w:t>
      </w:r>
      <w:proofErr w:type="spellStart"/>
      <w:r w:rsidRPr="00BB3653">
        <w:rPr>
          <w:b/>
          <w:szCs w:val="20"/>
        </w:rPr>
        <w:t>biohospodárstvo</w:t>
      </w:r>
      <w:proofErr w:type="spellEnd"/>
      <w:r w:rsidRPr="00BB3653">
        <w:rPr>
          <w:szCs w:val="20"/>
        </w:rPr>
        <w:t xml:space="preserve"> </w:t>
      </w:r>
      <w:r w:rsidRPr="00BB3653">
        <w:rPr>
          <w:b/>
          <w:szCs w:val="20"/>
        </w:rPr>
        <w:t>spočívala na integrovanom sektorovom prístupe</w:t>
      </w:r>
      <w:r w:rsidRPr="00BB3653">
        <w:rPr>
          <w:szCs w:val="20"/>
        </w:rPr>
        <w:t xml:space="preserve"> s konkrétnymi cieľmi vrátane výskumného programu na nasledujúcich desať rokov, zoznamu zručností a jasnej úlohy občianskej spoločnosti;</w:t>
      </w:r>
    </w:p>
    <w:p w:rsidRPr="00BB3653" w:rsidR="00BB3653" w:rsidP="00BB3653" w:rsidRDefault="00BB3653" w14:paraId="05646033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709" w:hanging="425"/>
        <w:textAlignment w:val="baseline"/>
        <w:rPr>
          <w:bCs/>
          <w:iCs/>
        </w:rPr>
      </w:pPr>
      <w:r w:rsidRPr="00BB3653">
        <w:rPr>
          <w:szCs w:val="20"/>
        </w:rPr>
        <w:t xml:space="preserve">sa domnieva, že by sa mal zvážiť </w:t>
      </w:r>
      <w:r w:rsidRPr="00BB3653">
        <w:rPr>
          <w:b/>
          <w:szCs w:val="20"/>
        </w:rPr>
        <w:t>etický kódex pre podniky EÚ a výrobky uvádzané na trh EÚ</w:t>
      </w:r>
      <w:r w:rsidRPr="00BB3653">
        <w:rPr>
          <w:szCs w:val="20"/>
        </w:rPr>
        <w:t>, ktorý by sa presadzoval na celosvetovej úrovni;</w:t>
      </w:r>
    </w:p>
    <w:p w:rsidRPr="00BB3653" w:rsidR="00BB3653" w:rsidP="00BB3653" w:rsidRDefault="00BB3653" w14:paraId="76CB4244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709" w:hanging="425"/>
        <w:textAlignment w:val="baseline"/>
        <w:rPr>
          <w:bCs/>
          <w:iCs/>
        </w:rPr>
      </w:pPr>
      <w:r w:rsidRPr="00BB3653">
        <w:rPr>
          <w:szCs w:val="20"/>
        </w:rPr>
        <w:t xml:space="preserve">vyjadruje názor, že sú potrebné </w:t>
      </w:r>
      <w:r w:rsidRPr="00BB3653">
        <w:rPr>
          <w:b/>
          <w:szCs w:val="20"/>
        </w:rPr>
        <w:t>osobitné opatrenia</w:t>
      </w:r>
      <w:r w:rsidRPr="00BB3653">
        <w:rPr>
          <w:szCs w:val="20"/>
        </w:rPr>
        <w:t xml:space="preserve"> na </w:t>
      </w:r>
      <w:r w:rsidRPr="00BB3653">
        <w:rPr>
          <w:b/>
          <w:szCs w:val="20"/>
        </w:rPr>
        <w:t>rozvoj kompetencií</w:t>
      </w:r>
      <w:r w:rsidRPr="00BB3653">
        <w:rPr>
          <w:szCs w:val="20"/>
        </w:rPr>
        <w:t xml:space="preserve"> a </w:t>
      </w:r>
      <w:r w:rsidRPr="00BB3653">
        <w:rPr>
          <w:b/>
          <w:szCs w:val="20"/>
        </w:rPr>
        <w:t>upevnenie synergií</w:t>
      </w:r>
      <w:r w:rsidRPr="00BB3653">
        <w:rPr>
          <w:szCs w:val="20"/>
        </w:rPr>
        <w:t xml:space="preserve"> medzi požiadavkami na zručnosti v oblasti biotechnológií a potrebami </w:t>
      </w:r>
      <w:proofErr w:type="spellStart"/>
      <w:r w:rsidRPr="00BB3653">
        <w:rPr>
          <w:szCs w:val="20"/>
        </w:rPr>
        <w:t>biovýroby</w:t>
      </w:r>
      <w:proofErr w:type="spellEnd"/>
      <w:r w:rsidRPr="00BB3653">
        <w:rPr>
          <w:szCs w:val="20"/>
        </w:rPr>
        <w:t>;</w:t>
      </w:r>
    </w:p>
    <w:p w:rsidRPr="00BB3653" w:rsidR="00BB3653" w:rsidP="00BB3653" w:rsidRDefault="00BB3653" w14:paraId="6EBA1E51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709" w:hanging="425"/>
        <w:textAlignment w:val="baseline"/>
        <w:rPr>
          <w:bCs/>
          <w:iCs/>
        </w:rPr>
      </w:pPr>
      <w:r w:rsidRPr="00BB3653">
        <w:rPr>
          <w:szCs w:val="20"/>
        </w:rPr>
        <w:t>navrhuje, aby rozvoj biotechnológií a </w:t>
      </w:r>
      <w:proofErr w:type="spellStart"/>
      <w:r w:rsidRPr="00BB3653">
        <w:rPr>
          <w:szCs w:val="20"/>
        </w:rPr>
        <w:t>biovýroby</w:t>
      </w:r>
      <w:proofErr w:type="spellEnd"/>
      <w:r w:rsidRPr="00BB3653">
        <w:rPr>
          <w:szCs w:val="20"/>
        </w:rPr>
        <w:t xml:space="preserve"> v EÚ zahŕňal </w:t>
      </w:r>
      <w:r w:rsidRPr="00BB3653">
        <w:rPr>
          <w:b/>
          <w:szCs w:val="20"/>
        </w:rPr>
        <w:t xml:space="preserve">sektorové ukazovatele, verejno-súkromné partnerstvá, </w:t>
      </w:r>
      <w:proofErr w:type="spellStart"/>
      <w:r w:rsidRPr="00BB3653">
        <w:rPr>
          <w:b/>
          <w:szCs w:val="20"/>
        </w:rPr>
        <w:t>medzisektorový</w:t>
      </w:r>
      <w:proofErr w:type="spellEnd"/>
      <w:r w:rsidRPr="00BB3653">
        <w:rPr>
          <w:b/>
          <w:szCs w:val="20"/>
        </w:rPr>
        <w:t xml:space="preserve"> výskumný systém, databázu so zoznamom potenciálnych investorov, rýchlejšie a menej byrokratické postupy udeľovania povolení a licencií, dokonalý súlad s cieľmi udržateľného rozvoja a navrhovanou modrou dohodou</w:t>
      </w:r>
      <w:r w:rsidRPr="00BB3653">
        <w:rPr>
          <w:szCs w:val="20"/>
        </w:rPr>
        <w:t xml:space="preserve">, špecializované a harmonizované </w:t>
      </w:r>
      <w:r w:rsidRPr="00BB3653">
        <w:rPr>
          <w:b/>
          <w:szCs w:val="20"/>
        </w:rPr>
        <w:t>európske a svetové normy</w:t>
      </w:r>
      <w:r w:rsidRPr="00BB3653">
        <w:rPr>
          <w:szCs w:val="20"/>
        </w:rPr>
        <w:t xml:space="preserve">, opatrenia na zvýšenie </w:t>
      </w:r>
      <w:r w:rsidRPr="00BB3653">
        <w:rPr>
          <w:b/>
          <w:szCs w:val="20"/>
        </w:rPr>
        <w:t>podpory a dôvery verejnosti a osvety</w:t>
      </w:r>
      <w:r w:rsidRPr="00BB3653">
        <w:rPr>
          <w:szCs w:val="20"/>
        </w:rPr>
        <w:t xml:space="preserve"> a </w:t>
      </w:r>
      <w:r w:rsidRPr="00BB3653">
        <w:rPr>
          <w:b/>
          <w:szCs w:val="20"/>
        </w:rPr>
        <w:t>jasnejšie rozlíšenie vnútroštátnych a spoločných právomocí</w:t>
      </w:r>
      <w:r w:rsidRPr="00BB3653">
        <w:rPr>
          <w:szCs w:val="20"/>
        </w:rPr>
        <w:t>;</w:t>
      </w:r>
    </w:p>
    <w:p w:rsidRPr="00BB3653" w:rsidR="00BB3653" w:rsidP="00BB3653" w:rsidRDefault="00BB3653" w14:paraId="7529EDC0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709" w:hanging="425"/>
        <w:textAlignment w:val="baseline"/>
        <w:rPr>
          <w:bCs/>
          <w:iCs/>
        </w:rPr>
      </w:pPr>
      <w:r w:rsidRPr="00BB3653">
        <w:rPr>
          <w:szCs w:val="20"/>
        </w:rPr>
        <w:t xml:space="preserve">navrhuje, aby sa </w:t>
      </w:r>
      <w:r w:rsidRPr="00BB3653">
        <w:rPr>
          <w:b/>
          <w:szCs w:val="20"/>
        </w:rPr>
        <w:t>biotechnológie a </w:t>
      </w:r>
      <w:proofErr w:type="spellStart"/>
      <w:r w:rsidRPr="00BB3653">
        <w:rPr>
          <w:b/>
          <w:szCs w:val="20"/>
        </w:rPr>
        <w:t>biovýroba</w:t>
      </w:r>
      <w:proofErr w:type="spellEnd"/>
      <w:r w:rsidRPr="00BB3653">
        <w:rPr>
          <w:b/>
          <w:szCs w:val="20"/>
        </w:rPr>
        <w:t xml:space="preserve"> v EÚ financovali</w:t>
      </w:r>
      <w:r w:rsidRPr="00BB3653">
        <w:rPr>
          <w:szCs w:val="20"/>
        </w:rPr>
        <w:t xml:space="preserve"> s náležitým ohľadom na </w:t>
      </w:r>
      <w:r w:rsidRPr="00BB3653">
        <w:rPr>
          <w:b/>
          <w:szCs w:val="20"/>
        </w:rPr>
        <w:t>prístup k Mechanizmu na podporu obnovy a odolnosti, Platforme strategických technológií pre Európu (STEP), Európskej investičnej banke (EIB) a politike súdržnosti založený na synergiách</w:t>
      </w:r>
      <w:r w:rsidRPr="00BB3653">
        <w:rPr>
          <w:szCs w:val="20"/>
        </w:rPr>
        <w:t xml:space="preserve">; sa domnieva, že časť finančných prostriedkov získaných prostredníctvom </w:t>
      </w:r>
      <w:r w:rsidRPr="00BB3653">
        <w:rPr>
          <w:b/>
          <w:szCs w:val="20"/>
        </w:rPr>
        <w:t>environmentálneho zdanenia</w:t>
      </w:r>
      <w:r w:rsidRPr="00BB3653">
        <w:rPr>
          <w:szCs w:val="20"/>
        </w:rPr>
        <w:t xml:space="preserve"> by sa mala </w:t>
      </w:r>
      <w:r w:rsidRPr="00BB3653">
        <w:rPr>
          <w:b/>
          <w:szCs w:val="20"/>
        </w:rPr>
        <w:t>presmerovať na financovanie produktov zelenej biotechnológie</w:t>
      </w:r>
      <w:r w:rsidRPr="00BB3653">
        <w:rPr>
          <w:szCs w:val="20"/>
        </w:rPr>
        <w:t xml:space="preserve"> a že by sa mali využívať</w:t>
      </w:r>
      <w:r w:rsidRPr="00BB3653">
        <w:rPr>
          <w:b/>
          <w:szCs w:val="20"/>
        </w:rPr>
        <w:t xml:space="preserve"> rôzne a kombinované finančné zdroje a fondy</w:t>
      </w:r>
      <w:r w:rsidRPr="00BB3653">
        <w:rPr>
          <w:szCs w:val="20"/>
        </w:rPr>
        <w:t>, ako sú pôžičky, rizikový kapitál a verejné fondy.</w:t>
      </w:r>
    </w:p>
    <w:p w:rsidRPr="00BB3653" w:rsidR="00BB3653" w:rsidP="00BB3653" w:rsidRDefault="00BB3653" w14:paraId="6492E758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tbl>
      <w:tblPr>
        <w:tblStyle w:val="TableGrid211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BB3653" w:rsidR="00BB3653" w:rsidTr="00B7485A" w14:paraId="1DFFB71E" w14:textId="77777777">
        <w:tc>
          <w:tcPr>
            <w:tcW w:w="1556" w:type="pct"/>
          </w:tcPr>
          <w:p w:rsidRPr="00BB3653" w:rsidR="00BB3653" w:rsidP="00BB3653" w:rsidRDefault="00BB3653" w14:paraId="72C1F9E6" w14:textId="71F9F15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BB3653">
              <w:rPr>
                <w:b/>
                <w:i/>
                <w:sz w:val="22"/>
                <w:szCs w:val="22"/>
              </w:rPr>
              <w:t>Kontakt</w:t>
            </w:r>
            <w:r w:rsidR="00CF6A1D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3444" w:type="pct"/>
          </w:tcPr>
          <w:p w:rsidRPr="00BB3653" w:rsidR="00BB3653" w:rsidP="00BB3653" w:rsidRDefault="00BB3653" w14:paraId="169CF214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BB3653">
              <w:rPr>
                <w:b/>
                <w:i/>
                <w:sz w:val="22"/>
                <w:szCs w:val="22"/>
              </w:rPr>
              <w:t>Marie-Laurence</w:t>
            </w:r>
            <w:proofErr w:type="spellEnd"/>
            <w:r w:rsidRPr="00BB365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B3653">
              <w:rPr>
                <w:b/>
                <w:i/>
                <w:sz w:val="22"/>
                <w:szCs w:val="22"/>
              </w:rPr>
              <w:t>Drillon</w:t>
            </w:r>
            <w:proofErr w:type="spellEnd"/>
          </w:p>
        </w:tc>
      </w:tr>
      <w:tr w:rsidRPr="00BB3653" w:rsidR="00BB3653" w:rsidTr="00B7485A" w14:paraId="402802C3" w14:textId="77777777">
        <w:tc>
          <w:tcPr>
            <w:tcW w:w="1556" w:type="pct"/>
          </w:tcPr>
          <w:p w:rsidRPr="00BB3653" w:rsidR="00BB3653" w:rsidP="00BB3653" w:rsidRDefault="00BB3653" w14:paraId="7620C92B" w14:textId="1CAD404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BB3653">
              <w:rPr>
                <w:i/>
                <w:sz w:val="22"/>
                <w:szCs w:val="22"/>
              </w:rPr>
              <w:t>Tel.</w:t>
            </w:r>
            <w:r w:rsidR="00CF6A1D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3444" w:type="pct"/>
          </w:tcPr>
          <w:p w:rsidRPr="00BB3653" w:rsidR="00BB3653" w:rsidP="00BB3653" w:rsidRDefault="00BB3653" w14:paraId="62D27D91" w14:textId="37C40391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BB3653">
              <w:rPr>
                <w:i/>
                <w:sz w:val="22"/>
                <w:szCs w:val="22"/>
              </w:rPr>
              <w:t>+32 25468320</w:t>
            </w:r>
          </w:p>
        </w:tc>
      </w:tr>
      <w:tr w:rsidRPr="00BB3653" w:rsidR="00BB3653" w:rsidTr="00B7485A" w14:paraId="5FAE3D5F" w14:textId="77777777">
        <w:tc>
          <w:tcPr>
            <w:tcW w:w="1556" w:type="pct"/>
          </w:tcPr>
          <w:p w:rsidRPr="00BB3653" w:rsidR="00BB3653" w:rsidP="00BB3653" w:rsidRDefault="00BB3653" w14:paraId="59FEB992" w14:textId="3D887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BB3653">
              <w:rPr>
                <w:i/>
                <w:sz w:val="22"/>
                <w:szCs w:val="22"/>
              </w:rPr>
              <w:t>E-mail</w:t>
            </w:r>
            <w:r w:rsidR="00CF6A1D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3444" w:type="pct"/>
          </w:tcPr>
          <w:p w:rsidRPr="00BB3653" w:rsidR="00BB3653" w:rsidP="00BB3653" w:rsidRDefault="00BB3653" w14:paraId="1C2201D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hyperlink w:history="1" r:id="rId36">
              <w:r w:rsidRPr="00BB3653">
                <w:rPr>
                  <w:i/>
                  <w:color w:val="0000FF"/>
                  <w:sz w:val="22"/>
                  <w:szCs w:val="22"/>
                  <w:u w:val="single"/>
                </w:rPr>
                <w:t>Marie-Laurence.Drillon@eesc.europa.eu</w:t>
              </w:r>
            </w:hyperlink>
          </w:p>
        </w:tc>
      </w:tr>
    </w:tbl>
    <w:p w:rsidR="00D742A4" w:rsidRDefault="00D742A4" w14:paraId="6193E08C" w14:textId="77777777">
      <w:pPr>
        <w:spacing w:after="160" w:line="259" w:lineRule="auto"/>
        <w:jc w:val="left"/>
        <w:rPr>
          <w:rFonts w:eastAsiaTheme="minorHAnsi"/>
          <w:b/>
          <w:bCs/>
          <w:i/>
          <w:iCs/>
          <w:sz w:val="28"/>
          <w:szCs w:val="28"/>
        </w:rPr>
      </w:pPr>
      <w:r>
        <w:br w:type="page"/>
      </w:r>
    </w:p>
    <w:p w:rsidRPr="0035262C" w:rsidR="00BB3653" w:rsidP="00CF6A1D" w:rsidRDefault="00BB3653" w14:paraId="3D871CB9" w14:textId="7871F7F4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i/>
          <w:iCs/>
          <w:sz w:val="28"/>
          <w:szCs w:val="28"/>
        </w:rPr>
      </w:pPr>
      <w:hyperlink w:history="1" r:id="rId37">
        <w:proofErr w:type="spellStart"/>
        <w:r w:rsidRPr="0035262C">
          <w:rPr>
            <w:rStyle w:val="Hyperlink"/>
            <w:b/>
            <w:i/>
            <w:sz w:val="28"/>
          </w:rPr>
          <w:t>Nízkouhlíkové</w:t>
        </w:r>
        <w:proofErr w:type="spellEnd"/>
        <w:r>
          <w:rPr>
            <w:rStyle w:val="Hyperlink"/>
            <w:b/>
            <w:i/>
            <w:sz w:val="28"/>
          </w:rPr>
          <w:t xml:space="preserve"> a </w:t>
        </w:r>
        <w:r w:rsidRPr="0035262C">
          <w:rPr>
            <w:rStyle w:val="Hyperlink"/>
            <w:b/>
            <w:i/>
            <w:sz w:val="28"/>
          </w:rPr>
          <w:t>obnoviteľné palivá</w:t>
        </w:r>
      </w:hyperlink>
    </w:p>
    <w:p w:rsidRPr="00CF6A1D" w:rsidR="00BB3653" w:rsidP="00BB3653" w:rsidRDefault="00BB3653" w14:paraId="0365A7BF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Pr="0035262C" w:rsidR="00BB3653" w:rsidP="00BB3653" w:rsidRDefault="00BB3653" w14:paraId="6DE10940" w14:textId="77777777">
      <w:pPr>
        <w:widowControl w:val="0"/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35262C">
        <w:rPr>
          <w:b/>
        </w:rPr>
        <w:t xml:space="preserve">Spravodajca: </w:t>
      </w:r>
      <w:r w:rsidRPr="0035262C">
        <w:rPr>
          <w:b/>
        </w:rPr>
        <w:tab/>
      </w:r>
      <w:proofErr w:type="spellStart"/>
      <w:r w:rsidRPr="0035262C">
        <w:rPr>
          <w:b/>
        </w:rPr>
        <w:t>Anastasis</w:t>
      </w:r>
      <w:proofErr w:type="spellEnd"/>
      <w:r w:rsidRPr="0035262C">
        <w:rPr>
          <w:b/>
        </w:rPr>
        <w:t xml:space="preserve"> YIAPANIS (skupina Organizácie občianskej spoločnosti</w:t>
      </w:r>
      <w:r>
        <w:rPr>
          <w:b/>
        </w:rPr>
        <w:t> </w:t>
      </w:r>
      <w:r w:rsidRPr="0035262C">
        <w:rPr>
          <w:b/>
        </w:rPr>
        <w:t>–</w:t>
      </w:r>
      <w:r>
        <w:rPr>
          <w:b/>
        </w:rPr>
        <w:t> </w:t>
      </w:r>
      <w:r w:rsidRPr="0035262C">
        <w:rPr>
          <w:b/>
        </w:rPr>
        <w:t>CY)</w:t>
      </w:r>
    </w:p>
    <w:p w:rsidRPr="00CF6A1D" w:rsidR="00BB3653" w:rsidP="00BB3653" w:rsidRDefault="00BB3653" w14:paraId="6D2CC54C" w14:textId="77777777">
      <w:pPr>
        <w:widowControl w:val="0"/>
        <w:tabs>
          <w:tab w:val="left" w:pos="1843"/>
        </w:tabs>
        <w:overflowPunct w:val="0"/>
        <w:autoSpaceDE w:val="0"/>
        <w:autoSpaceDN w:val="0"/>
        <w:adjustRightInd w:val="0"/>
        <w:textAlignment w:val="baseline"/>
      </w:pPr>
    </w:p>
    <w:p w:rsidRPr="0035262C" w:rsidR="00BB3653" w:rsidP="00BB3653" w:rsidRDefault="00BB3653" w14:paraId="6999E7EC" w14:textId="77777777">
      <w:pPr>
        <w:widowControl w:val="0"/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35262C">
        <w:rPr>
          <w:b/>
        </w:rPr>
        <w:t>Spoluspravodajca:</w:t>
      </w:r>
      <w:r w:rsidRPr="0035262C">
        <w:rPr>
          <w:b/>
        </w:rPr>
        <w:tab/>
      </w:r>
      <w:proofErr w:type="spellStart"/>
      <w:r w:rsidRPr="0035262C">
        <w:rPr>
          <w:b/>
        </w:rPr>
        <w:t>Franck</w:t>
      </w:r>
      <w:proofErr w:type="spellEnd"/>
      <w:r w:rsidRPr="0035262C">
        <w:rPr>
          <w:b/>
        </w:rPr>
        <w:t xml:space="preserve"> UHLIG (kat.</w:t>
      </w:r>
      <w:r>
        <w:rPr>
          <w:b/>
        </w:rPr>
        <w:t> </w:t>
      </w:r>
      <w:r w:rsidRPr="0035262C">
        <w:rPr>
          <w:b/>
        </w:rPr>
        <w:t>2</w:t>
      </w:r>
      <w:r>
        <w:rPr>
          <w:b/>
        </w:rPr>
        <w:t> </w:t>
      </w:r>
      <w:r w:rsidRPr="0035262C">
        <w:rPr>
          <w:b/>
        </w:rPr>
        <w:t>–</w:t>
      </w:r>
      <w:r>
        <w:rPr>
          <w:b/>
        </w:rPr>
        <w:t> </w:t>
      </w:r>
      <w:r w:rsidRPr="0035262C">
        <w:rPr>
          <w:b/>
        </w:rPr>
        <w:t>FR)</w:t>
      </w:r>
    </w:p>
    <w:p w:rsidRPr="00CF6A1D" w:rsidR="00BB3653" w:rsidP="00BB3653" w:rsidRDefault="00BB3653" w14:paraId="5063378D" w14:textId="77777777">
      <w:pPr>
        <w:widowControl w:val="0"/>
        <w:tabs>
          <w:tab w:val="left" w:pos="1843"/>
        </w:tabs>
        <w:overflowPunct w:val="0"/>
        <w:autoSpaceDE w:val="0"/>
        <w:autoSpaceDN w:val="0"/>
        <w:adjustRightInd w:val="0"/>
        <w:textAlignment w:val="baseline"/>
      </w:pPr>
    </w:p>
    <w:p w:rsidRPr="0035262C" w:rsidR="00BB3653" w:rsidP="00BB3653" w:rsidRDefault="00BB3653" w14:paraId="09570EDE" w14:textId="77777777">
      <w:pPr>
        <w:widowControl w:val="0"/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proofErr w:type="spellStart"/>
      <w:r w:rsidRPr="0035262C">
        <w:rPr>
          <w:b/>
        </w:rPr>
        <w:t>Ref</w:t>
      </w:r>
      <w:proofErr w:type="spellEnd"/>
      <w:r w:rsidRPr="0035262C">
        <w:rPr>
          <w:b/>
        </w:rPr>
        <w:t>.:</w:t>
      </w:r>
      <w:r w:rsidRPr="0035262C">
        <w:rPr>
          <w:b/>
        </w:rPr>
        <w:tab/>
      </w:r>
      <w:r w:rsidRPr="0035262C">
        <w:t>stanovisko</w:t>
      </w:r>
      <w:r>
        <w:t xml:space="preserve"> z </w:t>
      </w:r>
      <w:r w:rsidRPr="0035262C">
        <w:t>vlastnej iniciatívy</w:t>
      </w:r>
    </w:p>
    <w:p w:rsidRPr="0035262C" w:rsidR="00BB3653" w:rsidP="00BB3653" w:rsidRDefault="00BB3653" w14:paraId="6BE20AAD" w14:textId="77777777">
      <w:pPr>
        <w:widowControl w:val="0"/>
        <w:tabs>
          <w:tab w:val="left" w:pos="1843"/>
        </w:tabs>
        <w:overflowPunct w:val="0"/>
        <w:autoSpaceDE w:val="0"/>
        <w:autoSpaceDN w:val="0"/>
        <w:adjustRightInd w:val="0"/>
        <w:textAlignment w:val="baseline"/>
      </w:pPr>
      <w:r w:rsidRPr="0035262C">
        <w:rPr>
          <w:b/>
        </w:rPr>
        <w:tab/>
      </w:r>
      <w:r w:rsidRPr="0035262C">
        <w:t>EESC-2024-00735-00-00-AC</w:t>
      </w:r>
    </w:p>
    <w:p w:rsidRPr="00CF6A1D" w:rsidR="00BB3653" w:rsidP="00BB3653" w:rsidRDefault="00BB3653" w14:paraId="59C0793F" w14:textId="77777777">
      <w:pPr>
        <w:widowControl w:val="0"/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BB3653" w:rsidP="00BB3653" w:rsidRDefault="00BB3653" w14:paraId="47F83D07" w14:textId="5440B8FE">
      <w:pPr>
        <w:keepNext/>
        <w:keepLines/>
        <w:ind w:left="142" w:hanging="142"/>
        <w:rPr>
          <w:b/>
        </w:rPr>
      </w:pPr>
      <w:r w:rsidRPr="0035262C">
        <w:rPr>
          <w:b/>
        </w:rPr>
        <w:t>Hlavné body</w:t>
      </w:r>
    </w:p>
    <w:p w:rsidRPr="00CF6A1D" w:rsidR="00CF6A1D" w:rsidP="00BB3653" w:rsidRDefault="00CF6A1D" w14:paraId="5205CFAC" w14:textId="77777777">
      <w:pPr>
        <w:keepNext/>
        <w:keepLines/>
        <w:ind w:left="142" w:hanging="142"/>
        <w:rPr>
          <w:bCs/>
        </w:rPr>
      </w:pPr>
    </w:p>
    <w:p w:rsidRPr="0035262C" w:rsidR="00BB3653" w:rsidP="00BB3653" w:rsidRDefault="00BB3653" w14:paraId="194A18E7" w14:textId="77777777">
      <w:r w:rsidRPr="0035262C">
        <w:t>EHSV:</w:t>
      </w:r>
    </w:p>
    <w:p w:rsidR="00BB3653" w:rsidP="00BB3653" w:rsidRDefault="00BB3653" w14:paraId="4AAA03D9" w14:textId="77777777">
      <w:pPr>
        <w:pStyle w:val="ListParagraph"/>
        <w:numPr>
          <w:ilvl w:val="0"/>
          <w:numId w:val="14"/>
        </w:numPr>
        <w:spacing w:after="160" w:line="259" w:lineRule="auto"/>
      </w:pPr>
      <w:r w:rsidRPr="0035262C">
        <w:t xml:space="preserve">poukazuje na </w:t>
      </w:r>
      <w:r w:rsidRPr="0035262C">
        <w:rPr>
          <w:b/>
        </w:rPr>
        <w:t>nedostatok stimulov</w:t>
      </w:r>
      <w:r w:rsidRPr="0035262C">
        <w:t xml:space="preserve"> na rozvoj projektov na výrobu udržateľných</w:t>
      </w:r>
      <w:r>
        <w:t xml:space="preserve"> a </w:t>
      </w:r>
      <w:proofErr w:type="spellStart"/>
      <w:r w:rsidRPr="0035262C">
        <w:t>nízkouhlíkových</w:t>
      </w:r>
      <w:proofErr w:type="spellEnd"/>
      <w:r w:rsidRPr="0035262C">
        <w:t xml:space="preserve"> palív. Konštatuje, že </w:t>
      </w:r>
      <w:r w:rsidRPr="0035262C">
        <w:rPr>
          <w:b/>
        </w:rPr>
        <w:t>vysoké výrobné náklady</w:t>
      </w:r>
      <w:r>
        <w:rPr>
          <w:b/>
        </w:rPr>
        <w:t xml:space="preserve"> a </w:t>
      </w:r>
      <w:r w:rsidRPr="0035262C">
        <w:rPr>
          <w:b/>
        </w:rPr>
        <w:t>neistota, pokiaľ ide</w:t>
      </w:r>
      <w:r>
        <w:rPr>
          <w:b/>
        </w:rPr>
        <w:t xml:space="preserve"> o </w:t>
      </w:r>
      <w:r w:rsidRPr="0035262C">
        <w:rPr>
          <w:b/>
        </w:rPr>
        <w:t>dostupnosť udržateľných palív</w:t>
      </w:r>
      <w:r w:rsidRPr="0035262C">
        <w:t>, zostávajú závažnými prekážkami ich rozsiahleho využívania</w:t>
      </w:r>
      <w:r>
        <w:t>;</w:t>
      </w:r>
    </w:p>
    <w:p w:rsidRPr="0035262C" w:rsidR="00BB3653" w:rsidP="00BB3653" w:rsidRDefault="00BB3653" w14:paraId="776282EE" w14:textId="77777777">
      <w:pPr>
        <w:pStyle w:val="ListParagraph"/>
        <w:numPr>
          <w:ilvl w:val="0"/>
          <w:numId w:val="14"/>
        </w:numPr>
        <w:spacing w:after="160" w:line="259" w:lineRule="auto"/>
      </w:pPr>
      <w:r w:rsidRPr="0035262C">
        <w:t xml:space="preserve">sa domnieva, že </w:t>
      </w:r>
      <w:r w:rsidRPr="0035262C">
        <w:rPr>
          <w:b/>
        </w:rPr>
        <w:t>nedostatočná výroba udržateľných palív</w:t>
      </w:r>
      <w:r>
        <w:rPr>
          <w:b/>
        </w:rPr>
        <w:t xml:space="preserve"> v </w:t>
      </w:r>
      <w:r w:rsidRPr="0035262C">
        <w:rPr>
          <w:b/>
        </w:rPr>
        <w:t>EÚ by mala nepriaznivý vplyv na strategickú autonómiu EÚ</w:t>
      </w:r>
      <w:r w:rsidRPr="0035262C">
        <w:t>;</w:t>
      </w:r>
    </w:p>
    <w:p w:rsidR="00BB3653" w:rsidP="00BB3653" w:rsidRDefault="00BB3653" w14:paraId="1945E245" w14:textId="77777777">
      <w:pPr>
        <w:pStyle w:val="ListParagraph"/>
        <w:numPr>
          <w:ilvl w:val="0"/>
          <w:numId w:val="14"/>
        </w:numPr>
        <w:spacing w:after="160" w:line="259" w:lineRule="auto"/>
      </w:pPr>
      <w:r w:rsidRPr="0035262C">
        <w:t xml:space="preserve">zdôrazňuje, že je potrebné </w:t>
      </w:r>
      <w:r w:rsidRPr="0035262C">
        <w:rPr>
          <w:b/>
        </w:rPr>
        <w:t>zachovať</w:t>
      </w:r>
      <w:r>
        <w:rPr>
          <w:b/>
        </w:rPr>
        <w:t xml:space="preserve"> a </w:t>
      </w:r>
      <w:r w:rsidRPr="0035262C">
        <w:rPr>
          <w:b/>
        </w:rPr>
        <w:t>posilniť konkurencieschopnosť priemyslu EÚ</w:t>
      </w:r>
      <w:r>
        <w:t xml:space="preserve"> v </w:t>
      </w:r>
      <w:r w:rsidRPr="0035262C">
        <w:t>rámci intenzívnej globálnej hospodárskej súťaže</w:t>
      </w:r>
      <w:r>
        <w:t>;</w:t>
      </w:r>
    </w:p>
    <w:p w:rsidRPr="0035262C" w:rsidR="00BB3653" w:rsidP="00BB3653" w:rsidRDefault="00BB3653" w14:paraId="290623A5" w14:textId="77777777">
      <w:pPr>
        <w:pStyle w:val="ListParagraph"/>
        <w:numPr>
          <w:ilvl w:val="0"/>
          <w:numId w:val="14"/>
        </w:numPr>
        <w:spacing w:after="160" w:line="259" w:lineRule="auto"/>
        <w:rPr>
          <w:b/>
          <w:bCs/>
        </w:rPr>
      </w:pPr>
      <w:r w:rsidRPr="0035262C">
        <w:t xml:space="preserve">presadzuje </w:t>
      </w:r>
      <w:r w:rsidRPr="0035262C">
        <w:rPr>
          <w:b/>
        </w:rPr>
        <w:t>komplexný plán postupného zvyšovania miery používania udržateľných leteckých palív</w:t>
      </w:r>
      <w:r w:rsidRPr="0035262C">
        <w:t>;</w:t>
      </w:r>
    </w:p>
    <w:p w:rsidRPr="0035262C" w:rsidR="00BB3653" w:rsidP="00BB3653" w:rsidRDefault="00BB3653" w14:paraId="6B923BB8" w14:textId="77777777">
      <w:pPr>
        <w:pStyle w:val="ListParagraph"/>
        <w:numPr>
          <w:ilvl w:val="0"/>
          <w:numId w:val="14"/>
        </w:numPr>
        <w:spacing w:after="160" w:line="259" w:lineRule="auto"/>
        <w:rPr>
          <w:b/>
          <w:bCs/>
        </w:rPr>
      </w:pPr>
      <w:r w:rsidRPr="0035262C">
        <w:t xml:space="preserve">sa domnieva, že </w:t>
      </w:r>
      <w:r w:rsidRPr="0035262C">
        <w:rPr>
          <w:b/>
        </w:rPr>
        <w:t>výzvou pre námorný priemysel je zaistenie tankovacej infraštruktúry potrebnej</w:t>
      </w:r>
      <w:r>
        <w:rPr>
          <w:b/>
        </w:rPr>
        <w:t xml:space="preserve"> v </w:t>
      </w:r>
      <w:r w:rsidRPr="0035262C">
        <w:rPr>
          <w:b/>
        </w:rPr>
        <w:t>prístavoch na celom svete na bezpečné zásobovanie lodí alternatívnymi palivami</w:t>
      </w:r>
      <w:r w:rsidRPr="0035262C">
        <w:t>;</w:t>
      </w:r>
    </w:p>
    <w:p w:rsidRPr="0035262C" w:rsidR="00BB3653" w:rsidP="00BB3653" w:rsidRDefault="00BB3653" w14:paraId="6409E652" w14:textId="77777777">
      <w:pPr>
        <w:pStyle w:val="ListParagraph"/>
        <w:numPr>
          <w:ilvl w:val="0"/>
          <w:numId w:val="14"/>
        </w:numPr>
        <w:spacing w:after="160" w:line="259" w:lineRule="auto"/>
      </w:pPr>
      <w:r w:rsidRPr="0035262C">
        <w:t xml:space="preserve">upozorňuje na riziko </w:t>
      </w:r>
      <w:r w:rsidRPr="0035262C">
        <w:rPr>
          <w:b/>
        </w:rPr>
        <w:t>možného nedostatku dostupných zdrojov surovín</w:t>
      </w:r>
      <w:r>
        <w:rPr>
          <w:b/>
        </w:rPr>
        <w:t xml:space="preserve"> a </w:t>
      </w:r>
      <w:r w:rsidRPr="0035262C">
        <w:rPr>
          <w:b/>
        </w:rPr>
        <w:t>požadovaných objemov dekarbonizovanej energie</w:t>
      </w:r>
      <w:r w:rsidRPr="0035262C">
        <w:t>, ktoré sú potrebné na prechod na udržateľnú výrobu palív;</w:t>
      </w:r>
    </w:p>
    <w:p w:rsidRPr="0035262C" w:rsidR="00BB3653" w:rsidP="00BB3653" w:rsidRDefault="00BB3653" w14:paraId="6AD5C7F4" w14:textId="77777777">
      <w:pPr>
        <w:pStyle w:val="ListParagraph"/>
        <w:numPr>
          <w:ilvl w:val="0"/>
          <w:numId w:val="14"/>
        </w:numPr>
        <w:spacing w:after="160" w:line="259" w:lineRule="auto"/>
      </w:pPr>
      <w:r w:rsidRPr="0035262C">
        <w:t xml:space="preserve">vyzýva na </w:t>
      </w:r>
      <w:r w:rsidRPr="0035262C">
        <w:rPr>
          <w:b/>
        </w:rPr>
        <w:t>vytvorenie regulačných podmienok vedúcich</w:t>
      </w:r>
      <w:r>
        <w:rPr>
          <w:b/>
        </w:rPr>
        <w:t xml:space="preserve"> k </w:t>
      </w:r>
      <w:r w:rsidRPr="0035262C">
        <w:rPr>
          <w:b/>
        </w:rPr>
        <w:t>uvoľneniu investícií vrátane stimulov na podporu okamžitej výroby</w:t>
      </w:r>
      <w:r>
        <w:rPr>
          <w:b/>
        </w:rPr>
        <w:t xml:space="preserve"> a </w:t>
      </w:r>
      <w:r w:rsidRPr="0035262C">
        <w:rPr>
          <w:b/>
        </w:rPr>
        <w:t>zriadenia trhu</w:t>
      </w:r>
      <w:r>
        <w:rPr>
          <w:b/>
        </w:rPr>
        <w:t xml:space="preserve"> s </w:t>
      </w:r>
      <w:r w:rsidRPr="0035262C">
        <w:rPr>
          <w:b/>
        </w:rPr>
        <w:t>palivami</w:t>
      </w:r>
      <w:r>
        <w:rPr>
          <w:b/>
        </w:rPr>
        <w:t xml:space="preserve"> s </w:t>
      </w:r>
      <w:r w:rsidRPr="0035262C">
        <w:rPr>
          <w:b/>
        </w:rPr>
        <w:t>menšou uhlíkovou stopou</w:t>
      </w:r>
      <w:r w:rsidRPr="0035262C">
        <w:t>;</w:t>
      </w:r>
    </w:p>
    <w:p w:rsidRPr="0035262C" w:rsidR="00BB3653" w:rsidP="00BB3653" w:rsidRDefault="00BB3653" w14:paraId="2664D89F" w14:textId="77777777">
      <w:pPr>
        <w:pStyle w:val="ListParagraph"/>
        <w:numPr>
          <w:ilvl w:val="0"/>
          <w:numId w:val="14"/>
        </w:numPr>
        <w:spacing w:after="160" w:line="259" w:lineRule="auto"/>
      </w:pPr>
      <w:r w:rsidRPr="0035262C">
        <w:t xml:space="preserve">zasadzuje sa za </w:t>
      </w:r>
      <w:r w:rsidRPr="0035262C">
        <w:rPr>
          <w:b/>
        </w:rPr>
        <w:t>prispôsobenie daňových systémov vplyvu jednotlivých palív na klímu</w:t>
      </w:r>
      <w:r w:rsidRPr="0035262C">
        <w:t>;</w:t>
      </w:r>
    </w:p>
    <w:p w:rsidR="00BB3653" w:rsidP="00BB3653" w:rsidRDefault="00BB3653" w14:paraId="05D724B5" w14:textId="77777777">
      <w:pPr>
        <w:pStyle w:val="ListParagraph"/>
        <w:numPr>
          <w:ilvl w:val="0"/>
          <w:numId w:val="14"/>
        </w:numPr>
        <w:spacing w:after="160" w:line="259" w:lineRule="auto"/>
      </w:pPr>
      <w:r w:rsidRPr="0035262C">
        <w:t xml:space="preserve">vyjadruje sklamanie nad tým, že </w:t>
      </w:r>
      <w:r w:rsidRPr="0035262C">
        <w:rPr>
          <w:b/>
        </w:rPr>
        <w:t>granty</w:t>
      </w:r>
      <w:r>
        <w:rPr>
          <w:b/>
        </w:rPr>
        <w:t xml:space="preserve"> a </w:t>
      </w:r>
      <w:r w:rsidRPr="0035262C">
        <w:rPr>
          <w:b/>
        </w:rPr>
        <w:t xml:space="preserve">dotácie EÚ dostatočne neuprednostňujú </w:t>
      </w:r>
      <w:proofErr w:type="spellStart"/>
      <w:r w:rsidRPr="0035262C">
        <w:rPr>
          <w:b/>
        </w:rPr>
        <w:t>nízkouhlíkovú</w:t>
      </w:r>
      <w:proofErr w:type="spellEnd"/>
      <w:r w:rsidRPr="0035262C">
        <w:rPr>
          <w:b/>
        </w:rPr>
        <w:t xml:space="preserve"> infraštruktúru</w:t>
      </w:r>
      <w:r>
        <w:rPr>
          <w:b/>
        </w:rPr>
        <w:t xml:space="preserve"> a </w:t>
      </w:r>
      <w:r w:rsidRPr="0035262C">
        <w:rPr>
          <w:b/>
        </w:rPr>
        <w:t>infraštruktúru na výrobu obnoviteľných palív pre leteckú</w:t>
      </w:r>
      <w:r>
        <w:rPr>
          <w:b/>
        </w:rPr>
        <w:t xml:space="preserve"> a </w:t>
      </w:r>
      <w:r w:rsidRPr="0035262C">
        <w:rPr>
          <w:b/>
        </w:rPr>
        <w:t>námornú dopravu</w:t>
      </w:r>
      <w:r>
        <w:t>;</w:t>
      </w:r>
    </w:p>
    <w:p w:rsidR="00BB3653" w:rsidP="00BB3653" w:rsidRDefault="00BB3653" w14:paraId="29A7D82C" w14:textId="77777777">
      <w:pPr>
        <w:pStyle w:val="ListParagraph"/>
        <w:numPr>
          <w:ilvl w:val="0"/>
          <w:numId w:val="14"/>
        </w:numPr>
        <w:spacing w:after="160" w:line="259" w:lineRule="auto"/>
      </w:pPr>
      <w:r w:rsidRPr="0035262C">
        <w:t xml:space="preserve">sa nazdáva, že </w:t>
      </w:r>
      <w:r w:rsidRPr="0035262C">
        <w:rPr>
          <w:b/>
        </w:rPr>
        <w:t>výskum</w:t>
      </w:r>
      <w:r>
        <w:rPr>
          <w:b/>
        </w:rPr>
        <w:t xml:space="preserve"> a </w:t>
      </w:r>
      <w:r w:rsidRPr="0035262C">
        <w:rPr>
          <w:b/>
        </w:rPr>
        <w:t>vývoj sú nevyhnutné na zníženie nákladov</w:t>
      </w:r>
      <w:r w:rsidRPr="0035262C">
        <w:t xml:space="preserve"> na pokročilé </w:t>
      </w:r>
      <w:proofErr w:type="spellStart"/>
      <w:r w:rsidRPr="0035262C">
        <w:t>nízkouhlíkové</w:t>
      </w:r>
      <w:proofErr w:type="spellEnd"/>
      <w:r w:rsidRPr="0035262C">
        <w:t xml:space="preserve"> technológie</w:t>
      </w:r>
      <w:r>
        <w:t>;</w:t>
      </w:r>
    </w:p>
    <w:p w:rsidRPr="0035262C" w:rsidR="00BB3653" w:rsidP="00BB3653" w:rsidRDefault="00BB3653" w14:paraId="271CCE1A" w14:textId="77777777">
      <w:pPr>
        <w:pStyle w:val="ListParagraph"/>
        <w:numPr>
          <w:ilvl w:val="0"/>
          <w:numId w:val="14"/>
        </w:numPr>
        <w:spacing w:after="160" w:line="259" w:lineRule="auto"/>
      </w:pPr>
      <w:r w:rsidRPr="0035262C">
        <w:t xml:space="preserve">požaduje </w:t>
      </w:r>
      <w:r w:rsidRPr="0035262C">
        <w:rPr>
          <w:b/>
        </w:rPr>
        <w:t>holistickú stratégiu pre čistú transformáciu celých priemyselných hodnotových reťazcov, ktorá by zahŕňala vodík, rozšírenie používania biopalív</w:t>
      </w:r>
      <w:r>
        <w:rPr>
          <w:b/>
        </w:rPr>
        <w:t xml:space="preserve"> a </w:t>
      </w:r>
      <w:r w:rsidRPr="0035262C">
        <w:rPr>
          <w:b/>
        </w:rPr>
        <w:t>syntetických palív, ako aj pokračovanie existujúcich odvetvových partnerstiev</w:t>
      </w:r>
      <w:r>
        <w:rPr>
          <w:b/>
        </w:rPr>
        <w:t xml:space="preserve"> v </w:t>
      </w:r>
      <w:r w:rsidRPr="0035262C">
        <w:rPr>
          <w:b/>
        </w:rPr>
        <w:t>rámci nástroja, ktorý bude následníkom programu Horizont Európa</w:t>
      </w:r>
      <w:r w:rsidRPr="0035262C">
        <w:t>;</w:t>
      </w:r>
    </w:p>
    <w:p w:rsidRPr="0035262C" w:rsidR="00BB3653" w:rsidP="00BB3653" w:rsidRDefault="00BB3653" w14:paraId="171B852D" w14:textId="77777777">
      <w:pPr>
        <w:pStyle w:val="ListParagraph"/>
        <w:numPr>
          <w:ilvl w:val="0"/>
          <w:numId w:val="14"/>
        </w:numPr>
        <w:spacing w:after="160" w:line="259" w:lineRule="auto"/>
      </w:pPr>
      <w:r w:rsidRPr="0035262C">
        <w:t xml:space="preserve">sa domnieva, že sú potrebné </w:t>
      </w:r>
      <w:r w:rsidRPr="0035262C">
        <w:rPr>
          <w:b/>
        </w:rPr>
        <w:t>programy rozvoja zručností</w:t>
      </w:r>
      <w:r w:rsidRPr="0035262C">
        <w:t xml:space="preserve"> vrátane odbornej prípravy</w:t>
      </w:r>
      <w:r>
        <w:t xml:space="preserve"> a </w:t>
      </w:r>
      <w:r w:rsidRPr="0035262C">
        <w:t xml:space="preserve">podpory pri zmene zamestnania. Opätovne pripomína, že </w:t>
      </w:r>
      <w:r w:rsidRPr="0035262C">
        <w:rPr>
          <w:b/>
        </w:rPr>
        <w:t>prioritou je zabezpečiť prísne zdravotné</w:t>
      </w:r>
      <w:r>
        <w:rPr>
          <w:b/>
        </w:rPr>
        <w:t xml:space="preserve"> a </w:t>
      </w:r>
      <w:r w:rsidRPr="0035262C">
        <w:rPr>
          <w:b/>
        </w:rPr>
        <w:t>bezpečnostné normy</w:t>
      </w:r>
      <w:r w:rsidRPr="0035262C">
        <w:t xml:space="preserve">. </w:t>
      </w: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10"/>
        <w:gridCol w:w="3321"/>
      </w:tblGrid>
      <w:tr w:rsidRPr="0035262C" w:rsidR="00BB3653" w:rsidTr="00B7485A" w14:paraId="086BD26F" w14:textId="77777777">
        <w:tc>
          <w:tcPr>
            <w:tcW w:w="3998" w:type="pct"/>
          </w:tcPr>
          <w:p w:rsidRPr="0035262C" w:rsidR="00BB3653" w:rsidP="00B7485A" w:rsidRDefault="00BB3653" w14:paraId="15D0DF00" w14:textId="77777777">
            <w:pPr>
              <w:rPr>
                <w:i/>
              </w:rPr>
            </w:pPr>
            <w:r w:rsidRPr="0035262C">
              <w:rPr>
                <w:b/>
                <w:i/>
              </w:rPr>
              <w:t>Kontakt:</w:t>
            </w:r>
          </w:p>
        </w:tc>
        <w:tc>
          <w:tcPr>
            <w:tcW w:w="1002" w:type="pct"/>
            <w:tcBorders>
              <w:left w:val="nil"/>
            </w:tcBorders>
          </w:tcPr>
          <w:p w:rsidRPr="0035262C" w:rsidR="00BB3653" w:rsidP="00B7485A" w:rsidRDefault="00BB3653" w14:paraId="0907B9B4" w14:textId="77777777">
            <w:pPr>
              <w:rPr>
                <w:i/>
              </w:rPr>
            </w:pPr>
            <w:r w:rsidRPr="0035262C">
              <w:rPr>
                <w:i/>
              </w:rPr>
              <w:t>Adam DORYWALSKI</w:t>
            </w:r>
          </w:p>
        </w:tc>
      </w:tr>
      <w:tr w:rsidRPr="0035262C" w:rsidR="00BB3653" w:rsidTr="00B7485A" w14:paraId="334F8B2B" w14:textId="77777777">
        <w:tc>
          <w:tcPr>
            <w:tcW w:w="3998" w:type="pct"/>
          </w:tcPr>
          <w:p w:rsidRPr="0035262C" w:rsidR="00BB3653" w:rsidP="00B7485A" w:rsidRDefault="00BB3653" w14:paraId="2B74ADF7" w14:textId="77777777">
            <w:pPr>
              <w:rPr>
                <w:i/>
              </w:rPr>
            </w:pPr>
            <w:r w:rsidRPr="0035262C">
              <w:rPr>
                <w:i/>
              </w:rPr>
              <w:t xml:space="preserve">Tel.: </w:t>
            </w:r>
          </w:p>
        </w:tc>
        <w:tc>
          <w:tcPr>
            <w:tcW w:w="1002" w:type="pct"/>
            <w:tcBorders>
              <w:left w:val="nil"/>
            </w:tcBorders>
          </w:tcPr>
          <w:p w:rsidRPr="0035262C" w:rsidR="00BB3653" w:rsidP="00B7485A" w:rsidRDefault="00BB3653" w14:paraId="364294B4" w14:textId="1ECC62DF">
            <w:pPr>
              <w:rPr>
                <w:i/>
              </w:rPr>
            </w:pPr>
            <w:r w:rsidRPr="0035262C">
              <w:rPr>
                <w:i/>
              </w:rPr>
              <w:t>+32</w:t>
            </w:r>
            <w:r>
              <w:rPr>
                <w:i/>
              </w:rPr>
              <w:t> </w:t>
            </w:r>
            <w:r w:rsidRPr="0035262C">
              <w:rPr>
                <w:i/>
              </w:rPr>
              <w:t>25469397</w:t>
            </w:r>
          </w:p>
        </w:tc>
      </w:tr>
      <w:tr w:rsidRPr="0035262C" w:rsidR="00BB3653" w:rsidTr="00B7485A" w14:paraId="5B83D71B" w14:textId="77777777">
        <w:tc>
          <w:tcPr>
            <w:tcW w:w="3998" w:type="pct"/>
          </w:tcPr>
          <w:p w:rsidRPr="0035262C" w:rsidR="00BB3653" w:rsidP="00B7485A" w:rsidRDefault="00BB3653" w14:paraId="0D9AB8EE" w14:textId="77777777">
            <w:pPr>
              <w:rPr>
                <w:i/>
                <w:iCs/>
              </w:rPr>
            </w:pPr>
            <w:r w:rsidRPr="0035262C">
              <w:rPr>
                <w:i/>
              </w:rPr>
              <w:t>E-mail:</w:t>
            </w:r>
          </w:p>
        </w:tc>
        <w:tc>
          <w:tcPr>
            <w:tcW w:w="1002" w:type="pct"/>
            <w:tcBorders>
              <w:left w:val="nil"/>
            </w:tcBorders>
          </w:tcPr>
          <w:p w:rsidRPr="0035262C" w:rsidR="00BB3653" w:rsidP="00B7485A" w:rsidRDefault="00BB3653" w14:paraId="03B540CE" w14:textId="77777777">
            <w:pPr>
              <w:rPr>
                <w:i/>
                <w:iCs/>
              </w:rPr>
            </w:pPr>
            <w:r w:rsidRPr="0035262C">
              <w:rPr>
                <w:i/>
                <w:color w:val="0000FF"/>
                <w:u w:val="single"/>
              </w:rPr>
              <w:t>Adam.Dorywalski@eesc.europa.eu</w:t>
            </w:r>
          </w:p>
        </w:tc>
      </w:tr>
    </w:tbl>
    <w:p w:rsidRPr="00F421C4" w:rsidR="00F421C4" w:rsidP="00F421C4" w:rsidRDefault="00F421C4" w14:paraId="6DF2932F" w14:textId="2DA19A5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38">
        <w:r w:rsidRPr="00F421C4">
          <w:rPr>
            <w:b/>
            <w:i/>
            <w:color w:val="0000FF"/>
            <w:sz w:val="28"/>
            <w:szCs w:val="20"/>
            <w:u w:val="single"/>
          </w:rPr>
          <w:t>Progresívne materiály pre vedúce postavenie priemyslu</w:t>
        </w:r>
      </w:hyperlink>
    </w:p>
    <w:p w:rsidRPr="00F421C4" w:rsidR="00F421C4" w:rsidP="00F421C4" w:rsidRDefault="00F421C4" w14:paraId="0E05695D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tbl>
      <w:tblPr>
        <w:tblStyle w:val="TableGrid212"/>
        <w:tblW w:w="468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6675"/>
      </w:tblGrid>
      <w:tr w:rsidRPr="00F421C4" w:rsidR="00F421C4" w:rsidTr="00B7485A" w14:paraId="599BA6DC" w14:textId="77777777">
        <w:tc>
          <w:tcPr>
            <w:tcW w:w="1167" w:type="pct"/>
          </w:tcPr>
          <w:p w:rsidRPr="00F421C4" w:rsidR="00F421C4" w:rsidP="00F421C4" w:rsidRDefault="00F421C4" w14:paraId="00A7CEDC" w14:textId="400A552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F421C4">
              <w:rPr>
                <w:b/>
                <w:sz w:val="22"/>
                <w:szCs w:val="22"/>
              </w:rPr>
              <w:t>Spravodajca</w:t>
            </w:r>
            <w:r w:rsidR="00CF6A1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33" w:type="pct"/>
          </w:tcPr>
          <w:p w:rsidRPr="00F421C4" w:rsidR="00F421C4" w:rsidP="00F421C4" w:rsidRDefault="00F421C4" w14:paraId="40B778A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812" w:hanging="266"/>
              <w:textAlignment w:val="baseline"/>
              <w:rPr>
                <w:b/>
                <w:spacing w:val="-2"/>
                <w:sz w:val="22"/>
                <w:szCs w:val="22"/>
              </w:rPr>
            </w:pPr>
            <w:proofErr w:type="spellStart"/>
            <w:r w:rsidRPr="00F421C4">
              <w:rPr>
                <w:b/>
                <w:spacing w:val="-4"/>
                <w:sz w:val="22"/>
                <w:szCs w:val="22"/>
              </w:rPr>
              <w:t>Anastasis</w:t>
            </w:r>
            <w:proofErr w:type="spellEnd"/>
            <w:r w:rsidRPr="00F421C4">
              <w:rPr>
                <w:b/>
                <w:spacing w:val="-4"/>
                <w:sz w:val="22"/>
                <w:szCs w:val="22"/>
              </w:rPr>
              <w:t xml:space="preserve"> YIAPANIS (skupina Organizácie občianskej spoločnosti – CY</w:t>
            </w:r>
            <w:r w:rsidRPr="00F421C4">
              <w:rPr>
                <w:b/>
                <w:spacing w:val="-2"/>
                <w:sz w:val="22"/>
                <w:szCs w:val="22"/>
              </w:rPr>
              <w:t>)</w:t>
            </w:r>
          </w:p>
        </w:tc>
      </w:tr>
      <w:tr w:rsidRPr="00F421C4" w:rsidR="00F421C4" w:rsidTr="00B7485A" w14:paraId="1B87D813" w14:textId="77777777">
        <w:tc>
          <w:tcPr>
            <w:tcW w:w="1167" w:type="pct"/>
          </w:tcPr>
          <w:p w:rsidRPr="00F421C4" w:rsidR="00F421C4" w:rsidP="00F421C4" w:rsidRDefault="00F421C4" w14:paraId="435D1A37" w14:textId="6772570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F421C4">
              <w:rPr>
                <w:b/>
                <w:sz w:val="22"/>
                <w:szCs w:val="22"/>
              </w:rPr>
              <w:t>Spoluspravodajca</w:t>
            </w:r>
            <w:r w:rsidR="00CF6A1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33" w:type="pct"/>
          </w:tcPr>
          <w:p w:rsidRPr="00F421C4" w:rsidR="00F421C4" w:rsidP="00F421C4" w:rsidRDefault="00F421C4" w14:paraId="65C3971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1383" w:hanging="266"/>
              <w:textAlignment w:val="baseline"/>
              <w:rPr>
                <w:sz w:val="22"/>
                <w:szCs w:val="22"/>
              </w:rPr>
            </w:pPr>
            <w:proofErr w:type="spellStart"/>
            <w:r w:rsidRPr="00F421C4">
              <w:rPr>
                <w:b/>
                <w:sz w:val="22"/>
                <w:szCs w:val="22"/>
              </w:rPr>
              <w:t>Gerardo</w:t>
            </w:r>
            <w:proofErr w:type="spellEnd"/>
            <w:r w:rsidRPr="00F421C4">
              <w:rPr>
                <w:b/>
                <w:sz w:val="22"/>
                <w:szCs w:val="22"/>
              </w:rPr>
              <w:t xml:space="preserve"> Luis ARROYO HERRANZ (kat. 1 – ES)</w:t>
            </w:r>
          </w:p>
        </w:tc>
      </w:tr>
      <w:tr w:rsidRPr="00F421C4" w:rsidR="00F421C4" w:rsidTr="00B7485A" w14:paraId="4E847097" w14:textId="77777777">
        <w:tc>
          <w:tcPr>
            <w:tcW w:w="5000" w:type="pct"/>
            <w:gridSpan w:val="2"/>
          </w:tcPr>
          <w:p w:rsidRPr="00F421C4" w:rsidR="00F421C4" w:rsidP="00F421C4" w:rsidRDefault="00F421C4" w14:paraId="4579036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F421C4" w:rsidR="00F421C4" w:rsidTr="00B7485A" w14:paraId="7B58D905" w14:textId="77777777">
        <w:tc>
          <w:tcPr>
            <w:tcW w:w="1167" w:type="pct"/>
          </w:tcPr>
          <w:p w:rsidRPr="00F421C4" w:rsidR="00F421C4" w:rsidP="00F421C4" w:rsidRDefault="00F421C4" w14:paraId="49E03975" w14:textId="2881331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F421C4">
              <w:rPr>
                <w:b/>
                <w:sz w:val="22"/>
                <w:szCs w:val="22"/>
              </w:rPr>
              <w:t>Ref</w:t>
            </w:r>
            <w:proofErr w:type="spellEnd"/>
            <w:r w:rsidRPr="00F421C4">
              <w:rPr>
                <w:b/>
                <w:sz w:val="22"/>
                <w:szCs w:val="22"/>
              </w:rPr>
              <w:t>.</w:t>
            </w:r>
            <w:r w:rsidR="00CF6A1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33" w:type="pct"/>
          </w:tcPr>
          <w:p w:rsidRPr="00F421C4" w:rsidR="00F421C4" w:rsidP="00F421C4" w:rsidRDefault="00F421C4" w14:paraId="3A0906D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  <w:highlight w:val="yellow"/>
              </w:rPr>
            </w:pPr>
            <w:r w:rsidRPr="00F421C4">
              <w:rPr>
                <w:sz w:val="22"/>
                <w:szCs w:val="22"/>
              </w:rPr>
              <w:t xml:space="preserve">COM(2024) 98 </w:t>
            </w:r>
            <w:proofErr w:type="spellStart"/>
            <w:r w:rsidRPr="00F421C4">
              <w:rPr>
                <w:sz w:val="22"/>
                <w:szCs w:val="22"/>
              </w:rPr>
              <w:t>final</w:t>
            </w:r>
            <w:proofErr w:type="spellEnd"/>
          </w:p>
          <w:p w:rsidRPr="00F421C4" w:rsidR="00F421C4" w:rsidP="00F421C4" w:rsidRDefault="00F421C4" w14:paraId="0758F91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  <w:highlight w:val="yellow"/>
              </w:rPr>
            </w:pPr>
            <w:r w:rsidRPr="00F421C4">
              <w:rPr>
                <w:sz w:val="22"/>
                <w:szCs w:val="22"/>
              </w:rPr>
              <w:t>CCMI/227 – EESC-2024-01425-00-00-AC</w:t>
            </w:r>
          </w:p>
        </w:tc>
      </w:tr>
    </w:tbl>
    <w:p w:rsidRPr="00F421C4" w:rsidR="00F421C4" w:rsidP="00F421C4" w:rsidRDefault="00F421C4" w14:paraId="1A8A83B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F421C4" w:rsidR="00F421C4" w:rsidP="00F421C4" w:rsidRDefault="00F421C4" w14:paraId="4EEBB05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F421C4">
        <w:rPr>
          <w:b/>
          <w:szCs w:val="20"/>
        </w:rPr>
        <w:t>Hlavné body</w:t>
      </w:r>
    </w:p>
    <w:p w:rsidRPr="00F421C4" w:rsidR="00F421C4" w:rsidP="00F421C4" w:rsidRDefault="00F421C4" w14:paraId="42D9B20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F421C4" w:rsidR="00F421C4" w:rsidP="00F421C4" w:rsidRDefault="00F421C4" w14:paraId="3490ADDC" w14:textId="7F91856A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F421C4">
        <w:rPr>
          <w:szCs w:val="20"/>
        </w:rPr>
        <w:t>EHSV</w:t>
      </w:r>
      <w:r w:rsidR="00CF6A1D">
        <w:rPr>
          <w:szCs w:val="20"/>
        </w:rPr>
        <w:t>:</w:t>
      </w:r>
    </w:p>
    <w:p w:rsidRPr="00F421C4" w:rsidR="00F421C4" w:rsidP="00F421C4" w:rsidRDefault="00F421C4" w14:paraId="2D6AA48B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200" w:line="276" w:lineRule="auto"/>
        <w:ind w:hanging="567"/>
        <w:contextualSpacing/>
        <w:textAlignment w:val="baseline"/>
        <w:rPr>
          <w:bCs/>
          <w:iCs/>
          <w:lang w:eastAsia="zh-CN"/>
        </w:rPr>
      </w:pPr>
      <w:r w:rsidRPr="00F421C4">
        <w:rPr>
          <w:lang w:eastAsia="zh-CN"/>
        </w:rPr>
        <w:t>sa domnieva, že oznámenie Európskej komisie o progresívnych materiáloch nemožno považovať za stratégiu, pretože v ňom chýbajú kvantifikovateľné ciele, termíny a konkrétne kľúčové ukazovatele výkonnosti;</w:t>
      </w:r>
    </w:p>
    <w:p w:rsidRPr="00F421C4" w:rsidR="00F421C4" w:rsidP="00F421C4" w:rsidRDefault="00F421C4" w14:paraId="6F37373E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200" w:line="276" w:lineRule="auto"/>
        <w:ind w:hanging="567"/>
        <w:contextualSpacing/>
        <w:textAlignment w:val="baseline"/>
        <w:rPr>
          <w:bCs/>
          <w:iCs/>
          <w:lang w:eastAsia="zh-CN"/>
        </w:rPr>
      </w:pPr>
      <w:r w:rsidRPr="00F421C4">
        <w:rPr>
          <w:lang w:eastAsia="zh-CN"/>
        </w:rPr>
        <w:t>je presvedčený o tom, že na zníženie spotreby materiálov, podporu obehového hospodárstva a uľahčenie prechodu na udržateľné podnikateľské modely a spotrebiteľské správanie potrebuje EÚ celostný prístup;</w:t>
      </w:r>
    </w:p>
    <w:p w:rsidRPr="00F421C4" w:rsidR="00F421C4" w:rsidP="00F421C4" w:rsidRDefault="00F421C4" w14:paraId="344F420E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200" w:line="276" w:lineRule="auto"/>
        <w:ind w:hanging="567"/>
        <w:contextualSpacing/>
        <w:textAlignment w:val="baseline"/>
        <w:rPr>
          <w:bCs/>
          <w:iCs/>
          <w:lang w:eastAsia="zh-CN"/>
        </w:rPr>
      </w:pPr>
      <w:r w:rsidRPr="00F421C4">
        <w:rPr>
          <w:lang w:eastAsia="zh-CN"/>
        </w:rPr>
        <w:t>konštatuje, že vytvorenie komplexného prostredia pre progresívne materiály si vyžaduje komplexnú stratégiu, značné finančné prostriedky, stimuly, dostupnosť správnych zručností a politickú podporu na vysokej úrovni;</w:t>
      </w:r>
    </w:p>
    <w:p w:rsidRPr="00F421C4" w:rsidR="00F421C4" w:rsidP="00F421C4" w:rsidRDefault="00F421C4" w14:paraId="5FA5E8BA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200" w:line="276" w:lineRule="auto"/>
        <w:ind w:hanging="567"/>
        <w:contextualSpacing/>
        <w:textAlignment w:val="baseline"/>
        <w:rPr>
          <w:bCs/>
          <w:iCs/>
          <w:lang w:eastAsia="zh-CN"/>
        </w:rPr>
      </w:pPr>
      <w:r w:rsidRPr="00F421C4">
        <w:rPr>
          <w:lang w:eastAsia="zh-CN"/>
        </w:rPr>
        <w:t>víta lepší dialóg EÚ a Japonska v oblasti progresívnych materiálov a domnieva sa, že takéto iniciatívy by sa mali rozšíriť na ďalšie krajiny s vedúcim postavením;</w:t>
      </w:r>
    </w:p>
    <w:p w:rsidRPr="00F421C4" w:rsidR="00F421C4" w:rsidP="00F421C4" w:rsidRDefault="00F421C4" w14:paraId="7ADE1902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200" w:line="276" w:lineRule="auto"/>
        <w:ind w:hanging="567"/>
        <w:contextualSpacing/>
        <w:textAlignment w:val="baseline"/>
        <w:rPr>
          <w:bCs/>
          <w:iCs/>
          <w:lang w:eastAsia="zh-CN"/>
        </w:rPr>
      </w:pPr>
      <w:r w:rsidRPr="00F421C4">
        <w:rPr>
          <w:lang w:eastAsia="zh-CN"/>
        </w:rPr>
        <w:t>považuje za nevyhnutné podporiť konkurencieschopnosť vo výskume, vývoji a inováciách zapojením priemyselných subjektov, verejných orgánov, sociálnych partnerov a akademickej obce a vytvorením siete cezhraničných výskumných infraštruktúr;</w:t>
      </w:r>
    </w:p>
    <w:p w:rsidRPr="00F421C4" w:rsidR="00F421C4" w:rsidP="00F421C4" w:rsidRDefault="00F421C4" w14:paraId="35726214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200" w:line="276" w:lineRule="auto"/>
        <w:ind w:hanging="567"/>
        <w:contextualSpacing/>
        <w:textAlignment w:val="baseline"/>
        <w:rPr>
          <w:bCs/>
          <w:iCs/>
          <w:lang w:eastAsia="zh-CN"/>
        </w:rPr>
      </w:pPr>
      <w:r w:rsidRPr="00F421C4">
        <w:rPr>
          <w:lang w:eastAsia="zh-CN"/>
        </w:rPr>
        <w:t>navrhuje zaradiť zdravotníctvo ako ďalšiu počiatočnú strategickú oblasť, pretože predstavuje jedno z najväčších európskych odvetví a progresívne materiály súvisiace so zdravotníctvom sa často využívajú v iných oblastiach, napríklad v elektronike a energetike;</w:t>
      </w:r>
    </w:p>
    <w:p w:rsidRPr="00F421C4" w:rsidR="00F421C4" w:rsidP="00F421C4" w:rsidRDefault="00F421C4" w14:paraId="002978F4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200" w:line="276" w:lineRule="auto"/>
        <w:ind w:hanging="567"/>
        <w:contextualSpacing/>
        <w:textAlignment w:val="baseline"/>
        <w:rPr>
          <w:bCs/>
          <w:iCs/>
          <w:lang w:eastAsia="zh-CN"/>
        </w:rPr>
      </w:pPr>
      <w:r w:rsidRPr="00F421C4">
        <w:rPr>
          <w:lang w:eastAsia="zh-CN"/>
        </w:rPr>
        <w:t>zdôrazňuje význam integrácie digitálnych technológií a inovácií do postupov vývoja materiálov;</w:t>
      </w:r>
    </w:p>
    <w:p w:rsidRPr="00F421C4" w:rsidR="00F421C4" w:rsidP="00F421C4" w:rsidRDefault="00F421C4" w14:paraId="5211DA64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200" w:line="276" w:lineRule="auto"/>
        <w:ind w:hanging="567"/>
        <w:contextualSpacing/>
        <w:textAlignment w:val="baseline"/>
        <w:rPr>
          <w:lang w:eastAsia="zh-CN"/>
        </w:rPr>
      </w:pPr>
      <w:r w:rsidRPr="00F421C4">
        <w:rPr>
          <w:lang w:eastAsia="zh-CN"/>
        </w:rPr>
        <w:t>podporuje zavedenie digitálnych pasov výrobkov, ktoré obsahujú informačné normy a podrobnosti od výroby až po recykláciu, avšak varuje pred vytvorením dodatočnej byrokracie, či spôsobením ďalších nákladov podnikom alebo spotrebiteľom;</w:t>
      </w:r>
    </w:p>
    <w:p w:rsidRPr="00F421C4" w:rsidR="00F421C4" w:rsidP="00F421C4" w:rsidRDefault="00F421C4" w14:paraId="11F41F8D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hanging="567"/>
        <w:contextualSpacing/>
        <w:textAlignment w:val="baseline"/>
        <w:rPr>
          <w:bCs/>
          <w:iCs/>
          <w:lang w:eastAsia="zh-CN"/>
        </w:rPr>
      </w:pPr>
      <w:r w:rsidRPr="00F421C4">
        <w:rPr>
          <w:lang w:eastAsia="zh-CN"/>
        </w:rPr>
        <w:t>považuje za potrebné, aby sa v tejto oblasti posilnila európska výroba, podporila komercializácia, zefektívnil prístup na trh a zlepšil dohľad nad ním.</w:t>
      </w:r>
    </w:p>
    <w:p w:rsidR="0070348F" w:rsidP="00CF6A1D" w:rsidRDefault="0070348F" w14:paraId="6485D396" w14:textId="2B45A257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26"/>
        <w:gridCol w:w="5562"/>
      </w:tblGrid>
      <w:tr w:rsidRPr="001B68B0" w:rsidR="0070348F" w:rsidTr="00B7485A" w14:paraId="55B4053D" w14:textId="77777777">
        <w:tc>
          <w:tcPr>
            <w:tcW w:w="1526" w:type="dxa"/>
          </w:tcPr>
          <w:p w:rsidRPr="00573594" w:rsidR="0070348F" w:rsidP="00B7485A" w:rsidRDefault="0070348F" w14:paraId="084D34D1" w14:textId="77777777">
            <w:pPr>
              <w:pStyle w:val="ListParagraph"/>
              <w:ind w:left="0"/>
              <w:jc w:val="left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562" w:type="dxa"/>
          </w:tcPr>
          <w:p w:rsidRPr="001B68B0" w:rsidR="0070348F" w:rsidP="00B7485A" w:rsidRDefault="0070348F" w14:paraId="14EFFC70" w14:textId="77777777">
            <w:pPr>
              <w:pStyle w:val="ListParagraph"/>
              <w:ind w:left="0"/>
              <w:rPr>
                <w:bCs/>
                <w:i/>
              </w:rPr>
            </w:pPr>
            <w:proofErr w:type="spellStart"/>
            <w:r w:rsidRPr="001B68B0">
              <w:rPr>
                <w:bCs/>
                <w:i/>
              </w:rPr>
              <w:t>Heli</w:t>
            </w:r>
            <w:proofErr w:type="spellEnd"/>
            <w:r w:rsidRPr="001B68B0">
              <w:rPr>
                <w:bCs/>
                <w:i/>
              </w:rPr>
              <w:t xml:space="preserve"> NIEMELÄ-FARRER</w:t>
            </w:r>
          </w:p>
        </w:tc>
      </w:tr>
      <w:tr w:rsidRPr="001B68B0" w:rsidR="0070348F" w:rsidTr="00B7485A" w14:paraId="5B0FFCA9" w14:textId="77777777">
        <w:tc>
          <w:tcPr>
            <w:tcW w:w="1526" w:type="dxa"/>
          </w:tcPr>
          <w:p w:rsidRPr="00573594" w:rsidR="0070348F" w:rsidP="0070348F" w:rsidRDefault="0070348F" w14:paraId="7639E9F8" w14:textId="77777777">
            <w:pPr>
              <w:pStyle w:val="ListParagraph"/>
              <w:ind w:left="0"/>
              <w:jc w:val="left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562" w:type="dxa"/>
          </w:tcPr>
          <w:p w:rsidRPr="001B68B0" w:rsidR="0070348F" w:rsidP="00B7485A" w:rsidRDefault="0070348F" w14:paraId="26D1D61E" w14:textId="77777777">
            <w:pPr>
              <w:pStyle w:val="ListParagraph"/>
              <w:ind w:left="0"/>
              <w:rPr>
                <w:bCs/>
                <w:i/>
              </w:rPr>
            </w:pPr>
            <w:r w:rsidRPr="001B68B0">
              <w:rPr>
                <w:bCs/>
                <w:i/>
              </w:rPr>
              <w:t>+32 22822464</w:t>
            </w:r>
          </w:p>
        </w:tc>
      </w:tr>
      <w:tr w:rsidRPr="001B68B0" w:rsidR="0070348F" w:rsidTr="00B7485A" w14:paraId="4D4B4EBA" w14:textId="77777777">
        <w:tc>
          <w:tcPr>
            <w:tcW w:w="1526" w:type="dxa"/>
          </w:tcPr>
          <w:p w:rsidR="0070348F" w:rsidP="0070348F" w:rsidRDefault="0070348F" w14:paraId="0F5CCF57" w14:textId="77777777">
            <w:pPr>
              <w:pStyle w:val="ListParagraph"/>
              <w:ind w:left="0"/>
              <w:jc w:val="left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562" w:type="dxa"/>
          </w:tcPr>
          <w:p w:rsidRPr="001B68B0" w:rsidR="0070348F" w:rsidP="00B7485A" w:rsidRDefault="0070348F" w14:paraId="768AFE51" w14:textId="77777777">
            <w:pPr>
              <w:pStyle w:val="ListParagraph"/>
              <w:ind w:left="0"/>
              <w:rPr>
                <w:bCs/>
                <w:i/>
              </w:rPr>
            </w:pPr>
            <w:hyperlink w:history="1" r:id="rId39">
              <w:r w:rsidRPr="001B68B0">
                <w:rPr>
                  <w:rStyle w:val="Hyperlink"/>
                  <w:bCs/>
                  <w:i/>
                </w:rPr>
                <w:t>Heli.Niemela-Farrer@eesc.europa.eu</w:t>
              </w:r>
            </w:hyperlink>
          </w:p>
        </w:tc>
      </w:tr>
    </w:tbl>
    <w:p w:rsidR="0070348F" w:rsidP="00CF6A1D" w:rsidRDefault="0070348F" w14:paraId="2971A82B" w14:textId="77777777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</w:p>
    <w:p w:rsidRPr="006C7863" w:rsidR="0092772D" w:rsidP="0070348F" w:rsidRDefault="00556EDF" w14:paraId="7379A588" w14:textId="6A4497F0">
      <w:pPr>
        <w:widowControl w:val="0"/>
        <w:overflowPunct w:val="0"/>
        <w:autoSpaceDE w:val="0"/>
        <w:autoSpaceDN w:val="0"/>
        <w:adjustRightInd w:val="0"/>
        <w:ind w:left="266"/>
        <w:jc w:val="center"/>
        <w:textAlignment w:val="baseline"/>
      </w:pPr>
      <w:r>
        <w:t>_____________</w:t>
      </w:r>
    </w:p>
    <w:sectPr w:rsidRPr="006C7863" w:rsidR="0092772D" w:rsidSect="0071141F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38C1" w14:textId="77777777" w:rsidR="002B5510" w:rsidRDefault="002B5510" w:rsidP="003B0516">
      <w:pPr>
        <w:spacing w:line="240" w:lineRule="auto"/>
      </w:pPr>
      <w:r>
        <w:separator/>
      </w:r>
    </w:p>
  </w:endnote>
  <w:endnote w:type="continuationSeparator" w:id="0">
    <w:p w14:paraId="6C59A801" w14:textId="77777777" w:rsidR="002B5510" w:rsidRDefault="002B5510" w:rsidP="003B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9D38" w14:textId="2DBC333A" w:rsidR="00765C4F" w:rsidRPr="0071141F" w:rsidRDefault="0071141F" w:rsidP="0071141F">
    <w:pPr>
      <w:pStyle w:val="Footer"/>
    </w:pPr>
    <w:r>
      <w:t xml:space="preserve">EESC-2024-02113-00-01-TCD-TRA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B64C3">
      <w:t>1</w:t>
    </w:r>
    <w:r>
      <w:fldChar w:fldCharType="end"/>
    </w:r>
    <w:r>
      <w:t>/</w:t>
    </w:r>
    <w:r w:rsidR="0056687F">
      <w:fldChar w:fldCharType="begin"/>
    </w:r>
    <w:r w:rsidR="0056687F">
      <w:instrText xml:space="preserve"> NUMPAGES </w:instrText>
    </w:r>
    <w:r w:rsidR="0056687F">
      <w:fldChar w:fldCharType="separate"/>
    </w:r>
    <w:r w:rsidR="000B64C3">
      <w:t>2</w:t>
    </w:r>
    <w:r w:rsidR="0056687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8855" w14:textId="77777777" w:rsidR="00E4258F" w:rsidRPr="0071141F" w:rsidRDefault="00E4258F" w:rsidP="007114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C8A9" w14:textId="760E267B" w:rsidR="00E4258F" w:rsidRPr="0071141F" w:rsidRDefault="0071141F" w:rsidP="0071141F">
    <w:pPr>
      <w:pStyle w:val="Footer"/>
    </w:pPr>
    <w:r>
      <w:t xml:space="preserve">EESC-2024-02113-00-01-TCD-TRA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r w:rsidR="0056687F">
      <w:fldChar w:fldCharType="begin"/>
    </w:r>
    <w:r w:rsidR="0056687F">
      <w:instrText xml:space="preserve"> NUMPAGES </w:instrText>
    </w:r>
    <w:r w:rsidR="0056687F">
      <w:fldChar w:fldCharType="separate"/>
    </w:r>
    <w:r>
      <w:t>16</w:t>
    </w:r>
    <w:r w:rsidR="0056687F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7D43" w14:textId="77777777" w:rsidR="00E4258F" w:rsidRPr="0071141F" w:rsidRDefault="00E4258F" w:rsidP="00711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324F" w14:textId="77777777" w:rsidR="002B5510" w:rsidRDefault="002B5510" w:rsidP="003B0516">
      <w:pPr>
        <w:spacing w:line="240" w:lineRule="auto"/>
      </w:pPr>
      <w:r>
        <w:separator/>
      </w:r>
    </w:p>
  </w:footnote>
  <w:footnote w:type="continuationSeparator" w:id="0">
    <w:p w14:paraId="2F3B2B06" w14:textId="77777777" w:rsidR="002B5510" w:rsidRDefault="002B5510" w:rsidP="003B0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98DD" w14:textId="77777777" w:rsidR="00E4258F" w:rsidRPr="0071141F" w:rsidRDefault="00E4258F" w:rsidP="00711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0FFF" w14:textId="682475FA" w:rsidR="00E4258F" w:rsidRPr="0071141F" w:rsidRDefault="00E4258F" w:rsidP="007114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BED8" w14:textId="77777777" w:rsidR="00E4258F" w:rsidRPr="0071141F" w:rsidRDefault="00E4258F" w:rsidP="00711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E65BE0"/>
    <w:lvl w:ilvl="0">
      <w:numFmt w:val="decimal"/>
      <w:lvlText w:val="*"/>
      <w:lvlJc w:val="left"/>
    </w:lvl>
  </w:abstractNum>
  <w:abstractNum w:abstractNumId="1" w15:restartNumberingAfterBreak="0">
    <w:nsid w:val="00EE628C"/>
    <w:multiLevelType w:val="hybridMultilevel"/>
    <w:tmpl w:val="A3CC432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47154"/>
    <w:multiLevelType w:val="hybridMultilevel"/>
    <w:tmpl w:val="0100CE8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A3C71"/>
    <w:multiLevelType w:val="hybridMultilevel"/>
    <w:tmpl w:val="43A0CD4E"/>
    <w:lvl w:ilvl="0" w:tplc="D4708380">
      <w:start w:val="1"/>
      <w:numFmt w:val="decimal"/>
      <w:pStyle w:val="Heading1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33D59"/>
    <w:multiLevelType w:val="hybridMultilevel"/>
    <w:tmpl w:val="5F862D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9479D"/>
    <w:multiLevelType w:val="hybridMultilevel"/>
    <w:tmpl w:val="6F22EA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6141B"/>
    <w:multiLevelType w:val="hybridMultilevel"/>
    <w:tmpl w:val="0FEC57F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1E2474">
      <w:start w:val="1"/>
      <w:numFmt w:val="lowerLetter"/>
      <w:lvlText w:val="%2."/>
      <w:lvlJc w:val="left"/>
      <w:pPr>
        <w:ind w:left="1440" w:hanging="360"/>
      </w:pPr>
    </w:lvl>
    <w:lvl w:ilvl="2" w:tplc="CF80E7CA">
      <w:start w:val="1"/>
      <w:numFmt w:val="lowerRoman"/>
      <w:lvlText w:val="%3."/>
      <w:lvlJc w:val="right"/>
      <w:pPr>
        <w:ind w:left="2160" w:hanging="180"/>
      </w:pPr>
    </w:lvl>
    <w:lvl w:ilvl="3" w:tplc="E474BBE2">
      <w:start w:val="1"/>
      <w:numFmt w:val="decimal"/>
      <w:lvlText w:val="%4."/>
      <w:lvlJc w:val="left"/>
      <w:pPr>
        <w:ind w:left="2880" w:hanging="360"/>
      </w:pPr>
    </w:lvl>
    <w:lvl w:ilvl="4" w:tplc="462EC6F6">
      <w:start w:val="1"/>
      <w:numFmt w:val="lowerLetter"/>
      <w:lvlText w:val="%5."/>
      <w:lvlJc w:val="left"/>
      <w:pPr>
        <w:ind w:left="3600" w:hanging="360"/>
      </w:pPr>
    </w:lvl>
    <w:lvl w:ilvl="5" w:tplc="61E4D974">
      <w:start w:val="1"/>
      <w:numFmt w:val="lowerRoman"/>
      <w:lvlText w:val="%6."/>
      <w:lvlJc w:val="right"/>
      <w:pPr>
        <w:ind w:left="4320" w:hanging="180"/>
      </w:pPr>
    </w:lvl>
    <w:lvl w:ilvl="6" w:tplc="F6861F06">
      <w:start w:val="1"/>
      <w:numFmt w:val="decimal"/>
      <w:lvlText w:val="%7."/>
      <w:lvlJc w:val="left"/>
      <w:pPr>
        <w:ind w:left="5040" w:hanging="360"/>
      </w:pPr>
    </w:lvl>
    <w:lvl w:ilvl="7" w:tplc="737E3C6A">
      <w:start w:val="1"/>
      <w:numFmt w:val="lowerLetter"/>
      <w:lvlText w:val="%8."/>
      <w:lvlJc w:val="left"/>
      <w:pPr>
        <w:ind w:left="5760" w:hanging="360"/>
      </w:pPr>
    </w:lvl>
    <w:lvl w:ilvl="8" w:tplc="267CDF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15A3D"/>
    <w:multiLevelType w:val="hybridMultilevel"/>
    <w:tmpl w:val="35C4182C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986667"/>
    <w:multiLevelType w:val="hybridMultilevel"/>
    <w:tmpl w:val="77C2AEAC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6503F"/>
    <w:multiLevelType w:val="multilevel"/>
    <w:tmpl w:val="B052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7CF268"/>
    <w:multiLevelType w:val="hybridMultilevel"/>
    <w:tmpl w:val="F5A8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E2474">
      <w:start w:val="1"/>
      <w:numFmt w:val="lowerLetter"/>
      <w:lvlText w:val="%2."/>
      <w:lvlJc w:val="left"/>
      <w:pPr>
        <w:ind w:left="1440" w:hanging="360"/>
      </w:pPr>
    </w:lvl>
    <w:lvl w:ilvl="2" w:tplc="CF80E7CA">
      <w:start w:val="1"/>
      <w:numFmt w:val="lowerRoman"/>
      <w:lvlText w:val="%3."/>
      <w:lvlJc w:val="right"/>
      <w:pPr>
        <w:ind w:left="2160" w:hanging="180"/>
      </w:pPr>
    </w:lvl>
    <w:lvl w:ilvl="3" w:tplc="E474BBE2">
      <w:start w:val="1"/>
      <w:numFmt w:val="decimal"/>
      <w:lvlText w:val="%4."/>
      <w:lvlJc w:val="left"/>
      <w:pPr>
        <w:ind w:left="2880" w:hanging="360"/>
      </w:pPr>
    </w:lvl>
    <w:lvl w:ilvl="4" w:tplc="462EC6F6">
      <w:start w:val="1"/>
      <w:numFmt w:val="lowerLetter"/>
      <w:lvlText w:val="%5."/>
      <w:lvlJc w:val="left"/>
      <w:pPr>
        <w:ind w:left="3600" w:hanging="360"/>
      </w:pPr>
    </w:lvl>
    <w:lvl w:ilvl="5" w:tplc="61E4D974">
      <w:start w:val="1"/>
      <w:numFmt w:val="lowerRoman"/>
      <w:lvlText w:val="%6."/>
      <w:lvlJc w:val="right"/>
      <w:pPr>
        <w:ind w:left="4320" w:hanging="180"/>
      </w:pPr>
    </w:lvl>
    <w:lvl w:ilvl="6" w:tplc="F6861F06">
      <w:start w:val="1"/>
      <w:numFmt w:val="decimal"/>
      <w:lvlText w:val="%7."/>
      <w:lvlJc w:val="left"/>
      <w:pPr>
        <w:ind w:left="5040" w:hanging="360"/>
      </w:pPr>
    </w:lvl>
    <w:lvl w:ilvl="7" w:tplc="737E3C6A">
      <w:start w:val="1"/>
      <w:numFmt w:val="lowerLetter"/>
      <w:lvlText w:val="%8."/>
      <w:lvlJc w:val="left"/>
      <w:pPr>
        <w:ind w:left="5760" w:hanging="360"/>
      </w:pPr>
    </w:lvl>
    <w:lvl w:ilvl="8" w:tplc="267CDF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75718"/>
    <w:multiLevelType w:val="hybridMultilevel"/>
    <w:tmpl w:val="1168084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DD303B"/>
    <w:multiLevelType w:val="hybridMultilevel"/>
    <w:tmpl w:val="01C6726E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16DC2"/>
    <w:multiLevelType w:val="hybridMultilevel"/>
    <w:tmpl w:val="CF686BB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74987"/>
    <w:multiLevelType w:val="hybridMultilevel"/>
    <w:tmpl w:val="25B4C3AE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DC36649"/>
    <w:multiLevelType w:val="hybridMultilevel"/>
    <w:tmpl w:val="713A19CA"/>
    <w:lvl w:ilvl="0" w:tplc="F6166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F7347CD"/>
    <w:multiLevelType w:val="hybridMultilevel"/>
    <w:tmpl w:val="420C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8DED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5281D"/>
    <w:multiLevelType w:val="hybridMultilevel"/>
    <w:tmpl w:val="142C58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E118E"/>
    <w:multiLevelType w:val="hybridMultilevel"/>
    <w:tmpl w:val="E8FEDEF0"/>
    <w:lvl w:ilvl="0" w:tplc="1F185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7D275F"/>
    <w:multiLevelType w:val="hybridMultilevel"/>
    <w:tmpl w:val="220437D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B8DED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21E5C"/>
    <w:multiLevelType w:val="hybridMultilevel"/>
    <w:tmpl w:val="BC0223C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1E2474">
      <w:start w:val="1"/>
      <w:numFmt w:val="lowerLetter"/>
      <w:lvlText w:val="%2."/>
      <w:lvlJc w:val="left"/>
      <w:pPr>
        <w:ind w:left="1440" w:hanging="360"/>
      </w:pPr>
    </w:lvl>
    <w:lvl w:ilvl="2" w:tplc="CF80E7CA">
      <w:start w:val="1"/>
      <w:numFmt w:val="lowerRoman"/>
      <w:lvlText w:val="%3."/>
      <w:lvlJc w:val="right"/>
      <w:pPr>
        <w:ind w:left="2160" w:hanging="180"/>
      </w:pPr>
    </w:lvl>
    <w:lvl w:ilvl="3" w:tplc="E474BBE2">
      <w:start w:val="1"/>
      <w:numFmt w:val="decimal"/>
      <w:lvlText w:val="%4."/>
      <w:lvlJc w:val="left"/>
      <w:pPr>
        <w:ind w:left="2880" w:hanging="360"/>
      </w:pPr>
    </w:lvl>
    <w:lvl w:ilvl="4" w:tplc="462EC6F6">
      <w:start w:val="1"/>
      <w:numFmt w:val="lowerLetter"/>
      <w:lvlText w:val="%5."/>
      <w:lvlJc w:val="left"/>
      <w:pPr>
        <w:ind w:left="3600" w:hanging="360"/>
      </w:pPr>
    </w:lvl>
    <w:lvl w:ilvl="5" w:tplc="61E4D974">
      <w:start w:val="1"/>
      <w:numFmt w:val="lowerRoman"/>
      <w:lvlText w:val="%6."/>
      <w:lvlJc w:val="right"/>
      <w:pPr>
        <w:ind w:left="4320" w:hanging="180"/>
      </w:pPr>
    </w:lvl>
    <w:lvl w:ilvl="6" w:tplc="F6861F06">
      <w:start w:val="1"/>
      <w:numFmt w:val="decimal"/>
      <w:lvlText w:val="%7."/>
      <w:lvlJc w:val="left"/>
      <w:pPr>
        <w:ind w:left="5040" w:hanging="360"/>
      </w:pPr>
    </w:lvl>
    <w:lvl w:ilvl="7" w:tplc="737E3C6A">
      <w:start w:val="1"/>
      <w:numFmt w:val="lowerLetter"/>
      <w:lvlText w:val="%8."/>
      <w:lvlJc w:val="left"/>
      <w:pPr>
        <w:ind w:left="5760" w:hanging="360"/>
      </w:pPr>
    </w:lvl>
    <w:lvl w:ilvl="8" w:tplc="267CDF4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45D08"/>
    <w:multiLevelType w:val="hybridMultilevel"/>
    <w:tmpl w:val="819CD394"/>
    <w:lvl w:ilvl="0" w:tplc="85C8C05E">
      <w:start w:val="1"/>
      <w:numFmt w:val="bullet"/>
      <w:pStyle w:val="Link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36CF7"/>
    <w:multiLevelType w:val="hybridMultilevel"/>
    <w:tmpl w:val="0422FD8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90C9D"/>
    <w:multiLevelType w:val="hybridMultilevel"/>
    <w:tmpl w:val="0986B254"/>
    <w:lvl w:ilvl="0" w:tplc="F6166D28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1645BE"/>
    <w:multiLevelType w:val="hybridMultilevel"/>
    <w:tmpl w:val="B9A436AA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AB60AE3"/>
    <w:multiLevelType w:val="hybridMultilevel"/>
    <w:tmpl w:val="8DFEB8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B29C8"/>
    <w:multiLevelType w:val="singleLevel"/>
    <w:tmpl w:val="B1E65BE0"/>
    <w:lvl w:ilvl="0">
      <w:numFmt w:val="decimal"/>
      <w:lvlText w:val="*"/>
      <w:lvlJc w:val="left"/>
    </w:lvl>
  </w:abstractNum>
  <w:abstractNum w:abstractNumId="27" w15:restartNumberingAfterBreak="0">
    <w:nsid w:val="3DB51499"/>
    <w:multiLevelType w:val="singleLevel"/>
    <w:tmpl w:val="080C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DD01171"/>
    <w:multiLevelType w:val="hybridMultilevel"/>
    <w:tmpl w:val="C2BC4C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1C66E5"/>
    <w:multiLevelType w:val="hybridMultilevel"/>
    <w:tmpl w:val="61102A12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03C7B2A"/>
    <w:multiLevelType w:val="hybridMultilevel"/>
    <w:tmpl w:val="3264802E"/>
    <w:lvl w:ilvl="0" w:tplc="00E83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B44E3A"/>
    <w:multiLevelType w:val="hybridMultilevel"/>
    <w:tmpl w:val="A56487F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D777E"/>
    <w:multiLevelType w:val="hybridMultilevel"/>
    <w:tmpl w:val="DD9064E4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6F038A"/>
    <w:multiLevelType w:val="hybridMultilevel"/>
    <w:tmpl w:val="EA567300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1AD2AAE"/>
    <w:multiLevelType w:val="hybridMultilevel"/>
    <w:tmpl w:val="3FFC134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652359"/>
    <w:multiLevelType w:val="hybridMultilevel"/>
    <w:tmpl w:val="9A0E92AC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B593470"/>
    <w:multiLevelType w:val="hybridMultilevel"/>
    <w:tmpl w:val="DCC0522C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B966248"/>
    <w:multiLevelType w:val="hybridMultilevel"/>
    <w:tmpl w:val="550C47CE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5C416698"/>
    <w:multiLevelType w:val="hybridMultilevel"/>
    <w:tmpl w:val="B268C3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1AE19D6"/>
    <w:multiLevelType w:val="hybridMultilevel"/>
    <w:tmpl w:val="A7E21F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353DB"/>
    <w:multiLevelType w:val="multilevel"/>
    <w:tmpl w:val="5D04BF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31A290F"/>
    <w:multiLevelType w:val="hybridMultilevel"/>
    <w:tmpl w:val="E37832B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9336FE"/>
    <w:multiLevelType w:val="hybridMultilevel"/>
    <w:tmpl w:val="50B487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C1EC8"/>
    <w:multiLevelType w:val="hybridMultilevel"/>
    <w:tmpl w:val="2BA0EF5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C79E8"/>
    <w:multiLevelType w:val="hybridMultilevel"/>
    <w:tmpl w:val="16F4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26DCA"/>
    <w:multiLevelType w:val="multilevel"/>
    <w:tmpl w:val="5D04BF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DA0492"/>
    <w:multiLevelType w:val="hybridMultilevel"/>
    <w:tmpl w:val="69184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56706"/>
    <w:multiLevelType w:val="hybridMultilevel"/>
    <w:tmpl w:val="47BC6A4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1A6F23"/>
    <w:multiLevelType w:val="hybridMultilevel"/>
    <w:tmpl w:val="00481944"/>
    <w:lvl w:ilvl="0" w:tplc="0409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3">
    <w:abstractNumId w:val="30"/>
  </w:num>
  <w:num w:numId="4">
    <w:abstractNumId w:val="18"/>
  </w:num>
  <w:num w:numId="5">
    <w:abstractNumId w:val="17"/>
  </w:num>
  <w:num w:numId="6">
    <w:abstractNumId w:val="9"/>
  </w:num>
  <w:num w:numId="7">
    <w:abstractNumId w:val="48"/>
  </w:num>
  <w:num w:numId="8">
    <w:abstractNumId w:val="46"/>
  </w:num>
  <w:num w:numId="9">
    <w:abstractNumId w:val="3"/>
  </w:num>
  <w:num w:numId="10">
    <w:abstractNumId w:val="29"/>
  </w:num>
  <w:num w:numId="11">
    <w:abstractNumId w:val="47"/>
  </w:num>
  <w:num w:numId="12">
    <w:abstractNumId w:val="16"/>
  </w:num>
  <w:num w:numId="13">
    <w:abstractNumId w:val="38"/>
  </w:num>
  <w:num w:numId="14">
    <w:abstractNumId w:val="5"/>
  </w:num>
  <w:num w:numId="15">
    <w:abstractNumId w:val="32"/>
  </w:num>
  <w:num w:numId="16">
    <w:abstractNumId w:val="23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45"/>
  </w:num>
  <w:num w:numId="22">
    <w:abstractNumId w:val="40"/>
  </w:num>
  <w:num w:numId="23">
    <w:abstractNumId w:val="1"/>
  </w:num>
  <w:num w:numId="24">
    <w:abstractNumId w:val="11"/>
  </w:num>
  <w:num w:numId="25">
    <w:abstractNumId w:val="28"/>
  </w:num>
  <w:num w:numId="26">
    <w:abstractNumId w:val="44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28">
    <w:abstractNumId w:val="39"/>
  </w:num>
  <w:num w:numId="29">
    <w:abstractNumId w:val="42"/>
  </w:num>
  <w:num w:numId="30">
    <w:abstractNumId w:val="25"/>
  </w:num>
  <w:num w:numId="31">
    <w:abstractNumId w:val="27"/>
  </w:num>
  <w:num w:numId="32">
    <w:abstractNumId w:val="10"/>
  </w:num>
  <w:num w:numId="33">
    <w:abstractNumId w:val="4"/>
  </w:num>
  <w:num w:numId="34">
    <w:abstractNumId w:val="22"/>
  </w:num>
  <w:num w:numId="35">
    <w:abstractNumId w:val="36"/>
  </w:num>
  <w:num w:numId="36">
    <w:abstractNumId w:val="41"/>
  </w:num>
  <w:num w:numId="37">
    <w:abstractNumId w:val="8"/>
  </w:num>
  <w:num w:numId="38">
    <w:abstractNumId w:val="34"/>
  </w:num>
  <w:num w:numId="39">
    <w:abstractNumId w:val="12"/>
  </w:num>
  <w:num w:numId="40">
    <w:abstractNumId w:val="43"/>
  </w:num>
  <w:num w:numId="41">
    <w:abstractNumId w:val="37"/>
  </w:num>
  <w:num w:numId="42">
    <w:abstractNumId w:val="33"/>
  </w:num>
  <w:num w:numId="43">
    <w:abstractNumId w:val="14"/>
  </w:num>
  <w:num w:numId="44">
    <w:abstractNumId w:val="20"/>
  </w:num>
  <w:num w:numId="45">
    <w:abstractNumId w:val="6"/>
  </w:num>
  <w:num w:numId="46">
    <w:abstractNumId w:val="13"/>
  </w:num>
  <w:num w:numId="47">
    <w:abstractNumId w:val="24"/>
  </w:num>
  <w:num w:numId="48">
    <w:abstractNumId w:val="31"/>
  </w:num>
  <w:num w:numId="49">
    <w:abstractNumId w:val="35"/>
  </w:num>
  <w:num w:numId="50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nl-BE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fr-FR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fi-FI" w:vendorID="64" w:dllVersion="4096" w:nlCheck="1" w:checkStyle="0"/>
  <w:activeWritingStyle w:appName="MSWord" w:lang="de-AT" w:vendorID="64" w:dllVersion="4096" w:nlCheck="1" w:checkStyle="0"/>
  <w:activeWritingStyle w:appName="MSWord" w:lang="nl-BE" w:vendorID="64" w:dllVersion="4096" w:nlCheck="1" w:checkStyle="0"/>
  <w:activeWritingStyle w:appName="MSWord" w:lang="da-DK" w:vendorID="64" w:dllVersion="4096" w:nlCheck="1" w:checkStyle="0"/>
  <w:activeWritingStyle w:appName="MSWord" w:lang="en-IE" w:vendorID="64" w:dllVersion="4096" w:nlCheck="1" w:checkStyle="0"/>
  <w:activeWritingStyle w:appName="MSWord" w:lang="fr-LU" w:vendorID="64" w:dllVersion="4096" w:nlCheck="1" w:checkStyle="0"/>
  <w:activeWritingStyle w:appName="MSWord" w:lang="en-AU" w:vendorID="64" w:dllVersion="4096" w:nlCheck="1" w:checkStyle="0"/>
  <w:activeWritingStyle w:appName="MSWord" w:lang="nl-NL" w:vendorID="64" w:dllVersion="4096" w:nlCheck="1" w:checkStyle="0"/>
  <w:activeWritingStyle w:appName="MSWord" w:lang="sv-SE" w:vendorID="64" w:dllVersion="4096" w:nlCheck="1" w:checkStyle="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11FC"/>
    <w:rsid w:val="00001786"/>
    <w:rsid w:val="00001A64"/>
    <w:rsid w:val="00002061"/>
    <w:rsid w:val="00002240"/>
    <w:rsid w:val="00002A4B"/>
    <w:rsid w:val="00005277"/>
    <w:rsid w:val="000058F8"/>
    <w:rsid w:val="00007729"/>
    <w:rsid w:val="00011582"/>
    <w:rsid w:val="00011846"/>
    <w:rsid w:val="00012071"/>
    <w:rsid w:val="000124A6"/>
    <w:rsid w:val="00013CEE"/>
    <w:rsid w:val="00014132"/>
    <w:rsid w:val="000142E0"/>
    <w:rsid w:val="00014C93"/>
    <w:rsid w:val="00015A43"/>
    <w:rsid w:val="00015E18"/>
    <w:rsid w:val="00016015"/>
    <w:rsid w:val="00017B56"/>
    <w:rsid w:val="00020557"/>
    <w:rsid w:val="0002109C"/>
    <w:rsid w:val="00021CE3"/>
    <w:rsid w:val="000232FA"/>
    <w:rsid w:val="00023B5F"/>
    <w:rsid w:val="00023DE9"/>
    <w:rsid w:val="000243E7"/>
    <w:rsid w:val="0002450A"/>
    <w:rsid w:val="00024601"/>
    <w:rsid w:val="000247C5"/>
    <w:rsid w:val="00024D79"/>
    <w:rsid w:val="00025304"/>
    <w:rsid w:val="000257FE"/>
    <w:rsid w:val="00025CE3"/>
    <w:rsid w:val="00026AF7"/>
    <w:rsid w:val="0002700A"/>
    <w:rsid w:val="00027072"/>
    <w:rsid w:val="000273E5"/>
    <w:rsid w:val="00027441"/>
    <w:rsid w:val="0003047E"/>
    <w:rsid w:val="00030AA7"/>
    <w:rsid w:val="00031589"/>
    <w:rsid w:val="00031F57"/>
    <w:rsid w:val="00032038"/>
    <w:rsid w:val="0003252D"/>
    <w:rsid w:val="0003271A"/>
    <w:rsid w:val="00032BAA"/>
    <w:rsid w:val="00032C0F"/>
    <w:rsid w:val="00032DB1"/>
    <w:rsid w:val="00033456"/>
    <w:rsid w:val="00033478"/>
    <w:rsid w:val="000336F2"/>
    <w:rsid w:val="00033839"/>
    <w:rsid w:val="000349A2"/>
    <w:rsid w:val="00034E35"/>
    <w:rsid w:val="00035924"/>
    <w:rsid w:val="000359CB"/>
    <w:rsid w:val="00036505"/>
    <w:rsid w:val="0003786C"/>
    <w:rsid w:val="00037A85"/>
    <w:rsid w:val="000402AE"/>
    <w:rsid w:val="00040FE1"/>
    <w:rsid w:val="00041C4A"/>
    <w:rsid w:val="0004205F"/>
    <w:rsid w:val="000421E0"/>
    <w:rsid w:val="00043287"/>
    <w:rsid w:val="00043A3F"/>
    <w:rsid w:val="00046621"/>
    <w:rsid w:val="00046E56"/>
    <w:rsid w:val="00047887"/>
    <w:rsid w:val="00050002"/>
    <w:rsid w:val="000507DF"/>
    <w:rsid w:val="0005110E"/>
    <w:rsid w:val="0005170F"/>
    <w:rsid w:val="00052BF1"/>
    <w:rsid w:val="00052D14"/>
    <w:rsid w:val="00052DD1"/>
    <w:rsid w:val="0005495B"/>
    <w:rsid w:val="00055A19"/>
    <w:rsid w:val="00055CA5"/>
    <w:rsid w:val="00055D63"/>
    <w:rsid w:val="00056079"/>
    <w:rsid w:val="00056B3E"/>
    <w:rsid w:val="0005755A"/>
    <w:rsid w:val="00057592"/>
    <w:rsid w:val="00057A51"/>
    <w:rsid w:val="00060F9E"/>
    <w:rsid w:val="000636B3"/>
    <w:rsid w:val="00063DFF"/>
    <w:rsid w:val="00063F30"/>
    <w:rsid w:val="0006421B"/>
    <w:rsid w:val="00064442"/>
    <w:rsid w:val="00064EDE"/>
    <w:rsid w:val="000662D1"/>
    <w:rsid w:val="00066DC7"/>
    <w:rsid w:val="000676C4"/>
    <w:rsid w:val="0007015C"/>
    <w:rsid w:val="00070AAE"/>
    <w:rsid w:val="00070FEE"/>
    <w:rsid w:val="0007146F"/>
    <w:rsid w:val="00071568"/>
    <w:rsid w:val="00071B33"/>
    <w:rsid w:val="00071BCC"/>
    <w:rsid w:val="00071F4C"/>
    <w:rsid w:val="00072D9B"/>
    <w:rsid w:val="00073491"/>
    <w:rsid w:val="000736D0"/>
    <w:rsid w:val="0007419A"/>
    <w:rsid w:val="000748E3"/>
    <w:rsid w:val="00075ECB"/>
    <w:rsid w:val="000764E8"/>
    <w:rsid w:val="00076BA9"/>
    <w:rsid w:val="00077FF5"/>
    <w:rsid w:val="000830F4"/>
    <w:rsid w:val="00083845"/>
    <w:rsid w:val="00085082"/>
    <w:rsid w:val="00086B53"/>
    <w:rsid w:val="00086D43"/>
    <w:rsid w:val="000911BF"/>
    <w:rsid w:val="000917D8"/>
    <w:rsid w:val="00092425"/>
    <w:rsid w:val="000925AF"/>
    <w:rsid w:val="00093F23"/>
    <w:rsid w:val="00094B6B"/>
    <w:rsid w:val="000951A1"/>
    <w:rsid w:val="000956DB"/>
    <w:rsid w:val="00096786"/>
    <w:rsid w:val="00096CDE"/>
    <w:rsid w:val="000970CE"/>
    <w:rsid w:val="00097704"/>
    <w:rsid w:val="0009784F"/>
    <w:rsid w:val="000A007B"/>
    <w:rsid w:val="000A03BD"/>
    <w:rsid w:val="000A0B04"/>
    <w:rsid w:val="000A1218"/>
    <w:rsid w:val="000A1931"/>
    <w:rsid w:val="000A2953"/>
    <w:rsid w:val="000A3603"/>
    <w:rsid w:val="000A558D"/>
    <w:rsid w:val="000A74DC"/>
    <w:rsid w:val="000A7BA8"/>
    <w:rsid w:val="000A7EC1"/>
    <w:rsid w:val="000B01F7"/>
    <w:rsid w:val="000B0B9A"/>
    <w:rsid w:val="000B1628"/>
    <w:rsid w:val="000B19C4"/>
    <w:rsid w:val="000B1AE6"/>
    <w:rsid w:val="000B1C30"/>
    <w:rsid w:val="000B1C78"/>
    <w:rsid w:val="000B25D7"/>
    <w:rsid w:val="000B2AC9"/>
    <w:rsid w:val="000B37D6"/>
    <w:rsid w:val="000B3B3B"/>
    <w:rsid w:val="000B5492"/>
    <w:rsid w:val="000B5831"/>
    <w:rsid w:val="000B5E57"/>
    <w:rsid w:val="000B64C3"/>
    <w:rsid w:val="000B652D"/>
    <w:rsid w:val="000B6A0A"/>
    <w:rsid w:val="000B79E2"/>
    <w:rsid w:val="000B7D8A"/>
    <w:rsid w:val="000C06CE"/>
    <w:rsid w:val="000C0708"/>
    <w:rsid w:val="000C18CA"/>
    <w:rsid w:val="000C2F19"/>
    <w:rsid w:val="000C3942"/>
    <w:rsid w:val="000C3E40"/>
    <w:rsid w:val="000C3E7C"/>
    <w:rsid w:val="000C43E2"/>
    <w:rsid w:val="000C4A91"/>
    <w:rsid w:val="000C4EED"/>
    <w:rsid w:val="000C5E9B"/>
    <w:rsid w:val="000C6D0B"/>
    <w:rsid w:val="000C73A6"/>
    <w:rsid w:val="000D0187"/>
    <w:rsid w:val="000D0A74"/>
    <w:rsid w:val="000D10ED"/>
    <w:rsid w:val="000D14C9"/>
    <w:rsid w:val="000D2F8F"/>
    <w:rsid w:val="000D391B"/>
    <w:rsid w:val="000D40D0"/>
    <w:rsid w:val="000D5A98"/>
    <w:rsid w:val="000D65AC"/>
    <w:rsid w:val="000D7181"/>
    <w:rsid w:val="000D72F5"/>
    <w:rsid w:val="000D754F"/>
    <w:rsid w:val="000D7878"/>
    <w:rsid w:val="000E1079"/>
    <w:rsid w:val="000E14F2"/>
    <w:rsid w:val="000E3485"/>
    <w:rsid w:val="000E37FD"/>
    <w:rsid w:val="000E437C"/>
    <w:rsid w:val="000E447F"/>
    <w:rsid w:val="000E5197"/>
    <w:rsid w:val="000E56EA"/>
    <w:rsid w:val="000E5FFD"/>
    <w:rsid w:val="000E6108"/>
    <w:rsid w:val="000E698E"/>
    <w:rsid w:val="000E75F1"/>
    <w:rsid w:val="000F21B9"/>
    <w:rsid w:val="000F2598"/>
    <w:rsid w:val="000F2BDB"/>
    <w:rsid w:val="000F2E5A"/>
    <w:rsid w:val="000F442A"/>
    <w:rsid w:val="000F4825"/>
    <w:rsid w:val="000F53B7"/>
    <w:rsid w:val="000F679A"/>
    <w:rsid w:val="000F6FCF"/>
    <w:rsid w:val="001000A8"/>
    <w:rsid w:val="0010109E"/>
    <w:rsid w:val="001016BE"/>
    <w:rsid w:val="00101D87"/>
    <w:rsid w:val="001023AA"/>
    <w:rsid w:val="00104302"/>
    <w:rsid w:val="00104B7A"/>
    <w:rsid w:val="001052A1"/>
    <w:rsid w:val="00105345"/>
    <w:rsid w:val="0010535A"/>
    <w:rsid w:val="00105758"/>
    <w:rsid w:val="00105EF9"/>
    <w:rsid w:val="00106358"/>
    <w:rsid w:val="00110085"/>
    <w:rsid w:val="001106FB"/>
    <w:rsid w:val="00111187"/>
    <w:rsid w:val="00111BD8"/>
    <w:rsid w:val="00113B00"/>
    <w:rsid w:val="001140AE"/>
    <w:rsid w:val="00115CB3"/>
    <w:rsid w:val="00115CD7"/>
    <w:rsid w:val="00115FCA"/>
    <w:rsid w:val="001167A1"/>
    <w:rsid w:val="001168D6"/>
    <w:rsid w:val="00116A1C"/>
    <w:rsid w:val="001179DB"/>
    <w:rsid w:val="00117AA8"/>
    <w:rsid w:val="00120215"/>
    <w:rsid w:val="00120BA5"/>
    <w:rsid w:val="00121BCE"/>
    <w:rsid w:val="00123FF3"/>
    <w:rsid w:val="0012472C"/>
    <w:rsid w:val="00124D7C"/>
    <w:rsid w:val="00124D9E"/>
    <w:rsid w:val="001253F5"/>
    <w:rsid w:val="0012548F"/>
    <w:rsid w:val="001264CB"/>
    <w:rsid w:val="00126BB5"/>
    <w:rsid w:val="00126D3E"/>
    <w:rsid w:val="00126D40"/>
    <w:rsid w:val="001271C3"/>
    <w:rsid w:val="0013052F"/>
    <w:rsid w:val="00132B56"/>
    <w:rsid w:val="001332A2"/>
    <w:rsid w:val="00133C08"/>
    <w:rsid w:val="001348CC"/>
    <w:rsid w:val="00135610"/>
    <w:rsid w:val="00135769"/>
    <w:rsid w:val="00137BCC"/>
    <w:rsid w:val="001400C7"/>
    <w:rsid w:val="0014322B"/>
    <w:rsid w:val="001435E4"/>
    <w:rsid w:val="001445A7"/>
    <w:rsid w:val="001455A1"/>
    <w:rsid w:val="0014589C"/>
    <w:rsid w:val="00145DCD"/>
    <w:rsid w:val="00150AD8"/>
    <w:rsid w:val="00150B75"/>
    <w:rsid w:val="00150E51"/>
    <w:rsid w:val="001513FD"/>
    <w:rsid w:val="00151EDB"/>
    <w:rsid w:val="0015211E"/>
    <w:rsid w:val="00153032"/>
    <w:rsid w:val="00153F0C"/>
    <w:rsid w:val="00153FB4"/>
    <w:rsid w:val="001543FE"/>
    <w:rsid w:val="00154EC7"/>
    <w:rsid w:val="00155B53"/>
    <w:rsid w:val="001563F6"/>
    <w:rsid w:val="00157F0F"/>
    <w:rsid w:val="001606AD"/>
    <w:rsid w:val="00160A67"/>
    <w:rsid w:val="00163106"/>
    <w:rsid w:val="00164813"/>
    <w:rsid w:val="0016534C"/>
    <w:rsid w:val="00165EA2"/>
    <w:rsid w:val="001711D7"/>
    <w:rsid w:val="00172541"/>
    <w:rsid w:val="0017287C"/>
    <w:rsid w:val="00173E94"/>
    <w:rsid w:val="001744F9"/>
    <w:rsid w:val="00174763"/>
    <w:rsid w:val="001755E0"/>
    <w:rsid w:val="001756D1"/>
    <w:rsid w:val="00175EC3"/>
    <w:rsid w:val="001760E9"/>
    <w:rsid w:val="00176786"/>
    <w:rsid w:val="001800DA"/>
    <w:rsid w:val="00180F59"/>
    <w:rsid w:val="0018231C"/>
    <w:rsid w:val="00182F92"/>
    <w:rsid w:val="0018432F"/>
    <w:rsid w:val="00184D19"/>
    <w:rsid w:val="0018585A"/>
    <w:rsid w:val="001861B4"/>
    <w:rsid w:val="001865D3"/>
    <w:rsid w:val="00187F8B"/>
    <w:rsid w:val="00191584"/>
    <w:rsid w:val="00191597"/>
    <w:rsid w:val="00192911"/>
    <w:rsid w:val="00192BCD"/>
    <w:rsid w:val="00193D92"/>
    <w:rsid w:val="00194870"/>
    <w:rsid w:val="001951FD"/>
    <w:rsid w:val="00195380"/>
    <w:rsid w:val="001965D5"/>
    <w:rsid w:val="0019674A"/>
    <w:rsid w:val="0019715D"/>
    <w:rsid w:val="001A0AD4"/>
    <w:rsid w:val="001A1CC5"/>
    <w:rsid w:val="001A2273"/>
    <w:rsid w:val="001A2632"/>
    <w:rsid w:val="001A2ED2"/>
    <w:rsid w:val="001A7110"/>
    <w:rsid w:val="001A7476"/>
    <w:rsid w:val="001B10DA"/>
    <w:rsid w:val="001B146A"/>
    <w:rsid w:val="001B643B"/>
    <w:rsid w:val="001B6460"/>
    <w:rsid w:val="001B79F5"/>
    <w:rsid w:val="001C087D"/>
    <w:rsid w:val="001C08F2"/>
    <w:rsid w:val="001C1786"/>
    <w:rsid w:val="001C226F"/>
    <w:rsid w:val="001C3412"/>
    <w:rsid w:val="001C3C0F"/>
    <w:rsid w:val="001C4219"/>
    <w:rsid w:val="001C4A5D"/>
    <w:rsid w:val="001C4EDC"/>
    <w:rsid w:val="001C4EFA"/>
    <w:rsid w:val="001C5776"/>
    <w:rsid w:val="001C5D5C"/>
    <w:rsid w:val="001C64EB"/>
    <w:rsid w:val="001C6DC3"/>
    <w:rsid w:val="001C703D"/>
    <w:rsid w:val="001C72AB"/>
    <w:rsid w:val="001C7B41"/>
    <w:rsid w:val="001D1F54"/>
    <w:rsid w:val="001D2636"/>
    <w:rsid w:val="001D31CF"/>
    <w:rsid w:val="001D357A"/>
    <w:rsid w:val="001D3D0A"/>
    <w:rsid w:val="001D6EF9"/>
    <w:rsid w:val="001D6FFF"/>
    <w:rsid w:val="001D770D"/>
    <w:rsid w:val="001E0BF5"/>
    <w:rsid w:val="001E0F0C"/>
    <w:rsid w:val="001E1489"/>
    <w:rsid w:val="001E1833"/>
    <w:rsid w:val="001E2286"/>
    <w:rsid w:val="001E2BD2"/>
    <w:rsid w:val="001E347B"/>
    <w:rsid w:val="001E3DFE"/>
    <w:rsid w:val="001E418F"/>
    <w:rsid w:val="001E6413"/>
    <w:rsid w:val="001E6AE6"/>
    <w:rsid w:val="001E6F69"/>
    <w:rsid w:val="001E715B"/>
    <w:rsid w:val="001E71D7"/>
    <w:rsid w:val="001F0687"/>
    <w:rsid w:val="001F1433"/>
    <w:rsid w:val="001F1862"/>
    <w:rsid w:val="001F3E4F"/>
    <w:rsid w:val="001F47B5"/>
    <w:rsid w:val="001F56CE"/>
    <w:rsid w:val="001F5A42"/>
    <w:rsid w:val="001F6FD5"/>
    <w:rsid w:val="001F773D"/>
    <w:rsid w:val="00200222"/>
    <w:rsid w:val="00200444"/>
    <w:rsid w:val="0020062C"/>
    <w:rsid w:val="0020064C"/>
    <w:rsid w:val="00200823"/>
    <w:rsid w:val="00200BE9"/>
    <w:rsid w:val="0020199E"/>
    <w:rsid w:val="00201A37"/>
    <w:rsid w:val="00202D9A"/>
    <w:rsid w:val="002037FC"/>
    <w:rsid w:val="00203B0B"/>
    <w:rsid w:val="00203BF4"/>
    <w:rsid w:val="002040E7"/>
    <w:rsid w:val="002043D7"/>
    <w:rsid w:val="002048F7"/>
    <w:rsid w:val="002049FA"/>
    <w:rsid w:val="00204FE8"/>
    <w:rsid w:val="00205D0D"/>
    <w:rsid w:val="00206D17"/>
    <w:rsid w:val="00207025"/>
    <w:rsid w:val="00207B3C"/>
    <w:rsid w:val="00210F85"/>
    <w:rsid w:val="002119AD"/>
    <w:rsid w:val="00215520"/>
    <w:rsid w:val="0021590B"/>
    <w:rsid w:val="00215FAB"/>
    <w:rsid w:val="00217695"/>
    <w:rsid w:val="002205F3"/>
    <w:rsid w:val="00221313"/>
    <w:rsid w:val="002213A3"/>
    <w:rsid w:val="00221854"/>
    <w:rsid w:val="00223179"/>
    <w:rsid w:val="00224583"/>
    <w:rsid w:val="002247DC"/>
    <w:rsid w:val="00224E52"/>
    <w:rsid w:val="00224F73"/>
    <w:rsid w:val="0022582C"/>
    <w:rsid w:val="00225BCA"/>
    <w:rsid w:val="00225C52"/>
    <w:rsid w:val="002264B1"/>
    <w:rsid w:val="002268A5"/>
    <w:rsid w:val="00226A74"/>
    <w:rsid w:val="00226DC1"/>
    <w:rsid w:val="002274AE"/>
    <w:rsid w:val="0022774F"/>
    <w:rsid w:val="00227E12"/>
    <w:rsid w:val="00230910"/>
    <w:rsid w:val="00231571"/>
    <w:rsid w:val="00231B83"/>
    <w:rsid w:val="00232374"/>
    <w:rsid w:val="002326F4"/>
    <w:rsid w:val="00232868"/>
    <w:rsid w:val="002328D2"/>
    <w:rsid w:val="0023415A"/>
    <w:rsid w:val="00234EA0"/>
    <w:rsid w:val="0023561C"/>
    <w:rsid w:val="00235B94"/>
    <w:rsid w:val="00237481"/>
    <w:rsid w:val="00240C09"/>
    <w:rsid w:val="00240D4D"/>
    <w:rsid w:val="002419CA"/>
    <w:rsid w:val="00241C29"/>
    <w:rsid w:val="00242666"/>
    <w:rsid w:val="00243BC0"/>
    <w:rsid w:val="00245136"/>
    <w:rsid w:val="002457A2"/>
    <w:rsid w:val="00245A60"/>
    <w:rsid w:val="00245CD4"/>
    <w:rsid w:val="002460C7"/>
    <w:rsid w:val="00246F51"/>
    <w:rsid w:val="002479AC"/>
    <w:rsid w:val="00247E02"/>
    <w:rsid w:val="00251418"/>
    <w:rsid w:val="002525C2"/>
    <w:rsid w:val="002525F9"/>
    <w:rsid w:val="002527F0"/>
    <w:rsid w:val="00252D9C"/>
    <w:rsid w:val="00252DA5"/>
    <w:rsid w:val="00254776"/>
    <w:rsid w:val="00255669"/>
    <w:rsid w:val="0025617D"/>
    <w:rsid w:val="00256BEC"/>
    <w:rsid w:val="00256F0A"/>
    <w:rsid w:val="002571FC"/>
    <w:rsid w:val="00260907"/>
    <w:rsid w:val="00260B0A"/>
    <w:rsid w:val="00261903"/>
    <w:rsid w:val="00261EA6"/>
    <w:rsid w:val="00261FDB"/>
    <w:rsid w:val="002634CF"/>
    <w:rsid w:val="002635C7"/>
    <w:rsid w:val="00263616"/>
    <w:rsid w:val="002646B8"/>
    <w:rsid w:val="00267ABD"/>
    <w:rsid w:val="002706AD"/>
    <w:rsid w:val="00270828"/>
    <w:rsid w:val="00270AEC"/>
    <w:rsid w:val="002713AA"/>
    <w:rsid w:val="002713F4"/>
    <w:rsid w:val="002725D3"/>
    <w:rsid w:val="002736DF"/>
    <w:rsid w:val="002737D4"/>
    <w:rsid w:val="00274160"/>
    <w:rsid w:val="00274765"/>
    <w:rsid w:val="00274C1C"/>
    <w:rsid w:val="00274DCF"/>
    <w:rsid w:val="00275718"/>
    <w:rsid w:val="00275A32"/>
    <w:rsid w:val="002761B2"/>
    <w:rsid w:val="0027698E"/>
    <w:rsid w:val="00276CC9"/>
    <w:rsid w:val="002776B9"/>
    <w:rsid w:val="00277FEC"/>
    <w:rsid w:val="0028000C"/>
    <w:rsid w:val="00280603"/>
    <w:rsid w:val="00280A90"/>
    <w:rsid w:val="0028106D"/>
    <w:rsid w:val="0028403D"/>
    <w:rsid w:val="002852F7"/>
    <w:rsid w:val="002859C4"/>
    <w:rsid w:val="00285E58"/>
    <w:rsid w:val="00286C54"/>
    <w:rsid w:val="002879B4"/>
    <w:rsid w:val="00287B4A"/>
    <w:rsid w:val="002908E2"/>
    <w:rsid w:val="002910B2"/>
    <w:rsid w:val="00291154"/>
    <w:rsid w:val="0029132C"/>
    <w:rsid w:val="00292D44"/>
    <w:rsid w:val="00293765"/>
    <w:rsid w:val="0029379B"/>
    <w:rsid w:val="00293E9C"/>
    <w:rsid w:val="0029442A"/>
    <w:rsid w:val="00295B31"/>
    <w:rsid w:val="00295B97"/>
    <w:rsid w:val="002962DA"/>
    <w:rsid w:val="00297110"/>
    <w:rsid w:val="0029725F"/>
    <w:rsid w:val="002A1827"/>
    <w:rsid w:val="002A2F38"/>
    <w:rsid w:val="002A3076"/>
    <w:rsid w:val="002A417C"/>
    <w:rsid w:val="002A417D"/>
    <w:rsid w:val="002A48B1"/>
    <w:rsid w:val="002A48BC"/>
    <w:rsid w:val="002A6192"/>
    <w:rsid w:val="002A696A"/>
    <w:rsid w:val="002A7009"/>
    <w:rsid w:val="002B0317"/>
    <w:rsid w:val="002B09A7"/>
    <w:rsid w:val="002B15F3"/>
    <w:rsid w:val="002B1961"/>
    <w:rsid w:val="002B2BA3"/>
    <w:rsid w:val="002B4E93"/>
    <w:rsid w:val="002B5031"/>
    <w:rsid w:val="002B5510"/>
    <w:rsid w:val="002B5CF2"/>
    <w:rsid w:val="002B6D6C"/>
    <w:rsid w:val="002B75A5"/>
    <w:rsid w:val="002B7981"/>
    <w:rsid w:val="002B7C5C"/>
    <w:rsid w:val="002B7F3A"/>
    <w:rsid w:val="002C016E"/>
    <w:rsid w:val="002C07E4"/>
    <w:rsid w:val="002C08B8"/>
    <w:rsid w:val="002C0E2F"/>
    <w:rsid w:val="002C2466"/>
    <w:rsid w:val="002C24B9"/>
    <w:rsid w:val="002C2B80"/>
    <w:rsid w:val="002C42F2"/>
    <w:rsid w:val="002C4B6E"/>
    <w:rsid w:val="002C5F52"/>
    <w:rsid w:val="002C704D"/>
    <w:rsid w:val="002D03B9"/>
    <w:rsid w:val="002D10D5"/>
    <w:rsid w:val="002D1175"/>
    <w:rsid w:val="002D3D63"/>
    <w:rsid w:val="002D3FFF"/>
    <w:rsid w:val="002D4382"/>
    <w:rsid w:val="002D4A78"/>
    <w:rsid w:val="002D4C38"/>
    <w:rsid w:val="002D4C63"/>
    <w:rsid w:val="002D4D5D"/>
    <w:rsid w:val="002D5A51"/>
    <w:rsid w:val="002D691D"/>
    <w:rsid w:val="002D6C8A"/>
    <w:rsid w:val="002E01B5"/>
    <w:rsid w:val="002E211F"/>
    <w:rsid w:val="002E29B4"/>
    <w:rsid w:val="002E44D6"/>
    <w:rsid w:val="002E459D"/>
    <w:rsid w:val="002E5473"/>
    <w:rsid w:val="002E615C"/>
    <w:rsid w:val="002E62B0"/>
    <w:rsid w:val="002E7F30"/>
    <w:rsid w:val="002F0853"/>
    <w:rsid w:val="002F0F3E"/>
    <w:rsid w:val="002F31FD"/>
    <w:rsid w:val="002F32E6"/>
    <w:rsid w:val="002F47C0"/>
    <w:rsid w:val="002F4AF0"/>
    <w:rsid w:val="002F5750"/>
    <w:rsid w:val="002F57AC"/>
    <w:rsid w:val="002F5819"/>
    <w:rsid w:val="002F5EE1"/>
    <w:rsid w:val="002F63EB"/>
    <w:rsid w:val="002F6997"/>
    <w:rsid w:val="002F6FA0"/>
    <w:rsid w:val="00300ABA"/>
    <w:rsid w:val="0030158A"/>
    <w:rsid w:val="00302E45"/>
    <w:rsid w:val="003036D0"/>
    <w:rsid w:val="00304E20"/>
    <w:rsid w:val="00305834"/>
    <w:rsid w:val="00306A12"/>
    <w:rsid w:val="00311562"/>
    <w:rsid w:val="003123CB"/>
    <w:rsid w:val="003131BA"/>
    <w:rsid w:val="00313D86"/>
    <w:rsid w:val="003165A9"/>
    <w:rsid w:val="0031681F"/>
    <w:rsid w:val="00316B72"/>
    <w:rsid w:val="00320F33"/>
    <w:rsid w:val="0032128B"/>
    <w:rsid w:val="00321539"/>
    <w:rsid w:val="0032154F"/>
    <w:rsid w:val="0032266E"/>
    <w:rsid w:val="003227CC"/>
    <w:rsid w:val="0032340F"/>
    <w:rsid w:val="0032356C"/>
    <w:rsid w:val="00323A05"/>
    <w:rsid w:val="00323D28"/>
    <w:rsid w:val="00325509"/>
    <w:rsid w:val="00325F6C"/>
    <w:rsid w:val="003262D8"/>
    <w:rsid w:val="00326919"/>
    <w:rsid w:val="00326F5F"/>
    <w:rsid w:val="00327162"/>
    <w:rsid w:val="0033098C"/>
    <w:rsid w:val="0033099B"/>
    <w:rsid w:val="00330A97"/>
    <w:rsid w:val="0033100D"/>
    <w:rsid w:val="00331ACB"/>
    <w:rsid w:val="00331C12"/>
    <w:rsid w:val="00331F0C"/>
    <w:rsid w:val="00331F6F"/>
    <w:rsid w:val="00332490"/>
    <w:rsid w:val="00333BE7"/>
    <w:rsid w:val="00333F1A"/>
    <w:rsid w:val="00334052"/>
    <w:rsid w:val="00335DF3"/>
    <w:rsid w:val="00336A36"/>
    <w:rsid w:val="00337140"/>
    <w:rsid w:val="00337D94"/>
    <w:rsid w:val="00337F36"/>
    <w:rsid w:val="00340D07"/>
    <w:rsid w:val="00340F46"/>
    <w:rsid w:val="003429F9"/>
    <w:rsid w:val="00342F72"/>
    <w:rsid w:val="00343E1E"/>
    <w:rsid w:val="003447C3"/>
    <w:rsid w:val="00344B13"/>
    <w:rsid w:val="00344BCF"/>
    <w:rsid w:val="00344D4D"/>
    <w:rsid w:val="003465B5"/>
    <w:rsid w:val="00346B57"/>
    <w:rsid w:val="00347160"/>
    <w:rsid w:val="00347F9A"/>
    <w:rsid w:val="003505DD"/>
    <w:rsid w:val="00350A12"/>
    <w:rsid w:val="00350F5C"/>
    <w:rsid w:val="00351248"/>
    <w:rsid w:val="003512EC"/>
    <w:rsid w:val="0035145B"/>
    <w:rsid w:val="00351F56"/>
    <w:rsid w:val="003527B4"/>
    <w:rsid w:val="003529C2"/>
    <w:rsid w:val="00353184"/>
    <w:rsid w:val="00353D37"/>
    <w:rsid w:val="00354714"/>
    <w:rsid w:val="003567CE"/>
    <w:rsid w:val="00356BAD"/>
    <w:rsid w:val="00356CCD"/>
    <w:rsid w:val="003604AE"/>
    <w:rsid w:val="00360C81"/>
    <w:rsid w:val="00361E48"/>
    <w:rsid w:val="00361F46"/>
    <w:rsid w:val="00363F5C"/>
    <w:rsid w:val="003641AD"/>
    <w:rsid w:val="003661D3"/>
    <w:rsid w:val="0036641A"/>
    <w:rsid w:val="00370548"/>
    <w:rsid w:val="00370CCB"/>
    <w:rsid w:val="003746E1"/>
    <w:rsid w:val="003748B6"/>
    <w:rsid w:val="00374BB8"/>
    <w:rsid w:val="003754CD"/>
    <w:rsid w:val="00375F51"/>
    <w:rsid w:val="003761C7"/>
    <w:rsid w:val="00376574"/>
    <w:rsid w:val="00376592"/>
    <w:rsid w:val="00376B0A"/>
    <w:rsid w:val="003770B5"/>
    <w:rsid w:val="0037718B"/>
    <w:rsid w:val="00381901"/>
    <w:rsid w:val="003819C7"/>
    <w:rsid w:val="00381EF4"/>
    <w:rsid w:val="0038273B"/>
    <w:rsid w:val="00382C37"/>
    <w:rsid w:val="0038348C"/>
    <w:rsid w:val="00386954"/>
    <w:rsid w:val="003873CF"/>
    <w:rsid w:val="00390587"/>
    <w:rsid w:val="00391B98"/>
    <w:rsid w:val="0039201C"/>
    <w:rsid w:val="00394949"/>
    <w:rsid w:val="00395070"/>
    <w:rsid w:val="003953F0"/>
    <w:rsid w:val="00395762"/>
    <w:rsid w:val="00396061"/>
    <w:rsid w:val="0039613E"/>
    <w:rsid w:val="003965BB"/>
    <w:rsid w:val="00396707"/>
    <w:rsid w:val="00396CC5"/>
    <w:rsid w:val="003A088F"/>
    <w:rsid w:val="003A0DB7"/>
    <w:rsid w:val="003A2251"/>
    <w:rsid w:val="003A3334"/>
    <w:rsid w:val="003A37C0"/>
    <w:rsid w:val="003A3C4C"/>
    <w:rsid w:val="003A5C4C"/>
    <w:rsid w:val="003A7071"/>
    <w:rsid w:val="003B01EE"/>
    <w:rsid w:val="003B0516"/>
    <w:rsid w:val="003B2007"/>
    <w:rsid w:val="003B301F"/>
    <w:rsid w:val="003B3C5F"/>
    <w:rsid w:val="003B3D68"/>
    <w:rsid w:val="003B48B7"/>
    <w:rsid w:val="003B6100"/>
    <w:rsid w:val="003B62FD"/>
    <w:rsid w:val="003B6653"/>
    <w:rsid w:val="003B6760"/>
    <w:rsid w:val="003B6EB5"/>
    <w:rsid w:val="003C07C5"/>
    <w:rsid w:val="003C0D9C"/>
    <w:rsid w:val="003C0E5B"/>
    <w:rsid w:val="003C0FF2"/>
    <w:rsid w:val="003C179C"/>
    <w:rsid w:val="003C2647"/>
    <w:rsid w:val="003C2F64"/>
    <w:rsid w:val="003C3C73"/>
    <w:rsid w:val="003C3F66"/>
    <w:rsid w:val="003C4172"/>
    <w:rsid w:val="003C4D5B"/>
    <w:rsid w:val="003C5614"/>
    <w:rsid w:val="003C5C25"/>
    <w:rsid w:val="003C5D97"/>
    <w:rsid w:val="003C7843"/>
    <w:rsid w:val="003D219D"/>
    <w:rsid w:val="003D33F7"/>
    <w:rsid w:val="003D4576"/>
    <w:rsid w:val="003D4F68"/>
    <w:rsid w:val="003D5339"/>
    <w:rsid w:val="003D55E1"/>
    <w:rsid w:val="003D5625"/>
    <w:rsid w:val="003D57BD"/>
    <w:rsid w:val="003D5824"/>
    <w:rsid w:val="003D5CC0"/>
    <w:rsid w:val="003D6811"/>
    <w:rsid w:val="003D76E2"/>
    <w:rsid w:val="003D7B91"/>
    <w:rsid w:val="003E15E3"/>
    <w:rsid w:val="003E15FD"/>
    <w:rsid w:val="003E1AFA"/>
    <w:rsid w:val="003E2373"/>
    <w:rsid w:val="003E262D"/>
    <w:rsid w:val="003E2757"/>
    <w:rsid w:val="003E3BA4"/>
    <w:rsid w:val="003E5137"/>
    <w:rsid w:val="003E5470"/>
    <w:rsid w:val="003E60EC"/>
    <w:rsid w:val="003E674F"/>
    <w:rsid w:val="003E692C"/>
    <w:rsid w:val="003F0013"/>
    <w:rsid w:val="003F0159"/>
    <w:rsid w:val="003F0594"/>
    <w:rsid w:val="003F07E1"/>
    <w:rsid w:val="003F0FDD"/>
    <w:rsid w:val="003F17D6"/>
    <w:rsid w:val="003F240C"/>
    <w:rsid w:val="003F25CD"/>
    <w:rsid w:val="003F2D36"/>
    <w:rsid w:val="003F3D32"/>
    <w:rsid w:val="003F437F"/>
    <w:rsid w:val="003F4F94"/>
    <w:rsid w:val="003F510A"/>
    <w:rsid w:val="003F549A"/>
    <w:rsid w:val="003F5D7F"/>
    <w:rsid w:val="003F6382"/>
    <w:rsid w:val="003F6762"/>
    <w:rsid w:val="003F6EE3"/>
    <w:rsid w:val="003F78A9"/>
    <w:rsid w:val="0040019C"/>
    <w:rsid w:val="00400842"/>
    <w:rsid w:val="00400A1F"/>
    <w:rsid w:val="004028F0"/>
    <w:rsid w:val="00402A19"/>
    <w:rsid w:val="004031E2"/>
    <w:rsid w:val="004033C4"/>
    <w:rsid w:val="00403406"/>
    <w:rsid w:val="004047A6"/>
    <w:rsid w:val="004047B1"/>
    <w:rsid w:val="00405802"/>
    <w:rsid w:val="00405A32"/>
    <w:rsid w:val="00405FD9"/>
    <w:rsid w:val="0040654F"/>
    <w:rsid w:val="004068A5"/>
    <w:rsid w:val="00406DDB"/>
    <w:rsid w:val="00407760"/>
    <w:rsid w:val="00410782"/>
    <w:rsid w:val="00410811"/>
    <w:rsid w:val="004109E7"/>
    <w:rsid w:val="00412749"/>
    <w:rsid w:val="00412C56"/>
    <w:rsid w:val="004134ED"/>
    <w:rsid w:val="00413EA0"/>
    <w:rsid w:val="004146D0"/>
    <w:rsid w:val="0041498C"/>
    <w:rsid w:val="00415CFC"/>
    <w:rsid w:val="00416136"/>
    <w:rsid w:val="00420A3B"/>
    <w:rsid w:val="00420AB5"/>
    <w:rsid w:val="00421CBB"/>
    <w:rsid w:val="004220CA"/>
    <w:rsid w:val="00422679"/>
    <w:rsid w:val="004228C2"/>
    <w:rsid w:val="00423D72"/>
    <w:rsid w:val="00424F1B"/>
    <w:rsid w:val="00424FBB"/>
    <w:rsid w:val="00425793"/>
    <w:rsid w:val="00425B4A"/>
    <w:rsid w:val="004268C7"/>
    <w:rsid w:val="00426B8F"/>
    <w:rsid w:val="00426ECD"/>
    <w:rsid w:val="00427161"/>
    <w:rsid w:val="00427D31"/>
    <w:rsid w:val="004305AF"/>
    <w:rsid w:val="004331B4"/>
    <w:rsid w:val="00433439"/>
    <w:rsid w:val="0043387F"/>
    <w:rsid w:val="004351D4"/>
    <w:rsid w:val="00435C78"/>
    <w:rsid w:val="00436853"/>
    <w:rsid w:val="004408E6"/>
    <w:rsid w:val="004412D5"/>
    <w:rsid w:val="004415E2"/>
    <w:rsid w:val="00441A37"/>
    <w:rsid w:val="00441E1B"/>
    <w:rsid w:val="00441E45"/>
    <w:rsid w:val="004429E2"/>
    <w:rsid w:val="0044393A"/>
    <w:rsid w:val="0044394C"/>
    <w:rsid w:val="00443C4F"/>
    <w:rsid w:val="00444114"/>
    <w:rsid w:val="004442D3"/>
    <w:rsid w:val="00447339"/>
    <w:rsid w:val="004477C9"/>
    <w:rsid w:val="00447EE5"/>
    <w:rsid w:val="00450E5A"/>
    <w:rsid w:val="004511AE"/>
    <w:rsid w:val="00451644"/>
    <w:rsid w:val="004516BD"/>
    <w:rsid w:val="0045193E"/>
    <w:rsid w:val="004529D8"/>
    <w:rsid w:val="004539DA"/>
    <w:rsid w:val="00455312"/>
    <w:rsid w:val="0045690D"/>
    <w:rsid w:val="00456E3C"/>
    <w:rsid w:val="00456FC2"/>
    <w:rsid w:val="00461AB2"/>
    <w:rsid w:val="004625BD"/>
    <w:rsid w:val="00462B31"/>
    <w:rsid w:val="00462FB3"/>
    <w:rsid w:val="00463300"/>
    <w:rsid w:val="00463D55"/>
    <w:rsid w:val="004646AF"/>
    <w:rsid w:val="00464E60"/>
    <w:rsid w:val="00465427"/>
    <w:rsid w:val="004655F9"/>
    <w:rsid w:val="004656EF"/>
    <w:rsid w:val="0046592D"/>
    <w:rsid w:val="0046631E"/>
    <w:rsid w:val="00466CD9"/>
    <w:rsid w:val="00467BE4"/>
    <w:rsid w:val="00470719"/>
    <w:rsid w:val="00472A79"/>
    <w:rsid w:val="00472ACA"/>
    <w:rsid w:val="00472E72"/>
    <w:rsid w:val="004732C2"/>
    <w:rsid w:val="004734C7"/>
    <w:rsid w:val="004743D6"/>
    <w:rsid w:val="00474FF0"/>
    <w:rsid w:val="004755C3"/>
    <w:rsid w:val="00475D3E"/>
    <w:rsid w:val="0047677D"/>
    <w:rsid w:val="00477361"/>
    <w:rsid w:val="00477E0A"/>
    <w:rsid w:val="00480DF5"/>
    <w:rsid w:val="004823CB"/>
    <w:rsid w:val="00482F34"/>
    <w:rsid w:val="00483DD5"/>
    <w:rsid w:val="00485EA6"/>
    <w:rsid w:val="00490086"/>
    <w:rsid w:val="004904F9"/>
    <w:rsid w:val="00491C8D"/>
    <w:rsid w:val="00492374"/>
    <w:rsid w:val="00492ED3"/>
    <w:rsid w:val="0049347F"/>
    <w:rsid w:val="004940E4"/>
    <w:rsid w:val="004940F8"/>
    <w:rsid w:val="00495110"/>
    <w:rsid w:val="004955DA"/>
    <w:rsid w:val="00495F59"/>
    <w:rsid w:val="004961BF"/>
    <w:rsid w:val="004971E8"/>
    <w:rsid w:val="004A3CBD"/>
    <w:rsid w:val="004A46D9"/>
    <w:rsid w:val="004A5CD7"/>
    <w:rsid w:val="004A6166"/>
    <w:rsid w:val="004A654F"/>
    <w:rsid w:val="004A66EE"/>
    <w:rsid w:val="004A688A"/>
    <w:rsid w:val="004A6B7F"/>
    <w:rsid w:val="004B1BC7"/>
    <w:rsid w:val="004B2250"/>
    <w:rsid w:val="004B32D3"/>
    <w:rsid w:val="004B344F"/>
    <w:rsid w:val="004B4150"/>
    <w:rsid w:val="004B4B28"/>
    <w:rsid w:val="004B7248"/>
    <w:rsid w:val="004B72DD"/>
    <w:rsid w:val="004C0C1D"/>
    <w:rsid w:val="004C1E12"/>
    <w:rsid w:val="004C1EDE"/>
    <w:rsid w:val="004C2872"/>
    <w:rsid w:val="004C3902"/>
    <w:rsid w:val="004C40E4"/>
    <w:rsid w:val="004C4101"/>
    <w:rsid w:val="004C583B"/>
    <w:rsid w:val="004C758D"/>
    <w:rsid w:val="004C76BE"/>
    <w:rsid w:val="004C7B29"/>
    <w:rsid w:val="004D0366"/>
    <w:rsid w:val="004D0940"/>
    <w:rsid w:val="004D09EB"/>
    <w:rsid w:val="004D1910"/>
    <w:rsid w:val="004D2E64"/>
    <w:rsid w:val="004D3247"/>
    <w:rsid w:val="004D3E27"/>
    <w:rsid w:val="004D65FF"/>
    <w:rsid w:val="004D7AC0"/>
    <w:rsid w:val="004D7CB8"/>
    <w:rsid w:val="004D7F08"/>
    <w:rsid w:val="004E0C44"/>
    <w:rsid w:val="004E114D"/>
    <w:rsid w:val="004E1AA1"/>
    <w:rsid w:val="004E3304"/>
    <w:rsid w:val="004E34ED"/>
    <w:rsid w:val="004E41B9"/>
    <w:rsid w:val="004E5A3A"/>
    <w:rsid w:val="004E5DC9"/>
    <w:rsid w:val="004E77E1"/>
    <w:rsid w:val="004F0CF5"/>
    <w:rsid w:val="004F2100"/>
    <w:rsid w:val="004F2430"/>
    <w:rsid w:val="004F271C"/>
    <w:rsid w:val="004F3158"/>
    <w:rsid w:val="004F32CD"/>
    <w:rsid w:val="004F4CD9"/>
    <w:rsid w:val="004F68A8"/>
    <w:rsid w:val="004F7FE1"/>
    <w:rsid w:val="00500031"/>
    <w:rsid w:val="00501036"/>
    <w:rsid w:val="00501B49"/>
    <w:rsid w:val="00502092"/>
    <w:rsid w:val="0050211A"/>
    <w:rsid w:val="00502B04"/>
    <w:rsid w:val="00502C82"/>
    <w:rsid w:val="005030F7"/>
    <w:rsid w:val="00503E8A"/>
    <w:rsid w:val="00504D3B"/>
    <w:rsid w:val="0050513B"/>
    <w:rsid w:val="00505C07"/>
    <w:rsid w:val="00507FBD"/>
    <w:rsid w:val="00510903"/>
    <w:rsid w:val="00510B95"/>
    <w:rsid w:val="00510F71"/>
    <w:rsid w:val="0051254E"/>
    <w:rsid w:val="005127F5"/>
    <w:rsid w:val="00512A34"/>
    <w:rsid w:val="0051658B"/>
    <w:rsid w:val="00516CCE"/>
    <w:rsid w:val="00516FB9"/>
    <w:rsid w:val="00520680"/>
    <w:rsid w:val="00520709"/>
    <w:rsid w:val="00520B85"/>
    <w:rsid w:val="005214D2"/>
    <w:rsid w:val="00521B5A"/>
    <w:rsid w:val="005224FE"/>
    <w:rsid w:val="00523057"/>
    <w:rsid w:val="005232B5"/>
    <w:rsid w:val="005232C6"/>
    <w:rsid w:val="0052394F"/>
    <w:rsid w:val="00523A8E"/>
    <w:rsid w:val="005241A2"/>
    <w:rsid w:val="00524649"/>
    <w:rsid w:val="00524960"/>
    <w:rsid w:val="00525B98"/>
    <w:rsid w:val="00525BE4"/>
    <w:rsid w:val="005271CC"/>
    <w:rsid w:val="00530644"/>
    <w:rsid w:val="005318CD"/>
    <w:rsid w:val="00531E0B"/>
    <w:rsid w:val="00533AA9"/>
    <w:rsid w:val="00533BF2"/>
    <w:rsid w:val="0053502B"/>
    <w:rsid w:val="005374D2"/>
    <w:rsid w:val="0054010D"/>
    <w:rsid w:val="00540143"/>
    <w:rsid w:val="005414B4"/>
    <w:rsid w:val="00542A74"/>
    <w:rsid w:val="00542AB1"/>
    <w:rsid w:val="00542C6F"/>
    <w:rsid w:val="005445DD"/>
    <w:rsid w:val="00544D95"/>
    <w:rsid w:val="005463FF"/>
    <w:rsid w:val="0054651F"/>
    <w:rsid w:val="00546746"/>
    <w:rsid w:val="00546842"/>
    <w:rsid w:val="00546843"/>
    <w:rsid w:val="00546B94"/>
    <w:rsid w:val="005475DA"/>
    <w:rsid w:val="00550800"/>
    <w:rsid w:val="0055106D"/>
    <w:rsid w:val="00552022"/>
    <w:rsid w:val="005522C8"/>
    <w:rsid w:val="0055236A"/>
    <w:rsid w:val="005523A0"/>
    <w:rsid w:val="005531A7"/>
    <w:rsid w:val="00553758"/>
    <w:rsid w:val="00554499"/>
    <w:rsid w:val="00555A39"/>
    <w:rsid w:val="00555C58"/>
    <w:rsid w:val="00556213"/>
    <w:rsid w:val="005563A9"/>
    <w:rsid w:val="00556EDF"/>
    <w:rsid w:val="005573FE"/>
    <w:rsid w:val="00560174"/>
    <w:rsid w:val="00560A05"/>
    <w:rsid w:val="005611EB"/>
    <w:rsid w:val="00562757"/>
    <w:rsid w:val="00563B99"/>
    <w:rsid w:val="00563F1B"/>
    <w:rsid w:val="00564493"/>
    <w:rsid w:val="0056457F"/>
    <w:rsid w:val="00564924"/>
    <w:rsid w:val="00564B9E"/>
    <w:rsid w:val="0056552C"/>
    <w:rsid w:val="00565C6E"/>
    <w:rsid w:val="0056687F"/>
    <w:rsid w:val="00566919"/>
    <w:rsid w:val="00570527"/>
    <w:rsid w:val="00570D62"/>
    <w:rsid w:val="00570DDC"/>
    <w:rsid w:val="00571BCD"/>
    <w:rsid w:val="00571FEB"/>
    <w:rsid w:val="005721DA"/>
    <w:rsid w:val="00572679"/>
    <w:rsid w:val="00572735"/>
    <w:rsid w:val="005727A8"/>
    <w:rsid w:val="00574403"/>
    <w:rsid w:val="00574E5A"/>
    <w:rsid w:val="00577672"/>
    <w:rsid w:val="00580203"/>
    <w:rsid w:val="00582A42"/>
    <w:rsid w:val="00584D91"/>
    <w:rsid w:val="00585857"/>
    <w:rsid w:val="0058593B"/>
    <w:rsid w:val="0058593F"/>
    <w:rsid w:val="005864FB"/>
    <w:rsid w:val="00586967"/>
    <w:rsid w:val="00586B4B"/>
    <w:rsid w:val="005874AF"/>
    <w:rsid w:val="00587FA5"/>
    <w:rsid w:val="00590BDD"/>
    <w:rsid w:val="00593F1B"/>
    <w:rsid w:val="00594140"/>
    <w:rsid w:val="005941E3"/>
    <w:rsid w:val="00594760"/>
    <w:rsid w:val="0059541C"/>
    <w:rsid w:val="0059647B"/>
    <w:rsid w:val="005967FB"/>
    <w:rsid w:val="005A112C"/>
    <w:rsid w:val="005A1FA3"/>
    <w:rsid w:val="005A297E"/>
    <w:rsid w:val="005A29D5"/>
    <w:rsid w:val="005A31A4"/>
    <w:rsid w:val="005A3AC1"/>
    <w:rsid w:val="005A3DF8"/>
    <w:rsid w:val="005A3E6D"/>
    <w:rsid w:val="005A4945"/>
    <w:rsid w:val="005A4ABB"/>
    <w:rsid w:val="005A4E72"/>
    <w:rsid w:val="005A622F"/>
    <w:rsid w:val="005A67F3"/>
    <w:rsid w:val="005A6946"/>
    <w:rsid w:val="005A755F"/>
    <w:rsid w:val="005A7D66"/>
    <w:rsid w:val="005B0E27"/>
    <w:rsid w:val="005B3012"/>
    <w:rsid w:val="005B3E1F"/>
    <w:rsid w:val="005B3E41"/>
    <w:rsid w:val="005B4680"/>
    <w:rsid w:val="005B4EE6"/>
    <w:rsid w:val="005B5038"/>
    <w:rsid w:val="005B6007"/>
    <w:rsid w:val="005B7660"/>
    <w:rsid w:val="005C0363"/>
    <w:rsid w:val="005C0454"/>
    <w:rsid w:val="005C078D"/>
    <w:rsid w:val="005C6297"/>
    <w:rsid w:val="005C63F8"/>
    <w:rsid w:val="005C6A74"/>
    <w:rsid w:val="005C72B5"/>
    <w:rsid w:val="005C7902"/>
    <w:rsid w:val="005C7C47"/>
    <w:rsid w:val="005D0AE8"/>
    <w:rsid w:val="005D326D"/>
    <w:rsid w:val="005D3431"/>
    <w:rsid w:val="005D55F5"/>
    <w:rsid w:val="005D610D"/>
    <w:rsid w:val="005D621C"/>
    <w:rsid w:val="005D6E4D"/>
    <w:rsid w:val="005D76AC"/>
    <w:rsid w:val="005D7939"/>
    <w:rsid w:val="005E0555"/>
    <w:rsid w:val="005E1D60"/>
    <w:rsid w:val="005E23CD"/>
    <w:rsid w:val="005E2C02"/>
    <w:rsid w:val="005E3426"/>
    <w:rsid w:val="005E3EE4"/>
    <w:rsid w:val="005E4970"/>
    <w:rsid w:val="005E547D"/>
    <w:rsid w:val="005E56F3"/>
    <w:rsid w:val="005E60E1"/>
    <w:rsid w:val="005E682E"/>
    <w:rsid w:val="005E764B"/>
    <w:rsid w:val="005E7B87"/>
    <w:rsid w:val="005E7FD6"/>
    <w:rsid w:val="005F12E9"/>
    <w:rsid w:val="005F1C0F"/>
    <w:rsid w:val="005F2042"/>
    <w:rsid w:val="005F2736"/>
    <w:rsid w:val="005F2E1D"/>
    <w:rsid w:val="005F41C5"/>
    <w:rsid w:val="005F4CC1"/>
    <w:rsid w:val="005F4FFC"/>
    <w:rsid w:val="005F5847"/>
    <w:rsid w:val="005F6816"/>
    <w:rsid w:val="005F755E"/>
    <w:rsid w:val="005F78D7"/>
    <w:rsid w:val="005F7E48"/>
    <w:rsid w:val="00600087"/>
    <w:rsid w:val="00600511"/>
    <w:rsid w:val="00600A25"/>
    <w:rsid w:val="00600E0A"/>
    <w:rsid w:val="00601E6B"/>
    <w:rsid w:val="00602107"/>
    <w:rsid w:val="006025C9"/>
    <w:rsid w:val="00604D64"/>
    <w:rsid w:val="00605135"/>
    <w:rsid w:val="0060527D"/>
    <w:rsid w:val="00607759"/>
    <w:rsid w:val="00607A25"/>
    <w:rsid w:val="00607C1D"/>
    <w:rsid w:val="00607F17"/>
    <w:rsid w:val="00610B3B"/>
    <w:rsid w:val="0061132E"/>
    <w:rsid w:val="006119BD"/>
    <w:rsid w:val="00612458"/>
    <w:rsid w:val="006125A8"/>
    <w:rsid w:val="00613467"/>
    <w:rsid w:val="0061692F"/>
    <w:rsid w:val="00617140"/>
    <w:rsid w:val="0061753E"/>
    <w:rsid w:val="006178CC"/>
    <w:rsid w:val="006203CD"/>
    <w:rsid w:val="0062050F"/>
    <w:rsid w:val="00620F8C"/>
    <w:rsid w:val="00621329"/>
    <w:rsid w:val="0062138E"/>
    <w:rsid w:val="00621E7B"/>
    <w:rsid w:val="00622199"/>
    <w:rsid w:val="00622822"/>
    <w:rsid w:val="00623469"/>
    <w:rsid w:val="00624785"/>
    <w:rsid w:val="00624933"/>
    <w:rsid w:val="00624CAC"/>
    <w:rsid w:val="00625885"/>
    <w:rsid w:val="006260A5"/>
    <w:rsid w:val="006262F2"/>
    <w:rsid w:val="006263FF"/>
    <w:rsid w:val="00626B92"/>
    <w:rsid w:val="00627B8F"/>
    <w:rsid w:val="00627D71"/>
    <w:rsid w:val="00630047"/>
    <w:rsid w:val="0063079B"/>
    <w:rsid w:val="00630928"/>
    <w:rsid w:val="00631509"/>
    <w:rsid w:val="0063176E"/>
    <w:rsid w:val="00631A84"/>
    <w:rsid w:val="00632139"/>
    <w:rsid w:val="0063245C"/>
    <w:rsid w:val="006324DA"/>
    <w:rsid w:val="006334BE"/>
    <w:rsid w:val="00633FC6"/>
    <w:rsid w:val="00636F0E"/>
    <w:rsid w:val="00637ED7"/>
    <w:rsid w:val="00637F76"/>
    <w:rsid w:val="00640656"/>
    <w:rsid w:val="00640B6E"/>
    <w:rsid w:val="00640E92"/>
    <w:rsid w:val="00641262"/>
    <w:rsid w:val="00641B9B"/>
    <w:rsid w:val="006432CF"/>
    <w:rsid w:val="006433A5"/>
    <w:rsid w:val="0064343F"/>
    <w:rsid w:val="00643A22"/>
    <w:rsid w:val="00643DBB"/>
    <w:rsid w:val="00644C57"/>
    <w:rsid w:val="00644EFD"/>
    <w:rsid w:val="00645723"/>
    <w:rsid w:val="00647FEA"/>
    <w:rsid w:val="00650972"/>
    <w:rsid w:val="00650DB1"/>
    <w:rsid w:val="0065109B"/>
    <w:rsid w:val="00651653"/>
    <w:rsid w:val="006549AE"/>
    <w:rsid w:val="00654C06"/>
    <w:rsid w:val="0065553F"/>
    <w:rsid w:val="00655945"/>
    <w:rsid w:val="00656506"/>
    <w:rsid w:val="006568C6"/>
    <w:rsid w:val="006568C8"/>
    <w:rsid w:val="006604D8"/>
    <w:rsid w:val="00661542"/>
    <w:rsid w:val="00662436"/>
    <w:rsid w:val="00662475"/>
    <w:rsid w:val="00662D95"/>
    <w:rsid w:val="0066408C"/>
    <w:rsid w:val="006669FA"/>
    <w:rsid w:val="00666A72"/>
    <w:rsid w:val="00667E70"/>
    <w:rsid w:val="00670347"/>
    <w:rsid w:val="00670387"/>
    <w:rsid w:val="006722E8"/>
    <w:rsid w:val="0067337A"/>
    <w:rsid w:val="006736F5"/>
    <w:rsid w:val="006749D4"/>
    <w:rsid w:val="00674A47"/>
    <w:rsid w:val="00675177"/>
    <w:rsid w:val="00675C3E"/>
    <w:rsid w:val="00675DC1"/>
    <w:rsid w:val="00676CBB"/>
    <w:rsid w:val="00677979"/>
    <w:rsid w:val="0068132C"/>
    <w:rsid w:val="00681B23"/>
    <w:rsid w:val="0068241A"/>
    <w:rsid w:val="00682943"/>
    <w:rsid w:val="00682B1D"/>
    <w:rsid w:val="00682BBF"/>
    <w:rsid w:val="0068439A"/>
    <w:rsid w:val="006849A6"/>
    <w:rsid w:val="00685937"/>
    <w:rsid w:val="00685C57"/>
    <w:rsid w:val="00686FAC"/>
    <w:rsid w:val="00687437"/>
    <w:rsid w:val="00687C49"/>
    <w:rsid w:val="0069051C"/>
    <w:rsid w:val="00691253"/>
    <w:rsid w:val="00691356"/>
    <w:rsid w:val="00692875"/>
    <w:rsid w:val="006929F2"/>
    <w:rsid w:val="0069379F"/>
    <w:rsid w:val="006938FA"/>
    <w:rsid w:val="00693DE6"/>
    <w:rsid w:val="0069443F"/>
    <w:rsid w:val="00695E6A"/>
    <w:rsid w:val="006967AE"/>
    <w:rsid w:val="00697BC4"/>
    <w:rsid w:val="006A08B9"/>
    <w:rsid w:val="006A09C4"/>
    <w:rsid w:val="006A1317"/>
    <w:rsid w:val="006A15F8"/>
    <w:rsid w:val="006A3A88"/>
    <w:rsid w:val="006A42C1"/>
    <w:rsid w:val="006A497B"/>
    <w:rsid w:val="006A5171"/>
    <w:rsid w:val="006A5764"/>
    <w:rsid w:val="006A5AA8"/>
    <w:rsid w:val="006A66F5"/>
    <w:rsid w:val="006A6D9B"/>
    <w:rsid w:val="006A6FE4"/>
    <w:rsid w:val="006A737A"/>
    <w:rsid w:val="006A7E31"/>
    <w:rsid w:val="006A7FB4"/>
    <w:rsid w:val="006B050A"/>
    <w:rsid w:val="006B106B"/>
    <w:rsid w:val="006B13C2"/>
    <w:rsid w:val="006B265F"/>
    <w:rsid w:val="006B318C"/>
    <w:rsid w:val="006B3316"/>
    <w:rsid w:val="006B3967"/>
    <w:rsid w:val="006B5025"/>
    <w:rsid w:val="006B58ED"/>
    <w:rsid w:val="006B5D99"/>
    <w:rsid w:val="006B6D88"/>
    <w:rsid w:val="006C1160"/>
    <w:rsid w:val="006C23B2"/>
    <w:rsid w:val="006C24B2"/>
    <w:rsid w:val="006C25B5"/>
    <w:rsid w:val="006C2C92"/>
    <w:rsid w:val="006C2EB9"/>
    <w:rsid w:val="006C4311"/>
    <w:rsid w:val="006C4EC5"/>
    <w:rsid w:val="006C4ED2"/>
    <w:rsid w:val="006C61EF"/>
    <w:rsid w:val="006C7863"/>
    <w:rsid w:val="006D0A58"/>
    <w:rsid w:val="006D1EA4"/>
    <w:rsid w:val="006D32E3"/>
    <w:rsid w:val="006D3464"/>
    <w:rsid w:val="006D3C90"/>
    <w:rsid w:val="006D4847"/>
    <w:rsid w:val="006D498C"/>
    <w:rsid w:val="006D6086"/>
    <w:rsid w:val="006D7794"/>
    <w:rsid w:val="006D7F35"/>
    <w:rsid w:val="006E0BCE"/>
    <w:rsid w:val="006E0E88"/>
    <w:rsid w:val="006E10B5"/>
    <w:rsid w:val="006E16D5"/>
    <w:rsid w:val="006E1DD7"/>
    <w:rsid w:val="006E224A"/>
    <w:rsid w:val="006E3078"/>
    <w:rsid w:val="006E360B"/>
    <w:rsid w:val="006E3F60"/>
    <w:rsid w:val="006E4430"/>
    <w:rsid w:val="006E489B"/>
    <w:rsid w:val="006E4F6C"/>
    <w:rsid w:val="006E6434"/>
    <w:rsid w:val="006E679C"/>
    <w:rsid w:val="006F04AD"/>
    <w:rsid w:val="006F108D"/>
    <w:rsid w:val="006F1193"/>
    <w:rsid w:val="006F11B8"/>
    <w:rsid w:val="006F1B2E"/>
    <w:rsid w:val="006F2BFD"/>
    <w:rsid w:val="006F2FC6"/>
    <w:rsid w:val="006F3089"/>
    <w:rsid w:val="006F31A0"/>
    <w:rsid w:val="006F3409"/>
    <w:rsid w:val="006F598E"/>
    <w:rsid w:val="006F62F8"/>
    <w:rsid w:val="006F775D"/>
    <w:rsid w:val="00700030"/>
    <w:rsid w:val="00700916"/>
    <w:rsid w:val="00701076"/>
    <w:rsid w:val="00701CBA"/>
    <w:rsid w:val="00702E62"/>
    <w:rsid w:val="0070348F"/>
    <w:rsid w:val="007037CE"/>
    <w:rsid w:val="00703B85"/>
    <w:rsid w:val="00704442"/>
    <w:rsid w:val="00704C1E"/>
    <w:rsid w:val="0070525C"/>
    <w:rsid w:val="00705674"/>
    <w:rsid w:val="00705DFB"/>
    <w:rsid w:val="0070622E"/>
    <w:rsid w:val="0070640A"/>
    <w:rsid w:val="0070675C"/>
    <w:rsid w:val="0070677E"/>
    <w:rsid w:val="007105B2"/>
    <w:rsid w:val="0071141F"/>
    <w:rsid w:val="007133BE"/>
    <w:rsid w:val="0071398A"/>
    <w:rsid w:val="007150C5"/>
    <w:rsid w:val="007155A0"/>
    <w:rsid w:val="00715A60"/>
    <w:rsid w:val="007179BC"/>
    <w:rsid w:val="00720D22"/>
    <w:rsid w:val="00721342"/>
    <w:rsid w:val="00721386"/>
    <w:rsid w:val="00721B7D"/>
    <w:rsid w:val="007220B3"/>
    <w:rsid w:val="00724702"/>
    <w:rsid w:val="00724D6D"/>
    <w:rsid w:val="00727B0D"/>
    <w:rsid w:val="00730A22"/>
    <w:rsid w:val="00730BCC"/>
    <w:rsid w:val="00730BDD"/>
    <w:rsid w:val="00730F46"/>
    <w:rsid w:val="007313E4"/>
    <w:rsid w:val="007327CD"/>
    <w:rsid w:val="00732CC4"/>
    <w:rsid w:val="00733A55"/>
    <w:rsid w:val="00734181"/>
    <w:rsid w:val="00735256"/>
    <w:rsid w:val="00737766"/>
    <w:rsid w:val="007406C8"/>
    <w:rsid w:val="007425D2"/>
    <w:rsid w:val="0074379C"/>
    <w:rsid w:val="00743FAB"/>
    <w:rsid w:val="0074419C"/>
    <w:rsid w:val="00744C0A"/>
    <w:rsid w:val="0074506B"/>
    <w:rsid w:val="00745EAA"/>
    <w:rsid w:val="00746B35"/>
    <w:rsid w:val="007473E6"/>
    <w:rsid w:val="00747EBB"/>
    <w:rsid w:val="00750766"/>
    <w:rsid w:val="00750BF7"/>
    <w:rsid w:val="00750F31"/>
    <w:rsid w:val="0075182B"/>
    <w:rsid w:val="00751D4A"/>
    <w:rsid w:val="007521F2"/>
    <w:rsid w:val="0075250B"/>
    <w:rsid w:val="00753F2A"/>
    <w:rsid w:val="00754DC5"/>
    <w:rsid w:val="00754E93"/>
    <w:rsid w:val="0075541F"/>
    <w:rsid w:val="00756490"/>
    <w:rsid w:val="00756AF7"/>
    <w:rsid w:val="00756F3D"/>
    <w:rsid w:val="0075779D"/>
    <w:rsid w:val="00760B02"/>
    <w:rsid w:val="00760C0A"/>
    <w:rsid w:val="0076429F"/>
    <w:rsid w:val="007650A7"/>
    <w:rsid w:val="00765480"/>
    <w:rsid w:val="00765C4F"/>
    <w:rsid w:val="00766372"/>
    <w:rsid w:val="00766B65"/>
    <w:rsid w:val="0076753A"/>
    <w:rsid w:val="00770B2E"/>
    <w:rsid w:val="00771110"/>
    <w:rsid w:val="007717CB"/>
    <w:rsid w:val="00772F61"/>
    <w:rsid w:val="00775FC4"/>
    <w:rsid w:val="00775FDA"/>
    <w:rsid w:val="007764A8"/>
    <w:rsid w:val="007770B2"/>
    <w:rsid w:val="0077736D"/>
    <w:rsid w:val="0077792F"/>
    <w:rsid w:val="007818B3"/>
    <w:rsid w:val="00781B32"/>
    <w:rsid w:val="007830DD"/>
    <w:rsid w:val="007833BB"/>
    <w:rsid w:val="00783680"/>
    <w:rsid w:val="00785F4A"/>
    <w:rsid w:val="00786430"/>
    <w:rsid w:val="00786AC6"/>
    <w:rsid w:val="00786FF5"/>
    <w:rsid w:val="00787855"/>
    <w:rsid w:val="00791A8F"/>
    <w:rsid w:val="00791FDF"/>
    <w:rsid w:val="007931C2"/>
    <w:rsid w:val="00794BA0"/>
    <w:rsid w:val="00796F98"/>
    <w:rsid w:val="00797088"/>
    <w:rsid w:val="00797232"/>
    <w:rsid w:val="00797F54"/>
    <w:rsid w:val="007A04EA"/>
    <w:rsid w:val="007A0970"/>
    <w:rsid w:val="007A1548"/>
    <w:rsid w:val="007A19B8"/>
    <w:rsid w:val="007A26B7"/>
    <w:rsid w:val="007A4DC4"/>
    <w:rsid w:val="007A4F58"/>
    <w:rsid w:val="007A52BD"/>
    <w:rsid w:val="007A63CB"/>
    <w:rsid w:val="007B081C"/>
    <w:rsid w:val="007B20AF"/>
    <w:rsid w:val="007B21C5"/>
    <w:rsid w:val="007B231B"/>
    <w:rsid w:val="007B4C34"/>
    <w:rsid w:val="007B4C38"/>
    <w:rsid w:val="007B4EBE"/>
    <w:rsid w:val="007B6259"/>
    <w:rsid w:val="007B6B96"/>
    <w:rsid w:val="007B76EB"/>
    <w:rsid w:val="007B7C40"/>
    <w:rsid w:val="007C0BDC"/>
    <w:rsid w:val="007C11A7"/>
    <w:rsid w:val="007C1E20"/>
    <w:rsid w:val="007C2536"/>
    <w:rsid w:val="007C35CD"/>
    <w:rsid w:val="007C41DA"/>
    <w:rsid w:val="007C58EA"/>
    <w:rsid w:val="007C58EF"/>
    <w:rsid w:val="007C6BC9"/>
    <w:rsid w:val="007C72B5"/>
    <w:rsid w:val="007C76FF"/>
    <w:rsid w:val="007C7CE2"/>
    <w:rsid w:val="007D02CE"/>
    <w:rsid w:val="007D0718"/>
    <w:rsid w:val="007D0B3B"/>
    <w:rsid w:val="007D1564"/>
    <w:rsid w:val="007D2E29"/>
    <w:rsid w:val="007D42D1"/>
    <w:rsid w:val="007D4D61"/>
    <w:rsid w:val="007D5174"/>
    <w:rsid w:val="007D5BEA"/>
    <w:rsid w:val="007D5F7F"/>
    <w:rsid w:val="007D7F66"/>
    <w:rsid w:val="007E0A57"/>
    <w:rsid w:val="007E0CE8"/>
    <w:rsid w:val="007E1970"/>
    <w:rsid w:val="007E3E0D"/>
    <w:rsid w:val="007E3E60"/>
    <w:rsid w:val="007E3FFA"/>
    <w:rsid w:val="007E4667"/>
    <w:rsid w:val="007E48C6"/>
    <w:rsid w:val="007E4D33"/>
    <w:rsid w:val="007E5A06"/>
    <w:rsid w:val="007E682E"/>
    <w:rsid w:val="007E70D2"/>
    <w:rsid w:val="007E7610"/>
    <w:rsid w:val="007E7A4F"/>
    <w:rsid w:val="007E7DE3"/>
    <w:rsid w:val="007F0BB7"/>
    <w:rsid w:val="007F13A9"/>
    <w:rsid w:val="007F1BDF"/>
    <w:rsid w:val="007F1F20"/>
    <w:rsid w:val="007F2119"/>
    <w:rsid w:val="007F211C"/>
    <w:rsid w:val="007F26D0"/>
    <w:rsid w:val="007F292F"/>
    <w:rsid w:val="007F2C09"/>
    <w:rsid w:val="007F68CA"/>
    <w:rsid w:val="007F6922"/>
    <w:rsid w:val="007F6CE1"/>
    <w:rsid w:val="007F7DBA"/>
    <w:rsid w:val="007F7E38"/>
    <w:rsid w:val="00800DE9"/>
    <w:rsid w:val="00802A53"/>
    <w:rsid w:val="008033DC"/>
    <w:rsid w:val="00804736"/>
    <w:rsid w:val="0080501D"/>
    <w:rsid w:val="00806BBC"/>
    <w:rsid w:val="0080771B"/>
    <w:rsid w:val="00807FBF"/>
    <w:rsid w:val="008102E2"/>
    <w:rsid w:val="008103DE"/>
    <w:rsid w:val="008106AA"/>
    <w:rsid w:val="00810736"/>
    <w:rsid w:val="00810CA6"/>
    <w:rsid w:val="00810E21"/>
    <w:rsid w:val="00812594"/>
    <w:rsid w:val="00813A00"/>
    <w:rsid w:val="00813C58"/>
    <w:rsid w:val="00814E33"/>
    <w:rsid w:val="008159E1"/>
    <w:rsid w:val="00816A45"/>
    <w:rsid w:val="00816D78"/>
    <w:rsid w:val="008171DA"/>
    <w:rsid w:val="008172B0"/>
    <w:rsid w:val="00817B23"/>
    <w:rsid w:val="00820120"/>
    <w:rsid w:val="00821220"/>
    <w:rsid w:val="008220BD"/>
    <w:rsid w:val="00822289"/>
    <w:rsid w:val="00822ED8"/>
    <w:rsid w:val="0082354F"/>
    <w:rsid w:val="00824647"/>
    <w:rsid w:val="00824DCF"/>
    <w:rsid w:val="00824E86"/>
    <w:rsid w:val="0082509A"/>
    <w:rsid w:val="00825787"/>
    <w:rsid w:val="0082737D"/>
    <w:rsid w:val="0082786A"/>
    <w:rsid w:val="00827902"/>
    <w:rsid w:val="008279D0"/>
    <w:rsid w:val="00827B0E"/>
    <w:rsid w:val="00830C03"/>
    <w:rsid w:val="00830DE0"/>
    <w:rsid w:val="008327B1"/>
    <w:rsid w:val="00832A5A"/>
    <w:rsid w:val="00833016"/>
    <w:rsid w:val="008335B0"/>
    <w:rsid w:val="00833E27"/>
    <w:rsid w:val="008342AA"/>
    <w:rsid w:val="00835925"/>
    <w:rsid w:val="00836740"/>
    <w:rsid w:val="00841374"/>
    <w:rsid w:val="00841FE4"/>
    <w:rsid w:val="0084226D"/>
    <w:rsid w:val="00842465"/>
    <w:rsid w:val="00842BDD"/>
    <w:rsid w:val="00842C71"/>
    <w:rsid w:val="00843201"/>
    <w:rsid w:val="008433C9"/>
    <w:rsid w:val="00843588"/>
    <w:rsid w:val="00844B87"/>
    <w:rsid w:val="00845AE2"/>
    <w:rsid w:val="008469D4"/>
    <w:rsid w:val="00847288"/>
    <w:rsid w:val="0084732A"/>
    <w:rsid w:val="00847B19"/>
    <w:rsid w:val="00850767"/>
    <w:rsid w:val="0085096C"/>
    <w:rsid w:val="00854D9C"/>
    <w:rsid w:val="00855196"/>
    <w:rsid w:val="00855772"/>
    <w:rsid w:val="00855F0B"/>
    <w:rsid w:val="008561C7"/>
    <w:rsid w:val="0085737F"/>
    <w:rsid w:val="00857688"/>
    <w:rsid w:val="0086045C"/>
    <w:rsid w:val="008608BA"/>
    <w:rsid w:val="00861942"/>
    <w:rsid w:val="008619D2"/>
    <w:rsid w:val="00862DC9"/>
    <w:rsid w:val="0086458A"/>
    <w:rsid w:val="008653E0"/>
    <w:rsid w:val="008663D5"/>
    <w:rsid w:val="00866533"/>
    <w:rsid w:val="00866A28"/>
    <w:rsid w:val="00866A9D"/>
    <w:rsid w:val="00870153"/>
    <w:rsid w:val="00871481"/>
    <w:rsid w:val="00871B5A"/>
    <w:rsid w:val="008737C0"/>
    <w:rsid w:val="00873B6F"/>
    <w:rsid w:val="00873B93"/>
    <w:rsid w:val="00873BFE"/>
    <w:rsid w:val="00873E2F"/>
    <w:rsid w:val="008742E0"/>
    <w:rsid w:val="008745F7"/>
    <w:rsid w:val="00874AE5"/>
    <w:rsid w:val="00875684"/>
    <w:rsid w:val="00875906"/>
    <w:rsid w:val="00876E46"/>
    <w:rsid w:val="00877395"/>
    <w:rsid w:val="00877776"/>
    <w:rsid w:val="008778E2"/>
    <w:rsid w:val="00877DC5"/>
    <w:rsid w:val="008811C8"/>
    <w:rsid w:val="00881C83"/>
    <w:rsid w:val="00881E9B"/>
    <w:rsid w:val="0088219D"/>
    <w:rsid w:val="00882D7E"/>
    <w:rsid w:val="0088361D"/>
    <w:rsid w:val="00883640"/>
    <w:rsid w:val="00883682"/>
    <w:rsid w:val="0088465F"/>
    <w:rsid w:val="00884879"/>
    <w:rsid w:val="008854AE"/>
    <w:rsid w:val="00885CFC"/>
    <w:rsid w:val="00886448"/>
    <w:rsid w:val="008866A5"/>
    <w:rsid w:val="008870B6"/>
    <w:rsid w:val="008878CF"/>
    <w:rsid w:val="008879E6"/>
    <w:rsid w:val="00891F6E"/>
    <w:rsid w:val="008927A3"/>
    <w:rsid w:val="00892C1A"/>
    <w:rsid w:val="00892D6C"/>
    <w:rsid w:val="0089333A"/>
    <w:rsid w:val="008944AD"/>
    <w:rsid w:val="008946BF"/>
    <w:rsid w:val="00894BA8"/>
    <w:rsid w:val="00895C48"/>
    <w:rsid w:val="008968EE"/>
    <w:rsid w:val="00896F71"/>
    <w:rsid w:val="008A0B15"/>
    <w:rsid w:val="008A0C54"/>
    <w:rsid w:val="008A0E09"/>
    <w:rsid w:val="008A16E3"/>
    <w:rsid w:val="008A4B7D"/>
    <w:rsid w:val="008A4C14"/>
    <w:rsid w:val="008A4D3B"/>
    <w:rsid w:val="008A55B6"/>
    <w:rsid w:val="008A6537"/>
    <w:rsid w:val="008A6871"/>
    <w:rsid w:val="008A6EC7"/>
    <w:rsid w:val="008A72A1"/>
    <w:rsid w:val="008A72F9"/>
    <w:rsid w:val="008A755A"/>
    <w:rsid w:val="008A7B98"/>
    <w:rsid w:val="008B2544"/>
    <w:rsid w:val="008B26C6"/>
    <w:rsid w:val="008B2708"/>
    <w:rsid w:val="008B4283"/>
    <w:rsid w:val="008B47C5"/>
    <w:rsid w:val="008B5703"/>
    <w:rsid w:val="008B659D"/>
    <w:rsid w:val="008B66DD"/>
    <w:rsid w:val="008B7198"/>
    <w:rsid w:val="008B72DD"/>
    <w:rsid w:val="008C18DE"/>
    <w:rsid w:val="008C3B5E"/>
    <w:rsid w:val="008C3DBE"/>
    <w:rsid w:val="008C3E09"/>
    <w:rsid w:val="008C4B50"/>
    <w:rsid w:val="008C4FD1"/>
    <w:rsid w:val="008C5358"/>
    <w:rsid w:val="008C5DFD"/>
    <w:rsid w:val="008D089A"/>
    <w:rsid w:val="008D1E60"/>
    <w:rsid w:val="008D2131"/>
    <w:rsid w:val="008D315D"/>
    <w:rsid w:val="008D5168"/>
    <w:rsid w:val="008D5213"/>
    <w:rsid w:val="008D6032"/>
    <w:rsid w:val="008E0931"/>
    <w:rsid w:val="008E0C2D"/>
    <w:rsid w:val="008E0C2F"/>
    <w:rsid w:val="008E0E80"/>
    <w:rsid w:val="008E2A59"/>
    <w:rsid w:val="008E2BA0"/>
    <w:rsid w:val="008E2CDC"/>
    <w:rsid w:val="008E2CDD"/>
    <w:rsid w:val="008E32A8"/>
    <w:rsid w:val="008E4427"/>
    <w:rsid w:val="008E499D"/>
    <w:rsid w:val="008E5076"/>
    <w:rsid w:val="008E639A"/>
    <w:rsid w:val="008E679C"/>
    <w:rsid w:val="008E7618"/>
    <w:rsid w:val="008E7C2A"/>
    <w:rsid w:val="008F1627"/>
    <w:rsid w:val="008F1F79"/>
    <w:rsid w:val="008F2744"/>
    <w:rsid w:val="008F54DF"/>
    <w:rsid w:val="008F6A2D"/>
    <w:rsid w:val="008F7402"/>
    <w:rsid w:val="009005D1"/>
    <w:rsid w:val="00900BFC"/>
    <w:rsid w:val="009011ED"/>
    <w:rsid w:val="00901C97"/>
    <w:rsid w:val="009021C2"/>
    <w:rsid w:val="009042F3"/>
    <w:rsid w:val="009049FC"/>
    <w:rsid w:val="00905566"/>
    <w:rsid w:val="00906550"/>
    <w:rsid w:val="009103B0"/>
    <w:rsid w:val="0091091E"/>
    <w:rsid w:val="009109F5"/>
    <w:rsid w:val="00910A44"/>
    <w:rsid w:val="0091101B"/>
    <w:rsid w:val="009113FB"/>
    <w:rsid w:val="00911804"/>
    <w:rsid w:val="00912E0E"/>
    <w:rsid w:val="00912F6B"/>
    <w:rsid w:val="0091310A"/>
    <w:rsid w:val="009134F0"/>
    <w:rsid w:val="00914265"/>
    <w:rsid w:val="009150E9"/>
    <w:rsid w:val="009173E7"/>
    <w:rsid w:val="009177FF"/>
    <w:rsid w:val="009200A8"/>
    <w:rsid w:val="009209AC"/>
    <w:rsid w:val="00921C81"/>
    <w:rsid w:val="0092322D"/>
    <w:rsid w:val="00923439"/>
    <w:rsid w:val="00924AC1"/>
    <w:rsid w:val="00924B37"/>
    <w:rsid w:val="0092675E"/>
    <w:rsid w:val="00927055"/>
    <w:rsid w:val="009274B5"/>
    <w:rsid w:val="0092772D"/>
    <w:rsid w:val="00931577"/>
    <w:rsid w:val="00931584"/>
    <w:rsid w:val="00932DBC"/>
    <w:rsid w:val="00934472"/>
    <w:rsid w:val="009357C2"/>
    <w:rsid w:val="00935B1C"/>
    <w:rsid w:val="00937D7A"/>
    <w:rsid w:val="009401A5"/>
    <w:rsid w:val="00940899"/>
    <w:rsid w:val="00940972"/>
    <w:rsid w:val="00942238"/>
    <w:rsid w:val="00942F41"/>
    <w:rsid w:val="00943A69"/>
    <w:rsid w:val="009444A2"/>
    <w:rsid w:val="00944A54"/>
    <w:rsid w:val="0094733C"/>
    <w:rsid w:val="009476EF"/>
    <w:rsid w:val="00947E08"/>
    <w:rsid w:val="009508AD"/>
    <w:rsid w:val="00950C4F"/>
    <w:rsid w:val="009530C5"/>
    <w:rsid w:val="0095386D"/>
    <w:rsid w:val="0095396D"/>
    <w:rsid w:val="00957B83"/>
    <w:rsid w:val="00957CBF"/>
    <w:rsid w:val="0096099A"/>
    <w:rsid w:val="00960F6E"/>
    <w:rsid w:val="00961956"/>
    <w:rsid w:val="00961F3C"/>
    <w:rsid w:val="00964DE8"/>
    <w:rsid w:val="00965516"/>
    <w:rsid w:val="00965B61"/>
    <w:rsid w:val="0096721E"/>
    <w:rsid w:val="00967517"/>
    <w:rsid w:val="009679A9"/>
    <w:rsid w:val="00967CEC"/>
    <w:rsid w:val="00970971"/>
    <w:rsid w:val="00971495"/>
    <w:rsid w:val="00971842"/>
    <w:rsid w:val="00971A18"/>
    <w:rsid w:val="00972A8C"/>
    <w:rsid w:val="009737C7"/>
    <w:rsid w:val="009744BD"/>
    <w:rsid w:val="00974EE4"/>
    <w:rsid w:val="00975A67"/>
    <w:rsid w:val="0097659B"/>
    <w:rsid w:val="009775B8"/>
    <w:rsid w:val="00980E41"/>
    <w:rsid w:val="0098510D"/>
    <w:rsid w:val="00986C7F"/>
    <w:rsid w:val="00987332"/>
    <w:rsid w:val="00987507"/>
    <w:rsid w:val="00987A9E"/>
    <w:rsid w:val="009916B2"/>
    <w:rsid w:val="009954A1"/>
    <w:rsid w:val="0099551B"/>
    <w:rsid w:val="009958AF"/>
    <w:rsid w:val="009960A0"/>
    <w:rsid w:val="00996E9C"/>
    <w:rsid w:val="009A1011"/>
    <w:rsid w:val="009A1B51"/>
    <w:rsid w:val="009A3E0E"/>
    <w:rsid w:val="009A6A17"/>
    <w:rsid w:val="009A6D65"/>
    <w:rsid w:val="009A7B62"/>
    <w:rsid w:val="009B0CDF"/>
    <w:rsid w:val="009B0E36"/>
    <w:rsid w:val="009B17D8"/>
    <w:rsid w:val="009B2ADD"/>
    <w:rsid w:val="009B2FE9"/>
    <w:rsid w:val="009B37E5"/>
    <w:rsid w:val="009B3AF4"/>
    <w:rsid w:val="009B4A5B"/>
    <w:rsid w:val="009B5944"/>
    <w:rsid w:val="009B6043"/>
    <w:rsid w:val="009B6587"/>
    <w:rsid w:val="009B65B1"/>
    <w:rsid w:val="009B6B5D"/>
    <w:rsid w:val="009B70E7"/>
    <w:rsid w:val="009B72AB"/>
    <w:rsid w:val="009C00E9"/>
    <w:rsid w:val="009C1329"/>
    <w:rsid w:val="009C2227"/>
    <w:rsid w:val="009C2562"/>
    <w:rsid w:val="009C4996"/>
    <w:rsid w:val="009C513E"/>
    <w:rsid w:val="009C53DA"/>
    <w:rsid w:val="009C574C"/>
    <w:rsid w:val="009C75E4"/>
    <w:rsid w:val="009C7E57"/>
    <w:rsid w:val="009D07F4"/>
    <w:rsid w:val="009D0FCC"/>
    <w:rsid w:val="009D1CA2"/>
    <w:rsid w:val="009D1E59"/>
    <w:rsid w:val="009D2CD0"/>
    <w:rsid w:val="009D388E"/>
    <w:rsid w:val="009D5CC6"/>
    <w:rsid w:val="009D5F27"/>
    <w:rsid w:val="009D6767"/>
    <w:rsid w:val="009D6A81"/>
    <w:rsid w:val="009D7824"/>
    <w:rsid w:val="009E03F3"/>
    <w:rsid w:val="009E2696"/>
    <w:rsid w:val="009E2B66"/>
    <w:rsid w:val="009E433D"/>
    <w:rsid w:val="009E4E92"/>
    <w:rsid w:val="009E4F7F"/>
    <w:rsid w:val="009E57A4"/>
    <w:rsid w:val="009E6BA2"/>
    <w:rsid w:val="009E6ED2"/>
    <w:rsid w:val="009E70A3"/>
    <w:rsid w:val="009E7942"/>
    <w:rsid w:val="009E7E30"/>
    <w:rsid w:val="009F09BE"/>
    <w:rsid w:val="009F1CFA"/>
    <w:rsid w:val="009F1E9D"/>
    <w:rsid w:val="009F300A"/>
    <w:rsid w:val="009F3768"/>
    <w:rsid w:val="009F39C6"/>
    <w:rsid w:val="009F3BC5"/>
    <w:rsid w:val="009F4E26"/>
    <w:rsid w:val="009F4EF7"/>
    <w:rsid w:val="009F5F78"/>
    <w:rsid w:val="009F61D9"/>
    <w:rsid w:val="009F6227"/>
    <w:rsid w:val="009F673E"/>
    <w:rsid w:val="009F706B"/>
    <w:rsid w:val="009F775F"/>
    <w:rsid w:val="009F7EDF"/>
    <w:rsid w:val="00A00F37"/>
    <w:rsid w:val="00A01DB8"/>
    <w:rsid w:val="00A039A1"/>
    <w:rsid w:val="00A03B0F"/>
    <w:rsid w:val="00A0410F"/>
    <w:rsid w:val="00A048E9"/>
    <w:rsid w:val="00A049D5"/>
    <w:rsid w:val="00A04A52"/>
    <w:rsid w:val="00A04BE8"/>
    <w:rsid w:val="00A05429"/>
    <w:rsid w:val="00A06825"/>
    <w:rsid w:val="00A06E9E"/>
    <w:rsid w:val="00A1036D"/>
    <w:rsid w:val="00A10A98"/>
    <w:rsid w:val="00A10B0E"/>
    <w:rsid w:val="00A10C1C"/>
    <w:rsid w:val="00A11AB2"/>
    <w:rsid w:val="00A12627"/>
    <w:rsid w:val="00A12A65"/>
    <w:rsid w:val="00A13493"/>
    <w:rsid w:val="00A13A09"/>
    <w:rsid w:val="00A1414A"/>
    <w:rsid w:val="00A15A75"/>
    <w:rsid w:val="00A15A99"/>
    <w:rsid w:val="00A17267"/>
    <w:rsid w:val="00A200F9"/>
    <w:rsid w:val="00A2086E"/>
    <w:rsid w:val="00A20E9D"/>
    <w:rsid w:val="00A2120F"/>
    <w:rsid w:val="00A2178F"/>
    <w:rsid w:val="00A21FFA"/>
    <w:rsid w:val="00A23F52"/>
    <w:rsid w:val="00A24264"/>
    <w:rsid w:val="00A26217"/>
    <w:rsid w:val="00A3013F"/>
    <w:rsid w:val="00A3055E"/>
    <w:rsid w:val="00A30792"/>
    <w:rsid w:val="00A30B84"/>
    <w:rsid w:val="00A31DC8"/>
    <w:rsid w:val="00A3262A"/>
    <w:rsid w:val="00A3344B"/>
    <w:rsid w:val="00A33973"/>
    <w:rsid w:val="00A35436"/>
    <w:rsid w:val="00A35FF9"/>
    <w:rsid w:val="00A367AA"/>
    <w:rsid w:val="00A37880"/>
    <w:rsid w:val="00A400BF"/>
    <w:rsid w:val="00A40DCD"/>
    <w:rsid w:val="00A41A3E"/>
    <w:rsid w:val="00A43CE0"/>
    <w:rsid w:val="00A4413F"/>
    <w:rsid w:val="00A44394"/>
    <w:rsid w:val="00A45B92"/>
    <w:rsid w:val="00A45EC3"/>
    <w:rsid w:val="00A46122"/>
    <w:rsid w:val="00A478BD"/>
    <w:rsid w:val="00A47CF5"/>
    <w:rsid w:val="00A5032A"/>
    <w:rsid w:val="00A50AC9"/>
    <w:rsid w:val="00A51F03"/>
    <w:rsid w:val="00A51F67"/>
    <w:rsid w:val="00A522D4"/>
    <w:rsid w:val="00A5367D"/>
    <w:rsid w:val="00A5507B"/>
    <w:rsid w:val="00A57D98"/>
    <w:rsid w:val="00A61524"/>
    <w:rsid w:val="00A62F57"/>
    <w:rsid w:val="00A63413"/>
    <w:rsid w:val="00A6488B"/>
    <w:rsid w:val="00A6556C"/>
    <w:rsid w:val="00A659B5"/>
    <w:rsid w:val="00A65A66"/>
    <w:rsid w:val="00A661BB"/>
    <w:rsid w:val="00A70D6E"/>
    <w:rsid w:val="00A715F7"/>
    <w:rsid w:val="00A720CF"/>
    <w:rsid w:val="00A72192"/>
    <w:rsid w:val="00A72B07"/>
    <w:rsid w:val="00A72EDD"/>
    <w:rsid w:val="00A73BB9"/>
    <w:rsid w:val="00A73D4A"/>
    <w:rsid w:val="00A743EB"/>
    <w:rsid w:val="00A7450E"/>
    <w:rsid w:val="00A74B4C"/>
    <w:rsid w:val="00A7552F"/>
    <w:rsid w:val="00A76236"/>
    <w:rsid w:val="00A763E7"/>
    <w:rsid w:val="00A769C2"/>
    <w:rsid w:val="00A773FA"/>
    <w:rsid w:val="00A77796"/>
    <w:rsid w:val="00A81862"/>
    <w:rsid w:val="00A8187F"/>
    <w:rsid w:val="00A8271E"/>
    <w:rsid w:val="00A827D2"/>
    <w:rsid w:val="00A847C3"/>
    <w:rsid w:val="00A855CF"/>
    <w:rsid w:val="00A85A01"/>
    <w:rsid w:val="00A86128"/>
    <w:rsid w:val="00A86D6A"/>
    <w:rsid w:val="00A86E2C"/>
    <w:rsid w:val="00A8766D"/>
    <w:rsid w:val="00A90F72"/>
    <w:rsid w:val="00A93DC3"/>
    <w:rsid w:val="00A9462E"/>
    <w:rsid w:val="00A94E45"/>
    <w:rsid w:val="00A950A5"/>
    <w:rsid w:val="00A978B6"/>
    <w:rsid w:val="00A97929"/>
    <w:rsid w:val="00AA05F8"/>
    <w:rsid w:val="00AA1167"/>
    <w:rsid w:val="00AA22BE"/>
    <w:rsid w:val="00AA44A3"/>
    <w:rsid w:val="00AA5C1D"/>
    <w:rsid w:val="00AA5C61"/>
    <w:rsid w:val="00AA63E5"/>
    <w:rsid w:val="00AA6795"/>
    <w:rsid w:val="00AA69BF"/>
    <w:rsid w:val="00AA6CC7"/>
    <w:rsid w:val="00AA70B6"/>
    <w:rsid w:val="00AA7709"/>
    <w:rsid w:val="00AA7DA3"/>
    <w:rsid w:val="00AB0B18"/>
    <w:rsid w:val="00AB0B62"/>
    <w:rsid w:val="00AB192A"/>
    <w:rsid w:val="00AB20C0"/>
    <w:rsid w:val="00AB3045"/>
    <w:rsid w:val="00AB416F"/>
    <w:rsid w:val="00AB4300"/>
    <w:rsid w:val="00AB4D68"/>
    <w:rsid w:val="00AB4FD0"/>
    <w:rsid w:val="00AB5E6A"/>
    <w:rsid w:val="00AB72EB"/>
    <w:rsid w:val="00AC0D5E"/>
    <w:rsid w:val="00AC0EBD"/>
    <w:rsid w:val="00AC19E3"/>
    <w:rsid w:val="00AC1E71"/>
    <w:rsid w:val="00AC3116"/>
    <w:rsid w:val="00AC316A"/>
    <w:rsid w:val="00AC373B"/>
    <w:rsid w:val="00AC567A"/>
    <w:rsid w:val="00AC6D50"/>
    <w:rsid w:val="00AC7690"/>
    <w:rsid w:val="00AC76CE"/>
    <w:rsid w:val="00AD0527"/>
    <w:rsid w:val="00AD1524"/>
    <w:rsid w:val="00AD1CA2"/>
    <w:rsid w:val="00AD37AD"/>
    <w:rsid w:val="00AD3DB1"/>
    <w:rsid w:val="00AD49F7"/>
    <w:rsid w:val="00AD4AF8"/>
    <w:rsid w:val="00AD5B94"/>
    <w:rsid w:val="00AD66C7"/>
    <w:rsid w:val="00AD6708"/>
    <w:rsid w:val="00AD6EAC"/>
    <w:rsid w:val="00AD75EB"/>
    <w:rsid w:val="00AD762D"/>
    <w:rsid w:val="00AE0239"/>
    <w:rsid w:val="00AE0A52"/>
    <w:rsid w:val="00AE0E0E"/>
    <w:rsid w:val="00AE0F6C"/>
    <w:rsid w:val="00AE2AF5"/>
    <w:rsid w:val="00AE2E3C"/>
    <w:rsid w:val="00AE4A8E"/>
    <w:rsid w:val="00AE4F16"/>
    <w:rsid w:val="00AE6038"/>
    <w:rsid w:val="00AE6E34"/>
    <w:rsid w:val="00AE6F01"/>
    <w:rsid w:val="00AF07E3"/>
    <w:rsid w:val="00AF0BE2"/>
    <w:rsid w:val="00AF10D4"/>
    <w:rsid w:val="00AF1233"/>
    <w:rsid w:val="00AF1A9F"/>
    <w:rsid w:val="00AF27D5"/>
    <w:rsid w:val="00AF2C37"/>
    <w:rsid w:val="00AF45AD"/>
    <w:rsid w:val="00AF4F10"/>
    <w:rsid w:val="00AF562C"/>
    <w:rsid w:val="00AF5A72"/>
    <w:rsid w:val="00B00DCF"/>
    <w:rsid w:val="00B0112A"/>
    <w:rsid w:val="00B0112B"/>
    <w:rsid w:val="00B01501"/>
    <w:rsid w:val="00B020DA"/>
    <w:rsid w:val="00B0229E"/>
    <w:rsid w:val="00B02467"/>
    <w:rsid w:val="00B06EFC"/>
    <w:rsid w:val="00B0753C"/>
    <w:rsid w:val="00B07DA6"/>
    <w:rsid w:val="00B07E5D"/>
    <w:rsid w:val="00B10582"/>
    <w:rsid w:val="00B10934"/>
    <w:rsid w:val="00B11496"/>
    <w:rsid w:val="00B11964"/>
    <w:rsid w:val="00B12187"/>
    <w:rsid w:val="00B12489"/>
    <w:rsid w:val="00B1292A"/>
    <w:rsid w:val="00B13B9C"/>
    <w:rsid w:val="00B1403C"/>
    <w:rsid w:val="00B141CC"/>
    <w:rsid w:val="00B15AA5"/>
    <w:rsid w:val="00B16284"/>
    <w:rsid w:val="00B1647B"/>
    <w:rsid w:val="00B20E83"/>
    <w:rsid w:val="00B215DF"/>
    <w:rsid w:val="00B22081"/>
    <w:rsid w:val="00B2309B"/>
    <w:rsid w:val="00B234C6"/>
    <w:rsid w:val="00B23515"/>
    <w:rsid w:val="00B23BBB"/>
    <w:rsid w:val="00B24B60"/>
    <w:rsid w:val="00B24C28"/>
    <w:rsid w:val="00B24DF3"/>
    <w:rsid w:val="00B253A1"/>
    <w:rsid w:val="00B258FA"/>
    <w:rsid w:val="00B2754C"/>
    <w:rsid w:val="00B27E17"/>
    <w:rsid w:val="00B30118"/>
    <w:rsid w:val="00B31461"/>
    <w:rsid w:val="00B31929"/>
    <w:rsid w:val="00B3199A"/>
    <w:rsid w:val="00B31B33"/>
    <w:rsid w:val="00B320F5"/>
    <w:rsid w:val="00B334FC"/>
    <w:rsid w:val="00B339AC"/>
    <w:rsid w:val="00B34E93"/>
    <w:rsid w:val="00B35908"/>
    <w:rsid w:val="00B371BD"/>
    <w:rsid w:val="00B40093"/>
    <w:rsid w:val="00B40158"/>
    <w:rsid w:val="00B408BC"/>
    <w:rsid w:val="00B41E79"/>
    <w:rsid w:val="00B41FD1"/>
    <w:rsid w:val="00B42E2F"/>
    <w:rsid w:val="00B42F7B"/>
    <w:rsid w:val="00B4330A"/>
    <w:rsid w:val="00B444D1"/>
    <w:rsid w:val="00B44B44"/>
    <w:rsid w:val="00B44BB9"/>
    <w:rsid w:val="00B44E37"/>
    <w:rsid w:val="00B4522B"/>
    <w:rsid w:val="00B4590A"/>
    <w:rsid w:val="00B4791A"/>
    <w:rsid w:val="00B47EDE"/>
    <w:rsid w:val="00B50FAE"/>
    <w:rsid w:val="00B51AF6"/>
    <w:rsid w:val="00B51B20"/>
    <w:rsid w:val="00B51EBC"/>
    <w:rsid w:val="00B52F9C"/>
    <w:rsid w:val="00B5317E"/>
    <w:rsid w:val="00B532BD"/>
    <w:rsid w:val="00B53791"/>
    <w:rsid w:val="00B539C0"/>
    <w:rsid w:val="00B53E01"/>
    <w:rsid w:val="00B540BA"/>
    <w:rsid w:val="00B54613"/>
    <w:rsid w:val="00B54A02"/>
    <w:rsid w:val="00B54B59"/>
    <w:rsid w:val="00B54D49"/>
    <w:rsid w:val="00B55E16"/>
    <w:rsid w:val="00B56041"/>
    <w:rsid w:val="00B5606F"/>
    <w:rsid w:val="00B561FC"/>
    <w:rsid w:val="00B5652D"/>
    <w:rsid w:val="00B60CC7"/>
    <w:rsid w:val="00B60ED7"/>
    <w:rsid w:val="00B61819"/>
    <w:rsid w:val="00B62D22"/>
    <w:rsid w:val="00B6406F"/>
    <w:rsid w:val="00B652A4"/>
    <w:rsid w:val="00B656FE"/>
    <w:rsid w:val="00B65C4F"/>
    <w:rsid w:val="00B66035"/>
    <w:rsid w:val="00B667ED"/>
    <w:rsid w:val="00B67C63"/>
    <w:rsid w:val="00B67EDA"/>
    <w:rsid w:val="00B7366B"/>
    <w:rsid w:val="00B73746"/>
    <w:rsid w:val="00B7530C"/>
    <w:rsid w:val="00B76922"/>
    <w:rsid w:val="00B772EE"/>
    <w:rsid w:val="00B77513"/>
    <w:rsid w:val="00B77F1B"/>
    <w:rsid w:val="00B80349"/>
    <w:rsid w:val="00B8063B"/>
    <w:rsid w:val="00B807B4"/>
    <w:rsid w:val="00B808AC"/>
    <w:rsid w:val="00B81D0F"/>
    <w:rsid w:val="00B8331B"/>
    <w:rsid w:val="00B83A51"/>
    <w:rsid w:val="00B83E7B"/>
    <w:rsid w:val="00B83F1F"/>
    <w:rsid w:val="00B84B22"/>
    <w:rsid w:val="00B84DE4"/>
    <w:rsid w:val="00B85573"/>
    <w:rsid w:val="00B856BD"/>
    <w:rsid w:val="00B86481"/>
    <w:rsid w:val="00B873AE"/>
    <w:rsid w:val="00B876EC"/>
    <w:rsid w:val="00B90D85"/>
    <w:rsid w:val="00B92B86"/>
    <w:rsid w:val="00B93469"/>
    <w:rsid w:val="00B951E9"/>
    <w:rsid w:val="00B95972"/>
    <w:rsid w:val="00B95AE8"/>
    <w:rsid w:val="00B95B34"/>
    <w:rsid w:val="00B9707A"/>
    <w:rsid w:val="00B9776A"/>
    <w:rsid w:val="00B97839"/>
    <w:rsid w:val="00B978BC"/>
    <w:rsid w:val="00B97AA6"/>
    <w:rsid w:val="00BA0154"/>
    <w:rsid w:val="00BA0250"/>
    <w:rsid w:val="00BA051D"/>
    <w:rsid w:val="00BA123B"/>
    <w:rsid w:val="00BA189D"/>
    <w:rsid w:val="00BA2DE5"/>
    <w:rsid w:val="00BA3851"/>
    <w:rsid w:val="00BA46F3"/>
    <w:rsid w:val="00BA494E"/>
    <w:rsid w:val="00BA51ED"/>
    <w:rsid w:val="00BA579D"/>
    <w:rsid w:val="00BA6CB2"/>
    <w:rsid w:val="00BB054C"/>
    <w:rsid w:val="00BB1EE2"/>
    <w:rsid w:val="00BB219B"/>
    <w:rsid w:val="00BB29D4"/>
    <w:rsid w:val="00BB3653"/>
    <w:rsid w:val="00BB37C1"/>
    <w:rsid w:val="00BB3A55"/>
    <w:rsid w:val="00BB3AF7"/>
    <w:rsid w:val="00BB4097"/>
    <w:rsid w:val="00BB5AEC"/>
    <w:rsid w:val="00BB6CDD"/>
    <w:rsid w:val="00BB6DE1"/>
    <w:rsid w:val="00BB7297"/>
    <w:rsid w:val="00BB739D"/>
    <w:rsid w:val="00BB7B29"/>
    <w:rsid w:val="00BC0000"/>
    <w:rsid w:val="00BC0384"/>
    <w:rsid w:val="00BC156C"/>
    <w:rsid w:val="00BC1767"/>
    <w:rsid w:val="00BC1AAD"/>
    <w:rsid w:val="00BC1E78"/>
    <w:rsid w:val="00BC212E"/>
    <w:rsid w:val="00BC28F5"/>
    <w:rsid w:val="00BC2966"/>
    <w:rsid w:val="00BC29C8"/>
    <w:rsid w:val="00BC3670"/>
    <w:rsid w:val="00BC375B"/>
    <w:rsid w:val="00BC376C"/>
    <w:rsid w:val="00BC3933"/>
    <w:rsid w:val="00BC39DD"/>
    <w:rsid w:val="00BC3EF9"/>
    <w:rsid w:val="00BC3FCE"/>
    <w:rsid w:val="00BC41D9"/>
    <w:rsid w:val="00BC4CB8"/>
    <w:rsid w:val="00BC64A6"/>
    <w:rsid w:val="00BD00EB"/>
    <w:rsid w:val="00BD0493"/>
    <w:rsid w:val="00BD073E"/>
    <w:rsid w:val="00BD08BE"/>
    <w:rsid w:val="00BD1E0C"/>
    <w:rsid w:val="00BD2877"/>
    <w:rsid w:val="00BD39A7"/>
    <w:rsid w:val="00BD436C"/>
    <w:rsid w:val="00BD43CF"/>
    <w:rsid w:val="00BD4824"/>
    <w:rsid w:val="00BD4DBF"/>
    <w:rsid w:val="00BD6A47"/>
    <w:rsid w:val="00BD6E79"/>
    <w:rsid w:val="00BD7550"/>
    <w:rsid w:val="00BD7A8C"/>
    <w:rsid w:val="00BE0775"/>
    <w:rsid w:val="00BE0D9C"/>
    <w:rsid w:val="00BE0FC6"/>
    <w:rsid w:val="00BE12B3"/>
    <w:rsid w:val="00BE233E"/>
    <w:rsid w:val="00BE40C9"/>
    <w:rsid w:val="00BE47EE"/>
    <w:rsid w:val="00BE5754"/>
    <w:rsid w:val="00BE6BBD"/>
    <w:rsid w:val="00BE6D5A"/>
    <w:rsid w:val="00BE7759"/>
    <w:rsid w:val="00BF116E"/>
    <w:rsid w:val="00BF27C9"/>
    <w:rsid w:val="00BF2DA7"/>
    <w:rsid w:val="00BF2EC2"/>
    <w:rsid w:val="00BF30F8"/>
    <w:rsid w:val="00BF314D"/>
    <w:rsid w:val="00BF32B4"/>
    <w:rsid w:val="00BF397E"/>
    <w:rsid w:val="00BF6653"/>
    <w:rsid w:val="00BF7440"/>
    <w:rsid w:val="00BF74A4"/>
    <w:rsid w:val="00C005B2"/>
    <w:rsid w:val="00C00B1F"/>
    <w:rsid w:val="00C0119D"/>
    <w:rsid w:val="00C02717"/>
    <w:rsid w:val="00C02D8A"/>
    <w:rsid w:val="00C0325D"/>
    <w:rsid w:val="00C1014D"/>
    <w:rsid w:val="00C10B48"/>
    <w:rsid w:val="00C10C77"/>
    <w:rsid w:val="00C1211B"/>
    <w:rsid w:val="00C129F3"/>
    <w:rsid w:val="00C13172"/>
    <w:rsid w:val="00C14111"/>
    <w:rsid w:val="00C142B4"/>
    <w:rsid w:val="00C1585F"/>
    <w:rsid w:val="00C15B26"/>
    <w:rsid w:val="00C15C6A"/>
    <w:rsid w:val="00C16CAA"/>
    <w:rsid w:val="00C1769B"/>
    <w:rsid w:val="00C17A76"/>
    <w:rsid w:val="00C20094"/>
    <w:rsid w:val="00C2260E"/>
    <w:rsid w:val="00C23477"/>
    <w:rsid w:val="00C23683"/>
    <w:rsid w:val="00C237F1"/>
    <w:rsid w:val="00C259DF"/>
    <w:rsid w:val="00C25DB3"/>
    <w:rsid w:val="00C26828"/>
    <w:rsid w:val="00C27D32"/>
    <w:rsid w:val="00C27F0C"/>
    <w:rsid w:val="00C3104C"/>
    <w:rsid w:val="00C31ED8"/>
    <w:rsid w:val="00C32763"/>
    <w:rsid w:val="00C331A1"/>
    <w:rsid w:val="00C33312"/>
    <w:rsid w:val="00C33446"/>
    <w:rsid w:val="00C34921"/>
    <w:rsid w:val="00C34AB4"/>
    <w:rsid w:val="00C34B35"/>
    <w:rsid w:val="00C351BF"/>
    <w:rsid w:val="00C35EED"/>
    <w:rsid w:val="00C362DC"/>
    <w:rsid w:val="00C37843"/>
    <w:rsid w:val="00C3794C"/>
    <w:rsid w:val="00C37AC2"/>
    <w:rsid w:val="00C37F51"/>
    <w:rsid w:val="00C403AD"/>
    <w:rsid w:val="00C414F1"/>
    <w:rsid w:val="00C428A8"/>
    <w:rsid w:val="00C42CC4"/>
    <w:rsid w:val="00C437AB"/>
    <w:rsid w:val="00C43A44"/>
    <w:rsid w:val="00C445FE"/>
    <w:rsid w:val="00C44A5C"/>
    <w:rsid w:val="00C451B1"/>
    <w:rsid w:val="00C456EF"/>
    <w:rsid w:val="00C46E4F"/>
    <w:rsid w:val="00C46F31"/>
    <w:rsid w:val="00C47129"/>
    <w:rsid w:val="00C47ED9"/>
    <w:rsid w:val="00C5078C"/>
    <w:rsid w:val="00C508EF"/>
    <w:rsid w:val="00C50BAE"/>
    <w:rsid w:val="00C554BB"/>
    <w:rsid w:val="00C554EC"/>
    <w:rsid w:val="00C559BF"/>
    <w:rsid w:val="00C56055"/>
    <w:rsid w:val="00C600B5"/>
    <w:rsid w:val="00C60A43"/>
    <w:rsid w:val="00C60AE2"/>
    <w:rsid w:val="00C61E75"/>
    <w:rsid w:val="00C61EE5"/>
    <w:rsid w:val="00C624C7"/>
    <w:rsid w:val="00C644EA"/>
    <w:rsid w:val="00C64EEF"/>
    <w:rsid w:val="00C65A95"/>
    <w:rsid w:val="00C6773B"/>
    <w:rsid w:val="00C677AD"/>
    <w:rsid w:val="00C6785F"/>
    <w:rsid w:val="00C67ABA"/>
    <w:rsid w:val="00C70714"/>
    <w:rsid w:val="00C70E54"/>
    <w:rsid w:val="00C71AB7"/>
    <w:rsid w:val="00C73493"/>
    <w:rsid w:val="00C746FB"/>
    <w:rsid w:val="00C752C7"/>
    <w:rsid w:val="00C7574C"/>
    <w:rsid w:val="00C75B61"/>
    <w:rsid w:val="00C76C46"/>
    <w:rsid w:val="00C76D56"/>
    <w:rsid w:val="00C77DD4"/>
    <w:rsid w:val="00C80321"/>
    <w:rsid w:val="00C80462"/>
    <w:rsid w:val="00C82A3D"/>
    <w:rsid w:val="00C834A5"/>
    <w:rsid w:val="00C8431E"/>
    <w:rsid w:val="00C8544C"/>
    <w:rsid w:val="00C85FA4"/>
    <w:rsid w:val="00C86443"/>
    <w:rsid w:val="00C8697D"/>
    <w:rsid w:val="00C86ABD"/>
    <w:rsid w:val="00C86F74"/>
    <w:rsid w:val="00C87097"/>
    <w:rsid w:val="00C91A43"/>
    <w:rsid w:val="00C92102"/>
    <w:rsid w:val="00C92A72"/>
    <w:rsid w:val="00C94CB5"/>
    <w:rsid w:val="00C9562F"/>
    <w:rsid w:val="00C95751"/>
    <w:rsid w:val="00C9679B"/>
    <w:rsid w:val="00C96BF2"/>
    <w:rsid w:val="00C96DFA"/>
    <w:rsid w:val="00C972F1"/>
    <w:rsid w:val="00C97966"/>
    <w:rsid w:val="00CA0804"/>
    <w:rsid w:val="00CA1127"/>
    <w:rsid w:val="00CA24C1"/>
    <w:rsid w:val="00CA3848"/>
    <w:rsid w:val="00CA3913"/>
    <w:rsid w:val="00CA448D"/>
    <w:rsid w:val="00CA573A"/>
    <w:rsid w:val="00CA684E"/>
    <w:rsid w:val="00CA685D"/>
    <w:rsid w:val="00CA6894"/>
    <w:rsid w:val="00CA6928"/>
    <w:rsid w:val="00CA7C5E"/>
    <w:rsid w:val="00CA7D13"/>
    <w:rsid w:val="00CB016E"/>
    <w:rsid w:val="00CB0CBA"/>
    <w:rsid w:val="00CB0EEB"/>
    <w:rsid w:val="00CB1215"/>
    <w:rsid w:val="00CB1CE5"/>
    <w:rsid w:val="00CB1D03"/>
    <w:rsid w:val="00CB2473"/>
    <w:rsid w:val="00CB2A8A"/>
    <w:rsid w:val="00CB32B2"/>
    <w:rsid w:val="00CB3305"/>
    <w:rsid w:val="00CB3335"/>
    <w:rsid w:val="00CB3574"/>
    <w:rsid w:val="00CB4448"/>
    <w:rsid w:val="00CB6509"/>
    <w:rsid w:val="00CB676E"/>
    <w:rsid w:val="00CB7CB5"/>
    <w:rsid w:val="00CB7F99"/>
    <w:rsid w:val="00CC1E5F"/>
    <w:rsid w:val="00CC25F9"/>
    <w:rsid w:val="00CC2678"/>
    <w:rsid w:val="00CC31B2"/>
    <w:rsid w:val="00CC42B6"/>
    <w:rsid w:val="00CC521C"/>
    <w:rsid w:val="00CC7E96"/>
    <w:rsid w:val="00CD1976"/>
    <w:rsid w:val="00CD1982"/>
    <w:rsid w:val="00CD1F25"/>
    <w:rsid w:val="00CD252F"/>
    <w:rsid w:val="00CD2E0F"/>
    <w:rsid w:val="00CD3079"/>
    <w:rsid w:val="00CD3DF8"/>
    <w:rsid w:val="00CD47E9"/>
    <w:rsid w:val="00CD56E9"/>
    <w:rsid w:val="00CD6C2F"/>
    <w:rsid w:val="00CD6EAD"/>
    <w:rsid w:val="00CD7C4D"/>
    <w:rsid w:val="00CD7E1B"/>
    <w:rsid w:val="00CD7F66"/>
    <w:rsid w:val="00CE03FB"/>
    <w:rsid w:val="00CE0EA4"/>
    <w:rsid w:val="00CE12DB"/>
    <w:rsid w:val="00CE23CC"/>
    <w:rsid w:val="00CE2689"/>
    <w:rsid w:val="00CE2A4F"/>
    <w:rsid w:val="00CE405A"/>
    <w:rsid w:val="00CE423B"/>
    <w:rsid w:val="00CE48CB"/>
    <w:rsid w:val="00CE692D"/>
    <w:rsid w:val="00CE7004"/>
    <w:rsid w:val="00CE7111"/>
    <w:rsid w:val="00CF0005"/>
    <w:rsid w:val="00CF0261"/>
    <w:rsid w:val="00CF0270"/>
    <w:rsid w:val="00CF1F97"/>
    <w:rsid w:val="00CF2B24"/>
    <w:rsid w:val="00CF2F88"/>
    <w:rsid w:val="00CF309F"/>
    <w:rsid w:val="00CF3D01"/>
    <w:rsid w:val="00CF42E9"/>
    <w:rsid w:val="00CF5398"/>
    <w:rsid w:val="00CF53D9"/>
    <w:rsid w:val="00CF5AC7"/>
    <w:rsid w:val="00CF6A1D"/>
    <w:rsid w:val="00CF7381"/>
    <w:rsid w:val="00CF7F58"/>
    <w:rsid w:val="00D0023B"/>
    <w:rsid w:val="00D007F3"/>
    <w:rsid w:val="00D00BF8"/>
    <w:rsid w:val="00D014A8"/>
    <w:rsid w:val="00D01E10"/>
    <w:rsid w:val="00D02411"/>
    <w:rsid w:val="00D02D08"/>
    <w:rsid w:val="00D0461E"/>
    <w:rsid w:val="00D04678"/>
    <w:rsid w:val="00D0477D"/>
    <w:rsid w:val="00D05789"/>
    <w:rsid w:val="00D076AE"/>
    <w:rsid w:val="00D07ABE"/>
    <w:rsid w:val="00D115CF"/>
    <w:rsid w:val="00D11DE8"/>
    <w:rsid w:val="00D12B14"/>
    <w:rsid w:val="00D13F40"/>
    <w:rsid w:val="00D145C1"/>
    <w:rsid w:val="00D157B9"/>
    <w:rsid w:val="00D157BB"/>
    <w:rsid w:val="00D1580E"/>
    <w:rsid w:val="00D16F69"/>
    <w:rsid w:val="00D205F2"/>
    <w:rsid w:val="00D20C54"/>
    <w:rsid w:val="00D22BC5"/>
    <w:rsid w:val="00D231D0"/>
    <w:rsid w:val="00D243A3"/>
    <w:rsid w:val="00D24601"/>
    <w:rsid w:val="00D26D53"/>
    <w:rsid w:val="00D30B88"/>
    <w:rsid w:val="00D327F0"/>
    <w:rsid w:val="00D32A81"/>
    <w:rsid w:val="00D330E1"/>
    <w:rsid w:val="00D35512"/>
    <w:rsid w:val="00D35C97"/>
    <w:rsid w:val="00D36CE6"/>
    <w:rsid w:val="00D41D3C"/>
    <w:rsid w:val="00D41F72"/>
    <w:rsid w:val="00D423EB"/>
    <w:rsid w:val="00D442EE"/>
    <w:rsid w:val="00D468A2"/>
    <w:rsid w:val="00D47085"/>
    <w:rsid w:val="00D47589"/>
    <w:rsid w:val="00D50A85"/>
    <w:rsid w:val="00D5178D"/>
    <w:rsid w:val="00D51D0A"/>
    <w:rsid w:val="00D525F9"/>
    <w:rsid w:val="00D534BA"/>
    <w:rsid w:val="00D53537"/>
    <w:rsid w:val="00D554E6"/>
    <w:rsid w:val="00D55B4C"/>
    <w:rsid w:val="00D56AAA"/>
    <w:rsid w:val="00D56C99"/>
    <w:rsid w:val="00D61100"/>
    <w:rsid w:val="00D61B08"/>
    <w:rsid w:val="00D623C0"/>
    <w:rsid w:val="00D62FA5"/>
    <w:rsid w:val="00D630B8"/>
    <w:rsid w:val="00D633D2"/>
    <w:rsid w:val="00D63656"/>
    <w:rsid w:val="00D6423D"/>
    <w:rsid w:val="00D64E2D"/>
    <w:rsid w:val="00D67943"/>
    <w:rsid w:val="00D67B5F"/>
    <w:rsid w:val="00D67CAD"/>
    <w:rsid w:val="00D706C3"/>
    <w:rsid w:val="00D707A3"/>
    <w:rsid w:val="00D70F4B"/>
    <w:rsid w:val="00D720FB"/>
    <w:rsid w:val="00D7226F"/>
    <w:rsid w:val="00D725C2"/>
    <w:rsid w:val="00D742A4"/>
    <w:rsid w:val="00D7590E"/>
    <w:rsid w:val="00D761CD"/>
    <w:rsid w:val="00D76363"/>
    <w:rsid w:val="00D77C31"/>
    <w:rsid w:val="00D80558"/>
    <w:rsid w:val="00D805B3"/>
    <w:rsid w:val="00D80C88"/>
    <w:rsid w:val="00D8145F"/>
    <w:rsid w:val="00D81C25"/>
    <w:rsid w:val="00D82C3A"/>
    <w:rsid w:val="00D82E7E"/>
    <w:rsid w:val="00D83C26"/>
    <w:rsid w:val="00D84FBD"/>
    <w:rsid w:val="00D85838"/>
    <w:rsid w:val="00D85D67"/>
    <w:rsid w:val="00D86432"/>
    <w:rsid w:val="00D91EA9"/>
    <w:rsid w:val="00D92244"/>
    <w:rsid w:val="00D92EBC"/>
    <w:rsid w:val="00D93D43"/>
    <w:rsid w:val="00D944B2"/>
    <w:rsid w:val="00D94C7B"/>
    <w:rsid w:val="00D9545B"/>
    <w:rsid w:val="00D95CCF"/>
    <w:rsid w:val="00D9691F"/>
    <w:rsid w:val="00D96DF6"/>
    <w:rsid w:val="00D97364"/>
    <w:rsid w:val="00D979E8"/>
    <w:rsid w:val="00D97AE5"/>
    <w:rsid w:val="00D97E9C"/>
    <w:rsid w:val="00DA134D"/>
    <w:rsid w:val="00DA20F0"/>
    <w:rsid w:val="00DA2D88"/>
    <w:rsid w:val="00DA4A4C"/>
    <w:rsid w:val="00DA4A76"/>
    <w:rsid w:val="00DA5622"/>
    <w:rsid w:val="00DA608B"/>
    <w:rsid w:val="00DA7AFB"/>
    <w:rsid w:val="00DB2B61"/>
    <w:rsid w:val="00DB34D6"/>
    <w:rsid w:val="00DB3C05"/>
    <w:rsid w:val="00DB3DBA"/>
    <w:rsid w:val="00DB4124"/>
    <w:rsid w:val="00DB5B6E"/>
    <w:rsid w:val="00DB678B"/>
    <w:rsid w:val="00DB6D98"/>
    <w:rsid w:val="00DC054C"/>
    <w:rsid w:val="00DC057E"/>
    <w:rsid w:val="00DC097D"/>
    <w:rsid w:val="00DC15A9"/>
    <w:rsid w:val="00DC1607"/>
    <w:rsid w:val="00DC17CF"/>
    <w:rsid w:val="00DC26B9"/>
    <w:rsid w:val="00DC2874"/>
    <w:rsid w:val="00DC28F0"/>
    <w:rsid w:val="00DC2D49"/>
    <w:rsid w:val="00DC3563"/>
    <w:rsid w:val="00DC3717"/>
    <w:rsid w:val="00DC53E9"/>
    <w:rsid w:val="00DC6FA7"/>
    <w:rsid w:val="00DC72D3"/>
    <w:rsid w:val="00DD0146"/>
    <w:rsid w:val="00DD1B28"/>
    <w:rsid w:val="00DD1B77"/>
    <w:rsid w:val="00DD23A2"/>
    <w:rsid w:val="00DD2512"/>
    <w:rsid w:val="00DD289C"/>
    <w:rsid w:val="00DD2DEA"/>
    <w:rsid w:val="00DD3466"/>
    <w:rsid w:val="00DD42DD"/>
    <w:rsid w:val="00DD511D"/>
    <w:rsid w:val="00DD53BA"/>
    <w:rsid w:val="00DD53BD"/>
    <w:rsid w:val="00DD578E"/>
    <w:rsid w:val="00DD66B2"/>
    <w:rsid w:val="00DD7044"/>
    <w:rsid w:val="00DE010C"/>
    <w:rsid w:val="00DE2110"/>
    <w:rsid w:val="00DE2301"/>
    <w:rsid w:val="00DE29AC"/>
    <w:rsid w:val="00DE2C99"/>
    <w:rsid w:val="00DE308B"/>
    <w:rsid w:val="00DE3CA7"/>
    <w:rsid w:val="00DE43CE"/>
    <w:rsid w:val="00DE4C21"/>
    <w:rsid w:val="00DE4C77"/>
    <w:rsid w:val="00DE5DA2"/>
    <w:rsid w:val="00DE65D0"/>
    <w:rsid w:val="00DE69CB"/>
    <w:rsid w:val="00DE78E2"/>
    <w:rsid w:val="00DF132B"/>
    <w:rsid w:val="00DF2015"/>
    <w:rsid w:val="00DF25DF"/>
    <w:rsid w:val="00DF2640"/>
    <w:rsid w:val="00DF2B94"/>
    <w:rsid w:val="00DF305C"/>
    <w:rsid w:val="00DF349B"/>
    <w:rsid w:val="00DF3AB4"/>
    <w:rsid w:val="00DF3AB5"/>
    <w:rsid w:val="00DF3ABC"/>
    <w:rsid w:val="00DF3E74"/>
    <w:rsid w:val="00DF590D"/>
    <w:rsid w:val="00DF63B1"/>
    <w:rsid w:val="00DF6944"/>
    <w:rsid w:val="00E00CD3"/>
    <w:rsid w:val="00E01B9A"/>
    <w:rsid w:val="00E01EE3"/>
    <w:rsid w:val="00E0226B"/>
    <w:rsid w:val="00E02818"/>
    <w:rsid w:val="00E02E1A"/>
    <w:rsid w:val="00E02F7F"/>
    <w:rsid w:val="00E03BF2"/>
    <w:rsid w:val="00E060CF"/>
    <w:rsid w:val="00E0620E"/>
    <w:rsid w:val="00E062AC"/>
    <w:rsid w:val="00E06456"/>
    <w:rsid w:val="00E074E2"/>
    <w:rsid w:val="00E07A49"/>
    <w:rsid w:val="00E102AB"/>
    <w:rsid w:val="00E10736"/>
    <w:rsid w:val="00E110D0"/>
    <w:rsid w:val="00E11669"/>
    <w:rsid w:val="00E119DF"/>
    <w:rsid w:val="00E11C18"/>
    <w:rsid w:val="00E11CA9"/>
    <w:rsid w:val="00E13E01"/>
    <w:rsid w:val="00E1409A"/>
    <w:rsid w:val="00E1449B"/>
    <w:rsid w:val="00E14907"/>
    <w:rsid w:val="00E15330"/>
    <w:rsid w:val="00E15813"/>
    <w:rsid w:val="00E15965"/>
    <w:rsid w:val="00E20065"/>
    <w:rsid w:val="00E20508"/>
    <w:rsid w:val="00E20579"/>
    <w:rsid w:val="00E207F0"/>
    <w:rsid w:val="00E20FC5"/>
    <w:rsid w:val="00E211D9"/>
    <w:rsid w:val="00E21482"/>
    <w:rsid w:val="00E227B2"/>
    <w:rsid w:val="00E22C3B"/>
    <w:rsid w:val="00E22F64"/>
    <w:rsid w:val="00E24300"/>
    <w:rsid w:val="00E24CDF"/>
    <w:rsid w:val="00E25AC4"/>
    <w:rsid w:val="00E26B20"/>
    <w:rsid w:val="00E26F29"/>
    <w:rsid w:val="00E302BC"/>
    <w:rsid w:val="00E31152"/>
    <w:rsid w:val="00E3132D"/>
    <w:rsid w:val="00E31954"/>
    <w:rsid w:val="00E32E37"/>
    <w:rsid w:val="00E33923"/>
    <w:rsid w:val="00E33D03"/>
    <w:rsid w:val="00E34279"/>
    <w:rsid w:val="00E35F6C"/>
    <w:rsid w:val="00E36007"/>
    <w:rsid w:val="00E36C7E"/>
    <w:rsid w:val="00E36EA1"/>
    <w:rsid w:val="00E3738B"/>
    <w:rsid w:val="00E37A8F"/>
    <w:rsid w:val="00E40125"/>
    <w:rsid w:val="00E4196E"/>
    <w:rsid w:val="00E4258F"/>
    <w:rsid w:val="00E42A19"/>
    <w:rsid w:val="00E42E80"/>
    <w:rsid w:val="00E4355F"/>
    <w:rsid w:val="00E43B90"/>
    <w:rsid w:val="00E44E96"/>
    <w:rsid w:val="00E451AC"/>
    <w:rsid w:val="00E461E1"/>
    <w:rsid w:val="00E46C3B"/>
    <w:rsid w:val="00E46D7D"/>
    <w:rsid w:val="00E47B45"/>
    <w:rsid w:val="00E5373B"/>
    <w:rsid w:val="00E53870"/>
    <w:rsid w:val="00E53EED"/>
    <w:rsid w:val="00E53F9A"/>
    <w:rsid w:val="00E54548"/>
    <w:rsid w:val="00E54B8B"/>
    <w:rsid w:val="00E54EEC"/>
    <w:rsid w:val="00E55AD5"/>
    <w:rsid w:val="00E568E1"/>
    <w:rsid w:val="00E56E9F"/>
    <w:rsid w:val="00E576E9"/>
    <w:rsid w:val="00E57EF5"/>
    <w:rsid w:val="00E61540"/>
    <w:rsid w:val="00E61582"/>
    <w:rsid w:val="00E62B5E"/>
    <w:rsid w:val="00E63571"/>
    <w:rsid w:val="00E63AC7"/>
    <w:rsid w:val="00E642C0"/>
    <w:rsid w:val="00E64300"/>
    <w:rsid w:val="00E653B3"/>
    <w:rsid w:val="00E65C6F"/>
    <w:rsid w:val="00E65D01"/>
    <w:rsid w:val="00E65DF1"/>
    <w:rsid w:val="00E66A9B"/>
    <w:rsid w:val="00E66AAC"/>
    <w:rsid w:val="00E66BE0"/>
    <w:rsid w:val="00E67282"/>
    <w:rsid w:val="00E70CCC"/>
    <w:rsid w:val="00E71209"/>
    <w:rsid w:val="00E72E7D"/>
    <w:rsid w:val="00E73B1E"/>
    <w:rsid w:val="00E7466E"/>
    <w:rsid w:val="00E75479"/>
    <w:rsid w:val="00E75514"/>
    <w:rsid w:val="00E7553B"/>
    <w:rsid w:val="00E775D4"/>
    <w:rsid w:val="00E80149"/>
    <w:rsid w:val="00E81287"/>
    <w:rsid w:val="00E81FA5"/>
    <w:rsid w:val="00E81FDD"/>
    <w:rsid w:val="00E822C7"/>
    <w:rsid w:val="00E827E1"/>
    <w:rsid w:val="00E82B6C"/>
    <w:rsid w:val="00E84D9E"/>
    <w:rsid w:val="00E84DEC"/>
    <w:rsid w:val="00E84ED0"/>
    <w:rsid w:val="00E86232"/>
    <w:rsid w:val="00E86421"/>
    <w:rsid w:val="00E865BD"/>
    <w:rsid w:val="00E86F1E"/>
    <w:rsid w:val="00E87122"/>
    <w:rsid w:val="00E87965"/>
    <w:rsid w:val="00E90E50"/>
    <w:rsid w:val="00E91000"/>
    <w:rsid w:val="00E926A5"/>
    <w:rsid w:val="00E93ED5"/>
    <w:rsid w:val="00E94AE8"/>
    <w:rsid w:val="00E94F65"/>
    <w:rsid w:val="00E96E30"/>
    <w:rsid w:val="00E96F39"/>
    <w:rsid w:val="00E9788D"/>
    <w:rsid w:val="00E9792C"/>
    <w:rsid w:val="00E97B50"/>
    <w:rsid w:val="00EA1181"/>
    <w:rsid w:val="00EA2799"/>
    <w:rsid w:val="00EA2EC0"/>
    <w:rsid w:val="00EA3D3D"/>
    <w:rsid w:val="00EA403A"/>
    <w:rsid w:val="00EA46F7"/>
    <w:rsid w:val="00EA72E8"/>
    <w:rsid w:val="00EA74E6"/>
    <w:rsid w:val="00EA76FF"/>
    <w:rsid w:val="00EB051C"/>
    <w:rsid w:val="00EB0645"/>
    <w:rsid w:val="00EB0A27"/>
    <w:rsid w:val="00EB0AB5"/>
    <w:rsid w:val="00EB1ADA"/>
    <w:rsid w:val="00EB3927"/>
    <w:rsid w:val="00EB46E1"/>
    <w:rsid w:val="00EB473F"/>
    <w:rsid w:val="00EB49CC"/>
    <w:rsid w:val="00EB7883"/>
    <w:rsid w:val="00EB7972"/>
    <w:rsid w:val="00EC13BB"/>
    <w:rsid w:val="00EC1820"/>
    <w:rsid w:val="00EC533C"/>
    <w:rsid w:val="00EC54AC"/>
    <w:rsid w:val="00EC5A06"/>
    <w:rsid w:val="00EC6543"/>
    <w:rsid w:val="00EC6B43"/>
    <w:rsid w:val="00EC6D3A"/>
    <w:rsid w:val="00EC7156"/>
    <w:rsid w:val="00EC74A8"/>
    <w:rsid w:val="00EC77F1"/>
    <w:rsid w:val="00EC78C3"/>
    <w:rsid w:val="00EC79EC"/>
    <w:rsid w:val="00ED005C"/>
    <w:rsid w:val="00ED0F23"/>
    <w:rsid w:val="00ED1206"/>
    <w:rsid w:val="00ED13C3"/>
    <w:rsid w:val="00ED18AB"/>
    <w:rsid w:val="00ED1C41"/>
    <w:rsid w:val="00ED20B6"/>
    <w:rsid w:val="00ED29C6"/>
    <w:rsid w:val="00ED2A6A"/>
    <w:rsid w:val="00ED315A"/>
    <w:rsid w:val="00ED377B"/>
    <w:rsid w:val="00ED441B"/>
    <w:rsid w:val="00ED545E"/>
    <w:rsid w:val="00ED7BC2"/>
    <w:rsid w:val="00ED7BC7"/>
    <w:rsid w:val="00EE0235"/>
    <w:rsid w:val="00EE1D94"/>
    <w:rsid w:val="00EE1E04"/>
    <w:rsid w:val="00EE27EF"/>
    <w:rsid w:val="00EE2FBD"/>
    <w:rsid w:val="00EE3B11"/>
    <w:rsid w:val="00EE478C"/>
    <w:rsid w:val="00EE5280"/>
    <w:rsid w:val="00EE5E80"/>
    <w:rsid w:val="00EE6158"/>
    <w:rsid w:val="00EE7CEB"/>
    <w:rsid w:val="00EE7E4C"/>
    <w:rsid w:val="00EE7F61"/>
    <w:rsid w:val="00EF0853"/>
    <w:rsid w:val="00EF15B8"/>
    <w:rsid w:val="00EF1699"/>
    <w:rsid w:val="00EF1C3A"/>
    <w:rsid w:val="00EF262D"/>
    <w:rsid w:val="00EF2B87"/>
    <w:rsid w:val="00EF3946"/>
    <w:rsid w:val="00EF4117"/>
    <w:rsid w:val="00EF5C0C"/>
    <w:rsid w:val="00EF5F9E"/>
    <w:rsid w:val="00EF6631"/>
    <w:rsid w:val="00EF688F"/>
    <w:rsid w:val="00EF6D80"/>
    <w:rsid w:val="00EF76EA"/>
    <w:rsid w:val="00F00603"/>
    <w:rsid w:val="00F0060E"/>
    <w:rsid w:val="00F01119"/>
    <w:rsid w:val="00F0175A"/>
    <w:rsid w:val="00F01CF2"/>
    <w:rsid w:val="00F01E91"/>
    <w:rsid w:val="00F0250C"/>
    <w:rsid w:val="00F03155"/>
    <w:rsid w:val="00F03666"/>
    <w:rsid w:val="00F0373A"/>
    <w:rsid w:val="00F03950"/>
    <w:rsid w:val="00F049D6"/>
    <w:rsid w:val="00F057DB"/>
    <w:rsid w:val="00F06237"/>
    <w:rsid w:val="00F0646E"/>
    <w:rsid w:val="00F1199A"/>
    <w:rsid w:val="00F12428"/>
    <w:rsid w:val="00F12491"/>
    <w:rsid w:val="00F13607"/>
    <w:rsid w:val="00F1544C"/>
    <w:rsid w:val="00F161F9"/>
    <w:rsid w:val="00F172C5"/>
    <w:rsid w:val="00F173C9"/>
    <w:rsid w:val="00F20511"/>
    <w:rsid w:val="00F2127E"/>
    <w:rsid w:val="00F223D7"/>
    <w:rsid w:val="00F23C66"/>
    <w:rsid w:val="00F23DC3"/>
    <w:rsid w:val="00F24CA0"/>
    <w:rsid w:val="00F25B83"/>
    <w:rsid w:val="00F25F17"/>
    <w:rsid w:val="00F27A84"/>
    <w:rsid w:val="00F3172E"/>
    <w:rsid w:val="00F3200A"/>
    <w:rsid w:val="00F324AC"/>
    <w:rsid w:val="00F32577"/>
    <w:rsid w:val="00F332F0"/>
    <w:rsid w:val="00F33C79"/>
    <w:rsid w:val="00F33D9F"/>
    <w:rsid w:val="00F33DD2"/>
    <w:rsid w:val="00F33E24"/>
    <w:rsid w:val="00F34DAF"/>
    <w:rsid w:val="00F355B5"/>
    <w:rsid w:val="00F359DE"/>
    <w:rsid w:val="00F3644C"/>
    <w:rsid w:val="00F36987"/>
    <w:rsid w:val="00F37CBC"/>
    <w:rsid w:val="00F37E4A"/>
    <w:rsid w:val="00F41E00"/>
    <w:rsid w:val="00F4212D"/>
    <w:rsid w:val="00F421C4"/>
    <w:rsid w:val="00F423CE"/>
    <w:rsid w:val="00F42580"/>
    <w:rsid w:val="00F43ACE"/>
    <w:rsid w:val="00F443A0"/>
    <w:rsid w:val="00F44B50"/>
    <w:rsid w:val="00F453DD"/>
    <w:rsid w:val="00F4549F"/>
    <w:rsid w:val="00F471FB"/>
    <w:rsid w:val="00F47818"/>
    <w:rsid w:val="00F508B3"/>
    <w:rsid w:val="00F512BB"/>
    <w:rsid w:val="00F51327"/>
    <w:rsid w:val="00F52B9D"/>
    <w:rsid w:val="00F54023"/>
    <w:rsid w:val="00F54247"/>
    <w:rsid w:val="00F545CF"/>
    <w:rsid w:val="00F547C8"/>
    <w:rsid w:val="00F5682F"/>
    <w:rsid w:val="00F569A1"/>
    <w:rsid w:val="00F5763E"/>
    <w:rsid w:val="00F6157E"/>
    <w:rsid w:val="00F63F2A"/>
    <w:rsid w:val="00F646EF"/>
    <w:rsid w:val="00F649E5"/>
    <w:rsid w:val="00F64B0A"/>
    <w:rsid w:val="00F6655D"/>
    <w:rsid w:val="00F66741"/>
    <w:rsid w:val="00F70268"/>
    <w:rsid w:val="00F71024"/>
    <w:rsid w:val="00F71666"/>
    <w:rsid w:val="00F716BD"/>
    <w:rsid w:val="00F71BA0"/>
    <w:rsid w:val="00F71BFF"/>
    <w:rsid w:val="00F72D85"/>
    <w:rsid w:val="00F73CF6"/>
    <w:rsid w:val="00F73DFC"/>
    <w:rsid w:val="00F74001"/>
    <w:rsid w:val="00F7706A"/>
    <w:rsid w:val="00F804C6"/>
    <w:rsid w:val="00F80F0A"/>
    <w:rsid w:val="00F80F3B"/>
    <w:rsid w:val="00F82691"/>
    <w:rsid w:val="00F83DF2"/>
    <w:rsid w:val="00F841DB"/>
    <w:rsid w:val="00F84BD4"/>
    <w:rsid w:val="00F84F81"/>
    <w:rsid w:val="00F856AC"/>
    <w:rsid w:val="00F86531"/>
    <w:rsid w:val="00F86EB5"/>
    <w:rsid w:val="00F86F23"/>
    <w:rsid w:val="00F9075B"/>
    <w:rsid w:val="00F90DB0"/>
    <w:rsid w:val="00F90E07"/>
    <w:rsid w:val="00F910F0"/>
    <w:rsid w:val="00F916E1"/>
    <w:rsid w:val="00F91B9A"/>
    <w:rsid w:val="00F926E7"/>
    <w:rsid w:val="00F929FB"/>
    <w:rsid w:val="00F93E07"/>
    <w:rsid w:val="00F941D5"/>
    <w:rsid w:val="00F946E1"/>
    <w:rsid w:val="00F94A84"/>
    <w:rsid w:val="00F94EC7"/>
    <w:rsid w:val="00F9553E"/>
    <w:rsid w:val="00F95D18"/>
    <w:rsid w:val="00F95EAA"/>
    <w:rsid w:val="00F96EAF"/>
    <w:rsid w:val="00FA0183"/>
    <w:rsid w:val="00FA0704"/>
    <w:rsid w:val="00FA0D13"/>
    <w:rsid w:val="00FA357F"/>
    <w:rsid w:val="00FA4722"/>
    <w:rsid w:val="00FA5643"/>
    <w:rsid w:val="00FA64F1"/>
    <w:rsid w:val="00FA7D3C"/>
    <w:rsid w:val="00FB044B"/>
    <w:rsid w:val="00FB086F"/>
    <w:rsid w:val="00FB0F92"/>
    <w:rsid w:val="00FB17EA"/>
    <w:rsid w:val="00FB19D4"/>
    <w:rsid w:val="00FB1C7A"/>
    <w:rsid w:val="00FB24BA"/>
    <w:rsid w:val="00FB2A49"/>
    <w:rsid w:val="00FB2D9C"/>
    <w:rsid w:val="00FB39E6"/>
    <w:rsid w:val="00FB4955"/>
    <w:rsid w:val="00FB55E3"/>
    <w:rsid w:val="00FB65AC"/>
    <w:rsid w:val="00FB6C43"/>
    <w:rsid w:val="00FB7788"/>
    <w:rsid w:val="00FC0102"/>
    <w:rsid w:val="00FC0C7B"/>
    <w:rsid w:val="00FC2BE8"/>
    <w:rsid w:val="00FC39BA"/>
    <w:rsid w:val="00FC436F"/>
    <w:rsid w:val="00FC5914"/>
    <w:rsid w:val="00FC6799"/>
    <w:rsid w:val="00FC6EDF"/>
    <w:rsid w:val="00FC7765"/>
    <w:rsid w:val="00FD0F60"/>
    <w:rsid w:val="00FD118E"/>
    <w:rsid w:val="00FD2623"/>
    <w:rsid w:val="00FD2AB0"/>
    <w:rsid w:val="00FD3685"/>
    <w:rsid w:val="00FD3A69"/>
    <w:rsid w:val="00FD3D66"/>
    <w:rsid w:val="00FD3EB9"/>
    <w:rsid w:val="00FD4593"/>
    <w:rsid w:val="00FD4CB4"/>
    <w:rsid w:val="00FD4EF0"/>
    <w:rsid w:val="00FD5455"/>
    <w:rsid w:val="00FD63A1"/>
    <w:rsid w:val="00FD6E31"/>
    <w:rsid w:val="00FE044C"/>
    <w:rsid w:val="00FE16D2"/>
    <w:rsid w:val="00FE234C"/>
    <w:rsid w:val="00FE2F95"/>
    <w:rsid w:val="00FE394E"/>
    <w:rsid w:val="00FE6288"/>
    <w:rsid w:val="00FE67BB"/>
    <w:rsid w:val="00FE68B2"/>
    <w:rsid w:val="00FE6ADF"/>
    <w:rsid w:val="00FE7250"/>
    <w:rsid w:val="00FE7D7E"/>
    <w:rsid w:val="00FF0AB7"/>
    <w:rsid w:val="00FF16D1"/>
    <w:rsid w:val="00FF24B5"/>
    <w:rsid w:val="00FF2BA0"/>
    <w:rsid w:val="00FF3C13"/>
    <w:rsid w:val="00FF528C"/>
    <w:rsid w:val="00FF5A6D"/>
    <w:rsid w:val="00FF64D0"/>
    <w:rsid w:val="00FF67B2"/>
    <w:rsid w:val="00FF693C"/>
    <w:rsid w:val="00FF6A4B"/>
    <w:rsid w:val="1EBA9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00C22DD5"/>
  <w15:chartTrackingRefBased/>
  <w15:docId w15:val="{2780E67D-1E37-4497-8D85-9F512E74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F9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7287C"/>
    <w:pPr>
      <w:numPr>
        <w:numId w:val="9"/>
      </w:numPr>
      <w:tabs>
        <w:tab w:val="left" w:pos="440"/>
        <w:tab w:val="right" w:leader="dot" w:pos="9063"/>
      </w:tabs>
      <w:spacing w:before="240"/>
      <w:ind w:left="928" w:right="-284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D7AC0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87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qFormat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Nad,Odstavec_muj,Resume Title,Listes,Citation List,Ha,List Paragraph1,Body,List Paragraph_Table bullets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uiPriority w:val="39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92244"/>
    <w:pPr>
      <w:tabs>
        <w:tab w:val="left" w:pos="440"/>
        <w:tab w:val="right" w:leader="dot" w:pos="9063"/>
      </w:tabs>
      <w:spacing w:before="240"/>
      <w:ind w:right="-284"/>
      <w:outlineLvl w:val="0"/>
    </w:pPr>
    <w:rPr>
      <w:b/>
      <w:noProof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A1"/>
    <w:rPr>
      <w:rFonts w:ascii="Tahoma" w:eastAsia="Times New Roman" w:hAnsi="Tahoma" w:cs="Tahoma"/>
      <w:sz w:val="16"/>
      <w:szCs w:val="16"/>
      <w:lang w:val="sk-SK"/>
    </w:rPr>
  </w:style>
  <w:style w:type="character" w:styleId="CommentReference">
    <w:name w:val="annotation reference"/>
    <w:unhideWhenUsed/>
    <w:rsid w:val="001167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3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1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17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E01B5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E01B5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2F6B"/>
    <w:pPr>
      <w:spacing w:after="100"/>
      <w:ind w:left="1100"/>
    </w:pPr>
  </w:style>
  <w:style w:type="table" w:customStyle="1" w:styleId="TableGrid1">
    <w:name w:val="Table Grid1"/>
    <w:basedOn w:val="TableNormal"/>
    <w:next w:val="TableGrid"/>
    <w:uiPriority w:val="39"/>
    <w:rsid w:val="006C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78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71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7E1B"/>
    <w:rPr>
      <w:color w:val="954F72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F3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Nad Char,Odstavec_muj Char,Resume Title Char,Listes Char,Ha Char"/>
    <w:link w:val="ListParagraph"/>
    <w:uiPriority w:val="34"/>
    <w:qFormat/>
    <w:locked/>
    <w:rsid w:val="00225C52"/>
    <w:rPr>
      <w:rFonts w:ascii="Times New Roman" w:eastAsia="Times New Roman" w:hAnsi="Times New Roman" w:cs="Times New Roman"/>
    </w:rPr>
  </w:style>
  <w:style w:type="table" w:customStyle="1" w:styleId="TableGrid6">
    <w:name w:val="Table Grid6"/>
    <w:basedOn w:val="TableNormal"/>
    <w:next w:val="TableGrid"/>
    <w:uiPriority w:val="39"/>
    <w:rsid w:val="006E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6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03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3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E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F30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39"/>
    <w:rsid w:val="00F0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FD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3AB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859C4"/>
    <w:rPr>
      <w:color w:val="605E5C"/>
      <w:shd w:val="clear" w:color="auto" w:fill="E1DFDD"/>
    </w:rPr>
  </w:style>
  <w:style w:type="table" w:customStyle="1" w:styleId="TableGrid17">
    <w:name w:val="Table Grid17"/>
    <w:basedOn w:val="TableNormal"/>
    <w:next w:val="TableGrid"/>
    <w:uiPriority w:val="39"/>
    <w:rsid w:val="00C8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4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B80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8E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E1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240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5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9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B66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DC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90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92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9D6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8E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A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rsid w:val="00767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E55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1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rsid w:val="0004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806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rsid w:val="0069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B3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">
    <w:name w:val="Link"/>
    <w:basedOn w:val="ListParagraph"/>
    <w:qFormat/>
    <w:rsid w:val="002634CF"/>
    <w:pPr>
      <w:numPr>
        <w:numId w:val="1"/>
      </w:numPr>
      <w:overflowPunct w:val="0"/>
      <w:autoSpaceDE w:val="0"/>
      <w:autoSpaceDN w:val="0"/>
      <w:adjustRightInd w:val="0"/>
      <w:spacing w:after="200" w:line="240" w:lineRule="auto"/>
      <w:ind w:left="426" w:hanging="426"/>
      <w:textAlignment w:val="baseline"/>
    </w:pPr>
    <w:rPr>
      <w:color w:val="0000FF"/>
      <w:u w:val="single"/>
    </w:rPr>
  </w:style>
  <w:style w:type="table" w:customStyle="1" w:styleId="TableGrid61">
    <w:name w:val="Table Grid61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5A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3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20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023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27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7F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C3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4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rsid w:val="002C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3E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28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C14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344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rsid w:val="002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rsid w:val="00FB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F2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95380"/>
    <w:rPr>
      <w:color w:val="605E5C"/>
      <w:shd w:val="clear" w:color="auto" w:fill="E1DFDD"/>
    </w:rPr>
  </w:style>
  <w:style w:type="table" w:customStyle="1" w:styleId="TableGrid82">
    <w:name w:val="Table Grid82"/>
    <w:basedOn w:val="TableNormal"/>
    <w:next w:val="TableGrid"/>
    <w:rsid w:val="0046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rsid w:val="00D63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rsid w:val="00165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BC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rsid w:val="0087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4B3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DE4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rsid w:val="00490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rsid w:val="00231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673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E5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47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7C41DA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locked/>
    <w:rsid w:val="008A55B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1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786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73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35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744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5E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B5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BE4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47EE"/>
    <w:rPr>
      <w:color w:val="605E5C"/>
      <w:shd w:val="clear" w:color="auto" w:fill="E1DFDD"/>
    </w:rPr>
  </w:style>
  <w:style w:type="table" w:customStyle="1" w:styleId="TableGrid104">
    <w:name w:val="Table Grid104"/>
    <w:basedOn w:val="TableNormal"/>
    <w:next w:val="TableGrid"/>
    <w:rsid w:val="00F9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563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3B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3B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BF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D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BC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5B3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82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15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55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1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rsid w:val="00C97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rsid w:val="0058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A4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locked/>
    <w:rsid w:val="005B4EE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rsid w:val="00101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33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700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rsid w:val="005E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rsid w:val="006E1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03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rsid w:val="00BE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5F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6B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6A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rsid w:val="001C0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ED1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41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69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27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E2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FB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rsid w:val="00F9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rsid w:val="007F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E433D"/>
    <w:rPr>
      <w:color w:val="605E5C"/>
      <w:shd w:val="clear" w:color="auto" w:fill="E1DFDD"/>
    </w:rPr>
  </w:style>
  <w:style w:type="table" w:customStyle="1" w:styleId="TableGrid183">
    <w:name w:val="Table Grid183"/>
    <w:basedOn w:val="TableNormal"/>
    <w:next w:val="TableGrid"/>
    <w:rsid w:val="00810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CC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rsid w:val="0083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33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43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rsid w:val="00A77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rsid w:val="00A77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AD6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231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D75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rsid w:val="003A3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rsid w:val="00264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rsid w:val="0005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03"/>
    <w:basedOn w:val="TableNormal"/>
    <w:next w:val="TableGrid"/>
    <w:rsid w:val="00572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4">
    <w:name w:val="Table Grid204"/>
    <w:basedOn w:val="TableNormal"/>
    <w:next w:val="TableGrid"/>
    <w:rsid w:val="00356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200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6">
    <w:name w:val="Table Grid206"/>
    <w:basedOn w:val="TableNormal"/>
    <w:next w:val="TableGrid"/>
    <w:rsid w:val="00CE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D74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74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570D62"/>
    <w:rPr>
      <w:color w:val="605E5C"/>
      <w:shd w:val="clear" w:color="auto" w:fill="E1DFDD"/>
    </w:rPr>
  </w:style>
  <w:style w:type="table" w:customStyle="1" w:styleId="TableGrid209">
    <w:name w:val="Table Grid209"/>
    <w:basedOn w:val="TableNormal"/>
    <w:next w:val="TableGrid"/>
    <w:rsid w:val="00BB3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rsid w:val="00BB3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BB3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rsid w:val="00F42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25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79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744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4268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3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7424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0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2796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20312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yperlink" Target="https://www.eesc.europa.eu/sk/our-work/opinions-information-reports/opinions/taxation-framework-social-economy-entities" TargetMode="External"/><Relationship Id="rId26" Type="http://schemas.openxmlformats.org/officeDocument/2006/relationships/hyperlink" Target="mailto:Marco.Manfroni@eesc.europa.eu" TargetMode="External"/><Relationship Id="rId39" Type="http://schemas.openxmlformats.org/officeDocument/2006/relationships/hyperlink" Target="mailto:Heli.Niemela-Farrer@eesc.europa.eu" TargetMode="External"/><Relationship Id="rId21" Type="http://schemas.openxmlformats.org/officeDocument/2006/relationships/hyperlink" Target="mailto:Gemma.Amran@eesc.europa.eu" TargetMode="External"/><Relationship Id="rId34" Type="http://schemas.openxmlformats.org/officeDocument/2006/relationships/hyperlink" Target="mailto:Aleksandra.SarmanGrilc@eesc.europa.eu" TargetMode="External"/><Relationship Id="rId42" Type="http://schemas.openxmlformats.org/officeDocument/2006/relationships/footer" Target="footer2.xml"/><Relationship Id="rId47" Type="http://schemas.openxmlformats.org/officeDocument/2006/relationships/theme" Target="theme/theme1.xml"/><Relationship Id="rId50" Type="http://schemas.openxmlformats.org/officeDocument/2006/relationships/customXml" Target="../customXml/item3.xml"/><Relationship Id="rId7" Type="http://schemas.openxmlformats.org/officeDocument/2006/relationships/settings" Target="settings.xml"/><Relationship Id="rId16" Type="http://schemas.openxmlformats.org/officeDocument/2006/relationships/hyperlink" Target="https://www.eesc.europa.eu/sk/our-work/opinions-information-reports/opinions/no-one-should-be-left-behind-inclusive-and-participatory-cohesion-policy-support-social-economic-and-territorial" TargetMode="External"/><Relationship Id="rId29" Type="http://schemas.openxmlformats.org/officeDocument/2006/relationships/hyperlink" Target="https://www.eesc.europa.eu/sk/our-work/opinions-information-reports/opinions/how-ensure-social-environmental-and-economic-sustainability-eu-agri-food-sector-future-enlargement" TargetMode="Externa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Sabrina.Borg@eesc.europa.eu" TargetMode="External"/><Relationship Id="rId32" Type="http://schemas.openxmlformats.org/officeDocument/2006/relationships/hyperlink" Target="mailto:Marco.Ristori@eesc.europa.eu" TargetMode="External"/><Relationship Id="rId37" Type="http://schemas.openxmlformats.org/officeDocument/2006/relationships/hyperlink" Target="https://www.eesc.europa.eu/sk/our-work/opinions-information-reports/opinions/low-carbon-and-renewable-fuels-building-capacity-european-industry-decarbonise-aviation-and-maritime-sectors-spirit" TargetMode="External"/><Relationship Id="rId40" Type="http://schemas.openxmlformats.org/officeDocument/2006/relationships/header" Target="header1.xml"/><Relationship Id="rId45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eesc.europa.eu/sk/our-work/opinions-information-reports/opinions/no-one-should-be-left-behind-inclusive-and-participatory-cohesion-policy-support-social-economic-and-territorial" TargetMode="External"/><Relationship Id="rId23" Type="http://schemas.openxmlformats.org/officeDocument/2006/relationships/hyperlink" Target="mailto:valeria.atzori@eesc.europa.eu" TargetMode="External"/><Relationship Id="rId28" Type="http://schemas.openxmlformats.org/officeDocument/2006/relationships/hyperlink" Target="mailto:Martine.Delanoy@eesc.europa.eu" TargetMode="External"/><Relationship Id="rId36" Type="http://schemas.openxmlformats.org/officeDocument/2006/relationships/hyperlink" Target="mailto:Marie-Laurence.Drillon@eesc.europa.eu" TargetMode="External"/><Relationship Id="rId49" Type="http://schemas.openxmlformats.org/officeDocument/2006/relationships/customXml" Target="../customXml/item2.xml"/><Relationship Id="rId10" Type="http://schemas.openxmlformats.org/officeDocument/2006/relationships/endnotes" Target="endnotes.xml"/><Relationship Id="rId19" Type="http://schemas.openxmlformats.org/officeDocument/2006/relationships/hyperlink" Target="mailto:Juri.Soosaar@eesc.europa.eu" TargetMode="External"/><Relationship Id="rId31" Type="http://schemas.openxmlformats.org/officeDocument/2006/relationships/hyperlink" Target="https://www.eesc.europa.eu/sk/our-work/opinions-information-reports/opinions/screening-foreign-investments-union" TargetMode="External"/><Relationship Id="rId44" Type="http://schemas.openxmlformats.org/officeDocument/2006/relationships/header" Target="header3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eesc.europa.eu/sk/our-work/opinions-information-reports/opinions/caregivers" TargetMode="External"/><Relationship Id="rId27" Type="http://schemas.openxmlformats.org/officeDocument/2006/relationships/hyperlink" Target="https://www.eesc.europa.eu/sk/our-work/opinions-information-reports/opinions/general-fisheries-commission-mediterranean" TargetMode="External"/><Relationship Id="rId30" Type="http://schemas.openxmlformats.org/officeDocument/2006/relationships/hyperlink" Target="mailto:Martine.Delanoy@eesc.europa.eu" TargetMode="External"/><Relationship Id="rId35" Type="http://schemas.openxmlformats.org/officeDocument/2006/relationships/hyperlink" Target="https://www.eesc.europa.eu/sk/our-work/opinions-information-reports/opinions/eu-biotech-and-biomanufacturing-initiative" TargetMode="External"/><Relationship Id="rId43" Type="http://schemas.openxmlformats.org/officeDocument/2006/relationships/footer" Target="footer3.xml"/><Relationship Id="rId48" Type="http://schemas.openxmlformats.org/officeDocument/2006/relationships/customXml" Target="../customXml/item1.xml"/><Relationship Id="rId8" Type="http://schemas.openxmlformats.org/officeDocument/2006/relationships/webSettings" Target="webSettings.xml"/><Relationship Id="rId51" Type="http://schemas.openxmlformats.org/officeDocument/2006/relationships/customXml" Target="../customXml/item4.xml"/><Relationship Id="rId12" Type="http://schemas.openxmlformats.org/officeDocument/2006/relationships/hyperlink" Target="https://www.eesc.europa.eu/sk/our-work/opinions-information-reports/plenary-session-summaries" TargetMode="External"/><Relationship Id="rId17" Type="http://schemas.openxmlformats.org/officeDocument/2006/relationships/hyperlink" Target="mailto:Georgios.Meleas@eesc.europa.eu" TargetMode="External"/><Relationship Id="rId25" Type="http://schemas.openxmlformats.org/officeDocument/2006/relationships/hyperlink" Target="https://www.eesc.europa.eu/sk/our-work/opinions-information-reports/opinions/proposal-council-recommendation-enhancing-research-security" TargetMode="External"/><Relationship Id="rId33" Type="http://schemas.openxmlformats.org/officeDocument/2006/relationships/hyperlink" Target="https://www.eesc.europa.eu/sk/our-work/opinions-information-reports/opinions/energy-digitalisation-balancing-opportunities-and-risks-european-consumers" TargetMode="External"/><Relationship Id="rId38" Type="http://schemas.openxmlformats.org/officeDocument/2006/relationships/hyperlink" Target="https://www.eesc.europa.eu/sk/our-work/opinions-information-reports/opinions/advanced-materials-industrial-leadership-coordinated-plan-member-states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Sabrina.Borg@eesc.europa.eu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F7M6YNZUATRX-789077548-3344</_dlc_DocId>
    <_dlc_DocIdUrl xmlns="59ace41b-6786-4ce3-be71-52c27066c6ef">
      <Url>http://dm/eesc/2024/_layouts/15/DocIdRedir.aspx?ID=F7M6YNZUATRX-789077548-3344</Url>
      <Description>F7M6YNZUATRX-789077548-3344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2024-07-23T12:00:00+00:00</ProductionDate>
    <DocumentNumber xmlns="36007a90-28ab-40da-967b-595e4ec83007">2113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2024-09-18T12:00:00+00:00</MeetingDate>
    <TaxCatchAll xmlns="59ace41b-6786-4ce3-be71-52c27066c6ef"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22</Value>
      <Value>21</Value>
      <Value>17</Value>
      <Value>16</Value>
      <Value>14</Value>
      <Value>13</Value>
      <Value>12</Value>
      <Value>8</Value>
      <Value>7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7682</FicheNumber>
    <OriginalSender xmlns="59ace41b-6786-4ce3-be71-52c27066c6ef">
      <UserInfo>
        <DisplayName>Semancikova Stanislava</DisplayName>
        <AccountId>1577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36007a90-28ab-40da-967b-595e4ec83007">590</MeetingNumber>
    <DossierName_0 xmlns="http://schemas.microsoft.com/sharepoint/v3/fields">
      <Terms xmlns="http://schemas.microsoft.com/office/infopath/2007/PartnerControls"/>
    </DossierName_0>
    <DocumentVersion xmlns="59ace41b-6786-4ce3-be71-52c27066c6ef">1</Documen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9C698F2971CE54890F427AFE3EB568F" ma:contentTypeVersion="4" ma:contentTypeDescription="Defines the documents for Document Manager V2" ma:contentTypeScope="" ma:versionID="1ede4366cc334d81186bb4f7d46e0bfd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36007a90-28ab-40da-967b-595e4ec83007" targetNamespace="http://schemas.microsoft.com/office/2006/metadata/properties" ma:root="true" ma:fieldsID="793bace539ab1b60d443041a34a09cc2" ns2:_="" ns3:_="" ns4:_="">
    <xsd:import namespace="59ace41b-6786-4ce3-be71-52c27066c6ef"/>
    <xsd:import namespace="http://schemas.microsoft.com/sharepoint/v3/fields"/>
    <xsd:import namespace="36007a90-28ab-40da-967b-595e4ec830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07a90-28ab-40da-967b-595e4ec83007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DACAE-412D-4F64-8A0B-61196B22A848}"/>
</file>

<file path=customXml/itemProps2.xml><?xml version="1.0" encoding="utf-8"?>
<ds:datastoreItem xmlns:ds="http://schemas.openxmlformats.org/officeDocument/2006/customXml" ds:itemID="{E01B790F-8049-45F2-98D5-A4E1ACD61235}"/>
</file>

<file path=customXml/itemProps3.xml><?xml version="1.0" encoding="utf-8"?>
<ds:datastoreItem xmlns:ds="http://schemas.openxmlformats.org/officeDocument/2006/customXml" ds:itemID="{0750DA89-22AB-4496-8BF8-F42943AD3791}"/>
</file>

<file path=customXml/itemProps4.xml><?xml version="1.0" encoding="utf-8"?>
<ds:datastoreItem xmlns:ds="http://schemas.openxmlformats.org/officeDocument/2006/customXml" ds:itemID="{E4D046C8-398F-4566-9595-B30C1B8B80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5008</Words>
  <Characters>28546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- 586th plenary session - March 2024</vt:lpstr>
    </vt:vector>
  </TitlesOfParts>
  <Company>CESE-CdR</Company>
  <LinksUpToDate>false</LinksUpToDate>
  <CharactersWithSpaces>33488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stanovísk  589. plenárne zasadnutie  júl 2024</dc:title>
  <dc:subject>TCD</dc:subject>
  <dc:creator>Nieddu Emma</dc:creator>
  <cp:keywords>EESC-2024-02113-00-01-TCD-TRA-EN</cp:keywords>
  <dc:description>Rapporteur:  - Original language: EN - Date of document: 23/07/2024 - Date of meeting: 30/18/2024 14:30 - External documents:  - Administrator: MME TAMASAUSKIENE Julija</dc:description>
  <cp:lastModifiedBy>Semancikova Stanislava</cp:lastModifiedBy>
  <cp:revision>16</cp:revision>
  <cp:lastPrinted>2023-06-15T08:00:00Z</cp:lastPrinted>
  <dcterms:created xsi:type="dcterms:W3CDTF">2024-07-19T11:45:00Z</dcterms:created>
  <dcterms:modified xsi:type="dcterms:W3CDTF">2024-07-23T16:14:00Z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19/07/2024, 17/07/2024, 09/04/2024, 27/03/2024, 03/01/2024, 13/11/2023, 25/09/2023, 25/07/2023, 30/06/2023, 23/06/2023, 26/05/2023, 07/03/2023, 11/01/2023, 10/01/2023, 29/03/2022, 04/03/2022, 15/12/2021, 13/09/2021, 03/09/2021, 28/06/2021</vt:lpwstr>
  </property>
  <property fmtid="{D5CDD505-2E9C-101B-9397-08002B2CF9AE}" pid="4" name="Pref_Time">
    <vt:lpwstr>13:45:27, 10:55:58, 17:11:40, 12:24:19, 15:02:18, 17:01:12, 16:07:19, 11:58:41, 14:00:08, 12:39:02, 15:12:50, 10:27:54, 10:12:15, 11:41:25, 14:21:50, 16:54:06, 17:56:36, 14:13:00, 10:08:10, 08:41:48</vt:lpwstr>
  </property>
  <property fmtid="{D5CDD505-2E9C-101B-9397-08002B2CF9AE}" pid="5" name="Pref_User">
    <vt:lpwstr>pacup, jhvi, jhvi, pacup, enied, amett, amett, jhvi, pacup, jhvi, pacup, enied, pacup, enied, jhvi, enied, hnic, amett, enied, enied</vt:lpwstr>
  </property>
  <property fmtid="{D5CDD505-2E9C-101B-9397-08002B2CF9AE}" pid="6" name="Pref_FileName">
    <vt:lpwstr>EESC-2024-02113-00-01-TCD-TRA.docx, eesc-2024-02113-00-00-tcd-ori.docx, EESC-2024-00740-00-01-TCD-ORI.docx, EESC-2024-00740-00-00-TCD-TRA.docx, EESC-2023-04915-00-00-TCD-ORI.docx, EESC-2023-04201-00-00-TCD-ORI.docx, EESC-2023-03625-00-00-TCD-ORI.docx, EES</vt:lpwstr>
  </property>
  <property fmtid="{D5CDD505-2E9C-101B-9397-08002B2CF9AE}" pid="7" name="ContentTypeId">
    <vt:lpwstr>0x010100EA97B91038054C99906057A708A1480A00C9C698F2971CE54890F427AFE3EB568F</vt:lpwstr>
  </property>
  <property fmtid="{D5CDD505-2E9C-101B-9397-08002B2CF9AE}" pid="8" name="_dlc_DocIdItemGuid">
    <vt:lpwstr>ac3e6d34-3577-45dd-a3ca-00708f791dd9</vt:lpwstr>
  </property>
  <property fmtid="{D5CDD505-2E9C-101B-9397-08002B2CF9AE}" pid="9" name="AvailableTranslations">
    <vt:lpwstr>26;#SK|46d9fce0-ef79-4f71-b89b-cd6aa82426b8;#35;#FI|87606a43-d45f-42d6-b8c9-e1a3457db5b7;#30;#HR|2f555653-ed1a-4fe6-8362-9082d95989e5;#28;#LV|46f7e311-5d9f-4663-b433-18aeccb7ace7;#31;#NL|55c6556c-b4f4-441d-9acf-c498d4f838bd;#21;#SV|c2ed69e7-a339-43d7-8f22-d93680a92aa0;#34;#LT|a7ff5ce7-6123-4f68-865a-a57c31810414;#37;#RO|feb747a2-64cd-4299-af12-4833ddc30497;#12;#IT|0774613c-01ed-4e5d-a25d-11d2388de825;#16;#DA|5d49c027-8956-412b-aa16-e85a0f96ad0e;#22;#BG|1a1b3951-7821-4e6a-85f5-5673fc08bd2c;#29;#EL|6d4f4d51-af9b-4650-94b4-4276bee85c91;#32;#HU|6b229040-c589-4408-b4c1-4285663d20a8;#36;#PT|50ccc04a-eadd-42ae-a0cb-acaf45f812ba;#24;#ES|e7a6b05b-ae16-40c8-add9-68b64b03aeba;#33;#ET|ff6c3f4c-b02c-4c3c-ab07-2c37995a7a0a;#5;#EN|f2175f21-25d7-44a3-96da-d6a61b075e1b;#14;#FR|d2afafd3-4c81-4f60-8f52-ee33f2f54ff3;#27;#SL|98a412ae-eb01-49e9-ae3d-585a81724cfc;#25;#DE|f6b31e5a-26fa-4935-b661-318e46daf27e;#43;#CS|72f9705b-0217-4fd3-bea2-cbc7ed80e26e;#17;#PL|1e03da61-4678-4e07-b136-b5024ca9197b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590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2113</vt:i4>
  </property>
  <property fmtid="{D5CDD505-2E9C-101B-9397-08002B2CF9AE}" pid="15" name="DocumentVersion">
    <vt:i4>1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13;#TCD|cd9d6eb6-3f4f-424a-b2d1-57c9d450eaaf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6;#Unrestricted|826e22d7-d029-4ec0-a450-0c28ff673572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7;#SPL-CES|32d8cb1f-c9ec-4365-95c7-8385a18618ac</vt:lpwstr>
  </property>
  <property fmtid="{D5CDD505-2E9C-101B-9397-08002B2CF9AE}" pid="28" name="MeetingDate">
    <vt:filetime>2024-09-18T12:00:00Z</vt:filetime>
  </property>
  <property fmtid="{D5CDD505-2E9C-101B-9397-08002B2CF9AE}" pid="29" name="AvailableTranslations_0">
    <vt:lpwstr>FI|87606a43-d45f-42d6-b8c9-e1a3457db5b7;LV|46f7e311-5d9f-4663-b433-18aeccb7ace7;NL|55c6556c-b4f4-441d-9acf-c498d4f838bd;SV|c2ed69e7-a339-43d7-8f22-d93680a92aa0;LT|a7ff5ce7-6123-4f68-865a-a57c31810414;IT|0774613c-01ed-4e5d-a25d-11d2388de825;DA|5d49c027-8956-412b-aa16-e85a0f96ad0e;BG|1a1b3951-7821-4e6a-85f5-5673fc08bd2c;HU|6b229040-c589-4408-b4c1-4285663d20a8;PT|50ccc04a-eadd-42ae-a0cb-acaf45f812ba;ES|e7a6b05b-ae16-40c8-add9-68b64b03aeba;EN|f2175f21-25d7-44a3-96da-d6a61b075e1b;SL|98a412ae-eb01-49e9-ae3d-585a81724cfc;DE|f6b31e5a-26fa-4935-b661-318e46daf27e;CS|72f9705b-0217-4fd3-bea2-cbc7ed80e26e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36;#PT|50ccc04a-eadd-42ae-a0cb-acaf45f812ba;#35;#FI|87606a43-d45f-42d6-b8c9-e1a3457db5b7;#34;#LT|a7ff5ce7-6123-4f68-865a-a57c31810414;#32;#HU|6b229040-c589-4408-b4c1-4285663d20a8;#31;#NL|55c6556c-b4f4-441d-9acf-c498d4f838bd;#43;#CS|72f9705b-0217-4fd3-bea2-cbc7ed80e26e;#28;#LV|46f7e311-5d9f-4663-b433-18aeccb7ace7;#27;#SL|98a412ae-eb01-49e9-ae3d-585a81724cfc;#25;#DE|f6b31e5a-26fa-4935-b661-318e46daf27e;#24;#ES|e7a6b05b-ae16-40c8-add9-68b64b03aeba;#22;#BG|1a1b3951-7821-4e6a-85f5-5673fc08bd2c;#21;#SV|c2ed69e7-a339-43d7-8f22-d93680a92aa0;#16;#DA|5d49c027-8956-412b-aa16-e85a0f96ad0e;#13;#TCD|cd9d6eb6-3f4f-424a-b2d1-57c9d450eaaf;#12;#IT|0774613c-01ed-4e5d-a25d-11d2388de825;#8;#Final|ea5e6674-7b27-4bac-b091-73adbb394efe;#7;#SPL-CES|32d8cb1f-c9ec-4365-95c7-8385a18618ac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2024</vt:i4>
  </property>
  <property fmtid="{D5CDD505-2E9C-101B-9397-08002B2CF9AE}" pid="36" name="FicheNumber">
    <vt:i4>7682</vt:i4>
  </property>
  <property fmtid="{D5CDD505-2E9C-101B-9397-08002B2CF9AE}" pid="37" name="DocumentLanguage">
    <vt:lpwstr>26;#SK|46d9fce0-ef79-4f71-b89b-cd6aa82426b8</vt:lpwstr>
  </property>
</Properties>
</file>