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BF2C3B" w14:paraId="785AE44C" w14:textId="40CB4DA9">
      <w:pPr>
        <w:jc w:val="center"/>
      </w:pPr>
      <w:r>
        <w:rPr>
          <w:noProof/>
        </w:rPr>
        <w:drawing>
          <wp:inline distT="0" distB="0" distL="0" distR="0" wp14:anchorId="3A36C51F" wp14:editId="2878E3E3">
            <wp:extent cx="1792605" cy="1239520"/>
            <wp:effectExtent l="0" t="0" r="0" b="0"/>
            <wp:docPr id="2" name="Picture 2" title="EESCLogo_PT"/>
            <wp:cNvGraphicFramePr/>
            <a:graphic xmlns:a="http://schemas.openxmlformats.org/drawingml/2006/main">
              <a:graphicData uri="http://schemas.openxmlformats.org/drawingml/2006/picture">
                <pic:pic xmlns:pic="http://schemas.openxmlformats.org/drawingml/2006/picture">
                  <pic:nvPicPr>
                    <pic:cNvPr id="2" name="Picture 2" title="EESCLogo_P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526F3033"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Bruxelas, 16 de setembro de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589.ª REUNIÃO PLENÁRIA</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 e 11 de julho de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SÍNTESE DOS PARECERES, RESOLUÇÕES E RELATÓRIOS DE INFORMAÇÃO E AVALIAÇÃO ADOTADOS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O presente documento pode ser consultado em todas as línguas oficiais da União Europeia no sítio Web do CESE, no seguinte endereço:</w:t>
            </w:r>
          </w:p>
          <w:p w:rsidRPr="00094B6B" w:rsidR="00B16284" w:rsidP="00775FC4" w:rsidRDefault="00B16284" w14:paraId="4F26A4CE" w14:textId="77777777">
            <w:pPr>
              <w:snapToGrid w:val="0"/>
              <w:jc w:val="center"/>
            </w:pPr>
          </w:p>
          <w:p w:rsidRPr="00094B6B" w:rsidR="004D7AC0" w:rsidP="00775FC4" w:rsidRDefault="005C6487" w14:paraId="2A9352A2" w14:textId="0680ADB6">
            <w:pPr>
              <w:snapToGrid w:val="0"/>
              <w:jc w:val="center"/>
            </w:pPr>
            <w:hyperlink w:history="1" r:id="rId12">
              <w:r w:rsidR="000B64C3">
                <w:rPr>
                  <w:rStyle w:val="Hyperlink"/>
                  <w:highlight w:val="yellow"/>
                </w:rPr>
                <w:t>https://www.eesc.europa.eu/pt/our-work/opinions-i</w:t>
              </w:r>
              <w:r w:rsidR="000B64C3">
                <w:rPr>
                  <w:rStyle w:val="Hyperlink"/>
                  <w:highlight w:val="yellow"/>
                </w:rPr>
                <w:t>n</w:t>
              </w:r>
              <w:r w:rsidR="000B64C3">
                <w:rPr>
                  <w:rStyle w:val="Hyperlink"/>
                  <w:highlight w:val="yellow"/>
                </w:rPr>
                <w:t>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Os pareceres mencionados podem ser consultados em linha através do motor de busca do CESE:</w:t>
            </w:r>
          </w:p>
          <w:p w:rsidRPr="00094B6B" w:rsidR="00B16284" w:rsidP="00775FC4" w:rsidRDefault="00B16284" w14:paraId="7A5411A5" w14:textId="77777777">
            <w:pPr>
              <w:snapToGrid w:val="0"/>
              <w:jc w:val="center"/>
            </w:pPr>
          </w:p>
          <w:p w:rsidRPr="00094B6B" w:rsidR="004D7AC0" w:rsidP="00775FC4" w:rsidRDefault="005C6487" w14:paraId="441AC4DD" w14:textId="1194D751">
            <w:pPr>
              <w:snapToGrid w:val="0"/>
              <w:jc w:val="center"/>
            </w:pPr>
            <w:hyperlink w:history="1" r:id="rId13">
              <w:r w:rsidR="000B64C3">
                <w:rPr>
                  <w:rStyle w:val="Hyperlink"/>
                </w:rPr>
                <w:t>https://dmsearch.eesc.europa.eu/search/</w:t>
              </w:r>
              <w:r w:rsidR="000B64C3">
                <w:rPr>
                  <w:rStyle w:val="Hyperlink"/>
                </w:rPr>
                <w:t>o</w:t>
              </w:r>
              <w:r w:rsidR="000B64C3">
                <w:rPr>
                  <w:rStyle w:val="Hyperlink"/>
                </w:rPr>
                <w:t>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Índice</w:t>
      </w:r>
    </w:p>
    <w:p w:rsidR="00E52F2B" w:rsidP="008C3078" w:rsidRDefault="0014322B" w14:paraId="0E14C29D" w14:textId="3AB307B1">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292796">
        <w:r w:rsidRPr="003739AB" w:rsidR="00E52F2B">
          <w:rPr>
            <w:rStyle w:val="Hyperlink"/>
          </w:rPr>
          <w:t>1.</w:t>
        </w:r>
        <w:r w:rsidR="00E52F2B">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sidR="00E52F2B">
          <w:rPr>
            <w:rStyle w:val="Hyperlink"/>
          </w:rPr>
          <w:t>RESOLUÇÃO</w:t>
        </w:r>
        <w:r w:rsidR="00E52F2B">
          <w:rPr>
            <w:webHidden/>
          </w:rPr>
          <w:tab/>
        </w:r>
        <w:r w:rsidR="00E52F2B">
          <w:rPr>
            <w:webHidden/>
          </w:rPr>
          <w:fldChar w:fldCharType="begin"/>
        </w:r>
        <w:r w:rsidR="00E52F2B">
          <w:rPr>
            <w:webHidden/>
          </w:rPr>
          <w:instrText xml:space="preserve"> PAGEREF _Toc172292796 \h </w:instrText>
        </w:r>
        <w:r w:rsidR="00E52F2B">
          <w:rPr>
            <w:webHidden/>
          </w:rPr>
        </w:r>
        <w:r w:rsidR="00E52F2B">
          <w:rPr>
            <w:webHidden/>
          </w:rPr>
          <w:fldChar w:fldCharType="separate"/>
        </w:r>
        <w:r w:rsidR="00B57AD0">
          <w:rPr>
            <w:webHidden/>
          </w:rPr>
          <w:t>3</w:t>
        </w:r>
        <w:r w:rsidR="00E52F2B">
          <w:rPr>
            <w:webHidden/>
          </w:rPr>
          <w:fldChar w:fldCharType="end"/>
        </w:r>
      </w:hyperlink>
    </w:p>
    <w:p w:rsidR="00E52F2B" w:rsidP="008C3078" w:rsidRDefault="00E52F2B" w14:paraId="4D7AC4FF" w14:textId="48A140B0">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797">
        <w:r w:rsidRPr="003739AB">
          <w:rPr>
            <w:rStyle w:val="Hyperlink"/>
          </w:rPr>
          <w:t>2.</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UNIÃO ECONÓMICA E MONETÁRIA E COESÃO ECONÓMICA E SOCIAL</w:t>
        </w:r>
        <w:r>
          <w:rPr>
            <w:webHidden/>
          </w:rPr>
          <w:tab/>
        </w:r>
        <w:r>
          <w:rPr>
            <w:webHidden/>
          </w:rPr>
          <w:fldChar w:fldCharType="begin"/>
        </w:r>
        <w:r>
          <w:rPr>
            <w:webHidden/>
          </w:rPr>
          <w:instrText xml:space="preserve"> PAGEREF _Toc172292797 \h </w:instrText>
        </w:r>
        <w:r>
          <w:rPr>
            <w:webHidden/>
          </w:rPr>
        </w:r>
        <w:r>
          <w:rPr>
            <w:webHidden/>
          </w:rPr>
          <w:fldChar w:fldCharType="separate"/>
        </w:r>
        <w:r w:rsidR="00B57AD0">
          <w:rPr>
            <w:webHidden/>
          </w:rPr>
          <w:t>4</w:t>
        </w:r>
        <w:r>
          <w:rPr>
            <w:webHidden/>
          </w:rPr>
          <w:fldChar w:fldCharType="end"/>
        </w:r>
      </w:hyperlink>
    </w:p>
    <w:p w:rsidR="00E52F2B" w:rsidP="008C3078" w:rsidRDefault="00E52F2B" w14:paraId="79E43ACF" w14:textId="1BBBFB74">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798">
        <w:r w:rsidRPr="003739AB">
          <w:rPr>
            <w:rStyle w:val="Hyperlink"/>
          </w:rPr>
          <w:t>3.</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EMPREGO, ASSUNTOS SOCIAIS E CIDADANIA</w:t>
        </w:r>
        <w:r>
          <w:rPr>
            <w:webHidden/>
          </w:rPr>
          <w:tab/>
        </w:r>
        <w:r>
          <w:rPr>
            <w:webHidden/>
          </w:rPr>
          <w:fldChar w:fldCharType="begin"/>
        </w:r>
        <w:r>
          <w:rPr>
            <w:webHidden/>
          </w:rPr>
          <w:instrText xml:space="preserve"> PAGEREF _Toc172292798 \h </w:instrText>
        </w:r>
        <w:r>
          <w:rPr>
            <w:webHidden/>
          </w:rPr>
        </w:r>
        <w:r>
          <w:rPr>
            <w:webHidden/>
          </w:rPr>
          <w:fldChar w:fldCharType="separate"/>
        </w:r>
        <w:r w:rsidR="00B57AD0">
          <w:rPr>
            <w:webHidden/>
          </w:rPr>
          <w:t>5</w:t>
        </w:r>
        <w:r>
          <w:rPr>
            <w:webHidden/>
          </w:rPr>
          <w:fldChar w:fldCharType="end"/>
        </w:r>
      </w:hyperlink>
    </w:p>
    <w:p w:rsidR="00E52F2B" w:rsidP="008C3078" w:rsidRDefault="00E52F2B" w14:paraId="43B0FEAD" w14:textId="3F877989">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799">
        <w:r w:rsidRPr="003739AB">
          <w:rPr>
            <w:rStyle w:val="Hyperlink"/>
          </w:rPr>
          <w:t>4.</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MERCADO ÚNICO, PRODUÇÃO E CONSUMO</w:t>
        </w:r>
        <w:r>
          <w:rPr>
            <w:webHidden/>
          </w:rPr>
          <w:tab/>
        </w:r>
        <w:r>
          <w:rPr>
            <w:webHidden/>
          </w:rPr>
          <w:fldChar w:fldCharType="begin"/>
        </w:r>
        <w:r>
          <w:rPr>
            <w:webHidden/>
          </w:rPr>
          <w:instrText xml:space="preserve"> PAGEREF _Toc172292799 \h </w:instrText>
        </w:r>
        <w:r>
          <w:rPr>
            <w:webHidden/>
          </w:rPr>
        </w:r>
        <w:r>
          <w:rPr>
            <w:webHidden/>
          </w:rPr>
          <w:fldChar w:fldCharType="separate"/>
        </w:r>
        <w:r w:rsidR="00B57AD0">
          <w:rPr>
            <w:webHidden/>
          </w:rPr>
          <w:t>9</w:t>
        </w:r>
        <w:r>
          <w:rPr>
            <w:webHidden/>
          </w:rPr>
          <w:fldChar w:fldCharType="end"/>
        </w:r>
      </w:hyperlink>
    </w:p>
    <w:p w:rsidR="00E52F2B" w:rsidP="008C3078" w:rsidRDefault="00E52F2B" w14:paraId="782706D7" w14:textId="196E588D">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800">
        <w:r w:rsidRPr="003739AB">
          <w:rPr>
            <w:rStyle w:val="Hyperlink"/>
          </w:rPr>
          <w:t>5.</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AGRICULTURA, DESENVOLVIMENTO RURAL E AMBIENTE</w:t>
        </w:r>
        <w:r>
          <w:rPr>
            <w:webHidden/>
          </w:rPr>
          <w:tab/>
        </w:r>
        <w:r>
          <w:rPr>
            <w:webHidden/>
          </w:rPr>
          <w:fldChar w:fldCharType="begin"/>
        </w:r>
        <w:r>
          <w:rPr>
            <w:webHidden/>
          </w:rPr>
          <w:instrText xml:space="preserve"> PAGEREF _Toc172292800 \h </w:instrText>
        </w:r>
        <w:r>
          <w:rPr>
            <w:webHidden/>
          </w:rPr>
        </w:r>
        <w:r>
          <w:rPr>
            <w:webHidden/>
          </w:rPr>
          <w:fldChar w:fldCharType="separate"/>
        </w:r>
        <w:r w:rsidR="00B57AD0">
          <w:rPr>
            <w:webHidden/>
          </w:rPr>
          <w:t>10</w:t>
        </w:r>
        <w:r>
          <w:rPr>
            <w:webHidden/>
          </w:rPr>
          <w:fldChar w:fldCharType="end"/>
        </w:r>
      </w:hyperlink>
    </w:p>
    <w:p w:rsidR="00E52F2B" w:rsidP="008C3078" w:rsidRDefault="00E52F2B" w14:paraId="0C3E57B3" w14:textId="13CC71F6">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801">
        <w:r w:rsidRPr="003739AB">
          <w:rPr>
            <w:rStyle w:val="Hyperlink"/>
          </w:rPr>
          <w:t>6.</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RELAÇÕES EXTERNAS</w:t>
        </w:r>
        <w:r>
          <w:rPr>
            <w:webHidden/>
          </w:rPr>
          <w:tab/>
        </w:r>
        <w:r>
          <w:rPr>
            <w:webHidden/>
          </w:rPr>
          <w:fldChar w:fldCharType="begin"/>
        </w:r>
        <w:r>
          <w:rPr>
            <w:webHidden/>
          </w:rPr>
          <w:instrText xml:space="preserve"> PAGEREF _Toc172292801 \h </w:instrText>
        </w:r>
        <w:r>
          <w:rPr>
            <w:webHidden/>
          </w:rPr>
        </w:r>
        <w:r>
          <w:rPr>
            <w:webHidden/>
          </w:rPr>
          <w:fldChar w:fldCharType="separate"/>
        </w:r>
        <w:r w:rsidR="00B57AD0">
          <w:rPr>
            <w:webHidden/>
          </w:rPr>
          <w:t>12</w:t>
        </w:r>
        <w:r>
          <w:rPr>
            <w:webHidden/>
          </w:rPr>
          <w:fldChar w:fldCharType="end"/>
        </w:r>
      </w:hyperlink>
    </w:p>
    <w:p w:rsidR="00E52F2B" w:rsidP="008C3078" w:rsidRDefault="00E52F2B" w14:paraId="4EB72F97" w14:textId="2004CA37">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802">
        <w:r w:rsidRPr="003739AB">
          <w:rPr>
            <w:rStyle w:val="Hyperlink"/>
          </w:rPr>
          <w:t>7.</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TRANSPORTES, ENERGIA, INFRAESTRUTURAS E SOCIEDADE DA INFORMAÇÃO</w:t>
        </w:r>
        <w:r>
          <w:rPr>
            <w:webHidden/>
          </w:rPr>
          <w:tab/>
        </w:r>
        <w:r>
          <w:rPr>
            <w:webHidden/>
          </w:rPr>
          <w:fldChar w:fldCharType="begin"/>
        </w:r>
        <w:r>
          <w:rPr>
            <w:webHidden/>
          </w:rPr>
          <w:instrText xml:space="preserve"> PAGEREF _Toc172292802 \h </w:instrText>
        </w:r>
        <w:r>
          <w:rPr>
            <w:webHidden/>
          </w:rPr>
        </w:r>
        <w:r>
          <w:rPr>
            <w:webHidden/>
          </w:rPr>
          <w:fldChar w:fldCharType="separate"/>
        </w:r>
        <w:r w:rsidR="00B57AD0">
          <w:rPr>
            <w:webHidden/>
          </w:rPr>
          <w:t>13</w:t>
        </w:r>
        <w:r>
          <w:rPr>
            <w:webHidden/>
          </w:rPr>
          <w:fldChar w:fldCharType="end"/>
        </w:r>
      </w:hyperlink>
    </w:p>
    <w:p w:rsidR="00E52F2B" w:rsidP="008C3078" w:rsidRDefault="00E52F2B" w14:paraId="64A98B38" w14:textId="715BB60D">
      <w:pPr>
        <w:pStyle w:val="TOC1"/>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pPr>
      <w:hyperlink w:history="1" w:anchor="_Toc172292803">
        <w:r w:rsidRPr="003739AB">
          <w:rPr>
            <w:rStyle w:val="Hyperlink"/>
          </w:rPr>
          <w:t xml:space="preserve">8. </w:t>
        </w:r>
        <w:r>
          <w:rPr>
            <w:rFonts w:asciiTheme="minorHAnsi" w:hAnsiTheme="minorHAnsi" w:eastAsiaTheme="minorEastAsia" w:cstheme="minorBidi"/>
            <w:sz w:val="22"/>
            <w:szCs w:val="22"/>
            <w:lang w:val="en-US"/>
            <w14:scene3d>
              <w14:camera w14:prst="orthographicFront"/>
              <w14:lightRig w14:rig="threePt" w14:dir="t">
                <w14:rot w14:lat="0" w14:lon="0" w14:rev="0"/>
              </w14:lightRig>
            </w14:scene3d>
          </w:rPr>
          <w:tab/>
        </w:r>
        <w:r w:rsidRPr="003739AB">
          <w:rPr>
            <w:rStyle w:val="Hyperlink"/>
          </w:rPr>
          <w:t>COMISSÃO CONSULTIVA DAS MUTAÇÕES INDUSTRIAIS</w:t>
        </w:r>
        <w:r>
          <w:rPr>
            <w:webHidden/>
          </w:rPr>
          <w:tab/>
        </w:r>
        <w:r>
          <w:rPr>
            <w:webHidden/>
          </w:rPr>
          <w:fldChar w:fldCharType="begin"/>
        </w:r>
        <w:r>
          <w:rPr>
            <w:webHidden/>
          </w:rPr>
          <w:instrText xml:space="preserve"> PAGEREF _Toc172292803 \h </w:instrText>
        </w:r>
        <w:r>
          <w:rPr>
            <w:webHidden/>
          </w:rPr>
        </w:r>
        <w:r>
          <w:rPr>
            <w:webHidden/>
          </w:rPr>
          <w:fldChar w:fldCharType="separate"/>
        </w:r>
        <w:r w:rsidR="00B57AD0">
          <w:rPr>
            <w:webHidden/>
          </w:rPr>
          <w:t>14</w:t>
        </w:r>
        <w:r>
          <w:rPr>
            <w:webHidden/>
          </w:rPr>
          <w:fldChar w:fldCharType="end"/>
        </w:r>
      </w:hyperlink>
    </w:p>
    <w:p w:rsidR="00C86ABD" w:rsidRDefault="0014322B" w14:paraId="4EDE006A" w14:textId="574EDB9A">
      <w:pPr>
        <w:jc w:val="left"/>
      </w:pPr>
      <w:r>
        <w:fldChar w:fldCharType="end"/>
      </w:r>
      <w:r>
        <w:br w:type="page"/>
      </w:r>
    </w:p>
    <w:p w:rsidR="00C86ABD" w:rsidP="00810736" w:rsidRDefault="00C86ABD" w14:paraId="6C806385" w14:textId="0970C9A4">
      <w:pPr>
        <w:pStyle w:val="Heading1"/>
        <w:ind w:left="709" w:hanging="720"/>
        <w:rPr>
          <w:b/>
          <w:bCs/>
        </w:rPr>
      </w:pPr>
      <w:bookmarkStart w:name="_Toc172292796" w:id="0"/>
      <w:r>
        <w:rPr>
          <w:b/>
        </w:rPr>
        <w:lastRenderedPageBreak/>
        <w:t>RESOLUÇÃO</w:t>
      </w:r>
      <w:bookmarkEnd w:id="0"/>
      <w:r>
        <w:rPr>
          <w:b/>
        </w:rPr>
        <w:t xml:space="preserve"> </w:t>
      </w:r>
    </w:p>
    <w:p w:rsidRPr="004516BD" w:rsidR="004516BD" w:rsidP="00E9607A" w:rsidRDefault="004516BD" w14:paraId="46F44DDA" w14:textId="77777777">
      <w:pPr>
        <w:spacing w:line="175" w:lineRule="auto"/>
      </w:pPr>
    </w:p>
    <w:p w:rsidRPr="00A773FA" w:rsidR="00A773FA" w:rsidP="0088361D" w:rsidRDefault="005C6487"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Não deixar ninguém</w:t>
        </w:r>
        <w:r w:rsidR="000B64C3">
          <w:rPr>
            <w:b/>
            <w:i/>
            <w:color w:val="0000FF"/>
            <w:sz w:val="28"/>
            <w:u w:val="single"/>
          </w:rPr>
          <w:t xml:space="preserve"> </w:t>
        </w:r>
        <w:r w:rsidR="000B64C3">
          <w:rPr>
            <w:b/>
            <w:i/>
            <w:color w:val="0000FF"/>
            <w:sz w:val="28"/>
            <w:u w:val="single"/>
          </w:rPr>
          <w:t>para trás:</w:t>
        </w:r>
      </w:hyperlink>
      <w:hyperlink w:history="1" r:id="rId21">
        <w:r w:rsidR="000B64C3">
          <w:rPr>
            <w:b/>
            <w:i/>
            <w:color w:val="0000FF"/>
            <w:sz w:val="28"/>
            <w:u w:val="single"/>
          </w:rPr>
          <w:t xml:space="preserve"> Por uma política de coesão inclusiva e participativa em apoio da coesão social, económica e territorial</w:t>
        </w:r>
      </w:hyperlink>
    </w:p>
    <w:p w:rsidRPr="00A773FA" w:rsidR="00A773FA" w:rsidP="00E9607A" w:rsidRDefault="00A773FA" w14:paraId="60111A05" w14:textId="77777777">
      <w:pPr>
        <w:spacing w:line="175" w:lineRule="auto"/>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Relator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r>
              <w:t>Ioannis Vardakastanis (EL – Grupo das Organizações da Sociedade Civil)</w:t>
            </w:r>
          </w:p>
        </w:tc>
      </w:tr>
      <w:tr w:rsidRPr="00A773FA" w:rsidR="00A773FA" w:rsidTr="001F4854" w14:paraId="138FE1BF" w14:textId="77777777">
        <w:tc>
          <w:tcPr>
            <w:tcW w:w="5000" w:type="pct"/>
            <w:gridSpan w:val="2"/>
          </w:tcPr>
          <w:p w:rsidRPr="00A773FA" w:rsidR="00A773FA" w:rsidP="00E9607A" w:rsidRDefault="00A773FA" w14:paraId="0644AC3A" w14:textId="77777777">
            <w:pPr>
              <w:tabs>
                <w:tab w:val="center" w:pos="284"/>
              </w:tabs>
              <w:overflowPunct w:val="0"/>
              <w:autoSpaceDE w:val="0"/>
              <w:autoSpaceDN w:val="0"/>
              <w:adjustRightInd w:val="0"/>
              <w:spacing w:line="168"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Referência</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E9607A" w:rsidRDefault="00A773FA" w14:paraId="5DB06AE6" w14:textId="77777777">
      <w:pPr>
        <w:spacing w:line="175" w:lineRule="auto"/>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O Comité Económico e Social Europeu:</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apela aos Estados-Membros da União Europeia e aos seus dirigentes, às instituições europeias e aos cidadãos da UE para que salvaguardem e protejam a coesão económica, social e territorial da UE, em conformidade com o artigo 174.º do Tratado sobre o Funcionamento da União Europeia;</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frisa que o princípio fundamental de «não deixar ninguém para trás» na política de coesão se mantém firme e válido e que os parceiros da sociedade civil estão dispostos a continuar a trabalhar para o defender, através de uma política forte de investimento da UE;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salienta que a desigualdade de oportunidades pode ser prejudicial para o crescimento e a competitividade a longo prazo a nível regional, nacional e da UE. Por conseguinte, é necessário diversificar e flexibilizar mais a política de coesão, assegurando ao mesmo tempo a sua credibilidade, estabilidade e clareza, a fim de poder prestar mais atenção às pessoas, especialmente às mais vulneráveis, e combater mais eficazmente a desigualdade de oportunidades que muitas delas enfrentam;</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manifesta uma posição crítica relativamente à eliminação da pasta de comissário cuja principal responsabilidade é a política de coesão;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é contra o enfraquecimento da política de coesão e a sua transformação num instrumento de resposta a crises de emergência;</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rejeita a ideia de converter a política de coesão num instrumento semelhante ao Mecanismo de Recuperação e Resiliência (MRR), com pouca ou nenhuma participação estrutural das partes interessadas, gestão partilhada ou governação a vários níveis;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é a favor do princípio da parceria e de regras claras para a inclusão da sociedade civil na seleção, na governação e no acompanhamento das operações financiadas pela UE;</w:t>
      </w:r>
    </w:p>
    <w:p w:rsidRPr="00A773FA" w:rsidR="00A773FA" w:rsidP="0088361D" w:rsidRDefault="00A773FA" w14:paraId="4F607A17" w14:textId="4571CD2F">
      <w:pPr>
        <w:numPr>
          <w:ilvl w:val="0"/>
          <w:numId w:val="34"/>
        </w:numPr>
        <w:overflowPunct w:val="0"/>
        <w:autoSpaceDE w:val="0"/>
        <w:autoSpaceDN w:val="0"/>
        <w:adjustRightInd w:val="0"/>
        <w:spacing w:after="200" w:line="276" w:lineRule="auto"/>
        <w:ind w:left="284" w:hanging="284"/>
        <w:contextualSpacing/>
        <w:textAlignment w:val="baseline"/>
        <w:rPr>
          <w:bCs/>
        </w:rPr>
      </w:pPr>
      <w:r>
        <w:t>solicita que a participação da sociedade civil seja objeto de uma formulação clara no próximo Regulamento Disposições Comuns, que deve reger a utilização dos fundos no âmbito da política de coesão e de outras fontes de financiamento da UE após 2027 de forma idêntica à do período 2021</w:t>
      </w:r>
      <w:r w:rsidR="00E33408">
        <w:noBreakHyphen/>
      </w:r>
      <w:r>
        <w:t>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apela para uma política de coesão de base local e centrada nas pessoas;</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apela para que se dê novo ímpeto à política de coesão; considera necessário alargar, modernizar ou rever o leque de instrumentos e abordagens, a fim de construir uma política de coesão sólida, eficaz, flexível e renovada, mais centrada nas capacidades, nas ligações inter-regionais, na eficácia dos resultados e nas oportunidades para os beneficiários, e que não se limite apenas ao investimentos;</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envidará todos os esforços para salvaguardar os princípios fundamentais da política de coesão e garantir que esta continuará a ser a força agregadora que mantém a Europa unida.</w:t>
      </w:r>
    </w:p>
    <w:p w:rsidR="001711D7" w:rsidP="00E9607A" w:rsidRDefault="001711D7" w14:paraId="7064FBCA" w14:textId="77777777">
      <w:pPr>
        <w:overflowPunct w:val="0"/>
        <w:autoSpaceDE w:val="0"/>
        <w:autoSpaceDN w:val="0"/>
        <w:adjustRightInd w:val="0"/>
        <w:spacing w:after="200" w:line="168" w:lineRule="auto"/>
        <w:ind w:left="357"/>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A773FA" w:rsidR="00A773FA" w:rsidTr="00351FC0" w14:paraId="1E00A390" w14:textId="77777777">
        <w:tc>
          <w:tcPr>
            <w:tcW w:w="2093"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Contacto</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Georgios Meleas</w:t>
            </w:r>
          </w:p>
        </w:tc>
      </w:tr>
      <w:tr w:rsidRPr="00A773FA" w:rsidR="00A773FA" w:rsidTr="00351FC0" w14:paraId="27B092BE" w14:textId="77777777">
        <w:tc>
          <w:tcPr>
            <w:tcW w:w="2093"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+32 2 546 97 95</w:t>
            </w:r>
          </w:p>
        </w:tc>
      </w:tr>
      <w:tr w:rsidRPr="00A773FA" w:rsidR="00A773FA" w:rsidTr="00351FC0" w14:paraId="719936AC" w14:textId="77777777">
        <w:tc>
          <w:tcPr>
            <w:tcW w:w="2093"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Endereço eletrónico</w:t>
            </w:r>
          </w:p>
        </w:tc>
        <w:tc>
          <w:tcPr>
            <w:tcW w:w="5670" w:type="dxa"/>
          </w:tcPr>
          <w:p w:rsidRPr="00A773FA" w:rsidR="00A773FA" w:rsidP="00A773FA" w:rsidRDefault="005C6487"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E9607A" w:rsidRDefault="008469D4" w14:paraId="1862AFC9" w14:textId="6D1C7136">
      <w:pPr>
        <w:spacing w:line="168" w:lineRule="auto"/>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292797" w:id="3"/>
      <w:bookmarkEnd w:id="1"/>
      <w:bookmarkEnd w:id="2"/>
      <w:r>
        <w:rPr>
          <w:b/>
        </w:rPr>
        <w:lastRenderedPageBreak/>
        <w:t>UNIÃO ECONÓMICA E MONETÁRIA E COESÃO ECONÓMICA E SOCIAL</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5C6487"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Quadro fiscal para as entidades da econo</w:t>
        </w:r>
        <w:r w:rsidR="000B64C3">
          <w:rPr>
            <w:b/>
            <w:i/>
            <w:color w:val="0000FF"/>
            <w:sz w:val="28"/>
            <w:u w:val="single"/>
          </w:rPr>
          <w:t>m</w:t>
        </w:r>
        <w:r w:rsidR="000B64C3">
          <w:rPr>
            <w:b/>
            <w:i/>
            <w:color w:val="0000FF"/>
            <w:sz w:val="28"/>
            <w:u w:val="single"/>
          </w:rPr>
          <w:t>ia social</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Relator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(IT – Grupo das Organizações da Sociedade Civil)</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Referência</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Parecer de iniciativa</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O Comité Económico e Social Europeu:</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salienta a necessidade de os sistemas fiscais dos Estados-Membros não prejudicarem o desenvolvimento da economia social e acolhe com agrado o objetivo da Comissão Europeia de prestar apoio aos Estados‑Membros mediante a publicação de orientações sobre os quadros fiscais pertinentes aplicáveis às entidades da economia social;</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observa que o conhecimento das abordagens adotadas nos vários Estados-Membros pode ser um ponto de partida importante para aprofundar e melhorar o quadro fiscal global para as entidades da economia social no mercado interno;</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espera que, no futuro, se possam prosseguir os esforços no sentido de adotar uma abordagem harmonizada da fiscalidade das entidades da economia social, tendo em vista a consolidação do mercado interno;</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apela para que se lance uma reflexão exaustiva sobre as formas possíveis de proceder a uma futura harmonização da tributação da economia social na UE;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incentiva a Comissão Europeia e os Estados-Membros a ponderarem também taxas de IVA mais favoráveis para as atividades de utilidade pública realizadas por entidades da economia social e por serviços sociais, em particular no setor dos cuidados de saúde e da assistência social às pessoas idosas, bem como nos setores dos serviços à pessoa, dos cuidados de longa duração e da educação.</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Contacto</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+32 2 546 96 28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A773FA" w:rsidR="00A773FA" w:rsidP="00A773FA" w:rsidRDefault="005C6487"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8C3078"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292798" w:id="5"/>
      <w:r>
        <w:rPr>
          <w:rStyle w:val="Hyperlink"/>
          <w:color w:val="000000" w:themeColor="text1"/>
          <w:sz w:val="22"/>
          <w:u w:val="none"/>
        </w:rPr>
        <w:t>3.</w:t>
      </w:r>
      <w:r>
        <w:rPr>
          <w:rFonts w:asciiTheme="minorHAnsi" w:hAnsiTheme="minorHAnsi"/>
          <w:color w:val="000000" w:themeColor="text1"/>
        </w:rPr>
        <w:tab/>
      </w:r>
      <w:r>
        <w:t>EMPREGO, ASSUNTOS SOCIAIS E CIDADANIA</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"https://www.eesc.europa.eu/pt/our-work/opinions-information-reports/opinions/combating-sexual-abuse-and-sexual-exploitation-children-and-child-pornography"</w:instrText>
      </w:r>
      <w:r w:rsidRPr="00231B83">
        <w:rPr>
          <w:b/>
          <w:i/>
          <w:sz w:val="28"/>
        </w:rPr>
        <w:fldChar w:fldCharType="separate"/>
      </w:r>
      <w:r>
        <w:rPr>
          <w:b/>
          <w:i/>
          <w:color w:val="0000FF"/>
          <w:sz w:val="28"/>
          <w:u w:val="single"/>
        </w:rPr>
        <w:t>Luta contra o abuso sexual e a explor</w:t>
      </w:r>
      <w:r>
        <w:rPr>
          <w:b/>
          <w:i/>
          <w:color w:val="0000FF"/>
          <w:sz w:val="28"/>
          <w:u w:val="single"/>
        </w:rPr>
        <w:t>a</w:t>
      </w:r>
      <w:r>
        <w:rPr>
          <w:b/>
          <w:i/>
          <w:color w:val="0000FF"/>
          <w:sz w:val="28"/>
          <w:u w:val="single"/>
        </w:rPr>
        <w:t>ção sexual de crianças e o material com imagens de abusos sexuais de crianças</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Relator</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Correlatora</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(DE – Grupo dos Trabalhadores)</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(BG – Grupo das Organizações da Sociedade Civil)</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Referências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apoia o objetivo da proposta de assegurar que todas as formas de abuso sexual e exploração sexual de crianças são criminalizadas, incluindo as que são possibilitadas ou facilitadas pela evolução tecnológica;</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chama a atenção para o grupo particularmente vulnerável das crianças com deficiência, que podem tornar-se vítimas fáceis de abusos sexuais, exploração sexual e cibercriminalidade;</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defende uma melhor coordenação entre os Estados-Membros e a nível nacional para prevenir e combater o abuso sexual de crianças; apoia a proposta de obrigação de os Estados-Membros criarem autoridades nacionais responsáveis por essa coordenação;</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salienta a importância de estabelecer normas mínimas comuns para a definição das infrações penais e do nível das sanções penais correspondentes, a fim de garantir a eficácia da ação penal contra os autores dos crimes e a proteção das vítimas em toda a UE; apoia a criminalização dos «manuais pedófilos»;</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solicita que o intercâmbio internacional de dados referentes ao abuso sexual e à exploração sexual de crianças seja especificamente regulamentado e que as possibilidades de conservação de dados sejam alargadas em todos os Estados-Membros através da criação de um centro de investigação da UE;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apoia o objetivo de melhorar a prevenção e a assistência às vítimas de exploração sexual e abuso sexual; apoia a proposta de agravamento das sanções mínimas e a prorrogação dos prazos de prescrição;</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sublinha a importância da formação contínua para os agentes de aplicação da lei e para todas as pessoas que lidam com crianças no exercício das suas funções;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considera essencial o envolvimento da sociedade civil na luta contra o abuso sexual e a exploração sexual de crianças, bem como na prevenção e no apoio às vítimas.</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Contacto</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+32 2 546 97 27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231B83" w:rsidR="00231B83" w:rsidP="00231B83" w:rsidRDefault="005C6487"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"https://www.eesc.europa.eu/pt/our-work/opinions-information-reports/opinions/anti-smuggling-package" </w:instrText>
      </w:r>
      <w:r w:rsidRPr="00D7590E">
        <w:rPr>
          <w:b/>
          <w:i/>
          <w:sz w:val="28"/>
        </w:rPr>
        <w:fldChar w:fldCharType="separate"/>
      </w:r>
      <w:r>
        <w:rPr>
          <w:b/>
          <w:i/>
          <w:color w:val="0000FF"/>
          <w:sz w:val="28"/>
          <w:u w:val="single"/>
        </w:rPr>
        <w:t>Pacote Luta contra a Intro</w:t>
      </w:r>
      <w:r>
        <w:rPr>
          <w:b/>
          <w:i/>
          <w:color w:val="0000FF"/>
          <w:sz w:val="28"/>
          <w:u w:val="single"/>
        </w:rPr>
        <w:t>d</w:t>
      </w:r>
      <w:r>
        <w:rPr>
          <w:b/>
          <w:i/>
          <w:color w:val="0000FF"/>
          <w:sz w:val="28"/>
          <w:u w:val="single"/>
        </w:rPr>
        <w:t>ução Clandestina de Migrantes</w:t>
      </w:r>
    </w:p>
    <w:p w:rsidRPr="00D7590E" w:rsidR="00D7590E" w:rsidP="00467972" w:rsidRDefault="00D7590E" w14:paraId="31787A8A" w14:textId="77777777">
      <w:pPr>
        <w:widowControl w:val="0"/>
        <w:overflowPunct w:val="0"/>
        <w:autoSpaceDE w:val="0"/>
        <w:autoSpaceDN w:val="0"/>
        <w:adjustRightInd w:val="0"/>
        <w:spacing w:line="168" w:lineRule="auto"/>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Relator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Florian Bercea (RO – Grupo dos Trabalhadores)</w:t>
            </w:r>
          </w:p>
        </w:tc>
      </w:tr>
      <w:tr w:rsidRPr="00D7590E" w:rsidR="00D7590E" w:rsidTr="00D76388" w14:paraId="3E8F8F3E" w14:textId="77777777">
        <w:tc>
          <w:tcPr>
            <w:tcW w:w="1522" w:type="pct"/>
          </w:tcPr>
          <w:p w:rsidR="002910B2" w:rsidP="00467972" w:rsidRDefault="002910B2" w14:paraId="75A274C2" w14:textId="77777777">
            <w:pPr>
              <w:overflowPunct w:val="0"/>
              <w:autoSpaceDE w:val="0"/>
              <w:autoSpaceDN w:val="0"/>
              <w:adjustRightInd w:val="0"/>
              <w:spacing w:line="168" w:lineRule="auto"/>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Referências</w:t>
            </w:r>
          </w:p>
        </w:tc>
        <w:tc>
          <w:tcPr>
            <w:tcW w:w="3478" w:type="pct"/>
          </w:tcPr>
          <w:p w:rsidR="002910B2" w:rsidP="00467972" w:rsidRDefault="002910B2" w14:paraId="0FA5CA76" w14:textId="77777777">
            <w:pPr>
              <w:tabs>
                <w:tab w:val="left" w:pos="4430"/>
              </w:tabs>
              <w:overflowPunct w:val="0"/>
              <w:autoSpaceDE w:val="0"/>
              <w:autoSpaceDN w:val="0"/>
              <w:adjustRightInd w:val="0"/>
              <w:spacing w:line="168" w:lineRule="auto"/>
              <w:ind w:left="-113" w:right="-822"/>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467972" w:rsidRDefault="004033C4" w14:paraId="4326B236" w14:textId="09AFBE82">
            <w:pPr>
              <w:tabs>
                <w:tab w:val="left" w:pos="4430"/>
              </w:tabs>
              <w:overflowPunct w:val="0"/>
              <w:autoSpaceDE w:val="0"/>
              <w:autoSpaceDN w:val="0"/>
              <w:adjustRightInd w:val="0"/>
              <w:spacing w:line="168" w:lineRule="auto"/>
              <w:ind w:left="-113" w:right="-822"/>
              <w:textAlignment w:val="baseline"/>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D7590E" w:rsidR="00D7590E" w:rsidP="00467972" w:rsidRDefault="00D7590E" w14:paraId="63D52B12" w14:textId="77777777">
      <w:pPr>
        <w:keepNext/>
        <w:keepLines/>
        <w:tabs>
          <w:tab w:val="center" w:pos="284"/>
        </w:tabs>
        <w:overflowPunct w:val="0"/>
        <w:autoSpaceDE w:val="0"/>
        <w:autoSpaceDN w:val="0"/>
        <w:adjustRightInd w:val="0"/>
        <w:spacing w:line="168" w:lineRule="auto"/>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D7590E" w:rsidR="00D7590E" w:rsidP="00467972" w:rsidRDefault="00D7590E" w14:paraId="17BAED7F" w14:textId="77777777">
      <w:pPr>
        <w:keepNext/>
        <w:keepLines/>
        <w:tabs>
          <w:tab w:val="center" w:pos="284"/>
        </w:tabs>
        <w:overflowPunct w:val="0"/>
        <w:autoSpaceDE w:val="0"/>
        <w:autoSpaceDN w:val="0"/>
        <w:adjustRightInd w:val="0"/>
        <w:spacing w:line="168" w:lineRule="auto"/>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assinala que as duas propostas legislativas e a Aliança Mundial propõem um reforço proporcional e crescente das capacidades, mas carecem de uma maior ambição e empenho a nível estratégico para abordar eficazmente o processo;</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reconhece que a luta contra a introdução clandestina de migrantes necessita de um novo impulso e de uma melhor coordenação a todos os níveis. Ao mesmo tempo, estima essencial abrir canais e procedimentos legais de migração para quem pretende chegar à União Europeia (UE) de forma segura e legal;</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observa que, com vista a assegurar um funcionamento eficaz do sistema de asilo da UE, afigura-se essencial conceber soluções para os problemas decorrentes do recurso sistemático a reenvios forçados nas fronteiras externas da UE, prática proibida pela Convenção de Genebra. Perante a ausência de vias seguras e legais para entrar na UE, os refugiados e os migrantes que buscam segurança não têm outra opção senão enveredar por vias mais perigosas que põem em risco as suas vidas;</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convida a Comissão a desenvolver uma abordagem mais sólida, que vá além da Aliança Mundial, a fim de reforçar as capacidades dos países terceiros e incentivar a cooperação com a Europol e as autoridades responsáveis pela aplicação da lei nos Estados-Membros;</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lamenta que o pacote não abranja as pessoas que utilizam os serviços dos passadores de migrantes, embora sejam reconhecidas como potenciais vítimas. A UE deve integrar na sua estratégia de luta contra a introdução clandestina de migrantes uma dimensão de direitos fundamentais para as pessoas que estão em situação de desespero e suficientemente vulneráveis para recorrerem aos serviços dos passadores. A política nesta matéria deve também estar mais orientada para os grupos de pessoas ainda mais vulneráveis, como as pessoas com deficiência;</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apela para o reforço da transparência na elaboração das propostas, uma vez que estas não foram acompanhadas de um relatório de avaliação de impacto </w:t>
      </w:r>
      <w:r>
        <w:rPr>
          <w:i/>
        </w:rPr>
        <w:t>ex ante</w:t>
      </w:r>
      <w:r>
        <w:t>;</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acolhe favoravelmente a diretiva, mas adverte que o seu conteúdo pode afetar gravemente os direitos fundamentais dos migrantes e dos que lhes prestam assistência por razões humanitárias; considera que a criação e a manutenção de um clima de medo em torno da assistência humanitária, jurídica ou mesmo administrativa é uma forma errada e inaceitável de combater a introdução clandestina de migrantes;</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estima, além disso, que os prestadores de ajuda humanitária, os familiares e outras pessoas que prestam serviços a migrantes não devem ser sujeitos à ação penal. Só deverá haver lugar a ação penal em caso de benefício financeiro indevido.</w:t>
      </w:r>
    </w:p>
    <w:p w:rsidRPr="00D7590E" w:rsidR="00620F8C" w:rsidP="00467972" w:rsidRDefault="00620F8C" w14:paraId="776E4AB1" w14:textId="77777777">
      <w:pPr>
        <w:keepNext/>
        <w:keepLines/>
        <w:tabs>
          <w:tab w:val="center" w:pos="284"/>
        </w:tabs>
        <w:overflowPunct w:val="0"/>
        <w:autoSpaceDE w:val="0"/>
        <w:autoSpaceDN w:val="0"/>
        <w:adjustRightInd w:val="0"/>
        <w:spacing w:after="60" w:line="168" w:lineRule="auto"/>
        <w:ind w:left="357"/>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Contacto</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+32 2 546 94 15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D7590E" w:rsidR="00D7590E" w:rsidP="00D7590E" w:rsidRDefault="005C6487"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P="00467972" w:rsidRDefault="009E4F7F" w14:paraId="44124BD4" w14:textId="77777777">
      <w:pPr>
        <w:spacing w:after="160" w:line="168"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5C6487"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Cu</w:t>
        </w:r>
        <w:r w:rsidR="000B64C3">
          <w:rPr>
            <w:b/>
            <w:i/>
            <w:color w:val="0000FF"/>
            <w:sz w:val="28"/>
            <w:u w:val="single"/>
          </w:rPr>
          <w:t>i</w:t>
        </w:r>
        <w:r w:rsidR="000B64C3">
          <w:rPr>
            <w:b/>
            <w:i/>
            <w:color w:val="0000FF"/>
            <w:sz w:val="28"/>
            <w:u w:val="single"/>
          </w:rPr>
          <w:t>dadores</w:t>
        </w:r>
      </w:hyperlink>
      <w:r w:rsidRPr="003A3334" w:rsidR="003A3334">
        <w:rPr>
          <w:b/>
          <w:i/>
          <w:sz w:val="28"/>
        </w:rPr>
        <w:fldChar w:fldCharType="begin"/>
      </w:r>
      <w:r w:rsidRPr="003A3334" w:rsidR="003A3334">
        <w:rPr>
          <w:b/>
          <w:i/>
          <w:sz w:val="28"/>
        </w:rPr>
        <w:instrText xml:space="preserve"> HYPERLINK "https://www.eesc.europa.eu/pt/our-work/opinions-information-reports/opinions/anti-smuggling-package"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Relator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(IT – Grupo das Organizações da Sociedade Civil)</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Referências</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Parecer de iniciativa</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Pontos principais</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O Comité Económico e Social Europeu:</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59065A5C">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insta a Comissão a colocar os cuidadores informais no topo da agenda política e a criar uma plataforma para o intercâmbio de boas práticas entre os Estados-Membros; insta os Estados</w:t>
      </w:r>
      <w:r w:rsidR="005554B9">
        <w:rPr>
          <w:color w:val="000000"/>
        </w:rPr>
        <w:noBreakHyphen/>
      </w:r>
      <w:r>
        <w:rPr>
          <w:color w:val="000000"/>
        </w:rPr>
        <w:t>Membros a adotarem políticas que incentivem a prestação e a utilização de serviços de cuidados de longa duração de base comunitária de elevada qualidade, a disponibilidade de serviços de descanso para os cuidadores informais, bem como de medicina preventiva para combater o risco de esgotamento e de sobrecarga física e mental a que os cuidadores informais estão expostos;</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solicita que os Estados-Membros tomem medidas adequadas para garantir que a decisão de prestar cuidados informais é voluntária, que as desigualdades de género são combatidas, que os cuidadores informais podem conservar os seus empregos e a sua remuneração através de condições de trabalho mais flexíveis e que possam facilmente reintegrar o mercado de trabalho caso se vejam forçados a abandoná-lo;</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solicita que os familiares cuidadores sejam integrados na celebração do Dia Internacional do Cuidado e do Apoio, para que sejam reconhecidos no sistema europeu de prestação de cuidados;</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sublinha a importância de dispor de dados qualitativos e quantitativos que descrevam as condições de vida reais dos cuidadores informais e solicita que se adotem novas estratégias de investigação.</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Contacto</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Valeria Atzori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+32 2 546 87 74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Endereço eletrónico</w:t>
            </w:r>
          </w:p>
        </w:tc>
        <w:tc>
          <w:tcPr>
            <w:tcW w:w="3444" w:type="pct"/>
          </w:tcPr>
          <w:p w:rsidRPr="003A3334" w:rsidR="003A3334" w:rsidP="003A3334" w:rsidRDefault="005C6487"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"https://www.eesc.europa.eu/pt/our-work/opinions-information-reports/opinions/traineeship-directive-and-reinforced-quality-framework-traineeships"</w:instrText>
      </w:r>
      <w:r w:rsidRPr="002646B8">
        <w:rPr>
          <w:b/>
          <w:i/>
          <w:sz w:val="28"/>
        </w:rPr>
        <w:fldChar w:fldCharType="separate"/>
      </w:r>
      <w:r>
        <w:rPr>
          <w:b/>
          <w:i/>
          <w:color w:val="0000FF"/>
          <w:sz w:val="28"/>
          <w:u w:val="single"/>
        </w:rPr>
        <w:t>Diretiva Estágios e Quadro de Qualidade para os Estági</w:t>
      </w:r>
      <w:r>
        <w:rPr>
          <w:b/>
          <w:i/>
          <w:color w:val="0000FF"/>
          <w:sz w:val="28"/>
          <w:u w:val="single"/>
        </w:rPr>
        <w:t>o</w:t>
      </w:r>
      <w:r>
        <w:rPr>
          <w:b/>
          <w:i/>
          <w:color w:val="0000FF"/>
          <w:sz w:val="28"/>
          <w:u w:val="single"/>
        </w:rPr>
        <w:t>s reforçado</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Relatora</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Nicoletta Merlo (IT – Grupo dos Trabalhadores)</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Referências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sublinha que os programas de aprendizagem e de estágio são duas práticas distintas, com objetivos e regulamentações diferentes;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recomenda que as definições constantes do artigo 2.º não imponham aos Estados-Membros a obrigação de classificarem os estágios como relação de trabalho sempre que essa prática profissional não seja abrangida na regulamentação nacional pela definição de «estagiário» estabelecida pela diretiva;</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propõe incluir na diretiva uma lista das condições de trabalho que devem ser consideradas não derrogáveis, a fim de assegurar uma melhor proteção dos interesses dos estagiários, preservando simultaneamente a autonomia dos parceiros sociais para regulamentarem as condições dos estágios no mercado aberto;</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realça que as autoridades competentes têm um papel fundamental na luta contra as relações de trabalho regulares disfarçadas de estágios e devem reconhecer o papel importante que os parceiros sociais podem desempenhar no âmbito desses esforços;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solicita a introdução de disposições que assegurem aos representantes dos trabalhadores a possibilidade de agirem em qualquer momento para proteger os estagiários mesmo que o estágio não constitua uma relação de trabalho;</w:t>
      </w:r>
    </w:p>
    <w:p w:rsidRPr="002646B8" w:rsidR="002646B8" w:rsidP="0088361D" w:rsidRDefault="002646B8" w14:paraId="089040A9" w14:textId="24E8F711">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recomenda que se definam os critérios mínimos de qualidade para cada tipo de estágio em toda a UE, a fim de assegurar normas elevadas e um quadro de base comum em todos os Estados</w:t>
      </w:r>
      <w:r w:rsidR="005554B9">
        <w:noBreakHyphen/>
      </w:r>
      <w:r>
        <w:t>Membros; assinala a importância de recolher dados e partilhar exemplos de boas práticas nacionais para cada tipo de estágio a nível da UE como parte do processo de análise e execução;</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destaca a importância de uma remuneração justa que tenha em conta os possíveis custos de participação na atividade de formação e as necessidades de subsistência correlacionadas.</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Contacto</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+32 2 546 97 27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2646B8" w:rsidR="002646B8" w:rsidP="002646B8" w:rsidRDefault="005C6487"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P="008C3078" w:rsidRDefault="005C6487" w14:paraId="153FDF23" w14:textId="654546C0">
      <w:pPr>
        <w:pStyle w:val="TOC1"/>
        <w:rPr>
          <w:color w:val="000000" w:themeColor="text1"/>
        </w:rPr>
      </w:pPr>
      <w:hyperlink w:history="1" w:anchor="_Toc164353189">
        <w:bookmarkStart w:name="_Toc172292799" w:id="6"/>
        <w:r w:rsidR="000B64C3">
          <w:t>4.</w:t>
        </w:r>
        <w:r w:rsidR="000B64C3">
          <w:rPr>
            <w:rFonts w:asciiTheme="minorHAnsi" w:hAnsiTheme="minorHAnsi"/>
            <w:sz w:val="22"/>
          </w:rPr>
          <w:tab/>
        </w:r>
      </w:hyperlink>
      <w:r w:rsidR="000B64C3">
        <w:t>MERCADO ÚNICO, PRODUÇÃO E CONSUMO</w:t>
      </w:r>
      <w:bookmarkEnd w:id="6"/>
    </w:p>
    <w:p w:rsidR="00C34921" w:rsidP="008C3078" w:rsidRDefault="005C6487"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5C6487"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30">
        <w:r w:rsidR="0074506B">
          <w:rPr>
            <w:b/>
            <w:i/>
            <w:color w:val="0000FF"/>
            <w:sz w:val="28"/>
            <w:u w:val="single"/>
          </w:rPr>
          <w:t>Proposta de recomendação do Conselho relativa ao refor</w:t>
        </w:r>
        <w:r w:rsidR="0074506B">
          <w:rPr>
            <w:b/>
            <w:i/>
            <w:color w:val="0000FF"/>
            <w:sz w:val="28"/>
            <w:u w:val="single"/>
          </w:rPr>
          <w:t>ç</w:t>
        </w:r>
        <w:r w:rsidR="0074506B">
          <w:rPr>
            <w:b/>
            <w:i/>
            <w:color w:val="0000FF"/>
            <w:sz w:val="28"/>
            <w:u w:val="single"/>
          </w:rPr>
          <w:t>o da segurança da investigação</w:t>
        </w:r>
      </w:hyperlink>
      <w:r w:rsidR="0074506B">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Relator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(IT– Grupo dos Trabalhadores)</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Referências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767ED9" w:rsidRDefault="00D92244" w14:paraId="1F41BFFE" w14:textId="77777777">
      <w:pPr>
        <w:spacing w:line="168" w:lineRule="auto"/>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AD6EAC" w:rsidR="00D92244" w:rsidP="008C3078" w:rsidRDefault="00D92244" w14:paraId="1E30C2C4" w14:textId="77777777">
      <w:pPr>
        <w:keepNext/>
        <w:keepLines/>
        <w:tabs>
          <w:tab w:val="center" w:pos="284"/>
        </w:tabs>
        <w:overflowPunct w:val="0"/>
        <w:autoSpaceDE w:val="0"/>
        <w:autoSpaceDN w:val="0"/>
        <w:adjustRightInd w:val="0"/>
        <w:spacing w:line="168" w:lineRule="auto"/>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O Comité Económico e Social Europeu:</w:t>
      </w:r>
    </w:p>
    <w:p w:rsidRPr="00AD6EAC" w:rsidR="00D92244" w:rsidP="00767ED9" w:rsidRDefault="00D92244" w14:paraId="2AC2F3B1" w14:textId="77777777">
      <w:pPr>
        <w:spacing w:line="168" w:lineRule="auto"/>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entende que importa encontrar um justo equilíbrio entre a necessidade de segurança e a necessidade de manter a abertura internacional do setor, tendo ao mesmo tempo em conta a vulnerabilidade do setor da I&amp;I a uma eventual influência maliciosa de intervenientes estatais e não estatais em algumas atividades de cooperação internacional no domínio da investigação e da inovação;</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considera que as medidas destinadas a garantir a segurança no âmbito da I&amp;I nunca devem colidir com o princípio da plena autonomia e liberdade de investigação;</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reputa fundamental assegurar o respeito pelo princípio da «liberdade com responsabilidade» dos intervenientes na I&amp;I através de uma autogovernação eficaz, eficiente e transparente dos profissionais do setor;</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considera que o objetivo de assegurar uma cooperação internacional segura para a I&amp;I nunca deverá dar lugar a práticas discriminatórias e/ou vexatórias para os profissionais de I&amp;I nem entrar em conflito com os direitos laborais e a salvaguarda das condições de trabalho dos profissionais do setor da I&amp;I na UE;</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espera que a plena autonomia da I&amp;I evolua num quadro de referência uniforme e coerente em todos os Estados-Membros da UE;</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frisa a importância de reforçar a proteção da propriedade intelectual das inovações suscetíveis de garantir a segurança nacional e de alargar a análise dos investimentos diretos estrangeiros às fusões e aquisições de empresas que exercem a sua atividade num dos dez setores críticos ou que fabricam produtos de dupla utilização;</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considera que a falta de orientações específicas na recomendação para as atividades de quem participa na I&amp;I no que diz respeito i) ao exercício do dever de diligência, ii) à definição de perfis de risco, iii) à elaboração de memorandos de acordo com organizações internacionais parceiras de I&amp;I pode ser resolvida mais tarde através das futuras atividades do centro europeu de conhecimentos sobre segurança da investigação;</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espera que o centro europeu de conhecimentos sobre segurança da investigação funcione como plataforma de recolha e partilha da documentação, no pleno respeito da transparência mútua, e organize cursos de formação e desenvolvimento profissional no domínio da segurança da investigação.</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Contacto</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Marco Manfroni</w:t>
            </w:r>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AD6EAC" w:rsidR="00D92244" w:rsidP="00D76388" w:rsidRDefault="005C6487"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767ED9" w:rsidRDefault="00DC26B9" w14:paraId="13ABEB8E" w14:textId="77777777">
      <w:pPr>
        <w:spacing w:line="168" w:lineRule="auto"/>
        <w:rPr>
          <w:rFonts w:eastAsiaTheme="minorEastAsia"/>
        </w:rPr>
      </w:pPr>
    </w:p>
    <w:p w:rsidR="00DC26B9" w:rsidRDefault="00DC26B9" w14:paraId="3806A840" w14:textId="77777777">
      <w:pPr>
        <w:spacing w:after="160" w:line="259" w:lineRule="auto"/>
        <w:jc w:val="left"/>
        <w:rPr>
          <w:rFonts w:eastAsiaTheme="minorEastAsia"/>
        </w:rPr>
      </w:pPr>
      <w:r>
        <w:br w:type="page"/>
      </w:r>
    </w:p>
    <w:p w:rsidR="006A7E31" w:rsidP="008C3078" w:rsidRDefault="00520680" w14:paraId="295BACE7" w14:textId="7EB5E747">
      <w:pPr>
        <w:pStyle w:val="TOC1"/>
      </w:pPr>
      <w:bookmarkStart w:name="_Toc172292800" w:id="7"/>
      <w:r>
        <w:lastRenderedPageBreak/>
        <w:t>5.</w:t>
      </w:r>
      <w:r>
        <w:rPr>
          <w:rFonts w:asciiTheme="minorHAnsi" w:hAnsiTheme="minorHAnsi"/>
          <w:sz w:val="22"/>
        </w:rPr>
        <w:tab/>
      </w:r>
      <w:hyperlink w:history="1" w:anchor="_Toc164353189">
        <w:r>
          <w:t>AGRICULTURA, DESENVOLVIMENTO RURAL E AMBIENTE</w:t>
        </w:r>
        <w:bookmarkEnd w:id="7"/>
      </w:hyperlink>
    </w:p>
    <w:p w:rsidR="006A7E31" w:rsidP="006A7E31" w:rsidRDefault="006A7E31" w14:paraId="016FD202" w14:textId="77777777">
      <w:pPr>
        <w:rPr>
          <w:rFonts w:eastAsiaTheme="minorEastAsia"/>
        </w:rPr>
      </w:pPr>
    </w:p>
    <w:p w:rsidRPr="0005755A" w:rsidR="006A7E31" w:rsidP="006A7E31" w:rsidRDefault="005C6487"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Comissão Geral das Pe</w:t>
        </w:r>
        <w:r w:rsidR="000B64C3">
          <w:rPr>
            <w:b/>
            <w:i/>
            <w:color w:val="0000FF"/>
            <w:sz w:val="28"/>
            <w:u w:val="single"/>
          </w:rPr>
          <w:t>s</w:t>
        </w:r>
        <w:r w:rsidR="000B64C3">
          <w:rPr>
            <w:b/>
            <w:i/>
            <w:color w:val="0000FF"/>
            <w:sz w:val="28"/>
            <w:u w:val="single"/>
          </w:rPr>
          <w:t>cas do Mediterrâneo</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Referências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(parecer da categoria C)</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O Comité Económico e Social Europeu:</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considera que o conteúdo da proposta é inteiramente satisfatório e não suscita quaisquer observações.</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Contacto</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+32 2 546 98 02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Endereço eletrónico</w:t>
            </w:r>
          </w:p>
        </w:tc>
        <w:tc>
          <w:tcPr>
            <w:tcW w:w="3444" w:type="pct"/>
          </w:tcPr>
          <w:p w:rsidRPr="0005755A" w:rsidR="006A7E31" w:rsidP="00D76388" w:rsidRDefault="005C6487"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A6042C" w:rsidRDefault="006260A5" w14:paraId="246982C8" w14:textId="46860287">
      <w:pPr>
        <w:widowControl w:val="0"/>
        <w:numPr>
          <w:ilvl w:val="0"/>
          <w:numId w:val="27"/>
        </w:numPr>
        <w:overflowPunct w:val="0"/>
        <w:autoSpaceDE w:val="0"/>
        <w:autoSpaceDN w:val="0"/>
        <w:adjustRightInd w:val="0"/>
        <w:spacing w:line="271" w:lineRule="auto"/>
        <w:ind w:hanging="567"/>
        <w:textAlignment w:val="baseline"/>
        <w:rPr>
          <w:b/>
          <w:bCs/>
          <w:sz w:val="28"/>
          <w:szCs w:val="28"/>
          <w:u w:val="single"/>
        </w:rPr>
      </w:pPr>
      <w:r>
        <w:rPr>
          <w:b/>
          <w:i/>
          <w:color w:val="0000FF"/>
          <w:sz w:val="28"/>
          <w:u w:val="single"/>
        </w:rPr>
        <w:lastRenderedPageBreak/>
        <w:t>Como assegurar a sustentabilidade social, ambiental e económica do setor agroalimentar da UE no contexto de um futuro alargamento?</w:t>
      </w:r>
    </w:p>
    <w:p w:rsidRPr="005721DA" w:rsidR="006A7E31" w:rsidP="00A6042C" w:rsidRDefault="006A7E31" w14:paraId="7ECAFA22" w14:textId="77777777">
      <w:pPr>
        <w:tabs>
          <w:tab w:val="center" w:pos="284"/>
        </w:tabs>
        <w:overflowPunct w:val="0"/>
        <w:autoSpaceDE w:val="0"/>
        <w:autoSpaceDN w:val="0"/>
        <w:adjustRightInd w:val="0"/>
        <w:spacing w:line="168" w:lineRule="auto"/>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Relator</w:t>
            </w:r>
          </w:p>
        </w:tc>
        <w:tc>
          <w:tcPr>
            <w:tcW w:w="3852" w:type="pct"/>
          </w:tcPr>
          <w:p w:rsidRPr="005721DA" w:rsidR="006A7E31" w:rsidP="00A6042C" w:rsidRDefault="006A7E31" w14:paraId="0FD8C874" w14:textId="77777777">
            <w:pPr>
              <w:tabs>
                <w:tab w:val="center" w:pos="284"/>
              </w:tabs>
              <w:overflowPunct w:val="0"/>
              <w:autoSpaceDE w:val="0"/>
              <w:autoSpaceDN w:val="0"/>
              <w:adjustRightInd w:val="0"/>
              <w:spacing w:line="240" w:lineRule="auto"/>
              <w:ind w:left="266" w:hanging="266"/>
              <w:textAlignment w:val="baseline"/>
              <w:rPr>
                <w:bCs/>
              </w:rPr>
            </w:pPr>
            <w:r>
              <w:t>Stoyan Tchoukanov (BG – Grupo das Organizações da Sociedade Civil)</w:t>
            </w:r>
          </w:p>
        </w:tc>
      </w:tr>
      <w:tr w:rsidRPr="005721DA" w:rsidR="006A7E31" w:rsidTr="00D76388" w14:paraId="534412B4" w14:textId="77777777">
        <w:tc>
          <w:tcPr>
            <w:tcW w:w="5000" w:type="pct"/>
            <w:gridSpan w:val="2"/>
          </w:tcPr>
          <w:p w:rsidRPr="005721DA" w:rsidR="006A7E31" w:rsidP="00A6042C" w:rsidRDefault="006A7E31" w14:paraId="23D8E7DF" w14:textId="77777777">
            <w:pPr>
              <w:tabs>
                <w:tab w:val="center" w:pos="284"/>
              </w:tabs>
              <w:overflowPunct w:val="0"/>
              <w:autoSpaceDE w:val="0"/>
              <w:autoSpaceDN w:val="0"/>
              <w:adjustRightInd w:val="0"/>
              <w:spacing w:line="8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Referências</w:t>
            </w:r>
          </w:p>
        </w:tc>
        <w:tc>
          <w:tcPr>
            <w:tcW w:w="3852" w:type="pct"/>
          </w:tcPr>
          <w:p w:rsidRPr="00EC54AC" w:rsidR="00675DC1" w:rsidP="00A6042C" w:rsidRDefault="00675DC1" w14:paraId="0EF6477D" w14:textId="2FD00AD1">
            <w:pPr>
              <w:tabs>
                <w:tab w:val="center" w:pos="284"/>
              </w:tabs>
              <w:overflowPunct w:val="0"/>
              <w:autoSpaceDE w:val="0"/>
              <w:autoSpaceDN w:val="0"/>
              <w:adjustRightInd w:val="0"/>
              <w:spacing w:line="276" w:lineRule="auto"/>
              <w:ind w:left="266" w:hanging="266"/>
              <w:textAlignment w:val="baseline"/>
            </w:pPr>
            <w:r>
              <w:t>Parecer exploratório a pedido da Comissão Europeia</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A6042C" w:rsidRDefault="006A7E31" w14:paraId="636B8F17" w14:textId="77777777">
            <w:pPr>
              <w:tabs>
                <w:tab w:val="center" w:pos="284"/>
              </w:tabs>
              <w:overflowPunct w:val="0"/>
              <w:autoSpaceDE w:val="0"/>
              <w:autoSpaceDN w:val="0"/>
              <w:adjustRightInd w:val="0"/>
              <w:spacing w:line="168" w:lineRule="auto"/>
              <w:ind w:left="266" w:hanging="266"/>
              <w:textAlignment w:val="baseline"/>
              <w:rPr>
                <w:sz w:val="16"/>
                <w:szCs w:val="16"/>
              </w:rPr>
            </w:pPr>
          </w:p>
        </w:tc>
      </w:tr>
    </w:tbl>
    <w:p w:rsidRPr="005721DA" w:rsidR="006A7E31" w:rsidP="00A6042C" w:rsidRDefault="006A7E31" w14:paraId="5E8E748A"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Pontos principais</w:t>
      </w:r>
    </w:p>
    <w:p w:rsidR="00EC54AC" w:rsidP="00A6042C" w:rsidRDefault="00EC54AC" w14:paraId="4DA44AF4" w14:textId="77777777">
      <w:pPr>
        <w:overflowPunct w:val="0"/>
        <w:autoSpaceDE w:val="0"/>
        <w:autoSpaceDN w:val="0"/>
        <w:adjustRightInd w:val="0"/>
        <w:spacing w:line="144" w:lineRule="auto"/>
        <w:textAlignment w:val="baseline"/>
        <w:rPr>
          <w:bCs/>
          <w:iCs/>
        </w:rPr>
      </w:pPr>
    </w:p>
    <w:p w:rsidRPr="005721DA" w:rsidR="006A7E31" w:rsidP="00A6042C" w:rsidRDefault="006A7E31" w14:paraId="66855A04" w14:textId="0858B1A9">
      <w:pPr>
        <w:overflowPunct w:val="0"/>
        <w:autoSpaceDE w:val="0"/>
        <w:autoSpaceDN w:val="0"/>
        <w:adjustRightInd w:val="0"/>
        <w:spacing w:line="276" w:lineRule="auto"/>
        <w:textAlignment w:val="baseline"/>
        <w:rPr>
          <w:bCs/>
          <w:iCs/>
        </w:rPr>
      </w:pPr>
      <w:r>
        <w:t>O Comité Económico e Social Europeu:</w:t>
      </w:r>
    </w:p>
    <w:p w:rsidRPr="005721DA" w:rsidR="006A7E31" w:rsidP="00A6042C" w:rsidRDefault="006A7E31" w14:paraId="06A85A9F" w14:textId="77777777">
      <w:pPr>
        <w:widowControl w:val="0"/>
        <w:numPr>
          <w:ilvl w:val="0"/>
          <w:numId w:val="43"/>
        </w:numPr>
        <w:overflowPunct w:val="0"/>
        <w:autoSpaceDE w:val="0"/>
        <w:autoSpaceDN w:val="0"/>
        <w:adjustRightInd w:val="0"/>
        <w:spacing w:line="271" w:lineRule="auto"/>
        <w:ind w:left="284" w:hanging="284"/>
        <w:textAlignment w:val="baseline"/>
        <w:rPr>
          <w:bCs/>
          <w:iCs/>
        </w:rPr>
      </w:pPr>
      <w:r>
        <w:t>salienta que, embora este alargamento seja diferente dos anteriores devido às excecionais circunstâncias geopolíticas atuais, tal não deve servir de razão para rever em baixa o nível de preparação dos países candidatos nem para questionar a importância das reformas legislativas necessárias ou o respeito pelos valores fundamentais da UE;</w:t>
      </w:r>
    </w:p>
    <w:p w:rsidRPr="005721DA" w:rsidR="006A7E31" w:rsidP="00A6042C" w:rsidRDefault="006A7E31" w14:paraId="03A92948"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frisa a importância segurança do aprovisionamento na produção alimentar da UE, face às tensões geopolíticas crescentes, e a necessidade de que todas as regiões da UE tenham a possibilidade de manter a produção agrícola também no futuro;</w:t>
      </w:r>
    </w:p>
    <w:p w:rsidRPr="005721DA" w:rsidR="006A7E31" w:rsidP="00A6042C" w:rsidRDefault="006A7E31" w14:paraId="0BA16662"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destaca as oportunidades deste alargamento para garantir melhor a autonomia estratégica da UE e reduzir ainda mais a pegada ambiental do setor, mas, ao mesmo tempo, reconhece os resultados mistos do anterior alargamento, observando que houve vencedores e perdedores, com as zonas rurais frágeis a beneficiar muito menos do processo do que as zonas urbanas, e que as explorações agrícolas europeias de menor dimensão estão a desaparecer; por conseguinte, exorta a Comissão Europeia e os Estados-Membros candidatos a ponderarem e a gerirem os impactos do alargamento especificamente nas explorações agrícolas familiares e nas pequenas e médias empresas agroalimentares, tanto na UE como nos países candidatos;</w:t>
      </w:r>
    </w:p>
    <w:p w:rsidRPr="005721DA" w:rsidR="006A7E31" w:rsidP="00A6042C" w:rsidRDefault="006A7E31" w14:paraId="49E16C0F"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 xml:space="preserve">salienta que os países candidatos terão de se alinhar pelos objetivos e valores globais da PAC, ao passo que as reformas da PAC necessárias e o quadro financeiro correspondente terão de ser acordados antes da concretização do alargamento; </w:t>
      </w:r>
    </w:p>
    <w:p w:rsidRPr="005721DA" w:rsidR="006A7E31" w:rsidP="00A6042C" w:rsidRDefault="006A7E31" w14:paraId="67FB469A"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recomenda a substituição gradual do atual apoio ao rendimento de base baseado na superfície por incentivos financeiros associados a serviços que beneficiem o ambiente e a sociedade, bem como por pagamentos degressivos, limites máximos obrigatórios ou aumentos para os primeiros hectares em todos os Estados-Membros, e solicita que as políticas agrícolas e de desenvolvimento rural sejam mais orientadas para uma economia de proximidade e que estes princípios sejam transpostos nos novos países candidatos;</w:t>
      </w:r>
    </w:p>
    <w:p w:rsidRPr="005721DA" w:rsidR="006A7E31" w:rsidP="00A6042C" w:rsidRDefault="006A7E31" w14:paraId="2DD062E7" w14:textId="77777777">
      <w:pPr>
        <w:widowControl w:val="0"/>
        <w:numPr>
          <w:ilvl w:val="0"/>
          <w:numId w:val="43"/>
        </w:numPr>
        <w:overflowPunct w:val="0"/>
        <w:autoSpaceDE w:val="0"/>
        <w:autoSpaceDN w:val="0"/>
        <w:adjustRightInd w:val="0"/>
        <w:spacing w:line="276" w:lineRule="auto"/>
        <w:ind w:left="284" w:hanging="284"/>
        <w:textAlignment w:val="baseline"/>
        <w:rPr>
          <w:bCs/>
          <w:iCs/>
          <w:spacing w:val="-4"/>
        </w:rPr>
      </w:pPr>
      <w:r>
        <w:t xml:space="preserve">solicita um aumento do orçamento da PAC, que deve ser dedicado a compensar devidamente os efeitos negativos para os agricultores da UE, tendo também em conta os potenciais custos sociais, o que significa que os atuais contribuintes líquidos terão de estar preparados para contribuir com uma percentagem mais elevada do seu PIB para a UE no novo período financeiro, atendendo aos benefícios líquidos para os exportadores de bens e serviços industriais da UE, enquanto o setor agroalimentar sentirá os efeitos dos custos de produção mais baixos de alguns dos novos países; </w:t>
      </w:r>
    </w:p>
    <w:p w:rsidRPr="005721DA" w:rsidR="006A7E31" w:rsidP="00A6042C" w:rsidRDefault="006A7E31" w14:paraId="2E6F1368"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realça a necessidade de dispor de dados pormenorizados e fiáveis e insta a Comissão Europeia a acompanhar de perto a produção agrícola e a evolução dos processos de reforma;</w:t>
      </w:r>
    </w:p>
    <w:p w:rsidRPr="005721DA" w:rsidR="006A7E31" w:rsidP="00A6042C" w:rsidRDefault="006A7E31" w14:paraId="76484E4D" w14:textId="77777777">
      <w:pPr>
        <w:widowControl w:val="0"/>
        <w:numPr>
          <w:ilvl w:val="0"/>
          <w:numId w:val="43"/>
        </w:numPr>
        <w:overflowPunct w:val="0"/>
        <w:autoSpaceDE w:val="0"/>
        <w:autoSpaceDN w:val="0"/>
        <w:adjustRightInd w:val="0"/>
        <w:spacing w:line="276" w:lineRule="auto"/>
        <w:ind w:left="284" w:hanging="284"/>
        <w:textAlignment w:val="baseline"/>
        <w:rPr>
          <w:bCs/>
          <w:iCs/>
        </w:rPr>
      </w:pPr>
      <w:r>
        <w:t>observa que, de certa forma, o processo de integração já teve início com a abertura dos mercados da UE aos produtos agrícolas dos países candidatos, criando potenciais desvantagens para os países da UE. Essas desvantagens devem ser evitadas através de regras claras a cumprir pelos países candidatos.</w:t>
      </w:r>
    </w:p>
    <w:p w:rsidRPr="005721DA" w:rsidR="006A7E31" w:rsidP="00A6042C" w:rsidRDefault="006A7E31" w14:paraId="07AD08EE" w14:textId="77777777">
      <w:pPr>
        <w:widowControl w:val="0"/>
        <w:overflowPunct w:val="0"/>
        <w:autoSpaceDE w:val="0"/>
        <w:autoSpaceDN w:val="0"/>
        <w:adjustRightInd w:val="0"/>
        <w:spacing w:line="120" w:lineRule="auto"/>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Contacto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Martine Delanoy</w:t>
            </w:r>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+32 2 546 98 02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5721DA" w:rsidR="006A7E31" w:rsidP="00D76388" w:rsidRDefault="005C6487"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520680" w:rsidP="008C3078" w:rsidRDefault="006A7E31" w14:paraId="3600B088" w14:textId="12B687D3">
      <w:pPr>
        <w:pStyle w:val="TOC1"/>
      </w:pPr>
      <w:bookmarkStart w:name="_Toc172292801" w:id="8"/>
      <w:r>
        <w:lastRenderedPageBreak/>
        <w:t>6.</w:t>
      </w:r>
      <w:r>
        <w:tab/>
        <w:t>RELAÇÕES EXTERNAS</w:t>
      </w:r>
      <w:bookmarkEnd w:id="8"/>
    </w:p>
    <w:p w:rsidRPr="006A7E31" w:rsidR="006A7E31" w:rsidP="006A7E31" w:rsidRDefault="006A7E31" w14:paraId="7F857315" w14:textId="77777777"/>
    <w:p w:rsidRPr="003567CE" w:rsidR="003567CE" w:rsidP="0088361D" w:rsidRDefault="005C6487"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Análise dos investimentos estrangeiros na União</w:t>
        </w:r>
      </w:hyperlink>
    </w:p>
    <w:p w:rsidR="003567CE" w:rsidP="003567CE" w:rsidRDefault="003567CE" w14:paraId="1AE1253A" w14:textId="0E5062DE">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Relator</w:t>
            </w:r>
          </w:p>
        </w:tc>
        <w:tc>
          <w:tcPr>
            <w:tcW w:w="5387" w:type="dxa"/>
          </w:tcPr>
          <w:p w:rsidRPr="0088361D" w:rsidR="003567CE" w:rsidP="003567CE" w:rsidRDefault="003567CE" w14:paraId="5C6E2D44" w14:textId="60E22C07">
            <w:pPr>
              <w:tabs>
                <w:tab w:val="center" w:pos="2585"/>
              </w:tabs>
              <w:jc w:val="left"/>
            </w:pPr>
            <w:r>
              <w:t>Javier Doz Orrit (ES – Grupo dos Trabalhadores)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Referências</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Pontos principais</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O Comité Económico e Social Europeu:</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congratula-se com a proposta de regulamento como um passo na direção certa, que reforça os mecanismos de análise dos investimentos diretos estrangeiros (IDE) na UE. O regulamento visa harmonizar os procedimentos nacionais e reforçar o mecanismo de cooperação da UE, assegurando o controlo público dos setores e programas críticos;</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salienta a importância de promover uma maior harmonização das normas nacionais que regem os IDE e dos mecanismos de análise, o que implica: i) determinar limiares coerentes para a análise dos IDE e prazos uniformes para as respostas; ii) estabelecer definições coerentes sobre os riscos para a segurança e a ordem pública; iii) reforçar as capacidades dos Estados-Membros para uma execução efetiva das tarefas de análise dos IDE;</w:t>
      </w:r>
    </w:p>
    <w:p w:rsidRPr="003567CE" w:rsidR="003567CE" w:rsidP="0088361D" w:rsidRDefault="003567CE" w14:paraId="035CA57A" w14:textId="77777777">
      <w:pPr>
        <w:widowControl w:val="0"/>
        <w:numPr>
          <w:ilvl w:val="0"/>
          <w:numId w:val="45"/>
        </w:numPr>
        <w:spacing w:before="10" w:after="10" w:line="276" w:lineRule="auto"/>
        <w:ind w:left="426"/>
      </w:pPr>
      <w:r>
        <w:t>solicita que se determinem os casos excecionais em que as instituições da UE possam proibir, limitar ou condicionar um IDE que comprometa programas ou projetos de interesse para a União, assegurando uma abordagem unificada para proteger a segurança e a ordem pública em todos os Estados-Membros. Para o efeito, a UE deve estabelecer procedimentos claros e definir as circunstâncias conducentes a uma análise dos investimentos que representem riscos significativos para os interesses da UE;</w:t>
      </w:r>
    </w:p>
    <w:p w:rsidRPr="003567CE" w:rsidR="003567CE" w:rsidP="0088361D" w:rsidRDefault="003567CE" w14:paraId="1444EF7F" w14:textId="77777777">
      <w:pPr>
        <w:widowControl w:val="0"/>
        <w:numPr>
          <w:ilvl w:val="0"/>
          <w:numId w:val="45"/>
        </w:numPr>
        <w:spacing w:before="10" w:after="10" w:line="276" w:lineRule="auto"/>
        <w:ind w:left="426"/>
      </w:pPr>
      <w:r>
        <w:t>propõe que se promova a aplicação do princípio da reciprocidade nos acordos comerciais, de investimento ou de associação com países terceiros e que se analisem os investimentos de países que restringem os investimentos da UE, a fim de assegurar um tratamento equilibrado e equitativo; a aplicação estrita seria decidida caso a caso. No quadro conceptual da autonomia estratégica e da estratégia de segurança económica, cabe continuar a promover os IDE para fomentar a competitividade sustentável;</w:t>
      </w:r>
    </w:p>
    <w:p w:rsidRPr="003567CE" w:rsidR="003567CE" w:rsidP="0088361D" w:rsidRDefault="003567CE" w14:paraId="33A49B20" w14:textId="77777777">
      <w:pPr>
        <w:widowControl w:val="0"/>
        <w:numPr>
          <w:ilvl w:val="0"/>
          <w:numId w:val="45"/>
        </w:numPr>
        <w:spacing w:before="10" w:after="10" w:line="276" w:lineRule="auto"/>
        <w:ind w:left="426"/>
      </w:pPr>
      <w:r>
        <w:t>solicita que se sujeitem a uma fiscalização especial os investimentos com origem em paraísos fiscais, exigindo pleno conhecimento dos beneficiários efetivos das empresas investidoras e analisando a legalidade dos fundos utilizados. Os Estados-Membros devem ponderar a possibilidade de abolir os chamados «vistos dourados», que permitem obter uma autorização de residência ou a nacionalidade de um país da UE;</w:t>
      </w:r>
    </w:p>
    <w:p w:rsidRPr="003567CE" w:rsidR="003567CE" w:rsidP="0088361D" w:rsidRDefault="003567CE" w14:paraId="4CDFF91C" w14:textId="77777777">
      <w:pPr>
        <w:widowControl w:val="0"/>
        <w:numPr>
          <w:ilvl w:val="0"/>
          <w:numId w:val="45"/>
        </w:numPr>
        <w:spacing w:before="10" w:after="10" w:line="276" w:lineRule="auto"/>
        <w:ind w:left="426"/>
      </w:pPr>
      <w:r>
        <w:t xml:space="preserve">salienta a necessidade de criar mecanismos para a participação dos parceiros sociais e das organizações da sociedade civil na política dos IDE e no respetivo controlo, tanto a nível da UE como a nível nacional, assegurando a transparência e a inclusão no processo de avaliação.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3567CE" w:rsidR="003567CE" w:rsidTr="001F2D6C" w14:paraId="0BDAEDE2" w14:textId="77777777">
        <w:tc>
          <w:tcPr>
            <w:tcW w:w="1951" w:type="dxa"/>
          </w:tcPr>
          <w:p w:rsidRPr="001F2D6C" w:rsidR="003567CE" w:rsidP="003567CE" w:rsidRDefault="003567CE" w14:paraId="75FDFE87" w14:textId="77777777">
            <w:pPr>
              <w:rPr>
                <w:i/>
              </w:rPr>
            </w:pPr>
            <w:r w:rsidRPr="001F2D6C">
              <w:rPr>
                <w:b/>
                <w:i/>
              </w:rPr>
              <w:t>Contacto</w:t>
            </w:r>
          </w:p>
        </w:tc>
        <w:tc>
          <w:tcPr>
            <w:tcW w:w="5670" w:type="dxa"/>
          </w:tcPr>
          <w:p w:rsidRPr="001F2D6C" w:rsidR="003567CE" w:rsidP="003567CE" w:rsidRDefault="003567CE" w14:paraId="2C1A667F" w14:textId="77777777">
            <w:pPr>
              <w:rPr>
                <w:i/>
              </w:rPr>
            </w:pPr>
            <w:r w:rsidRPr="001F2D6C">
              <w:rPr>
                <w:i/>
              </w:rPr>
              <w:t>Marco Ristori</w:t>
            </w:r>
          </w:p>
        </w:tc>
      </w:tr>
      <w:tr w:rsidRPr="003567CE" w:rsidR="003567CE" w:rsidTr="001F2D6C" w14:paraId="43A475CE" w14:textId="77777777">
        <w:tc>
          <w:tcPr>
            <w:tcW w:w="1951" w:type="dxa"/>
          </w:tcPr>
          <w:p w:rsidRPr="001F2D6C" w:rsidR="003567CE" w:rsidP="003567CE" w:rsidRDefault="003567CE" w14:paraId="68E49F1C" w14:textId="77777777">
            <w:pPr>
              <w:rPr>
                <w:i/>
              </w:rPr>
            </w:pPr>
            <w:r w:rsidRPr="001F2D6C">
              <w:rPr>
                <w:i/>
              </w:rPr>
              <w:t>Tel.</w:t>
            </w:r>
          </w:p>
        </w:tc>
        <w:tc>
          <w:tcPr>
            <w:tcW w:w="5670" w:type="dxa"/>
          </w:tcPr>
          <w:p w:rsidRPr="001F2D6C" w:rsidR="003567CE" w:rsidP="003567CE" w:rsidRDefault="003567CE" w14:paraId="25B8F53A" w14:textId="77777777">
            <w:pPr>
              <w:rPr>
                <w:i/>
              </w:rPr>
            </w:pPr>
            <w:r w:rsidRPr="001F2D6C">
              <w:rPr>
                <w:i/>
              </w:rPr>
              <w:t>+32 2 546 99 69</w:t>
            </w:r>
          </w:p>
        </w:tc>
      </w:tr>
      <w:tr w:rsidRPr="003567CE" w:rsidR="003567CE" w:rsidTr="001F2D6C" w14:paraId="25CC9356" w14:textId="77777777">
        <w:tc>
          <w:tcPr>
            <w:tcW w:w="1951" w:type="dxa"/>
          </w:tcPr>
          <w:p w:rsidRPr="001F2D6C" w:rsidR="003567CE" w:rsidP="003567CE" w:rsidRDefault="003567CE" w14:paraId="17484178" w14:textId="77777777">
            <w:pPr>
              <w:rPr>
                <w:i/>
              </w:rPr>
            </w:pPr>
            <w:r w:rsidRPr="001F2D6C">
              <w:rPr>
                <w:i/>
              </w:rPr>
              <w:t>Endereço eletrónico</w:t>
            </w:r>
          </w:p>
        </w:tc>
        <w:tc>
          <w:tcPr>
            <w:tcW w:w="5670" w:type="dxa"/>
          </w:tcPr>
          <w:p w:rsidRPr="001F2D6C" w:rsidR="003567CE" w:rsidP="003567CE" w:rsidRDefault="005C6487" w14:paraId="4A046612" w14:textId="77777777">
            <w:pPr>
              <w:rPr>
                <w:i/>
              </w:rPr>
            </w:pPr>
            <w:hyperlink w:history="1" r:id="rId36">
              <w:r w:rsidRPr="001F2D6C" w:rsidR="000B64C3">
                <w:rPr>
                  <w:i/>
                  <w:color w:val="0000FF"/>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006A7E31" w:rsidP="008C3078" w:rsidRDefault="00A72EDD" w14:paraId="07F93DE3" w14:textId="5E2145AE">
      <w:pPr>
        <w:pStyle w:val="TOC1"/>
      </w:pPr>
      <w:bookmarkStart w:name="_Toc172292802" w:id="9"/>
      <w:r>
        <w:lastRenderedPageBreak/>
        <w:t>7.</w:t>
      </w:r>
      <w:r>
        <w:tab/>
        <w:t>TRANSPORTES, ENERGIA, INFRAESTRUTURAS E SOCIEDADE DA INFORMAÇÃO</w:t>
      </w:r>
      <w:bookmarkEnd w:id="9"/>
    </w:p>
    <w:p w:rsidR="00160A67" w:rsidP="00160A67" w:rsidRDefault="00160A67" w14:paraId="2CBE297E" w14:textId="164A826B">
      <w:pPr>
        <w:rPr>
          <w:rFonts w:eastAsiaTheme="minorEastAsia"/>
        </w:rPr>
      </w:pPr>
    </w:p>
    <w:p w:rsidRPr="00200444" w:rsidR="00200444" w:rsidP="00200444" w:rsidRDefault="005C6487"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Digitalização do setor da energia: equilibrar os riscos e as oportunidades para os consumidores europeus</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Relator</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t>Kęstutis Kupšys (LT – Grupo das Organizações da Sociedade Civil)</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Referências</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Parecer de iniciativa</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O Comité Económico e Social Europeu:</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salienta que a digitalização está a tornar-se cada vez mais importante à luz da transição ecológica. Porém, a energia deve continuar a ser financeiramente acessível, ajustável e fácil de utilizar para os consumidores. Tal implica o desenvolvimento de ferramentas digitais intuitivas e capazes de satisfazer diferentes necessidades e de promover a igualdade de acesso aos serviços energéticos digitais. Os consumidores devem continuar a poder escolher preços, contratos e serviços ao cliente de uma forma «pré-digital»;</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destaca a prioridade da cibersegurança dos dados dos utilizadores. A digitalização amplifica a necessidade de criar regulamentação dinâmica em matéria de proteção do consumidor adaptada aos novos contextos e participantes no setor;</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salienta que a clivagem digital entre os consumidores que podem pagar para aceder a ferramentas digitais mais dispendiosas e os que não podem conduz a uma maior pobreza energética;</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recomenda que se ministre formação aos trabalhadores. As academias de indústrias de impacto zero devem ser promovidas junto de todas as partes interessadas, com destaque para as competências em matéria de eficiência energética.</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200444" w:rsidR="00200444" w:rsidTr="00265B60" w14:paraId="308752F8" w14:textId="77777777">
        <w:tc>
          <w:tcPr>
            <w:tcW w:w="1951"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Contacto</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Sarman Grilc </w:t>
            </w:r>
          </w:p>
        </w:tc>
      </w:tr>
      <w:tr w:rsidRPr="00200444" w:rsidR="00200444" w:rsidTr="00265B60" w14:paraId="4CB9B9D6" w14:textId="77777777">
        <w:tc>
          <w:tcPr>
            <w:tcW w:w="1951"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+32 2 546 83 33</w:t>
            </w:r>
          </w:p>
        </w:tc>
      </w:tr>
      <w:tr w:rsidRPr="00200444" w:rsidR="00200444" w:rsidTr="00265B60" w14:paraId="060AFC65" w14:textId="77777777">
        <w:tc>
          <w:tcPr>
            <w:tcW w:w="1951"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Endereço eletrónico</w:t>
            </w:r>
          </w:p>
        </w:tc>
        <w:tc>
          <w:tcPr>
            <w:tcW w:w="5670" w:type="dxa"/>
          </w:tcPr>
          <w:p w:rsidRPr="00200444" w:rsidR="00200444" w:rsidP="00200444" w:rsidRDefault="005C6487"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8C3078" w:rsidRDefault="003D6811" w14:paraId="5D209F0E" w14:textId="4471A438">
      <w:pPr>
        <w:pStyle w:val="TOC1"/>
        <w:rPr>
          <w:rFonts w:eastAsiaTheme="minorEastAsia"/>
        </w:rPr>
      </w:pPr>
      <w:bookmarkStart w:name="_Toc172292803" w:id="12"/>
      <w:r>
        <w:lastRenderedPageBreak/>
        <w:t xml:space="preserve">8. </w:t>
      </w:r>
      <w:r>
        <w:tab/>
        <w:t>COMISSÃO CONSULTIVA DAS MUTAÇÕES INDUSTRIAIS</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5C6487"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Construir o futuro com a natureza: impulsionar a biotecnologia e a biofabricação na UE</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Relator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(RO – Grupo dos Trabalhadores)</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Correlator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t>Antonello Pezzini (IT – Cat. 1)</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Referências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O Comité Económico e Social Europeu:</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lamenta que a UE ainda não disponha de uma </w:t>
      </w:r>
      <w:r>
        <w:rPr>
          <w:b/>
        </w:rPr>
        <w:t>estratégia para a bioeconomia</w:t>
      </w:r>
      <w:r>
        <w:t xml:space="preserve"> ou de um </w:t>
      </w:r>
      <w:r>
        <w:rPr>
          <w:b/>
        </w:rPr>
        <w:t>regulamento relativo à biotecnologia</w:t>
      </w:r>
      <w:r>
        <w:t>, considerando que, face à situação mundial, é urgente adotar essa legislação;</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propõe que a </w:t>
      </w:r>
      <w:r>
        <w:rPr>
          <w:b/>
        </w:rPr>
        <w:t>estratégia da UE para a bioeconomia se baseie numa abordagem setorial integrada</w:t>
      </w:r>
      <w:r>
        <w:t xml:space="preserve"> com metas específicas, incluindo uma agenda de investigação para os próximos 10 anos, uma lista de competências e a atribuição de um papel claro à sociedade civil;</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considera que importa ponderar a adoção e a promoção a nível mundial de um </w:t>
      </w:r>
      <w:r>
        <w:rPr>
          <w:b/>
        </w:rPr>
        <w:t>código ético para as empresas da UE e os produtos colocados no seu mercado</w:t>
      </w:r>
      <w:r>
        <w: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afirma que são necessárias </w:t>
      </w:r>
      <w:r>
        <w:rPr>
          <w:b/>
        </w:rPr>
        <w:t>medidas específicas</w:t>
      </w:r>
      <w:r>
        <w:t xml:space="preserve"> para </w:t>
      </w:r>
      <w:r>
        <w:rPr>
          <w:b/>
        </w:rPr>
        <w:t>desenvolver competências</w:t>
      </w:r>
      <w:r>
        <w:t xml:space="preserve"> e </w:t>
      </w:r>
      <w:r>
        <w:rPr>
          <w:b/>
        </w:rPr>
        <w:t>consolidar sinergias</w:t>
      </w:r>
      <w:r>
        <w:t xml:space="preserve"> entre os requisitos em matéria de aptidões relacionadas com a biotecnologia e as necessidades de biofabricação;</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propõe que o desenvolvimento da biotecnologia e da biofabricação na UE inclua </w:t>
      </w:r>
      <w:r>
        <w:rPr>
          <w:b/>
        </w:rPr>
        <w:t>indicadores setoriais</w:t>
      </w:r>
      <w:r>
        <w:t xml:space="preserve">, </w:t>
      </w:r>
      <w:r>
        <w:rPr>
          <w:b/>
        </w:rPr>
        <w:t>parcerias público-privadas</w:t>
      </w:r>
      <w:r>
        <w:t xml:space="preserve">, um </w:t>
      </w:r>
      <w:r>
        <w:rPr>
          <w:b/>
        </w:rPr>
        <w:t>sistema de investigação transetorial</w:t>
      </w:r>
      <w:r>
        <w:t xml:space="preserve">, uma </w:t>
      </w:r>
      <w:r>
        <w:rPr>
          <w:b/>
        </w:rPr>
        <w:t>base de dados que enumere os potenciais investidores</w:t>
      </w:r>
      <w:r>
        <w:t xml:space="preserve">, </w:t>
      </w:r>
      <w:r>
        <w:rPr>
          <w:b/>
        </w:rPr>
        <w:t>processos de autorização mais céleres e menos burocráticos</w:t>
      </w:r>
      <w:r>
        <w:t xml:space="preserve">, uma </w:t>
      </w:r>
      <w:r>
        <w:rPr>
          <w:b/>
        </w:rPr>
        <w:t>sinergia perfeita com os Objetivos de Desenvolvimento Sustentável e o Pacto Azul proposto</w:t>
      </w:r>
      <w:r>
        <w:t xml:space="preserve">, </w:t>
      </w:r>
      <w:r>
        <w:rPr>
          <w:b/>
        </w:rPr>
        <w:t>normas europeias e mundiais</w:t>
      </w:r>
      <w:r>
        <w:t xml:space="preserve"> específicas e harmonizadas, medidas para aumentar </w:t>
      </w:r>
      <w:r>
        <w:rPr>
          <w:b/>
        </w:rPr>
        <w:t>o apoio, a confiança e a educação do público</w:t>
      </w:r>
      <w:r>
        <w:t xml:space="preserve"> e uma </w:t>
      </w:r>
      <w:r>
        <w:rPr>
          <w:b/>
        </w:rPr>
        <w:t>maior clareza na distinção entre as competências nacionais e as competências partilhadas</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propõe que </w:t>
      </w:r>
      <w:r>
        <w:rPr>
          <w:b/>
        </w:rPr>
        <w:t>a biotecnologia e a biofabricação na UE sejam financiadas</w:t>
      </w:r>
      <w:r>
        <w:t xml:space="preserve"> tendo devidamente em conta uma</w:t>
      </w:r>
      <w:r>
        <w:rPr>
          <w:b/>
        </w:rPr>
        <w:t xml:space="preserve"> abordagem do Mecanismo de Recuperação e Resiliência (MRR), da Plataforma de Tecnologias Estratégicas para a Europa (STEP), do Banco Europeu de Investimento (BEI) e da política de coesão que assente em sinergias</w:t>
      </w:r>
      <w:r>
        <w:t xml:space="preserve">; considera que parte do dinheiro gerado pelos </w:t>
      </w:r>
      <w:r>
        <w:rPr>
          <w:b/>
        </w:rPr>
        <w:t>impostos ambientais</w:t>
      </w:r>
      <w:r>
        <w:t xml:space="preserve"> deve ser </w:t>
      </w:r>
      <w:r>
        <w:rPr>
          <w:b/>
        </w:rPr>
        <w:t>canalizado para o financiamento de produtos biotecnológicos ecológicos</w:t>
      </w:r>
      <w:r>
        <w:t xml:space="preserve"> e que se deve utilizar, nomeadamente </w:t>
      </w:r>
      <w:r>
        <w:rPr>
          <w:b/>
        </w:rPr>
        <w:t>de forma combinada, diferentes fontes financeiras e fundos</w:t>
      </w:r>
      <w:r>
        <w:t>, tais como empréstimos, capital de risco e fundos públicos.</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Contacto</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+32 2 546 83 20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CE7004" w:rsidR="00CE7004" w:rsidP="00CE7004" w:rsidRDefault="005C6487"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Combustíveis hipocarbónicos e renováveis: reforçar a capacidade da indústria europeia para descarbonizar os setores da aviação e dos transportes marítimos num espírito de autonomia europeia</w:t>
        </w:r>
      </w:hyperlink>
    </w:p>
    <w:p w:rsidRPr="00D742A4" w:rsidR="00D742A4" w:rsidP="00345F5E" w:rsidRDefault="00D742A4" w14:paraId="5462D4FB" w14:textId="77777777">
      <w:pPr>
        <w:widowControl w:val="0"/>
        <w:tabs>
          <w:tab w:val="left" w:pos="1843"/>
        </w:tabs>
        <w:overflowPunct w:val="0"/>
        <w:autoSpaceDE w:val="0"/>
        <w:autoSpaceDN w:val="0"/>
        <w:adjustRightInd w:val="0"/>
        <w:spacing w:line="168" w:lineRule="auto"/>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Relator </w:t>
      </w:r>
      <w:r>
        <w:rPr>
          <w:b/>
          <w:sz w:val="20"/>
        </w:rPr>
        <w:tab/>
      </w:r>
      <w:r>
        <w:rPr>
          <w:sz w:val="20"/>
        </w:rPr>
        <w:t>Anastasis Yiapanis (CY – Grupo das Organizações da Sociedade Civil)</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Correlator</w:t>
      </w:r>
      <w:r>
        <w:rPr>
          <w:b/>
          <w:sz w:val="20"/>
        </w:rPr>
        <w:tab/>
      </w:r>
      <w:r>
        <w:rPr>
          <w:sz w:val="20"/>
        </w:rPr>
        <w:t>Franck Uhlig (FR – Cat. 2)</w:t>
      </w:r>
    </w:p>
    <w:p w:rsidRPr="0088361D" w:rsidR="00D742A4" w:rsidP="00345F5E" w:rsidRDefault="00D742A4" w14:paraId="43A4D836" w14:textId="77777777">
      <w:pPr>
        <w:widowControl w:val="0"/>
        <w:tabs>
          <w:tab w:val="left" w:pos="1843"/>
        </w:tabs>
        <w:overflowPunct w:val="0"/>
        <w:autoSpaceDE w:val="0"/>
        <w:autoSpaceDN w:val="0"/>
        <w:adjustRightInd w:val="0"/>
        <w:spacing w:line="168" w:lineRule="auto"/>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Referências</w:t>
      </w:r>
      <w:r>
        <w:rPr>
          <w:b/>
          <w:sz w:val="20"/>
        </w:rPr>
        <w:tab/>
      </w:r>
      <w:r>
        <w:rPr>
          <w:sz w:val="20"/>
        </w:rPr>
        <w:t>Parecer de iniciativa</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345F5E" w:rsidRDefault="00D742A4" w14:paraId="4F3ECFB4" w14:textId="40855988">
      <w:pPr>
        <w:widowControl w:val="0"/>
        <w:tabs>
          <w:tab w:val="left" w:pos="1843"/>
        </w:tabs>
        <w:overflowPunct w:val="0"/>
        <w:autoSpaceDE w:val="0"/>
        <w:autoSpaceDN w:val="0"/>
        <w:adjustRightInd w:val="0"/>
        <w:spacing w:line="168" w:lineRule="auto"/>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Pontos principais</w:t>
      </w:r>
    </w:p>
    <w:p w:rsidRPr="00D742A4" w:rsidR="00D742A4" w:rsidP="00D742A4" w:rsidRDefault="00D742A4" w14:paraId="696A7DF5" w14:textId="77777777">
      <w:pPr>
        <w:spacing w:after="160" w:line="259" w:lineRule="auto"/>
        <w:jc w:val="left"/>
        <w:rPr>
          <w:rFonts w:eastAsiaTheme="minorHAnsi"/>
        </w:rPr>
      </w:pPr>
      <w:r>
        <w:t>O Comité Económico e Social Europeu:</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observa a </w:t>
      </w:r>
      <w:r>
        <w:rPr>
          <w:b/>
        </w:rPr>
        <w:t>ausência de incentivos</w:t>
      </w:r>
      <w:r>
        <w:t xml:space="preserve"> para o desenvolvimento de projetos de produção de combustíveis sustentáveis e hipocarbónicos; assinala os </w:t>
      </w:r>
      <w:r>
        <w:rPr>
          <w:b/>
        </w:rPr>
        <w:t>elevados custos de produção e a incerteza quanto à disponibilidade de combustíveis sustentáveis</w:t>
      </w:r>
      <w:r>
        <w:t xml:space="preserve"> enquanto obstáculos significativos à sua adoção generalizada;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entende que </w:t>
      </w:r>
      <w:r>
        <w:rPr>
          <w:b/>
        </w:rPr>
        <w:t>a falta de produção de combustíveis sustentáveis na UE teria um impacto negativo na autonomia estratégica da UE</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salienta a necessidade de </w:t>
      </w:r>
      <w:r>
        <w:rPr>
          <w:b/>
        </w:rPr>
        <w:t>preservar e reforçar a competitividade da indústria da UE</w:t>
      </w:r>
      <w:r>
        <w:t xml:space="preserve"> face à intensa concorrência mundial;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defende a elaboração de </w:t>
      </w:r>
      <w:r>
        <w:rPr>
          <w:b/>
        </w:rPr>
        <w:t>um roteiro abrangente para aumentar a utilização de combustíveis sustentáveis na aviação</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considera que o desafio </w:t>
      </w:r>
      <w:r>
        <w:rPr>
          <w:b/>
        </w:rPr>
        <w:t>para o setor dos transportes marítimos</w:t>
      </w:r>
      <w:r>
        <w:t xml:space="preserve"> consiste na </w:t>
      </w:r>
      <w:r>
        <w:rPr>
          <w:b/>
        </w:rPr>
        <w:t>criação das infraestruturas de abastecimento de combustível nos portos a nível mundial para abastecer os navios com combustíveis alternativos</w:t>
      </w:r>
      <w:r>
        <w:t>;</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salienta o risco de </w:t>
      </w:r>
      <w:r>
        <w:rPr>
          <w:b/>
        </w:rPr>
        <w:t>uma eventual escassez de recursos de matérias-primas disponíveis e dos volumes de energia descarbonizada</w:t>
      </w:r>
      <w:r>
        <w:t xml:space="preserve"> necessários à transição para o fabrico de combustíveis sustentáveis;</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exorta a que </w:t>
      </w:r>
      <w:r>
        <w:rPr>
          <w:b/>
        </w:rPr>
        <w:t>se estabeleçam condições regulamentares coerentes que impulsionem os investimentos, com incentivos para estimular a produção imediata e cultivar um mercado de combustíveis com uma pegada de carbono reduzida</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propõe o </w:t>
      </w:r>
      <w:r>
        <w:rPr>
          <w:b/>
        </w:rPr>
        <w:t>alinhamento da tributação de cada combustível com o respetivo impacto climático</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manifesta-se desiludido pelo facto de </w:t>
      </w:r>
      <w:r>
        <w:rPr>
          <w:b/>
        </w:rPr>
        <w:t>as subvenções e os subsídios da UE não darem prioridade suficiente às infraestruturas de produção de combustíveis hipocarbónicos e renováveis para os setores da aviação e dos transportes marítimos</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considera as </w:t>
      </w:r>
      <w:r>
        <w:rPr>
          <w:b/>
        </w:rPr>
        <w:t>atividades de investigação e desenvolvimento (I&amp;D) essenciais para reduzir os custos</w:t>
      </w:r>
      <w:r>
        <w:t xml:space="preserve"> das tecnologias hipocarbónicas avançadas;</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apela para </w:t>
      </w:r>
      <w:r>
        <w:rPr>
          <w:b/>
        </w:rPr>
        <w:t>uma estratégia abrangente em prol de uma transição de cadeias de valor industriais inteiras para energias limpas, que contemple o hidrogénio, o aumento dos biocombustíveis, a expansão dos combustíveis sintéticos e a prossecução das parcerias setoriais existentes no âmbito do programa sucessor do Horizonte Europa</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considera necessário dispor de </w:t>
      </w:r>
      <w:r>
        <w:rPr>
          <w:b/>
        </w:rPr>
        <w:t>programas de desenvolvimento de competências</w:t>
      </w:r>
      <w:r>
        <w:t xml:space="preserve">, incluindo a formação profissional e o apoio às transições profissionais; reitera a </w:t>
      </w:r>
      <w:r>
        <w:rPr>
          <w:b/>
        </w:rPr>
        <w:t>prioridade de assegurar normas de alto nível em matéria de saúde e segurança</w:t>
      </w:r>
      <w:r>
        <w:t xml:space="preserve">. </w:t>
      </w:r>
    </w:p>
    <w:p w:rsidRPr="00D742A4" w:rsidR="005864FB" w:rsidP="00345F5E" w:rsidRDefault="005864FB" w14:paraId="5C987679" w14:textId="77777777">
      <w:pPr>
        <w:spacing w:after="160" w:line="168" w:lineRule="auto"/>
        <w:ind w:left="357"/>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Contacto</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Adam Dorywalski</w:t>
            </w:r>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+32 2 546 93 97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Endereço eletrónico</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RDefault="00747EBB" w14:paraId="01E63EDD" w14:textId="77777777">
      <w:pPr>
        <w:spacing w:after="160" w:line="259" w:lineRule="auto"/>
        <w:jc w:val="left"/>
        <w:rPr>
          <w:rFonts w:eastAsiaTheme="minorHAnsi"/>
          <w:b/>
          <w:bCs/>
          <w:i/>
          <w:iCs/>
          <w:sz w:val="28"/>
          <w:szCs w:val="28"/>
        </w:rPr>
      </w:pPr>
      <w: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Materiais avançados para a liderança industrial</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Relator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t>Anastasis Yiapanis (CY – Grupo das Organizações da Sociedade Civil)</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Correlator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Gerardo Luis Arroyo Herranz (ES – Cat.1)</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Referências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O Comité Económico e Social Europeu:</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considera que a comunicação da Comissão sobre materiais avançados para a liderança industrial não pode ser encarada como uma estratégia em si mesma, pois carece de metas quantificáveis e de prazos e indicadores-chave de desempenho específicos que apoiem a sua implementação;</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entende que a UE necessita de uma abordagem holística para reduzir o consumo de materiais, promover a circularidade e facilitar a transição para modelos empresariais e padrões de consumo sustentáveis.</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assinala que a construção de um ecossistema complexo de materiais avançados exige uma estratégia abrangente com financiamento consequente e incentivos, a disponibilidade de competências adequadas, bem como apoio político de alto nível;</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congratula-se com a parceria UE-Japão no domínio dos materiais avançados e considera que essas iniciativas devem ser alargadas a outros países proeminentes;</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considera fundamental promover a competitividade no domínio da investigação, do desenvolvimento e da inovação através da participação dos intervenientes industriais, dos poderes públicos, dos parceiros sociais e do meio académico, bem como da criação de uma rede de infraestruturas de investigação transfronteiriça integrada;</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propõe a inclusão dos cuidados de saúde enquanto domínio estratégico inicial adicional, uma vez que representa uma das maiores indústrias da Europa que utiliza materiais avançados muitas vezes comuns a setores como a eletrónica e a energia;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salienta a importância de integrar as tecnologias e inovações digitais nos processos de desenvolvimento de materiais;</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apoia a introdução de passaportes digitais dos produtos, que incluam normas de informação e dados pormenorizados sobre todo o ciclo, desde a produção até à reciclagem, mas adverte contra a criação de burocracia ou custos adicionais para as empresas ou os consumidores;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considera necessário reforçar a produção europeia, apoiar a comercialização, racionalizar o acesso ao mercado e melhorar a fiscalização do mercado neste domínio.</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Contacto</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Heli Niemelä-Farrer</w:t>
            </w:r>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+32 2 282 24 64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A773FA" w:rsidR="00570D62" w:rsidP="00D76388" w:rsidRDefault="005C6487"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5C6487">
      <w:fldChar w:fldCharType="begin"/>
    </w:r>
    <w:r w:rsidR="005C6487">
      <w:instrText xml:space="preserve"> NUMPAGES </w:instrText>
    </w:r>
    <w:r w:rsidR="005C6487">
      <w:fldChar w:fldCharType="separate"/>
    </w:r>
    <w:r w:rsidR="000B64C3">
      <w:t>2</w:t>
    </w:r>
    <w:r w:rsidR="005C64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5C6487">
      <w:fldChar w:fldCharType="begin"/>
    </w:r>
    <w:r w:rsidR="005C6487">
      <w:instrText xml:space="preserve"> NUMPAGES </w:instrText>
    </w:r>
    <w:r w:rsidR="005C6487">
      <w:fldChar w:fldCharType="separate"/>
    </w:r>
    <w:r>
      <w:t>16</w:t>
    </w:r>
    <w:r w:rsidR="005C648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2D6C"/>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5B60"/>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5F5E"/>
    <w:rsid w:val="003465B5"/>
    <w:rsid w:val="00346B57"/>
    <w:rsid w:val="00347160"/>
    <w:rsid w:val="00347F9A"/>
    <w:rsid w:val="003505DD"/>
    <w:rsid w:val="00350A12"/>
    <w:rsid w:val="00350F5C"/>
    <w:rsid w:val="00351248"/>
    <w:rsid w:val="003512EC"/>
    <w:rsid w:val="0035145B"/>
    <w:rsid w:val="00351F56"/>
    <w:rsid w:val="00351FC0"/>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448"/>
    <w:rsid w:val="004625BD"/>
    <w:rsid w:val="00462B31"/>
    <w:rsid w:val="00462FB3"/>
    <w:rsid w:val="00463300"/>
    <w:rsid w:val="00463D55"/>
    <w:rsid w:val="004646AF"/>
    <w:rsid w:val="00464E60"/>
    <w:rsid w:val="00465427"/>
    <w:rsid w:val="004655F9"/>
    <w:rsid w:val="004656EF"/>
    <w:rsid w:val="0046592D"/>
    <w:rsid w:val="0046631E"/>
    <w:rsid w:val="00466CD9"/>
    <w:rsid w:val="00467972"/>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4B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5FD1"/>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487"/>
    <w:rsid w:val="005C6A74"/>
    <w:rsid w:val="005C72B5"/>
    <w:rsid w:val="005C7902"/>
    <w:rsid w:val="005C7C47"/>
    <w:rsid w:val="005D0AE8"/>
    <w:rsid w:val="005D0F59"/>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7C6"/>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67ED9"/>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0C5"/>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01F"/>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078"/>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A7CDC"/>
    <w:rsid w:val="009B0CDF"/>
    <w:rsid w:val="009B0E36"/>
    <w:rsid w:val="009B17D8"/>
    <w:rsid w:val="009B2ADD"/>
    <w:rsid w:val="009B2FE9"/>
    <w:rsid w:val="009B37E5"/>
    <w:rsid w:val="009B3AF4"/>
    <w:rsid w:val="009B4A5B"/>
    <w:rsid w:val="009B5741"/>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042C"/>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57AD0"/>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C3B"/>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430"/>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D9F"/>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408"/>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2F2B"/>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07A"/>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4CC5"/>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C3078"/>
    <w:pPr>
      <w:tabs>
        <w:tab w:val="left" w:pos="440"/>
        <w:tab w:val="right" w:leader="dot" w:pos="9063"/>
      </w:tabs>
      <w:spacing w:before="240" w:line="168" w:lineRule="auto"/>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pt-P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pt/our-work/opinions-information-reports/opinions/eu-biotech-and-biomanufacturing-initiative" TargetMode="External"/><Relationship Id="rId21" Type="http://schemas.openxmlformats.org/officeDocument/2006/relationships/hyperlink" Target="https://www.eesc.europa.eu/pt/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pt/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pt/our-work/opinions-information-reports/opinions/general-fisheries-commission-mediterranean" TargetMode="External"/><Relationship Id="rId37" Type="http://schemas.openxmlformats.org/officeDocument/2006/relationships/hyperlink" Target="https://www.eesc.europa.eu/pt/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pt/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pt/our-work/opinions-information-reports/opinions/caregivers" TargetMode="External"/><Relationship Id="rId30" Type="http://schemas.openxmlformats.org/officeDocument/2006/relationships/hyperlink" Target="https://www.eesc.europa.eu/pt/our-work/opinions-information-reports/opinions/proposal-council-recommendation-enhancing-research-security" TargetMode="External"/><Relationship Id="rId35" Type="http://schemas.openxmlformats.org/officeDocument/2006/relationships/hyperlink" Target="https://www.eesc.europa.eu/pt/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p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pt/our-work/opinions-information-reports/opinions/no-one-should-be-left-behind-inclusive-and-participatory-cohesion-policy-support-social-economic-and-territorial" TargetMode="External"/><Relationship Id="rId41" Type="http://schemas.openxmlformats.org/officeDocument/2006/relationships/hyperlink" Target="https://www.eesc.europa.eu/pt/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F7M6YNZUATRX-789077548-3237</_dlc_DocId>
    <_dlc_DocIdUrl xmlns="59ace41b-6786-4ce3-be71-52c27066c6ef">
      <Url>http://dm/eesc/2024/_layouts/15/DocIdRedir.aspx?ID=F7M6YNZUATRX-789077548-3237</Url>
      <Description>F7M6YNZUATRX-789077548-3237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Rodrigues Dias Aline</DisplayName>
        <AccountId>1534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DC95F397-069A-489D-B23B-F51EFB2E00B2}"/>
</file>

<file path=customXml/itemProps2.xml><?xml version="1.0" encoding="utf-8"?>
<ds:datastoreItem xmlns:ds="http://schemas.openxmlformats.org/officeDocument/2006/customXml" ds:itemID="{551D9BF9-FD29-4A03-8F5C-720A24D39B5D}"/>
</file>

<file path=customXml/itemProps3.xml><?xml version="1.0" encoding="utf-8"?>
<ds:datastoreItem xmlns:ds="http://schemas.openxmlformats.org/officeDocument/2006/customXml" ds:itemID="{E5E14606-277E-46AF-9FD4-6A3E89D60878}"/>
</file>

<file path=customXml/itemProps4.xml><?xml version="1.0" encoding="utf-8"?>
<ds:datastoreItem xmlns:ds="http://schemas.openxmlformats.org/officeDocument/2006/customXml" ds:itemID="{7956F43A-0260-4883-86B1-645F33EF86EB}"/>
</file>

<file path=docProps/app.xml><?xml version="1.0" encoding="utf-8"?>
<Properties xmlns="http://schemas.openxmlformats.org/officeDocument/2006/extended-properties" xmlns:vt="http://schemas.openxmlformats.org/officeDocument/2006/docPropsVTypes">
  <Template>Normal.dotm</Template>
  <TotalTime>0</TotalTime>
  <Pages>16</Pages>
  <Words>5563</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Síntese dos Pareceres - 589.ª reunião plenária - Julho de 2024</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Rodrigues Dias Aline</cp:lastModifiedBy>
  <cp:revision>32</cp:revision>
  <cp:lastPrinted>2023-06-15T08:00:00Z</cp:lastPrinted>
  <dcterms:created xsi:type="dcterms:W3CDTF">2024-07-19T11:45:00Z</dcterms:created>
  <dcterms:modified xsi:type="dcterms:W3CDTF">2024-07-19T13:03:00Z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51f262e7-e985-4913-8c48-788434005c2d</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SV|c2ed69e7-a339-43d7-8f22-d93680a92aa0;BG|1a1b3951-7821-4e6a-85f5-5673fc08bd2c;EN|f2175f21-25d7-44a3-96da-d6a61b075e1b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22;#BG|1a1b3951-7821-4e6a-85f5-5673fc08bd2c;#13;#TCD|cd9d6eb6-3f4f-424a-b2d1-57c9d450eaaf;#8;#Final|ea5e6674-7b27-4bac-b091-73adbb394efe;#7;#SPL-CES|32d8cb1f-c9ec-4365-95c7-8385a18618ac;#6;#Unrestricted|826e22d7-d029-4ec0-a450-0c28ff673572;#5;#EN|f2175f21-25d7-44a3-96da-d6a61b075e1b;#21;#SV|c2ed69e7-a339-43d7-8f22-d93680a92aa0;#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36;#PT|50ccc04a-eadd-42ae-a0cb-acaf45f812ba</vt:lpwstr>
  </property>
  <property fmtid="{D5CDD505-2E9C-101B-9397-08002B2CF9AE}" pid="38" name="_docset_NoMedatataSyncRequired">
    <vt:lpwstr>False</vt:lpwstr>
  </property>
</Properties>
</file>