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4B6B" w:rsidR="004D7AC0" w:rsidP="00775FC4" w:rsidRDefault="00133A01" w14:paraId="785AE44C" w14:textId="1703F60D">
      <w:pPr>
        <w:jc w:val="center"/>
      </w:pPr>
      <w:r>
        <w:t xml:space="preserve"> </w:t>
      </w:r>
      <w:r w:rsidR="0034321F">
        <w:rPr>
          <w:noProof/>
        </w:rPr>
        <w:drawing>
          <wp:inline distT="0" distB="0" distL="0" distR="0" wp14:anchorId="193929D9" wp14:editId="1FD788E8">
            <wp:extent cx="1792605" cy="1239520"/>
            <wp:effectExtent l="0" t="0" r="0" b="0"/>
            <wp:docPr id="2" name="Picture 2" title="EESCLogo_PL"/>
            <wp:cNvGraphicFramePr/>
            <a:graphic xmlns:a="http://schemas.openxmlformats.org/drawingml/2006/main">
              <a:graphicData uri="http://schemas.openxmlformats.org/drawingml/2006/picture">
                <pic:pic xmlns:pic="http://schemas.openxmlformats.org/drawingml/2006/picture">
                  <pic:nvPicPr>
                    <pic:cNvPr id="2" name="Picture 2" title="EESCLogo_P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21342">
        <w:rPr>
          <w:noProof/>
          <w:sz w:val="20"/>
        </w:rPr>
        <mc:AlternateContent>
          <mc:Choice Requires="wps">
            <w:drawing>
              <wp:anchor distT="0" distB="0" distL="114300" distR="114300" simplePos="0" relativeHeight="251657216" behindDoc="1" locked="0" layoutInCell="0" allowOverlap="1" wp14:editId="1F7D1E19"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PL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PL</w:t>
                      </w:r>
                    </w:p>
                  </w:txbxContent>
                </v:textbox>
                <w10:wrap anchorx="page" anchory="page"/>
              </v:shape>
            </w:pict>
          </mc:Fallback>
        </mc:AlternateContent>
      </w:r>
    </w:p>
    <w:p w:rsidRPr="00094B6B" w:rsidR="004D7AC0" w:rsidP="00775FC4" w:rsidRDefault="004D7AC0" w14:paraId="51F52D79" w14:textId="77777777"/>
    <w:p w:rsidRPr="00094B6B" w:rsidR="004D7AC0" w:rsidP="00775FC4" w:rsidRDefault="00014C93" w14:paraId="45DE4A28" w14:textId="052B1CED">
      <w:pPr>
        <w:jc w:val="right"/>
      </w:pPr>
      <w:r>
        <w:t>Bruksela, 16 września 2024 r.</w:t>
      </w:r>
    </w:p>
    <w:p w:rsidRPr="00094B6B" w:rsidR="004D7AC0" w:rsidP="00775FC4" w:rsidRDefault="004D7AC0" w14:paraId="6B250092" w14:textId="77777777"/>
    <w:p w:rsidRPr="00094B6B" w:rsidR="004D7AC0" w:rsidP="00775FC4" w:rsidRDefault="004D7AC0" w14:paraId="0593C6DF" w14:textId="77777777"/>
    <w:tbl>
      <w:tblPr>
        <w:tblW w:w="0" w:type="auto"/>
        <w:tblLook w:val="04A0" w:firstRow="1" w:lastRow="0" w:firstColumn="1" w:lastColumn="0" w:noHBand="0" w:noVBand="1"/>
      </w:tblPr>
      <w:tblGrid>
        <w:gridCol w:w="9289"/>
      </w:tblGrid>
      <w:tr w:rsidRPr="00094B6B" w:rsidR="004D7AC0" w:rsidTr="00662436" w14:paraId="6D7B3453" w14:textId="77777777">
        <w:tc>
          <w:tcPr>
            <w:tcW w:w="9289" w:type="dxa"/>
            <w:tcBorders>
              <w:bottom w:val="double" w:color="auto" w:sz="4" w:space="0"/>
            </w:tcBorders>
          </w:tcPr>
          <w:p w:rsidRPr="00094B6B" w:rsidR="001760E9" w:rsidP="00775FC4" w:rsidRDefault="00DA2D88" w14:paraId="3B286D4E" w14:textId="6201594E">
            <w:pPr>
              <w:snapToGrid w:val="0"/>
              <w:jc w:val="center"/>
              <w:rPr>
                <w:b/>
                <w:sz w:val="32"/>
              </w:rPr>
            </w:pPr>
            <w:r>
              <w:rPr>
                <w:b/>
                <w:sz w:val="32"/>
              </w:rPr>
              <w:t>589. SESJA PLENARNA</w:t>
            </w:r>
          </w:p>
          <w:p w:rsidRPr="00094B6B" w:rsidR="001760E9" w:rsidP="00775FC4" w:rsidRDefault="001760E9" w14:paraId="6C87A626" w14:textId="0AE2882C">
            <w:pPr>
              <w:snapToGrid w:val="0"/>
              <w:jc w:val="center"/>
              <w:rPr>
                <w:b/>
                <w:sz w:val="32"/>
              </w:rPr>
            </w:pPr>
          </w:p>
          <w:p w:rsidRPr="00094B6B" w:rsidR="001760E9" w:rsidP="00775FC4" w:rsidRDefault="00026AF7" w14:paraId="6CF7229C" w14:textId="5FF829C8">
            <w:pPr>
              <w:snapToGrid w:val="0"/>
              <w:jc w:val="center"/>
              <w:rPr>
                <w:b/>
                <w:sz w:val="32"/>
              </w:rPr>
            </w:pPr>
            <w:r>
              <w:rPr>
                <w:b/>
                <w:sz w:val="32"/>
              </w:rPr>
              <w:t>10–11 lipca 2024 r.</w:t>
            </w:r>
          </w:p>
          <w:p w:rsidRPr="00094B6B" w:rsidR="001760E9" w:rsidP="00775FC4" w:rsidRDefault="001760E9" w14:paraId="0C44BD01" w14:textId="2F8EBB07">
            <w:pPr>
              <w:snapToGrid w:val="0"/>
              <w:jc w:val="center"/>
              <w:rPr>
                <w:b/>
                <w:sz w:val="32"/>
              </w:rPr>
            </w:pPr>
          </w:p>
          <w:p w:rsidRPr="00094B6B" w:rsidR="004D7AC0" w:rsidP="00775FC4" w:rsidRDefault="00CF2F88" w14:paraId="114106CC" w14:textId="11A9DA7B">
            <w:pPr>
              <w:snapToGrid w:val="0"/>
              <w:jc w:val="center"/>
              <w:rPr>
                <w:rFonts w:eastAsia="MS Mincho"/>
                <w:b/>
                <w:sz w:val="32"/>
                <w:szCs w:val="32"/>
              </w:rPr>
            </w:pPr>
            <w:r>
              <w:rPr>
                <w:b/>
                <w:sz w:val="32"/>
              </w:rPr>
              <w:t>STRESZCZENIE PRZYJĘTYCH OPINII, REZOLUCJI ORAZ RAPORTÓW INFORMACYJNYCH/RAPORTÓW Z OCENY</w:t>
            </w:r>
          </w:p>
          <w:p w:rsidRPr="00094B6B" w:rsidR="004D7AC0" w:rsidP="00775FC4" w:rsidRDefault="004D7AC0" w14:paraId="06AE72EA" w14:textId="77777777">
            <w:pPr>
              <w:snapToGrid w:val="0"/>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775FC4" w:rsidRDefault="004D7AC0" w14:paraId="0A87E35B" w14:textId="77777777">
            <w:pPr>
              <w:snapToGrid w:val="0"/>
              <w:jc w:val="center"/>
            </w:pPr>
            <w:r>
              <w:t>Niniejszy dokument jest dostępny w językach urzędowych Unii Europejskiej na stronie internetowej EKES-u pod adresem:</w:t>
            </w:r>
          </w:p>
          <w:p w:rsidRPr="00094B6B" w:rsidR="00B16284" w:rsidP="00775FC4" w:rsidRDefault="00B16284" w14:paraId="4F26A4CE" w14:textId="77777777">
            <w:pPr>
              <w:snapToGrid w:val="0"/>
              <w:jc w:val="center"/>
            </w:pPr>
          </w:p>
          <w:p w:rsidRPr="00094B6B" w:rsidR="004D7AC0" w:rsidP="00775FC4" w:rsidRDefault="00EE19DE" w14:paraId="2A9352A2" w14:textId="0680ADB6">
            <w:pPr>
              <w:snapToGrid w:val="0"/>
              <w:jc w:val="center"/>
            </w:pPr>
            <w:hyperlink w:history="1" r:id="rId12">
              <w:r w:rsidR="000B64C3">
                <w:rPr>
                  <w:rStyle w:val="Hyperlink"/>
                  <w:highlight w:val="yellow"/>
                </w:rPr>
                <w:t>https://www.eesc.europa.eu/pl/our-work/opinions-information-reports/plenary-session-summaries</w:t>
              </w:r>
            </w:hyperlink>
          </w:p>
          <w:p w:rsidRPr="00094B6B" w:rsidR="004D7AC0" w:rsidP="00775FC4" w:rsidRDefault="004D7AC0" w14:paraId="70D5DBB4" w14:textId="77777777">
            <w:pPr>
              <w:snapToGrid w:val="0"/>
              <w:jc w:val="center"/>
            </w:pPr>
          </w:p>
          <w:p w:rsidRPr="00094B6B" w:rsidR="004D7AC0" w:rsidP="00775FC4" w:rsidRDefault="004D7AC0" w14:paraId="575A73D6" w14:textId="77777777">
            <w:pPr>
              <w:snapToGrid w:val="0"/>
              <w:jc w:val="center"/>
              <w:rPr>
                <w:rFonts w:eastAsia="SimSun"/>
              </w:rPr>
            </w:pPr>
          </w:p>
          <w:p w:rsidRPr="00094B6B" w:rsidR="00B16284" w:rsidP="00775FC4" w:rsidRDefault="004D7AC0" w14:paraId="1C64BC20" w14:textId="77777777">
            <w:pPr>
              <w:snapToGrid w:val="0"/>
              <w:jc w:val="center"/>
            </w:pPr>
            <w:r>
              <w:t>Niżej wymienione opinie można także znaleźć w formie elektronicznej za pomocą internetowej wyszukiwarki EKES-u:</w:t>
            </w:r>
          </w:p>
          <w:p w:rsidRPr="00094B6B" w:rsidR="00B16284" w:rsidP="00775FC4" w:rsidRDefault="00B16284" w14:paraId="7A5411A5" w14:textId="77777777">
            <w:pPr>
              <w:snapToGrid w:val="0"/>
              <w:jc w:val="center"/>
            </w:pPr>
          </w:p>
          <w:p w:rsidRPr="00094B6B" w:rsidR="004D7AC0" w:rsidP="00775FC4" w:rsidRDefault="00EE19DE" w14:paraId="441AC4DD" w14:textId="1194D751">
            <w:pPr>
              <w:snapToGrid w:val="0"/>
              <w:jc w:val="center"/>
            </w:pPr>
            <w:hyperlink w:history="1" r:id="rId13">
              <w:r w:rsidR="000B64C3">
                <w:rPr>
                  <w:rStyle w:val="Hyperlink"/>
                </w:rPr>
                <w:t>https://dmsearch.eesc.europa.eu/search/opinion</w:t>
              </w:r>
            </w:hyperlink>
          </w:p>
          <w:p w:rsidRPr="00094B6B" w:rsidR="004D7AC0" w:rsidP="00775FC4" w:rsidRDefault="004D7AC0" w14:paraId="51FF303F" w14:textId="77777777">
            <w:pPr>
              <w:snapToGrid w:val="0"/>
              <w:jc w:val="center"/>
            </w:pPr>
          </w:p>
        </w:tc>
      </w:tr>
    </w:tbl>
    <w:p w:rsidRPr="00094B6B" w:rsidR="004D7AC0" w:rsidP="00775FC4" w:rsidRDefault="004D7AC0" w14:paraId="57C291FC" w14:textId="77777777"/>
    <w:p w:rsidRPr="00094B6B" w:rsidR="004D7AC0" w:rsidP="00775FC4" w:rsidRDefault="004D7AC0" w14:paraId="5E675360" w14:textId="77777777"/>
    <w:p w:rsidRPr="00094B6B" w:rsidR="005A29D5" w:rsidP="00775FC4" w:rsidRDefault="005A29D5" w14:paraId="3CF67A1E" w14:textId="77777777">
      <w:pPr>
        <w:sectPr w:rsidRPr="00094B6B" w:rsidR="005A29D5" w:rsidSect="0071141F">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E31152" w:rsidR="00E31152" w:rsidP="00775FC4" w:rsidRDefault="0014322B" w14:paraId="0D3450B1" w14:textId="72CD896C">
      <w:pPr>
        <w:keepNext/>
        <w:keepLines/>
        <w:ind w:hanging="284"/>
        <w:jc w:val="left"/>
        <w:rPr>
          <w:rFonts w:asciiTheme="majorHAnsi" w:hAnsiTheme="majorHAnsi" w:eastAsiaTheme="majorEastAsia" w:cstheme="majorBidi"/>
          <w:color w:val="2E74B5" w:themeColor="accent1" w:themeShade="BF"/>
          <w:sz w:val="32"/>
          <w:szCs w:val="32"/>
        </w:rPr>
      </w:pPr>
      <w:r>
        <w:rPr>
          <w:rFonts w:asciiTheme="majorHAnsi" w:hAnsiTheme="majorHAnsi"/>
          <w:color w:val="2E74B5" w:themeColor="accent1" w:themeShade="BF"/>
          <w:sz w:val="32"/>
        </w:rPr>
        <w:lastRenderedPageBreak/>
        <w:t>Treść:</w:t>
      </w:r>
    </w:p>
    <w:p w:rsidR="0019161A" w:rsidRDefault="0014322B" w14:paraId="5AAFE638" w14:textId="127E9282">
      <w:pPr>
        <w:pStyle w:val="TOC1"/>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pPr>
      <w:r>
        <w:fldChar w:fldCharType="begin"/>
      </w:r>
      <w:r>
        <w:instrText xml:space="preserve"> TOC \o "1-1" \h \z \u </w:instrText>
      </w:r>
      <w:r>
        <w:fldChar w:fldCharType="separate"/>
      </w:r>
      <w:hyperlink w:history="1" w:anchor="_Toc172708161">
        <w:r w:rsidRPr="005A084E" w:rsidR="0019161A">
          <w:rPr>
            <w:rStyle w:val="Hyperlink"/>
          </w:rPr>
          <w:t>1.</w:t>
        </w:r>
        <w:r w:rsidR="0019161A">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tab/>
        </w:r>
        <w:r w:rsidRPr="005A084E" w:rsidR="0019161A">
          <w:rPr>
            <w:rStyle w:val="Hyperlink"/>
          </w:rPr>
          <w:t>REZOLUCJA</w:t>
        </w:r>
        <w:r w:rsidR="0019161A">
          <w:rPr>
            <w:webHidden/>
          </w:rPr>
          <w:tab/>
        </w:r>
        <w:r w:rsidR="0019161A">
          <w:rPr>
            <w:webHidden/>
          </w:rPr>
          <w:fldChar w:fldCharType="begin"/>
        </w:r>
        <w:r w:rsidR="0019161A">
          <w:rPr>
            <w:webHidden/>
          </w:rPr>
          <w:instrText xml:space="preserve"> PAGEREF _Toc172708161 \h </w:instrText>
        </w:r>
        <w:r w:rsidR="0019161A">
          <w:rPr>
            <w:webHidden/>
          </w:rPr>
        </w:r>
        <w:r w:rsidR="0019161A">
          <w:rPr>
            <w:webHidden/>
          </w:rPr>
          <w:fldChar w:fldCharType="separate"/>
        </w:r>
        <w:r w:rsidR="0019161A">
          <w:rPr>
            <w:webHidden/>
          </w:rPr>
          <w:t>3</w:t>
        </w:r>
        <w:r w:rsidR="0019161A">
          <w:rPr>
            <w:webHidden/>
          </w:rPr>
          <w:fldChar w:fldCharType="end"/>
        </w:r>
      </w:hyperlink>
    </w:p>
    <w:p w:rsidR="0019161A" w:rsidRDefault="0019161A" w14:paraId="291FD1C4" w14:textId="30B0F06A">
      <w:pPr>
        <w:pStyle w:val="TOC1"/>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pPr>
      <w:hyperlink w:history="1" w:anchor="_Toc172708162">
        <w:r w:rsidRPr="005A084E">
          <w:rPr>
            <w:rStyle w:val="Hyperlink"/>
          </w:rPr>
          <w:t>2.</w:t>
        </w:r>
        <w:r>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tab/>
        </w:r>
        <w:r w:rsidRPr="005A084E">
          <w:rPr>
            <w:rStyle w:val="Hyperlink"/>
          </w:rPr>
          <w:t>UNIA GOSPODARCZA I WALUTOWA ORAZ SPÓJNOŚĆ GOSPODARCZA I SPOŁECZNA</w:t>
        </w:r>
        <w:r>
          <w:rPr>
            <w:webHidden/>
          </w:rPr>
          <w:tab/>
        </w:r>
        <w:r>
          <w:rPr>
            <w:webHidden/>
          </w:rPr>
          <w:fldChar w:fldCharType="begin"/>
        </w:r>
        <w:r>
          <w:rPr>
            <w:webHidden/>
          </w:rPr>
          <w:instrText xml:space="preserve"> PAGEREF _Toc172708162 \h </w:instrText>
        </w:r>
        <w:r>
          <w:rPr>
            <w:webHidden/>
          </w:rPr>
        </w:r>
        <w:r>
          <w:rPr>
            <w:webHidden/>
          </w:rPr>
          <w:fldChar w:fldCharType="separate"/>
        </w:r>
        <w:r>
          <w:rPr>
            <w:webHidden/>
          </w:rPr>
          <w:t>4</w:t>
        </w:r>
        <w:r>
          <w:rPr>
            <w:webHidden/>
          </w:rPr>
          <w:fldChar w:fldCharType="end"/>
        </w:r>
      </w:hyperlink>
    </w:p>
    <w:p w:rsidR="0019161A" w:rsidRDefault="0019161A" w14:paraId="44BF1F13" w14:textId="4817B0A5">
      <w:pPr>
        <w:pStyle w:val="TOC1"/>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pPr>
      <w:hyperlink w:history="1" w:anchor="_Toc172708163">
        <w:r w:rsidRPr="005A084E">
          <w:rPr>
            <w:rStyle w:val="Hyperlink"/>
          </w:rPr>
          <w:t>3.</w:t>
        </w:r>
        <w:r>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tab/>
        </w:r>
        <w:r w:rsidRPr="005A084E">
          <w:rPr>
            <w:rStyle w:val="Hyperlink"/>
          </w:rPr>
          <w:t>ZATRUDNIENIE, SPRAWY SPOŁECZNE I OBYWATELSTWO</w:t>
        </w:r>
        <w:r>
          <w:rPr>
            <w:webHidden/>
          </w:rPr>
          <w:tab/>
        </w:r>
        <w:r>
          <w:rPr>
            <w:webHidden/>
          </w:rPr>
          <w:fldChar w:fldCharType="begin"/>
        </w:r>
        <w:r>
          <w:rPr>
            <w:webHidden/>
          </w:rPr>
          <w:instrText xml:space="preserve"> PAGEREF _Toc172708163 \h </w:instrText>
        </w:r>
        <w:r>
          <w:rPr>
            <w:webHidden/>
          </w:rPr>
        </w:r>
        <w:r>
          <w:rPr>
            <w:webHidden/>
          </w:rPr>
          <w:fldChar w:fldCharType="separate"/>
        </w:r>
        <w:r>
          <w:rPr>
            <w:webHidden/>
          </w:rPr>
          <w:t>5</w:t>
        </w:r>
        <w:r>
          <w:rPr>
            <w:webHidden/>
          </w:rPr>
          <w:fldChar w:fldCharType="end"/>
        </w:r>
      </w:hyperlink>
    </w:p>
    <w:p w:rsidR="0019161A" w:rsidRDefault="0019161A" w14:paraId="7317F1B1" w14:textId="59BA3D50">
      <w:pPr>
        <w:pStyle w:val="TOC1"/>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pPr>
      <w:hyperlink w:history="1" w:anchor="_Toc172708164">
        <w:r w:rsidRPr="005A084E">
          <w:rPr>
            <w:rStyle w:val="Hyperlink"/>
          </w:rPr>
          <w:t>4.</w:t>
        </w:r>
        <w:r>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tab/>
        </w:r>
        <w:r w:rsidRPr="005A084E">
          <w:rPr>
            <w:rStyle w:val="Hyperlink"/>
          </w:rPr>
          <w:t>JEDNOLITY RYNEK, PRODUKCJA I KONSUMPCJA</w:t>
        </w:r>
        <w:r>
          <w:rPr>
            <w:webHidden/>
          </w:rPr>
          <w:tab/>
        </w:r>
        <w:r>
          <w:rPr>
            <w:webHidden/>
          </w:rPr>
          <w:fldChar w:fldCharType="begin"/>
        </w:r>
        <w:r>
          <w:rPr>
            <w:webHidden/>
          </w:rPr>
          <w:instrText xml:space="preserve"> PAGEREF _Toc172708164 \h </w:instrText>
        </w:r>
        <w:r>
          <w:rPr>
            <w:webHidden/>
          </w:rPr>
        </w:r>
        <w:r>
          <w:rPr>
            <w:webHidden/>
          </w:rPr>
          <w:fldChar w:fldCharType="separate"/>
        </w:r>
        <w:r>
          <w:rPr>
            <w:webHidden/>
          </w:rPr>
          <w:t>9</w:t>
        </w:r>
        <w:r>
          <w:rPr>
            <w:webHidden/>
          </w:rPr>
          <w:fldChar w:fldCharType="end"/>
        </w:r>
      </w:hyperlink>
    </w:p>
    <w:p w:rsidR="0019161A" w:rsidRDefault="0019161A" w14:paraId="78A012AD" w14:textId="222E278C">
      <w:pPr>
        <w:pStyle w:val="TOC1"/>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pPr>
      <w:hyperlink w:history="1" w:anchor="_Toc172708165">
        <w:r w:rsidRPr="005A084E">
          <w:rPr>
            <w:rStyle w:val="Hyperlink"/>
          </w:rPr>
          <w:t>5.</w:t>
        </w:r>
        <w:r>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tab/>
        </w:r>
        <w:r w:rsidRPr="005A084E">
          <w:rPr>
            <w:rStyle w:val="Hyperlink"/>
          </w:rPr>
          <w:t>ROLNICTWO, ROZWÓJ WSI I ŚRODOWISKO NATURALNE</w:t>
        </w:r>
        <w:r>
          <w:rPr>
            <w:webHidden/>
          </w:rPr>
          <w:tab/>
        </w:r>
        <w:r>
          <w:rPr>
            <w:webHidden/>
          </w:rPr>
          <w:fldChar w:fldCharType="begin"/>
        </w:r>
        <w:r>
          <w:rPr>
            <w:webHidden/>
          </w:rPr>
          <w:instrText xml:space="preserve"> PAGEREF _Toc172708165 \h </w:instrText>
        </w:r>
        <w:r>
          <w:rPr>
            <w:webHidden/>
          </w:rPr>
        </w:r>
        <w:r>
          <w:rPr>
            <w:webHidden/>
          </w:rPr>
          <w:fldChar w:fldCharType="separate"/>
        </w:r>
        <w:r>
          <w:rPr>
            <w:webHidden/>
          </w:rPr>
          <w:t>11</w:t>
        </w:r>
        <w:r>
          <w:rPr>
            <w:webHidden/>
          </w:rPr>
          <w:fldChar w:fldCharType="end"/>
        </w:r>
      </w:hyperlink>
    </w:p>
    <w:p w:rsidR="0019161A" w:rsidRDefault="0019161A" w14:paraId="2FF96EF6" w14:textId="4ABCAF32">
      <w:pPr>
        <w:pStyle w:val="TOC1"/>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pPr>
      <w:hyperlink w:history="1" w:anchor="_Toc172708166">
        <w:r w:rsidRPr="005A084E">
          <w:rPr>
            <w:rStyle w:val="Hyperlink"/>
          </w:rPr>
          <w:t>6.</w:t>
        </w:r>
        <w:r>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tab/>
        </w:r>
        <w:r w:rsidRPr="005A084E">
          <w:rPr>
            <w:rStyle w:val="Hyperlink"/>
          </w:rPr>
          <w:t>STOSUNKI ZEWNĘTRZNE</w:t>
        </w:r>
        <w:r>
          <w:rPr>
            <w:webHidden/>
          </w:rPr>
          <w:tab/>
        </w:r>
        <w:r>
          <w:rPr>
            <w:webHidden/>
          </w:rPr>
          <w:fldChar w:fldCharType="begin"/>
        </w:r>
        <w:r>
          <w:rPr>
            <w:webHidden/>
          </w:rPr>
          <w:instrText xml:space="preserve"> PAGEREF _Toc172708166 \h </w:instrText>
        </w:r>
        <w:r>
          <w:rPr>
            <w:webHidden/>
          </w:rPr>
        </w:r>
        <w:r>
          <w:rPr>
            <w:webHidden/>
          </w:rPr>
          <w:fldChar w:fldCharType="separate"/>
        </w:r>
        <w:r>
          <w:rPr>
            <w:webHidden/>
          </w:rPr>
          <w:t>13</w:t>
        </w:r>
        <w:r>
          <w:rPr>
            <w:webHidden/>
          </w:rPr>
          <w:fldChar w:fldCharType="end"/>
        </w:r>
      </w:hyperlink>
    </w:p>
    <w:p w:rsidR="0019161A" w:rsidRDefault="0019161A" w14:paraId="0F228D71" w14:textId="37580338">
      <w:pPr>
        <w:pStyle w:val="TOC1"/>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pPr>
      <w:hyperlink w:history="1" w:anchor="_Toc172708167">
        <w:r w:rsidRPr="005A084E">
          <w:rPr>
            <w:rStyle w:val="Hyperlink"/>
          </w:rPr>
          <w:t>7.</w:t>
        </w:r>
        <w:r>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tab/>
        </w:r>
        <w:r w:rsidRPr="005A084E">
          <w:rPr>
            <w:rStyle w:val="Hyperlink"/>
          </w:rPr>
          <w:t>TRANSPORT, ENERGIA, INFRASTRUKTURA, SPOŁECZEŃSTWO INFORMACYJNE</w:t>
        </w:r>
        <w:r>
          <w:rPr>
            <w:webHidden/>
          </w:rPr>
          <w:tab/>
        </w:r>
        <w:r>
          <w:rPr>
            <w:webHidden/>
          </w:rPr>
          <w:fldChar w:fldCharType="begin"/>
        </w:r>
        <w:r>
          <w:rPr>
            <w:webHidden/>
          </w:rPr>
          <w:instrText xml:space="preserve"> PAGEREF _Toc172708167 \h </w:instrText>
        </w:r>
        <w:r>
          <w:rPr>
            <w:webHidden/>
          </w:rPr>
        </w:r>
        <w:r>
          <w:rPr>
            <w:webHidden/>
          </w:rPr>
          <w:fldChar w:fldCharType="separate"/>
        </w:r>
        <w:r>
          <w:rPr>
            <w:webHidden/>
          </w:rPr>
          <w:t>15</w:t>
        </w:r>
        <w:r>
          <w:rPr>
            <w:webHidden/>
          </w:rPr>
          <w:fldChar w:fldCharType="end"/>
        </w:r>
      </w:hyperlink>
    </w:p>
    <w:p w:rsidR="0019161A" w:rsidRDefault="0019161A" w14:paraId="3B98D2C3" w14:textId="21C34076">
      <w:pPr>
        <w:pStyle w:val="TOC1"/>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pPr>
      <w:hyperlink w:history="1" w:anchor="_Toc172708168">
        <w:r w:rsidRPr="005A084E">
          <w:rPr>
            <w:rStyle w:val="Hyperlink"/>
          </w:rPr>
          <w:t xml:space="preserve">8. </w:t>
        </w:r>
        <w:r>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tab/>
        </w:r>
        <w:r w:rsidRPr="005A084E">
          <w:rPr>
            <w:rStyle w:val="Hyperlink"/>
          </w:rPr>
          <w:t>KOMISJA KONSULTACYJNA DS. PRZEMIAN W PRZEMYŚLE</w:t>
        </w:r>
        <w:r>
          <w:rPr>
            <w:webHidden/>
          </w:rPr>
          <w:tab/>
        </w:r>
        <w:r>
          <w:rPr>
            <w:webHidden/>
          </w:rPr>
          <w:fldChar w:fldCharType="begin"/>
        </w:r>
        <w:r>
          <w:rPr>
            <w:webHidden/>
          </w:rPr>
          <w:instrText xml:space="preserve"> PAGEREF _Toc172708168 \h </w:instrText>
        </w:r>
        <w:r>
          <w:rPr>
            <w:webHidden/>
          </w:rPr>
        </w:r>
        <w:r>
          <w:rPr>
            <w:webHidden/>
          </w:rPr>
          <w:fldChar w:fldCharType="separate"/>
        </w:r>
        <w:r>
          <w:rPr>
            <w:webHidden/>
          </w:rPr>
          <w:t>16</w:t>
        </w:r>
        <w:r>
          <w:rPr>
            <w:webHidden/>
          </w:rPr>
          <w:fldChar w:fldCharType="end"/>
        </w:r>
      </w:hyperlink>
    </w:p>
    <w:p w:rsidR="00C86ABD" w:rsidRDefault="0014322B" w14:paraId="4EDE006A" w14:textId="70DA4AD8">
      <w:pPr>
        <w:jc w:val="left"/>
      </w:pPr>
      <w:r>
        <w:fldChar w:fldCharType="end"/>
      </w:r>
      <w:r>
        <w:br w:type="page"/>
      </w:r>
    </w:p>
    <w:p w:rsidR="00C86ABD" w:rsidP="00810736" w:rsidRDefault="00C86ABD" w14:paraId="6C806385" w14:textId="0970C9A4">
      <w:pPr>
        <w:pStyle w:val="Heading1"/>
        <w:ind w:left="709" w:hanging="720"/>
        <w:rPr>
          <w:b/>
          <w:bCs/>
        </w:rPr>
      </w:pPr>
      <w:bookmarkStart w:name="_Toc172708161" w:id="0"/>
      <w:r>
        <w:rPr>
          <w:b/>
        </w:rPr>
        <w:lastRenderedPageBreak/>
        <w:t>REZOLUCJA</w:t>
      </w:r>
      <w:bookmarkEnd w:id="0"/>
      <w:r>
        <w:rPr>
          <w:b/>
        </w:rPr>
        <w:t xml:space="preserve"> </w:t>
      </w:r>
    </w:p>
    <w:p w:rsidRPr="004516BD" w:rsidR="004516BD" w:rsidP="004516BD" w:rsidRDefault="004516BD" w14:paraId="46F44DDA" w14:textId="77777777"/>
    <w:p w:rsidRPr="00A773FA" w:rsidR="00A773FA" w:rsidP="00C62951" w:rsidRDefault="00EE19DE" w14:paraId="53AAF1F5" w14:textId="02D242F3">
      <w:pPr>
        <w:numPr>
          <w:ilvl w:val="0"/>
          <w:numId w:val="26"/>
        </w:numPr>
        <w:overflowPunct w:val="0"/>
        <w:autoSpaceDE w:val="0"/>
        <w:autoSpaceDN w:val="0"/>
        <w:adjustRightInd w:val="0"/>
        <w:spacing w:after="200" w:line="276" w:lineRule="auto"/>
        <w:ind w:left="567" w:right="140" w:hanging="567"/>
        <w:contextualSpacing/>
        <w:textAlignment w:val="baseline"/>
        <w:rPr>
          <w:b/>
          <w:bCs/>
          <w:i/>
          <w:iCs/>
          <w:sz w:val="28"/>
          <w:szCs w:val="28"/>
        </w:rPr>
      </w:pPr>
      <w:hyperlink w:history="1" r:id="rId20">
        <w:r w:rsidR="000B64C3">
          <w:rPr>
            <w:b/>
            <w:i/>
            <w:color w:val="0000FF"/>
            <w:sz w:val="28"/>
            <w:u w:val="single"/>
          </w:rPr>
          <w:t xml:space="preserve">Nikogo nie wolno </w:t>
        </w:r>
        <w:proofErr w:type="spellStart"/>
        <w:r w:rsidR="000B64C3">
          <w:rPr>
            <w:b/>
            <w:i/>
            <w:color w:val="0000FF"/>
            <w:sz w:val="28"/>
            <w:u w:val="single"/>
          </w:rPr>
          <w:t>pominąć.</w:t>
        </w:r>
      </w:hyperlink>
      <w:hyperlink w:history="1" r:id="rId21">
        <w:r w:rsidR="000B64C3">
          <w:rPr>
            <w:b/>
            <w:i/>
            <w:color w:val="0000FF"/>
            <w:sz w:val="28"/>
            <w:u w:val="single"/>
          </w:rPr>
          <w:t>O</w:t>
        </w:r>
        <w:proofErr w:type="spellEnd"/>
        <w:r w:rsidR="000B64C3">
          <w:rPr>
            <w:b/>
            <w:i/>
            <w:color w:val="0000FF"/>
            <w:sz w:val="28"/>
            <w:u w:val="single"/>
          </w:rPr>
          <w:t xml:space="preserve"> </w:t>
        </w:r>
        <w:proofErr w:type="spellStart"/>
        <w:r w:rsidR="000B64C3">
          <w:rPr>
            <w:b/>
            <w:i/>
            <w:color w:val="0000FF"/>
            <w:sz w:val="28"/>
            <w:u w:val="single"/>
          </w:rPr>
          <w:t>inkluzywną</w:t>
        </w:r>
        <w:proofErr w:type="spellEnd"/>
        <w:r w:rsidR="000B64C3">
          <w:rPr>
            <w:b/>
            <w:i/>
            <w:color w:val="0000FF"/>
            <w:sz w:val="28"/>
            <w:u w:val="single"/>
          </w:rPr>
          <w:t xml:space="preserve"> i partycypacyjną politykę spójności wspierającą spójność społeczną, gospodarczą i terytorialną</w:t>
        </w:r>
      </w:hyperlink>
    </w:p>
    <w:p w:rsidRPr="00A773FA" w:rsidR="00A773FA" w:rsidP="00A773FA" w:rsidRDefault="00A773FA" w14:paraId="60111A05" w14:textId="77777777">
      <w:pPr>
        <w:overflowPunct w:val="0"/>
        <w:autoSpaceDE w:val="0"/>
        <w:autoSpaceDN w:val="0"/>
        <w:adjustRightInd w:val="0"/>
        <w:textAlignment w:val="baseline"/>
        <w:rPr>
          <w:bCs/>
          <w:iCs/>
        </w:rPr>
      </w:pPr>
    </w:p>
    <w:tbl>
      <w:tblPr>
        <w:tblStyle w:val="TableGrid195"/>
        <w:tblW w:w="494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10"/>
        <w:gridCol w:w="7082"/>
      </w:tblGrid>
      <w:tr w:rsidRPr="00A773FA" w:rsidR="00A773FA" w:rsidTr="00C62951" w14:paraId="26A7967B" w14:textId="77777777">
        <w:tc>
          <w:tcPr>
            <w:tcW w:w="1148" w:type="pct"/>
          </w:tcPr>
          <w:p w:rsidRPr="00A773FA" w:rsidR="00A773FA" w:rsidP="0088361D" w:rsidRDefault="00A773FA" w14:paraId="0B201FBD" w14:textId="77777777">
            <w:pPr>
              <w:tabs>
                <w:tab w:val="center" w:pos="284"/>
              </w:tabs>
              <w:overflowPunct w:val="0"/>
              <w:autoSpaceDE w:val="0"/>
              <w:autoSpaceDN w:val="0"/>
              <w:adjustRightInd w:val="0"/>
              <w:spacing w:line="240" w:lineRule="auto"/>
              <w:ind w:left="266" w:hanging="266"/>
              <w:textAlignment w:val="baseline"/>
              <w:rPr>
                <w:b/>
              </w:rPr>
            </w:pPr>
            <w:r>
              <w:rPr>
                <w:b/>
              </w:rPr>
              <w:t>Sprawozdawca</w:t>
            </w:r>
          </w:p>
        </w:tc>
        <w:tc>
          <w:tcPr>
            <w:tcW w:w="3852" w:type="pct"/>
          </w:tcPr>
          <w:p w:rsidRPr="00A773FA" w:rsidR="00A773FA" w:rsidP="0088361D" w:rsidRDefault="00A773FA" w14:paraId="6A6E5B0B" w14:textId="77777777">
            <w:pPr>
              <w:overflowPunct w:val="0"/>
              <w:autoSpaceDE w:val="0"/>
              <w:autoSpaceDN w:val="0"/>
              <w:adjustRightInd w:val="0"/>
              <w:spacing w:line="240" w:lineRule="auto"/>
              <w:textAlignment w:val="baseline"/>
            </w:pPr>
            <w:proofErr w:type="spellStart"/>
            <w:r>
              <w:t>Ioannis</w:t>
            </w:r>
            <w:proofErr w:type="spellEnd"/>
            <w:r>
              <w:t xml:space="preserve"> VARDAKASTANIS (Grupa Organizacji Społeczeństwa Obywatelskiego – EL)</w:t>
            </w:r>
          </w:p>
        </w:tc>
      </w:tr>
      <w:tr w:rsidRPr="00A773FA" w:rsidR="00A773FA" w:rsidTr="00C62951" w14:paraId="138FE1BF" w14:textId="77777777">
        <w:tc>
          <w:tcPr>
            <w:tcW w:w="5000" w:type="pct"/>
            <w:gridSpan w:val="2"/>
          </w:tcPr>
          <w:p w:rsidRPr="00A773FA" w:rsidR="00A773FA" w:rsidP="0088361D" w:rsidRDefault="00A773FA" w14:paraId="0644AC3A" w14:textId="77777777">
            <w:pPr>
              <w:tabs>
                <w:tab w:val="center" w:pos="284"/>
              </w:tabs>
              <w:overflowPunct w:val="0"/>
              <w:autoSpaceDE w:val="0"/>
              <w:autoSpaceDN w:val="0"/>
              <w:adjustRightInd w:val="0"/>
              <w:spacing w:line="240" w:lineRule="auto"/>
              <w:ind w:left="266" w:hanging="266"/>
              <w:textAlignment w:val="baseline"/>
            </w:pPr>
          </w:p>
        </w:tc>
      </w:tr>
      <w:tr w:rsidRPr="00A773FA" w:rsidR="00A773FA" w:rsidTr="00C62951" w14:paraId="77930193" w14:textId="77777777">
        <w:tc>
          <w:tcPr>
            <w:tcW w:w="1148" w:type="pct"/>
          </w:tcPr>
          <w:p w:rsidRPr="00A773FA" w:rsidR="00A773FA" w:rsidP="0088361D" w:rsidRDefault="00A773FA" w14:paraId="11D42A77" w14:textId="77777777">
            <w:pPr>
              <w:tabs>
                <w:tab w:val="center" w:pos="284"/>
              </w:tabs>
              <w:overflowPunct w:val="0"/>
              <w:autoSpaceDE w:val="0"/>
              <w:autoSpaceDN w:val="0"/>
              <w:adjustRightInd w:val="0"/>
              <w:spacing w:line="240" w:lineRule="auto"/>
              <w:ind w:left="266" w:hanging="266"/>
              <w:textAlignment w:val="baseline"/>
              <w:rPr>
                <w:b/>
              </w:rPr>
            </w:pPr>
            <w:r>
              <w:rPr>
                <w:b/>
              </w:rPr>
              <w:t>Dokumenty źródłowe</w:t>
            </w:r>
          </w:p>
        </w:tc>
        <w:tc>
          <w:tcPr>
            <w:tcW w:w="3852" w:type="pct"/>
          </w:tcPr>
          <w:p w:rsidRPr="00A773FA" w:rsidR="00A773FA" w:rsidP="0088361D" w:rsidRDefault="00A773FA" w14:paraId="136DD50D" w14:textId="77777777">
            <w:pPr>
              <w:tabs>
                <w:tab w:val="center" w:pos="284"/>
              </w:tabs>
              <w:overflowPunct w:val="0"/>
              <w:autoSpaceDE w:val="0"/>
              <w:autoSpaceDN w:val="0"/>
              <w:adjustRightInd w:val="0"/>
              <w:spacing w:line="240" w:lineRule="auto"/>
              <w:ind w:left="266" w:hanging="266"/>
              <w:textAlignment w:val="baseline"/>
            </w:pPr>
            <w:r>
              <w:t>EESC-2024-02528-00-00-RES</w:t>
            </w:r>
          </w:p>
        </w:tc>
      </w:tr>
    </w:tbl>
    <w:p w:rsidRPr="00A773FA" w:rsidR="00A773FA" w:rsidP="00A773FA" w:rsidRDefault="00A773FA" w14:paraId="5DB06AE6" w14:textId="77777777">
      <w:pPr>
        <w:overflowPunct w:val="0"/>
        <w:autoSpaceDE w:val="0"/>
        <w:autoSpaceDN w:val="0"/>
        <w:adjustRightInd w:val="0"/>
        <w:textAlignment w:val="baseline"/>
        <w:rPr>
          <w:b/>
          <w:iCs/>
        </w:rPr>
      </w:pPr>
    </w:p>
    <w:p w:rsidR="00A773FA" w:rsidP="00A773FA" w:rsidRDefault="00A773FA" w14:paraId="5401D531" w14:textId="25CF0778">
      <w:pPr>
        <w:overflowPunct w:val="0"/>
        <w:autoSpaceDE w:val="0"/>
        <w:autoSpaceDN w:val="0"/>
        <w:adjustRightInd w:val="0"/>
        <w:spacing w:before="120" w:after="120"/>
        <w:textAlignment w:val="baseline"/>
        <w:rPr>
          <w:bCs/>
          <w:iCs/>
        </w:rPr>
      </w:pPr>
      <w:r>
        <w:t>EKES</w:t>
      </w:r>
    </w:p>
    <w:p w:rsidRPr="00A773FA" w:rsidR="00A773FA" w:rsidP="0088361D" w:rsidRDefault="00A773FA" w14:paraId="655C9842"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Wzywa państwa członkowskie Unii Europejskiej i jej przywódców, instytucje europejskie oraz obywatelki i obywateli UE do ochrony spójności gospodarczej, społecznej i terytorialnej UE zgodnie z art. 174 TFUE.</w:t>
      </w:r>
    </w:p>
    <w:p w:rsidRPr="00A773FA" w:rsidR="00A773FA" w:rsidP="0088361D" w:rsidRDefault="00A773FA" w14:paraId="2C4A058D" w14:textId="18CE3864">
      <w:pPr>
        <w:numPr>
          <w:ilvl w:val="0"/>
          <w:numId w:val="34"/>
        </w:numPr>
        <w:overflowPunct w:val="0"/>
        <w:autoSpaceDE w:val="0"/>
        <w:autoSpaceDN w:val="0"/>
        <w:adjustRightInd w:val="0"/>
        <w:spacing w:after="200" w:line="276" w:lineRule="auto"/>
        <w:ind w:left="284" w:hanging="284"/>
        <w:contextualSpacing/>
        <w:textAlignment w:val="baseline"/>
        <w:rPr>
          <w:bCs/>
        </w:rPr>
      </w:pPr>
      <w:r>
        <w:t>Podkreśla, że podstawowa zasada „nikogo nie wolno pominąć” w polityce spójności zachowuje w</w:t>
      </w:r>
      <w:r w:rsidR="00C62951">
        <w:t> </w:t>
      </w:r>
      <w:r>
        <w:t xml:space="preserve">dalszym ciągu ważność i ma mocne podstawy oraz że podmioty społeczeństwa obywatelskiego są gotowe kontynuować działania na rzecz jej realizacji za pomocą silnej polityki inwestycyjnej UE. </w:t>
      </w:r>
    </w:p>
    <w:p w:rsidRPr="00A773FA" w:rsidR="00A773FA" w:rsidP="0088361D" w:rsidRDefault="00A773FA" w14:paraId="2EC3C971" w14:textId="55D03B28">
      <w:pPr>
        <w:numPr>
          <w:ilvl w:val="0"/>
          <w:numId w:val="34"/>
        </w:numPr>
        <w:overflowPunct w:val="0"/>
        <w:autoSpaceDE w:val="0"/>
        <w:autoSpaceDN w:val="0"/>
        <w:adjustRightInd w:val="0"/>
        <w:spacing w:after="200" w:line="276" w:lineRule="auto"/>
        <w:ind w:left="284" w:hanging="284"/>
        <w:contextualSpacing/>
        <w:textAlignment w:val="baseline"/>
        <w:rPr>
          <w:bCs/>
        </w:rPr>
      </w:pPr>
      <w:r>
        <w:t>Zaznacza, że nierówność szans może mieć negatywny wpływ na długoterminowy wzrost i</w:t>
      </w:r>
      <w:r w:rsidR="00C62951">
        <w:t> </w:t>
      </w:r>
      <w:r>
        <w:t>konkurencyjność na szczeblu regionalnym, krajowym i unijnym. Polityka spójności musi zatem być bardziej zróżnicowana i elastyczniejsza, a zarazem wiarygodna, stabilna i klarowna, aby można było zwrócić większą uwagę na obywateli, zwłaszcza osoby znajdujące się w</w:t>
      </w:r>
      <w:r w:rsidR="00C62951">
        <w:t> </w:t>
      </w:r>
      <w:r>
        <w:t>najtrudniejszej sytuacji, oraz lepiej przeciwdziałać nierówności szans, z którą styka się wiele osób.</w:t>
      </w:r>
    </w:p>
    <w:p w:rsidRPr="00A773FA" w:rsidR="00A773FA" w:rsidP="0088361D" w:rsidRDefault="00A773FA" w14:paraId="2813B803"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 xml:space="preserve">Krytycznie ocenia zniesienie roli komisarza, którego główną odpowiedzialnością jest polityka spójności. </w:t>
      </w:r>
    </w:p>
    <w:p w:rsidRPr="00A773FA" w:rsidR="00A773FA" w:rsidP="0088361D" w:rsidRDefault="00A773FA" w14:paraId="17871B44"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Sprzeciwia się zredukowaniu polityki spójności i jej przekształceniu w instrument przeciwdziałania sytuacjom kryzysowym.</w:t>
      </w:r>
    </w:p>
    <w:p w:rsidRPr="00A773FA" w:rsidR="00A773FA" w:rsidP="0088361D" w:rsidRDefault="00A773FA" w14:paraId="352DC0D1"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 xml:space="preserve">Odrzuca pomysł przekształcenia polityki spójności w instrument podobny do Instrumentu na rzecz Odbudowy i Zwiększania Odporności (RRF), w którego przypadku strukturalne zaangażowanie zainteresowanych stron, zarządzanie dzielone i wielopoziomowe sprawowanie rządów mają niewielką skalę lub wręcz nie istnieją. </w:t>
      </w:r>
    </w:p>
    <w:p w:rsidRPr="00A773FA" w:rsidR="00A773FA" w:rsidP="0088361D" w:rsidRDefault="00A773FA" w14:paraId="374AE5D9"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Opowiada się za zasadą partnerstwa i jasnymi regułami włączania społeczeństwa obywatelskiego w proces wyboru operacji finansowanych przez UE, zarządzania nimi i ich monitorowania.</w:t>
      </w:r>
    </w:p>
    <w:p w:rsidRPr="00A773FA" w:rsidR="00A773FA" w:rsidP="0088361D" w:rsidRDefault="00A773FA" w14:paraId="4F607A17"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Domaga się, aby stanowczo podkreślono udział społeczeństwa obywatelskiego w następnym rozporządzeniu w sprawie wspólnych przepisów, które będzie regulowało wykorzystanie funduszy spójności oraz innych funduszy UE po 2027 r. w taki sam sposób, jak miało to miejsce w latach 2021-2027.</w:t>
      </w:r>
    </w:p>
    <w:p w:rsidRPr="00A773FA" w:rsidR="00A773FA" w:rsidP="0088361D" w:rsidRDefault="00A773FA" w14:paraId="4338B067"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Apeluje o politykę spójności ukierunkowaną na konkretne obszary i zorientowaną na ludzi.</w:t>
      </w:r>
    </w:p>
    <w:p w:rsidRPr="00A773FA" w:rsidR="00A773FA" w:rsidP="0088361D" w:rsidRDefault="00A773FA" w14:paraId="70D43668"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Apeluje o nowy impuls dla polityki spójności i uważa, że należy poszerzyć, zmodernizować lub zrewidować gamę instrumentów i podejść, aby stworzyć silną, skuteczną, elastyczną, odnowioną politykę spójności, koncentrując się w większym stopniu na zdolności, powiązaniach międzyregionalnych, skuteczności wyników i możliwościach oferowanych beneficjentom, a nie tylko na samych inwestycjach.</w:t>
      </w:r>
    </w:p>
    <w:p w:rsidR="00A773FA" w:rsidP="0088361D" w:rsidRDefault="00A773FA" w14:paraId="18382F91" w14:textId="00985E44">
      <w:pPr>
        <w:numPr>
          <w:ilvl w:val="0"/>
          <w:numId w:val="34"/>
        </w:numPr>
        <w:overflowPunct w:val="0"/>
        <w:autoSpaceDE w:val="0"/>
        <w:autoSpaceDN w:val="0"/>
        <w:adjustRightInd w:val="0"/>
        <w:spacing w:after="200" w:line="276" w:lineRule="auto"/>
        <w:ind w:left="284" w:hanging="284"/>
        <w:contextualSpacing/>
        <w:textAlignment w:val="baseline"/>
        <w:rPr>
          <w:bCs/>
        </w:rPr>
      </w:pPr>
      <w:r>
        <w:t>Zrobi wszystko, co w jego mocy, aby chronić podstawowe zasady polityki spójności i dopilnować, by nadal była ona spoiwem, dzięki któremu Europa pozostaje zjednoczona.</w:t>
      </w:r>
    </w:p>
    <w:p w:rsidR="001711D7" w:rsidP="0088361D" w:rsidRDefault="001711D7" w14:paraId="7064FBCA" w14:textId="77777777">
      <w:pPr>
        <w:overflowPunct w:val="0"/>
        <w:autoSpaceDE w:val="0"/>
        <w:autoSpaceDN w:val="0"/>
        <w:adjustRightInd w:val="0"/>
        <w:spacing w:after="200" w:line="276" w:lineRule="auto"/>
        <w:ind w:left="360"/>
        <w:contextualSpacing/>
        <w:textAlignment w:val="baseline"/>
        <w:rPr>
          <w:bCs/>
          <w:lang w:val="en-US"/>
        </w:rPr>
      </w:pPr>
    </w:p>
    <w:tbl>
      <w:tblPr>
        <w:tblStyle w:val="TableGrid19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A773FA" w:rsidR="00A773FA" w:rsidTr="001F4854" w14:paraId="1E00A390" w14:textId="77777777">
        <w:tc>
          <w:tcPr>
            <w:tcW w:w="1418" w:type="dxa"/>
          </w:tcPr>
          <w:p w:rsidRPr="00A773FA" w:rsidR="00A773FA" w:rsidP="00A773FA" w:rsidRDefault="00A773FA" w14:paraId="3E8583D9" w14:textId="77777777">
            <w:pPr>
              <w:keepNext/>
              <w:keepLines/>
              <w:overflowPunct w:val="0"/>
              <w:autoSpaceDE w:val="0"/>
              <w:autoSpaceDN w:val="0"/>
              <w:adjustRightInd w:val="0"/>
              <w:spacing w:line="240" w:lineRule="auto"/>
              <w:textAlignment w:val="baseline"/>
              <w:rPr>
                <w:i/>
              </w:rPr>
            </w:pPr>
            <w:r>
              <w:rPr>
                <w:b/>
                <w:i/>
              </w:rPr>
              <w:t>Kontakt</w:t>
            </w:r>
          </w:p>
        </w:tc>
        <w:tc>
          <w:tcPr>
            <w:tcW w:w="5670" w:type="dxa"/>
          </w:tcPr>
          <w:p w:rsidRPr="00A773FA" w:rsidR="00A773FA" w:rsidP="00A773FA" w:rsidRDefault="00A773FA" w14:paraId="23200230" w14:textId="77777777">
            <w:pPr>
              <w:keepNext/>
              <w:keepLines/>
              <w:overflowPunct w:val="0"/>
              <w:autoSpaceDE w:val="0"/>
              <w:autoSpaceDN w:val="0"/>
              <w:adjustRightInd w:val="0"/>
              <w:spacing w:line="240" w:lineRule="auto"/>
              <w:textAlignment w:val="baseline"/>
              <w:rPr>
                <w:i/>
              </w:rPr>
            </w:pPr>
            <w:r>
              <w:rPr>
                <w:i/>
              </w:rPr>
              <w:t xml:space="preserve">Georgios </w:t>
            </w:r>
            <w:proofErr w:type="spellStart"/>
            <w:r>
              <w:rPr>
                <w:i/>
              </w:rPr>
              <w:t>Meleas</w:t>
            </w:r>
            <w:proofErr w:type="spellEnd"/>
          </w:p>
        </w:tc>
      </w:tr>
      <w:tr w:rsidRPr="00A773FA" w:rsidR="00A773FA" w:rsidTr="001F4854" w14:paraId="27B092BE" w14:textId="77777777">
        <w:tc>
          <w:tcPr>
            <w:tcW w:w="1418" w:type="dxa"/>
          </w:tcPr>
          <w:p w:rsidRPr="00A773FA" w:rsidR="00A773FA" w:rsidP="00A773FA" w:rsidRDefault="00A773FA" w14:paraId="198F80AA" w14:textId="77777777">
            <w:pPr>
              <w:keepNext/>
              <w:keepLines/>
              <w:overflowPunct w:val="0"/>
              <w:autoSpaceDE w:val="0"/>
              <w:autoSpaceDN w:val="0"/>
              <w:adjustRightInd w:val="0"/>
              <w:spacing w:line="240" w:lineRule="auto"/>
              <w:textAlignment w:val="baseline"/>
              <w:rPr>
                <w:i/>
              </w:rPr>
            </w:pPr>
            <w:r>
              <w:rPr>
                <w:i/>
              </w:rPr>
              <w:t>Tel.:</w:t>
            </w:r>
          </w:p>
        </w:tc>
        <w:tc>
          <w:tcPr>
            <w:tcW w:w="5670" w:type="dxa"/>
          </w:tcPr>
          <w:p w:rsidRPr="00A773FA" w:rsidR="00A773FA" w:rsidP="00A773FA" w:rsidRDefault="00A773FA" w14:paraId="3147B9D3" w14:textId="77777777">
            <w:pPr>
              <w:keepNext/>
              <w:keepLines/>
              <w:overflowPunct w:val="0"/>
              <w:autoSpaceDE w:val="0"/>
              <w:autoSpaceDN w:val="0"/>
              <w:adjustRightInd w:val="0"/>
              <w:spacing w:line="240" w:lineRule="auto"/>
              <w:textAlignment w:val="baseline"/>
              <w:rPr>
                <w:i/>
              </w:rPr>
            </w:pPr>
            <w:r>
              <w:rPr>
                <w:i/>
              </w:rPr>
              <w:t>+32 25469795</w:t>
            </w:r>
          </w:p>
        </w:tc>
      </w:tr>
      <w:tr w:rsidRPr="00A773FA" w:rsidR="00A773FA" w:rsidTr="001F4854" w14:paraId="719936AC" w14:textId="77777777">
        <w:tc>
          <w:tcPr>
            <w:tcW w:w="1418" w:type="dxa"/>
          </w:tcPr>
          <w:p w:rsidRPr="00A773FA" w:rsidR="00A773FA" w:rsidP="00A773FA" w:rsidRDefault="00A773FA" w14:paraId="3BFA5A9D" w14:textId="77777777">
            <w:pPr>
              <w:keepNext/>
              <w:keepLines/>
              <w:overflowPunct w:val="0"/>
              <w:autoSpaceDE w:val="0"/>
              <w:autoSpaceDN w:val="0"/>
              <w:adjustRightInd w:val="0"/>
              <w:spacing w:line="240" w:lineRule="auto"/>
              <w:textAlignment w:val="baseline"/>
              <w:rPr>
                <w:i/>
              </w:rPr>
            </w:pPr>
            <w:r>
              <w:rPr>
                <w:i/>
              </w:rPr>
              <w:t>e-mail:</w:t>
            </w:r>
          </w:p>
        </w:tc>
        <w:tc>
          <w:tcPr>
            <w:tcW w:w="5670" w:type="dxa"/>
          </w:tcPr>
          <w:p w:rsidRPr="00A773FA" w:rsidR="00A773FA" w:rsidP="00A773FA" w:rsidRDefault="00EE19DE" w14:paraId="0E731FD7" w14:textId="77777777">
            <w:pPr>
              <w:keepNext/>
              <w:keepLines/>
              <w:overflowPunct w:val="0"/>
              <w:autoSpaceDE w:val="0"/>
              <w:autoSpaceDN w:val="0"/>
              <w:adjustRightInd w:val="0"/>
              <w:spacing w:line="240" w:lineRule="auto"/>
              <w:textAlignment w:val="baseline"/>
              <w:rPr>
                <w:i/>
              </w:rPr>
            </w:pPr>
            <w:hyperlink w:history="1" r:id="rId22">
              <w:r w:rsidR="000B64C3">
                <w:rPr>
                  <w:i/>
                  <w:color w:val="0000FF"/>
                  <w:u w:val="single"/>
                </w:rPr>
                <w:t>Georgios.Meleas@eesc.europa.eu</w:t>
              </w:r>
            </w:hyperlink>
            <w:r w:rsidR="000B64C3">
              <w:rPr>
                <w:i/>
              </w:rPr>
              <w:t xml:space="preserve"> </w:t>
            </w:r>
          </w:p>
        </w:tc>
      </w:tr>
    </w:tbl>
    <w:p w:rsidR="008469D4" w:rsidP="008469D4" w:rsidRDefault="008469D4" w14:paraId="1862AFC9" w14:textId="6D1C7136"/>
    <w:p w:rsidRPr="008469D4" w:rsidR="001711D7" w:rsidP="0088361D" w:rsidRDefault="001711D7" w14:paraId="77302185" w14:textId="77777777">
      <w:pPr>
        <w:ind w:left="142"/>
      </w:pPr>
    </w:p>
    <w:p w:rsidRPr="00EE2FBD" w:rsidR="0038273B" w:rsidP="00C62951" w:rsidRDefault="0038273B" w14:paraId="62CE6920" w14:textId="7EDD0A6D">
      <w:pPr>
        <w:pStyle w:val="Heading1"/>
        <w:tabs>
          <w:tab w:val="clear" w:pos="440"/>
        </w:tabs>
        <w:ind w:left="567" w:right="0" w:hanging="567"/>
        <w:rPr>
          <w:b/>
          <w:bCs/>
        </w:rPr>
      </w:pPr>
      <w:bookmarkStart w:name="_Toc162435201" w:id="1"/>
      <w:bookmarkStart w:name="_Toc162435202" w:id="2"/>
      <w:bookmarkStart w:name="_Toc172708162" w:id="3"/>
      <w:bookmarkEnd w:id="1"/>
      <w:bookmarkEnd w:id="2"/>
      <w:r>
        <w:rPr>
          <w:b/>
        </w:rPr>
        <w:t>UNIA GOSPODARCZA I WALUTOWA ORAZ SPÓJNOŚĆ GOSPODARCZA I</w:t>
      </w:r>
      <w:r w:rsidR="00C62951">
        <w:rPr>
          <w:b/>
        </w:rPr>
        <w:t> </w:t>
      </w:r>
      <w:r>
        <w:rPr>
          <w:b/>
        </w:rPr>
        <w:t>SPOŁECZNA</w:t>
      </w:r>
      <w:bookmarkEnd w:id="3"/>
    </w:p>
    <w:p w:rsidRPr="00EE2FBD" w:rsidR="00B807B4" w:rsidP="00810736" w:rsidRDefault="00B807B4" w14:paraId="3CAC710B" w14:textId="11524E6A">
      <w:pPr>
        <w:pStyle w:val="Heading1"/>
        <w:numPr>
          <w:ilvl w:val="0"/>
          <w:numId w:val="0"/>
        </w:numPr>
        <w:ind w:left="928"/>
        <w:rPr>
          <w:b/>
          <w:bCs/>
        </w:rPr>
      </w:pPr>
    </w:p>
    <w:p w:rsidRPr="00A773FA" w:rsidR="00A773FA" w:rsidP="00A773FA" w:rsidRDefault="00EE19DE" w14:paraId="18865835" w14:textId="0A72B877">
      <w:pPr>
        <w:widowControl w:val="0"/>
        <w:numPr>
          <w:ilvl w:val="0"/>
          <w:numId w:val="27"/>
        </w:numPr>
        <w:overflowPunct w:val="0"/>
        <w:autoSpaceDE w:val="0"/>
        <w:autoSpaceDN w:val="0"/>
        <w:adjustRightInd w:val="0"/>
        <w:ind w:hanging="567"/>
        <w:textAlignment w:val="baseline"/>
        <w:rPr>
          <w:sz w:val="20"/>
          <w:szCs w:val="20"/>
        </w:rPr>
      </w:pPr>
      <w:hyperlink w:history="1" r:id="rId23">
        <w:r w:rsidR="000B64C3">
          <w:rPr>
            <w:b/>
            <w:i/>
            <w:color w:val="0000FF"/>
            <w:sz w:val="28"/>
            <w:u w:val="single"/>
          </w:rPr>
          <w:t>Ramy opodatkowania podmiotów gospodarki społecznej</w:t>
        </w:r>
      </w:hyperlink>
    </w:p>
    <w:p w:rsidRPr="00A773FA" w:rsidR="00A773FA" w:rsidP="00A773FA" w:rsidRDefault="00A773FA" w14:paraId="74F2A711" w14:textId="293833F6">
      <w:pPr>
        <w:tabs>
          <w:tab w:val="center" w:pos="284"/>
        </w:tabs>
        <w:overflowPunct w:val="0"/>
        <w:autoSpaceDE w:val="0"/>
        <w:autoSpaceDN w:val="0"/>
        <w:adjustRightInd w:val="0"/>
        <w:ind w:left="266" w:hanging="266"/>
        <w:textAlignment w:val="baseline"/>
        <w:rPr>
          <w:b/>
        </w:rPr>
      </w:pPr>
    </w:p>
    <w:tbl>
      <w:tblPr>
        <w:tblStyle w:val="TableGrid196"/>
        <w:tblW w:w="468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38"/>
        <w:gridCol w:w="6569"/>
      </w:tblGrid>
      <w:tr w:rsidRPr="00A773FA" w:rsidR="00A773FA" w:rsidTr="00C62951" w14:paraId="62A09F3C" w14:textId="77777777">
        <w:tc>
          <w:tcPr>
            <w:tcW w:w="1228" w:type="pct"/>
          </w:tcPr>
          <w:p w:rsidRPr="00A773FA" w:rsidR="00A773FA" w:rsidP="00A773FA" w:rsidRDefault="00A773FA" w14:paraId="1C0031C3" w14:textId="77777777">
            <w:pPr>
              <w:tabs>
                <w:tab w:val="center" w:pos="284"/>
              </w:tabs>
              <w:overflowPunct w:val="0"/>
              <w:autoSpaceDE w:val="0"/>
              <w:autoSpaceDN w:val="0"/>
              <w:adjustRightInd w:val="0"/>
              <w:ind w:left="266" w:hanging="266"/>
              <w:textAlignment w:val="baseline"/>
              <w:rPr>
                <w:b/>
              </w:rPr>
            </w:pPr>
            <w:r>
              <w:rPr>
                <w:b/>
              </w:rPr>
              <w:t>Sprawozdawca</w:t>
            </w:r>
          </w:p>
        </w:tc>
        <w:tc>
          <w:tcPr>
            <w:tcW w:w="3772" w:type="pct"/>
          </w:tcPr>
          <w:p w:rsidRPr="00A773FA" w:rsidR="00A773FA" w:rsidP="00A773FA" w:rsidRDefault="00A773FA" w14:paraId="4E81BF9C" w14:textId="6E1B759C">
            <w:pPr>
              <w:tabs>
                <w:tab w:val="center" w:pos="284"/>
              </w:tabs>
              <w:overflowPunct w:val="0"/>
              <w:autoSpaceDE w:val="0"/>
              <w:autoSpaceDN w:val="0"/>
              <w:adjustRightInd w:val="0"/>
              <w:ind w:left="266" w:hanging="266"/>
              <w:textAlignment w:val="baseline"/>
            </w:pPr>
            <w:r>
              <w:t>Giuseppe GUERINI (Grupa Organizacji Społeczeństwa Obywatelskiego - IT)</w:t>
            </w:r>
          </w:p>
        </w:tc>
      </w:tr>
      <w:tr w:rsidRPr="00A773FA" w:rsidR="00A773FA" w:rsidTr="001F4854" w14:paraId="564A7337" w14:textId="77777777">
        <w:tc>
          <w:tcPr>
            <w:tcW w:w="5000" w:type="pct"/>
            <w:gridSpan w:val="2"/>
          </w:tcPr>
          <w:p w:rsidRPr="00A773FA" w:rsidR="00A773FA" w:rsidP="00A773FA" w:rsidRDefault="00A773FA" w14:paraId="47099949" w14:textId="77777777">
            <w:pPr>
              <w:tabs>
                <w:tab w:val="center" w:pos="284"/>
              </w:tabs>
              <w:overflowPunct w:val="0"/>
              <w:autoSpaceDE w:val="0"/>
              <w:autoSpaceDN w:val="0"/>
              <w:adjustRightInd w:val="0"/>
              <w:spacing w:line="160" w:lineRule="exact"/>
              <w:ind w:left="266" w:hanging="266"/>
              <w:textAlignment w:val="baseline"/>
            </w:pPr>
          </w:p>
        </w:tc>
      </w:tr>
      <w:tr w:rsidRPr="00A773FA" w:rsidR="00A773FA" w:rsidTr="00C62951" w14:paraId="72F3FE21" w14:textId="77777777">
        <w:tc>
          <w:tcPr>
            <w:tcW w:w="1228" w:type="pct"/>
          </w:tcPr>
          <w:p w:rsidRPr="00A773FA" w:rsidR="00A773FA" w:rsidP="00A773FA" w:rsidRDefault="00A773FA" w14:paraId="0132DBD4" w14:textId="77777777">
            <w:pPr>
              <w:tabs>
                <w:tab w:val="center" w:pos="284"/>
              </w:tabs>
              <w:overflowPunct w:val="0"/>
              <w:autoSpaceDE w:val="0"/>
              <w:autoSpaceDN w:val="0"/>
              <w:adjustRightInd w:val="0"/>
              <w:ind w:left="266" w:hanging="266"/>
              <w:textAlignment w:val="baseline"/>
              <w:rPr>
                <w:b/>
              </w:rPr>
            </w:pPr>
            <w:r>
              <w:rPr>
                <w:b/>
              </w:rPr>
              <w:t>Dokumenty źródłowe</w:t>
            </w:r>
          </w:p>
        </w:tc>
        <w:tc>
          <w:tcPr>
            <w:tcW w:w="3772" w:type="pct"/>
          </w:tcPr>
          <w:p w:rsidR="002910B2" w:rsidP="00A773FA" w:rsidRDefault="002910B2" w14:paraId="0F8E6086" w14:textId="5CE11347">
            <w:pPr>
              <w:tabs>
                <w:tab w:val="center" w:pos="284"/>
              </w:tabs>
              <w:overflowPunct w:val="0"/>
              <w:autoSpaceDE w:val="0"/>
              <w:autoSpaceDN w:val="0"/>
              <w:adjustRightInd w:val="0"/>
              <w:ind w:left="266" w:hanging="266"/>
              <w:textAlignment w:val="baseline"/>
            </w:pPr>
            <w:r>
              <w:t>Opinia z inicjatywy własnej</w:t>
            </w:r>
          </w:p>
          <w:p w:rsidRPr="00A773FA" w:rsidR="00A773FA" w:rsidP="00A773FA" w:rsidRDefault="00A773FA" w14:paraId="1727F523" w14:textId="4191C063">
            <w:pPr>
              <w:tabs>
                <w:tab w:val="center" w:pos="284"/>
              </w:tabs>
              <w:overflowPunct w:val="0"/>
              <w:autoSpaceDE w:val="0"/>
              <w:autoSpaceDN w:val="0"/>
              <w:adjustRightInd w:val="0"/>
              <w:ind w:left="266" w:hanging="266"/>
              <w:textAlignment w:val="baseline"/>
            </w:pPr>
            <w:r>
              <w:t>EESC-2024-00699-00-00-AC</w:t>
            </w:r>
          </w:p>
        </w:tc>
      </w:tr>
    </w:tbl>
    <w:p w:rsidRPr="00A773FA" w:rsidR="00A773FA" w:rsidP="00A773FA" w:rsidRDefault="00A773FA" w14:paraId="15692918" w14:textId="77777777">
      <w:pPr>
        <w:tabs>
          <w:tab w:val="center" w:pos="284"/>
        </w:tabs>
        <w:overflowPunct w:val="0"/>
        <w:autoSpaceDE w:val="0"/>
        <w:autoSpaceDN w:val="0"/>
        <w:adjustRightInd w:val="0"/>
        <w:ind w:left="266" w:hanging="266"/>
        <w:textAlignment w:val="baseline"/>
      </w:pPr>
    </w:p>
    <w:p w:rsidRPr="00A773FA" w:rsidR="00A773FA" w:rsidP="00A773FA" w:rsidRDefault="00A773FA" w14:paraId="7E5A4B91" w14:textId="77777777">
      <w:pPr>
        <w:keepNext/>
        <w:keepLines/>
        <w:tabs>
          <w:tab w:val="center" w:pos="284"/>
        </w:tabs>
        <w:overflowPunct w:val="0"/>
        <w:autoSpaceDE w:val="0"/>
        <w:autoSpaceDN w:val="0"/>
        <w:adjustRightInd w:val="0"/>
        <w:ind w:left="266" w:hanging="266"/>
        <w:textAlignment w:val="baseline"/>
        <w:rPr>
          <w:b/>
        </w:rPr>
      </w:pPr>
      <w:r>
        <w:rPr>
          <w:b/>
        </w:rPr>
        <w:t>Główne punkty</w:t>
      </w:r>
    </w:p>
    <w:p w:rsidRPr="00A773FA" w:rsidR="00A773FA" w:rsidP="00A773FA" w:rsidRDefault="00A773FA" w14:paraId="6911EF50" w14:textId="77777777">
      <w:pPr>
        <w:keepNext/>
        <w:keepLines/>
        <w:tabs>
          <w:tab w:val="center" w:pos="284"/>
        </w:tabs>
        <w:overflowPunct w:val="0"/>
        <w:autoSpaceDE w:val="0"/>
        <w:autoSpaceDN w:val="0"/>
        <w:adjustRightInd w:val="0"/>
        <w:ind w:left="266" w:hanging="266"/>
        <w:textAlignment w:val="baseline"/>
        <w:rPr>
          <w:b/>
        </w:rPr>
      </w:pPr>
    </w:p>
    <w:p w:rsidRPr="00A773FA" w:rsidR="00A773FA" w:rsidP="00A773FA" w:rsidRDefault="00A773FA" w14:paraId="7016B0CB" w14:textId="77777777">
      <w:pPr>
        <w:overflowPunct w:val="0"/>
        <w:autoSpaceDE w:val="0"/>
        <w:autoSpaceDN w:val="0"/>
        <w:adjustRightInd w:val="0"/>
        <w:textAlignment w:val="baseline"/>
        <w:rPr>
          <w:bCs/>
          <w:iCs/>
        </w:rPr>
      </w:pPr>
      <w:r>
        <w:t>EKES</w:t>
      </w:r>
    </w:p>
    <w:p w:rsidRPr="00A773FA" w:rsidR="00A773FA" w:rsidP="00A773FA" w:rsidRDefault="00A773FA" w14:paraId="318948B1" w14:textId="77777777">
      <w:pPr>
        <w:overflowPunct w:val="0"/>
        <w:autoSpaceDE w:val="0"/>
        <w:autoSpaceDN w:val="0"/>
        <w:adjustRightInd w:val="0"/>
        <w:textAlignment w:val="baseline"/>
        <w:rPr>
          <w:bCs/>
          <w:iCs/>
        </w:rPr>
      </w:pPr>
    </w:p>
    <w:p w:rsidRPr="00A773FA" w:rsidR="00A773FA" w:rsidP="0088361D" w:rsidRDefault="00A773FA" w14:paraId="7AB68C55" w14:textId="77777777">
      <w:pPr>
        <w:widowControl w:val="0"/>
        <w:numPr>
          <w:ilvl w:val="0"/>
          <w:numId w:val="35"/>
        </w:numPr>
        <w:overflowPunct w:val="0"/>
        <w:autoSpaceDE w:val="0"/>
        <w:autoSpaceDN w:val="0"/>
        <w:adjustRightInd w:val="0"/>
        <w:ind w:left="284" w:hanging="284"/>
        <w:textAlignment w:val="baseline"/>
        <w:rPr>
          <w:szCs w:val="20"/>
        </w:rPr>
      </w:pPr>
      <w:r>
        <w:t>Podkreśla, jak ważne jest, aby systemy podatkowe państw członkowskich nie utrudniały rozwoju gospodarki społecznej, i z zadowoleniem przyjmuje cel Komisji Europejskiej, którym jest zapewnienie państwom członkowskim wsparcia przez publikowanie wytycznych dotyczących odpowiednich ram podatkowych dla podmiotów gospodarki społecznej.</w:t>
      </w:r>
    </w:p>
    <w:p w:rsidRPr="00A773FA" w:rsidR="00A773FA" w:rsidP="0088361D" w:rsidRDefault="00A773FA" w14:paraId="48329782" w14:textId="77777777">
      <w:pPr>
        <w:widowControl w:val="0"/>
        <w:numPr>
          <w:ilvl w:val="0"/>
          <w:numId w:val="35"/>
        </w:numPr>
        <w:overflowPunct w:val="0"/>
        <w:autoSpaceDE w:val="0"/>
        <w:autoSpaceDN w:val="0"/>
        <w:adjustRightInd w:val="0"/>
        <w:ind w:left="284" w:hanging="284"/>
        <w:textAlignment w:val="baseline"/>
        <w:rPr>
          <w:szCs w:val="20"/>
        </w:rPr>
      </w:pPr>
      <w:r>
        <w:t>Odnotowuje, że znajomość podejść stosowanych w poszczególnych państwach członkowskich może być ważnym punktem wyjścia do pogłębienia i poprawy ogólnych ram opodatkowania podmiotów gospodarki społecznej na rynku wewnętrznym.</w:t>
      </w:r>
    </w:p>
    <w:p w:rsidRPr="00A773FA" w:rsidR="00A773FA" w:rsidP="0088361D" w:rsidRDefault="00A773FA" w14:paraId="57EB2F2A" w14:textId="77777777">
      <w:pPr>
        <w:widowControl w:val="0"/>
        <w:numPr>
          <w:ilvl w:val="0"/>
          <w:numId w:val="35"/>
        </w:numPr>
        <w:overflowPunct w:val="0"/>
        <w:autoSpaceDE w:val="0"/>
        <w:autoSpaceDN w:val="0"/>
        <w:adjustRightInd w:val="0"/>
        <w:ind w:left="284" w:hanging="284"/>
        <w:textAlignment w:val="baseline"/>
        <w:rPr>
          <w:szCs w:val="20"/>
        </w:rPr>
      </w:pPr>
      <w:r>
        <w:t>Wyraża nadzieję, że w przyszłości będzie można dalej ujednolicać podejścia do opodatkowania podmiotów gospodarki społecznej z myślą o konsolidacji rynku wewnętrznego.</w:t>
      </w:r>
    </w:p>
    <w:p w:rsidRPr="00A773FA" w:rsidR="00A773FA" w:rsidP="0088361D" w:rsidRDefault="00A773FA" w14:paraId="747D4F66" w14:textId="77777777">
      <w:pPr>
        <w:widowControl w:val="0"/>
        <w:numPr>
          <w:ilvl w:val="0"/>
          <w:numId w:val="35"/>
        </w:numPr>
        <w:overflowPunct w:val="0"/>
        <w:autoSpaceDE w:val="0"/>
        <w:autoSpaceDN w:val="0"/>
        <w:adjustRightInd w:val="0"/>
        <w:ind w:left="284" w:hanging="284"/>
        <w:textAlignment w:val="baseline"/>
        <w:rPr>
          <w:szCs w:val="20"/>
        </w:rPr>
      </w:pPr>
      <w:r>
        <w:t>Apeluje o podjęcie zaawansowanych rozważań nad możliwymi formami przyszłej harmonizacji opodatkowania gospodarki społecznej w UE.</w:t>
      </w:r>
    </w:p>
    <w:p w:rsidRPr="00A773FA" w:rsidR="00A773FA" w:rsidP="0088361D" w:rsidRDefault="00A773FA" w14:paraId="065BE08A" w14:textId="77777777">
      <w:pPr>
        <w:widowControl w:val="0"/>
        <w:numPr>
          <w:ilvl w:val="0"/>
          <w:numId w:val="35"/>
        </w:numPr>
        <w:overflowPunct w:val="0"/>
        <w:autoSpaceDE w:val="0"/>
        <w:autoSpaceDN w:val="0"/>
        <w:adjustRightInd w:val="0"/>
        <w:ind w:left="284" w:hanging="284"/>
        <w:textAlignment w:val="baseline"/>
        <w:rPr>
          <w:szCs w:val="20"/>
        </w:rPr>
      </w:pPr>
      <w:r>
        <w:t>Zachęca Komisję Europejską i państwa członkowskie do rozważenia również bardzo korzystnych stawek VAT od działalności pożytku publicznego prowadzonej przez podmioty gospodarki społecznej i od usług społecznych, w szczególności w sektorze opieki zdrowotnej i społecznej przeznaczonej dla osób starszych, a także w sektorach usług na rzecz osób, opieki długoterminowej i kształcenia.</w:t>
      </w:r>
    </w:p>
    <w:p w:rsidR="00A773FA" w:rsidP="00A773FA" w:rsidRDefault="00A773FA" w14:paraId="0DC1B194" w14:textId="2A4F0413">
      <w:pPr>
        <w:spacing w:line="360" w:lineRule="auto"/>
        <w:ind w:left="714"/>
        <w:contextualSpacing/>
        <w:rPr>
          <w:rFonts w:ascii="Calibri" w:hAnsi="Calibri"/>
          <w:lang w:eastAsia="zh-CN"/>
        </w:rPr>
      </w:pPr>
    </w:p>
    <w:tbl>
      <w:tblPr>
        <w:tblStyle w:val="TableGrid19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A773FA" w:rsidR="00A773FA" w:rsidTr="001F4854" w14:paraId="1C00D842" w14:textId="77777777">
        <w:tc>
          <w:tcPr>
            <w:tcW w:w="1556" w:type="pct"/>
          </w:tcPr>
          <w:p w:rsidRPr="00A773FA" w:rsidR="00A773FA" w:rsidP="00A773FA" w:rsidRDefault="00A773FA" w14:paraId="5AC62B05" w14:textId="77777777">
            <w:pPr>
              <w:overflowPunct w:val="0"/>
              <w:autoSpaceDE w:val="0"/>
              <w:autoSpaceDN w:val="0"/>
              <w:adjustRightInd w:val="0"/>
              <w:spacing w:line="240" w:lineRule="auto"/>
              <w:textAlignment w:val="baseline"/>
              <w:rPr>
                <w:i/>
              </w:rPr>
            </w:pPr>
            <w:r>
              <w:rPr>
                <w:b/>
                <w:i/>
              </w:rPr>
              <w:t>Kontakt</w:t>
            </w:r>
          </w:p>
        </w:tc>
        <w:tc>
          <w:tcPr>
            <w:tcW w:w="3444" w:type="pct"/>
          </w:tcPr>
          <w:p w:rsidRPr="00A773FA" w:rsidR="00A773FA" w:rsidP="00A773FA" w:rsidRDefault="00A773FA" w14:paraId="7F6D37C1" w14:textId="7744ED42">
            <w:pPr>
              <w:overflowPunct w:val="0"/>
              <w:autoSpaceDE w:val="0"/>
              <w:autoSpaceDN w:val="0"/>
              <w:adjustRightInd w:val="0"/>
              <w:spacing w:line="240" w:lineRule="auto"/>
              <w:textAlignment w:val="baseline"/>
              <w:rPr>
                <w:i/>
              </w:rPr>
            </w:pPr>
            <w:proofErr w:type="spellStart"/>
            <w:r>
              <w:rPr>
                <w:i/>
              </w:rPr>
              <w:t>Jüri</w:t>
            </w:r>
            <w:proofErr w:type="spellEnd"/>
            <w:r>
              <w:rPr>
                <w:i/>
              </w:rPr>
              <w:t xml:space="preserve"> </w:t>
            </w:r>
            <w:proofErr w:type="spellStart"/>
            <w:r>
              <w:rPr>
                <w:i/>
              </w:rPr>
              <w:t>Soosaar</w:t>
            </w:r>
            <w:proofErr w:type="spellEnd"/>
          </w:p>
        </w:tc>
      </w:tr>
      <w:tr w:rsidRPr="00A773FA" w:rsidR="00A773FA" w:rsidTr="001F4854" w14:paraId="504DE335" w14:textId="77777777">
        <w:tc>
          <w:tcPr>
            <w:tcW w:w="1556" w:type="pct"/>
          </w:tcPr>
          <w:p w:rsidRPr="00A773FA" w:rsidR="00A773FA" w:rsidP="00A773FA" w:rsidRDefault="00A773FA" w14:paraId="67751A3D" w14:textId="77777777">
            <w:pPr>
              <w:overflowPunct w:val="0"/>
              <w:autoSpaceDE w:val="0"/>
              <w:autoSpaceDN w:val="0"/>
              <w:adjustRightInd w:val="0"/>
              <w:spacing w:line="240" w:lineRule="auto"/>
              <w:textAlignment w:val="baseline"/>
              <w:rPr>
                <w:i/>
              </w:rPr>
            </w:pPr>
            <w:r>
              <w:rPr>
                <w:i/>
              </w:rPr>
              <w:t>Tel.:</w:t>
            </w:r>
          </w:p>
        </w:tc>
        <w:tc>
          <w:tcPr>
            <w:tcW w:w="3444" w:type="pct"/>
          </w:tcPr>
          <w:p w:rsidRPr="00A773FA" w:rsidR="00A773FA" w:rsidP="00A773FA" w:rsidRDefault="00A773FA" w14:paraId="127C9431" w14:textId="77777777">
            <w:pPr>
              <w:overflowPunct w:val="0"/>
              <w:autoSpaceDE w:val="0"/>
              <w:autoSpaceDN w:val="0"/>
              <w:adjustRightInd w:val="0"/>
              <w:spacing w:line="240" w:lineRule="auto"/>
              <w:textAlignment w:val="baseline"/>
              <w:rPr>
                <w:i/>
              </w:rPr>
            </w:pPr>
            <w:r>
              <w:rPr>
                <w:i/>
              </w:rPr>
              <w:t>+32 25469628</w:t>
            </w:r>
          </w:p>
        </w:tc>
      </w:tr>
      <w:tr w:rsidRPr="00A773FA" w:rsidR="00A773FA" w:rsidTr="001F4854" w14:paraId="4A7215EC" w14:textId="77777777">
        <w:tc>
          <w:tcPr>
            <w:tcW w:w="1556" w:type="pct"/>
          </w:tcPr>
          <w:p w:rsidRPr="00A773FA" w:rsidR="00A773FA" w:rsidP="00A773FA" w:rsidRDefault="00A773FA" w14:paraId="57124610" w14:textId="77777777">
            <w:pPr>
              <w:overflowPunct w:val="0"/>
              <w:autoSpaceDE w:val="0"/>
              <w:autoSpaceDN w:val="0"/>
              <w:adjustRightInd w:val="0"/>
              <w:spacing w:line="240" w:lineRule="auto"/>
              <w:textAlignment w:val="baseline"/>
              <w:rPr>
                <w:i/>
              </w:rPr>
            </w:pPr>
            <w:r>
              <w:rPr>
                <w:i/>
              </w:rPr>
              <w:t>e-mail:</w:t>
            </w:r>
          </w:p>
        </w:tc>
        <w:tc>
          <w:tcPr>
            <w:tcW w:w="3444" w:type="pct"/>
          </w:tcPr>
          <w:p w:rsidRPr="00A773FA" w:rsidR="00A773FA" w:rsidP="00A773FA" w:rsidRDefault="00EE19DE" w14:paraId="7316BD89" w14:textId="77777777">
            <w:pPr>
              <w:overflowPunct w:val="0"/>
              <w:autoSpaceDE w:val="0"/>
              <w:autoSpaceDN w:val="0"/>
              <w:adjustRightInd w:val="0"/>
              <w:spacing w:line="240" w:lineRule="auto"/>
              <w:textAlignment w:val="baseline"/>
              <w:rPr>
                <w:i/>
              </w:rPr>
            </w:pPr>
            <w:hyperlink w:history="1" r:id="rId24">
              <w:r w:rsidR="000B64C3">
                <w:rPr>
                  <w:i/>
                  <w:color w:val="0000FF"/>
                  <w:u w:val="single"/>
                </w:rPr>
                <w:t>Juri.Soosaar@eesc.europa.eu</w:t>
              </w:r>
            </w:hyperlink>
          </w:p>
        </w:tc>
      </w:tr>
    </w:tbl>
    <w:p w:rsidR="009401A5" w:rsidRDefault="009401A5" w14:paraId="5A628F48" w14:textId="0F9F4F59">
      <w:pPr>
        <w:spacing w:after="160" w:line="259" w:lineRule="auto"/>
        <w:jc w:val="left"/>
        <w:rPr>
          <w:color w:val="000000" w:themeColor="text1"/>
        </w:rPr>
      </w:pPr>
    </w:p>
    <w:p w:rsidR="009401A5" w:rsidRDefault="009401A5" w14:paraId="6DB3B370" w14:textId="77777777">
      <w:pPr>
        <w:spacing w:after="160" w:line="259" w:lineRule="auto"/>
        <w:jc w:val="left"/>
        <w:rPr>
          <w:color w:val="000000" w:themeColor="text1"/>
        </w:rPr>
      </w:pPr>
      <w:r>
        <w:br w:type="page"/>
      </w:r>
    </w:p>
    <w:bookmarkStart w:name="_Toc162435204" w:id="4"/>
    <w:bookmarkEnd w:id="4"/>
    <w:p w:rsidR="00C37F51" w:rsidP="00D92244" w:rsidRDefault="00C34921" w14:paraId="264EB5BB" w14:textId="64EED120">
      <w:pPr>
        <w:pStyle w:val="TOC1"/>
        <w:rPr>
          <w:rStyle w:val="Hyperlink"/>
          <w:b w:val="0"/>
          <w:color w:val="000000" w:themeColor="text1"/>
          <w:sz w:val="22"/>
          <w:szCs w:val="22"/>
          <w:u w:val="none"/>
        </w:rPr>
      </w:pPr>
      <w:r>
        <w:lastRenderedPageBreak/>
        <w:fldChar w:fldCharType="begin"/>
      </w:r>
      <w:r>
        <w:instrText xml:space="preserve"> HYPERLINK \l "_Toc164353188" </w:instrText>
      </w:r>
      <w:r>
        <w:fldChar w:fldCharType="separate"/>
      </w:r>
      <w:bookmarkStart w:name="_Toc172708163" w:id="5"/>
      <w:r>
        <w:rPr>
          <w:rStyle w:val="Hyperlink"/>
          <w:color w:val="000000" w:themeColor="text1"/>
          <w:sz w:val="22"/>
          <w:u w:val="none"/>
        </w:rPr>
        <w:t>3.</w:t>
      </w:r>
      <w:r>
        <w:rPr>
          <w:rFonts w:asciiTheme="minorHAnsi" w:hAnsiTheme="minorHAnsi"/>
          <w:color w:val="000000" w:themeColor="text1"/>
        </w:rPr>
        <w:tab/>
      </w:r>
      <w:r>
        <w:t>ZATRUDNIENIE, SPRAWY SPOŁECZNE I OBYWATELSTWO</w:t>
      </w:r>
      <w:bookmarkEnd w:id="5"/>
      <w:r>
        <w:rPr>
          <w:rStyle w:val="Hyperlink"/>
          <w:rFonts w:asciiTheme="minorHAnsi" w:hAnsiTheme="minorHAnsi"/>
          <w:color w:val="auto"/>
          <w:sz w:val="22"/>
          <w:u w:val="none"/>
        </w:rPr>
        <w:t xml:space="preserve"> </w:t>
      </w:r>
      <w:r>
        <w:rPr>
          <w:rStyle w:val="Hyperlink"/>
          <w:color w:val="000000" w:themeColor="text1"/>
          <w:sz w:val="22"/>
          <w:u w:val="none"/>
        </w:rPr>
        <w:fldChar w:fldCharType="end"/>
      </w:r>
    </w:p>
    <w:p w:rsidRPr="00D92244" w:rsidR="00D92244" w:rsidP="00D92244" w:rsidRDefault="00D92244" w14:paraId="38D997EF" w14:textId="77777777">
      <w:pPr>
        <w:rPr>
          <w:rFonts w:eastAsiaTheme="minorEastAsia"/>
        </w:rPr>
      </w:pPr>
    </w:p>
    <w:p w:rsidRPr="00231B83" w:rsidR="00231B83" w:rsidP="00231B83" w:rsidRDefault="00231B83" w14:paraId="15471AA9" w14:textId="1948374F">
      <w:pPr>
        <w:widowControl w:val="0"/>
        <w:numPr>
          <w:ilvl w:val="0"/>
          <w:numId w:val="27"/>
        </w:numPr>
        <w:overflowPunct w:val="0"/>
        <w:autoSpaceDE w:val="0"/>
        <w:autoSpaceDN w:val="0"/>
        <w:adjustRightInd w:val="0"/>
        <w:ind w:hanging="567"/>
        <w:textAlignment w:val="baseline"/>
        <w:rPr>
          <w:b/>
          <w:bCs/>
          <w:i/>
          <w:iCs/>
          <w:color w:val="0000FF"/>
          <w:sz w:val="28"/>
          <w:szCs w:val="28"/>
          <w:u w:val="single"/>
        </w:rPr>
      </w:pPr>
      <w:r w:rsidRPr="00231B83">
        <w:rPr>
          <w:b/>
          <w:i/>
          <w:sz w:val="28"/>
        </w:rPr>
        <w:fldChar w:fldCharType="begin"/>
      </w:r>
      <w:r w:rsidRPr="00231B83">
        <w:rPr>
          <w:b/>
          <w:i/>
          <w:sz w:val="28"/>
        </w:rPr>
        <w:instrText>HYPERLINK "https://www.eesc.europa.eu/pl/our-work/opinions-information-reports/opinions/combating-sexual-abuse-and-sexual-exploitation-children-and-child-pornography"</w:instrText>
      </w:r>
      <w:r w:rsidRPr="00231B83">
        <w:rPr>
          <w:b/>
          <w:i/>
          <w:sz w:val="28"/>
        </w:rPr>
        <w:fldChar w:fldCharType="separate"/>
      </w:r>
      <w:r>
        <w:rPr>
          <w:b/>
          <w:i/>
          <w:color w:val="0000FF"/>
          <w:sz w:val="28"/>
          <w:u w:val="single"/>
        </w:rPr>
        <w:t>Zwalczanie niegodziwego traktowania w celach seksualnych i wykorzystywania seksualnego dzieci oraz pornografii dziecięcej</w:t>
      </w:r>
    </w:p>
    <w:p w:rsidRPr="00231B83" w:rsidR="00231B83" w:rsidP="00231B83" w:rsidRDefault="00231B83" w14:paraId="63D67F76" w14:textId="42A584FD">
      <w:pPr>
        <w:widowControl w:val="0"/>
        <w:overflowPunct w:val="0"/>
        <w:autoSpaceDE w:val="0"/>
        <w:autoSpaceDN w:val="0"/>
        <w:adjustRightInd w:val="0"/>
        <w:ind w:left="567"/>
        <w:textAlignment w:val="baseline"/>
        <w:rPr>
          <w:b/>
          <w:i/>
          <w:sz w:val="28"/>
        </w:rPr>
      </w:pPr>
      <w:r w:rsidRPr="00231B83">
        <w:rPr>
          <w:b/>
          <w:i/>
          <w:sz w:val="28"/>
        </w:rPr>
        <w:fldChar w:fldCharType="end"/>
      </w:r>
    </w:p>
    <w:tbl>
      <w:tblPr>
        <w:tblStyle w:val="TableGrid198"/>
        <w:tblW w:w="414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5659"/>
      </w:tblGrid>
      <w:tr w:rsidRPr="00231B83" w:rsidR="00231B83" w:rsidTr="00D76388" w14:paraId="7566B638" w14:textId="77777777">
        <w:tc>
          <w:tcPr>
            <w:tcW w:w="1321" w:type="pct"/>
          </w:tcPr>
          <w:p w:rsidRPr="00231B83" w:rsidR="00231B83" w:rsidP="00231B83" w:rsidRDefault="00231B83" w14:paraId="36E4C94E" w14:textId="77777777">
            <w:pPr>
              <w:overflowPunct w:val="0"/>
              <w:autoSpaceDE w:val="0"/>
              <w:autoSpaceDN w:val="0"/>
              <w:adjustRightInd w:val="0"/>
              <w:ind w:left="-113"/>
              <w:textAlignment w:val="baseline"/>
              <w:rPr>
                <w:b/>
              </w:rPr>
            </w:pPr>
            <w:r>
              <w:rPr>
                <w:b/>
              </w:rPr>
              <w:t>Sprawozdawca</w:t>
            </w:r>
          </w:p>
          <w:p w:rsidRPr="00231B83" w:rsidR="00231B83" w:rsidP="00231B83" w:rsidRDefault="00231B83" w14:paraId="020B7D59" w14:textId="77777777">
            <w:pPr>
              <w:overflowPunct w:val="0"/>
              <w:autoSpaceDE w:val="0"/>
              <w:autoSpaceDN w:val="0"/>
              <w:adjustRightInd w:val="0"/>
              <w:ind w:left="-113"/>
              <w:textAlignment w:val="baseline"/>
              <w:rPr>
                <w:b/>
              </w:rPr>
            </w:pPr>
            <w:proofErr w:type="spellStart"/>
            <w:r>
              <w:rPr>
                <w:b/>
              </w:rPr>
              <w:t>Współsprawozdawca</w:t>
            </w:r>
            <w:proofErr w:type="spellEnd"/>
          </w:p>
        </w:tc>
        <w:tc>
          <w:tcPr>
            <w:tcW w:w="3679" w:type="pct"/>
          </w:tcPr>
          <w:p w:rsidRPr="00231B83" w:rsidR="00231B83" w:rsidP="00231B83" w:rsidRDefault="00231B83" w14:paraId="0DD461CD" w14:textId="77777777">
            <w:pPr>
              <w:tabs>
                <w:tab w:val="left" w:pos="4572"/>
              </w:tabs>
              <w:overflowPunct w:val="0"/>
              <w:autoSpaceDE w:val="0"/>
              <w:autoSpaceDN w:val="0"/>
              <w:adjustRightInd w:val="0"/>
              <w:ind w:left="-113" w:right="-823"/>
              <w:textAlignment w:val="baseline"/>
            </w:pPr>
            <w:r>
              <w:t>Christian BÄUMLER (Grupa Pracowników - DE)</w:t>
            </w:r>
          </w:p>
          <w:p w:rsidRPr="00231B83" w:rsidR="00231B83" w:rsidP="00231B83" w:rsidRDefault="00231B83" w14:paraId="27B8BE3B" w14:textId="77777777">
            <w:pPr>
              <w:tabs>
                <w:tab w:val="left" w:pos="4572"/>
              </w:tabs>
              <w:overflowPunct w:val="0"/>
              <w:autoSpaceDE w:val="0"/>
              <w:autoSpaceDN w:val="0"/>
              <w:adjustRightInd w:val="0"/>
              <w:ind w:left="-113" w:right="-823"/>
              <w:textAlignment w:val="baseline"/>
            </w:pPr>
            <w:r>
              <w:t>Diana INDŻOWA (Grupa Organizacji Społeczeństwa Obywatelskiego - BG)</w:t>
            </w:r>
          </w:p>
        </w:tc>
      </w:tr>
      <w:tr w:rsidRPr="00231B83" w:rsidR="00231B83" w:rsidTr="00D76388" w14:paraId="08E31D22" w14:textId="77777777">
        <w:tc>
          <w:tcPr>
            <w:tcW w:w="1321" w:type="pct"/>
            <w:vMerge w:val="restart"/>
          </w:tcPr>
          <w:p w:rsidR="0023561C" w:rsidP="00231B83" w:rsidRDefault="0023561C" w14:paraId="3C514EC5" w14:textId="77777777">
            <w:pPr>
              <w:overflowPunct w:val="0"/>
              <w:autoSpaceDE w:val="0"/>
              <w:autoSpaceDN w:val="0"/>
              <w:adjustRightInd w:val="0"/>
              <w:ind w:left="-113"/>
              <w:textAlignment w:val="baseline"/>
              <w:rPr>
                <w:b/>
              </w:rPr>
            </w:pPr>
          </w:p>
          <w:p w:rsidRPr="00231B83" w:rsidR="00231B83" w:rsidP="00231B83" w:rsidRDefault="00231B83" w14:paraId="00698BEB" w14:textId="3E5E2229">
            <w:pPr>
              <w:overflowPunct w:val="0"/>
              <w:autoSpaceDE w:val="0"/>
              <w:autoSpaceDN w:val="0"/>
              <w:adjustRightInd w:val="0"/>
              <w:ind w:left="-113"/>
              <w:textAlignment w:val="baseline"/>
              <w:rPr>
                <w:b/>
              </w:rPr>
            </w:pPr>
            <w:r>
              <w:rPr>
                <w:b/>
              </w:rPr>
              <w:t>Dokument źródłowy</w:t>
            </w:r>
          </w:p>
        </w:tc>
        <w:tc>
          <w:tcPr>
            <w:tcW w:w="3679" w:type="pct"/>
          </w:tcPr>
          <w:p w:rsidR="0023561C" w:rsidP="00231B83" w:rsidRDefault="0023561C" w14:paraId="525C6A12" w14:textId="77777777">
            <w:pPr>
              <w:tabs>
                <w:tab w:val="left" w:pos="4430"/>
              </w:tabs>
              <w:overflowPunct w:val="0"/>
              <w:autoSpaceDE w:val="0"/>
              <w:autoSpaceDN w:val="0"/>
              <w:adjustRightInd w:val="0"/>
              <w:ind w:left="-113" w:right="-823"/>
              <w:textAlignment w:val="baseline"/>
            </w:pPr>
          </w:p>
          <w:p w:rsidR="0023561C" w:rsidP="00231B83" w:rsidRDefault="002910B2" w14:paraId="55E50106" w14:textId="4B8D1E3D">
            <w:pPr>
              <w:tabs>
                <w:tab w:val="left" w:pos="4430"/>
              </w:tabs>
              <w:overflowPunct w:val="0"/>
              <w:autoSpaceDE w:val="0"/>
              <w:autoSpaceDN w:val="0"/>
              <w:adjustRightInd w:val="0"/>
              <w:ind w:left="-113" w:right="-823"/>
              <w:textAlignment w:val="baseline"/>
            </w:pPr>
            <w:r>
              <w:t xml:space="preserve">COM(2024) 60 </w:t>
            </w:r>
            <w:proofErr w:type="spellStart"/>
            <w:r>
              <w:t>final</w:t>
            </w:r>
            <w:proofErr w:type="spellEnd"/>
          </w:p>
          <w:p w:rsidRPr="00231B83" w:rsidR="00231B83" w:rsidP="00231B83" w:rsidRDefault="00231B83" w14:paraId="6C29565D" w14:textId="1647A72C">
            <w:pPr>
              <w:tabs>
                <w:tab w:val="left" w:pos="4430"/>
              </w:tabs>
              <w:overflowPunct w:val="0"/>
              <w:autoSpaceDE w:val="0"/>
              <w:autoSpaceDN w:val="0"/>
              <w:adjustRightInd w:val="0"/>
              <w:ind w:left="-113" w:right="-823"/>
              <w:textAlignment w:val="baseline"/>
            </w:pPr>
            <w:r>
              <w:t>EESC-2024-00873-00-00-AC</w:t>
            </w:r>
          </w:p>
        </w:tc>
      </w:tr>
      <w:tr w:rsidRPr="00231B83" w:rsidR="00231B83" w:rsidTr="00D76388" w14:paraId="10CEB6EE" w14:textId="77777777">
        <w:tc>
          <w:tcPr>
            <w:tcW w:w="1321" w:type="pct"/>
            <w:vMerge/>
          </w:tcPr>
          <w:p w:rsidRPr="00231B83" w:rsidR="00231B83" w:rsidP="00231B83" w:rsidRDefault="00231B83" w14:paraId="0BE16012" w14:textId="77777777">
            <w:pPr>
              <w:tabs>
                <w:tab w:val="center" w:pos="284"/>
              </w:tabs>
              <w:overflowPunct w:val="0"/>
              <w:autoSpaceDE w:val="0"/>
              <w:autoSpaceDN w:val="0"/>
              <w:adjustRightInd w:val="0"/>
              <w:ind w:left="266" w:hanging="266"/>
              <w:textAlignment w:val="baseline"/>
              <w:rPr>
                <w:b/>
              </w:rPr>
            </w:pPr>
          </w:p>
        </w:tc>
        <w:tc>
          <w:tcPr>
            <w:tcW w:w="3679" w:type="pct"/>
          </w:tcPr>
          <w:p w:rsidRPr="00231B83" w:rsidR="00231B83" w:rsidP="00231B83" w:rsidRDefault="00231B83" w14:paraId="602F4749" w14:textId="77777777">
            <w:pPr>
              <w:tabs>
                <w:tab w:val="center" w:pos="284"/>
                <w:tab w:val="left" w:pos="4430"/>
              </w:tabs>
              <w:overflowPunct w:val="0"/>
              <w:autoSpaceDE w:val="0"/>
              <w:autoSpaceDN w:val="0"/>
              <w:adjustRightInd w:val="0"/>
              <w:ind w:left="266" w:right="-823" w:hanging="266"/>
              <w:textAlignment w:val="baseline"/>
            </w:pPr>
          </w:p>
        </w:tc>
      </w:tr>
    </w:tbl>
    <w:p w:rsidRPr="00231B83" w:rsidR="00231B83" w:rsidP="00231B83" w:rsidRDefault="00231B83" w14:paraId="654C8227" w14:textId="77777777">
      <w:pPr>
        <w:keepNext/>
        <w:keepLines/>
        <w:tabs>
          <w:tab w:val="center" w:pos="284"/>
        </w:tabs>
        <w:overflowPunct w:val="0"/>
        <w:autoSpaceDE w:val="0"/>
        <w:autoSpaceDN w:val="0"/>
        <w:adjustRightInd w:val="0"/>
        <w:ind w:left="266" w:hanging="266"/>
        <w:textAlignment w:val="baseline"/>
        <w:rPr>
          <w:b/>
        </w:rPr>
      </w:pPr>
      <w:r>
        <w:rPr>
          <w:b/>
        </w:rPr>
        <w:t>Główne punkty</w:t>
      </w:r>
    </w:p>
    <w:p w:rsidRPr="00231B83" w:rsidR="00231B83" w:rsidP="00231B83" w:rsidRDefault="00231B83" w14:paraId="432A0D20" w14:textId="77777777">
      <w:pPr>
        <w:keepNext/>
        <w:keepLines/>
        <w:tabs>
          <w:tab w:val="center" w:pos="284"/>
        </w:tabs>
        <w:overflowPunct w:val="0"/>
        <w:autoSpaceDE w:val="0"/>
        <w:autoSpaceDN w:val="0"/>
        <w:adjustRightInd w:val="0"/>
        <w:ind w:left="266" w:hanging="266"/>
        <w:textAlignment w:val="baseline"/>
        <w:rPr>
          <w:b/>
        </w:rPr>
      </w:pPr>
    </w:p>
    <w:p w:rsidRPr="00231B83" w:rsidR="00231B83" w:rsidP="00231B83" w:rsidRDefault="00231B83" w14:paraId="3F46613D" w14:textId="77777777">
      <w:pPr>
        <w:keepNext/>
        <w:keepLines/>
        <w:tabs>
          <w:tab w:val="center" w:pos="284"/>
        </w:tabs>
        <w:overflowPunct w:val="0"/>
        <w:autoSpaceDE w:val="0"/>
        <w:autoSpaceDN w:val="0"/>
        <w:adjustRightInd w:val="0"/>
        <w:ind w:left="266" w:hanging="266"/>
        <w:textAlignment w:val="baseline"/>
        <w:rPr>
          <w:szCs w:val="20"/>
        </w:rPr>
      </w:pPr>
      <w:r>
        <w:t>EKES</w:t>
      </w:r>
    </w:p>
    <w:p w:rsidRPr="00231B83" w:rsidR="00231B83" w:rsidP="00231B83" w:rsidRDefault="00231B83" w14:paraId="0A0D281F" w14:textId="77777777">
      <w:pPr>
        <w:keepNext/>
        <w:keepLines/>
        <w:tabs>
          <w:tab w:val="center" w:pos="284"/>
        </w:tabs>
        <w:spacing w:after="200" w:line="276" w:lineRule="auto"/>
        <w:ind w:left="720"/>
        <w:contextualSpacing/>
        <w:jc w:val="left"/>
        <w:rPr>
          <w:rFonts w:ascii="Calibri" w:hAnsi="Calibri"/>
          <w:sz w:val="16"/>
          <w:szCs w:val="16"/>
          <w:lang w:eastAsia="zh-CN"/>
        </w:rPr>
      </w:pPr>
    </w:p>
    <w:p w:rsidRPr="00231B83" w:rsidR="00231B83" w:rsidP="0088361D" w:rsidRDefault="00231B83" w14:paraId="35C8E143"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Popiera cel wniosku, którym jest zapewnienie, aby karane były wszelkie formy niegodziwego traktowania w celach seksualnych i wykorzystywania seksualnego dzieci, także te, które nowe technologie umożliwiają lub ułatwiają.</w:t>
      </w:r>
    </w:p>
    <w:p w:rsidRPr="00231B83" w:rsidR="00231B83" w:rsidP="0088361D" w:rsidRDefault="00231B83" w14:paraId="7676A36C"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Zwraca uwagę na dzieci z niepełnosprawnościami – grupę szczególnie podatną na zagrożenia. Dzieci z niepełnosprawnościami mogą łatwo paść ofiarą niegodziwego traktowania w celach seksualnych i wykorzystywania seksualnego, a także cyberprzestępczości.</w:t>
      </w:r>
    </w:p>
    <w:p w:rsidRPr="00231B83" w:rsidR="00231B83" w:rsidP="0088361D" w:rsidRDefault="00231B83" w14:paraId="40686F81"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Opowiada się za lepszą koordynacją zapobiegania niegodziwemu traktowaniu dzieci w celach seksualnych i jego zwalczania w państwach członkowskich i na szczeblu krajowym. Popiera propozycję, by zobowiązać państwa członkowskie do powołania krajowych organów odpowiedzialnych za tę koordynację.</w:t>
      </w:r>
    </w:p>
    <w:p w:rsidRPr="00231B83" w:rsidR="00231B83" w:rsidP="0088361D" w:rsidRDefault="00231B83" w14:paraId="018A78B7"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Podkreśla, że w całej UE zarówno skuteczne ściganie przestępców, jak i zapewnienie ochrony ofiar wymaga wspólnych minimalnych standardów dotyczących definiowania przestępstw i wysokości kar. Opowiada się za kryminalizacją tzw. podręczników dla pedofili.</w:t>
      </w:r>
    </w:p>
    <w:p w:rsidRPr="00231B83" w:rsidR="00231B83" w:rsidP="0088361D" w:rsidRDefault="00231B83" w14:paraId="3845B795"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Postuluje wyraźne uregulowanie międzynarodowej wymiany danych dotyczących niegodziwego traktowania w celach seksualnych i wykorzystywania seksualnego dzieci oraz zwiększenie możliwości gromadzenia danych we wszystkich państwach członkowskich wraz z utworzeniem unijnego centrum badawczego.</w:t>
      </w:r>
    </w:p>
    <w:p w:rsidRPr="00231B83" w:rsidR="00231B83" w:rsidP="0088361D" w:rsidRDefault="00231B83" w14:paraId="65A0A452" w14:textId="4011781A">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Opowiada się za przewidzianą we wniosku poprawą zapobiegania niegodziwemu traktowaniu w</w:t>
      </w:r>
      <w:r w:rsidR="00C62951">
        <w:t> </w:t>
      </w:r>
      <w:r>
        <w:t>celach seksualnych i wykorzystywaniu seksualnemu oraz skuteczniejszą pomocą ofiarom. Popiera proponowane podwyższenie minimalnych kar i wydłużenie terminów przedawnienia.</w:t>
      </w:r>
    </w:p>
    <w:p w:rsidRPr="00231B83" w:rsidR="00231B83" w:rsidP="0088361D" w:rsidRDefault="00231B83" w14:paraId="5ECCD73F"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 xml:space="preserve">Podkreśla znaczenie ustawicznego szkolenia pracowników organów ścigania i wszystkich osób mających do czynienia z dziećmi. </w:t>
      </w:r>
    </w:p>
    <w:p w:rsidRPr="00231B83" w:rsidR="00231B83" w:rsidP="0088361D" w:rsidRDefault="00231B83" w14:paraId="736A7695" w14:textId="28017B41">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Jest zdania, że zaangażowanie społeczeństwa obywatelskiego ma kluczowe znaczenie dla walki z</w:t>
      </w:r>
      <w:r w:rsidR="00C62951">
        <w:t> </w:t>
      </w:r>
      <w:r>
        <w:t>niegodziwym traktowaniem w celach seksualnych i z wykorzystywaniem seksualnym dzieci, jak i dla zapobiegania tym procederom oraz wspierania ofiar.</w:t>
      </w:r>
    </w:p>
    <w:p w:rsidRPr="00231B83" w:rsidR="00231B83" w:rsidP="00231B83" w:rsidRDefault="00231B83" w14:paraId="56542525" w14:textId="77777777">
      <w:pPr>
        <w:keepNext/>
        <w:keepLines/>
        <w:tabs>
          <w:tab w:val="center" w:pos="284"/>
        </w:tabs>
        <w:spacing w:after="200" w:line="276" w:lineRule="auto"/>
        <w:ind w:left="720"/>
        <w:contextualSpacing/>
        <w:rPr>
          <w:lang w:eastAsia="zh-CN"/>
        </w:rPr>
      </w:pPr>
    </w:p>
    <w:tbl>
      <w:tblPr>
        <w:tblStyle w:val="TableGrid198"/>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231B83" w:rsidR="00231B83" w:rsidTr="00D76388" w14:paraId="6F02E59D" w14:textId="77777777">
        <w:tc>
          <w:tcPr>
            <w:tcW w:w="1556" w:type="pct"/>
          </w:tcPr>
          <w:p w:rsidRPr="00231B83" w:rsidR="00231B83" w:rsidP="00231B83" w:rsidRDefault="00231B83" w14:paraId="7521CF62" w14:textId="77777777">
            <w:pPr>
              <w:overflowPunct w:val="0"/>
              <w:autoSpaceDE w:val="0"/>
              <w:autoSpaceDN w:val="0"/>
              <w:adjustRightInd w:val="0"/>
              <w:spacing w:line="240" w:lineRule="auto"/>
              <w:textAlignment w:val="baseline"/>
              <w:rPr>
                <w:i/>
              </w:rPr>
            </w:pPr>
            <w:r>
              <w:rPr>
                <w:b/>
                <w:i/>
              </w:rPr>
              <w:t>Kontakt</w:t>
            </w:r>
          </w:p>
        </w:tc>
        <w:tc>
          <w:tcPr>
            <w:tcW w:w="3444" w:type="pct"/>
          </w:tcPr>
          <w:p w:rsidRPr="00231B83" w:rsidR="00231B83" w:rsidP="00231B83" w:rsidRDefault="00231B83" w14:paraId="2D1DE5BA" w14:textId="0EBC0353">
            <w:pPr>
              <w:overflowPunct w:val="0"/>
              <w:autoSpaceDE w:val="0"/>
              <w:autoSpaceDN w:val="0"/>
              <w:adjustRightInd w:val="0"/>
              <w:spacing w:line="240" w:lineRule="auto"/>
              <w:textAlignment w:val="baseline"/>
              <w:rPr>
                <w:i/>
              </w:rPr>
            </w:pPr>
            <w:r>
              <w:rPr>
                <w:i/>
              </w:rPr>
              <w:t>Sabrina Borg</w:t>
            </w:r>
          </w:p>
        </w:tc>
      </w:tr>
      <w:tr w:rsidRPr="00231B83" w:rsidR="00231B83" w:rsidTr="00D76388" w14:paraId="15DA8A6B" w14:textId="77777777">
        <w:tc>
          <w:tcPr>
            <w:tcW w:w="1556" w:type="pct"/>
          </w:tcPr>
          <w:p w:rsidRPr="00231B83" w:rsidR="00231B83" w:rsidP="00231B83" w:rsidRDefault="00231B83" w14:paraId="5D2F9817" w14:textId="77777777">
            <w:pPr>
              <w:overflowPunct w:val="0"/>
              <w:autoSpaceDE w:val="0"/>
              <w:autoSpaceDN w:val="0"/>
              <w:adjustRightInd w:val="0"/>
              <w:spacing w:line="240" w:lineRule="auto"/>
              <w:textAlignment w:val="baseline"/>
              <w:rPr>
                <w:i/>
              </w:rPr>
            </w:pPr>
            <w:r>
              <w:rPr>
                <w:i/>
              </w:rPr>
              <w:t>Tel.:</w:t>
            </w:r>
          </w:p>
        </w:tc>
        <w:tc>
          <w:tcPr>
            <w:tcW w:w="3444" w:type="pct"/>
          </w:tcPr>
          <w:p w:rsidRPr="00231B83" w:rsidR="00231B83" w:rsidP="00231B83" w:rsidRDefault="00231B83" w14:paraId="05EAA577" w14:textId="77777777">
            <w:pPr>
              <w:overflowPunct w:val="0"/>
              <w:autoSpaceDE w:val="0"/>
              <w:autoSpaceDN w:val="0"/>
              <w:adjustRightInd w:val="0"/>
              <w:spacing w:line="240" w:lineRule="auto"/>
              <w:textAlignment w:val="baseline"/>
              <w:rPr>
                <w:i/>
              </w:rPr>
            </w:pPr>
            <w:r>
              <w:rPr>
                <w:i/>
              </w:rPr>
              <w:t>+32 25469727</w:t>
            </w:r>
          </w:p>
        </w:tc>
      </w:tr>
      <w:tr w:rsidRPr="00231B83" w:rsidR="00231B83" w:rsidTr="00D76388" w14:paraId="1E2FE15B" w14:textId="77777777">
        <w:tc>
          <w:tcPr>
            <w:tcW w:w="1556" w:type="pct"/>
          </w:tcPr>
          <w:p w:rsidRPr="00231B83" w:rsidR="00231B83" w:rsidP="00231B83" w:rsidRDefault="00231B83" w14:paraId="7BFCE995" w14:textId="77777777">
            <w:pPr>
              <w:overflowPunct w:val="0"/>
              <w:autoSpaceDE w:val="0"/>
              <w:autoSpaceDN w:val="0"/>
              <w:adjustRightInd w:val="0"/>
              <w:spacing w:line="240" w:lineRule="auto"/>
              <w:textAlignment w:val="baseline"/>
              <w:rPr>
                <w:i/>
              </w:rPr>
            </w:pPr>
            <w:r>
              <w:rPr>
                <w:i/>
              </w:rPr>
              <w:t>e-mail:</w:t>
            </w:r>
          </w:p>
        </w:tc>
        <w:tc>
          <w:tcPr>
            <w:tcW w:w="3444" w:type="pct"/>
          </w:tcPr>
          <w:p w:rsidRPr="00231B83" w:rsidR="00231B83" w:rsidP="00231B83" w:rsidRDefault="00EE19DE" w14:paraId="3099FA9B" w14:textId="77777777">
            <w:pPr>
              <w:overflowPunct w:val="0"/>
              <w:autoSpaceDE w:val="0"/>
              <w:autoSpaceDN w:val="0"/>
              <w:adjustRightInd w:val="0"/>
              <w:spacing w:line="240" w:lineRule="auto"/>
              <w:textAlignment w:val="baseline"/>
              <w:rPr>
                <w:color w:val="0000FF"/>
                <w:u w:val="single"/>
              </w:rPr>
            </w:pPr>
            <w:hyperlink w:history="1" r:id="rId25">
              <w:r w:rsidR="000B64C3">
                <w:rPr>
                  <w:i/>
                  <w:color w:val="0000FF"/>
                  <w:u w:val="single"/>
                </w:rPr>
                <w:t>Sabrina.Borg@eesc.europa.eu</w:t>
              </w:r>
            </w:hyperlink>
          </w:p>
        </w:tc>
      </w:tr>
    </w:tbl>
    <w:p w:rsidR="00C37F51" w:rsidP="00C37F51" w:rsidRDefault="00C37F51" w14:paraId="41E9FBDD" w14:textId="48702BEB">
      <w:pPr>
        <w:rPr>
          <w:rFonts w:eastAsiaTheme="minorEastAsia"/>
        </w:rPr>
      </w:pPr>
    </w:p>
    <w:p w:rsidR="00231B83" w:rsidRDefault="00231B83" w14:paraId="1E1037F2" w14:textId="77777777">
      <w:pPr>
        <w:spacing w:after="160" w:line="259" w:lineRule="auto"/>
        <w:jc w:val="left"/>
        <w:rPr>
          <w:rFonts w:eastAsiaTheme="minorEastAsia"/>
        </w:rPr>
      </w:pPr>
      <w:r>
        <w:br w:type="page"/>
      </w:r>
    </w:p>
    <w:p w:rsidRPr="00D7590E" w:rsidR="00D7590E" w:rsidP="00D7590E" w:rsidRDefault="00D7590E" w14:paraId="79AB08AB" w14:textId="027EA3AD">
      <w:pPr>
        <w:widowControl w:val="0"/>
        <w:numPr>
          <w:ilvl w:val="0"/>
          <w:numId w:val="27"/>
        </w:numPr>
        <w:overflowPunct w:val="0"/>
        <w:autoSpaceDE w:val="0"/>
        <w:autoSpaceDN w:val="0"/>
        <w:adjustRightInd w:val="0"/>
        <w:ind w:hanging="567"/>
        <w:textAlignment w:val="baseline"/>
        <w:rPr>
          <w:b/>
          <w:bCs/>
          <w:i/>
          <w:iCs/>
          <w:color w:val="0000FF"/>
          <w:sz w:val="28"/>
          <w:szCs w:val="28"/>
          <w:u w:val="single"/>
        </w:rPr>
      </w:pPr>
      <w:r w:rsidRPr="00D7590E">
        <w:rPr>
          <w:b/>
          <w:i/>
          <w:sz w:val="28"/>
        </w:rPr>
        <w:lastRenderedPageBreak/>
        <w:fldChar w:fldCharType="begin"/>
      </w:r>
      <w:r w:rsidRPr="00D7590E">
        <w:rPr>
          <w:b/>
          <w:i/>
          <w:sz w:val="28"/>
        </w:rPr>
        <w:instrText xml:space="preserve"> HYPERLINK "https://www.eesc.europa.eu/pl/our-work/opinions-information-reports/opinions/anti-smuggling-package" </w:instrText>
      </w:r>
      <w:r w:rsidRPr="00D7590E">
        <w:rPr>
          <w:b/>
          <w:i/>
          <w:sz w:val="28"/>
        </w:rPr>
        <w:fldChar w:fldCharType="separate"/>
      </w:r>
      <w:r>
        <w:rPr>
          <w:b/>
          <w:i/>
          <w:color w:val="0000FF"/>
          <w:sz w:val="28"/>
          <w:u w:val="single"/>
        </w:rPr>
        <w:t>Pakiet dotyczący zwalczania przemytu</w:t>
      </w:r>
    </w:p>
    <w:p w:rsidRPr="00D7590E" w:rsidR="00D7590E" w:rsidP="00D7590E" w:rsidRDefault="00D7590E" w14:paraId="31787A8A" w14:textId="77777777">
      <w:pPr>
        <w:widowControl w:val="0"/>
        <w:overflowPunct w:val="0"/>
        <w:autoSpaceDE w:val="0"/>
        <w:autoSpaceDN w:val="0"/>
        <w:adjustRightInd w:val="0"/>
        <w:ind w:left="567"/>
        <w:textAlignment w:val="baseline"/>
        <w:rPr>
          <w:b/>
          <w:i/>
          <w:sz w:val="16"/>
        </w:rPr>
      </w:pPr>
      <w:r w:rsidRPr="00D7590E">
        <w:rPr>
          <w:b/>
          <w:i/>
          <w:sz w:val="28"/>
        </w:rPr>
        <w:fldChar w:fldCharType="end"/>
      </w:r>
    </w:p>
    <w:tbl>
      <w:tblPr>
        <w:tblStyle w:val="TableGrid199"/>
        <w:tblW w:w="359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643"/>
      </w:tblGrid>
      <w:tr w:rsidRPr="00D7590E" w:rsidR="00D7590E" w:rsidTr="00D76388" w14:paraId="47DE81F4" w14:textId="77777777">
        <w:tc>
          <w:tcPr>
            <w:tcW w:w="1522" w:type="pct"/>
          </w:tcPr>
          <w:p w:rsidRPr="00D7590E" w:rsidR="00D7590E" w:rsidP="00D7590E" w:rsidRDefault="00D7590E" w14:paraId="7601C1B1" w14:textId="77777777">
            <w:pPr>
              <w:overflowPunct w:val="0"/>
              <w:autoSpaceDE w:val="0"/>
              <w:autoSpaceDN w:val="0"/>
              <w:adjustRightInd w:val="0"/>
              <w:ind w:left="-113"/>
              <w:textAlignment w:val="baseline"/>
              <w:rPr>
                <w:b/>
              </w:rPr>
            </w:pPr>
            <w:r>
              <w:rPr>
                <w:b/>
              </w:rPr>
              <w:t>Sprawozdawca</w:t>
            </w:r>
          </w:p>
        </w:tc>
        <w:tc>
          <w:tcPr>
            <w:tcW w:w="3478" w:type="pct"/>
          </w:tcPr>
          <w:p w:rsidRPr="00D7590E" w:rsidR="00D7590E" w:rsidP="00D7590E" w:rsidRDefault="00D7590E" w14:paraId="3C70A108" w14:textId="77777777">
            <w:pPr>
              <w:tabs>
                <w:tab w:val="left" w:pos="4572"/>
              </w:tabs>
              <w:overflowPunct w:val="0"/>
              <w:autoSpaceDE w:val="0"/>
              <w:autoSpaceDN w:val="0"/>
              <w:adjustRightInd w:val="0"/>
              <w:ind w:left="-113" w:right="-823"/>
              <w:textAlignment w:val="baseline"/>
            </w:pPr>
            <w:proofErr w:type="spellStart"/>
            <w:r>
              <w:t>Florin</w:t>
            </w:r>
            <w:proofErr w:type="spellEnd"/>
            <w:r>
              <w:t xml:space="preserve"> BERCEA (Grupa Pracowników – RO)</w:t>
            </w:r>
          </w:p>
        </w:tc>
      </w:tr>
      <w:tr w:rsidRPr="00D7590E" w:rsidR="00D7590E" w:rsidTr="00D76388" w14:paraId="3E8F8F3E" w14:textId="77777777">
        <w:tc>
          <w:tcPr>
            <w:tcW w:w="1522" w:type="pct"/>
            <w:vMerge w:val="restart"/>
          </w:tcPr>
          <w:p w:rsidR="002910B2" w:rsidP="00D7590E" w:rsidRDefault="002910B2" w14:paraId="75A274C2" w14:textId="77777777">
            <w:pPr>
              <w:overflowPunct w:val="0"/>
              <w:autoSpaceDE w:val="0"/>
              <w:autoSpaceDN w:val="0"/>
              <w:adjustRightInd w:val="0"/>
              <w:ind w:left="-113"/>
              <w:textAlignment w:val="baseline"/>
              <w:rPr>
                <w:b/>
              </w:rPr>
            </w:pPr>
          </w:p>
          <w:p w:rsidRPr="00D7590E" w:rsidR="00D7590E" w:rsidP="00D7590E" w:rsidRDefault="00D7590E" w14:paraId="3E2C4382" w14:textId="06B1FF79">
            <w:pPr>
              <w:overflowPunct w:val="0"/>
              <w:autoSpaceDE w:val="0"/>
              <w:autoSpaceDN w:val="0"/>
              <w:adjustRightInd w:val="0"/>
              <w:ind w:left="-113"/>
              <w:textAlignment w:val="baseline"/>
              <w:rPr>
                <w:b/>
              </w:rPr>
            </w:pPr>
            <w:r>
              <w:rPr>
                <w:b/>
              </w:rPr>
              <w:t>Dokument źródłowy</w:t>
            </w:r>
          </w:p>
        </w:tc>
        <w:tc>
          <w:tcPr>
            <w:tcW w:w="3478" w:type="pct"/>
          </w:tcPr>
          <w:p w:rsidR="002910B2" w:rsidP="00D7590E" w:rsidRDefault="002910B2" w14:paraId="0FA5CA76" w14:textId="77777777">
            <w:pPr>
              <w:tabs>
                <w:tab w:val="left" w:pos="4430"/>
              </w:tabs>
              <w:overflowPunct w:val="0"/>
              <w:autoSpaceDE w:val="0"/>
              <w:autoSpaceDN w:val="0"/>
              <w:adjustRightInd w:val="0"/>
              <w:ind w:left="-113" w:right="-823"/>
              <w:textAlignment w:val="baseline"/>
            </w:pPr>
          </w:p>
          <w:p w:rsidR="002910B2" w:rsidP="00D7590E" w:rsidRDefault="002910B2" w14:paraId="5F4D5AFF" w14:textId="5358FA32">
            <w:pPr>
              <w:tabs>
                <w:tab w:val="left" w:pos="4430"/>
              </w:tabs>
              <w:overflowPunct w:val="0"/>
              <w:autoSpaceDE w:val="0"/>
              <w:autoSpaceDN w:val="0"/>
              <w:adjustRightInd w:val="0"/>
              <w:ind w:left="-113" w:right="-823"/>
              <w:textAlignment w:val="baseline"/>
            </w:pPr>
            <w:r>
              <w:t xml:space="preserve">COM(2023) 754 </w:t>
            </w:r>
            <w:proofErr w:type="spellStart"/>
            <w:r>
              <w:t>final</w:t>
            </w:r>
            <w:proofErr w:type="spellEnd"/>
          </w:p>
          <w:p w:rsidR="002910B2" w:rsidP="00D7590E" w:rsidRDefault="002910B2" w14:paraId="17832B6E" w14:textId="1959CA9B">
            <w:pPr>
              <w:tabs>
                <w:tab w:val="left" w:pos="4430"/>
              </w:tabs>
              <w:overflowPunct w:val="0"/>
              <w:autoSpaceDE w:val="0"/>
              <w:autoSpaceDN w:val="0"/>
              <w:adjustRightInd w:val="0"/>
              <w:ind w:left="-113" w:right="-823"/>
              <w:textAlignment w:val="baseline"/>
            </w:pPr>
            <w:r>
              <w:t xml:space="preserve">COM(2023) 755 </w:t>
            </w:r>
            <w:proofErr w:type="spellStart"/>
            <w:r>
              <w:t>final</w:t>
            </w:r>
            <w:proofErr w:type="spellEnd"/>
          </w:p>
          <w:p w:rsidR="00D7590E" w:rsidP="00D7590E" w:rsidRDefault="00D7590E" w14:paraId="44AFC513" w14:textId="6654D3C7">
            <w:pPr>
              <w:tabs>
                <w:tab w:val="left" w:pos="4430"/>
              </w:tabs>
              <w:overflowPunct w:val="0"/>
              <w:autoSpaceDE w:val="0"/>
              <w:autoSpaceDN w:val="0"/>
              <w:adjustRightInd w:val="0"/>
              <w:ind w:left="-113" w:right="-823"/>
              <w:textAlignment w:val="baseline"/>
            </w:pPr>
            <w:r>
              <w:t>EESC-2024-00141-00-00-AC</w:t>
            </w:r>
          </w:p>
          <w:p w:rsidRPr="00D7590E" w:rsidR="004033C4" w:rsidP="00D7590E" w:rsidRDefault="004033C4" w14:paraId="4326B236" w14:textId="09AFBE82">
            <w:pPr>
              <w:tabs>
                <w:tab w:val="left" w:pos="4430"/>
              </w:tabs>
              <w:overflowPunct w:val="0"/>
              <w:autoSpaceDE w:val="0"/>
              <w:autoSpaceDN w:val="0"/>
              <w:adjustRightInd w:val="0"/>
              <w:ind w:left="-113" w:right="-823"/>
              <w:textAlignment w:val="baseline"/>
            </w:pPr>
          </w:p>
        </w:tc>
      </w:tr>
      <w:tr w:rsidRPr="00D7590E" w:rsidR="00D7590E" w:rsidTr="00D76388" w14:paraId="08D09090" w14:textId="77777777">
        <w:trPr>
          <w:gridAfter w:val="1"/>
          <w:wAfter w:w="3478" w:type="pct"/>
          <w:trHeight w:val="304"/>
        </w:trPr>
        <w:tc>
          <w:tcPr>
            <w:tcW w:w="1522" w:type="pct"/>
            <w:vMerge/>
          </w:tcPr>
          <w:p w:rsidRPr="00D7590E" w:rsidR="00D7590E" w:rsidP="00D7590E" w:rsidRDefault="00D7590E" w14:paraId="24771E42" w14:textId="77777777">
            <w:pPr>
              <w:tabs>
                <w:tab w:val="center" w:pos="284"/>
              </w:tabs>
              <w:overflowPunct w:val="0"/>
              <w:autoSpaceDE w:val="0"/>
              <w:autoSpaceDN w:val="0"/>
              <w:adjustRightInd w:val="0"/>
              <w:ind w:left="266" w:hanging="266"/>
              <w:textAlignment w:val="baseline"/>
              <w:rPr>
                <w:b/>
              </w:rPr>
            </w:pPr>
          </w:p>
        </w:tc>
      </w:tr>
    </w:tbl>
    <w:p w:rsidRPr="00D7590E" w:rsidR="00D7590E" w:rsidP="00D7590E" w:rsidRDefault="00D7590E" w14:paraId="44469BD6" w14:textId="77777777">
      <w:pPr>
        <w:keepNext/>
        <w:keepLines/>
        <w:tabs>
          <w:tab w:val="center" w:pos="284"/>
        </w:tabs>
        <w:overflowPunct w:val="0"/>
        <w:autoSpaceDE w:val="0"/>
        <w:autoSpaceDN w:val="0"/>
        <w:adjustRightInd w:val="0"/>
        <w:ind w:left="266" w:hanging="266"/>
        <w:textAlignment w:val="baseline"/>
        <w:rPr>
          <w:b/>
        </w:rPr>
      </w:pPr>
      <w:r>
        <w:rPr>
          <w:b/>
        </w:rPr>
        <w:t>Główne punkty</w:t>
      </w:r>
    </w:p>
    <w:p w:rsidRPr="00D7590E" w:rsidR="00D7590E" w:rsidP="00D7590E" w:rsidRDefault="00D7590E" w14:paraId="63D52B12" w14:textId="77777777">
      <w:pPr>
        <w:keepNext/>
        <w:keepLines/>
        <w:tabs>
          <w:tab w:val="center" w:pos="284"/>
        </w:tabs>
        <w:overflowPunct w:val="0"/>
        <w:autoSpaceDE w:val="0"/>
        <w:autoSpaceDN w:val="0"/>
        <w:adjustRightInd w:val="0"/>
        <w:ind w:left="266" w:hanging="266"/>
        <w:textAlignment w:val="baseline"/>
        <w:rPr>
          <w:b/>
          <w:sz w:val="16"/>
          <w:szCs w:val="16"/>
        </w:rPr>
      </w:pPr>
    </w:p>
    <w:p w:rsidRPr="00D7590E" w:rsidR="00D7590E" w:rsidP="00D7590E" w:rsidRDefault="00D7590E" w14:paraId="03E23293" w14:textId="77777777">
      <w:pPr>
        <w:keepNext/>
        <w:keepLines/>
        <w:tabs>
          <w:tab w:val="center" w:pos="284"/>
        </w:tabs>
        <w:overflowPunct w:val="0"/>
        <w:autoSpaceDE w:val="0"/>
        <w:autoSpaceDN w:val="0"/>
        <w:adjustRightInd w:val="0"/>
        <w:ind w:left="266" w:hanging="266"/>
        <w:textAlignment w:val="baseline"/>
        <w:rPr>
          <w:szCs w:val="20"/>
        </w:rPr>
      </w:pPr>
      <w:r>
        <w:t>EKES</w:t>
      </w:r>
    </w:p>
    <w:p w:rsidRPr="00D7590E" w:rsidR="00D7590E" w:rsidP="00D7590E" w:rsidRDefault="00D7590E" w14:paraId="17BAED7F" w14:textId="77777777">
      <w:pPr>
        <w:keepNext/>
        <w:keepLines/>
        <w:tabs>
          <w:tab w:val="center" w:pos="284"/>
        </w:tabs>
        <w:overflowPunct w:val="0"/>
        <w:autoSpaceDE w:val="0"/>
        <w:autoSpaceDN w:val="0"/>
        <w:adjustRightInd w:val="0"/>
        <w:ind w:left="266" w:hanging="266"/>
        <w:textAlignment w:val="baseline"/>
        <w:rPr>
          <w:b/>
          <w:sz w:val="16"/>
          <w:szCs w:val="16"/>
        </w:rPr>
      </w:pPr>
    </w:p>
    <w:p w:rsidRPr="00D7590E" w:rsidR="00D7590E" w:rsidP="0088361D" w:rsidRDefault="00D7590E" w14:paraId="7935EE89"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Stwierdza, że wnioski ustawodawcze i sojusz światowy proponują proporcjonalne i stopniowe budowanie potencjału. Jednak aby skutecznie uporać się z tym procesem, potrzebne są bardziej strategiczne cele i zobowiązanie.</w:t>
      </w:r>
    </w:p>
    <w:p w:rsidRPr="00D7590E" w:rsidR="00D7590E" w:rsidP="0088361D" w:rsidRDefault="00D7590E" w14:paraId="250CEFF6"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Uznaje, że zwalczanie przemytu migrantów wymaga nowego impulsu i lepszej koordynacji na wszystkich szczeblach. Uważa jednocześnie, że istotne jest otwarcie kanałów i procedur legalnej migracji dla osób, które chcą bezpiecznie i legalnie dotrzeć do UE.</w:t>
      </w:r>
    </w:p>
    <w:p w:rsidRPr="00D7590E" w:rsidR="00D7590E" w:rsidP="0088361D" w:rsidRDefault="00D7590E" w14:paraId="7C5E834F" w14:textId="0F238AF1">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Uznaje, że w celu umożliwienia skutecznego funkcjonowania systemu azylowego UE istotne jest znalezienie sposobów rozwiązania problemów związanych z systematycznym zawracaniem osób na zewnętrznej granicy UE, ponieważ jest to zakazane na mocy konwencji genewskiej. Brak bezpiecznych i legalnych dróg przedostania się do UE sprawia, że uchodźcy i migranci poszukujący bezpieczeństwa nie mają innego wyjścia niż skorzystanie z bardziej niebezpiecznych dróg, które stwarzają zagrożenie dla ich życia.</w:t>
      </w:r>
    </w:p>
    <w:p w:rsidRPr="00D7590E" w:rsidR="00D7590E" w:rsidP="0088361D" w:rsidRDefault="00D7590E" w14:paraId="50E070D3"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Wzywa Komisję do opracowania solidniejszego podejścia wykraczającego poza światowy sojusz, aby wzmocnić zdolność państw trzecich i zachęcić do współpracy z Europolem i organami ścigania państw członkowskich.</w:t>
      </w:r>
    </w:p>
    <w:p w:rsidRPr="00D7590E" w:rsidR="00D7590E" w:rsidP="0088361D" w:rsidRDefault="00D7590E" w14:paraId="4D5523B2" w14:textId="51739B63">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Ubolewa, że pakiet nie obejmuje osób korzystających z usług przemytników migrantów, mimo że uznaje się je za potencjalne ofiary. UE musi uwzględnić w swojej strategii zwalczania przemytu wymiar praw podstawowych osób, które są na tyle zdesperowane i bezbronne, aby korzystać z</w:t>
      </w:r>
      <w:r w:rsidR="00C62951">
        <w:t> </w:t>
      </w:r>
      <w:r>
        <w:t>usług przemytników. Polityka ta powinna być również bardziej ukierunkowana na grupy osób, które są jeszcze bardziej podatne na zagrożenia, takie jak osoby z niepełnosprawnościami.</w:t>
      </w:r>
    </w:p>
    <w:p w:rsidRPr="00D7590E" w:rsidR="00D7590E" w:rsidP="0088361D" w:rsidRDefault="00D7590E" w14:paraId="564743B9"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 xml:space="preserve">Apeluje o większą przejrzystość w przygotowywaniu wniosków, ponieważ nie towarzyszyło im sprawozdanie z oceny skutków ex </w:t>
      </w:r>
      <w:proofErr w:type="spellStart"/>
      <w:r>
        <w:t>ante</w:t>
      </w:r>
      <w:proofErr w:type="spellEnd"/>
      <w:r>
        <w:t>.</w:t>
      </w:r>
    </w:p>
    <w:p w:rsidRPr="00D7590E" w:rsidR="00D7590E" w:rsidP="0088361D" w:rsidRDefault="00D7590E" w14:paraId="06FDE4CE"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Z zadowoleniem przyjmuje dyrektywę, lecz ostrzega, że jej treść może znacznie wpłynąć na prawa podstawowe migrantów i osób pomagających im ze względów humanitarnych. Komitet uważa, że tworzenie i podtrzymywanie atmosfery strachu wokół pomocy humanitarnej, prawnej, a nawet administracyjnej jest niewłaściwym i niedopuszczalnym sposobem zwalczania przemytu.</w:t>
      </w:r>
    </w:p>
    <w:p w:rsidR="00D7590E" w:rsidP="00620F8C" w:rsidRDefault="00D7590E" w14:paraId="553F6915" w14:textId="065B4B8E">
      <w:pPr>
        <w:keepNext/>
        <w:keepLines/>
        <w:numPr>
          <w:ilvl w:val="0"/>
          <w:numId w:val="37"/>
        </w:numPr>
        <w:tabs>
          <w:tab w:val="center" w:pos="284"/>
        </w:tabs>
        <w:overflowPunct w:val="0"/>
        <w:autoSpaceDE w:val="0"/>
        <w:autoSpaceDN w:val="0"/>
        <w:adjustRightInd w:val="0"/>
        <w:spacing w:after="60" w:line="276" w:lineRule="auto"/>
        <w:ind w:left="284" w:hanging="284"/>
        <w:contextualSpacing/>
        <w:textAlignment w:val="baseline"/>
      </w:pPr>
      <w:r>
        <w:t>Uważa ponadto, że osoby niosące pomoc humanitarną, członkowie rodzin i inne osoby świadczące usługi migrantom nie powinni być ścigani. Podstawą do ścigania powinno być jedynie czerpanie nienależnych korzyści finansowych.</w:t>
      </w:r>
    </w:p>
    <w:p w:rsidRPr="00D7590E" w:rsidR="00620F8C" w:rsidP="0088361D" w:rsidRDefault="00620F8C" w14:paraId="776E4AB1" w14:textId="77777777">
      <w:pPr>
        <w:keepNext/>
        <w:keepLines/>
        <w:tabs>
          <w:tab w:val="center" w:pos="284"/>
        </w:tabs>
        <w:overflowPunct w:val="0"/>
        <w:autoSpaceDE w:val="0"/>
        <w:autoSpaceDN w:val="0"/>
        <w:adjustRightInd w:val="0"/>
        <w:spacing w:after="60" w:line="276" w:lineRule="auto"/>
        <w:ind w:left="360"/>
        <w:contextualSpacing/>
        <w:textAlignment w:val="baseline"/>
        <w:rPr>
          <w:lang w:eastAsia="zh-CN"/>
        </w:rPr>
      </w:pPr>
    </w:p>
    <w:tbl>
      <w:tblPr>
        <w:tblStyle w:val="TableGrid19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D7590E" w:rsidR="00D7590E" w:rsidTr="00D76388" w14:paraId="165052D1" w14:textId="77777777">
        <w:tc>
          <w:tcPr>
            <w:tcW w:w="1556" w:type="pct"/>
          </w:tcPr>
          <w:p w:rsidRPr="00D7590E" w:rsidR="00D7590E" w:rsidP="00D7590E" w:rsidRDefault="00D7590E" w14:paraId="7CAF37F2" w14:textId="77777777">
            <w:pPr>
              <w:overflowPunct w:val="0"/>
              <w:autoSpaceDE w:val="0"/>
              <w:autoSpaceDN w:val="0"/>
              <w:adjustRightInd w:val="0"/>
              <w:spacing w:line="240" w:lineRule="auto"/>
              <w:textAlignment w:val="baseline"/>
              <w:rPr>
                <w:i/>
              </w:rPr>
            </w:pPr>
            <w:r>
              <w:rPr>
                <w:b/>
                <w:i/>
              </w:rPr>
              <w:t>Kontakt</w:t>
            </w:r>
          </w:p>
        </w:tc>
        <w:tc>
          <w:tcPr>
            <w:tcW w:w="3444" w:type="pct"/>
          </w:tcPr>
          <w:p w:rsidRPr="00D7590E" w:rsidR="00D7590E" w:rsidP="00D7590E" w:rsidRDefault="00D7590E" w14:paraId="69023FA4" w14:textId="3F3DC72A">
            <w:pPr>
              <w:overflowPunct w:val="0"/>
              <w:autoSpaceDE w:val="0"/>
              <w:autoSpaceDN w:val="0"/>
              <w:adjustRightInd w:val="0"/>
              <w:spacing w:line="240" w:lineRule="auto"/>
              <w:textAlignment w:val="baseline"/>
              <w:rPr>
                <w:i/>
              </w:rPr>
            </w:pPr>
            <w:r>
              <w:rPr>
                <w:i/>
              </w:rPr>
              <w:t xml:space="preserve">Gemma </w:t>
            </w:r>
            <w:proofErr w:type="spellStart"/>
            <w:r>
              <w:rPr>
                <w:i/>
              </w:rPr>
              <w:t>Amran</w:t>
            </w:r>
            <w:proofErr w:type="spellEnd"/>
          </w:p>
        </w:tc>
      </w:tr>
      <w:tr w:rsidRPr="00D7590E" w:rsidR="00D7590E" w:rsidTr="00D76388" w14:paraId="3A4D6C2E" w14:textId="77777777">
        <w:tc>
          <w:tcPr>
            <w:tcW w:w="1556" w:type="pct"/>
          </w:tcPr>
          <w:p w:rsidRPr="00D7590E" w:rsidR="00D7590E" w:rsidP="00D7590E" w:rsidRDefault="00D7590E" w14:paraId="2285E668" w14:textId="77777777">
            <w:pPr>
              <w:overflowPunct w:val="0"/>
              <w:autoSpaceDE w:val="0"/>
              <w:autoSpaceDN w:val="0"/>
              <w:adjustRightInd w:val="0"/>
              <w:spacing w:line="240" w:lineRule="auto"/>
              <w:textAlignment w:val="baseline"/>
              <w:rPr>
                <w:i/>
              </w:rPr>
            </w:pPr>
            <w:r>
              <w:rPr>
                <w:i/>
              </w:rPr>
              <w:t>Tel.:</w:t>
            </w:r>
          </w:p>
        </w:tc>
        <w:tc>
          <w:tcPr>
            <w:tcW w:w="3444" w:type="pct"/>
          </w:tcPr>
          <w:p w:rsidRPr="00D7590E" w:rsidR="00D7590E" w:rsidP="00D7590E" w:rsidRDefault="00D7590E" w14:paraId="05E4EC64" w14:textId="77777777">
            <w:pPr>
              <w:overflowPunct w:val="0"/>
              <w:autoSpaceDE w:val="0"/>
              <w:autoSpaceDN w:val="0"/>
              <w:adjustRightInd w:val="0"/>
              <w:spacing w:line="240" w:lineRule="auto"/>
              <w:textAlignment w:val="baseline"/>
              <w:rPr>
                <w:i/>
              </w:rPr>
            </w:pPr>
            <w:r>
              <w:rPr>
                <w:i/>
              </w:rPr>
              <w:t>+32 25469415</w:t>
            </w:r>
          </w:p>
        </w:tc>
      </w:tr>
      <w:tr w:rsidRPr="00D7590E" w:rsidR="00D7590E" w:rsidTr="00D76388" w14:paraId="0930D7A4" w14:textId="77777777">
        <w:tc>
          <w:tcPr>
            <w:tcW w:w="1556" w:type="pct"/>
          </w:tcPr>
          <w:p w:rsidRPr="00D7590E" w:rsidR="00D7590E" w:rsidP="00D7590E" w:rsidRDefault="00D7590E" w14:paraId="473BEEDC" w14:textId="77777777">
            <w:pPr>
              <w:overflowPunct w:val="0"/>
              <w:autoSpaceDE w:val="0"/>
              <w:autoSpaceDN w:val="0"/>
              <w:adjustRightInd w:val="0"/>
              <w:spacing w:line="240" w:lineRule="auto"/>
              <w:textAlignment w:val="baseline"/>
              <w:rPr>
                <w:i/>
              </w:rPr>
            </w:pPr>
            <w:r>
              <w:rPr>
                <w:i/>
              </w:rPr>
              <w:t>e-mail:</w:t>
            </w:r>
          </w:p>
        </w:tc>
        <w:tc>
          <w:tcPr>
            <w:tcW w:w="3444" w:type="pct"/>
          </w:tcPr>
          <w:p w:rsidRPr="00D7590E" w:rsidR="00D7590E" w:rsidP="00D7590E" w:rsidRDefault="00EE19DE" w14:paraId="61475911" w14:textId="77777777">
            <w:pPr>
              <w:overflowPunct w:val="0"/>
              <w:autoSpaceDE w:val="0"/>
              <w:autoSpaceDN w:val="0"/>
              <w:adjustRightInd w:val="0"/>
              <w:spacing w:line="240" w:lineRule="auto"/>
              <w:textAlignment w:val="baseline"/>
              <w:rPr>
                <w:color w:val="0000FF"/>
                <w:u w:val="single"/>
              </w:rPr>
            </w:pPr>
            <w:hyperlink w:history="1" r:id="rId26">
              <w:r w:rsidR="000B64C3">
                <w:rPr>
                  <w:i/>
                  <w:color w:val="0000FF"/>
                  <w:u w:val="single"/>
                </w:rPr>
                <w:t>Gemma.Amran@eesc.europa.eu</w:t>
              </w:r>
            </w:hyperlink>
          </w:p>
        </w:tc>
      </w:tr>
    </w:tbl>
    <w:p w:rsidR="009E4F7F" w:rsidRDefault="009E4F7F" w14:paraId="44124BD4" w14:textId="77777777">
      <w:pPr>
        <w:spacing w:after="160" w:line="259" w:lineRule="auto"/>
        <w:jc w:val="left"/>
        <w:rPr>
          <w:rFonts w:eastAsiaTheme="minorEastAsia"/>
        </w:rPr>
      </w:pPr>
    </w:p>
    <w:p w:rsidR="009E4F7F" w:rsidRDefault="009E4F7F" w14:paraId="01C3F58C" w14:textId="77777777">
      <w:pPr>
        <w:spacing w:after="160" w:line="259" w:lineRule="auto"/>
        <w:jc w:val="left"/>
        <w:rPr>
          <w:rFonts w:eastAsiaTheme="minorEastAsia"/>
        </w:rPr>
      </w:pPr>
      <w:r>
        <w:br w:type="page"/>
      </w:r>
    </w:p>
    <w:p w:rsidRPr="00C62951" w:rsidR="003A3334" w:rsidP="003A3334" w:rsidRDefault="00EE19DE" w14:paraId="16AA32C0" w14:textId="5B1CF80F">
      <w:pPr>
        <w:widowControl w:val="0"/>
        <w:numPr>
          <w:ilvl w:val="0"/>
          <w:numId w:val="27"/>
        </w:numPr>
        <w:overflowPunct w:val="0"/>
        <w:autoSpaceDE w:val="0"/>
        <w:autoSpaceDN w:val="0"/>
        <w:adjustRightInd w:val="0"/>
        <w:ind w:hanging="567"/>
        <w:textAlignment w:val="baseline"/>
        <w:rPr>
          <w:b/>
          <w:bCs/>
          <w:i/>
          <w:iCs/>
          <w:color w:val="0000FF"/>
          <w:sz w:val="28"/>
          <w:szCs w:val="28"/>
          <w:u w:val="single"/>
        </w:rPr>
      </w:pPr>
      <w:hyperlink w:history="1" r:id="rId27">
        <w:r w:rsidR="000B64C3">
          <w:rPr>
            <w:b/>
            <w:i/>
            <w:color w:val="0000FF"/>
            <w:sz w:val="28"/>
            <w:u w:val="single"/>
          </w:rPr>
          <w:t>Opiekunowie</w:t>
        </w:r>
      </w:hyperlink>
    </w:p>
    <w:p w:rsidRPr="00C62951" w:rsidR="00C62951" w:rsidP="00C62951" w:rsidRDefault="00C62951" w14:paraId="01654227" w14:textId="77777777"/>
    <w:tbl>
      <w:tblPr>
        <w:tblStyle w:val="TableGrid200"/>
        <w:tblW w:w="48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1"/>
        <w:gridCol w:w="4644"/>
        <w:gridCol w:w="2363"/>
      </w:tblGrid>
      <w:tr w:rsidRPr="003A3334" w:rsidR="003A3334" w:rsidTr="00B80E1C" w14:paraId="70782C18" w14:textId="77777777">
        <w:tc>
          <w:tcPr>
            <w:tcW w:w="1124" w:type="pct"/>
          </w:tcPr>
          <w:p w:rsidRPr="003A3334" w:rsidR="003A3334" w:rsidP="003A3334" w:rsidRDefault="003A3334" w14:paraId="6190BAC6" w14:textId="77777777">
            <w:pPr>
              <w:widowControl w:val="0"/>
              <w:overflowPunct w:val="0"/>
              <w:autoSpaceDE w:val="0"/>
              <w:autoSpaceDN w:val="0"/>
              <w:adjustRightInd w:val="0"/>
              <w:ind w:left="-113"/>
              <w:textAlignment w:val="baseline"/>
              <w:rPr>
                <w:b/>
              </w:rPr>
            </w:pPr>
            <w:r>
              <w:rPr>
                <w:b/>
              </w:rPr>
              <w:t>Sprawozdawca</w:t>
            </w:r>
          </w:p>
          <w:p w:rsidRPr="003A3334" w:rsidR="003A3334" w:rsidP="003A3334" w:rsidRDefault="003A3334" w14:paraId="085A384B" w14:textId="77777777">
            <w:pPr>
              <w:widowControl w:val="0"/>
              <w:overflowPunct w:val="0"/>
              <w:autoSpaceDE w:val="0"/>
              <w:autoSpaceDN w:val="0"/>
              <w:adjustRightInd w:val="0"/>
              <w:ind w:left="-113"/>
              <w:textAlignment w:val="baseline"/>
              <w:rPr>
                <w:b/>
              </w:rPr>
            </w:pPr>
          </w:p>
        </w:tc>
        <w:tc>
          <w:tcPr>
            <w:tcW w:w="3876" w:type="pct"/>
            <w:gridSpan w:val="2"/>
          </w:tcPr>
          <w:p w:rsidRPr="003A3334" w:rsidR="003A3334" w:rsidP="003A3334" w:rsidRDefault="003A3334" w14:paraId="082E3A1D" w14:textId="362C45C9">
            <w:pPr>
              <w:widowControl w:val="0"/>
              <w:tabs>
                <w:tab w:val="left" w:pos="4572"/>
              </w:tabs>
              <w:overflowPunct w:val="0"/>
              <w:autoSpaceDE w:val="0"/>
              <w:autoSpaceDN w:val="0"/>
              <w:adjustRightInd w:val="0"/>
              <w:ind w:left="-113" w:right="-823"/>
              <w:textAlignment w:val="baseline"/>
            </w:pPr>
            <w:r>
              <w:t>Pietro Vittorio BARBIERI (Grupa Organizacji Społeczeństwa Obywatelskiego – IT)</w:t>
            </w:r>
          </w:p>
        </w:tc>
      </w:tr>
      <w:tr w:rsidRPr="003A3334" w:rsidR="003A3334" w:rsidTr="00B80E1C" w14:paraId="2C81CF86" w14:textId="77777777">
        <w:trPr>
          <w:gridAfter w:val="1"/>
          <w:wAfter w:w="1307" w:type="pct"/>
        </w:trPr>
        <w:tc>
          <w:tcPr>
            <w:tcW w:w="1124" w:type="pct"/>
            <w:vMerge w:val="restart"/>
          </w:tcPr>
          <w:p w:rsidRPr="003A3334" w:rsidR="003A3334" w:rsidP="003A3334" w:rsidRDefault="003A3334" w14:paraId="4D409273" w14:textId="77777777">
            <w:pPr>
              <w:widowControl w:val="0"/>
              <w:overflowPunct w:val="0"/>
              <w:autoSpaceDE w:val="0"/>
              <w:autoSpaceDN w:val="0"/>
              <w:adjustRightInd w:val="0"/>
              <w:ind w:left="-113"/>
              <w:textAlignment w:val="baseline"/>
              <w:rPr>
                <w:b/>
              </w:rPr>
            </w:pPr>
            <w:r>
              <w:rPr>
                <w:b/>
              </w:rPr>
              <w:t>Dokumenty źródłowe</w:t>
            </w:r>
          </w:p>
        </w:tc>
        <w:tc>
          <w:tcPr>
            <w:tcW w:w="2569" w:type="pct"/>
          </w:tcPr>
          <w:p w:rsidR="00B561FC" w:rsidP="003A3334" w:rsidRDefault="00B561FC" w14:paraId="524ECC14" w14:textId="448EFCF6">
            <w:pPr>
              <w:widowControl w:val="0"/>
              <w:tabs>
                <w:tab w:val="left" w:pos="4430"/>
              </w:tabs>
              <w:overflowPunct w:val="0"/>
              <w:autoSpaceDE w:val="0"/>
              <w:autoSpaceDN w:val="0"/>
              <w:adjustRightInd w:val="0"/>
              <w:ind w:left="-113" w:right="-823"/>
              <w:textAlignment w:val="baseline"/>
            </w:pPr>
            <w:r>
              <w:t>Opinia z inicjatywy własnej</w:t>
            </w:r>
          </w:p>
          <w:p w:rsidRPr="003A3334" w:rsidR="003A3334" w:rsidP="003A3334" w:rsidRDefault="003A3334" w14:paraId="413F17D3" w14:textId="4302AFB5">
            <w:pPr>
              <w:widowControl w:val="0"/>
              <w:tabs>
                <w:tab w:val="left" w:pos="4430"/>
              </w:tabs>
              <w:overflowPunct w:val="0"/>
              <w:autoSpaceDE w:val="0"/>
              <w:autoSpaceDN w:val="0"/>
              <w:adjustRightInd w:val="0"/>
              <w:ind w:left="-113" w:right="-823"/>
              <w:textAlignment w:val="baseline"/>
            </w:pPr>
            <w:r>
              <w:t>EESC-2024-00018-00-00-AC</w:t>
            </w:r>
          </w:p>
        </w:tc>
      </w:tr>
      <w:tr w:rsidRPr="003A3334" w:rsidR="003A3334" w:rsidTr="00B80E1C" w14:paraId="2BFE3251" w14:textId="77777777">
        <w:trPr>
          <w:gridAfter w:val="1"/>
          <w:wAfter w:w="1307" w:type="pct"/>
        </w:trPr>
        <w:tc>
          <w:tcPr>
            <w:tcW w:w="1124" w:type="pct"/>
            <w:vMerge/>
          </w:tcPr>
          <w:p w:rsidRPr="003A3334" w:rsidR="003A3334" w:rsidP="003A3334" w:rsidRDefault="003A3334" w14:paraId="0B03014E" w14:textId="77777777">
            <w:pPr>
              <w:widowControl w:val="0"/>
              <w:tabs>
                <w:tab w:val="center" w:pos="284"/>
              </w:tabs>
              <w:overflowPunct w:val="0"/>
              <w:autoSpaceDE w:val="0"/>
              <w:autoSpaceDN w:val="0"/>
              <w:adjustRightInd w:val="0"/>
              <w:ind w:left="266" w:hanging="266"/>
              <w:textAlignment w:val="baseline"/>
              <w:rPr>
                <w:b/>
              </w:rPr>
            </w:pPr>
          </w:p>
        </w:tc>
        <w:tc>
          <w:tcPr>
            <w:tcW w:w="2569" w:type="pct"/>
          </w:tcPr>
          <w:p w:rsidRPr="003A3334" w:rsidR="003A3334" w:rsidP="003A3334" w:rsidRDefault="003A3334" w14:paraId="0D55B49A" w14:textId="77777777">
            <w:pPr>
              <w:widowControl w:val="0"/>
              <w:tabs>
                <w:tab w:val="center" w:pos="38"/>
                <w:tab w:val="left" w:pos="4430"/>
              </w:tabs>
              <w:overflowPunct w:val="0"/>
              <w:autoSpaceDE w:val="0"/>
              <w:autoSpaceDN w:val="0"/>
              <w:adjustRightInd w:val="0"/>
              <w:ind w:left="266" w:right="-823" w:hanging="370"/>
              <w:textAlignment w:val="baseline"/>
            </w:pPr>
          </w:p>
        </w:tc>
      </w:tr>
    </w:tbl>
    <w:p w:rsidRPr="003A3334" w:rsidR="003A3334" w:rsidP="003A3334" w:rsidRDefault="003A3334" w14:paraId="51DD1402" w14:textId="77CA0EB6">
      <w:pPr>
        <w:widowControl w:val="0"/>
        <w:tabs>
          <w:tab w:val="center" w:pos="284"/>
        </w:tabs>
        <w:overflowPunct w:val="0"/>
        <w:autoSpaceDE w:val="0"/>
        <w:autoSpaceDN w:val="0"/>
        <w:adjustRightInd w:val="0"/>
        <w:ind w:left="266" w:hanging="266"/>
        <w:textAlignment w:val="baseline"/>
        <w:rPr>
          <w:b/>
        </w:rPr>
      </w:pPr>
    </w:p>
    <w:p w:rsidRPr="003A3334" w:rsidR="003A3334" w:rsidP="003A3334" w:rsidRDefault="003A3334" w14:paraId="29556E9D" w14:textId="77777777">
      <w:pPr>
        <w:widowControl w:val="0"/>
        <w:tabs>
          <w:tab w:val="center" w:pos="284"/>
        </w:tabs>
        <w:overflowPunct w:val="0"/>
        <w:autoSpaceDE w:val="0"/>
        <w:autoSpaceDN w:val="0"/>
        <w:adjustRightInd w:val="0"/>
        <w:ind w:left="266" w:hanging="266"/>
        <w:textAlignment w:val="baseline"/>
        <w:rPr>
          <w:b/>
        </w:rPr>
      </w:pPr>
      <w:r>
        <w:rPr>
          <w:b/>
        </w:rPr>
        <w:t>Główne punkty</w:t>
      </w:r>
    </w:p>
    <w:p w:rsidRPr="003A3334" w:rsidR="003A3334" w:rsidP="003A3334" w:rsidRDefault="003A3334" w14:paraId="4D81475D" w14:textId="77777777">
      <w:pPr>
        <w:widowControl w:val="0"/>
        <w:tabs>
          <w:tab w:val="center" w:pos="284"/>
        </w:tabs>
        <w:overflowPunct w:val="0"/>
        <w:autoSpaceDE w:val="0"/>
        <w:autoSpaceDN w:val="0"/>
        <w:adjustRightInd w:val="0"/>
        <w:ind w:left="266" w:hanging="266"/>
        <w:textAlignment w:val="baseline"/>
        <w:rPr>
          <w:b/>
        </w:rPr>
      </w:pPr>
    </w:p>
    <w:p w:rsidRPr="003A3334" w:rsidR="003A3334" w:rsidP="003A3334" w:rsidRDefault="003A3334" w14:paraId="739B9BD1" w14:textId="77777777">
      <w:pPr>
        <w:widowControl w:val="0"/>
        <w:tabs>
          <w:tab w:val="center" w:pos="284"/>
        </w:tabs>
        <w:overflowPunct w:val="0"/>
        <w:autoSpaceDE w:val="0"/>
        <w:autoSpaceDN w:val="0"/>
        <w:adjustRightInd w:val="0"/>
        <w:ind w:left="266" w:hanging="266"/>
        <w:textAlignment w:val="baseline"/>
        <w:rPr>
          <w:szCs w:val="20"/>
        </w:rPr>
      </w:pPr>
      <w:r>
        <w:t>EKES</w:t>
      </w:r>
    </w:p>
    <w:p w:rsidRPr="003A3334" w:rsidR="003A3334" w:rsidP="003A3334" w:rsidRDefault="003A3334" w14:paraId="33B58362" w14:textId="77777777">
      <w:pPr>
        <w:widowControl w:val="0"/>
        <w:tabs>
          <w:tab w:val="center" w:pos="284"/>
        </w:tabs>
        <w:overflowPunct w:val="0"/>
        <w:autoSpaceDE w:val="0"/>
        <w:autoSpaceDN w:val="0"/>
        <w:adjustRightInd w:val="0"/>
        <w:ind w:left="266" w:hanging="266"/>
        <w:textAlignment w:val="baseline"/>
        <w:rPr>
          <w:szCs w:val="20"/>
        </w:rPr>
      </w:pPr>
    </w:p>
    <w:p w:rsidRPr="003A3334" w:rsidR="003A3334" w:rsidP="0088361D" w:rsidRDefault="003A3334" w14:paraId="557E1427" w14:textId="13BD15AB">
      <w:pPr>
        <w:numPr>
          <w:ilvl w:val="0"/>
          <w:numId w:val="38"/>
        </w:numPr>
        <w:overflowPunct w:val="0"/>
        <w:autoSpaceDE w:val="0"/>
        <w:autoSpaceDN w:val="0"/>
        <w:adjustRightInd w:val="0"/>
        <w:spacing w:after="200" w:line="276" w:lineRule="auto"/>
        <w:ind w:left="284" w:hanging="284"/>
        <w:contextualSpacing/>
        <w:textAlignment w:val="baseline"/>
        <w:rPr>
          <w:color w:val="000000"/>
        </w:rPr>
      </w:pPr>
      <w:r>
        <w:rPr>
          <w:color w:val="000000"/>
        </w:rPr>
        <w:t>Apeluje, aby Komisja nadała kwestii opiekunów nieformalnych wysoki priorytet polityczny i</w:t>
      </w:r>
      <w:r w:rsidR="00B01AC1">
        <w:rPr>
          <w:color w:val="000000"/>
        </w:rPr>
        <w:t> </w:t>
      </w:r>
      <w:r>
        <w:rPr>
          <w:color w:val="000000"/>
        </w:rPr>
        <w:t>ustanowiła platformę wymiany najlepszych praktyk między państwami członkowskimi.</w:t>
      </w:r>
      <w:r w:rsidR="00B01AC1">
        <w:rPr>
          <w:color w:val="000000"/>
        </w:rPr>
        <w:t xml:space="preserve"> </w:t>
      </w:r>
      <w:r>
        <w:rPr>
          <w:color w:val="000000"/>
        </w:rPr>
        <w:t>Wzywa państwa członkowskie do przyjęcia strategii zachęcających do świadczenia i korzystania z</w:t>
      </w:r>
      <w:r w:rsidR="00B01AC1">
        <w:rPr>
          <w:color w:val="000000"/>
        </w:rPr>
        <w:t> </w:t>
      </w:r>
      <w:r>
        <w:rPr>
          <w:color w:val="000000"/>
        </w:rPr>
        <w:t xml:space="preserve">wysokiej jakości usług opieki długoterminowej na poziomie społeczności lokalnych oraz zapewnienia dostępności usług </w:t>
      </w:r>
      <w:proofErr w:type="spellStart"/>
      <w:r>
        <w:rPr>
          <w:color w:val="000000"/>
        </w:rPr>
        <w:t>wytchnieniowych</w:t>
      </w:r>
      <w:proofErr w:type="spellEnd"/>
      <w:r>
        <w:rPr>
          <w:color w:val="000000"/>
        </w:rPr>
        <w:t xml:space="preserve"> dla opiekunów nieformalnych, a także profilaktyki medycznej. Ma to przeciwdziałać wysokiemu ryzyku wypalenia zawodowego oraz przeciążenia fizycznego i psychicznego, na które narażeni są opiekunowie nieformalni.</w:t>
      </w:r>
    </w:p>
    <w:p w:rsidRPr="003A3334" w:rsidR="003A3334" w:rsidP="0088361D" w:rsidRDefault="003A3334" w14:paraId="60D7F5EE" w14:textId="1579B8C4">
      <w:pPr>
        <w:numPr>
          <w:ilvl w:val="0"/>
          <w:numId w:val="38"/>
        </w:numPr>
        <w:overflowPunct w:val="0"/>
        <w:autoSpaceDE w:val="0"/>
        <w:autoSpaceDN w:val="0"/>
        <w:adjustRightInd w:val="0"/>
        <w:spacing w:after="200" w:line="276" w:lineRule="auto"/>
        <w:ind w:left="284" w:hanging="284"/>
        <w:contextualSpacing/>
        <w:textAlignment w:val="baseline"/>
        <w:rPr>
          <w:color w:val="000000"/>
        </w:rPr>
      </w:pPr>
      <w:r>
        <w:rPr>
          <w:color w:val="000000"/>
        </w:rPr>
        <w:t>Wzywa państwa członkowskie do podjęcia odpowiednich środków w celu zagwarantowania, że decyzja o podjęciu opieki nieformalnej jest dobrowolna, że zaradzi się problemowi różnic w</w:t>
      </w:r>
      <w:r w:rsidR="00B01AC1">
        <w:rPr>
          <w:color w:val="000000"/>
        </w:rPr>
        <w:t> </w:t>
      </w:r>
      <w:r>
        <w:rPr>
          <w:color w:val="000000"/>
        </w:rPr>
        <w:t>traktowaniu kobiet i mężczyzn i że opiekunowie nieformalni będą mogli utrzymać zatrudnienie i</w:t>
      </w:r>
      <w:r w:rsidR="00B01AC1">
        <w:rPr>
          <w:color w:val="000000"/>
        </w:rPr>
        <w:t> </w:t>
      </w:r>
      <w:r>
        <w:rPr>
          <w:color w:val="000000"/>
        </w:rPr>
        <w:t>płacę dzięki bardziej elastycznym warunkom pracy. Należy także ułatwić im powrót na rynek pracy, jeżeli są zmuszeni go opuścić.</w:t>
      </w:r>
    </w:p>
    <w:p w:rsidRPr="003A3334" w:rsidR="003A3334" w:rsidP="0088361D" w:rsidRDefault="003A3334" w14:paraId="58029C87" w14:textId="77777777">
      <w:pPr>
        <w:numPr>
          <w:ilvl w:val="0"/>
          <w:numId w:val="38"/>
        </w:numPr>
        <w:overflowPunct w:val="0"/>
        <w:autoSpaceDE w:val="0"/>
        <w:autoSpaceDN w:val="0"/>
        <w:adjustRightInd w:val="0"/>
        <w:spacing w:line="276" w:lineRule="auto"/>
        <w:ind w:left="284" w:hanging="284"/>
        <w:contextualSpacing/>
        <w:textAlignment w:val="baseline"/>
        <w:rPr>
          <w:color w:val="000000"/>
        </w:rPr>
      </w:pPr>
      <w:r>
        <w:rPr>
          <w:color w:val="000000"/>
        </w:rPr>
        <w:t>Apeluje o włączenie opiekunów rodzinnych do obchodów Międzynarodowego Dnia Opieki i Wsparcia, tak by zostali uznani w europejskim systemie opieki.</w:t>
      </w:r>
    </w:p>
    <w:p w:rsidRPr="003A3334" w:rsidR="003A3334" w:rsidP="0088361D" w:rsidRDefault="003A3334" w14:paraId="773BC48D" w14:textId="77777777">
      <w:pPr>
        <w:widowControl w:val="0"/>
        <w:numPr>
          <w:ilvl w:val="0"/>
          <w:numId w:val="38"/>
        </w:numPr>
        <w:tabs>
          <w:tab w:val="center" w:pos="284"/>
        </w:tabs>
        <w:overflowPunct w:val="0"/>
        <w:autoSpaceDE w:val="0"/>
        <w:autoSpaceDN w:val="0"/>
        <w:adjustRightInd w:val="0"/>
        <w:ind w:left="284" w:hanging="284"/>
        <w:contextualSpacing/>
        <w:textAlignment w:val="baseline"/>
      </w:pPr>
      <w:r>
        <w:t>Uważa, że bardzo ważne jest posiadanie danych jakościowych i ilościowych opisujących rzeczywiste warunki życia opiekunów nieformalnych i wzywa do przyjęcia dalszych strategii badawczych.</w:t>
      </w:r>
    </w:p>
    <w:p w:rsidRPr="003A3334" w:rsidR="003A3334" w:rsidP="003A3334" w:rsidRDefault="003A3334" w14:paraId="4AF04970" w14:textId="77777777">
      <w:pPr>
        <w:widowControl w:val="0"/>
        <w:tabs>
          <w:tab w:val="center" w:pos="284"/>
        </w:tabs>
        <w:overflowPunct w:val="0"/>
        <w:autoSpaceDE w:val="0"/>
        <w:autoSpaceDN w:val="0"/>
        <w:adjustRightInd w:val="0"/>
        <w:ind w:left="266" w:hanging="266"/>
        <w:textAlignment w:val="baseline"/>
        <w:rPr>
          <w:b/>
        </w:rPr>
      </w:pPr>
    </w:p>
    <w:p w:rsidRPr="003A3334" w:rsidR="003A3334" w:rsidP="003A3334" w:rsidRDefault="003A3334" w14:paraId="7F3E1D08" w14:textId="77777777">
      <w:pPr>
        <w:widowControl w:val="0"/>
        <w:overflowPunct w:val="0"/>
        <w:autoSpaceDE w:val="0"/>
        <w:autoSpaceDN w:val="0"/>
        <w:adjustRightInd w:val="0"/>
        <w:ind w:left="709"/>
        <w:textAlignment w:val="baseline"/>
        <w:rPr>
          <w:sz w:val="16"/>
          <w:szCs w:val="16"/>
        </w:rPr>
      </w:pPr>
    </w:p>
    <w:tbl>
      <w:tblPr>
        <w:tblStyle w:val="TableGrid200"/>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3A3334" w:rsidR="003A3334" w:rsidTr="00D76388" w14:paraId="7BD45C96" w14:textId="77777777">
        <w:tc>
          <w:tcPr>
            <w:tcW w:w="1556" w:type="pct"/>
          </w:tcPr>
          <w:p w:rsidRPr="003A3334" w:rsidR="003A3334" w:rsidP="003A3334" w:rsidRDefault="003A3334" w14:paraId="0CECC9D3" w14:textId="77777777">
            <w:pPr>
              <w:widowControl w:val="0"/>
              <w:overflowPunct w:val="0"/>
              <w:autoSpaceDE w:val="0"/>
              <w:autoSpaceDN w:val="0"/>
              <w:adjustRightInd w:val="0"/>
              <w:textAlignment w:val="baseline"/>
              <w:rPr>
                <w:i/>
              </w:rPr>
            </w:pPr>
            <w:r>
              <w:rPr>
                <w:b/>
                <w:i/>
              </w:rPr>
              <w:t>Kontakt</w:t>
            </w:r>
          </w:p>
        </w:tc>
        <w:tc>
          <w:tcPr>
            <w:tcW w:w="3444" w:type="pct"/>
          </w:tcPr>
          <w:p w:rsidRPr="003A3334" w:rsidR="003A3334" w:rsidP="003A3334" w:rsidRDefault="003A3334" w14:paraId="73075853" w14:textId="41DC1521">
            <w:pPr>
              <w:widowControl w:val="0"/>
              <w:overflowPunct w:val="0"/>
              <w:autoSpaceDE w:val="0"/>
              <w:autoSpaceDN w:val="0"/>
              <w:adjustRightInd w:val="0"/>
              <w:textAlignment w:val="baseline"/>
              <w:rPr>
                <w:i/>
              </w:rPr>
            </w:pPr>
            <w:r>
              <w:rPr>
                <w:i/>
              </w:rPr>
              <w:t xml:space="preserve">Valeria </w:t>
            </w:r>
            <w:proofErr w:type="spellStart"/>
            <w:r>
              <w:rPr>
                <w:i/>
              </w:rPr>
              <w:t>Atzori</w:t>
            </w:r>
            <w:proofErr w:type="spellEnd"/>
          </w:p>
        </w:tc>
      </w:tr>
      <w:tr w:rsidRPr="003A3334" w:rsidR="003A3334" w:rsidTr="00D76388" w14:paraId="509DE132" w14:textId="77777777">
        <w:tc>
          <w:tcPr>
            <w:tcW w:w="1556" w:type="pct"/>
          </w:tcPr>
          <w:p w:rsidRPr="003A3334" w:rsidR="003A3334" w:rsidP="003A3334" w:rsidRDefault="003A3334" w14:paraId="1CF0F130" w14:textId="77777777">
            <w:pPr>
              <w:widowControl w:val="0"/>
              <w:overflowPunct w:val="0"/>
              <w:autoSpaceDE w:val="0"/>
              <w:autoSpaceDN w:val="0"/>
              <w:adjustRightInd w:val="0"/>
              <w:textAlignment w:val="baseline"/>
              <w:rPr>
                <w:i/>
              </w:rPr>
            </w:pPr>
            <w:r>
              <w:rPr>
                <w:i/>
              </w:rPr>
              <w:t>Tel.:</w:t>
            </w:r>
          </w:p>
        </w:tc>
        <w:tc>
          <w:tcPr>
            <w:tcW w:w="3444" w:type="pct"/>
          </w:tcPr>
          <w:p w:rsidRPr="003A3334" w:rsidR="003A3334" w:rsidP="003A3334" w:rsidRDefault="003A3334" w14:paraId="62617A4E" w14:textId="77777777">
            <w:pPr>
              <w:widowControl w:val="0"/>
              <w:overflowPunct w:val="0"/>
              <w:autoSpaceDE w:val="0"/>
              <w:autoSpaceDN w:val="0"/>
              <w:adjustRightInd w:val="0"/>
              <w:textAlignment w:val="baseline"/>
              <w:rPr>
                <w:i/>
              </w:rPr>
            </w:pPr>
            <w:r>
              <w:rPr>
                <w:i/>
              </w:rPr>
              <w:t>+32 25468774</w:t>
            </w:r>
          </w:p>
        </w:tc>
      </w:tr>
      <w:tr w:rsidRPr="003A3334" w:rsidR="003A3334" w:rsidTr="00D76388" w14:paraId="0503882A" w14:textId="77777777">
        <w:tc>
          <w:tcPr>
            <w:tcW w:w="1556" w:type="pct"/>
          </w:tcPr>
          <w:p w:rsidRPr="003A3334" w:rsidR="003A3334" w:rsidP="003A3334" w:rsidRDefault="003A3334" w14:paraId="53D5135B" w14:textId="77777777">
            <w:pPr>
              <w:widowControl w:val="0"/>
              <w:overflowPunct w:val="0"/>
              <w:autoSpaceDE w:val="0"/>
              <w:autoSpaceDN w:val="0"/>
              <w:adjustRightInd w:val="0"/>
              <w:textAlignment w:val="baseline"/>
              <w:rPr>
                <w:i/>
              </w:rPr>
            </w:pPr>
            <w:r>
              <w:rPr>
                <w:i/>
              </w:rPr>
              <w:t>e-mail:</w:t>
            </w:r>
          </w:p>
        </w:tc>
        <w:tc>
          <w:tcPr>
            <w:tcW w:w="3444" w:type="pct"/>
          </w:tcPr>
          <w:p w:rsidRPr="003A3334" w:rsidR="003A3334" w:rsidP="003A3334" w:rsidRDefault="00EE19DE" w14:paraId="30545BE2" w14:textId="77777777">
            <w:pPr>
              <w:widowControl w:val="0"/>
              <w:overflowPunct w:val="0"/>
              <w:autoSpaceDE w:val="0"/>
              <w:autoSpaceDN w:val="0"/>
              <w:adjustRightInd w:val="0"/>
              <w:textAlignment w:val="baseline"/>
              <w:rPr>
                <w:color w:val="0000FF"/>
                <w:u w:val="single"/>
              </w:rPr>
            </w:pPr>
            <w:hyperlink w:history="1" r:id="rId28">
              <w:r w:rsidR="000B64C3">
                <w:rPr>
                  <w:i/>
                  <w:color w:val="0000FF"/>
                  <w:u w:val="single"/>
                </w:rPr>
                <w:t>Valeria.Atzori@eesc.europa.eu</w:t>
              </w:r>
            </w:hyperlink>
          </w:p>
          <w:p w:rsidRPr="003A3334" w:rsidR="003A3334" w:rsidP="003A3334" w:rsidRDefault="003A3334" w14:paraId="2F55AE11" w14:textId="77777777">
            <w:pPr>
              <w:widowControl w:val="0"/>
              <w:overflowPunct w:val="0"/>
              <w:autoSpaceDE w:val="0"/>
              <w:autoSpaceDN w:val="0"/>
              <w:adjustRightInd w:val="0"/>
              <w:textAlignment w:val="baseline"/>
              <w:rPr>
                <w:color w:val="0000FF"/>
                <w:u w:val="single"/>
              </w:rPr>
            </w:pPr>
          </w:p>
        </w:tc>
      </w:tr>
    </w:tbl>
    <w:p w:rsidR="002646B8" w:rsidRDefault="002646B8" w14:paraId="5BAF4B07" w14:textId="77777777">
      <w:pPr>
        <w:spacing w:after="160" w:line="259" w:lineRule="auto"/>
        <w:jc w:val="left"/>
        <w:rPr>
          <w:rFonts w:eastAsiaTheme="minorEastAsia"/>
        </w:rPr>
      </w:pPr>
    </w:p>
    <w:p w:rsidR="002646B8" w:rsidRDefault="002646B8" w14:paraId="5EA58BBC" w14:textId="77777777">
      <w:pPr>
        <w:spacing w:after="160" w:line="259" w:lineRule="auto"/>
        <w:jc w:val="left"/>
        <w:rPr>
          <w:rFonts w:eastAsiaTheme="minorEastAsia"/>
        </w:rPr>
      </w:pPr>
      <w:r>
        <w:br w:type="page"/>
      </w:r>
    </w:p>
    <w:p w:rsidRPr="002646B8" w:rsidR="002646B8" w:rsidP="002646B8" w:rsidRDefault="002646B8" w14:paraId="4935F5AB" w14:textId="591B9702">
      <w:pPr>
        <w:widowControl w:val="0"/>
        <w:numPr>
          <w:ilvl w:val="0"/>
          <w:numId w:val="27"/>
        </w:numPr>
        <w:overflowPunct w:val="0"/>
        <w:autoSpaceDE w:val="0"/>
        <w:autoSpaceDN w:val="0"/>
        <w:adjustRightInd w:val="0"/>
        <w:ind w:hanging="567"/>
        <w:textAlignment w:val="baseline"/>
        <w:rPr>
          <w:b/>
          <w:bCs/>
          <w:i/>
          <w:iCs/>
          <w:color w:val="0000FF"/>
          <w:sz w:val="28"/>
          <w:szCs w:val="28"/>
          <w:u w:val="single"/>
        </w:rPr>
      </w:pPr>
      <w:r w:rsidRPr="002646B8">
        <w:rPr>
          <w:b/>
          <w:i/>
          <w:sz w:val="28"/>
        </w:rPr>
        <w:lastRenderedPageBreak/>
        <w:fldChar w:fldCharType="begin"/>
      </w:r>
      <w:r w:rsidRPr="002646B8">
        <w:rPr>
          <w:b/>
          <w:i/>
          <w:sz w:val="28"/>
        </w:rPr>
        <w:instrText>HYPERLINK "https://www.eesc.europa.eu/pl/our-work/opinions-information-reports/opinions/traineeship-directive-and-reinforced-quality-framework-traineeships"</w:instrText>
      </w:r>
      <w:r w:rsidRPr="002646B8">
        <w:rPr>
          <w:b/>
          <w:i/>
          <w:sz w:val="28"/>
        </w:rPr>
        <w:fldChar w:fldCharType="separate"/>
      </w:r>
      <w:r>
        <w:rPr>
          <w:b/>
          <w:i/>
          <w:color w:val="0000FF"/>
          <w:sz w:val="28"/>
          <w:u w:val="single"/>
        </w:rPr>
        <w:t>Dyrektywa w sprawie stażystów i wzmocnione ramy jakości staży</w:t>
      </w:r>
    </w:p>
    <w:p w:rsidRPr="002646B8" w:rsidR="002646B8" w:rsidP="002646B8" w:rsidRDefault="002646B8" w14:paraId="361E6ADA" w14:textId="77777777">
      <w:pPr>
        <w:widowControl w:val="0"/>
        <w:overflowPunct w:val="0"/>
        <w:autoSpaceDE w:val="0"/>
        <w:autoSpaceDN w:val="0"/>
        <w:adjustRightInd w:val="0"/>
        <w:ind w:left="567"/>
        <w:textAlignment w:val="baseline"/>
        <w:rPr>
          <w:b/>
          <w:i/>
          <w:sz w:val="28"/>
        </w:rPr>
      </w:pPr>
      <w:r w:rsidRPr="002646B8">
        <w:rPr>
          <w:b/>
          <w:i/>
          <w:sz w:val="28"/>
        </w:rPr>
        <w:fldChar w:fldCharType="end"/>
      </w:r>
    </w:p>
    <w:tbl>
      <w:tblPr>
        <w:tblStyle w:val="TableGrid201"/>
        <w:tblW w:w="359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643"/>
      </w:tblGrid>
      <w:tr w:rsidRPr="002646B8" w:rsidR="002646B8" w:rsidTr="00D76388" w14:paraId="508076CF" w14:textId="77777777">
        <w:tc>
          <w:tcPr>
            <w:tcW w:w="1522" w:type="pct"/>
          </w:tcPr>
          <w:p w:rsidRPr="002646B8" w:rsidR="002646B8" w:rsidP="002646B8" w:rsidRDefault="002646B8" w14:paraId="47F5FCD8" w14:textId="77777777">
            <w:pPr>
              <w:overflowPunct w:val="0"/>
              <w:autoSpaceDE w:val="0"/>
              <w:autoSpaceDN w:val="0"/>
              <w:adjustRightInd w:val="0"/>
              <w:ind w:left="-113"/>
              <w:textAlignment w:val="baseline"/>
              <w:rPr>
                <w:b/>
              </w:rPr>
            </w:pPr>
            <w:r>
              <w:rPr>
                <w:b/>
              </w:rPr>
              <w:t>Sprawozdawczyni</w:t>
            </w:r>
          </w:p>
        </w:tc>
        <w:tc>
          <w:tcPr>
            <w:tcW w:w="3478" w:type="pct"/>
          </w:tcPr>
          <w:p w:rsidRPr="002646B8" w:rsidR="002646B8" w:rsidP="002646B8" w:rsidRDefault="002646B8" w14:paraId="42F1C788" w14:textId="77777777">
            <w:pPr>
              <w:tabs>
                <w:tab w:val="left" w:pos="4572"/>
              </w:tabs>
              <w:overflowPunct w:val="0"/>
              <w:autoSpaceDE w:val="0"/>
              <w:autoSpaceDN w:val="0"/>
              <w:adjustRightInd w:val="0"/>
              <w:ind w:left="-113" w:right="-823"/>
              <w:textAlignment w:val="baseline"/>
            </w:pPr>
            <w:proofErr w:type="spellStart"/>
            <w:r>
              <w:t>Nicoletta</w:t>
            </w:r>
            <w:proofErr w:type="spellEnd"/>
            <w:r>
              <w:t xml:space="preserve"> MERLO (Grupa Pracowników – IT)</w:t>
            </w:r>
          </w:p>
        </w:tc>
      </w:tr>
      <w:tr w:rsidRPr="002646B8" w:rsidR="002646B8" w:rsidTr="00D76388" w14:paraId="44158923" w14:textId="77777777">
        <w:tc>
          <w:tcPr>
            <w:tcW w:w="1522" w:type="pct"/>
            <w:vMerge w:val="restart"/>
          </w:tcPr>
          <w:p w:rsidR="00A769C2" w:rsidP="002646B8" w:rsidRDefault="00A769C2" w14:paraId="56E2F8A7" w14:textId="77777777">
            <w:pPr>
              <w:overflowPunct w:val="0"/>
              <w:autoSpaceDE w:val="0"/>
              <w:autoSpaceDN w:val="0"/>
              <w:adjustRightInd w:val="0"/>
              <w:ind w:left="-113"/>
              <w:textAlignment w:val="baseline"/>
              <w:rPr>
                <w:b/>
              </w:rPr>
            </w:pPr>
          </w:p>
          <w:p w:rsidRPr="002646B8" w:rsidR="002646B8" w:rsidP="002646B8" w:rsidRDefault="002646B8" w14:paraId="6B5ACB33" w14:textId="067BCFE3">
            <w:pPr>
              <w:overflowPunct w:val="0"/>
              <w:autoSpaceDE w:val="0"/>
              <w:autoSpaceDN w:val="0"/>
              <w:adjustRightInd w:val="0"/>
              <w:ind w:left="-113"/>
              <w:textAlignment w:val="baseline"/>
              <w:rPr>
                <w:b/>
              </w:rPr>
            </w:pPr>
            <w:r>
              <w:rPr>
                <w:b/>
              </w:rPr>
              <w:t>Dokumenty źródłowe</w:t>
            </w:r>
          </w:p>
        </w:tc>
        <w:tc>
          <w:tcPr>
            <w:tcW w:w="3478" w:type="pct"/>
          </w:tcPr>
          <w:p w:rsidR="00A769C2" w:rsidP="002646B8" w:rsidRDefault="00A769C2" w14:paraId="081AC81E" w14:textId="77777777">
            <w:pPr>
              <w:tabs>
                <w:tab w:val="left" w:pos="4430"/>
              </w:tabs>
              <w:overflowPunct w:val="0"/>
              <w:autoSpaceDE w:val="0"/>
              <w:autoSpaceDN w:val="0"/>
              <w:adjustRightInd w:val="0"/>
              <w:ind w:left="-113" w:right="-823"/>
              <w:textAlignment w:val="baseline"/>
            </w:pPr>
          </w:p>
          <w:p w:rsidR="00A769C2" w:rsidP="002646B8" w:rsidRDefault="00A769C2" w14:paraId="6897A316" w14:textId="502D22FE">
            <w:pPr>
              <w:tabs>
                <w:tab w:val="left" w:pos="4430"/>
              </w:tabs>
              <w:overflowPunct w:val="0"/>
              <w:autoSpaceDE w:val="0"/>
              <w:autoSpaceDN w:val="0"/>
              <w:adjustRightInd w:val="0"/>
              <w:ind w:left="-113" w:right="-823"/>
              <w:textAlignment w:val="baseline"/>
              <w:rPr>
                <w:sz w:val="22"/>
                <w:szCs w:val="22"/>
              </w:rPr>
            </w:pPr>
            <w:r>
              <w:rPr>
                <w:sz w:val="22"/>
              </w:rPr>
              <w:t xml:space="preserve">COM(2024) 132 </w:t>
            </w:r>
            <w:proofErr w:type="spellStart"/>
            <w:r>
              <w:rPr>
                <w:sz w:val="22"/>
              </w:rPr>
              <w:t>final</w:t>
            </w:r>
            <w:proofErr w:type="spellEnd"/>
          </w:p>
          <w:p w:rsidR="00A769C2" w:rsidP="002646B8" w:rsidRDefault="00A769C2" w14:paraId="6EA44F59" w14:textId="021B4390">
            <w:pPr>
              <w:tabs>
                <w:tab w:val="left" w:pos="4430"/>
              </w:tabs>
              <w:overflowPunct w:val="0"/>
              <w:autoSpaceDE w:val="0"/>
              <w:autoSpaceDN w:val="0"/>
              <w:adjustRightInd w:val="0"/>
              <w:ind w:left="-113" w:right="-823"/>
              <w:textAlignment w:val="baseline"/>
            </w:pPr>
            <w:r>
              <w:rPr>
                <w:sz w:val="22"/>
              </w:rPr>
              <w:t xml:space="preserve">COM(2024) 133 </w:t>
            </w:r>
            <w:proofErr w:type="spellStart"/>
            <w:r>
              <w:rPr>
                <w:sz w:val="22"/>
              </w:rPr>
              <w:t>final</w:t>
            </w:r>
            <w:proofErr w:type="spellEnd"/>
          </w:p>
          <w:p w:rsidR="002646B8" w:rsidP="002646B8" w:rsidRDefault="002646B8" w14:paraId="0042FAA6" w14:textId="5C69F98E">
            <w:pPr>
              <w:tabs>
                <w:tab w:val="left" w:pos="4430"/>
              </w:tabs>
              <w:overflowPunct w:val="0"/>
              <w:autoSpaceDE w:val="0"/>
              <w:autoSpaceDN w:val="0"/>
              <w:adjustRightInd w:val="0"/>
              <w:ind w:left="-113" w:right="-823"/>
              <w:textAlignment w:val="baseline"/>
            </w:pPr>
            <w:r>
              <w:t>EESC-2024-01418-00-00-AC</w:t>
            </w:r>
          </w:p>
          <w:p w:rsidRPr="002646B8" w:rsidR="002646B8" w:rsidP="002646B8" w:rsidRDefault="002646B8" w14:paraId="153241DD" w14:textId="1DC376DA">
            <w:pPr>
              <w:tabs>
                <w:tab w:val="left" w:pos="4430"/>
              </w:tabs>
              <w:overflowPunct w:val="0"/>
              <w:autoSpaceDE w:val="0"/>
              <w:autoSpaceDN w:val="0"/>
              <w:adjustRightInd w:val="0"/>
              <w:ind w:left="-113" w:right="-823"/>
              <w:textAlignment w:val="baseline"/>
            </w:pPr>
          </w:p>
        </w:tc>
      </w:tr>
      <w:tr w:rsidRPr="002646B8" w:rsidR="002646B8" w:rsidTr="00D76388" w14:paraId="60C804C8" w14:textId="77777777">
        <w:tc>
          <w:tcPr>
            <w:tcW w:w="1522" w:type="pct"/>
            <w:vMerge/>
          </w:tcPr>
          <w:p w:rsidRPr="002646B8" w:rsidR="002646B8" w:rsidP="002646B8" w:rsidRDefault="002646B8" w14:paraId="093AD2FE" w14:textId="77777777">
            <w:pPr>
              <w:tabs>
                <w:tab w:val="center" w:pos="284"/>
              </w:tabs>
              <w:overflowPunct w:val="0"/>
              <w:autoSpaceDE w:val="0"/>
              <w:autoSpaceDN w:val="0"/>
              <w:adjustRightInd w:val="0"/>
              <w:ind w:left="266" w:hanging="266"/>
              <w:textAlignment w:val="baseline"/>
              <w:rPr>
                <w:b/>
              </w:rPr>
            </w:pPr>
          </w:p>
        </w:tc>
        <w:tc>
          <w:tcPr>
            <w:tcW w:w="3478" w:type="pct"/>
          </w:tcPr>
          <w:p w:rsidRPr="002646B8" w:rsidR="002646B8" w:rsidP="002646B8" w:rsidRDefault="002646B8" w14:paraId="30BD147E" w14:textId="77777777">
            <w:pPr>
              <w:tabs>
                <w:tab w:val="center" w:pos="284"/>
                <w:tab w:val="left" w:pos="4430"/>
              </w:tabs>
              <w:overflowPunct w:val="0"/>
              <w:autoSpaceDE w:val="0"/>
              <w:autoSpaceDN w:val="0"/>
              <w:adjustRightInd w:val="0"/>
              <w:ind w:left="266" w:right="-823" w:hanging="266"/>
              <w:textAlignment w:val="baseline"/>
            </w:pPr>
          </w:p>
        </w:tc>
      </w:tr>
    </w:tbl>
    <w:p w:rsidRPr="002646B8" w:rsidR="002646B8" w:rsidP="002646B8" w:rsidRDefault="002646B8" w14:paraId="746C52C8" w14:textId="77777777">
      <w:pPr>
        <w:keepNext/>
        <w:keepLines/>
        <w:tabs>
          <w:tab w:val="center" w:pos="284"/>
        </w:tabs>
        <w:overflowPunct w:val="0"/>
        <w:autoSpaceDE w:val="0"/>
        <w:autoSpaceDN w:val="0"/>
        <w:adjustRightInd w:val="0"/>
        <w:ind w:left="266" w:hanging="266"/>
        <w:textAlignment w:val="baseline"/>
        <w:rPr>
          <w:b/>
        </w:rPr>
      </w:pPr>
      <w:r>
        <w:rPr>
          <w:b/>
        </w:rPr>
        <w:t>Główne punkty</w:t>
      </w:r>
    </w:p>
    <w:p w:rsidRPr="002646B8" w:rsidR="002646B8" w:rsidP="002646B8" w:rsidRDefault="002646B8" w14:paraId="7AB0B299" w14:textId="77777777">
      <w:pPr>
        <w:keepNext/>
        <w:keepLines/>
        <w:tabs>
          <w:tab w:val="center" w:pos="284"/>
        </w:tabs>
        <w:overflowPunct w:val="0"/>
        <w:autoSpaceDE w:val="0"/>
        <w:autoSpaceDN w:val="0"/>
        <w:adjustRightInd w:val="0"/>
        <w:ind w:left="266" w:hanging="266"/>
        <w:textAlignment w:val="baseline"/>
        <w:rPr>
          <w:b/>
        </w:rPr>
      </w:pPr>
    </w:p>
    <w:p w:rsidRPr="002646B8" w:rsidR="002646B8" w:rsidP="002646B8" w:rsidRDefault="002646B8" w14:paraId="67C07FCE" w14:textId="77777777">
      <w:pPr>
        <w:keepNext/>
        <w:keepLines/>
        <w:tabs>
          <w:tab w:val="center" w:pos="284"/>
        </w:tabs>
        <w:overflowPunct w:val="0"/>
        <w:autoSpaceDE w:val="0"/>
        <w:autoSpaceDN w:val="0"/>
        <w:adjustRightInd w:val="0"/>
        <w:ind w:left="266" w:hanging="266"/>
        <w:textAlignment w:val="baseline"/>
        <w:rPr>
          <w:szCs w:val="20"/>
        </w:rPr>
      </w:pPr>
      <w:r>
        <w:t>EKES</w:t>
      </w:r>
    </w:p>
    <w:p w:rsidRPr="002646B8" w:rsidR="002646B8" w:rsidP="002646B8" w:rsidRDefault="002646B8" w14:paraId="5EF3F526" w14:textId="77777777">
      <w:pPr>
        <w:keepNext/>
        <w:keepLines/>
        <w:tabs>
          <w:tab w:val="center" w:pos="284"/>
        </w:tabs>
        <w:spacing w:after="200" w:line="276" w:lineRule="auto"/>
        <w:ind w:left="720"/>
        <w:contextualSpacing/>
        <w:jc w:val="left"/>
        <w:rPr>
          <w:rFonts w:ascii="Calibri" w:hAnsi="Calibri"/>
          <w:sz w:val="16"/>
          <w:szCs w:val="16"/>
          <w:lang w:eastAsia="zh-CN"/>
        </w:rPr>
      </w:pPr>
    </w:p>
    <w:p w:rsidRPr="002646B8" w:rsidR="002646B8" w:rsidP="0088361D" w:rsidRDefault="002646B8" w14:paraId="5010A18C" w14:textId="127D02EB">
      <w:pPr>
        <w:keepNext/>
        <w:keepLines/>
        <w:numPr>
          <w:ilvl w:val="0"/>
          <w:numId w:val="40"/>
        </w:numPr>
        <w:tabs>
          <w:tab w:val="center" w:pos="284"/>
        </w:tabs>
        <w:overflowPunct w:val="0"/>
        <w:autoSpaceDE w:val="0"/>
        <w:autoSpaceDN w:val="0"/>
        <w:adjustRightInd w:val="0"/>
        <w:spacing w:after="200" w:line="276" w:lineRule="auto"/>
        <w:ind w:left="284" w:hanging="284"/>
        <w:contextualSpacing/>
        <w:textAlignment w:val="baseline"/>
      </w:pPr>
      <w:r>
        <w:t xml:space="preserve">Podkreśla, że przygotowanie zawodowe i staże to dwie odrębne praktyki, które mają różne cele i są regulowane odrębnymi przepisami. </w:t>
      </w:r>
    </w:p>
    <w:p w:rsidRPr="002646B8" w:rsidR="002646B8" w:rsidP="0088361D" w:rsidRDefault="002646B8" w14:paraId="29126388" w14:textId="77777777">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t>Zaleca, aby definicje zawarte w art. 2 nie nakładały na państwa członkowskie obowiązku klasyfikowania staży jako stosunku pracy, w przypadku gdy zgodnie z przepisami obowiązującymi w państwach członkowskich ta praktyka zawodowa nie wchodzi w zakres definicji „stażysty” określonej w dyrektywie.</w:t>
      </w:r>
    </w:p>
    <w:p w:rsidRPr="002646B8" w:rsidR="002646B8" w:rsidP="0088361D" w:rsidRDefault="002646B8" w14:paraId="418132EB" w14:textId="2562C5A5">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t>Proponuje włączenie do dyrektywy wykazu warunków pracy, od których nie można by odstąpić, tak aby zapewnić lepszą ochronę interesów stażystów przy zachowaniu autonomii partnerów społecznych w zakresie regulowania warunków staży na otwartym rynku.</w:t>
      </w:r>
    </w:p>
    <w:p w:rsidRPr="002646B8" w:rsidR="002646B8" w:rsidP="0088361D" w:rsidRDefault="002646B8" w14:paraId="148B4B66" w14:textId="77777777">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t>Podkreśla kluczową rolę właściwych organów w zwalczaniu zwykłych stosunków pracy ukrytych pod postacią staży i wzywa do uznania ważnej roli, jaką partnerzy społeczni mogą odegrać w tych wysiłkach.</w:t>
      </w:r>
    </w:p>
    <w:p w:rsidRPr="002646B8" w:rsidR="002646B8" w:rsidP="0088361D" w:rsidRDefault="002646B8" w14:paraId="3ED83C5B" w14:textId="77777777">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t>Apeluje o wprowadzenie przepisów gwarantujących, że przedstawiciele pracowników będą mogli zawsze działać na rzecz ochrony stażystów, nawet jeśli staż nie stanowi stosunku pracy.</w:t>
      </w:r>
    </w:p>
    <w:p w:rsidRPr="002646B8" w:rsidR="002646B8" w:rsidP="0088361D" w:rsidRDefault="002646B8" w14:paraId="089040A9" w14:textId="77777777">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t>Zaleca określenie minimalnych kryteriów jakości dla każdego rodzaju staży w całej UE, aby zapewnić wysokie standardy i wspólne podstawowe ramy we wszystkich państwach członkowskich. Zwraca uwagę na znaczenie gromadzenia danych i wymiany przykładów dobrych praktyk krajowych w odniesieniu do każdego rodzaju staży na szczeblu UE w ramach procesu przeglądu i wdrażania.</w:t>
      </w:r>
    </w:p>
    <w:p w:rsidR="002646B8" w:rsidP="00071BCC" w:rsidRDefault="002646B8" w14:paraId="210D3F74" w14:textId="3C28687E">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t>Podkreśla znaczenie godziwego wynagrodzenia uwzględniającego ewentualne koszty udziału w</w:t>
      </w:r>
      <w:r w:rsidR="00B01AC1">
        <w:t> </w:t>
      </w:r>
      <w:r>
        <w:t>szkoleniu i związane z tym potrzeby życiowe.</w:t>
      </w:r>
    </w:p>
    <w:p w:rsidRPr="002646B8" w:rsidR="00071BCC" w:rsidP="0088361D" w:rsidRDefault="00071BCC" w14:paraId="334FC8EA" w14:textId="77777777">
      <w:pPr>
        <w:keepNext/>
        <w:keepLines/>
        <w:tabs>
          <w:tab w:val="center" w:pos="284"/>
        </w:tabs>
        <w:overflowPunct w:val="0"/>
        <w:autoSpaceDE w:val="0"/>
        <w:autoSpaceDN w:val="0"/>
        <w:adjustRightInd w:val="0"/>
        <w:spacing w:after="200" w:line="276" w:lineRule="auto"/>
        <w:ind w:left="360"/>
        <w:contextualSpacing/>
        <w:textAlignment w:val="baseline"/>
        <w:rPr>
          <w:lang w:eastAsia="zh-CN"/>
        </w:rPr>
      </w:pPr>
    </w:p>
    <w:tbl>
      <w:tblPr>
        <w:tblStyle w:val="TableGrid20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2646B8" w:rsidR="002646B8" w:rsidTr="00D76388" w14:paraId="7217D1E1" w14:textId="77777777">
        <w:tc>
          <w:tcPr>
            <w:tcW w:w="1556" w:type="pct"/>
          </w:tcPr>
          <w:p w:rsidRPr="002646B8" w:rsidR="002646B8" w:rsidP="002646B8" w:rsidRDefault="002646B8" w14:paraId="1448177D" w14:textId="77777777">
            <w:pPr>
              <w:overflowPunct w:val="0"/>
              <w:autoSpaceDE w:val="0"/>
              <w:autoSpaceDN w:val="0"/>
              <w:adjustRightInd w:val="0"/>
              <w:spacing w:line="240" w:lineRule="auto"/>
              <w:textAlignment w:val="baseline"/>
              <w:rPr>
                <w:i/>
              </w:rPr>
            </w:pPr>
            <w:r>
              <w:rPr>
                <w:b/>
                <w:i/>
              </w:rPr>
              <w:t>Kontakt</w:t>
            </w:r>
          </w:p>
        </w:tc>
        <w:tc>
          <w:tcPr>
            <w:tcW w:w="3444" w:type="pct"/>
          </w:tcPr>
          <w:p w:rsidRPr="002646B8" w:rsidR="002646B8" w:rsidP="002646B8" w:rsidRDefault="002646B8" w14:paraId="2CB9E1CA" w14:textId="60E5A705">
            <w:pPr>
              <w:overflowPunct w:val="0"/>
              <w:autoSpaceDE w:val="0"/>
              <w:autoSpaceDN w:val="0"/>
              <w:adjustRightInd w:val="0"/>
              <w:spacing w:line="240" w:lineRule="auto"/>
              <w:textAlignment w:val="baseline"/>
              <w:rPr>
                <w:i/>
              </w:rPr>
            </w:pPr>
            <w:r>
              <w:rPr>
                <w:i/>
              </w:rPr>
              <w:t>Sabrina Borg</w:t>
            </w:r>
          </w:p>
        </w:tc>
      </w:tr>
      <w:tr w:rsidRPr="002646B8" w:rsidR="002646B8" w:rsidTr="00D76388" w14:paraId="1C88D4BC" w14:textId="77777777">
        <w:tc>
          <w:tcPr>
            <w:tcW w:w="1556" w:type="pct"/>
          </w:tcPr>
          <w:p w:rsidRPr="002646B8" w:rsidR="002646B8" w:rsidP="002646B8" w:rsidRDefault="002646B8" w14:paraId="16DB9A3B" w14:textId="77777777">
            <w:pPr>
              <w:overflowPunct w:val="0"/>
              <w:autoSpaceDE w:val="0"/>
              <w:autoSpaceDN w:val="0"/>
              <w:adjustRightInd w:val="0"/>
              <w:spacing w:line="240" w:lineRule="auto"/>
              <w:textAlignment w:val="baseline"/>
              <w:rPr>
                <w:i/>
              </w:rPr>
            </w:pPr>
            <w:r>
              <w:rPr>
                <w:i/>
              </w:rPr>
              <w:t>Tel.:</w:t>
            </w:r>
          </w:p>
        </w:tc>
        <w:tc>
          <w:tcPr>
            <w:tcW w:w="3444" w:type="pct"/>
          </w:tcPr>
          <w:p w:rsidRPr="002646B8" w:rsidR="002646B8" w:rsidP="002646B8" w:rsidRDefault="002646B8" w14:paraId="01B875B8" w14:textId="77777777">
            <w:pPr>
              <w:overflowPunct w:val="0"/>
              <w:autoSpaceDE w:val="0"/>
              <w:autoSpaceDN w:val="0"/>
              <w:adjustRightInd w:val="0"/>
              <w:spacing w:line="240" w:lineRule="auto"/>
              <w:textAlignment w:val="baseline"/>
              <w:rPr>
                <w:i/>
              </w:rPr>
            </w:pPr>
            <w:r>
              <w:rPr>
                <w:i/>
              </w:rPr>
              <w:t>+32 25469727</w:t>
            </w:r>
          </w:p>
        </w:tc>
      </w:tr>
      <w:tr w:rsidRPr="002646B8" w:rsidR="002646B8" w:rsidTr="00D76388" w14:paraId="32F5BCCC" w14:textId="77777777">
        <w:tc>
          <w:tcPr>
            <w:tcW w:w="1556" w:type="pct"/>
          </w:tcPr>
          <w:p w:rsidRPr="002646B8" w:rsidR="002646B8" w:rsidP="002646B8" w:rsidRDefault="002646B8" w14:paraId="4855EF50" w14:textId="77777777">
            <w:pPr>
              <w:overflowPunct w:val="0"/>
              <w:autoSpaceDE w:val="0"/>
              <w:autoSpaceDN w:val="0"/>
              <w:adjustRightInd w:val="0"/>
              <w:spacing w:line="240" w:lineRule="auto"/>
              <w:textAlignment w:val="baseline"/>
              <w:rPr>
                <w:i/>
              </w:rPr>
            </w:pPr>
            <w:r>
              <w:rPr>
                <w:i/>
              </w:rPr>
              <w:t>e-mail:</w:t>
            </w:r>
          </w:p>
        </w:tc>
        <w:tc>
          <w:tcPr>
            <w:tcW w:w="3444" w:type="pct"/>
          </w:tcPr>
          <w:p w:rsidRPr="002646B8" w:rsidR="002646B8" w:rsidP="002646B8" w:rsidRDefault="00EE19DE" w14:paraId="23CAB7B1" w14:textId="77777777">
            <w:pPr>
              <w:overflowPunct w:val="0"/>
              <w:autoSpaceDE w:val="0"/>
              <w:autoSpaceDN w:val="0"/>
              <w:adjustRightInd w:val="0"/>
              <w:spacing w:line="240" w:lineRule="auto"/>
              <w:textAlignment w:val="baseline"/>
              <w:rPr>
                <w:color w:val="0000FF"/>
                <w:u w:val="single"/>
              </w:rPr>
            </w:pPr>
            <w:hyperlink w:history="1" r:id="rId29">
              <w:r w:rsidR="000B64C3">
                <w:rPr>
                  <w:i/>
                  <w:color w:val="0000FF"/>
                  <w:u w:val="single"/>
                </w:rPr>
                <w:t>Sabrina.Borg@eesc.europa.eu</w:t>
              </w:r>
            </w:hyperlink>
          </w:p>
        </w:tc>
      </w:tr>
    </w:tbl>
    <w:p w:rsidR="00C34921" w:rsidRDefault="00C34921" w14:paraId="12B563A5" w14:textId="77777777">
      <w:pPr>
        <w:spacing w:after="160" w:line="259" w:lineRule="auto"/>
        <w:jc w:val="left"/>
        <w:rPr>
          <w:rFonts w:eastAsiaTheme="minorEastAsia"/>
        </w:rPr>
      </w:pPr>
    </w:p>
    <w:p w:rsidR="00C34921" w:rsidRDefault="00C34921" w14:paraId="7C56FAB2" w14:textId="77777777">
      <w:pPr>
        <w:spacing w:after="160" w:line="259" w:lineRule="auto"/>
        <w:jc w:val="left"/>
        <w:rPr>
          <w:rFonts w:eastAsiaTheme="minorEastAsia"/>
        </w:rPr>
      </w:pPr>
      <w:r>
        <w:br w:type="page"/>
      </w:r>
    </w:p>
    <w:p w:rsidRPr="002F47C0" w:rsidR="00DC26B9" w:rsidRDefault="00EE19DE" w14:paraId="153FDF23" w14:textId="654546C0">
      <w:pPr>
        <w:pStyle w:val="TOC1"/>
        <w:rPr>
          <w:color w:val="000000" w:themeColor="text1"/>
        </w:rPr>
      </w:pPr>
      <w:hyperlink w:history="1" w:anchor="_Toc164353189">
        <w:bookmarkStart w:name="_Toc172708164" w:id="6"/>
        <w:r w:rsidR="000B64C3">
          <w:t>4.</w:t>
        </w:r>
        <w:r w:rsidR="000B64C3">
          <w:rPr>
            <w:rFonts w:asciiTheme="minorHAnsi" w:hAnsiTheme="minorHAnsi"/>
            <w:sz w:val="22"/>
          </w:rPr>
          <w:tab/>
        </w:r>
      </w:hyperlink>
      <w:r w:rsidR="000B64C3">
        <w:t>JEDNOLITY RYNEK, PRODUKCJA I KONSUMPCJA</w:t>
      </w:r>
      <w:bookmarkEnd w:id="6"/>
    </w:p>
    <w:p w:rsidR="00C34921" w:rsidRDefault="00EE19DE" w14:paraId="65737401" w14:textId="157C195D">
      <w:pPr>
        <w:pStyle w:val="TOC1"/>
        <w:rPr>
          <w:rStyle w:val="Hyperlink"/>
          <w:b w:val="0"/>
          <w:color w:val="000000" w:themeColor="text1"/>
          <w:sz w:val="22"/>
          <w:szCs w:val="22"/>
          <w:u w:val="none"/>
        </w:rPr>
      </w:pPr>
      <w:hyperlink w:history="1" w:anchor="_Toc164353188"/>
    </w:p>
    <w:p w:rsidRPr="0088361D" w:rsidR="00D92244" w:rsidP="0088361D" w:rsidRDefault="0074506B" w14:paraId="1848A26A" w14:textId="0F188230">
      <w:pPr>
        <w:widowControl w:val="0"/>
        <w:numPr>
          <w:ilvl w:val="0"/>
          <w:numId w:val="27"/>
        </w:numPr>
        <w:overflowPunct w:val="0"/>
        <w:autoSpaceDE w:val="0"/>
        <w:autoSpaceDN w:val="0"/>
        <w:adjustRightInd w:val="0"/>
        <w:ind w:hanging="567"/>
        <w:textAlignment w:val="baseline"/>
        <w:rPr>
          <w:color w:val="0000FF"/>
          <w:sz w:val="20"/>
          <w:szCs w:val="20"/>
          <w:u w:val="single"/>
        </w:rPr>
      </w:pPr>
      <w:r>
        <w:rPr>
          <w:b/>
          <w:i/>
          <w:color w:val="0000FF"/>
          <w:sz w:val="28"/>
          <w:u w:val="single"/>
        </w:rPr>
        <w:t>Wniosek dotyczący zalecenia Rady w sprawie</w:t>
      </w:r>
      <w:r>
        <w:t xml:space="preserve"> </w:t>
      </w:r>
      <w:hyperlink w:history="1" r:id="rId30">
        <w:r>
          <w:rPr>
            <w:b/>
            <w:i/>
            <w:color w:val="0000FF"/>
            <w:sz w:val="28"/>
            <w:u w:val="single"/>
          </w:rPr>
          <w:t>zwiększenia bezpieczeństwa badań naukowych</w:t>
        </w:r>
      </w:hyperlink>
      <w:r>
        <w:rPr>
          <w:b/>
          <w:i/>
          <w:color w:val="0000FF"/>
          <w:sz w:val="28"/>
          <w:u w:val="single"/>
        </w:rPr>
        <w:t xml:space="preserve"> </w:t>
      </w:r>
    </w:p>
    <w:p w:rsidRPr="00AD6EAC" w:rsidR="00D92244" w:rsidP="00D92244" w:rsidRDefault="00D92244" w14:paraId="358B8BC9" w14:textId="719AD112">
      <w:pPr>
        <w:tabs>
          <w:tab w:val="center" w:pos="284"/>
        </w:tabs>
        <w:overflowPunct w:val="0"/>
        <w:autoSpaceDE w:val="0"/>
        <w:autoSpaceDN w:val="0"/>
        <w:adjustRightInd w:val="0"/>
        <w:ind w:left="266" w:hanging="266"/>
        <w:textAlignment w:val="baseline"/>
        <w:rPr>
          <w:b/>
        </w:rPr>
      </w:pPr>
    </w:p>
    <w:tbl>
      <w:tblPr>
        <w:tblStyle w:val="TableGrid197"/>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3"/>
        <w:gridCol w:w="4293"/>
      </w:tblGrid>
      <w:tr w:rsidRPr="00AD6EAC" w:rsidR="00D92244" w:rsidTr="00B01AC1" w14:paraId="7420832E" w14:textId="77777777">
        <w:tc>
          <w:tcPr>
            <w:tcW w:w="1639" w:type="pct"/>
          </w:tcPr>
          <w:p w:rsidRPr="00AD6EAC" w:rsidR="00D92244" w:rsidP="00D76388" w:rsidRDefault="00D92244" w14:paraId="457E6F3E" w14:textId="77777777">
            <w:pPr>
              <w:tabs>
                <w:tab w:val="center" w:pos="284"/>
              </w:tabs>
              <w:overflowPunct w:val="0"/>
              <w:autoSpaceDE w:val="0"/>
              <w:autoSpaceDN w:val="0"/>
              <w:adjustRightInd w:val="0"/>
              <w:ind w:left="266" w:hanging="266"/>
              <w:textAlignment w:val="baseline"/>
              <w:rPr>
                <w:b/>
              </w:rPr>
            </w:pPr>
            <w:r>
              <w:rPr>
                <w:b/>
              </w:rPr>
              <w:t>Sprawozdawca</w:t>
            </w:r>
          </w:p>
        </w:tc>
        <w:tc>
          <w:tcPr>
            <w:tcW w:w="3361" w:type="pct"/>
          </w:tcPr>
          <w:p w:rsidRPr="00AD6EAC" w:rsidR="00D92244" w:rsidP="00D76388" w:rsidRDefault="00D92244" w14:paraId="1E7E7378" w14:textId="77777777">
            <w:pPr>
              <w:tabs>
                <w:tab w:val="center" w:pos="284"/>
              </w:tabs>
              <w:overflowPunct w:val="0"/>
              <w:autoSpaceDE w:val="0"/>
              <w:autoSpaceDN w:val="0"/>
              <w:adjustRightInd w:val="0"/>
              <w:ind w:left="266" w:hanging="266"/>
              <w:textAlignment w:val="baseline"/>
              <w:rPr>
                <w:bCs/>
              </w:rPr>
            </w:pPr>
            <w:proofErr w:type="spellStart"/>
            <w:r>
              <w:t>Stefano</w:t>
            </w:r>
            <w:proofErr w:type="spellEnd"/>
            <w:r>
              <w:t xml:space="preserve"> PALMIERI (Grupa Pracowników – IT)</w:t>
            </w:r>
          </w:p>
        </w:tc>
      </w:tr>
      <w:tr w:rsidRPr="00AD6EAC" w:rsidR="00D92244" w:rsidTr="00D76388" w14:paraId="4E0CEDF2" w14:textId="77777777">
        <w:tc>
          <w:tcPr>
            <w:tcW w:w="5000" w:type="pct"/>
            <w:gridSpan w:val="2"/>
          </w:tcPr>
          <w:p w:rsidRPr="00AD6EAC" w:rsidR="00D92244" w:rsidP="00D76388" w:rsidRDefault="00D92244" w14:paraId="1E556B95" w14:textId="77777777">
            <w:pPr>
              <w:tabs>
                <w:tab w:val="center" w:pos="284"/>
              </w:tabs>
              <w:overflowPunct w:val="0"/>
              <w:autoSpaceDE w:val="0"/>
              <w:autoSpaceDN w:val="0"/>
              <w:adjustRightInd w:val="0"/>
              <w:spacing w:line="160" w:lineRule="exact"/>
              <w:ind w:left="266" w:hanging="266"/>
              <w:textAlignment w:val="baseline"/>
            </w:pPr>
          </w:p>
        </w:tc>
      </w:tr>
      <w:tr w:rsidRPr="00AD6EAC" w:rsidR="00D92244" w:rsidTr="00B01AC1" w14:paraId="098E8881" w14:textId="77777777">
        <w:tc>
          <w:tcPr>
            <w:tcW w:w="1639" w:type="pct"/>
            <w:vMerge w:val="restart"/>
          </w:tcPr>
          <w:p w:rsidRPr="00AD6EAC" w:rsidR="00D92244" w:rsidP="00D76388" w:rsidRDefault="00D92244" w14:paraId="61114D4E" w14:textId="77777777">
            <w:pPr>
              <w:tabs>
                <w:tab w:val="center" w:pos="284"/>
              </w:tabs>
              <w:overflowPunct w:val="0"/>
              <w:autoSpaceDE w:val="0"/>
              <w:autoSpaceDN w:val="0"/>
              <w:adjustRightInd w:val="0"/>
              <w:ind w:left="266" w:hanging="266"/>
              <w:textAlignment w:val="baseline"/>
              <w:rPr>
                <w:b/>
              </w:rPr>
            </w:pPr>
            <w:r>
              <w:rPr>
                <w:b/>
              </w:rPr>
              <w:t>Dokumenty źródłowe</w:t>
            </w:r>
          </w:p>
        </w:tc>
        <w:tc>
          <w:tcPr>
            <w:tcW w:w="3361" w:type="pct"/>
          </w:tcPr>
          <w:p w:rsidRPr="00AD6EAC" w:rsidR="00D92244" w:rsidP="00D76388" w:rsidRDefault="00D92244" w14:paraId="6FCF94DB" w14:textId="77777777">
            <w:pPr>
              <w:tabs>
                <w:tab w:val="center" w:pos="284"/>
              </w:tabs>
              <w:overflowPunct w:val="0"/>
              <w:autoSpaceDE w:val="0"/>
              <w:autoSpaceDN w:val="0"/>
              <w:adjustRightInd w:val="0"/>
              <w:ind w:left="266" w:hanging="266"/>
              <w:textAlignment w:val="baseline"/>
            </w:pPr>
            <w:r>
              <w:t xml:space="preserve">COM(2024) 26 </w:t>
            </w:r>
            <w:proofErr w:type="spellStart"/>
            <w:r>
              <w:t>final</w:t>
            </w:r>
            <w:proofErr w:type="spellEnd"/>
          </w:p>
        </w:tc>
      </w:tr>
      <w:tr w:rsidRPr="00AD6EAC" w:rsidR="00D92244" w:rsidTr="00B01AC1" w14:paraId="1378E04E" w14:textId="77777777">
        <w:tc>
          <w:tcPr>
            <w:tcW w:w="1639" w:type="pct"/>
            <w:vMerge/>
          </w:tcPr>
          <w:p w:rsidRPr="00AD6EAC" w:rsidR="00D92244" w:rsidP="00D76388" w:rsidRDefault="00D92244" w14:paraId="3C17628E" w14:textId="77777777">
            <w:pPr>
              <w:tabs>
                <w:tab w:val="center" w:pos="284"/>
              </w:tabs>
              <w:overflowPunct w:val="0"/>
              <w:autoSpaceDE w:val="0"/>
              <w:autoSpaceDN w:val="0"/>
              <w:adjustRightInd w:val="0"/>
              <w:ind w:left="266" w:hanging="266"/>
              <w:textAlignment w:val="baseline"/>
              <w:rPr>
                <w:b/>
              </w:rPr>
            </w:pPr>
          </w:p>
        </w:tc>
        <w:tc>
          <w:tcPr>
            <w:tcW w:w="3361" w:type="pct"/>
          </w:tcPr>
          <w:p w:rsidRPr="00AD6EAC" w:rsidR="00D92244" w:rsidP="00D76388" w:rsidRDefault="00D92244" w14:paraId="682CA312" w14:textId="77777777">
            <w:pPr>
              <w:tabs>
                <w:tab w:val="center" w:pos="284"/>
              </w:tabs>
              <w:overflowPunct w:val="0"/>
              <w:autoSpaceDE w:val="0"/>
              <w:autoSpaceDN w:val="0"/>
              <w:adjustRightInd w:val="0"/>
              <w:ind w:left="266" w:hanging="266"/>
              <w:textAlignment w:val="baseline"/>
            </w:pPr>
            <w:r>
              <w:t>EESC-2024-00827-00-00-AC</w:t>
            </w:r>
          </w:p>
        </w:tc>
      </w:tr>
    </w:tbl>
    <w:p w:rsidRPr="00AD6EAC" w:rsidR="00D92244" w:rsidP="00D92244" w:rsidRDefault="00D92244" w14:paraId="1F41BFFE" w14:textId="77777777">
      <w:pPr>
        <w:tabs>
          <w:tab w:val="center" w:pos="284"/>
        </w:tabs>
        <w:overflowPunct w:val="0"/>
        <w:autoSpaceDE w:val="0"/>
        <w:autoSpaceDN w:val="0"/>
        <w:adjustRightInd w:val="0"/>
        <w:ind w:left="266" w:hanging="266"/>
        <w:textAlignment w:val="baseline"/>
      </w:pPr>
    </w:p>
    <w:p w:rsidRPr="00AD6EAC" w:rsidR="00D92244" w:rsidP="00D92244" w:rsidRDefault="00D92244" w14:paraId="386F3AD5" w14:textId="77777777">
      <w:pPr>
        <w:keepNext/>
        <w:keepLines/>
        <w:tabs>
          <w:tab w:val="center" w:pos="284"/>
        </w:tabs>
        <w:overflowPunct w:val="0"/>
        <w:autoSpaceDE w:val="0"/>
        <w:autoSpaceDN w:val="0"/>
        <w:adjustRightInd w:val="0"/>
        <w:ind w:left="266" w:hanging="266"/>
        <w:textAlignment w:val="baseline"/>
        <w:rPr>
          <w:b/>
        </w:rPr>
      </w:pPr>
      <w:r>
        <w:rPr>
          <w:b/>
        </w:rPr>
        <w:t>Główne punkty</w:t>
      </w:r>
    </w:p>
    <w:p w:rsidRPr="00AD6EAC" w:rsidR="00D92244" w:rsidP="00D92244" w:rsidRDefault="00D92244" w14:paraId="1E30C2C4" w14:textId="77777777">
      <w:pPr>
        <w:keepNext/>
        <w:keepLines/>
        <w:tabs>
          <w:tab w:val="center" w:pos="284"/>
        </w:tabs>
        <w:overflowPunct w:val="0"/>
        <w:autoSpaceDE w:val="0"/>
        <w:autoSpaceDN w:val="0"/>
        <w:adjustRightInd w:val="0"/>
        <w:ind w:left="266" w:hanging="266"/>
        <w:textAlignment w:val="baseline"/>
        <w:rPr>
          <w:b/>
        </w:rPr>
      </w:pPr>
    </w:p>
    <w:p w:rsidRPr="00AD6EAC" w:rsidR="00D92244" w:rsidP="00D92244" w:rsidRDefault="00D92244" w14:paraId="4FAC9452" w14:textId="77777777">
      <w:pPr>
        <w:overflowPunct w:val="0"/>
        <w:autoSpaceDE w:val="0"/>
        <w:autoSpaceDN w:val="0"/>
        <w:adjustRightInd w:val="0"/>
        <w:textAlignment w:val="baseline"/>
        <w:rPr>
          <w:bCs/>
          <w:iCs/>
        </w:rPr>
      </w:pPr>
      <w:r>
        <w:t>EKES</w:t>
      </w:r>
    </w:p>
    <w:p w:rsidRPr="00AD6EAC" w:rsidR="00D92244" w:rsidP="00D92244" w:rsidRDefault="00D92244" w14:paraId="2AC2F3B1" w14:textId="77777777">
      <w:pPr>
        <w:overflowPunct w:val="0"/>
        <w:autoSpaceDE w:val="0"/>
        <w:autoSpaceDN w:val="0"/>
        <w:adjustRightInd w:val="0"/>
        <w:textAlignment w:val="baseline"/>
        <w:rPr>
          <w:bCs/>
          <w:iCs/>
        </w:rPr>
      </w:pPr>
    </w:p>
    <w:p w:rsidRPr="00AD6EAC" w:rsidR="00D92244" w:rsidP="0088361D" w:rsidRDefault="00D92244" w14:paraId="140BA857" w14:textId="4AFF374E">
      <w:pPr>
        <w:widowControl w:val="0"/>
        <w:numPr>
          <w:ilvl w:val="0"/>
          <w:numId w:val="41"/>
        </w:numPr>
        <w:overflowPunct w:val="0"/>
        <w:autoSpaceDE w:val="0"/>
        <w:autoSpaceDN w:val="0"/>
        <w:adjustRightInd w:val="0"/>
        <w:ind w:left="284" w:hanging="284"/>
        <w:textAlignment w:val="baseline"/>
        <w:rPr>
          <w:bCs/>
          <w:iCs/>
        </w:rPr>
      </w:pPr>
      <w:r>
        <w:t>Sądzi, że wskazane jest zapewnienie właściwej równowagi między wymogiem bezpieczeństwa a</w:t>
      </w:r>
      <w:r w:rsidR="00B01AC1">
        <w:t> </w:t>
      </w:r>
      <w:r>
        <w:t>potrzebą utrzymania otwartości tego sektora na arenie międzynarodowej. Jest jednocześnie świadomy podatności sektora badań naukowych i innowacji na ewentualne wrogie wpływy podmiotów państwowych i niepaństwowych w obszarze niektórych działań na rzecz współpracy międzynarodowej w tym zakresie.</w:t>
      </w:r>
    </w:p>
    <w:p w:rsidRPr="00AD6EAC" w:rsidR="00D92244" w:rsidP="0088361D" w:rsidRDefault="00D92244" w14:paraId="1E45DFAF" w14:textId="77777777">
      <w:pPr>
        <w:widowControl w:val="0"/>
        <w:numPr>
          <w:ilvl w:val="0"/>
          <w:numId w:val="41"/>
        </w:numPr>
        <w:overflowPunct w:val="0"/>
        <w:autoSpaceDE w:val="0"/>
        <w:autoSpaceDN w:val="0"/>
        <w:adjustRightInd w:val="0"/>
        <w:ind w:left="284" w:hanging="284"/>
        <w:textAlignment w:val="baseline"/>
        <w:rPr>
          <w:bCs/>
          <w:iCs/>
        </w:rPr>
      </w:pPr>
      <w:r>
        <w:t>Sądzi, że działania na rzecz zagwarantowania bezpieczeństwa badań naukowych i innowacji nie powinny być nigdy sprzeczne z uznaniem pełnej autonomii i wolności badań naukowych.</w:t>
      </w:r>
    </w:p>
    <w:p w:rsidRPr="00AD6EAC" w:rsidR="00D92244" w:rsidP="0088361D" w:rsidRDefault="00D92244" w14:paraId="79A2FA63" w14:textId="77777777">
      <w:pPr>
        <w:widowControl w:val="0"/>
        <w:numPr>
          <w:ilvl w:val="0"/>
          <w:numId w:val="41"/>
        </w:numPr>
        <w:overflowPunct w:val="0"/>
        <w:autoSpaceDE w:val="0"/>
        <w:autoSpaceDN w:val="0"/>
        <w:adjustRightInd w:val="0"/>
        <w:ind w:left="284" w:hanging="284"/>
        <w:textAlignment w:val="baseline"/>
        <w:rPr>
          <w:bCs/>
          <w:iCs/>
        </w:rPr>
      </w:pPr>
      <w:r>
        <w:t>Zaleca, by potwierdzono zasadę „wolności w odpowiedzialności” podmiotów zajmujących się badaniami naukowymi i innowacjami dzięki skutecznej, efektywnej i przejrzystej samorządności podmiotów w tym sektorze.</w:t>
      </w:r>
    </w:p>
    <w:p w:rsidRPr="00AD6EAC" w:rsidR="00D92244" w:rsidP="0088361D" w:rsidRDefault="00D92244" w14:paraId="7C6CA28B" w14:textId="6E2F0440">
      <w:pPr>
        <w:widowControl w:val="0"/>
        <w:numPr>
          <w:ilvl w:val="0"/>
          <w:numId w:val="41"/>
        </w:numPr>
        <w:overflowPunct w:val="0"/>
        <w:autoSpaceDE w:val="0"/>
        <w:autoSpaceDN w:val="0"/>
        <w:adjustRightInd w:val="0"/>
        <w:ind w:left="284" w:hanging="284"/>
        <w:textAlignment w:val="baseline"/>
        <w:rPr>
          <w:bCs/>
          <w:iCs/>
        </w:rPr>
      </w:pPr>
      <w:r>
        <w:t>Jest zdania, że dążenie do zagwarantowania współpracy międzynarodowej na rzecz bezpiecznych badań naukowych i innowacji nie powinno nigdy prowadzić do dyskryminujących lub niesprawiedliwych praktyk wobec podmiotów zajmujących się badaniami naukowymi i innowacjami lub ich nękania. Nie powinno też stać w sprzeczności z prawami pracowniczymi i</w:t>
      </w:r>
      <w:r w:rsidR="00B01AC1">
        <w:t> </w:t>
      </w:r>
      <w:r>
        <w:t>ochroną warunków pracy osób zatrudnionych w unijnym sektorze badań naukowych i innowacji.</w:t>
      </w:r>
    </w:p>
    <w:p w:rsidRPr="00AD6EAC" w:rsidR="00D92244" w:rsidP="0088361D" w:rsidRDefault="00D92244" w14:paraId="6EA4B4FD" w14:textId="77777777">
      <w:pPr>
        <w:widowControl w:val="0"/>
        <w:numPr>
          <w:ilvl w:val="0"/>
          <w:numId w:val="41"/>
        </w:numPr>
        <w:overflowPunct w:val="0"/>
        <w:autoSpaceDE w:val="0"/>
        <w:autoSpaceDN w:val="0"/>
        <w:adjustRightInd w:val="0"/>
        <w:ind w:left="284" w:hanging="284"/>
        <w:textAlignment w:val="baseline"/>
        <w:rPr>
          <w:bCs/>
          <w:iCs/>
        </w:rPr>
      </w:pPr>
      <w:r>
        <w:t>Życzy sobie, by osiągnięto pełną autonomię badań naukowych i innowacji w jednolitych i spójnych ramach odniesienia we wszystkich państwach członkowskich UE.</w:t>
      </w:r>
    </w:p>
    <w:p w:rsidRPr="00AD6EAC" w:rsidR="00D92244" w:rsidP="0088361D" w:rsidRDefault="00D92244" w14:paraId="3FC04FE9" w14:textId="77777777">
      <w:pPr>
        <w:widowControl w:val="0"/>
        <w:numPr>
          <w:ilvl w:val="0"/>
          <w:numId w:val="41"/>
        </w:numPr>
        <w:overflowPunct w:val="0"/>
        <w:autoSpaceDE w:val="0"/>
        <w:autoSpaceDN w:val="0"/>
        <w:adjustRightInd w:val="0"/>
        <w:ind w:left="284" w:hanging="284"/>
        <w:textAlignment w:val="baseline"/>
        <w:rPr>
          <w:bCs/>
          <w:iCs/>
        </w:rPr>
      </w:pPr>
      <w:r>
        <w:t>Zwraca uwagę na to, jak ważne jest zapewnienie większej ochrony własności intelektualnej innowacji mogących gwarantować bezpieczeństwo narodowe. Równie ważne jest rozszerzenie monitorowania bezpośrednich inwestycji zagranicznych na przedsiębiorstwa podlegające połączeniom i przejęciom w dziesięciu sektorach krytycznych i w sektorze produktów podwójnego zastosowania.</w:t>
      </w:r>
    </w:p>
    <w:p w:rsidRPr="00AD6EAC" w:rsidR="00D92244" w:rsidP="0088361D" w:rsidRDefault="00D92244" w14:paraId="4FC67D2D" w14:textId="00C2C328">
      <w:pPr>
        <w:widowControl w:val="0"/>
        <w:numPr>
          <w:ilvl w:val="0"/>
          <w:numId w:val="41"/>
        </w:numPr>
        <w:overflowPunct w:val="0"/>
        <w:autoSpaceDE w:val="0"/>
        <w:autoSpaceDN w:val="0"/>
        <w:adjustRightInd w:val="0"/>
        <w:ind w:left="284" w:hanging="284"/>
        <w:textAlignment w:val="baseline"/>
        <w:rPr>
          <w:bCs/>
          <w:iCs/>
        </w:rPr>
      </w:pPr>
      <w:r>
        <w:t>Uważa, że brak szczegółowych wskazówek wspomagających działalność podmiotów prowadzących badania naukowe i innowacje dotyczące: i) należytej staranności; ii) profilowania ryzyka; iii) opracowania protokołów ustaleń z partnerskimi organizacjami międzynarodowymi w</w:t>
      </w:r>
      <w:r w:rsidR="00B01AC1">
        <w:t> </w:t>
      </w:r>
      <w:r>
        <w:t>dziedzinie badań naukowych i innowacji w ramach zalecenia można by rozwiązać w</w:t>
      </w:r>
      <w:r w:rsidR="00B01AC1">
        <w:t> </w:t>
      </w:r>
      <w:r>
        <w:t>późniejszym terminie za pośrednictwem przyszłego działania Europejskiego Centrum Eksperckiego w dziedzinie Bezpieczeństwa Badań Naukowych.</w:t>
      </w:r>
    </w:p>
    <w:p w:rsidRPr="00AD6EAC" w:rsidR="00D92244" w:rsidP="0088361D" w:rsidRDefault="00D92244" w14:paraId="0CBD17E5" w14:textId="77777777">
      <w:pPr>
        <w:widowControl w:val="0"/>
        <w:numPr>
          <w:ilvl w:val="0"/>
          <w:numId w:val="41"/>
        </w:numPr>
        <w:overflowPunct w:val="0"/>
        <w:autoSpaceDE w:val="0"/>
        <w:autoSpaceDN w:val="0"/>
        <w:adjustRightInd w:val="0"/>
        <w:ind w:left="284" w:hanging="284"/>
        <w:textAlignment w:val="baseline"/>
        <w:rPr>
          <w:bCs/>
          <w:iCs/>
        </w:rPr>
      </w:pPr>
      <w:r>
        <w:t xml:space="preserve">Wyraża nadzieję, że Europejskie Centrum Eksperckie w dziedzinie Bezpieczeństwa Badań Naukowych będzie działać jako platforma gromadząca i udostępniająca dokumentację przy pełnym poszanowaniu wzajemnej przejrzystości. Oczekuje także, że w Centrum będą organizowane kursy </w:t>
      </w:r>
      <w:r>
        <w:lastRenderedPageBreak/>
        <w:t>szkoleniowe i dokształcające w dziedzinie bezpieczeństwa badań naukowych.</w:t>
      </w:r>
    </w:p>
    <w:p w:rsidRPr="00AD6EAC" w:rsidR="00D92244" w:rsidP="00D92244" w:rsidRDefault="00D92244" w14:paraId="4D4A58EC" w14:textId="77777777">
      <w:pPr>
        <w:widowControl w:val="0"/>
        <w:overflowPunct w:val="0"/>
        <w:autoSpaceDE w:val="0"/>
        <w:autoSpaceDN w:val="0"/>
        <w:adjustRightInd w:val="0"/>
        <w:ind w:left="709"/>
        <w:textAlignment w:val="baseline"/>
        <w:rPr>
          <w:szCs w:val="20"/>
        </w:rPr>
      </w:pPr>
    </w:p>
    <w:tbl>
      <w:tblPr>
        <w:tblStyle w:val="TableGrid197"/>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AD6EAC" w:rsidR="00D92244" w:rsidTr="00D76388" w14:paraId="287B7FB1" w14:textId="77777777">
        <w:tc>
          <w:tcPr>
            <w:tcW w:w="1556" w:type="pct"/>
          </w:tcPr>
          <w:p w:rsidRPr="00AD6EAC" w:rsidR="00D92244" w:rsidP="00D76388" w:rsidRDefault="00D92244" w14:paraId="3842406F" w14:textId="77777777">
            <w:pPr>
              <w:overflowPunct w:val="0"/>
              <w:autoSpaceDE w:val="0"/>
              <w:autoSpaceDN w:val="0"/>
              <w:adjustRightInd w:val="0"/>
              <w:spacing w:line="240" w:lineRule="auto"/>
              <w:textAlignment w:val="baseline"/>
              <w:rPr>
                <w:i/>
              </w:rPr>
            </w:pPr>
            <w:r>
              <w:rPr>
                <w:b/>
                <w:i/>
              </w:rPr>
              <w:t>Kontakt</w:t>
            </w:r>
          </w:p>
        </w:tc>
        <w:tc>
          <w:tcPr>
            <w:tcW w:w="3444" w:type="pct"/>
          </w:tcPr>
          <w:p w:rsidRPr="00AD6EAC" w:rsidR="00D92244" w:rsidP="00D76388" w:rsidRDefault="00D92244" w14:paraId="60AEAEF9" w14:textId="2058FF32">
            <w:pPr>
              <w:overflowPunct w:val="0"/>
              <w:autoSpaceDE w:val="0"/>
              <w:autoSpaceDN w:val="0"/>
              <w:adjustRightInd w:val="0"/>
              <w:spacing w:line="240" w:lineRule="auto"/>
              <w:textAlignment w:val="baseline"/>
              <w:rPr>
                <w:i/>
              </w:rPr>
            </w:pPr>
            <w:r>
              <w:rPr>
                <w:i/>
              </w:rPr>
              <w:t xml:space="preserve">Marco </w:t>
            </w:r>
            <w:proofErr w:type="spellStart"/>
            <w:r>
              <w:rPr>
                <w:i/>
              </w:rPr>
              <w:t>Manfroni</w:t>
            </w:r>
            <w:proofErr w:type="spellEnd"/>
          </w:p>
        </w:tc>
      </w:tr>
      <w:tr w:rsidRPr="00AD6EAC" w:rsidR="00D92244" w:rsidTr="00D76388" w14:paraId="585CC20B" w14:textId="77777777">
        <w:tc>
          <w:tcPr>
            <w:tcW w:w="1556" w:type="pct"/>
          </w:tcPr>
          <w:p w:rsidRPr="00AD6EAC" w:rsidR="00D92244" w:rsidP="00D76388" w:rsidRDefault="00D92244" w14:paraId="24DE7F18" w14:textId="77777777">
            <w:pPr>
              <w:overflowPunct w:val="0"/>
              <w:autoSpaceDE w:val="0"/>
              <w:autoSpaceDN w:val="0"/>
              <w:adjustRightInd w:val="0"/>
              <w:spacing w:line="240" w:lineRule="auto"/>
              <w:textAlignment w:val="baseline"/>
              <w:rPr>
                <w:i/>
              </w:rPr>
            </w:pPr>
            <w:r>
              <w:rPr>
                <w:i/>
              </w:rPr>
              <w:t>Tel.:</w:t>
            </w:r>
          </w:p>
        </w:tc>
        <w:tc>
          <w:tcPr>
            <w:tcW w:w="3444" w:type="pct"/>
          </w:tcPr>
          <w:p w:rsidRPr="00AD6EAC" w:rsidR="00D92244" w:rsidP="00D76388" w:rsidRDefault="00D92244" w14:paraId="06BE94BD" w14:textId="77777777">
            <w:pPr>
              <w:overflowPunct w:val="0"/>
              <w:autoSpaceDE w:val="0"/>
              <w:autoSpaceDN w:val="0"/>
              <w:adjustRightInd w:val="0"/>
              <w:spacing w:line="240" w:lineRule="auto"/>
              <w:textAlignment w:val="baseline"/>
              <w:rPr>
                <w:bCs/>
                <w:i/>
              </w:rPr>
            </w:pPr>
            <w:r>
              <w:rPr>
                <w:i/>
              </w:rPr>
              <w:t>+32 25469140</w:t>
            </w:r>
          </w:p>
        </w:tc>
      </w:tr>
      <w:tr w:rsidRPr="00AD6EAC" w:rsidR="00D92244" w:rsidTr="00D76388" w14:paraId="4C2006AB" w14:textId="77777777">
        <w:tc>
          <w:tcPr>
            <w:tcW w:w="1556" w:type="pct"/>
          </w:tcPr>
          <w:p w:rsidRPr="00AD6EAC" w:rsidR="00D92244" w:rsidP="00D76388" w:rsidRDefault="00D92244" w14:paraId="798D005A" w14:textId="77777777">
            <w:pPr>
              <w:overflowPunct w:val="0"/>
              <w:autoSpaceDE w:val="0"/>
              <w:autoSpaceDN w:val="0"/>
              <w:adjustRightInd w:val="0"/>
              <w:spacing w:line="240" w:lineRule="auto"/>
              <w:textAlignment w:val="baseline"/>
              <w:rPr>
                <w:i/>
              </w:rPr>
            </w:pPr>
            <w:r>
              <w:rPr>
                <w:i/>
              </w:rPr>
              <w:t>e-mail:</w:t>
            </w:r>
          </w:p>
        </w:tc>
        <w:tc>
          <w:tcPr>
            <w:tcW w:w="3444" w:type="pct"/>
          </w:tcPr>
          <w:p w:rsidRPr="00AD6EAC" w:rsidR="00D92244" w:rsidP="00D76388" w:rsidRDefault="00EE19DE" w14:paraId="3D9D06F0" w14:textId="4B9887DC">
            <w:pPr>
              <w:overflowPunct w:val="0"/>
              <w:autoSpaceDE w:val="0"/>
              <w:autoSpaceDN w:val="0"/>
              <w:adjustRightInd w:val="0"/>
              <w:spacing w:line="240" w:lineRule="auto"/>
              <w:textAlignment w:val="baseline"/>
              <w:rPr>
                <w:i/>
              </w:rPr>
            </w:pPr>
            <w:hyperlink w:history="1" r:id="rId31">
              <w:r w:rsidR="000B64C3">
                <w:rPr>
                  <w:i/>
                  <w:color w:val="0000FF"/>
                  <w:u w:val="single"/>
                </w:rPr>
                <w:t>Marco.Manfroni@eesc.europa.eu</w:t>
              </w:r>
            </w:hyperlink>
          </w:p>
        </w:tc>
      </w:tr>
    </w:tbl>
    <w:p w:rsidR="00DC26B9" w:rsidP="00C37F51" w:rsidRDefault="00DC26B9" w14:paraId="13ABEB8E" w14:textId="77777777">
      <w:pPr>
        <w:rPr>
          <w:rFonts w:eastAsiaTheme="minorEastAsia"/>
        </w:rPr>
      </w:pPr>
    </w:p>
    <w:p w:rsidR="00DC26B9" w:rsidRDefault="00DC26B9" w14:paraId="3806A840" w14:textId="77777777">
      <w:pPr>
        <w:spacing w:after="160" w:line="259" w:lineRule="auto"/>
        <w:jc w:val="left"/>
        <w:rPr>
          <w:rFonts w:eastAsiaTheme="minorEastAsia"/>
        </w:rPr>
      </w:pPr>
      <w:r>
        <w:br w:type="page"/>
      </w:r>
    </w:p>
    <w:p w:rsidR="006A7E31" w:rsidP="006A7E31" w:rsidRDefault="00520680" w14:paraId="295BACE7" w14:textId="7EB5E747">
      <w:pPr>
        <w:pStyle w:val="TOC1"/>
      </w:pPr>
      <w:bookmarkStart w:name="_Toc172708165" w:id="7"/>
      <w:r>
        <w:lastRenderedPageBreak/>
        <w:t>5.</w:t>
      </w:r>
      <w:r>
        <w:rPr>
          <w:rFonts w:asciiTheme="minorHAnsi" w:hAnsiTheme="minorHAnsi"/>
          <w:sz w:val="22"/>
        </w:rPr>
        <w:tab/>
      </w:r>
      <w:hyperlink w:history="1" w:anchor="_Toc164353189">
        <w:r>
          <w:t>ROLNICTWO, ROZWÓJ WSI I ŚRODOWISKO NATURALNE</w:t>
        </w:r>
        <w:bookmarkEnd w:id="7"/>
      </w:hyperlink>
    </w:p>
    <w:p w:rsidR="006A7E31" w:rsidP="006A7E31" w:rsidRDefault="006A7E31" w14:paraId="3D04EFC9" w14:textId="77777777">
      <w:pPr>
        <w:rPr>
          <w:rFonts w:eastAsiaTheme="minorEastAsia"/>
        </w:rPr>
      </w:pPr>
    </w:p>
    <w:p w:rsidR="006A7E31" w:rsidP="006A7E31" w:rsidRDefault="006A7E31" w14:paraId="016FD202" w14:textId="77777777">
      <w:pPr>
        <w:rPr>
          <w:rFonts w:eastAsiaTheme="minorEastAsia"/>
        </w:rPr>
      </w:pPr>
    </w:p>
    <w:p w:rsidRPr="0005755A" w:rsidR="006A7E31" w:rsidP="006A7E31" w:rsidRDefault="00EE19DE" w14:paraId="39D83DFD" w14:textId="78AF0616">
      <w:pPr>
        <w:widowControl w:val="0"/>
        <w:numPr>
          <w:ilvl w:val="0"/>
          <w:numId w:val="31"/>
        </w:numPr>
        <w:overflowPunct w:val="0"/>
        <w:autoSpaceDE w:val="0"/>
        <w:autoSpaceDN w:val="0"/>
        <w:adjustRightInd w:val="0"/>
        <w:textAlignment w:val="baseline"/>
        <w:rPr>
          <w:sz w:val="20"/>
          <w:szCs w:val="20"/>
        </w:rPr>
      </w:pPr>
      <w:hyperlink w:history="1" r:id="rId32">
        <w:r w:rsidR="000B64C3">
          <w:rPr>
            <w:b/>
            <w:i/>
            <w:color w:val="0000FF"/>
            <w:sz w:val="28"/>
            <w:u w:val="single"/>
          </w:rPr>
          <w:t>Generalna Komisja Rybołówstwa Morza Śródziemnego</w:t>
        </w:r>
      </w:hyperlink>
    </w:p>
    <w:p w:rsidRPr="0005755A" w:rsidR="006A7E31" w:rsidP="006A7E31" w:rsidRDefault="006A7E31" w14:paraId="37CEF3A5" w14:textId="2D50703F">
      <w:pPr>
        <w:tabs>
          <w:tab w:val="center" w:pos="284"/>
        </w:tabs>
        <w:overflowPunct w:val="0"/>
        <w:autoSpaceDE w:val="0"/>
        <w:autoSpaceDN w:val="0"/>
        <w:adjustRightInd w:val="0"/>
        <w:ind w:left="266" w:hanging="266"/>
        <w:textAlignment w:val="baseline"/>
        <w:rPr>
          <w:b/>
        </w:rPr>
      </w:pPr>
    </w:p>
    <w:tbl>
      <w:tblPr>
        <w:tblStyle w:val="TableGrid202"/>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2"/>
        <w:gridCol w:w="4234"/>
      </w:tblGrid>
      <w:tr w:rsidRPr="0005755A" w:rsidR="006A7E31" w:rsidTr="00D76388" w14:paraId="725C09C6" w14:textId="77777777">
        <w:tc>
          <w:tcPr>
            <w:tcW w:w="5000" w:type="pct"/>
            <w:gridSpan w:val="2"/>
          </w:tcPr>
          <w:p w:rsidRPr="0005755A" w:rsidR="006A7E31" w:rsidP="00D76388" w:rsidRDefault="006A7E31" w14:paraId="1965D2FE" w14:textId="77777777">
            <w:pPr>
              <w:tabs>
                <w:tab w:val="center" w:pos="284"/>
              </w:tabs>
              <w:overflowPunct w:val="0"/>
              <w:autoSpaceDE w:val="0"/>
              <w:autoSpaceDN w:val="0"/>
              <w:adjustRightInd w:val="0"/>
              <w:spacing w:line="160" w:lineRule="exact"/>
              <w:ind w:left="266" w:hanging="266"/>
              <w:textAlignment w:val="baseline"/>
            </w:pPr>
          </w:p>
        </w:tc>
      </w:tr>
      <w:tr w:rsidRPr="0005755A" w:rsidR="006A7E31" w:rsidTr="00B01AC1" w14:paraId="232DC57A" w14:textId="77777777">
        <w:tc>
          <w:tcPr>
            <w:tcW w:w="1685" w:type="pct"/>
            <w:vMerge w:val="restart"/>
          </w:tcPr>
          <w:p w:rsidRPr="0005755A" w:rsidR="006A7E31" w:rsidP="00D76388" w:rsidRDefault="006A7E31" w14:paraId="4FEFF747" w14:textId="77777777">
            <w:pPr>
              <w:tabs>
                <w:tab w:val="center" w:pos="284"/>
              </w:tabs>
              <w:overflowPunct w:val="0"/>
              <w:autoSpaceDE w:val="0"/>
              <w:autoSpaceDN w:val="0"/>
              <w:adjustRightInd w:val="0"/>
              <w:ind w:left="266" w:hanging="266"/>
              <w:textAlignment w:val="baseline"/>
              <w:rPr>
                <w:b/>
              </w:rPr>
            </w:pPr>
            <w:r>
              <w:rPr>
                <w:b/>
              </w:rPr>
              <w:t>Dokumenty źródłowe</w:t>
            </w:r>
          </w:p>
        </w:tc>
        <w:tc>
          <w:tcPr>
            <w:tcW w:w="3315" w:type="pct"/>
          </w:tcPr>
          <w:p w:rsidRPr="0005755A" w:rsidR="006A7E31" w:rsidP="00D76388" w:rsidRDefault="006A7E31" w14:paraId="43EE2C7E" w14:textId="77777777">
            <w:pPr>
              <w:tabs>
                <w:tab w:val="center" w:pos="284"/>
              </w:tabs>
              <w:overflowPunct w:val="0"/>
              <w:autoSpaceDE w:val="0"/>
              <w:autoSpaceDN w:val="0"/>
              <w:adjustRightInd w:val="0"/>
              <w:ind w:left="266" w:hanging="266"/>
              <w:textAlignment w:val="baseline"/>
            </w:pPr>
            <w:r>
              <w:t xml:space="preserve">COM(2024) 183 </w:t>
            </w:r>
            <w:proofErr w:type="spellStart"/>
            <w:r>
              <w:t>final</w:t>
            </w:r>
            <w:proofErr w:type="spellEnd"/>
          </w:p>
        </w:tc>
      </w:tr>
      <w:tr w:rsidRPr="0005755A" w:rsidR="006A7E31" w:rsidTr="00B01AC1" w14:paraId="52116F2D" w14:textId="77777777">
        <w:tc>
          <w:tcPr>
            <w:tcW w:w="1685" w:type="pct"/>
            <w:vMerge/>
          </w:tcPr>
          <w:p w:rsidRPr="0005755A" w:rsidR="006A7E31" w:rsidP="00D76388" w:rsidRDefault="006A7E31" w14:paraId="2DFD9BC8" w14:textId="77777777">
            <w:pPr>
              <w:tabs>
                <w:tab w:val="center" w:pos="284"/>
              </w:tabs>
              <w:overflowPunct w:val="0"/>
              <w:autoSpaceDE w:val="0"/>
              <w:autoSpaceDN w:val="0"/>
              <w:adjustRightInd w:val="0"/>
              <w:ind w:left="266" w:hanging="266"/>
              <w:textAlignment w:val="baseline"/>
              <w:rPr>
                <w:b/>
              </w:rPr>
            </w:pPr>
          </w:p>
        </w:tc>
        <w:tc>
          <w:tcPr>
            <w:tcW w:w="3315" w:type="pct"/>
          </w:tcPr>
          <w:p w:rsidR="006A7E31" w:rsidP="00D76388" w:rsidRDefault="006A7E31" w14:paraId="57218549" w14:textId="77777777">
            <w:pPr>
              <w:tabs>
                <w:tab w:val="center" w:pos="284"/>
              </w:tabs>
              <w:overflowPunct w:val="0"/>
              <w:autoSpaceDE w:val="0"/>
              <w:autoSpaceDN w:val="0"/>
              <w:adjustRightInd w:val="0"/>
              <w:ind w:left="266" w:hanging="266"/>
              <w:textAlignment w:val="baseline"/>
            </w:pPr>
            <w:r>
              <w:t>EESC-2024-02260-00-00-AC</w:t>
            </w:r>
          </w:p>
          <w:p w:rsidRPr="0005755A" w:rsidR="00A200F9" w:rsidP="00D76388" w:rsidRDefault="00A200F9" w14:paraId="754E25EA" w14:textId="1E409A4F">
            <w:pPr>
              <w:tabs>
                <w:tab w:val="center" w:pos="284"/>
              </w:tabs>
              <w:overflowPunct w:val="0"/>
              <w:autoSpaceDE w:val="0"/>
              <w:autoSpaceDN w:val="0"/>
              <w:adjustRightInd w:val="0"/>
              <w:ind w:left="266" w:hanging="266"/>
              <w:textAlignment w:val="baseline"/>
            </w:pPr>
            <w:r>
              <w:t>(opinia kategorii C)</w:t>
            </w:r>
          </w:p>
        </w:tc>
      </w:tr>
    </w:tbl>
    <w:p w:rsidRPr="0005755A" w:rsidR="006A7E31" w:rsidP="006A7E31" w:rsidRDefault="006A7E31" w14:paraId="01E30438" w14:textId="77777777">
      <w:pPr>
        <w:tabs>
          <w:tab w:val="center" w:pos="284"/>
        </w:tabs>
        <w:overflowPunct w:val="0"/>
        <w:autoSpaceDE w:val="0"/>
        <w:autoSpaceDN w:val="0"/>
        <w:adjustRightInd w:val="0"/>
        <w:ind w:left="266" w:hanging="266"/>
        <w:textAlignment w:val="baseline"/>
      </w:pPr>
    </w:p>
    <w:p w:rsidRPr="0005755A" w:rsidR="006A7E31" w:rsidP="006A7E31" w:rsidRDefault="006A7E31" w14:paraId="7D2576E9" w14:textId="77777777">
      <w:pPr>
        <w:keepNext/>
        <w:keepLines/>
        <w:tabs>
          <w:tab w:val="center" w:pos="284"/>
        </w:tabs>
        <w:overflowPunct w:val="0"/>
        <w:autoSpaceDE w:val="0"/>
        <w:autoSpaceDN w:val="0"/>
        <w:adjustRightInd w:val="0"/>
        <w:ind w:left="266" w:hanging="266"/>
        <w:textAlignment w:val="baseline"/>
        <w:rPr>
          <w:b/>
        </w:rPr>
      </w:pPr>
      <w:r>
        <w:rPr>
          <w:b/>
        </w:rPr>
        <w:t>Główne punkty</w:t>
      </w:r>
    </w:p>
    <w:p w:rsidRPr="0005755A" w:rsidR="006A7E31" w:rsidP="006A7E31" w:rsidRDefault="006A7E31" w14:paraId="214FCD0C" w14:textId="77777777">
      <w:pPr>
        <w:keepNext/>
        <w:keepLines/>
        <w:tabs>
          <w:tab w:val="center" w:pos="284"/>
        </w:tabs>
        <w:overflowPunct w:val="0"/>
        <w:autoSpaceDE w:val="0"/>
        <w:autoSpaceDN w:val="0"/>
        <w:adjustRightInd w:val="0"/>
        <w:ind w:left="266" w:hanging="266"/>
        <w:textAlignment w:val="baseline"/>
        <w:rPr>
          <w:b/>
        </w:rPr>
      </w:pPr>
    </w:p>
    <w:p w:rsidRPr="0005755A" w:rsidR="006A7E31" w:rsidP="006A7E31" w:rsidRDefault="006A7E31" w14:paraId="0D7A0E45" w14:textId="77777777">
      <w:pPr>
        <w:overflowPunct w:val="0"/>
        <w:autoSpaceDE w:val="0"/>
        <w:autoSpaceDN w:val="0"/>
        <w:adjustRightInd w:val="0"/>
        <w:textAlignment w:val="baseline"/>
        <w:rPr>
          <w:bCs/>
          <w:iCs/>
        </w:rPr>
      </w:pPr>
      <w:r>
        <w:t>EKES</w:t>
      </w:r>
    </w:p>
    <w:p w:rsidRPr="0005755A" w:rsidR="006A7E31" w:rsidP="006A7E31" w:rsidRDefault="006A7E31" w14:paraId="1E82166E" w14:textId="77777777">
      <w:pPr>
        <w:overflowPunct w:val="0"/>
        <w:autoSpaceDE w:val="0"/>
        <w:autoSpaceDN w:val="0"/>
        <w:adjustRightInd w:val="0"/>
        <w:textAlignment w:val="baseline"/>
        <w:rPr>
          <w:bCs/>
          <w:iCs/>
        </w:rPr>
      </w:pPr>
    </w:p>
    <w:p w:rsidRPr="0005755A" w:rsidR="006A7E31" w:rsidP="0088361D" w:rsidRDefault="006A7E31" w14:paraId="7FA337A0" w14:textId="6B11E6D1">
      <w:pPr>
        <w:widowControl w:val="0"/>
        <w:numPr>
          <w:ilvl w:val="0"/>
          <w:numId w:val="42"/>
        </w:numPr>
        <w:overflowPunct w:val="0"/>
        <w:autoSpaceDE w:val="0"/>
        <w:autoSpaceDN w:val="0"/>
        <w:adjustRightInd w:val="0"/>
        <w:textAlignment w:val="baseline"/>
        <w:rPr>
          <w:bCs/>
          <w:iCs/>
        </w:rPr>
      </w:pPr>
      <w:r>
        <w:t>Zgadza się bez zastrzeżeń z treścią wniosku i uważa, że nie wymaga on jakichkolwiek uwag z</w:t>
      </w:r>
      <w:r w:rsidR="00B01AC1">
        <w:t> </w:t>
      </w:r>
      <w:r>
        <w:t>jego strony.</w:t>
      </w:r>
    </w:p>
    <w:p w:rsidRPr="0005755A" w:rsidR="006A7E31" w:rsidP="006A7E31" w:rsidRDefault="006A7E31" w14:paraId="3399E1C6" w14:textId="77777777">
      <w:pPr>
        <w:widowControl w:val="0"/>
        <w:overflowPunct w:val="0"/>
        <w:autoSpaceDE w:val="0"/>
        <w:autoSpaceDN w:val="0"/>
        <w:adjustRightInd w:val="0"/>
        <w:ind w:left="709"/>
        <w:textAlignment w:val="baseline"/>
        <w:rPr>
          <w:szCs w:val="20"/>
        </w:rPr>
      </w:pPr>
    </w:p>
    <w:tbl>
      <w:tblPr>
        <w:tblStyle w:val="TableGrid202"/>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05755A" w:rsidR="006A7E31" w:rsidTr="00D76388" w14:paraId="43D3B51A" w14:textId="77777777">
        <w:tc>
          <w:tcPr>
            <w:tcW w:w="1556" w:type="pct"/>
          </w:tcPr>
          <w:p w:rsidRPr="0005755A" w:rsidR="006A7E31" w:rsidP="00D76388" w:rsidRDefault="006A7E31" w14:paraId="31772B18" w14:textId="77777777">
            <w:pPr>
              <w:overflowPunct w:val="0"/>
              <w:autoSpaceDE w:val="0"/>
              <w:autoSpaceDN w:val="0"/>
              <w:adjustRightInd w:val="0"/>
              <w:spacing w:line="240" w:lineRule="auto"/>
              <w:ind w:hanging="110"/>
              <w:textAlignment w:val="baseline"/>
              <w:rPr>
                <w:i/>
              </w:rPr>
            </w:pPr>
            <w:r>
              <w:rPr>
                <w:b/>
                <w:i/>
              </w:rPr>
              <w:t>Kontakt</w:t>
            </w:r>
          </w:p>
        </w:tc>
        <w:tc>
          <w:tcPr>
            <w:tcW w:w="3444" w:type="pct"/>
          </w:tcPr>
          <w:p w:rsidRPr="0005755A" w:rsidR="006A7E31" w:rsidP="00D76388" w:rsidRDefault="006A7E31" w14:paraId="43BCFA1B" w14:textId="77777777">
            <w:pPr>
              <w:overflowPunct w:val="0"/>
              <w:autoSpaceDE w:val="0"/>
              <w:autoSpaceDN w:val="0"/>
              <w:adjustRightInd w:val="0"/>
              <w:spacing w:line="240" w:lineRule="auto"/>
              <w:textAlignment w:val="baseline"/>
              <w:rPr>
                <w:i/>
              </w:rPr>
            </w:pPr>
            <w:r>
              <w:rPr>
                <w:i/>
              </w:rPr>
              <w:t xml:space="preserve">Martine </w:t>
            </w:r>
            <w:proofErr w:type="spellStart"/>
            <w:r>
              <w:rPr>
                <w:i/>
              </w:rPr>
              <w:t>Delanoy</w:t>
            </w:r>
            <w:proofErr w:type="spellEnd"/>
          </w:p>
        </w:tc>
      </w:tr>
      <w:tr w:rsidRPr="0005755A" w:rsidR="006A7E31" w:rsidTr="00D76388" w14:paraId="4678DAF3" w14:textId="77777777">
        <w:tc>
          <w:tcPr>
            <w:tcW w:w="1556" w:type="pct"/>
          </w:tcPr>
          <w:p w:rsidRPr="0005755A" w:rsidR="006A7E31" w:rsidP="00D76388" w:rsidRDefault="006A7E31" w14:paraId="2BD77160" w14:textId="77777777">
            <w:pPr>
              <w:overflowPunct w:val="0"/>
              <w:autoSpaceDE w:val="0"/>
              <w:autoSpaceDN w:val="0"/>
              <w:adjustRightInd w:val="0"/>
              <w:spacing w:line="240" w:lineRule="auto"/>
              <w:ind w:left="-110"/>
              <w:textAlignment w:val="baseline"/>
              <w:rPr>
                <w:i/>
              </w:rPr>
            </w:pPr>
            <w:r>
              <w:rPr>
                <w:i/>
              </w:rPr>
              <w:t>Tel.:</w:t>
            </w:r>
          </w:p>
        </w:tc>
        <w:tc>
          <w:tcPr>
            <w:tcW w:w="3444" w:type="pct"/>
          </w:tcPr>
          <w:p w:rsidRPr="0005755A" w:rsidR="006A7E31" w:rsidP="00D76388" w:rsidRDefault="006A7E31" w14:paraId="03253BEE" w14:textId="77777777">
            <w:pPr>
              <w:overflowPunct w:val="0"/>
              <w:autoSpaceDE w:val="0"/>
              <w:autoSpaceDN w:val="0"/>
              <w:adjustRightInd w:val="0"/>
              <w:spacing w:line="240" w:lineRule="auto"/>
              <w:textAlignment w:val="baseline"/>
              <w:rPr>
                <w:i/>
              </w:rPr>
            </w:pPr>
            <w:r>
              <w:rPr>
                <w:i/>
              </w:rPr>
              <w:t>+32 25469802</w:t>
            </w:r>
          </w:p>
        </w:tc>
      </w:tr>
      <w:tr w:rsidRPr="0005755A" w:rsidR="006A7E31" w:rsidTr="00D76388" w14:paraId="2CA5CA81" w14:textId="77777777">
        <w:tc>
          <w:tcPr>
            <w:tcW w:w="1556" w:type="pct"/>
          </w:tcPr>
          <w:p w:rsidRPr="0005755A" w:rsidR="006A7E31" w:rsidP="00D76388" w:rsidRDefault="006A7E31" w14:paraId="25746CAE" w14:textId="77777777">
            <w:pPr>
              <w:overflowPunct w:val="0"/>
              <w:autoSpaceDE w:val="0"/>
              <w:autoSpaceDN w:val="0"/>
              <w:adjustRightInd w:val="0"/>
              <w:spacing w:line="240" w:lineRule="auto"/>
              <w:ind w:hanging="110"/>
              <w:textAlignment w:val="baseline"/>
              <w:rPr>
                <w:i/>
              </w:rPr>
            </w:pPr>
            <w:r>
              <w:rPr>
                <w:i/>
              </w:rPr>
              <w:t>e-mail:</w:t>
            </w:r>
          </w:p>
        </w:tc>
        <w:tc>
          <w:tcPr>
            <w:tcW w:w="3444" w:type="pct"/>
          </w:tcPr>
          <w:p w:rsidRPr="0005755A" w:rsidR="006A7E31" w:rsidP="00D76388" w:rsidRDefault="00EE19DE" w14:paraId="7E7A15DD" w14:textId="77777777">
            <w:pPr>
              <w:overflowPunct w:val="0"/>
              <w:autoSpaceDE w:val="0"/>
              <w:autoSpaceDN w:val="0"/>
              <w:adjustRightInd w:val="0"/>
              <w:spacing w:line="240" w:lineRule="auto"/>
              <w:textAlignment w:val="baseline"/>
              <w:rPr>
                <w:i/>
              </w:rPr>
            </w:pPr>
            <w:hyperlink w:history="1" r:id="rId33">
              <w:r w:rsidR="000B64C3">
                <w:rPr>
                  <w:i/>
                  <w:color w:val="0000FF"/>
                  <w:u w:val="single"/>
                </w:rPr>
                <w:t>Martine.Delanoy@eesc.europa.eu</w:t>
              </w:r>
            </w:hyperlink>
            <w:r w:rsidR="000B64C3">
              <w:rPr>
                <w:i/>
              </w:rPr>
              <w:t xml:space="preserve"> </w:t>
            </w:r>
          </w:p>
        </w:tc>
      </w:tr>
    </w:tbl>
    <w:p w:rsidR="006A7E31" w:rsidP="006A7E31" w:rsidRDefault="006A7E31" w14:paraId="6F567D38" w14:textId="77777777">
      <w:pPr>
        <w:spacing w:after="160" w:line="259" w:lineRule="auto"/>
        <w:jc w:val="left"/>
        <w:rPr>
          <w:rFonts w:eastAsiaTheme="minorEastAsia"/>
        </w:rPr>
      </w:pPr>
    </w:p>
    <w:p w:rsidR="006A7E31" w:rsidP="006A7E31" w:rsidRDefault="006A7E31" w14:paraId="640EBCAF" w14:textId="77777777">
      <w:pPr>
        <w:spacing w:after="160" w:line="259" w:lineRule="auto"/>
        <w:jc w:val="left"/>
        <w:rPr>
          <w:rFonts w:eastAsiaTheme="minorEastAsia"/>
        </w:rPr>
      </w:pPr>
      <w:r>
        <w:br w:type="page"/>
      </w:r>
    </w:p>
    <w:p w:rsidRPr="0088361D" w:rsidR="006A7E31" w:rsidP="006A7E31" w:rsidRDefault="006260A5" w14:paraId="246982C8" w14:textId="6C399184">
      <w:pPr>
        <w:widowControl w:val="0"/>
        <w:numPr>
          <w:ilvl w:val="0"/>
          <w:numId w:val="27"/>
        </w:numPr>
        <w:overflowPunct w:val="0"/>
        <w:autoSpaceDE w:val="0"/>
        <w:autoSpaceDN w:val="0"/>
        <w:adjustRightInd w:val="0"/>
        <w:ind w:hanging="567"/>
        <w:textAlignment w:val="baseline"/>
        <w:rPr>
          <w:b/>
          <w:bCs/>
          <w:sz w:val="28"/>
          <w:szCs w:val="28"/>
          <w:u w:val="single"/>
        </w:rPr>
      </w:pPr>
      <w:r>
        <w:rPr>
          <w:b/>
          <w:i/>
          <w:color w:val="0000FF"/>
          <w:sz w:val="28"/>
          <w:u w:val="single"/>
        </w:rPr>
        <w:lastRenderedPageBreak/>
        <w:t>Jak zapewnić zrównoważony rozwój społeczny, środowiskowy i</w:t>
      </w:r>
      <w:r w:rsidR="00B01AC1">
        <w:rPr>
          <w:b/>
          <w:i/>
          <w:color w:val="0000FF"/>
          <w:sz w:val="28"/>
          <w:u w:val="single"/>
        </w:rPr>
        <w:t> </w:t>
      </w:r>
      <w:r>
        <w:rPr>
          <w:b/>
          <w:i/>
          <w:color w:val="0000FF"/>
          <w:sz w:val="28"/>
          <w:u w:val="single"/>
        </w:rPr>
        <w:t>gospodarczy unijnego sektora rolno-spożywczego w kontekście przyszłego rozszerzenia</w:t>
      </w:r>
    </w:p>
    <w:p w:rsidRPr="005721DA" w:rsidR="006A7E31" w:rsidP="006A7E31" w:rsidRDefault="006A7E31" w14:paraId="7ECAFA22" w14:textId="77777777">
      <w:pPr>
        <w:tabs>
          <w:tab w:val="center" w:pos="284"/>
        </w:tabs>
        <w:overflowPunct w:val="0"/>
        <w:autoSpaceDE w:val="0"/>
        <w:autoSpaceDN w:val="0"/>
        <w:adjustRightInd w:val="0"/>
        <w:ind w:left="266" w:hanging="266"/>
        <w:textAlignment w:val="baseline"/>
        <w:rPr>
          <w:b/>
          <w:sz w:val="16"/>
          <w:szCs w:val="16"/>
        </w:rPr>
      </w:pPr>
    </w:p>
    <w:tbl>
      <w:tblPr>
        <w:tblStyle w:val="TableGrid203"/>
        <w:tblW w:w="482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80"/>
        <w:gridCol w:w="6775"/>
      </w:tblGrid>
      <w:tr w:rsidRPr="005721DA" w:rsidR="006A7E31" w:rsidTr="00B01AC1" w14:paraId="0A8ED047" w14:textId="77777777">
        <w:tc>
          <w:tcPr>
            <w:tcW w:w="1217" w:type="pct"/>
          </w:tcPr>
          <w:p w:rsidRPr="005721DA" w:rsidR="006A7E31" w:rsidP="00D76388" w:rsidRDefault="006A7E31" w14:paraId="4BEAF57E" w14:textId="77777777">
            <w:pPr>
              <w:tabs>
                <w:tab w:val="center" w:pos="284"/>
              </w:tabs>
              <w:overflowPunct w:val="0"/>
              <w:autoSpaceDE w:val="0"/>
              <w:autoSpaceDN w:val="0"/>
              <w:adjustRightInd w:val="0"/>
              <w:ind w:left="266" w:hanging="266"/>
              <w:textAlignment w:val="baseline"/>
              <w:rPr>
                <w:b/>
              </w:rPr>
            </w:pPr>
            <w:r>
              <w:rPr>
                <w:b/>
              </w:rPr>
              <w:t>Sprawozdawca</w:t>
            </w:r>
          </w:p>
        </w:tc>
        <w:tc>
          <w:tcPr>
            <w:tcW w:w="3783" w:type="pct"/>
          </w:tcPr>
          <w:p w:rsidRPr="005721DA" w:rsidR="006A7E31" w:rsidP="00D76388" w:rsidRDefault="006A7E31" w14:paraId="0FD8C874" w14:textId="77777777">
            <w:pPr>
              <w:tabs>
                <w:tab w:val="center" w:pos="284"/>
              </w:tabs>
              <w:overflowPunct w:val="0"/>
              <w:autoSpaceDE w:val="0"/>
              <w:autoSpaceDN w:val="0"/>
              <w:adjustRightInd w:val="0"/>
              <w:ind w:left="266" w:hanging="266"/>
              <w:textAlignment w:val="baseline"/>
              <w:rPr>
                <w:bCs/>
              </w:rPr>
            </w:pPr>
            <w:r>
              <w:t>Stojan CZUKANOW (Grupa Organizacji Społeczeństwa Obywatelskiego – BG)</w:t>
            </w:r>
          </w:p>
        </w:tc>
      </w:tr>
      <w:tr w:rsidRPr="005721DA" w:rsidR="006A7E31" w:rsidTr="00B01AC1" w14:paraId="534412B4" w14:textId="77777777">
        <w:tc>
          <w:tcPr>
            <w:tcW w:w="5000" w:type="pct"/>
            <w:gridSpan w:val="2"/>
          </w:tcPr>
          <w:p w:rsidRPr="005721DA" w:rsidR="006A7E31" w:rsidP="00D76388" w:rsidRDefault="006A7E31" w14:paraId="23D8E7DF" w14:textId="77777777">
            <w:pPr>
              <w:tabs>
                <w:tab w:val="center" w:pos="284"/>
              </w:tabs>
              <w:overflowPunct w:val="0"/>
              <w:autoSpaceDE w:val="0"/>
              <w:autoSpaceDN w:val="0"/>
              <w:adjustRightInd w:val="0"/>
              <w:spacing w:line="160" w:lineRule="exact"/>
              <w:ind w:left="266" w:hanging="266"/>
              <w:textAlignment w:val="baseline"/>
            </w:pPr>
          </w:p>
        </w:tc>
      </w:tr>
      <w:tr w:rsidRPr="005721DA" w:rsidR="006A7E31" w:rsidTr="00B01AC1" w14:paraId="619C9BFB" w14:textId="77777777">
        <w:tc>
          <w:tcPr>
            <w:tcW w:w="1217" w:type="pct"/>
            <w:vMerge w:val="restart"/>
          </w:tcPr>
          <w:p w:rsidRPr="005721DA" w:rsidR="006A7E31" w:rsidP="00D76388" w:rsidRDefault="006A7E31" w14:paraId="758E622C" w14:textId="77777777">
            <w:pPr>
              <w:tabs>
                <w:tab w:val="center" w:pos="284"/>
              </w:tabs>
              <w:overflowPunct w:val="0"/>
              <w:autoSpaceDE w:val="0"/>
              <w:autoSpaceDN w:val="0"/>
              <w:adjustRightInd w:val="0"/>
              <w:ind w:left="266" w:hanging="266"/>
              <w:textAlignment w:val="baseline"/>
              <w:rPr>
                <w:b/>
              </w:rPr>
            </w:pPr>
            <w:r>
              <w:rPr>
                <w:b/>
              </w:rPr>
              <w:t>Dokumenty źródłowe</w:t>
            </w:r>
          </w:p>
        </w:tc>
        <w:tc>
          <w:tcPr>
            <w:tcW w:w="3783" w:type="pct"/>
          </w:tcPr>
          <w:p w:rsidRPr="00EC54AC" w:rsidR="00675DC1" w:rsidP="00D76388" w:rsidRDefault="00675DC1" w14:paraId="0EF6477D" w14:textId="2FD00AD1">
            <w:pPr>
              <w:tabs>
                <w:tab w:val="center" w:pos="284"/>
              </w:tabs>
              <w:overflowPunct w:val="0"/>
              <w:autoSpaceDE w:val="0"/>
              <w:autoSpaceDN w:val="0"/>
              <w:adjustRightInd w:val="0"/>
              <w:ind w:left="266" w:hanging="266"/>
              <w:textAlignment w:val="baseline"/>
            </w:pPr>
            <w:r>
              <w:t>Opinia rozpoznawcza na wniosek Komisji Europejskiej</w:t>
            </w:r>
          </w:p>
          <w:p w:rsidRPr="005721DA" w:rsidR="006A7E31" w:rsidP="00D76388" w:rsidRDefault="006A7E31" w14:paraId="72592991" w14:textId="60F76BFA">
            <w:pPr>
              <w:tabs>
                <w:tab w:val="center" w:pos="284"/>
              </w:tabs>
              <w:overflowPunct w:val="0"/>
              <w:autoSpaceDE w:val="0"/>
              <w:autoSpaceDN w:val="0"/>
              <w:adjustRightInd w:val="0"/>
              <w:ind w:left="266" w:hanging="266"/>
              <w:textAlignment w:val="baseline"/>
            </w:pPr>
            <w:r>
              <w:t>EESC-2024-01019-00-00-AC</w:t>
            </w:r>
          </w:p>
        </w:tc>
      </w:tr>
      <w:tr w:rsidRPr="005721DA" w:rsidR="006A7E31" w:rsidTr="00B01AC1" w14:paraId="305D4258" w14:textId="77777777">
        <w:tc>
          <w:tcPr>
            <w:tcW w:w="1217" w:type="pct"/>
            <w:vMerge/>
          </w:tcPr>
          <w:p w:rsidRPr="005721DA" w:rsidR="006A7E31" w:rsidP="00D76388" w:rsidRDefault="006A7E31" w14:paraId="5018D336" w14:textId="77777777">
            <w:pPr>
              <w:tabs>
                <w:tab w:val="center" w:pos="284"/>
              </w:tabs>
              <w:overflowPunct w:val="0"/>
              <w:autoSpaceDE w:val="0"/>
              <w:autoSpaceDN w:val="0"/>
              <w:adjustRightInd w:val="0"/>
              <w:ind w:left="266" w:hanging="266"/>
              <w:textAlignment w:val="baseline"/>
              <w:rPr>
                <w:b/>
              </w:rPr>
            </w:pPr>
          </w:p>
        </w:tc>
        <w:tc>
          <w:tcPr>
            <w:tcW w:w="3783" w:type="pct"/>
          </w:tcPr>
          <w:p w:rsidRPr="005721DA" w:rsidR="006A7E31" w:rsidP="00D76388" w:rsidRDefault="006A7E31" w14:paraId="636B8F17" w14:textId="77777777">
            <w:pPr>
              <w:tabs>
                <w:tab w:val="center" w:pos="284"/>
              </w:tabs>
              <w:overflowPunct w:val="0"/>
              <w:autoSpaceDE w:val="0"/>
              <w:autoSpaceDN w:val="0"/>
              <w:adjustRightInd w:val="0"/>
              <w:ind w:left="266" w:hanging="266"/>
              <w:textAlignment w:val="baseline"/>
              <w:rPr>
                <w:sz w:val="16"/>
                <w:szCs w:val="16"/>
              </w:rPr>
            </w:pPr>
          </w:p>
        </w:tc>
      </w:tr>
    </w:tbl>
    <w:p w:rsidRPr="005721DA" w:rsidR="006A7E31" w:rsidP="006A7E31" w:rsidRDefault="006A7E31" w14:paraId="5E8E748A" w14:textId="77777777">
      <w:pPr>
        <w:keepNext/>
        <w:keepLines/>
        <w:tabs>
          <w:tab w:val="center" w:pos="284"/>
        </w:tabs>
        <w:overflowPunct w:val="0"/>
        <w:autoSpaceDE w:val="0"/>
        <w:autoSpaceDN w:val="0"/>
        <w:adjustRightInd w:val="0"/>
        <w:ind w:left="266" w:hanging="266"/>
        <w:textAlignment w:val="baseline"/>
        <w:rPr>
          <w:b/>
        </w:rPr>
      </w:pPr>
      <w:r>
        <w:rPr>
          <w:b/>
        </w:rPr>
        <w:t>Główne punkty</w:t>
      </w:r>
    </w:p>
    <w:p w:rsidR="00EC54AC" w:rsidP="006A7E31" w:rsidRDefault="00EC54AC" w14:paraId="4DA44AF4" w14:textId="77777777">
      <w:pPr>
        <w:overflowPunct w:val="0"/>
        <w:autoSpaceDE w:val="0"/>
        <w:autoSpaceDN w:val="0"/>
        <w:adjustRightInd w:val="0"/>
        <w:textAlignment w:val="baseline"/>
        <w:rPr>
          <w:bCs/>
          <w:iCs/>
        </w:rPr>
      </w:pPr>
    </w:p>
    <w:p w:rsidRPr="005721DA" w:rsidR="006A7E31" w:rsidP="006A7E31" w:rsidRDefault="006A7E31" w14:paraId="66855A04" w14:textId="0858B1A9">
      <w:pPr>
        <w:overflowPunct w:val="0"/>
        <w:autoSpaceDE w:val="0"/>
        <w:autoSpaceDN w:val="0"/>
        <w:adjustRightInd w:val="0"/>
        <w:textAlignment w:val="baseline"/>
        <w:rPr>
          <w:bCs/>
          <w:iCs/>
        </w:rPr>
      </w:pPr>
      <w:r>
        <w:t>EKES</w:t>
      </w:r>
    </w:p>
    <w:p w:rsidRPr="005721DA" w:rsidR="006A7E31" w:rsidP="0088361D" w:rsidRDefault="006A7E31" w14:paraId="06A85A9F" w14:textId="77777777">
      <w:pPr>
        <w:widowControl w:val="0"/>
        <w:numPr>
          <w:ilvl w:val="0"/>
          <w:numId w:val="43"/>
        </w:numPr>
        <w:overflowPunct w:val="0"/>
        <w:autoSpaceDE w:val="0"/>
        <w:autoSpaceDN w:val="0"/>
        <w:adjustRightInd w:val="0"/>
        <w:ind w:left="284" w:hanging="284"/>
        <w:textAlignment w:val="baseline"/>
        <w:rPr>
          <w:bCs/>
          <w:iCs/>
        </w:rPr>
      </w:pPr>
      <w:r>
        <w:t>Podkreśla, że chociaż to rozszerzenie różni się od wszystkich poprzednich ze względu na obecną sytuację geopolityczną, okoliczności te nie powinny służyć za pretekst do podważania poziomu gotowości krajów kandydujących, znaczenia niezbędnych reform legislacyjnych i poszanowania podstawowych wartości UE.</w:t>
      </w:r>
    </w:p>
    <w:p w:rsidRPr="005721DA" w:rsidR="006A7E31" w:rsidP="0088361D" w:rsidRDefault="006A7E31" w14:paraId="03A92948" w14:textId="77777777">
      <w:pPr>
        <w:widowControl w:val="0"/>
        <w:numPr>
          <w:ilvl w:val="0"/>
          <w:numId w:val="43"/>
        </w:numPr>
        <w:overflowPunct w:val="0"/>
        <w:autoSpaceDE w:val="0"/>
        <w:autoSpaceDN w:val="0"/>
        <w:adjustRightInd w:val="0"/>
        <w:ind w:left="284" w:hanging="284"/>
        <w:textAlignment w:val="baseline"/>
        <w:rPr>
          <w:bCs/>
          <w:iCs/>
        </w:rPr>
      </w:pPr>
      <w:r>
        <w:t>Uwypukla znaczenie bezpieczeństwa dostaw w kontekście produkcji żywności w UE w obliczu napięć geopolitycznych oraz potrzebę dopilnowania, by wszystkie regiony UE mogły utrzymać produkcję rolną w przyszłości.</w:t>
      </w:r>
    </w:p>
    <w:p w:rsidRPr="005721DA" w:rsidR="006A7E31" w:rsidP="0088361D" w:rsidRDefault="006A7E31" w14:paraId="0BA16662" w14:textId="2ED65EE0">
      <w:pPr>
        <w:widowControl w:val="0"/>
        <w:numPr>
          <w:ilvl w:val="0"/>
          <w:numId w:val="43"/>
        </w:numPr>
        <w:overflowPunct w:val="0"/>
        <w:autoSpaceDE w:val="0"/>
        <w:autoSpaceDN w:val="0"/>
        <w:adjustRightInd w:val="0"/>
        <w:ind w:left="284" w:hanging="284"/>
        <w:textAlignment w:val="baseline"/>
        <w:rPr>
          <w:bCs/>
          <w:iCs/>
        </w:rPr>
      </w:pPr>
      <w:r>
        <w:t>Zaznacza, że to rozszerzenie niesie z sobą możliwości lepszego zabezpieczenia autonomii strategicznej UE i dalszego zmniejszenia śladu środowiskowego sektora rolno-spożywczego. Dostrzega jednocześnie nierównomierne wyniki poprzedniego rozszerzenia: byli zwycięzcy i</w:t>
      </w:r>
      <w:r w:rsidR="00B01AC1">
        <w:t> </w:t>
      </w:r>
      <w:r>
        <w:t>przegrani, słabe obszary wiejskie skorzystały na tym procesie znacznie mniej niż aglomeracje, a</w:t>
      </w:r>
      <w:r w:rsidR="00B01AC1">
        <w:t> </w:t>
      </w:r>
      <w:r>
        <w:t>mniejsze europejskie gospodarstwa rolne zanikają. Apeluje zatem, by Komisja Europejska i</w:t>
      </w:r>
      <w:r w:rsidR="00B01AC1">
        <w:t> </w:t>
      </w:r>
      <w:r>
        <w:t>państwa kandydujące przeanalizowały możliwe skutki rozszerzenia dla rodzinnych gospodarstw rolnych oraz małych i średnich przedsiębiorstw rolno-spożywczych zarówno w UE, jak i w krajach kandydujących, a także by postarały się tymi skutkami odpowiednio zarządzać.</w:t>
      </w:r>
    </w:p>
    <w:p w:rsidRPr="005721DA" w:rsidR="006A7E31" w:rsidP="0088361D" w:rsidRDefault="006A7E31" w14:paraId="49E16C0F" w14:textId="77777777">
      <w:pPr>
        <w:widowControl w:val="0"/>
        <w:numPr>
          <w:ilvl w:val="0"/>
          <w:numId w:val="43"/>
        </w:numPr>
        <w:overflowPunct w:val="0"/>
        <w:autoSpaceDE w:val="0"/>
        <w:autoSpaceDN w:val="0"/>
        <w:adjustRightInd w:val="0"/>
        <w:ind w:left="284" w:hanging="284"/>
        <w:textAlignment w:val="baseline"/>
        <w:rPr>
          <w:bCs/>
          <w:iCs/>
        </w:rPr>
      </w:pPr>
      <w:r>
        <w:t xml:space="preserve">Podkreśla, że kraje kandydujące będą musiały dostosować się do ogólnych celów i wartości WPR, natomiast niezbędne reformy WPR i związane z nimi ramy finansowe będzie trzeba uzgodnić przed rozszerzeniem. </w:t>
      </w:r>
    </w:p>
    <w:p w:rsidRPr="005721DA" w:rsidR="006A7E31" w:rsidP="0088361D" w:rsidRDefault="006A7E31" w14:paraId="67FB469A" w14:textId="07819F93">
      <w:pPr>
        <w:widowControl w:val="0"/>
        <w:numPr>
          <w:ilvl w:val="0"/>
          <w:numId w:val="43"/>
        </w:numPr>
        <w:overflowPunct w:val="0"/>
        <w:autoSpaceDE w:val="0"/>
        <w:autoSpaceDN w:val="0"/>
        <w:adjustRightInd w:val="0"/>
        <w:ind w:left="284" w:hanging="284"/>
        <w:textAlignment w:val="baseline"/>
        <w:rPr>
          <w:bCs/>
          <w:iCs/>
        </w:rPr>
      </w:pPr>
      <w:r>
        <w:t>Zaleca, by stopniowo zastąpić obecne podstawowe wsparcie – w ramach WPR – dochodu opartego na powierzchni zachętami finansowymi do świadczenia usług korzystnych dla środowiska i</w:t>
      </w:r>
      <w:r w:rsidR="00B01AC1">
        <w:t> </w:t>
      </w:r>
      <w:r>
        <w:t>społeczeństwa oraz płatnościami degresywnymi, obowiązkowymi górnymi limitami lub opłatami dodatkowymi z tytułu pierwszych hektarów dla wszystkich państw członkowskich. Wzywa do dalszego ukierunkowania polityki rolnej i polityki rozwoju obszarów wiejskich na gospodarkę bliskości oraz do przekazania tych zasad nowym krajom kandydującym.</w:t>
      </w:r>
    </w:p>
    <w:p w:rsidRPr="005721DA" w:rsidR="006A7E31" w:rsidP="0088361D" w:rsidRDefault="006A7E31" w14:paraId="2DD062E7" w14:textId="568572ED">
      <w:pPr>
        <w:widowControl w:val="0"/>
        <w:numPr>
          <w:ilvl w:val="0"/>
          <w:numId w:val="43"/>
        </w:numPr>
        <w:overflowPunct w:val="0"/>
        <w:autoSpaceDE w:val="0"/>
        <w:autoSpaceDN w:val="0"/>
        <w:adjustRightInd w:val="0"/>
        <w:ind w:left="284" w:hanging="284"/>
        <w:textAlignment w:val="baseline"/>
        <w:rPr>
          <w:bCs/>
          <w:iCs/>
          <w:spacing w:val="-4"/>
        </w:rPr>
      </w:pPr>
      <w:r>
        <w:t>Apeluje o zwiększony budżet WPR, który należy przeznaczyć na odpowiednią rekompensatę negatywnych skutków dla rolników w UE, z uwzględnieniem również potencjalnych kosztów społecznych. Oznacza to, że w nowym okresie finansowym obecni płatnicy netto powinni być gotowi do przekazania większej części swojego PKB do budżetu UE, biorąc pod uwagę korzyści netto dla unijnych eksporterów produktów i usług przemysłowych, podczas gdy sektor rolno-spożywczy doświadczy podcięcia cenowego z powodu niższych kosztów produkcji w niektórych z</w:t>
      </w:r>
      <w:r w:rsidR="00B01AC1">
        <w:t> </w:t>
      </w:r>
      <w:r>
        <w:t xml:space="preserve">nowych krajów. </w:t>
      </w:r>
    </w:p>
    <w:p w:rsidRPr="005721DA" w:rsidR="006A7E31" w:rsidP="0088361D" w:rsidRDefault="006A7E31" w14:paraId="2E6F1368" w14:textId="77777777">
      <w:pPr>
        <w:widowControl w:val="0"/>
        <w:numPr>
          <w:ilvl w:val="0"/>
          <w:numId w:val="43"/>
        </w:numPr>
        <w:overflowPunct w:val="0"/>
        <w:autoSpaceDE w:val="0"/>
        <w:autoSpaceDN w:val="0"/>
        <w:adjustRightInd w:val="0"/>
        <w:ind w:left="284" w:hanging="284"/>
        <w:textAlignment w:val="baseline"/>
        <w:rPr>
          <w:bCs/>
          <w:iCs/>
        </w:rPr>
      </w:pPr>
      <w:r>
        <w:t>Podkreśla, że potrzebne są szczegółowe i wiarygodne dane, i wzywa Komisję Europejską do ścisłego monitorowania produkcji rolnej i rozwoju procesów reform, w tym spekulacji gruntami.</w:t>
      </w:r>
    </w:p>
    <w:p w:rsidRPr="005721DA" w:rsidR="006A7E31" w:rsidP="00B01AC1" w:rsidRDefault="006A7E31" w14:paraId="76484E4D" w14:textId="77777777">
      <w:pPr>
        <w:keepNext/>
        <w:keepLines/>
        <w:widowControl w:val="0"/>
        <w:numPr>
          <w:ilvl w:val="0"/>
          <w:numId w:val="43"/>
        </w:numPr>
        <w:overflowPunct w:val="0"/>
        <w:autoSpaceDE w:val="0"/>
        <w:autoSpaceDN w:val="0"/>
        <w:adjustRightInd w:val="0"/>
        <w:ind w:left="284" w:hanging="284"/>
        <w:textAlignment w:val="baseline"/>
        <w:rPr>
          <w:bCs/>
          <w:iCs/>
        </w:rPr>
      </w:pPr>
      <w:r>
        <w:lastRenderedPageBreak/>
        <w:t>Zauważa, że proces integracji w pewien sposób już się rozpoczął, ponieważ rynki UE otwierają się na produkty rolne z krajów kandydujących. Może to stawiać kraje UE w niekorzystnej sytuacji, czemu należy zapobiegać za pomocą jasnych przepisów obowiązujących kraje kandydujące.</w:t>
      </w:r>
    </w:p>
    <w:p w:rsidRPr="005721DA" w:rsidR="006A7E31" w:rsidP="006A7E31" w:rsidRDefault="006A7E31" w14:paraId="07AD08EE" w14:textId="77777777">
      <w:pPr>
        <w:widowControl w:val="0"/>
        <w:overflowPunct w:val="0"/>
        <w:autoSpaceDE w:val="0"/>
        <w:autoSpaceDN w:val="0"/>
        <w:adjustRightInd w:val="0"/>
        <w:ind w:left="709"/>
        <w:textAlignment w:val="baseline"/>
        <w:rPr>
          <w:rFonts w:asciiTheme="minorHAnsi" w:hAnsiTheme="minorHAnsi"/>
          <w:sz w:val="16"/>
          <w:szCs w:val="14"/>
        </w:rPr>
      </w:pPr>
    </w:p>
    <w:tbl>
      <w:tblPr>
        <w:tblStyle w:val="TableGrid20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5721DA" w:rsidR="006A7E31" w:rsidTr="00D76388" w14:paraId="5BF837CA" w14:textId="77777777">
        <w:tc>
          <w:tcPr>
            <w:tcW w:w="1556" w:type="pct"/>
          </w:tcPr>
          <w:p w:rsidRPr="005721DA" w:rsidR="006A7E31" w:rsidP="00D76388" w:rsidRDefault="006A7E31" w14:paraId="143C3E12" w14:textId="77777777">
            <w:pPr>
              <w:overflowPunct w:val="0"/>
              <w:autoSpaceDE w:val="0"/>
              <w:autoSpaceDN w:val="0"/>
              <w:adjustRightInd w:val="0"/>
              <w:spacing w:line="240" w:lineRule="auto"/>
              <w:textAlignment w:val="baseline"/>
              <w:rPr>
                <w:i/>
              </w:rPr>
            </w:pPr>
            <w:r>
              <w:rPr>
                <w:b/>
                <w:i/>
              </w:rPr>
              <w:t xml:space="preserve">Kontakt </w:t>
            </w:r>
          </w:p>
        </w:tc>
        <w:tc>
          <w:tcPr>
            <w:tcW w:w="3444" w:type="pct"/>
          </w:tcPr>
          <w:p w:rsidRPr="005721DA" w:rsidR="006A7E31" w:rsidP="00D76388" w:rsidRDefault="006A7E31" w14:paraId="66260770" w14:textId="51A2E154">
            <w:pPr>
              <w:overflowPunct w:val="0"/>
              <w:autoSpaceDE w:val="0"/>
              <w:autoSpaceDN w:val="0"/>
              <w:adjustRightInd w:val="0"/>
              <w:spacing w:line="240" w:lineRule="auto"/>
              <w:textAlignment w:val="baseline"/>
              <w:rPr>
                <w:i/>
              </w:rPr>
            </w:pPr>
            <w:r>
              <w:rPr>
                <w:i/>
              </w:rPr>
              <w:t xml:space="preserve">Martine </w:t>
            </w:r>
            <w:proofErr w:type="spellStart"/>
            <w:r>
              <w:rPr>
                <w:i/>
              </w:rPr>
              <w:t>Delanoy</w:t>
            </w:r>
            <w:proofErr w:type="spellEnd"/>
          </w:p>
        </w:tc>
      </w:tr>
      <w:tr w:rsidRPr="005721DA" w:rsidR="006A7E31" w:rsidTr="00D76388" w14:paraId="23B38305" w14:textId="77777777">
        <w:tc>
          <w:tcPr>
            <w:tcW w:w="1556" w:type="pct"/>
          </w:tcPr>
          <w:p w:rsidRPr="005721DA" w:rsidR="006A7E31" w:rsidP="00D76388" w:rsidRDefault="006A7E31" w14:paraId="5C8133FF" w14:textId="77777777">
            <w:pPr>
              <w:overflowPunct w:val="0"/>
              <w:autoSpaceDE w:val="0"/>
              <w:autoSpaceDN w:val="0"/>
              <w:adjustRightInd w:val="0"/>
              <w:spacing w:line="240" w:lineRule="auto"/>
              <w:textAlignment w:val="baseline"/>
              <w:rPr>
                <w:i/>
              </w:rPr>
            </w:pPr>
            <w:r>
              <w:rPr>
                <w:i/>
              </w:rPr>
              <w:t>Tel.:</w:t>
            </w:r>
          </w:p>
        </w:tc>
        <w:tc>
          <w:tcPr>
            <w:tcW w:w="3444" w:type="pct"/>
          </w:tcPr>
          <w:p w:rsidRPr="005721DA" w:rsidR="006A7E31" w:rsidP="00D76388" w:rsidRDefault="006A7E31" w14:paraId="63B4A1E4" w14:textId="77777777">
            <w:pPr>
              <w:overflowPunct w:val="0"/>
              <w:autoSpaceDE w:val="0"/>
              <w:autoSpaceDN w:val="0"/>
              <w:adjustRightInd w:val="0"/>
              <w:spacing w:line="240" w:lineRule="auto"/>
              <w:textAlignment w:val="baseline"/>
              <w:rPr>
                <w:i/>
              </w:rPr>
            </w:pPr>
            <w:r>
              <w:rPr>
                <w:i/>
              </w:rPr>
              <w:t>+32 25469802</w:t>
            </w:r>
          </w:p>
        </w:tc>
      </w:tr>
      <w:tr w:rsidRPr="005721DA" w:rsidR="006A7E31" w:rsidTr="00D76388" w14:paraId="654AFF96" w14:textId="77777777">
        <w:tc>
          <w:tcPr>
            <w:tcW w:w="1556" w:type="pct"/>
          </w:tcPr>
          <w:p w:rsidRPr="005721DA" w:rsidR="006A7E31" w:rsidP="00D76388" w:rsidRDefault="006A7E31" w14:paraId="38B60C77" w14:textId="77777777">
            <w:pPr>
              <w:overflowPunct w:val="0"/>
              <w:autoSpaceDE w:val="0"/>
              <w:autoSpaceDN w:val="0"/>
              <w:adjustRightInd w:val="0"/>
              <w:spacing w:line="240" w:lineRule="auto"/>
              <w:textAlignment w:val="baseline"/>
              <w:rPr>
                <w:i/>
              </w:rPr>
            </w:pPr>
            <w:r>
              <w:rPr>
                <w:i/>
              </w:rPr>
              <w:t>e-mail:</w:t>
            </w:r>
          </w:p>
        </w:tc>
        <w:tc>
          <w:tcPr>
            <w:tcW w:w="3444" w:type="pct"/>
          </w:tcPr>
          <w:p w:rsidRPr="005721DA" w:rsidR="006A7E31" w:rsidP="00D76388" w:rsidRDefault="00EE19DE" w14:paraId="3B090D2B" w14:textId="77777777">
            <w:pPr>
              <w:overflowPunct w:val="0"/>
              <w:autoSpaceDE w:val="0"/>
              <w:autoSpaceDN w:val="0"/>
              <w:adjustRightInd w:val="0"/>
              <w:spacing w:line="240" w:lineRule="auto"/>
              <w:textAlignment w:val="baseline"/>
              <w:rPr>
                <w:i/>
              </w:rPr>
            </w:pPr>
            <w:hyperlink w:history="1" r:id="rId34">
              <w:r w:rsidR="000B64C3">
                <w:rPr>
                  <w:i/>
                  <w:color w:val="0000FF"/>
                  <w:u w:val="single"/>
                </w:rPr>
                <w:t>Martine.Delanoy@eesc.europa.eu</w:t>
              </w:r>
            </w:hyperlink>
            <w:r w:rsidR="000B64C3">
              <w:rPr>
                <w:i/>
              </w:rPr>
              <w:t xml:space="preserve"> </w:t>
            </w:r>
          </w:p>
        </w:tc>
      </w:tr>
    </w:tbl>
    <w:p w:rsidR="00B01AC1" w:rsidP="00D92244" w:rsidRDefault="00B01AC1" w14:paraId="531D891F" w14:textId="77777777">
      <w:pPr>
        <w:pStyle w:val="TOC1"/>
      </w:pPr>
    </w:p>
    <w:p w:rsidR="00520680" w:rsidP="00D92244" w:rsidRDefault="006A7E31" w14:paraId="3600B088" w14:textId="3195990E">
      <w:pPr>
        <w:pStyle w:val="TOC1"/>
      </w:pPr>
      <w:bookmarkStart w:name="_Toc172708166" w:id="8"/>
      <w:r>
        <w:t>6.</w:t>
      </w:r>
      <w:r>
        <w:tab/>
        <w:t>STOSUNKI ZEWNĘTRZNE</w:t>
      </w:r>
      <w:bookmarkEnd w:id="8"/>
    </w:p>
    <w:p w:rsidRPr="006A7E31" w:rsidR="006A7E31" w:rsidP="006A7E31" w:rsidRDefault="006A7E31" w14:paraId="7F857315" w14:textId="77777777"/>
    <w:p w:rsidRPr="003567CE" w:rsidR="003567CE" w:rsidP="0088361D" w:rsidRDefault="00EE19DE" w14:paraId="3CDD8FC4" w14:textId="30E1C8D4">
      <w:pPr>
        <w:widowControl w:val="0"/>
        <w:numPr>
          <w:ilvl w:val="0"/>
          <w:numId w:val="32"/>
        </w:numPr>
        <w:overflowPunct w:val="0"/>
        <w:autoSpaceDE w:val="0"/>
        <w:autoSpaceDN w:val="0"/>
        <w:adjustRightInd w:val="0"/>
        <w:ind w:hanging="720"/>
        <w:jc w:val="left"/>
        <w:textAlignment w:val="baseline"/>
        <w:rPr>
          <w:sz w:val="20"/>
        </w:rPr>
      </w:pPr>
      <w:hyperlink r:id="rId35">
        <w:r w:rsidR="000B64C3">
          <w:rPr>
            <w:b/>
            <w:i/>
            <w:color w:val="0000FF"/>
            <w:sz w:val="28"/>
            <w:u w:val="single"/>
          </w:rPr>
          <w:t>Monitorowanie inwestycji zagranicznych w Unii</w:t>
        </w:r>
      </w:hyperlink>
    </w:p>
    <w:p w:rsidR="003567CE" w:rsidP="003567CE" w:rsidRDefault="003567CE" w14:paraId="1AE1253A" w14:textId="0E5062DE">
      <w:pPr>
        <w:widowControl w:val="0"/>
        <w:jc w:val="left"/>
        <w:rPr>
          <w:sz w:val="16"/>
          <w:szCs w:val="16"/>
          <w:lang w:val="en-US"/>
        </w:rPr>
      </w:pPr>
    </w:p>
    <w:p w:rsidRPr="003567CE" w:rsidR="00F23DC3" w:rsidP="003567CE" w:rsidRDefault="00F23DC3" w14:paraId="3CED92B9" w14:textId="77777777">
      <w:pPr>
        <w:widowControl w:val="0"/>
        <w:jc w:val="left"/>
        <w:rPr>
          <w:sz w:val="16"/>
          <w:szCs w:val="16"/>
          <w:lang w:val="en-US"/>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6"/>
        <w:gridCol w:w="4992"/>
      </w:tblGrid>
      <w:tr w:rsidRPr="003567CE" w:rsidR="003567CE" w:rsidTr="00B01AC1" w14:paraId="6BEC2D5C" w14:textId="77777777">
        <w:trPr>
          <w:trHeight w:val="330"/>
        </w:trPr>
        <w:tc>
          <w:tcPr>
            <w:tcW w:w="2096" w:type="dxa"/>
          </w:tcPr>
          <w:p w:rsidRPr="0088361D" w:rsidR="003567CE" w:rsidP="003567CE" w:rsidRDefault="003567CE" w14:paraId="4A5DDF70" w14:textId="77777777">
            <w:pPr>
              <w:tabs>
                <w:tab w:val="center" w:pos="284"/>
              </w:tabs>
              <w:ind w:left="266" w:hanging="266"/>
              <w:rPr>
                <w:b/>
              </w:rPr>
            </w:pPr>
            <w:r>
              <w:rPr>
                <w:b/>
              </w:rPr>
              <w:t>Sprawozdawca</w:t>
            </w:r>
          </w:p>
        </w:tc>
        <w:tc>
          <w:tcPr>
            <w:tcW w:w="4992" w:type="dxa"/>
          </w:tcPr>
          <w:p w:rsidRPr="0088361D" w:rsidR="003567CE" w:rsidP="003567CE" w:rsidRDefault="003567CE" w14:paraId="5C6E2D44" w14:textId="60E22C07">
            <w:pPr>
              <w:tabs>
                <w:tab w:val="center" w:pos="2585"/>
              </w:tabs>
              <w:jc w:val="left"/>
            </w:pPr>
            <w:r>
              <w:t>Javier DOZ ORRIT (Grupa Pracowników– ES)</w:t>
            </w:r>
          </w:p>
          <w:p w:rsidRPr="0088361D" w:rsidR="007F26D0" w:rsidP="003567CE" w:rsidRDefault="007F26D0" w14:paraId="0E519C77" w14:textId="08771BB2">
            <w:pPr>
              <w:tabs>
                <w:tab w:val="center" w:pos="2585"/>
              </w:tabs>
              <w:jc w:val="left"/>
            </w:pPr>
          </w:p>
        </w:tc>
      </w:tr>
      <w:tr w:rsidRPr="003567CE" w:rsidR="003567CE" w:rsidTr="00B01AC1" w14:paraId="24EFF744" w14:textId="77777777">
        <w:tc>
          <w:tcPr>
            <w:tcW w:w="2096" w:type="dxa"/>
          </w:tcPr>
          <w:p w:rsidRPr="0088361D" w:rsidR="003567CE" w:rsidP="003567CE" w:rsidRDefault="003567CE" w14:paraId="5E952219" w14:textId="77777777">
            <w:pPr>
              <w:tabs>
                <w:tab w:val="center" w:pos="284"/>
              </w:tabs>
              <w:ind w:left="266" w:hanging="266"/>
              <w:rPr>
                <w:b/>
              </w:rPr>
            </w:pPr>
            <w:r>
              <w:rPr>
                <w:b/>
              </w:rPr>
              <w:t>Dokumenty źródłowe</w:t>
            </w:r>
          </w:p>
        </w:tc>
        <w:tc>
          <w:tcPr>
            <w:tcW w:w="4992" w:type="dxa"/>
          </w:tcPr>
          <w:p w:rsidRPr="0088361D" w:rsidR="007F26D0" w:rsidP="003567CE" w:rsidRDefault="007F26D0" w14:paraId="5C20CCDF" w14:textId="05E01A5F">
            <w:pPr>
              <w:tabs>
                <w:tab w:val="center" w:pos="284"/>
              </w:tabs>
              <w:ind w:left="266" w:hanging="266"/>
            </w:pPr>
            <w:r>
              <w:t xml:space="preserve">COM(2024) 23 </w:t>
            </w:r>
            <w:proofErr w:type="spellStart"/>
            <w:r>
              <w:t>final</w:t>
            </w:r>
            <w:proofErr w:type="spellEnd"/>
          </w:p>
          <w:p w:rsidRPr="0088361D" w:rsidR="003567CE" w:rsidP="003567CE" w:rsidRDefault="003567CE" w14:paraId="1A4A06B4" w14:textId="5FBFFF87">
            <w:pPr>
              <w:tabs>
                <w:tab w:val="center" w:pos="284"/>
              </w:tabs>
              <w:ind w:left="266" w:hanging="266"/>
            </w:pPr>
            <w:r>
              <w:t>EESC-2024-01434-00-02-AC</w:t>
            </w:r>
          </w:p>
        </w:tc>
      </w:tr>
    </w:tbl>
    <w:p w:rsidRPr="003567CE" w:rsidR="003567CE" w:rsidP="003567CE" w:rsidRDefault="003567CE" w14:paraId="4E9E0FBD" w14:textId="77777777">
      <w:pPr>
        <w:keepNext/>
        <w:keepLines/>
        <w:tabs>
          <w:tab w:val="center" w:pos="284"/>
        </w:tabs>
        <w:ind w:left="266" w:hanging="266"/>
        <w:rPr>
          <w:b/>
        </w:rPr>
      </w:pPr>
      <w:r>
        <w:rPr>
          <w:b/>
        </w:rPr>
        <w:t>Główne punkty</w:t>
      </w:r>
    </w:p>
    <w:p w:rsidRPr="003567CE" w:rsidR="003567CE" w:rsidP="003567CE" w:rsidRDefault="003567CE" w14:paraId="20CEAEC9" w14:textId="77777777">
      <w:pPr>
        <w:keepNext/>
        <w:keepLines/>
        <w:tabs>
          <w:tab w:val="center" w:pos="284"/>
        </w:tabs>
        <w:ind w:left="266" w:hanging="266"/>
        <w:rPr>
          <w:b/>
          <w:sz w:val="16"/>
          <w:szCs w:val="16"/>
          <w:lang w:val="en-US"/>
        </w:rPr>
      </w:pPr>
    </w:p>
    <w:p w:rsidR="003567CE" w:rsidP="003567CE" w:rsidRDefault="003567CE" w14:paraId="341428CA" w14:textId="4711E675">
      <w:pPr>
        <w:rPr>
          <w:bCs/>
          <w:iCs/>
        </w:rPr>
      </w:pPr>
      <w:r>
        <w:t>EKES</w:t>
      </w:r>
    </w:p>
    <w:p w:rsidRPr="003567CE" w:rsidR="00BC28F5" w:rsidP="003567CE" w:rsidRDefault="00BC28F5" w14:paraId="14C2E21C" w14:textId="77777777">
      <w:pPr>
        <w:rPr>
          <w:bCs/>
          <w:iCs/>
          <w:lang w:val="en-US"/>
        </w:rPr>
      </w:pPr>
    </w:p>
    <w:p w:rsidRPr="003567CE" w:rsidR="003567CE" w:rsidP="0088361D" w:rsidRDefault="003567CE" w14:paraId="046DAA13" w14:textId="14BB9028">
      <w:pPr>
        <w:widowControl w:val="0"/>
        <w:numPr>
          <w:ilvl w:val="0"/>
          <w:numId w:val="45"/>
        </w:numPr>
        <w:overflowPunct w:val="0"/>
        <w:autoSpaceDE w:val="0"/>
        <w:autoSpaceDN w:val="0"/>
        <w:adjustRightInd w:val="0"/>
        <w:spacing w:before="10" w:after="10"/>
        <w:ind w:left="426"/>
        <w:textAlignment w:val="baseline"/>
      </w:pPr>
      <w:r>
        <w:t>Z zadowoleniem przyjmuje proponowane rozporządzenie jako krok we właściwym kierunku, wzmacniający mechanizmy monitorowania bezpośrednich inwestycji zagranicznych (BIZ) w UE. Rozporządzenie ma na celu harmonizację procedur krajowych i wzmocnienie unijnego mechanizmu współpracy, zapewniając publiczną kontrolę nad sektorami i programami o</w:t>
      </w:r>
      <w:r w:rsidR="00B01AC1">
        <w:t> </w:t>
      </w:r>
      <w:r>
        <w:t>krytycznym znaczeniu.</w:t>
      </w:r>
    </w:p>
    <w:p w:rsidRPr="003567CE" w:rsidR="003567CE" w:rsidP="0088361D" w:rsidRDefault="003567CE" w14:paraId="7E224276" w14:textId="3F6227DB">
      <w:pPr>
        <w:widowControl w:val="0"/>
        <w:numPr>
          <w:ilvl w:val="0"/>
          <w:numId w:val="45"/>
        </w:numPr>
        <w:overflowPunct w:val="0"/>
        <w:autoSpaceDE w:val="0"/>
        <w:autoSpaceDN w:val="0"/>
        <w:adjustRightInd w:val="0"/>
        <w:spacing w:before="10" w:after="10"/>
        <w:ind w:left="426"/>
        <w:textAlignment w:val="baseline"/>
      </w:pPr>
      <w:r>
        <w:t>Podkreśla znaczenie promowania większej harmonizacji norm krajowych regulujących BIZ i</w:t>
      </w:r>
      <w:r w:rsidR="00B01AC1">
        <w:t> </w:t>
      </w:r>
      <w:r>
        <w:t>mechanizmy monitorowania. Obejmuje to: i) ustalenie spójnych progów, których przekroczenie wiązałoby się z obowiązkiem kontroli BIZ, i jednolitych terminów udzielania odpowiedzi, ii)</w:t>
      </w:r>
      <w:r w:rsidR="00B01AC1">
        <w:t> </w:t>
      </w:r>
      <w:r>
        <w:t>ustanowienie spójnych definicji zagrożeń dla bezpieczeństwa i porządku publicznego, iii)</w:t>
      </w:r>
      <w:r w:rsidR="00B01AC1">
        <w:t> </w:t>
      </w:r>
      <w:r>
        <w:t>wzmocnienie zdolności państw członkowskich do skutecznej realizacji zadań związanych z</w:t>
      </w:r>
      <w:r w:rsidR="00B01AC1">
        <w:t> </w:t>
      </w:r>
      <w:r>
        <w:t>kontrolą BIZ.</w:t>
      </w:r>
    </w:p>
    <w:p w:rsidRPr="003567CE" w:rsidR="003567CE" w:rsidP="0088361D" w:rsidRDefault="003567CE" w14:paraId="035CA57A" w14:textId="14A92779">
      <w:pPr>
        <w:widowControl w:val="0"/>
        <w:numPr>
          <w:ilvl w:val="0"/>
          <w:numId w:val="45"/>
        </w:numPr>
        <w:spacing w:before="10" w:after="10" w:line="276" w:lineRule="auto"/>
        <w:ind w:left="426"/>
      </w:pPr>
      <w:r>
        <w:t>Wzywa do określenia wyjątkowych przypadków, w których instytucje UE mogą zakazać lub ograniczyć BIZ bądź zastosować do nich określone warunki, jeżeli BIZ zagrażają programom lub projektom będącym przedmiotem zainteresowania Unii, co pozwoli zapewnić jednolite podejście do ochrony bezpieczeństwa i porządku publicznego we wszystkich państwach członkowskich. W</w:t>
      </w:r>
      <w:r w:rsidR="00B01AC1">
        <w:t> </w:t>
      </w:r>
      <w:r>
        <w:t>tym celu UE powinna określić jasne procedury i okoliczności umożliwiające sprawowanie kontroli nad inwestycjami, które stwarzają znaczne ryzyko dla interesów UE.</w:t>
      </w:r>
    </w:p>
    <w:p w:rsidRPr="003567CE" w:rsidR="003567CE" w:rsidP="0088361D" w:rsidRDefault="003567CE" w14:paraId="1444EF7F" w14:textId="6B928E19">
      <w:pPr>
        <w:widowControl w:val="0"/>
        <w:numPr>
          <w:ilvl w:val="0"/>
          <w:numId w:val="45"/>
        </w:numPr>
        <w:spacing w:before="10" w:after="10" w:line="276" w:lineRule="auto"/>
        <w:ind w:left="426"/>
      </w:pPr>
      <w:r>
        <w:t>Proponuje, aby propagować stosowanie zasady wzajemności w umowach handlowych, inwestycyjnych lub stowarzyszeniowych z krajami trzecimi oraz monitorowanie inwestycji z</w:t>
      </w:r>
      <w:r w:rsidR="00B01AC1">
        <w:t> </w:t>
      </w:r>
      <w:r>
        <w:t>krajów, które ograniczają inwestycje UE, tak aby zapewnić zrównoważone i sprawiedliwe traktowanie. O ścisłym stosowaniu decydowano by indywidualnie w każdym przypadku. W</w:t>
      </w:r>
      <w:r w:rsidR="00B01AC1">
        <w:t> </w:t>
      </w:r>
      <w:r>
        <w:t>ramach koncepcji autonomii strategicznej i strategii bezpieczeństwa gospodarczego należy nadal promować BIZ w celu wspierania zrównoważonej konkurencyjności.</w:t>
      </w:r>
    </w:p>
    <w:p w:rsidRPr="003567CE" w:rsidR="003567CE" w:rsidP="0088361D" w:rsidRDefault="003567CE" w14:paraId="33A49B20" w14:textId="77777777">
      <w:pPr>
        <w:widowControl w:val="0"/>
        <w:numPr>
          <w:ilvl w:val="0"/>
          <w:numId w:val="45"/>
        </w:numPr>
        <w:spacing w:before="10" w:after="10" w:line="276" w:lineRule="auto"/>
        <w:ind w:left="426"/>
      </w:pPr>
      <w:r>
        <w:t xml:space="preserve">Apeluje, aby poddać inwestycje z rajów podatkowych specjalnemu nadzorowi, wymagającemu pełnej wiedzy na temat rzeczywistych właścicieli inwestujących firm i sprawdzenia legalności </w:t>
      </w:r>
      <w:r>
        <w:lastRenderedPageBreak/>
        <w:t>zainwestowanych środków. Państwa członkowskie powinny rozważyć możliwość zniesienia tzw. „złotych wiz” umożliwiających uzyskanie pobytu lub obywatelstwa w państwie UE.</w:t>
      </w:r>
    </w:p>
    <w:p w:rsidRPr="003567CE" w:rsidR="003567CE" w:rsidP="0088361D" w:rsidRDefault="003567CE" w14:paraId="4CDFF91C" w14:textId="77777777">
      <w:pPr>
        <w:widowControl w:val="0"/>
        <w:numPr>
          <w:ilvl w:val="0"/>
          <w:numId w:val="45"/>
        </w:numPr>
        <w:spacing w:before="10" w:after="10" w:line="276" w:lineRule="auto"/>
        <w:ind w:left="426"/>
      </w:pPr>
      <w:r>
        <w:t xml:space="preserve">Podkreśla potrzebę mechanizmów udziału partnerów społecznych i organizacji społeczeństwa obywatelskiego w polityce BIZ i w ich kontroli zarówno na szczeblu unijnym, jak i krajowym, przy zapewnieniu przejrzystości i </w:t>
      </w:r>
      <w:proofErr w:type="spellStart"/>
      <w:r>
        <w:t>inkluzywności</w:t>
      </w:r>
      <w:proofErr w:type="spellEnd"/>
      <w:r>
        <w:t xml:space="preserve"> procesu oceny. </w:t>
      </w:r>
    </w:p>
    <w:p w:rsidRPr="003567CE" w:rsidR="003567CE" w:rsidP="003567CE" w:rsidRDefault="003567CE" w14:paraId="476482E2" w14:textId="77777777">
      <w:pPr>
        <w:widowControl w:val="0"/>
        <w:spacing w:before="10" w:after="10" w:line="276" w:lineRule="auto"/>
        <w:ind w:left="567"/>
        <w:rPr>
          <w:lang w:eastAsia="zh-CN"/>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3567CE" w:rsidR="003567CE" w:rsidTr="00D76388" w14:paraId="0BDAEDE2" w14:textId="77777777">
        <w:tc>
          <w:tcPr>
            <w:tcW w:w="1418" w:type="dxa"/>
          </w:tcPr>
          <w:p w:rsidRPr="003567CE" w:rsidR="003567CE" w:rsidP="003567CE" w:rsidRDefault="003567CE" w14:paraId="75FDFE87" w14:textId="77777777">
            <w:pPr>
              <w:rPr>
                <w:i/>
                <w:sz w:val="22"/>
                <w:szCs w:val="22"/>
              </w:rPr>
            </w:pPr>
            <w:r>
              <w:rPr>
                <w:b/>
                <w:i/>
                <w:sz w:val="22"/>
              </w:rPr>
              <w:t>Kontakt</w:t>
            </w:r>
          </w:p>
        </w:tc>
        <w:tc>
          <w:tcPr>
            <w:tcW w:w="5670" w:type="dxa"/>
          </w:tcPr>
          <w:p w:rsidRPr="003567CE" w:rsidR="003567CE" w:rsidP="003567CE" w:rsidRDefault="003567CE" w14:paraId="2C1A667F" w14:textId="77777777">
            <w:pPr>
              <w:rPr>
                <w:i/>
                <w:sz w:val="22"/>
                <w:szCs w:val="22"/>
              </w:rPr>
            </w:pPr>
            <w:r>
              <w:rPr>
                <w:i/>
                <w:sz w:val="22"/>
              </w:rPr>
              <w:t xml:space="preserve">Marco </w:t>
            </w:r>
            <w:proofErr w:type="spellStart"/>
            <w:r>
              <w:rPr>
                <w:i/>
                <w:sz w:val="22"/>
              </w:rPr>
              <w:t>Ristori</w:t>
            </w:r>
            <w:proofErr w:type="spellEnd"/>
          </w:p>
        </w:tc>
      </w:tr>
      <w:tr w:rsidRPr="003567CE" w:rsidR="003567CE" w:rsidTr="00D76388" w14:paraId="43A475CE" w14:textId="77777777">
        <w:tc>
          <w:tcPr>
            <w:tcW w:w="1418" w:type="dxa"/>
          </w:tcPr>
          <w:p w:rsidRPr="003567CE" w:rsidR="003567CE" w:rsidP="003567CE" w:rsidRDefault="003567CE" w14:paraId="68E49F1C" w14:textId="77777777">
            <w:pPr>
              <w:rPr>
                <w:i/>
                <w:sz w:val="22"/>
                <w:szCs w:val="22"/>
              </w:rPr>
            </w:pPr>
            <w:r>
              <w:rPr>
                <w:i/>
                <w:sz w:val="22"/>
              </w:rPr>
              <w:t>Tel.:</w:t>
            </w:r>
          </w:p>
        </w:tc>
        <w:tc>
          <w:tcPr>
            <w:tcW w:w="5670" w:type="dxa"/>
          </w:tcPr>
          <w:p w:rsidRPr="003567CE" w:rsidR="003567CE" w:rsidP="003567CE" w:rsidRDefault="003567CE" w14:paraId="25B8F53A" w14:textId="77777777">
            <w:pPr>
              <w:rPr>
                <w:i/>
                <w:sz w:val="22"/>
                <w:szCs w:val="22"/>
              </w:rPr>
            </w:pPr>
            <w:r>
              <w:rPr>
                <w:i/>
                <w:sz w:val="22"/>
              </w:rPr>
              <w:t>+32 25469969</w:t>
            </w:r>
          </w:p>
        </w:tc>
      </w:tr>
      <w:tr w:rsidRPr="003567CE" w:rsidR="003567CE" w:rsidTr="00D76388" w14:paraId="25CC9356" w14:textId="77777777">
        <w:tc>
          <w:tcPr>
            <w:tcW w:w="1418" w:type="dxa"/>
          </w:tcPr>
          <w:p w:rsidRPr="003567CE" w:rsidR="003567CE" w:rsidP="003567CE" w:rsidRDefault="003567CE" w14:paraId="17484178" w14:textId="77777777">
            <w:pPr>
              <w:rPr>
                <w:i/>
                <w:sz w:val="22"/>
                <w:szCs w:val="22"/>
              </w:rPr>
            </w:pPr>
            <w:r>
              <w:rPr>
                <w:i/>
                <w:sz w:val="22"/>
              </w:rPr>
              <w:t>e-mail:</w:t>
            </w:r>
          </w:p>
        </w:tc>
        <w:tc>
          <w:tcPr>
            <w:tcW w:w="5670" w:type="dxa"/>
          </w:tcPr>
          <w:p w:rsidRPr="003567CE" w:rsidR="003567CE" w:rsidP="003567CE" w:rsidRDefault="00EE19DE" w14:paraId="4A046612" w14:textId="77777777">
            <w:pPr>
              <w:rPr>
                <w:i/>
                <w:sz w:val="22"/>
                <w:szCs w:val="22"/>
              </w:rPr>
            </w:pPr>
            <w:hyperlink w:history="1" r:id="rId36">
              <w:r w:rsidR="000B64C3">
                <w:rPr>
                  <w:i/>
                  <w:color w:val="0000FF"/>
                  <w:sz w:val="22"/>
                  <w:u w:val="single"/>
                </w:rPr>
                <w:t>Marco.Ristori@eesc.europa.eu</w:t>
              </w:r>
            </w:hyperlink>
          </w:p>
        </w:tc>
      </w:tr>
    </w:tbl>
    <w:p w:rsidR="003567CE" w:rsidP="0088361D" w:rsidRDefault="003567CE" w14:paraId="67F3595B" w14:textId="7DB7E2AE">
      <w:pPr>
        <w:tabs>
          <w:tab w:val="left" w:pos="426"/>
        </w:tabs>
        <w:spacing w:after="160" w:line="259" w:lineRule="auto"/>
        <w:ind w:left="426" w:hanging="426"/>
        <w:jc w:val="left"/>
        <w:rPr>
          <w:rFonts w:eastAsiaTheme="minorEastAsia"/>
        </w:rPr>
      </w:pPr>
      <w:r>
        <w:br w:type="page"/>
      </w:r>
    </w:p>
    <w:p w:rsidR="006A7E31" w:rsidP="00D92244" w:rsidRDefault="00A72EDD" w14:paraId="07F93DE3" w14:textId="5E2145AE">
      <w:pPr>
        <w:pStyle w:val="TOC1"/>
      </w:pPr>
      <w:bookmarkStart w:name="_Toc172708167" w:id="9"/>
      <w:r>
        <w:lastRenderedPageBreak/>
        <w:t>7.</w:t>
      </w:r>
      <w:r>
        <w:tab/>
        <w:t>TRANSPORT, ENERGIA, INFRASTRUKTURA, SPOŁECZEŃSTWO INFORMACYJNE</w:t>
      </w:r>
      <w:bookmarkEnd w:id="9"/>
    </w:p>
    <w:p w:rsidR="00160A67" w:rsidP="00160A67" w:rsidRDefault="00160A67" w14:paraId="2CBE297E" w14:textId="164A826B">
      <w:pPr>
        <w:rPr>
          <w:rFonts w:eastAsiaTheme="minorEastAsia"/>
        </w:rPr>
      </w:pPr>
    </w:p>
    <w:p w:rsidRPr="00200444" w:rsidR="00200444" w:rsidP="00200444" w:rsidRDefault="00EE19DE" w14:paraId="58676F78" w14:textId="63BAC8F7">
      <w:pPr>
        <w:widowControl w:val="0"/>
        <w:numPr>
          <w:ilvl w:val="0"/>
          <w:numId w:val="27"/>
        </w:numPr>
        <w:overflowPunct w:val="0"/>
        <w:autoSpaceDE w:val="0"/>
        <w:autoSpaceDN w:val="0"/>
        <w:adjustRightInd w:val="0"/>
        <w:ind w:hanging="567"/>
        <w:textAlignment w:val="baseline"/>
        <w:rPr>
          <w:sz w:val="20"/>
          <w:szCs w:val="20"/>
        </w:rPr>
      </w:pPr>
      <w:hyperlink w:history="1" r:id="rId37">
        <w:r w:rsidR="000B64C3">
          <w:rPr>
            <w:b/>
            <w:i/>
            <w:color w:val="0000FF"/>
            <w:sz w:val="28"/>
            <w:u w:val="single"/>
          </w:rPr>
          <w:t>Cyfryzacja energetyki: wyważenie szans i zagrożeń dla europejskich konsumentów</w:t>
        </w:r>
      </w:hyperlink>
    </w:p>
    <w:p w:rsidRPr="00200444" w:rsidR="00200444" w:rsidP="00200444" w:rsidRDefault="00200444" w14:paraId="132C4057" w14:textId="24ED59A0">
      <w:pPr>
        <w:tabs>
          <w:tab w:val="center" w:pos="284"/>
        </w:tabs>
        <w:overflowPunct w:val="0"/>
        <w:autoSpaceDE w:val="0"/>
        <w:autoSpaceDN w:val="0"/>
        <w:adjustRightInd w:val="0"/>
        <w:ind w:left="266" w:hanging="266"/>
        <w:textAlignment w:val="baseline"/>
        <w:rPr>
          <w:b/>
          <w:sz w:val="16"/>
          <w:szCs w:val="16"/>
        </w:rPr>
      </w:pPr>
    </w:p>
    <w:tbl>
      <w:tblPr>
        <w:tblStyle w:val="TableGrid205"/>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6838"/>
      </w:tblGrid>
      <w:tr w:rsidRPr="00200444" w:rsidR="00200444" w:rsidTr="00D76388" w14:paraId="5935AE73" w14:textId="77777777">
        <w:tc>
          <w:tcPr>
            <w:tcW w:w="2235" w:type="dxa"/>
          </w:tcPr>
          <w:p w:rsidRPr="00200444" w:rsidR="00200444" w:rsidP="00200444" w:rsidRDefault="00200444" w14:paraId="23ACF2BE" w14:textId="77777777">
            <w:pPr>
              <w:tabs>
                <w:tab w:val="center" w:pos="284"/>
              </w:tabs>
              <w:overflowPunct w:val="0"/>
              <w:autoSpaceDE w:val="0"/>
              <w:autoSpaceDN w:val="0"/>
              <w:adjustRightInd w:val="0"/>
              <w:ind w:left="266" w:hanging="266"/>
              <w:textAlignment w:val="baseline"/>
              <w:rPr>
                <w:b/>
              </w:rPr>
            </w:pPr>
            <w:r>
              <w:rPr>
                <w:b/>
              </w:rPr>
              <w:t>Sprawozdawca</w:t>
            </w:r>
          </w:p>
        </w:tc>
        <w:tc>
          <w:tcPr>
            <w:tcW w:w="6838" w:type="dxa"/>
          </w:tcPr>
          <w:p w:rsidRPr="00200444" w:rsidR="00200444" w:rsidP="00200444" w:rsidRDefault="00200444" w14:paraId="3CE93226" w14:textId="77777777">
            <w:pPr>
              <w:tabs>
                <w:tab w:val="center" w:pos="284"/>
              </w:tabs>
              <w:overflowPunct w:val="0"/>
              <w:autoSpaceDE w:val="0"/>
              <w:autoSpaceDN w:val="0"/>
              <w:adjustRightInd w:val="0"/>
              <w:ind w:left="266" w:hanging="266"/>
              <w:textAlignment w:val="baseline"/>
            </w:pPr>
            <w:proofErr w:type="spellStart"/>
            <w:r>
              <w:t>Kęstutis</w:t>
            </w:r>
            <w:proofErr w:type="spellEnd"/>
            <w:r>
              <w:t xml:space="preserve"> KUPŠYS (Grupa Organizacji Społeczeństwa Obywatelskiego – LT)</w:t>
            </w:r>
          </w:p>
        </w:tc>
      </w:tr>
      <w:tr w:rsidRPr="00200444" w:rsidR="00200444" w:rsidTr="00D76388" w14:paraId="6CCE46EB" w14:textId="77777777">
        <w:tc>
          <w:tcPr>
            <w:tcW w:w="9073" w:type="dxa"/>
            <w:gridSpan w:val="2"/>
          </w:tcPr>
          <w:p w:rsidRPr="00200444" w:rsidR="00200444" w:rsidP="00200444" w:rsidRDefault="00200444" w14:paraId="7B725906" w14:textId="77777777">
            <w:pPr>
              <w:tabs>
                <w:tab w:val="center" w:pos="284"/>
              </w:tabs>
              <w:overflowPunct w:val="0"/>
              <w:autoSpaceDE w:val="0"/>
              <w:autoSpaceDN w:val="0"/>
              <w:adjustRightInd w:val="0"/>
              <w:spacing w:line="160" w:lineRule="exact"/>
              <w:ind w:left="266" w:hanging="266"/>
              <w:textAlignment w:val="baseline"/>
            </w:pPr>
          </w:p>
        </w:tc>
      </w:tr>
      <w:tr w:rsidRPr="00200444" w:rsidR="00200444" w:rsidTr="00D76388" w14:paraId="2A2B80A0" w14:textId="77777777">
        <w:tc>
          <w:tcPr>
            <w:tcW w:w="2235" w:type="dxa"/>
          </w:tcPr>
          <w:p w:rsidRPr="00200444" w:rsidR="00200444" w:rsidP="00200444" w:rsidRDefault="00200444" w14:paraId="40839C6F" w14:textId="77777777">
            <w:pPr>
              <w:tabs>
                <w:tab w:val="center" w:pos="284"/>
              </w:tabs>
              <w:overflowPunct w:val="0"/>
              <w:autoSpaceDE w:val="0"/>
              <w:autoSpaceDN w:val="0"/>
              <w:adjustRightInd w:val="0"/>
              <w:ind w:left="266" w:hanging="266"/>
              <w:textAlignment w:val="baseline"/>
              <w:rPr>
                <w:b/>
              </w:rPr>
            </w:pPr>
            <w:r>
              <w:rPr>
                <w:b/>
              </w:rPr>
              <w:t>Dokument źródłowy</w:t>
            </w:r>
          </w:p>
        </w:tc>
        <w:tc>
          <w:tcPr>
            <w:tcW w:w="6838" w:type="dxa"/>
          </w:tcPr>
          <w:p w:rsidRPr="00200444" w:rsidR="00200444" w:rsidP="00200444" w:rsidRDefault="00200444" w14:paraId="141519EE" w14:textId="77777777">
            <w:pPr>
              <w:tabs>
                <w:tab w:val="center" w:pos="0"/>
              </w:tabs>
              <w:overflowPunct w:val="0"/>
              <w:autoSpaceDE w:val="0"/>
              <w:autoSpaceDN w:val="0"/>
              <w:adjustRightInd w:val="0"/>
              <w:textAlignment w:val="baseline"/>
            </w:pPr>
            <w:r>
              <w:t>Opinia z inicjatywy własnej</w:t>
            </w:r>
          </w:p>
          <w:p w:rsidRPr="00200444" w:rsidR="00200444" w:rsidP="00200444" w:rsidRDefault="00200444" w14:paraId="08907D81" w14:textId="77777777">
            <w:pPr>
              <w:tabs>
                <w:tab w:val="center" w:pos="284"/>
              </w:tabs>
              <w:overflowPunct w:val="0"/>
              <w:autoSpaceDE w:val="0"/>
              <w:autoSpaceDN w:val="0"/>
              <w:adjustRightInd w:val="0"/>
              <w:ind w:left="266" w:hanging="266"/>
              <w:textAlignment w:val="baseline"/>
            </w:pPr>
            <w:r>
              <w:t>EESC-2024-01212-00-00-AC</w:t>
            </w:r>
          </w:p>
        </w:tc>
      </w:tr>
    </w:tbl>
    <w:p w:rsidRPr="00200444" w:rsidR="00200444" w:rsidP="00200444" w:rsidRDefault="00200444" w14:paraId="61F24DE5" w14:textId="77777777">
      <w:pPr>
        <w:keepNext/>
        <w:keepLines/>
        <w:tabs>
          <w:tab w:val="center" w:pos="284"/>
        </w:tabs>
        <w:overflowPunct w:val="0"/>
        <w:autoSpaceDE w:val="0"/>
        <w:autoSpaceDN w:val="0"/>
        <w:adjustRightInd w:val="0"/>
        <w:ind w:left="266" w:hanging="266"/>
        <w:textAlignment w:val="baseline"/>
        <w:rPr>
          <w:b/>
        </w:rPr>
      </w:pPr>
      <w:r>
        <w:rPr>
          <w:b/>
        </w:rPr>
        <w:t>Główne punkty</w:t>
      </w:r>
    </w:p>
    <w:p w:rsidRPr="00200444" w:rsidR="00200444" w:rsidP="00200444" w:rsidRDefault="00200444" w14:paraId="27A326E1" w14:textId="77777777">
      <w:pPr>
        <w:keepNext/>
        <w:keepLines/>
        <w:tabs>
          <w:tab w:val="center" w:pos="284"/>
        </w:tabs>
        <w:overflowPunct w:val="0"/>
        <w:autoSpaceDE w:val="0"/>
        <w:autoSpaceDN w:val="0"/>
        <w:adjustRightInd w:val="0"/>
        <w:ind w:left="266" w:hanging="266"/>
        <w:textAlignment w:val="baseline"/>
        <w:rPr>
          <w:b/>
          <w:sz w:val="16"/>
          <w:szCs w:val="16"/>
        </w:rPr>
      </w:pPr>
    </w:p>
    <w:p w:rsidRPr="00200444" w:rsidR="00200444" w:rsidP="00200444" w:rsidRDefault="00200444" w14:paraId="391753AA" w14:textId="77777777">
      <w:pPr>
        <w:overflowPunct w:val="0"/>
        <w:autoSpaceDE w:val="0"/>
        <w:autoSpaceDN w:val="0"/>
        <w:adjustRightInd w:val="0"/>
        <w:textAlignment w:val="baseline"/>
        <w:rPr>
          <w:bCs/>
          <w:iCs/>
        </w:rPr>
      </w:pPr>
      <w:r>
        <w:t>EKES</w:t>
      </w:r>
    </w:p>
    <w:p w:rsidRPr="00200444" w:rsidR="00200444" w:rsidP="00200444" w:rsidRDefault="00200444" w14:paraId="4EF17700" w14:textId="77777777">
      <w:pPr>
        <w:keepNext/>
        <w:keepLines/>
        <w:tabs>
          <w:tab w:val="center" w:pos="284"/>
        </w:tabs>
        <w:overflowPunct w:val="0"/>
        <w:autoSpaceDE w:val="0"/>
        <w:autoSpaceDN w:val="0"/>
        <w:adjustRightInd w:val="0"/>
        <w:ind w:left="266" w:hanging="266"/>
        <w:textAlignment w:val="baseline"/>
        <w:rPr>
          <w:b/>
          <w:sz w:val="16"/>
          <w:szCs w:val="16"/>
        </w:rPr>
      </w:pPr>
    </w:p>
    <w:p w:rsidRPr="00200444" w:rsidR="00200444" w:rsidP="0088361D" w:rsidRDefault="00200444" w14:paraId="206F1777" w14:textId="77777777">
      <w:pPr>
        <w:numPr>
          <w:ilvl w:val="0"/>
          <w:numId w:val="46"/>
        </w:numPr>
        <w:overflowPunct w:val="0"/>
        <w:autoSpaceDE w:val="0"/>
        <w:autoSpaceDN w:val="0"/>
        <w:adjustRightInd w:val="0"/>
        <w:ind w:left="284" w:hanging="284"/>
        <w:contextualSpacing/>
        <w:textAlignment w:val="baseline"/>
      </w:pPr>
      <w:r>
        <w:t>Podkreśla, że cyfryzacja staje się coraz ważniejsza w świetle transformacji ekologicznej. Energia powinna niemniej pozostać przystępna cenowo, regulowana i łatwa w użytkowaniu dla konsumentów. Wiąże się to z koniecznością opracowania przyjaznych dla użytkownika narzędzi cyfrowych, które zaspokajają zróżnicowane potrzeby i promują równy dostęp do cyfrowych usług energetycznych. Konsumenci powinni nadal mieć możliwość wyboru cen, umów i usług dla klientów w sposób „</w:t>
      </w:r>
      <w:proofErr w:type="spellStart"/>
      <w:r>
        <w:t>przedcyfrowy</w:t>
      </w:r>
      <w:proofErr w:type="spellEnd"/>
      <w:r>
        <w:t>”.</w:t>
      </w:r>
    </w:p>
    <w:p w:rsidRPr="00200444" w:rsidR="00200444" w:rsidP="0088361D" w:rsidRDefault="00200444" w14:paraId="60E3E940" w14:textId="77777777">
      <w:pPr>
        <w:numPr>
          <w:ilvl w:val="0"/>
          <w:numId w:val="46"/>
        </w:numPr>
        <w:overflowPunct w:val="0"/>
        <w:autoSpaceDE w:val="0"/>
        <w:autoSpaceDN w:val="0"/>
        <w:adjustRightInd w:val="0"/>
        <w:ind w:left="284" w:hanging="284"/>
        <w:contextualSpacing/>
        <w:textAlignment w:val="baseline"/>
      </w:pPr>
      <w:r>
        <w:t xml:space="preserve">Zwraca uwagę na priorytet </w:t>
      </w:r>
      <w:proofErr w:type="spellStart"/>
      <w:r>
        <w:t>cyberbezpieczeństwa</w:t>
      </w:r>
      <w:proofErr w:type="spellEnd"/>
      <w:r>
        <w:t xml:space="preserve"> danych generowanych przez użytkowników. Cyfryzacja zwiększa potrzebę dynamicznych przepisów ochrony konsumentów, dostosowanych do nowych kontekstów i uczestników sektora.</w:t>
      </w:r>
    </w:p>
    <w:p w:rsidRPr="00200444" w:rsidR="00200444" w:rsidP="0088361D" w:rsidRDefault="00200444" w14:paraId="22781EDC" w14:textId="77777777">
      <w:pPr>
        <w:numPr>
          <w:ilvl w:val="0"/>
          <w:numId w:val="46"/>
        </w:numPr>
        <w:overflowPunct w:val="0"/>
        <w:autoSpaceDE w:val="0"/>
        <w:autoSpaceDN w:val="0"/>
        <w:adjustRightInd w:val="0"/>
        <w:ind w:left="284" w:hanging="284"/>
        <w:contextualSpacing/>
        <w:textAlignment w:val="baseline"/>
      </w:pPr>
      <w:r>
        <w:t>Zwraca uwagę, że przepaść cyfrowa między konsumentami, którzy mogą sobie pozwolić na droższe narzędzia cyfrowe, a tymi, którzy nie mają na to środków, prowadzi do większego ubóstwa energetycznego.</w:t>
      </w:r>
    </w:p>
    <w:p w:rsidRPr="00200444" w:rsidR="00200444" w:rsidP="0088361D" w:rsidRDefault="00200444" w14:paraId="754492E5" w14:textId="77777777">
      <w:pPr>
        <w:numPr>
          <w:ilvl w:val="0"/>
          <w:numId w:val="46"/>
        </w:numPr>
        <w:overflowPunct w:val="0"/>
        <w:autoSpaceDE w:val="0"/>
        <w:autoSpaceDN w:val="0"/>
        <w:adjustRightInd w:val="0"/>
        <w:ind w:left="284" w:hanging="284"/>
        <w:contextualSpacing/>
        <w:textAlignment w:val="baseline"/>
      </w:pPr>
      <w:r>
        <w:t>Zaleca zapewnienie szkoleń pracownikom. Akademie przemysłu neutralnego emisyjnie należy promować wśród wszystkich zainteresowanych stron, z naciskiem na umiejętności w zakresie efektywności energetycznej.</w:t>
      </w:r>
    </w:p>
    <w:p w:rsidRPr="00200444" w:rsidR="00200444" w:rsidP="00200444" w:rsidRDefault="00200444" w14:paraId="62C44523" w14:textId="77777777">
      <w:pPr>
        <w:overflowPunct w:val="0"/>
        <w:autoSpaceDE w:val="0"/>
        <w:autoSpaceDN w:val="0"/>
        <w:adjustRightInd w:val="0"/>
        <w:textAlignment w:val="baseline"/>
        <w:rPr>
          <w:szCs w:val="20"/>
        </w:rPr>
      </w:pPr>
    </w:p>
    <w:p w:rsidRPr="00200444" w:rsidR="00200444" w:rsidP="00200444" w:rsidRDefault="00200444" w14:paraId="1E9D49ED" w14:textId="77777777">
      <w:pPr>
        <w:overflowPunct w:val="0"/>
        <w:autoSpaceDE w:val="0"/>
        <w:autoSpaceDN w:val="0"/>
        <w:adjustRightInd w:val="0"/>
        <w:textAlignment w:val="baseline"/>
        <w:rPr>
          <w:szCs w:val="20"/>
        </w:rPr>
      </w:pPr>
    </w:p>
    <w:tbl>
      <w:tblPr>
        <w:tblStyle w:val="TableGrid205"/>
        <w:tblW w:w="7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200444" w:rsidR="00200444" w:rsidTr="00D76388" w14:paraId="308752F8" w14:textId="77777777">
        <w:tc>
          <w:tcPr>
            <w:tcW w:w="1418" w:type="dxa"/>
          </w:tcPr>
          <w:p w:rsidRPr="00200444" w:rsidR="00200444" w:rsidP="00200444" w:rsidRDefault="00200444" w14:paraId="1329C664" w14:textId="77777777">
            <w:pPr>
              <w:overflowPunct w:val="0"/>
              <w:autoSpaceDE w:val="0"/>
              <w:autoSpaceDN w:val="0"/>
              <w:adjustRightInd w:val="0"/>
              <w:spacing w:line="240" w:lineRule="auto"/>
              <w:textAlignment w:val="baseline"/>
              <w:rPr>
                <w:i/>
              </w:rPr>
            </w:pPr>
            <w:r>
              <w:rPr>
                <w:b/>
                <w:i/>
              </w:rPr>
              <w:t>Kontakt</w:t>
            </w:r>
          </w:p>
        </w:tc>
        <w:tc>
          <w:tcPr>
            <w:tcW w:w="5670" w:type="dxa"/>
          </w:tcPr>
          <w:p w:rsidRPr="00200444" w:rsidR="00200444" w:rsidP="00200444" w:rsidRDefault="00200444" w14:paraId="44ACB422" w14:textId="73AFA2D9">
            <w:pPr>
              <w:overflowPunct w:val="0"/>
              <w:autoSpaceDE w:val="0"/>
              <w:autoSpaceDN w:val="0"/>
              <w:adjustRightInd w:val="0"/>
              <w:spacing w:line="240" w:lineRule="auto"/>
              <w:textAlignment w:val="baseline"/>
              <w:rPr>
                <w:i/>
              </w:rPr>
            </w:pPr>
            <w:r>
              <w:rPr>
                <w:i/>
              </w:rPr>
              <w:t xml:space="preserve">Aleksandra </w:t>
            </w:r>
            <w:proofErr w:type="spellStart"/>
            <w:r>
              <w:rPr>
                <w:i/>
              </w:rPr>
              <w:t>Sarman</w:t>
            </w:r>
            <w:proofErr w:type="spellEnd"/>
            <w:r>
              <w:rPr>
                <w:i/>
              </w:rPr>
              <w:t xml:space="preserve"> </w:t>
            </w:r>
            <w:proofErr w:type="spellStart"/>
            <w:r>
              <w:rPr>
                <w:i/>
              </w:rPr>
              <w:t>Grilc</w:t>
            </w:r>
            <w:proofErr w:type="spellEnd"/>
            <w:r>
              <w:rPr>
                <w:i/>
              </w:rPr>
              <w:t xml:space="preserve"> </w:t>
            </w:r>
          </w:p>
        </w:tc>
      </w:tr>
      <w:tr w:rsidRPr="00200444" w:rsidR="00200444" w:rsidTr="00D76388" w14:paraId="4CB9B9D6" w14:textId="77777777">
        <w:tc>
          <w:tcPr>
            <w:tcW w:w="1418" w:type="dxa"/>
          </w:tcPr>
          <w:p w:rsidRPr="00200444" w:rsidR="00200444" w:rsidP="00200444" w:rsidRDefault="00200444" w14:paraId="5286CD08" w14:textId="77777777">
            <w:pPr>
              <w:overflowPunct w:val="0"/>
              <w:autoSpaceDE w:val="0"/>
              <w:autoSpaceDN w:val="0"/>
              <w:adjustRightInd w:val="0"/>
              <w:spacing w:line="240" w:lineRule="auto"/>
              <w:textAlignment w:val="baseline"/>
              <w:rPr>
                <w:i/>
              </w:rPr>
            </w:pPr>
            <w:r>
              <w:rPr>
                <w:i/>
              </w:rPr>
              <w:t>Tel.:</w:t>
            </w:r>
          </w:p>
        </w:tc>
        <w:tc>
          <w:tcPr>
            <w:tcW w:w="5670" w:type="dxa"/>
          </w:tcPr>
          <w:p w:rsidRPr="00200444" w:rsidR="00200444" w:rsidP="00200444" w:rsidRDefault="00200444" w14:paraId="18749D0D" w14:textId="77777777">
            <w:pPr>
              <w:overflowPunct w:val="0"/>
              <w:autoSpaceDE w:val="0"/>
              <w:autoSpaceDN w:val="0"/>
              <w:adjustRightInd w:val="0"/>
              <w:spacing w:line="240" w:lineRule="auto"/>
              <w:textAlignment w:val="baseline"/>
              <w:rPr>
                <w:i/>
              </w:rPr>
            </w:pPr>
            <w:r>
              <w:rPr>
                <w:i/>
              </w:rPr>
              <w:t>+32 25468333</w:t>
            </w:r>
          </w:p>
        </w:tc>
      </w:tr>
      <w:tr w:rsidRPr="00200444" w:rsidR="00200444" w:rsidTr="00D76388" w14:paraId="060AFC65" w14:textId="77777777">
        <w:tc>
          <w:tcPr>
            <w:tcW w:w="1418" w:type="dxa"/>
          </w:tcPr>
          <w:p w:rsidRPr="00200444" w:rsidR="00200444" w:rsidP="00200444" w:rsidRDefault="00BC3933" w14:paraId="0C1B36D7" w14:textId="0FBC8D4A">
            <w:pPr>
              <w:overflowPunct w:val="0"/>
              <w:autoSpaceDE w:val="0"/>
              <w:autoSpaceDN w:val="0"/>
              <w:adjustRightInd w:val="0"/>
              <w:spacing w:line="240" w:lineRule="auto"/>
              <w:textAlignment w:val="baseline"/>
              <w:rPr>
                <w:i/>
              </w:rPr>
            </w:pPr>
            <w:r>
              <w:rPr>
                <w:i/>
              </w:rPr>
              <w:t>e-mail:</w:t>
            </w:r>
          </w:p>
        </w:tc>
        <w:tc>
          <w:tcPr>
            <w:tcW w:w="5670" w:type="dxa"/>
          </w:tcPr>
          <w:p w:rsidRPr="00200444" w:rsidR="00200444" w:rsidP="00200444" w:rsidRDefault="00EE19DE" w14:paraId="0B137F65" w14:textId="77777777">
            <w:pPr>
              <w:overflowPunct w:val="0"/>
              <w:autoSpaceDE w:val="0"/>
              <w:autoSpaceDN w:val="0"/>
              <w:adjustRightInd w:val="0"/>
              <w:spacing w:line="240" w:lineRule="auto"/>
              <w:textAlignment w:val="baseline"/>
              <w:rPr>
                <w:i/>
                <w:iCs/>
              </w:rPr>
            </w:pPr>
            <w:hyperlink w:history="1" r:id="rId38">
              <w:r w:rsidR="000B64C3">
                <w:rPr>
                  <w:i/>
                  <w:color w:val="0000FF"/>
                  <w:u w:val="single"/>
                </w:rPr>
                <w:t>Aleksandra.SarmanGrilc@eesc.europa.eu</w:t>
              </w:r>
            </w:hyperlink>
          </w:p>
        </w:tc>
      </w:tr>
    </w:tbl>
    <w:p w:rsidR="00160A67" w:rsidRDefault="00160A67" w14:paraId="1F61C4F4" w14:textId="5940E811">
      <w:pPr>
        <w:spacing w:after="160" w:line="259" w:lineRule="auto"/>
        <w:jc w:val="left"/>
        <w:rPr>
          <w:rFonts w:eastAsiaTheme="minorEastAsia"/>
        </w:rPr>
      </w:pPr>
    </w:p>
    <w:p w:rsidR="00F95EAA" w:rsidRDefault="00F95EAA" w14:paraId="7B0DAFA4" w14:textId="2A13BDE7">
      <w:pPr>
        <w:spacing w:after="160" w:line="259" w:lineRule="auto"/>
        <w:jc w:val="left"/>
        <w:rPr>
          <w:b/>
          <w:bCs/>
          <w14:scene3d>
            <w14:camera w14:prst="orthographicFront"/>
            <w14:lightRig w14:rig="threePt" w14:dir="t">
              <w14:rot w14:lat="0" w14:lon="0" w14:rev="0"/>
            </w14:lightRig>
          </w14:scene3d>
        </w:rPr>
      </w:pPr>
      <w:bookmarkStart w:name="_Toc153539713" w:id="10"/>
      <w:bookmarkStart w:name="_Toc153547136" w:id="11"/>
      <w:r>
        <w:br w:type="page"/>
      </w:r>
    </w:p>
    <w:p w:rsidRPr="00160A67" w:rsidR="00160A67" w:rsidP="00FE2F95" w:rsidRDefault="003D6811" w14:paraId="5D209F0E" w14:textId="4471A438">
      <w:pPr>
        <w:pStyle w:val="TOC1"/>
        <w:rPr>
          <w:rFonts w:eastAsiaTheme="minorEastAsia"/>
        </w:rPr>
      </w:pPr>
      <w:bookmarkStart w:name="_Toc172708168" w:id="12"/>
      <w:r>
        <w:rPr>
          <w:sz w:val="22"/>
        </w:rPr>
        <w:lastRenderedPageBreak/>
        <w:t xml:space="preserve">8. </w:t>
      </w:r>
      <w:r>
        <w:rPr>
          <w:sz w:val="22"/>
        </w:rPr>
        <w:tab/>
        <w:t>KOMISJA KONSULTACYJNA DS. PRZEMIAN W PRZEMYŚLE</w:t>
      </w:r>
      <w:bookmarkEnd w:id="10"/>
      <w:bookmarkEnd w:id="11"/>
      <w:bookmarkEnd w:id="12"/>
    </w:p>
    <w:p w:rsidR="0018585A" w:rsidP="00520680" w:rsidRDefault="0018585A" w14:paraId="57026A6C" w14:textId="12B99797">
      <w:pPr>
        <w:overflowPunct w:val="0"/>
        <w:autoSpaceDE w:val="0"/>
        <w:autoSpaceDN w:val="0"/>
        <w:adjustRightInd w:val="0"/>
        <w:jc w:val="left"/>
        <w:textAlignment w:val="baseline"/>
      </w:pPr>
    </w:p>
    <w:p w:rsidRPr="00CE7004" w:rsidR="00CE7004" w:rsidP="00CE7004" w:rsidRDefault="00EE19DE" w14:paraId="005DB8F3" w14:textId="4F851664">
      <w:pPr>
        <w:widowControl w:val="0"/>
        <w:numPr>
          <w:ilvl w:val="0"/>
          <w:numId w:val="27"/>
        </w:numPr>
        <w:overflowPunct w:val="0"/>
        <w:autoSpaceDE w:val="0"/>
        <w:autoSpaceDN w:val="0"/>
        <w:adjustRightInd w:val="0"/>
        <w:ind w:hanging="567"/>
        <w:textAlignment w:val="baseline"/>
        <w:rPr>
          <w:i/>
          <w:iCs/>
          <w:sz w:val="28"/>
          <w:szCs w:val="28"/>
        </w:rPr>
      </w:pPr>
      <w:hyperlink w:history="1" r:id="rId39">
        <w:r w:rsidR="000B64C3">
          <w:rPr>
            <w:b/>
            <w:i/>
            <w:color w:val="0000FF"/>
            <w:sz w:val="28"/>
            <w:u w:val="single"/>
          </w:rPr>
          <w:t>Budowanie przyszłości w zgodzie z naturą: pobudzanie rozwoju biotechnologii i bioprodukcji w UE</w:t>
        </w:r>
      </w:hyperlink>
    </w:p>
    <w:p w:rsidRPr="00CE7004" w:rsidR="00CE7004" w:rsidP="00CE7004" w:rsidRDefault="00CE7004" w14:paraId="268D009F" w14:textId="77777777">
      <w:pPr>
        <w:tabs>
          <w:tab w:val="center" w:pos="284"/>
        </w:tabs>
        <w:overflowPunct w:val="0"/>
        <w:autoSpaceDE w:val="0"/>
        <w:autoSpaceDN w:val="0"/>
        <w:adjustRightInd w:val="0"/>
        <w:ind w:left="266" w:hanging="266"/>
        <w:textAlignment w:val="baseline"/>
        <w:rPr>
          <w:b/>
          <w:sz w:val="18"/>
          <w:szCs w:val="18"/>
        </w:rPr>
      </w:pPr>
    </w:p>
    <w:tbl>
      <w:tblPr>
        <w:tblStyle w:val="TableGrid206"/>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80"/>
        <w:gridCol w:w="4206"/>
      </w:tblGrid>
      <w:tr w:rsidRPr="00CE7004" w:rsidR="00CE7004" w:rsidTr="00CC7995" w14:paraId="657AB87B" w14:textId="77777777">
        <w:tc>
          <w:tcPr>
            <w:tcW w:w="1707" w:type="pct"/>
          </w:tcPr>
          <w:p w:rsidRPr="00CE7004" w:rsidR="00CE7004" w:rsidP="00CE7004" w:rsidRDefault="00CE7004" w14:paraId="0A5DA309" w14:textId="77777777">
            <w:pPr>
              <w:tabs>
                <w:tab w:val="center" w:pos="284"/>
              </w:tabs>
              <w:overflowPunct w:val="0"/>
              <w:autoSpaceDE w:val="0"/>
              <w:autoSpaceDN w:val="0"/>
              <w:adjustRightInd w:val="0"/>
              <w:ind w:left="266" w:hanging="266"/>
              <w:textAlignment w:val="baseline"/>
              <w:rPr>
                <w:b/>
              </w:rPr>
            </w:pPr>
            <w:r>
              <w:rPr>
                <w:b/>
              </w:rPr>
              <w:t>Sprawozdawca</w:t>
            </w:r>
          </w:p>
        </w:tc>
        <w:tc>
          <w:tcPr>
            <w:tcW w:w="3293" w:type="pct"/>
          </w:tcPr>
          <w:p w:rsidRPr="0088361D" w:rsidR="00CE7004" w:rsidP="00CE7004" w:rsidRDefault="00CE7004" w14:paraId="45443A3B" w14:textId="3FB8D13F">
            <w:pPr>
              <w:tabs>
                <w:tab w:val="center" w:pos="284"/>
              </w:tabs>
              <w:overflowPunct w:val="0"/>
              <w:autoSpaceDE w:val="0"/>
              <w:autoSpaceDN w:val="0"/>
              <w:adjustRightInd w:val="0"/>
              <w:ind w:left="266" w:hanging="266"/>
              <w:textAlignment w:val="baseline"/>
            </w:pPr>
            <w:r>
              <w:t>Florian MARIN (Grupa Pracowników – RO)</w:t>
            </w:r>
          </w:p>
        </w:tc>
      </w:tr>
      <w:tr w:rsidRPr="00CE7004" w:rsidR="00CE7004" w:rsidTr="00CC7995" w14:paraId="19E69EC6" w14:textId="77777777">
        <w:tc>
          <w:tcPr>
            <w:tcW w:w="1707" w:type="pct"/>
          </w:tcPr>
          <w:p w:rsidRPr="00CE7004" w:rsidR="00CE7004" w:rsidP="00CE7004" w:rsidRDefault="00CE7004" w14:paraId="300438BA" w14:textId="77777777">
            <w:pPr>
              <w:tabs>
                <w:tab w:val="center" w:pos="284"/>
              </w:tabs>
              <w:overflowPunct w:val="0"/>
              <w:autoSpaceDE w:val="0"/>
              <w:autoSpaceDN w:val="0"/>
              <w:adjustRightInd w:val="0"/>
              <w:ind w:left="266" w:hanging="266"/>
              <w:textAlignment w:val="baseline"/>
              <w:rPr>
                <w:b/>
              </w:rPr>
            </w:pPr>
            <w:proofErr w:type="spellStart"/>
            <w:r>
              <w:rPr>
                <w:b/>
              </w:rPr>
              <w:t>Współsprawozdawca</w:t>
            </w:r>
            <w:proofErr w:type="spellEnd"/>
          </w:p>
        </w:tc>
        <w:tc>
          <w:tcPr>
            <w:tcW w:w="3293" w:type="pct"/>
          </w:tcPr>
          <w:p w:rsidRPr="0088361D" w:rsidR="00CE7004" w:rsidP="00CE7004" w:rsidRDefault="00CE7004" w14:paraId="2D00FC95" w14:textId="30402C57">
            <w:pPr>
              <w:tabs>
                <w:tab w:val="center" w:pos="284"/>
              </w:tabs>
              <w:overflowPunct w:val="0"/>
              <w:autoSpaceDE w:val="0"/>
              <w:autoSpaceDN w:val="0"/>
              <w:adjustRightInd w:val="0"/>
              <w:ind w:left="266" w:hanging="266"/>
              <w:textAlignment w:val="baseline"/>
            </w:pPr>
            <w:r>
              <w:t>Antonello PEZZINI (Kat. 1 – IT)</w:t>
            </w:r>
          </w:p>
        </w:tc>
      </w:tr>
      <w:tr w:rsidRPr="00CE7004" w:rsidR="00CE7004" w:rsidTr="00D76388" w14:paraId="3D788248" w14:textId="77777777">
        <w:tc>
          <w:tcPr>
            <w:tcW w:w="5000" w:type="pct"/>
            <w:gridSpan w:val="2"/>
          </w:tcPr>
          <w:p w:rsidRPr="00CE7004" w:rsidR="00CE7004" w:rsidP="00CE7004" w:rsidRDefault="00CE7004" w14:paraId="3F65BFB6" w14:textId="77777777">
            <w:pPr>
              <w:tabs>
                <w:tab w:val="center" w:pos="284"/>
              </w:tabs>
              <w:overflowPunct w:val="0"/>
              <w:autoSpaceDE w:val="0"/>
              <w:autoSpaceDN w:val="0"/>
              <w:adjustRightInd w:val="0"/>
              <w:spacing w:line="160" w:lineRule="exact"/>
              <w:ind w:left="266" w:hanging="266"/>
              <w:textAlignment w:val="baseline"/>
            </w:pPr>
          </w:p>
        </w:tc>
      </w:tr>
      <w:tr w:rsidRPr="00CE7004" w:rsidR="00CE7004" w:rsidTr="00CC7995" w14:paraId="7E17608F" w14:textId="77777777">
        <w:tc>
          <w:tcPr>
            <w:tcW w:w="1707" w:type="pct"/>
            <w:vMerge w:val="restart"/>
          </w:tcPr>
          <w:p w:rsidRPr="00CE7004" w:rsidR="00CE7004" w:rsidP="00CE7004" w:rsidRDefault="00CE7004" w14:paraId="532AE3D7" w14:textId="77777777">
            <w:pPr>
              <w:tabs>
                <w:tab w:val="center" w:pos="284"/>
              </w:tabs>
              <w:overflowPunct w:val="0"/>
              <w:autoSpaceDE w:val="0"/>
              <w:autoSpaceDN w:val="0"/>
              <w:adjustRightInd w:val="0"/>
              <w:ind w:left="266" w:hanging="266"/>
              <w:textAlignment w:val="baseline"/>
              <w:rPr>
                <w:b/>
              </w:rPr>
            </w:pPr>
            <w:r>
              <w:rPr>
                <w:b/>
              </w:rPr>
              <w:t>Dokumenty źródłowe</w:t>
            </w:r>
          </w:p>
        </w:tc>
        <w:tc>
          <w:tcPr>
            <w:tcW w:w="3293" w:type="pct"/>
          </w:tcPr>
          <w:p w:rsidRPr="00CC7995" w:rsidR="00DF63B1" w:rsidP="00CE7004" w:rsidRDefault="00DF63B1" w14:paraId="652C0F55" w14:textId="3E18F9D7">
            <w:pPr>
              <w:tabs>
                <w:tab w:val="center" w:pos="284"/>
              </w:tabs>
              <w:overflowPunct w:val="0"/>
              <w:autoSpaceDE w:val="0"/>
              <w:autoSpaceDN w:val="0"/>
              <w:adjustRightInd w:val="0"/>
              <w:ind w:left="266" w:hanging="266"/>
              <w:textAlignment w:val="baseline"/>
            </w:pPr>
            <w:r w:rsidRPr="00CC7995">
              <w:t xml:space="preserve">COM(2024) 137 </w:t>
            </w:r>
            <w:proofErr w:type="spellStart"/>
            <w:r w:rsidRPr="00CC7995">
              <w:t>final</w:t>
            </w:r>
            <w:proofErr w:type="spellEnd"/>
          </w:p>
          <w:p w:rsidRPr="00CC7995" w:rsidR="00CE7004" w:rsidP="00CE7004" w:rsidRDefault="00CE7004" w14:paraId="2F738739" w14:textId="28F1BFE7">
            <w:pPr>
              <w:tabs>
                <w:tab w:val="center" w:pos="284"/>
              </w:tabs>
              <w:overflowPunct w:val="0"/>
              <w:autoSpaceDE w:val="0"/>
              <w:autoSpaceDN w:val="0"/>
              <w:adjustRightInd w:val="0"/>
              <w:ind w:left="266" w:hanging="266"/>
              <w:textAlignment w:val="baseline"/>
            </w:pPr>
            <w:r w:rsidRPr="00CC7995">
              <w:t>EESC-2024-00997-00-00-AC</w:t>
            </w:r>
          </w:p>
        </w:tc>
      </w:tr>
      <w:tr w:rsidRPr="00CE7004" w:rsidR="00CE7004" w:rsidTr="00CC7995" w14:paraId="0892E087" w14:textId="77777777">
        <w:tc>
          <w:tcPr>
            <w:tcW w:w="1707" w:type="pct"/>
            <w:vMerge/>
          </w:tcPr>
          <w:p w:rsidRPr="00CE7004" w:rsidR="00CE7004" w:rsidP="00CE7004" w:rsidRDefault="00CE7004" w14:paraId="61E03965" w14:textId="77777777">
            <w:pPr>
              <w:tabs>
                <w:tab w:val="center" w:pos="284"/>
              </w:tabs>
              <w:overflowPunct w:val="0"/>
              <w:autoSpaceDE w:val="0"/>
              <w:autoSpaceDN w:val="0"/>
              <w:adjustRightInd w:val="0"/>
              <w:ind w:left="266" w:hanging="266"/>
              <w:textAlignment w:val="baseline"/>
              <w:rPr>
                <w:b/>
              </w:rPr>
            </w:pPr>
          </w:p>
        </w:tc>
        <w:tc>
          <w:tcPr>
            <w:tcW w:w="3293" w:type="pct"/>
          </w:tcPr>
          <w:p w:rsidRPr="00CE7004" w:rsidR="00CE7004" w:rsidP="00CE7004" w:rsidRDefault="00CE7004" w14:paraId="7206C3CF" w14:textId="77777777">
            <w:pPr>
              <w:tabs>
                <w:tab w:val="center" w:pos="284"/>
              </w:tabs>
              <w:overflowPunct w:val="0"/>
              <w:autoSpaceDE w:val="0"/>
              <w:autoSpaceDN w:val="0"/>
              <w:adjustRightInd w:val="0"/>
              <w:ind w:left="266" w:hanging="266"/>
              <w:textAlignment w:val="baseline"/>
            </w:pPr>
          </w:p>
        </w:tc>
      </w:tr>
    </w:tbl>
    <w:p w:rsidRPr="00CE7004" w:rsidR="00CE7004" w:rsidP="00CE7004" w:rsidRDefault="00CE7004" w14:paraId="05BC4621" w14:textId="0E92A1CD">
      <w:pPr>
        <w:keepNext/>
        <w:keepLines/>
        <w:tabs>
          <w:tab w:val="center" w:pos="284"/>
        </w:tabs>
        <w:overflowPunct w:val="0"/>
        <w:autoSpaceDE w:val="0"/>
        <w:autoSpaceDN w:val="0"/>
        <w:adjustRightInd w:val="0"/>
        <w:ind w:left="266" w:hanging="266"/>
        <w:textAlignment w:val="baseline"/>
        <w:rPr>
          <w:b/>
          <w:sz w:val="18"/>
          <w:szCs w:val="18"/>
        </w:rPr>
      </w:pPr>
    </w:p>
    <w:p w:rsidRPr="00CE7004" w:rsidR="00CE7004" w:rsidP="00CE7004" w:rsidRDefault="00CE7004" w14:paraId="22DB247A" w14:textId="77777777">
      <w:pPr>
        <w:keepNext/>
        <w:keepLines/>
        <w:tabs>
          <w:tab w:val="center" w:pos="284"/>
        </w:tabs>
        <w:overflowPunct w:val="0"/>
        <w:autoSpaceDE w:val="0"/>
        <w:autoSpaceDN w:val="0"/>
        <w:adjustRightInd w:val="0"/>
        <w:ind w:left="266" w:hanging="266"/>
        <w:textAlignment w:val="baseline"/>
        <w:rPr>
          <w:b/>
        </w:rPr>
      </w:pPr>
      <w:r>
        <w:rPr>
          <w:b/>
        </w:rPr>
        <w:t>Główne punkty</w:t>
      </w:r>
    </w:p>
    <w:p w:rsidRPr="00CE7004" w:rsidR="00CE7004" w:rsidP="00CE7004" w:rsidRDefault="00CE7004" w14:paraId="4C13108C" w14:textId="77777777">
      <w:pPr>
        <w:keepNext/>
        <w:keepLines/>
        <w:tabs>
          <w:tab w:val="center" w:pos="284"/>
        </w:tabs>
        <w:overflowPunct w:val="0"/>
        <w:autoSpaceDE w:val="0"/>
        <w:autoSpaceDN w:val="0"/>
        <w:adjustRightInd w:val="0"/>
        <w:ind w:left="266" w:hanging="266"/>
        <w:textAlignment w:val="baseline"/>
        <w:rPr>
          <w:b/>
          <w:sz w:val="18"/>
          <w:szCs w:val="18"/>
        </w:rPr>
      </w:pPr>
    </w:p>
    <w:p w:rsidRPr="00CE7004" w:rsidR="00CE7004" w:rsidP="00CE7004" w:rsidRDefault="00CE7004" w14:paraId="126E957E" w14:textId="77777777">
      <w:pPr>
        <w:overflowPunct w:val="0"/>
        <w:autoSpaceDE w:val="0"/>
        <w:autoSpaceDN w:val="0"/>
        <w:adjustRightInd w:val="0"/>
        <w:textAlignment w:val="baseline"/>
        <w:rPr>
          <w:bCs/>
          <w:iCs/>
        </w:rPr>
      </w:pPr>
      <w:r>
        <w:t>EKES</w:t>
      </w:r>
    </w:p>
    <w:p w:rsidRPr="00CE7004" w:rsidR="00CE7004" w:rsidP="00CE7004" w:rsidRDefault="00CE7004" w14:paraId="3769B2F4" w14:textId="77777777">
      <w:pPr>
        <w:overflowPunct w:val="0"/>
        <w:autoSpaceDE w:val="0"/>
        <w:autoSpaceDN w:val="0"/>
        <w:adjustRightInd w:val="0"/>
        <w:ind w:left="567" w:hanging="567"/>
        <w:textAlignment w:val="baseline"/>
        <w:rPr>
          <w:sz w:val="18"/>
          <w:szCs w:val="16"/>
        </w:rPr>
      </w:pPr>
    </w:p>
    <w:p w:rsidRPr="00CE7004" w:rsidR="00CE7004" w:rsidP="0088361D" w:rsidRDefault="00CE7004" w14:paraId="6D030C9C" w14:textId="77777777">
      <w:pPr>
        <w:widowControl w:val="0"/>
        <w:numPr>
          <w:ilvl w:val="0"/>
          <w:numId w:val="47"/>
        </w:numPr>
        <w:overflowPunct w:val="0"/>
        <w:autoSpaceDE w:val="0"/>
        <w:autoSpaceDN w:val="0"/>
        <w:adjustRightInd w:val="0"/>
        <w:ind w:left="284" w:hanging="284"/>
        <w:textAlignment w:val="baseline"/>
        <w:rPr>
          <w:bCs/>
          <w:iCs/>
        </w:rPr>
      </w:pPr>
      <w:r>
        <w:t xml:space="preserve">Jest rozczarowany tym, że UE nie dysponuje jeszcze </w:t>
      </w:r>
      <w:r>
        <w:rPr>
          <w:b/>
          <w:bCs/>
        </w:rPr>
        <w:t xml:space="preserve">strategią dotyczącą </w:t>
      </w:r>
      <w:proofErr w:type="spellStart"/>
      <w:r>
        <w:rPr>
          <w:b/>
          <w:bCs/>
        </w:rPr>
        <w:t>biogospodarki</w:t>
      </w:r>
      <w:proofErr w:type="spellEnd"/>
      <w:r>
        <w:t xml:space="preserve"> ani aktem w sprawie </w:t>
      </w:r>
      <w:r>
        <w:rPr>
          <w:b/>
        </w:rPr>
        <w:t>biotechnologii,</w:t>
      </w:r>
      <w:r>
        <w:t xml:space="preserve"> i uważa, że takie przepisy są pilnie potrzebne ze względu na sytuację na świecie.</w:t>
      </w:r>
    </w:p>
    <w:p w:rsidRPr="00CE7004" w:rsidR="00CE7004" w:rsidP="0088361D" w:rsidRDefault="00CE7004" w14:paraId="2907B1F0" w14:textId="77777777">
      <w:pPr>
        <w:widowControl w:val="0"/>
        <w:numPr>
          <w:ilvl w:val="0"/>
          <w:numId w:val="47"/>
        </w:numPr>
        <w:overflowPunct w:val="0"/>
        <w:autoSpaceDE w:val="0"/>
        <w:autoSpaceDN w:val="0"/>
        <w:adjustRightInd w:val="0"/>
        <w:ind w:left="284" w:hanging="284"/>
        <w:textAlignment w:val="baseline"/>
        <w:rPr>
          <w:bCs/>
          <w:iCs/>
        </w:rPr>
      </w:pPr>
      <w:r>
        <w:t xml:space="preserve">Proponuje, by </w:t>
      </w:r>
      <w:r>
        <w:rPr>
          <w:b/>
          <w:bCs/>
        </w:rPr>
        <w:t xml:space="preserve">strategia UE dotycząca </w:t>
      </w:r>
      <w:proofErr w:type="spellStart"/>
      <w:r>
        <w:rPr>
          <w:b/>
          <w:bCs/>
        </w:rPr>
        <w:t>biogospodarki</w:t>
      </w:r>
      <w:proofErr w:type="spellEnd"/>
      <w:r>
        <w:rPr>
          <w:b/>
          <w:bCs/>
        </w:rPr>
        <w:t xml:space="preserve"> opierała się na zintegrowanym podejściu sektorowym</w:t>
      </w:r>
      <w:r>
        <w:t xml:space="preserve"> obejmującym konkretne cele, w tym określała program badań na najbliższe 10 lat, wykaz umiejętności i wyraźną rolę społeczeństwa obywatelskiego.</w:t>
      </w:r>
    </w:p>
    <w:p w:rsidRPr="00CE7004" w:rsidR="00CE7004" w:rsidP="0088361D" w:rsidRDefault="00CE7004" w14:paraId="27420201" w14:textId="77777777">
      <w:pPr>
        <w:widowControl w:val="0"/>
        <w:numPr>
          <w:ilvl w:val="0"/>
          <w:numId w:val="47"/>
        </w:numPr>
        <w:overflowPunct w:val="0"/>
        <w:autoSpaceDE w:val="0"/>
        <w:autoSpaceDN w:val="0"/>
        <w:adjustRightInd w:val="0"/>
        <w:ind w:left="284" w:hanging="284"/>
        <w:textAlignment w:val="baseline"/>
        <w:rPr>
          <w:bCs/>
          <w:iCs/>
        </w:rPr>
      </w:pPr>
      <w:r>
        <w:t xml:space="preserve">Uważa, że należy rozważyć </w:t>
      </w:r>
      <w:r>
        <w:rPr>
          <w:b/>
          <w:bCs/>
        </w:rPr>
        <w:t>kodeks etyczny dla unijnych przedsiębiorstw i produktów wprowadzanych do obrotu w UE</w:t>
      </w:r>
      <w:r>
        <w:t xml:space="preserve"> i promować taki instrument na całym świecie.</w:t>
      </w:r>
    </w:p>
    <w:p w:rsidRPr="00CE7004" w:rsidR="00CE7004" w:rsidP="0088361D" w:rsidRDefault="00CE7004" w14:paraId="2A53B496" w14:textId="70C25AE8">
      <w:pPr>
        <w:widowControl w:val="0"/>
        <w:numPr>
          <w:ilvl w:val="0"/>
          <w:numId w:val="47"/>
        </w:numPr>
        <w:overflowPunct w:val="0"/>
        <w:autoSpaceDE w:val="0"/>
        <w:autoSpaceDN w:val="0"/>
        <w:adjustRightInd w:val="0"/>
        <w:ind w:left="284" w:hanging="284"/>
        <w:textAlignment w:val="baseline"/>
        <w:rPr>
          <w:bCs/>
          <w:iCs/>
        </w:rPr>
      </w:pPr>
      <w:r>
        <w:t xml:space="preserve">Twierdzi, że potrzebne są </w:t>
      </w:r>
      <w:r>
        <w:rPr>
          <w:b/>
          <w:bCs/>
        </w:rPr>
        <w:t>specjalne środki</w:t>
      </w:r>
      <w:r>
        <w:t xml:space="preserve"> w celu </w:t>
      </w:r>
      <w:r>
        <w:rPr>
          <w:b/>
          <w:bCs/>
        </w:rPr>
        <w:t>rozwijania kompetencji</w:t>
      </w:r>
      <w:r>
        <w:t xml:space="preserve"> i </w:t>
      </w:r>
      <w:r>
        <w:rPr>
          <w:b/>
          <w:bCs/>
        </w:rPr>
        <w:t>konsolidowania synergii</w:t>
      </w:r>
      <w:r>
        <w:t xml:space="preserve"> między zapotrzebowaniem na umiejętności z zakresu biotechnologii a potrzebami w</w:t>
      </w:r>
      <w:r w:rsidR="00CC7995">
        <w:t> </w:t>
      </w:r>
      <w:r>
        <w:t>zakresie bioprodukcji.</w:t>
      </w:r>
    </w:p>
    <w:p w:rsidRPr="00CE7004" w:rsidR="00CE7004" w:rsidP="0088361D" w:rsidRDefault="00CE7004" w14:paraId="68439843" w14:textId="452920F6">
      <w:pPr>
        <w:widowControl w:val="0"/>
        <w:numPr>
          <w:ilvl w:val="0"/>
          <w:numId w:val="47"/>
        </w:numPr>
        <w:overflowPunct w:val="0"/>
        <w:autoSpaceDE w:val="0"/>
        <w:autoSpaceDN w:val="0"/>
        <w:adjustRightInd w:val="0"/>
        <w:ind w:left="284" w:hanging="284"/>
        <w:textAlignment w:val="baseline"/>
        <w:rPr>
          <w:bCs/>
          <w:iCs/>
        </w:rPr>
      </w:pPr>
      <w:r>
        <w:t xml:space="preserve">Sugeruje, że rozwój biotechnologii i bioprodukcji w UE powinien obejmować </w:t>
      </w:r>
      <w:r>
        <w:rPr>
          <w:b/>
          <w:bCs/>
        </w:rPr>
        <w:t>wskaźniki sektorowe, partnerstwa publiczno-prywatne, międzysektorowy system badawczy, bazę danych zawierającą wykaz potencjalnych inwestorów, szybsze i mniej biurokratyczne procesy udzielania zezwoleń, doskonałą synergię z celami zrównoważonego rozwoju i</w:t>
      </w:r>
      <w:r w:rsidR="00CC7995">
        <w:rPr>
          <w:b/>
          <w:bCs/>
        </w:rPr>
        <w:t> </w:t>
      </w:r>
      <w:r>
        <w:rPr>
          <w:b/>
          <w:bCs/>
        </w:rPr>
        <w:t>proponowanym Niebieskim Ładem</w:t>
      </w:r>
      <w:r>
        <w:t xml:space="preserve">, specjalne i zharmonizowane </w:t>
      </w:r>
      <w:r>
        <w:rPr>
          <w:b/>
          <w:bCs/>
        </w:rPr>
        <w:t>normy europejskie i</w:t>
      </w:r>
      <w:r w:rsidR="00CC7995">
        <w:rPr>
          <w:b/>
          <w:bCs/>
        </w:rPr>
        <w:t> </w:t>
      </w:r>
      <w:r>
        <w:rPr>
          <w:b/>
          <w:bCs/>
        </w:rPr>
        <w:t>globalne</w:t>
      </w:r>
      <w:r>
        <w:t xml:space="preserve">, środki mające na celu zwiększenie </w:t>
      </w:r>
      <w:r>
        <w:rPr>
          <w:b/>
          <w:bCs/>
        </w:rPr>
        <w:t>wsparcia publicznego, zaufania i edukacji oraz większą jasność co do kompetencji krajowych i dzielonych</w:t>
      </w:r>
      <w:r>
        <w:t>.</w:t>
      </w:r>
    </w:p>
    <w:p w:rsidRPr="0012472C" w:rsidR="00CE7004" w:rsidP="00DF63B1" w:rsidRDefault="00CE7004" w14:paraId="04351DE8" w14:textId="68914E68">
      <w:pPr>
        <w:widowControl w:val="0"/>
        <w:numPr>
          <w:ilvl w:val="0"/>
          <w:numId w:val="47"/>
        </w:numPr>
        <w:overflowPunct w:val="0"/>
        <w:autoSpaceDE w:val="0"/>
        <w:autoSpaceDN w:val="0"/>
        <w:adjustRightInd w:val="0"/>
        <w:ind w:left="284" w:hanging="284"/>
        <w:textAlignment w:val="baseline"/>
        <w:rPr>
          <w:bCs/>
          <w:iCs/>
        </w:rPr>
      </w:pPr>
      <w:r>
        <w:t xml:space="preserve">Sugeruje, że </w:t>
      </w:r>
      <w:r>
        <w:rPr>
          <w:b/>
          <w:bCs/>
        </w:rPr>
        <w:t>biotechnologia i bioprodukcja w UE powinny być finansowane</w:t>
      </w:r>
      <w:r>
        <w:t xml:space="preserve"> z należytym uwzględnieniem </w:t>
      </w:r>
      <w:r>
        <w:rPr>
          <w:b/>
          <w:bCs/>
        </w:rPr>
        <w:t>opartego na synergii podejścia do Instrumentu na rzecz Odbudowy i</w:t>
      </w:r>
      <w:r w:rsidR="00CC7995">
        <w:rPr>
          <w:b/>
          <w:bCs/>
        </w:rPr>
        <w:t> </w:t>
      </w:r>
      <w:r>
        <w:rPr>
          <w:b/>
          <w:bCs/>
        </w:rPr>
        <w:t>Zwiększania Odporności (RRF), Platformy na rzecz technologii strategicznych dla Europy (STEP), Europejskiego Banku Inwestycyjnego (EBI) oraz polityki spójności</w:t>
      </w:r>
      <w:r>
        <w:t xml:space="preserve">. Uważa, że część środków uzyskanych z </w:t>
      </w:r>
      <w:r>
        <w:rPr>
          <w:b/>
          <w:bCs/>
        </w:rPr>
        <w:t>podatków na ochronę środowiska</w:t>
      </w:r>
      <w:r>
        <w:t xml:space="preserve"> powinna zostać </w:t>
      </w:r>
      <w:r>
        <w:rPr>
          <w:b/>
          <w:bCs/>
        </w:rPr>
        <w:t>przekierowana na finansowanie ekologicznych produktów biotechnologicznych</w:t>
      </w:r>
      <w:r>
        <w:t xml:space="preserve"> oraz że należy wykorzystać </w:t>
      </w:r>
      <w:r>
        <w:rPr>
          <w:b/>
          <w:bCs/>
        </w:rPr>
        <w:t>różnorodne i połączone źródła finansowe i fundusze</w:t>
      </w:r>
      <w:r>
        <w:t>, takie jak pożyczki, kapitał wysokiego ryzyka i fundusze publiczne.</w:t>
      </w:r>
    </w:p>
    <w:p w:rsidRPr="00CE7004" w:rsidR="00DF63B1" w:rsidP="0088361D" w:rsidRDefault="00DF63B1" w14:paraId="432B3C46" w14:textId="77777777">
      <w:pPr>
        <w:widowControl w:val="0"/>
        <w:overflowPunct w:val="0"/>
        <w:autoSpaceDE w:val="0"/>
        <w:autoSpaceDN w:val="0"/>
        <w:adjustRightInd w:val="0"/>
        <w:ind w:left="284"/>
        <w:textAlignment w:val="baseline"/>
        <w:rPr>
          <w:bCs/>
          <w:iCs/>
        </w:rPr>
      </w:pPr>
    </w:p>
    <w:tbl>
      <w:tblPr>
        <w:tblStyle w:val="TableGrid20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CE7004" w:rsidR="00CE7004" w:rsidTr="00D76388" w14:paraId="16FFED2A" w14:textId="77777777">
        <w:tc>
          <w:tcPr>
            <w:tcW w:w="1556" w:type="pct"/>
          </w:tcPr>
          <w:p w:rsidRPr="00CE7004" w:rsidR="00CE7004" w:rsidP="00CE7004" w:rsidRDefault="00CE7004" w14:paraId="04C8FF6A" w14:textId="77777777">
            <w:pPr>
              <w:overflowPunct w:val="0"/>
              <w:autoSpaceDE w:val="0"/>
              <w:autoSpaceDN w:val="0"/>
              <w:adjustRightInd w:val="0"/>
              <w:spacing w:line="240" w:lineRule="auto"/>
              <w:textAlignment w:val="baseline"/>
              <w:rPr>
                <w:i/>
              </w:rPr>
            </w:pPr>
            <w:r>
              <w:rPr>
                <w:b/>
                <w:i/>
              </w:rPr>
              <w:t>Kontakt</w:t>
            </w:r>
          </w:p>
        </w:tc>
        <w:tc>
          <w:tcPr>
            <w:tcW w:w="3444" w:type="pct"/>
          </w:tcPr>
          <w:p w:rsidRPr="00CE7004" w:rsidR="00CE7004" w:rsidP="00CE7004" w:rsidRDefault="00CE7004" w14:paraId="2DFB267A" w14:textId="77777777">
            <w:pPr>
              <w:overflowPunct w:val="0"/>
              <w:autoSpaceDE w:val="0"/>
              <w:autoSpaceDN w:val="0"/>
              <w:adjustRightInd w:val="0"/>
              <w:spacing w:line="240" w:lineRule="auto"/>
              <w:textAlignment w:val="baseline"/>
              <w:rPr>
                <w:b/>
                <w:bCs/>
                <w:i/>
              </w:rPr>
            </w:pPr>
            <w:r>
              <w:rPr>
                <w:b/>
                <w:i/>
              </w:rPr>
              <w:t>Marie-</w:t>
            </w:r>
            <w:proofErr w:type="spellStart"/>
            <w:r>
              <w:rPr>
                <w:b/>
                <w:i/>
              </w:rPr>
              <w:t>Laurence</w:t>
            </w:r>
            <w:proofErr w:type="spellEnd"/>
            <w:r>
              <w:rPr>
                <w:b/>
                <w:i/>
              </w:rPr>
              <w:t xml:space="preserve"> </w:t>
            </w:r>
            <w:proofErr w:type="spellStart"/>
            <w:r>
              <w:rPr>
                <w:b/>
                <w:i/>
              </w:rPr>
              <w:t>Drillon</w:t>
            </w:r>
            <w:proofErr w:type="spellEnd"/>
          </w:p>
        </w:tc>
      </w:tr>
      <w:tr w:rsidRPr="00CE7004" w:rsidR="00CE7004" w:rsidTr="00D76388" w14:paraId="16AB6C5E" w14:textId="77777777">
        <w:tc>
          <w:tcPr>
            <w:tcW w:w="1556" w:type="pct"/>
          </w:tcPr>
          <w:p w:rsidRPr="00CE7004" w:rsidR="00CE7004" w:rsidP="00CE7004" w:rsidRDefault="00CE7004" w14:paraId="733A2BBD" w14:textId="77777777">
            <w:pPr>
              <w:overflowPunct w:val="0"/>
              <w:autoSpaceDE w:val="0"/>
              <w:autoSpaceDN w:val="0"/>
              <w:adjustRightInd w:val="0"/>
              <w:spacing w:line="240" w:lineRule="auto"/>
              <w:textAlignment w:val="baseline"/>
              <w:rPr>
                <w:i/>
              </w:rPr>
            </w:pPr>
            <w:r>
              <w:rPr>
                <w:i/>
              </w:rPr>
              <w:t>Tel.:</w:t>
            </w:r>
          </w:p>
        </w:tc>
        <w:tc>
          <w:tcPr>
            <w:tcW w:w="3444" w:type="pct"/>
          </w:tcPr>
          <w:p w:rsidRPr="00CE7004" w:rsidR="00CE7004" w:rsidP="00CE7004" w:rsidRDefault="00CE7004" w14:paraId="19ACD671" w14:textId="77777777">
            <w:pPr>
              <w:overflowPunct w:val="0"/>
              <w:autoSpaceDE w:val="0"/>
              <w:autoSpaceDN w:val="0"/>
              <w:adjustRightInd w:val="0"/>
              <w:spacing w:line="240" w:lineRule="auto"/>
              <w:textAlignment w:val="baseline"/>
              <w:rPr>
                <w:i/>
              </w:rPr>
            </w:pPr>
            <w:r>
              <w:rPr>
                <w:i/>
              </w:rPr>
              <w:t>+32 25468320</w:t>
            </w:r>
          </w:p>
        </w:tc>
      </w:tr>
      <w:tr w:rsidRPr="00CE7004" w:rsidR="00CE7004" w:rsidTr="00D76388" w14:paraId="174E1647" w14:textId="77777777">
        <w:tc>
          <w:tcPr>
            <w:tcW w:w="1556" w:type="pct"/>
          </w:tcPr>
          <w:p w:rsidRPr="00CE7004" w:rsidR="00CE7004" w:rsidP="00CE7004" w:rsidRDefault="00CE7004" w14:paraId="49691848" w14:textId="77777777">
            <w:pPr>
              <w:overflowPunct w:val="0"/>
              <w:autoSpaceDE w:val="0"/>
              <w:autoSpaceDN w:val="0"/>
              <w:adjustRightInd w:val="0"/>
              <w:spacing w:line="240" w:lineRule="auto"/>
              <w:textAlignment w:val="baseline"/>
              <w:rPr>
                <w:i/>
              </w:rPr>
            </w:pPr>
            <w:r>
              <w:rPr>
                <w:i/>
              </w:rPr>
              <w:t>e-mail:</w:t>
            </w:r>
          </w:p>
        </w:tc>
        <w:tc>
          <w:tcPr>
            <w:tcW w:w="3444" w:type="pct"/>
          </w:tcPr>
          <w:p w:rsidRPr="00CE7004" w:rsidR="00CE7004" w:rsidP="00CE7004" w:rsidRDefault="00EE19DE" w14:paraId="5FD55C98" w14:textId="77777777">
            <w:pPr>
              <w:overflowPunct w:val="0"/>
              <w:autoSpaceDE w:val="0"/>
              <w:autoSpaceDN w:val="0"/>
              <w:adjustRightInd w:val="0"/>
              <w:spacing w:line="240" w:lineRule="auto"/>
              <w:textAlignment w:val="baseline"/>
              <w:rPr>
                <w:i/>
              </w:rPr>
            </w:pPr>
            <w:hyperlink w:history="1" r:id="rId40">
              <w:r w:rsidR="000B64C3">
                <w:rPr>
                  <w:i/>
                  <w:color w:val="0000FF"/>
                  <w:u w:val="single"/>
                </w:rPr>
                <w:t>Marie-Laurence.Drillon@eesc.europa.eu</w:t>
              </w:r>
            </w:hyperlink>
          </w:p>
        </w:tc>
      </w:tr>
    </w:tbl>
    <w:p w:rsidR="0018585A" w:rsidP="00520680" w:rsidRDefault="0018585A" w14:paraId="53E51CD5" w14:textId="77777777">
      <w:pPr>
        <w:overflowPunct w:val="0"/>
        <w:autoSpaceDE w:val="0"/>
        <w:autoSpaceDN w:val="0"/>
        <w:adjustRightInd w:val="0"/>
        <w:jc w:val="left"/>
        <w:textAlignment w:val="baseline"/>
        <w:rPr>
          <w:lang w:val="nl-BE"/>
        </w:rPr>
      </w:pPr>
    </w:p>
    <w:p w:rsidRPr="00D742A4" w:rsidR="00D742A4" w:rsidP="0088361D" w:rsidRDefault="00FF64D0" w14:paraId="729EE277" w14:textId="23F6036A">
      <w:pPr>
        <w:pStyle w:val="ListParagraph"/>
        <w:widowControl w:val="0"/>
        <w:numPr>
          <w:ilvl w:val="0"/>
          <w:numId w:val="13"/>
        </w:numPr>
        <w:tabs>
          <w:tab w:val="center" w:pos="284"/>
        </w:tabs>
        <w:overflowPunct w:val="0"/>
        <w:autoSpaceDE w:val="0"/>
        <w:autoSpaceDN w:val="0"/>
        <w:adjustRightInd w:val="0"/>
        <w:ind w:left="266" w:hanging="408"/>
        <w:textAlignment w:val="baseline"/>
        <w:rPr>
          <w:rFonts w:eastAsiaTheme="minorHAnsi"/>
          <w:b/>
          <w:i/>
          <w:iCs/>
          <w:sz w:val="28"/>
          <w:szCs w:val="28"/>
        </w:rPr>
      </w:pPr>
      <w:r>
        <w:rPr>
          <w:b/>
          <w:i/>
          <w:sz w:val="28"/>
        </w:rPr>
        <w:lastRenderedPageBreak/>
        <w:tab/>
      </w:r>
      <w:hyperlink w:history="1" r:id="rId41">
        <w:r>
          <w:rPr>
            <w:b/>
            <w:i/>
            <w:color w:val="0000FF"/>
            <w:sz w:val="28"/>
            <w:u w:val="single"/>
          </w:rPr>
          <w:t>Paliwa niskoemisyjne i odnawialne</w:t>
        </w:r>
      </w:hyperlink>
      <w:r>
        <w:rPr>
          <w:b/>
          <w:i/>
          <w:color w:val="0000FF"/>
          <w:sz w:val="28"/>
          <w:u w:val="single"/>
        </w:rPr>
        <w:t>: budowanie potencjału przemysłu europejskiego w zakresie dekarbonizacji sektora lotnictwa i gospodarki morskiej na rzecz europejskiej autonomii</w:t>
      </w:r>
    </w:p>
    <w:p w:rsidRPr="00D742A4" w:rsidR="00D742A4" w:rsidP="00D742A4" w:rsidRDefault="00D742A4" w14:paraId="5462D4FB" w14:textId="77777777">
      <w:pPr>
        <w:widowControl w:val="0"/>
        <w:tabs>
          <w:tab w:val="center" w:pos="284"/>
        </w:tabs>
        <w:overflowPunct w:val="0"/>
        <w:autoSpaceDE w:val="0"/>
        <w:autoSpaceDN w:val="0"/>
        <w:adjustRightInd w:val="0"/>
        <w:textAlignment w:val="baseline"/>
        <w:rPr>
          <w:rFonts w:eastAsiaTheme="minorHAnsi"/>
          <w:b/>
          <w:lang w:val="en-US"/>
        </w:rPr>
      </w:pPr>
    </w:p>
    <w:p w:rsidRPr="0088361D" w:rsidR="00D742A4" w:rsidP="00D742A4" w:rsidRDefault="00D742A4" w14:paraId="6E9194CC" w14:textId="77777777">
      <w:pPr>
        <w:widowControl w:val="0"/>
        <w:tabs>
          <w:tab w:val="left" w:pos="1843"/>
        </w:tabs>
        <w:overflowPunct w:val="0"/>
        <w:autoSpaceDE w:val="0"/>
        <w:autoSpaceDN w:val="0"/>
        <w:adjustRightInd w:val="0"/>
        <w:textAlignment w:val="baseline"/>
        <w:rPr>
          <w:rFonts w:eastAsiaTheme="minorHAnsi"/>
          <w:b/>
          <w:bCs/>
          <w:sz w:val="20"/>
          <w:szCs w:val="20"/>
        </w:rPr>
      </w:pPr>
      <w:r>
        <w:rPr>
          <w:b/>
          <w:sz w:val="20"/>
        </w:rPr>
        <w:t xml:space="preserve">Sprawozdawca </w:t>
      </w:r>
      <w:r>
        <w:rPr>
          <w:b/>
          <w:sz w:val="20"/>
        </w:rPr>
        <w:tab/>
      </w:r>
      <w:proofErr w:type="spellStart"/>
      <w:r>
        <w:rPr>
          <w:sz w:val="20"/>
        </w:rPr>
        <w:t>Anastasis</w:t>
      </w:r>
      <w:proofErr w:type="spellEnd"/>
      <w:r>
        <w:rPr>
          <w:sz w:val="20"/>
        </w:rPr>
        <w:t xml:space="preserve"> YIAPANIS (Grupa Organizacji Społeczeństwa Obywatelskiego – CY)</w:t>
      </w:r>
    </w:p>
    <w:p w:rsidRPr="0088361D" w:rsidR="00D742A4" w:rsidP="00D742A4" w:rsidRDefault="00D742A4" w14:paraId="23F9DD20" w14:textId="77777777">
      <w:pPr>
        <w:widowControl w:val="0"/>
        <w:tabs>
          <w:tab w:val="left" w:pos="1843"/>
        </w:tabs>
        <w:overflowPunct w:val="0"/>
        <w:autoSpaceDE w:val="0"/>
        <w:autoSpaceDN w:val="0"/>
        <w:adjustRightInd w:val="0"/>
        <w:textAlignment w:val="baseline"/>
        <w:rPr>
          <w:rFonts w:eastAsiaTheme="minorHAnsi"/>
          <w:sz w:val="20"/>
          <w:szCs w:val="20"/>
        </w:rPr>
      </w:pPr>
      <w:proofErr w:type="spellStart"/>
      <w:r>
        <w:rPr>
          <w:b/>
          <w:sz w:val="20"/>
        </w:rPr>
        <w:t>Współsprawozdawca</w:t>
      </w:r>
      <w:proofErr w:type="spellEnd"/>
      <w:r>
        <w:rPr>
          <w:b/>
          <w:sz w:val="20"/>
        </w:rPr>
        <w:tab/>
      </w:r>
      <w:proofErr w:type="spellStart"/>
      <w:r>
        <w:rPr>
          <w:sz w:val="20"/>
        </w:rPr>
        <w:t>Franck</w:t>
      </w:r>
      <w:proofErr w:type="spellEnd"/>
      <w:r>
        <w:rPr>
          <w:sz w:val="20"/>
        </w:rPr>
        <w:t xml:space="preserve"> UHLIG (Kat. 2 – FR)</w:t>
      </w:r>
    </w:p>
    <w:p w:rsidRPr="0088361D" w:rsidR="00D742A4" w:rsidP="00D742A4" w:rsidRDefault="00D742A4" w14:paraId="43A4D836" w14:textId="77777777">
      <w:pPr>
        <w:widowControl w:val="0"/>
        <w:tabs>
          <w:tab w:val="left" w:pos="1843"/>
        </w:tabs>
        <w:overflowPunct w:val="0"/>
        <w:autoSpaceDE w:val="0"/>
        <w:autoSpaceDN w:val="0"/>
        <w:adjustRightInd w:val="0"/>
        <w:textAlignment w:val="baseline"/>
        <w:rPr>
          <w:rFonts w:eastAsiaTheme="minorHAnsi"/>
          <w:b/>
          <w:bCs/>
          <w:sz w:val="20"/>
          <w:szCs w:val="20"/>
          <w:lang w:val="fr-FR"/>
        </w:rPr>
      </w:pPr>
    </w:p>
    <w:p w:rsidRPr="0088361D" w:rsidR="00D742A4" w:rsidP="00D742A4" w:rsidRDefault="00D742A4" w14:paraId="26076350" w14:textId="77777777">
      <w:pPr>
        <w:widowControl w:val="0"/>
        <w:tabs>
          <w:tab w:val="left" w:pos="1843"/>
        </w:tabs>
        <w:overflowPunct w:val="0"/>
        <w:autoSpaceDE w:val="0"/>
        <w:autoSpaceDN w:val="0"/>
        <w:adjustRightInd w:val="0"/>
        <w:textAlignment w:val="baseline"/>
        <w:rPr>
          <w:rFonts w:eastAsiaTheme="minorHAnsi"/>
          <w:b/>
          <w:bCs/>
          <w:sz w:val="20"/>
          <w:szCs w:val="20"/>
        </w:rPr>
      </w:pPr>
      <w:r>
        <w:rPr>
          <w:b/>
          <w:sz w:val="20"/>
        </w:rPr>
        <w:t>Dokumenty źródłowe</w:t>
      </w:r>
      <w:r>
        <w:rPr>
          <w:b/>
          <w:sz w:val="20"/>
        </w:rPr>
        <w:tab/>
      </w:r>
      <w:r>
        <w:rPr>
          <w:sz w:val="20"/>
        </w:rPr>
        <w:t>Opinia z inicjatywy własnej</w:t>
      </w:r>
    </w:p>
    <w:p w:rsidRPr="00D742A4" w:rsidR="00D742A4" w:rsidP="00D742A4" w:rsidRDefault="00D742A4" w14:paraId="0479C9C9" w14:textId="77777777">
      <w:pPr>
        <w:widowControl w:val="0"/>
        <w:tabs>
          <w:tab w:val="left" w:pos="1843"/>
        </w:tabs>
        <w:overflowPunct w:val="0"/>
        <w:autoSpaceDE w:val="0"/>
        <w:autoSpaceDN w:val="0"/>
        <w:adjustRightInd w:val="0"/>
        <w:textAlignment w:val="baseline"/>
        <w:rPr>
          <w:rFonts w:eastAsiaTheme="minorHAnsi"/>
        </w:rPr>
      </w:pPr>
      <w:r>
        <w:rPr>
          <w:b/>
          <w:sz w:val="20"/>
        </w:rPr>
        <w:tab/>
      </w:r>
      <w:r>
        <w:rPr>
          <w:sz w:val="20"/>
        </w:rPr>
        <w:t>EESC-2024-00735-00-00-AC</w:t>
      </w:r>
    </w:p>
    <w:p w:rsidRPr="00D742A4" w:rsidR="00D742A4" w:rsidP="00D742A4" w:rsidRDefault="00D742A4" w14:paraId="4F3ECFB4" w14:textId="40855988">
      <w:pPr>
        <w:widowControl w:val="0"/>
        <w:tabs>
          <w:tab w:val="left" w:pos="1843"/>
        </w:tabs>
        <w:overflowPunct w:val="0"/>
        <w:autoSpaceDE w:val="0"/>
        <w:autoSpaceDN w:val="0"/>
        <w:adjustRightInd w:val="0"/>
        <w:textAlignment w:val="baseline"/>
        <w:rPr>
          <w:rFonts w:eastAsiaTheme="minorHAnsi"/>
          <w:b/>
          <w:lang w:val="en-US"/>
        </w:rPr>
      </w:pPr>
    </w:p>
    <w:p w:rsidRPr="00D742A4" w:rsidR="00D742A4" w:rsidP="00D742A4" w:rsidRDefault="00D742A4" w14:paraId="37B30242" w14:textId="77777777">
      <w:pPr>
        <w:keepNext/>
        <w:keepLines/>
        <w:spacing w:after="160" w:line="259" w:lineRule="auto"/>
        <w:ind w:left="142" w:hanging="142"/>
        <w:jc w:val="left"/>
        <w:rPr>
          <w:rFonts w:eastAsiaTheme="minorHAnsi"/>
          <w:b/>
        </w:rPr>
      </w:pPr>
      <w:r>
        <w:rPr>
          <w:b/>
        </w:rPr>
        <w:t>Główne punkty</w:t>
      </w:r>
    </w:p>
    <w:p w:rsidRPr="00D742A4" w:rsidR="00D742A4" w:rsidP="00D742A4" w:rsidRDefault="00D742A4" w14:paraId="696A7DF5" w14:textId="77777777">
      <w:pPr>
        <w:spacing w:after="160" w:line="259" w:lineRule="auto"/>
        <w:jc w:val="left"/>
        <w:rPr>
          <w:rFonts w:eastAsiaTheme="minorHAnsi"/>
        </w:rPr>
      </w:pPr>
      <w:r>
        <w:t>EKES</w:t>
      </w:r>
    </w:p>
    <w:p w:rsidRPr="00D742A4" w:rsidR="00D742A4" w:rsidP="0088361D" w:rsidRDefault="00D742A4" w14:paraId="356F13FE" w14:textId="77777777">
      <w:pPr>
        <w:numPr>
          <w:ilvl w:val="0"/>
          <w:numId w:val="48"/>
        </w:numPr>
        <w:spacing w:after="160" w:line="259" w:lineRule="auto"/>
        <w:ind w:left="426" w:hanging="426"/>
        <w:contextualSpacing/>
        <w:rPr>
          <w:rFonts w:eastAsiaTheme="minorHAnsi"/>
        </w:rPr>
      </w:pPr>
      <w:r>
        <w:t xml:space="preserve">Stwierdza, że </w:t>
      </w:r>
      <w:r>
        <w:rPr>
          <w:b/>
        </w:rPr>
        <w:t>brakuje zachęt</w:t>
      </w:r>
      <w:r>
        <w:t xml:space="preserve"> do opracowywania projektów w zakresie produkcji paliw niskoemisyjnych i odnawialnych. Wskazuje, że </w:t>
      </w:r>
      <w:r>
        <w:rPr>
          <w:b/>
        </w:rPr>
        <w:t>wysokie koszty produkcji i niepewność co do dostępności zrównoważonych paliw</w:t>
      </w:r>
      <w:r>
        <w:t xml:space="preserve"> są nadal istotną przeszkodą utrudniającą ich powszechne wprowadzenie. </w:t>
      </w:r>
    </w:p>
    <w:p w:rsidRPr="00D742A4" w:rsidR="00D742A4" w:rsidP="0088361D" w:rsidRDefault="00D742A4" w14:paraId="015ED803" w14:textId="77777777">
      <w:pPr>
        <w:numPr>
          <w:ilvl w:val="0"/>
          <w:numId w:val="48"/>
        </w:numPr>
        <w:spacing w:after="160" w:line="259" w:lineRule="auto"/>
        <w:ind w:left="426" w:hanging="426"/>
        <w:contextualSpacing/>
        <w:rPr>
          <w:rFonts w:eastAsiaTheme="minorHAnsi"/>
        </w:rPr>
      </w:pPr>
      <w:r>
        <w:t xml:space="preserve">Uważa, że </w:t>
      </w:r>
      <w:r>
        <w:rPr>
          <w:b/>
        </w:rPr>
        <w:t>brak produkcji zrównoważonych paliw w UE miałby negatywny wpływ na autonomię strategiczną</w:t>
      </w:r>
      <w:r>
        <w:t>.</w:t>
      </w:r>
    </w:p>
    <w:p w:rsidRPr="00D742A4" w:rsidR="00D742A4" w:rsidP="0088361D" w:rsidRDefault="00D742A4" w14:paraId="2E918B4F" w14:textId="77777777">
      <w:pPr>
        <w:numPr>
          <w:ilvl w:val="0"/>
          <w:numId w:val="48"/>
        </w:numPr>
        <w:spacing w:after="160" w:line="259" w:lineRule="auto"/>
        <w:ind w:left="426" w:hanging="426"/>
        <w:contextualSpacing/>
        <w:rPr>
          <w:rFonts w:eastAsiaTheme="minorHAnsi"/>
        </w:rPr>
      </w:pPr>
      <w:r>
        <w:t xml:space="preserve">Podkreśla potrzebę </w:t>
      </w:r>
      <w:r>
        <w:rPr>
          <w:b/>
        </w:rPr>
        <w:t>ochrony i zwiększenia konkurencyjności przemysłu UE</w:t>
      </w:r>
      <w:r>
        <w:t xml:space="preserve"> w obliczu ostrej konkurencji światowej. </w:t>
      </w:r>
    </w:p>
    <w:p w:rsidRPr="00D742A4" w:rsidR="00D742A4" w:rsidP="0088361D" w:rsidRDefault="00D742A4" w14:paraId="209A3396" w14:textId="77777777">
      <w:pPr>
        <w:numPr>
          <w:ilvl w:val="0"/>
          <w:numId w:val="48"/>
        </w:numPr>
        <w:spacing w:after="160" w:line="259" w:lineRule="auto"/>
        <w:ind w:left="426" w:hanging="426"/>
        <w:contextualSpacing/>
        <w:rPr>
          <w:rFonts w:eastAsiaTheme="minorHAnsi"/>
          <w:b/>
          <w:bCs/>
        </w:rPr>
      </w:pPr>
      <w:r>
        <w:t xml:space="preserve">Opowiada się za </w:t>
      </w:r>
      <w:r>
        <w:rPr>
          <w:b/>
        </w:rPr>
        <w:t>kompleksowym planem działania na rzecz zwiększenia rozpowszechnienia zrównoważonych paliw lotniczych (SAF)</w:t>
      </w:r>
      <w:r>
        <w:t>.</w:t>
      </w:r>
    </w:p>
    <w:p w:rsidRPr="00D742A4" w:rsidR="00D742A4" w:rsidP="0088361D" w:rsidRDefault="00D742A4" w14:paraId="56B9D752" w14:textId="77777777">
      <w:pPr>
        <w:numPr>
          <w:ilvl w:val="0"/>
          <w:numId w:val="48"/>
        </w:numPr>
        <w:spacing w:after="160" w:line="259" w:lineRule="auto"/>
        <w:ind w:left="426" w:hanging="426"/>
        <w:contextualSpacing/>
        <w:rPr>
          <w:rFonts w:eastAsiaTheme="minorHAnsi"/>
          <w:b/>
          <w:bCs/>
        </w:rPr>
      </w:pPr>
      <w:r>
        <w:t xml:space="preserve">Sądzi, że </w:t>
      </w:r>
      <w:r>
        <w:rPr>
          <w:b/>
        </w:rPr>
        <w:t>dla przemysłu morskiego</w:t>
      </w:r>
      <w:r>
        <w:t xml:space="preserve"> wyzwaniem jest </w:t>
      </w:r>
      <w:r>
        <w:rPr>
          <w:b/>
        </w:rPr>
        <w:t>stworzenie infrastruktury bunkrowania w portach na całym świecie w celu zaopatrywania statków w paliwa alternatywne</w:t>
      </w:r>
      <w:r>
        <w:t>.</w:t>
      </w:r>
    </w:p>
    <w:p w:rsidRPr="00D742A4" w:rsidR="00D742A4" w:rsidP="0088361D" w:rsidRDefault="00D742A4" w14:paraId="32865479" w14:textId="77777777">
      <w:pPr>
        <w:numPr>
          <w:ilvl w:val="0"/>
          <w:numId w:val="48"/>
        </w:numPr>
        <w:spacing w:after="160" w:line="259" w:lineRule="auto"/>
        <w:ind w:left="426" w:hanging="426"/>
        <w:contextualSpacing/>
        <w:rPr>
          <w:rFonts w:eastAsiaTheme="minorHAnsi"/>
        </w:rPr>
      </w:pPr>
      <w:r>
        <w:t xml:space="preserve">Zwraca uwagę na </w:t>
      </w:r>
      <w:r>
        <w:rPr>
          <w:b/>
        </w:rPr>
        <w:t>ryzyko niedoboru dostępnych substratów oraz odpowiedniej ilości energii zdekarbonizowanej</w:t>
      </w:r>
      <w:r>
        <w:t>, które są konieczne do zapewnienia przejścia na zrównoważoną produkcję paliw.</w:t>
      </w:r>
    </w:p>
    <w:p w:rsidRPr="00D742A4" w:rsidR="00D742A4" w:rsidP="0088361D" w:rsidRDefault="00D742A4" w14:paraId="6663627F" w14:textId="192081F9">
      <w:pPr>
        <w:numPr>
          <w:ilvl w:val="0"/>
          <w:numId w:val="48"/>
        </w:numPr>
        <w:spacing w:after="160" w:line="259" w:lineRule="auto"/>
        <w:ind w:left="426" w:hanging="426"/>
        <w:contextualSpacing/>
        <w:rPr>
          <w:rFonts w:eastAsiaTheme="minorHAnsi"/>
        </w:rPr>
      </w:pPr>
      <w:r>
        <w:t xml:space="preserve">Wzywa do </w:t>
      </w:r>
      <w:r>
        <w:rPr>
          <w:b/>
        </w:rPr>
        <w:t>stworzenia spójnych warunków regulacyjnych pozwalających odblokować inwestycje, w tym do zapewnienia zachęt, by pobudzić natychmiastową produkcję paliw o</w:t>
      </w:r>
      <w:r w:rsidR="00F04478">
        <w:rPr>
          <w:b/>
        </w:rPr>
        <w:t> </w:t>
      </w:r>
      <w:r>
        <w:rPr>
          <w:b/>
        </w:rPr>
        <w:t>mniejszym śladzie węglowym oraz stworzyć konkretny rynek dla tych paliw</w:t>
      </w:r>
      <w:r>
        <w:t>.</w:t>
      </w:r>
    </w:p>
    <w:p w:rsidRPr="00D742A4" w:rsidR="00D742A4" w:rsidP="0088361D" w:rsidRDefault="00D742A4" w14:paraId="0DC6995A" w14:textId="77777777">
      <w:pPr>
        <w:numPr>
          <w:ilvl w:val="0"/>
          <w:numId w:val="48"/>
        </w:numPr>
        <w:spacing w:after="160" w:line="259" w:lineRule="auto"/>
        <w:ind w:left="426" w:hanging="426"/>
        <w:contextualSpacing/>
        <w:rPr>
          <w:rFonts w:eastAsiaTheme="minorHAnsi"/>
        </w:rPr>
      </w:pPr>
      <w:r>
        <w:t xml:space="preserve">Proponuje </w:t>
      </w:r>
      <w:r>
        <w:rPr>
          <w:b/>
        </w:rPr>
        <w:t>dostosowanie opodatkowania do wpływu każdego paliwa na klimat</w:t>
      </w:r>
      <w:r>
        <w:t>.</w:t>
      </w:r>
    </w:p>
    <w:p w:rsidRPr="00D742A4" w:rsidR="00D742A4" w:rsidP="0088361D" w:rsidRDefault="00D742A4" w14:paraId="16F5C4CD" w14:textId="77777777">
      <w:pPr>
        <w:numPr>
          <w:ilvl w:val="0"/>
          <w:numId w:val="48"/>
        </w:numPr>
        <w:spacing w:after="160" w:line="259" w:lineRule="auto"/>
        <w:ind w:left="426" w:hanging="426"/>
        <w:contextualSpacing/>
        <w:rPr>
          <w:rFonts w:asciiTheme="minorHAnsi" w:hAnsiTheme="minorHAnsi" w:eastAsiaTheme="minorHAnsi" w:cstheme="minorBidi"/>
        </w:rPr>
      </w:pPr>
      <w:r>
        <w:t xml:space="preserve">Wyraża rozczarowanie, że </w:t>
      </w:r>
      <w:r>
        <w:rPr>
          <w:b/>
        </w:rPr>
        <w:t>w ramach dotacji i subsydiów UE nie kładzie się wystarczającego nacisku na infrastrukturę produkcji paliw niskoemisyjnych i odnawialnych dla sektorów lotniczego i morskiego</w:t>
      </w:r>
      <w:r>
        <w:t xml:space="preserve">. </w:t>
      </w:r>
    </w:p>
    <w:p w:rsidRPr="00D742A4" w:rsidR="00D742A4" w:rsidP="0088361D" w:rsidRDefault="00D742A4" w14:paraId="6D8B9B4D" w14:textId="77777777">
      <w:pPr>
        <w:numPr>
          <w:ilvl w:val="0"/>
          <w:numId w:val="48"/>
        </w:numPr>
        <w:spacing w:after="160" w:line="259" w:lineRule="auto"/>
        <w:ind w:left="426" w:hanging="426"/>
        <w:contextualSpacing/>
        <w:rPr>
          <w:rFonts w:eastAsiaTheme="minorHAnsi"/>
        </w:rPr>
      </w:pPr>
      <w:r>
        <w:t xml:space="preserve">Sugeruje, że </w:t>
      </w:r>
      <w:r>
        <w:rPr>
          <w:b/>
        </w:rPr>
        <w:t>badania i rozwój mają zasadnicze znaczenie dla zmniejszenia kosztów</w:t>
      </w:r>
      <w:r>
        <w:t xml:space="preserve"> zaawansowanych technologii niskoemisyjnych.</w:t>
      </w:r>
      <w:r>
        <w:rPr>
          <w:b/>
        </w:rPr>
        <w:t xml:space="preserve"> </w:t>
      </w:r>
    </w:p>
    <w:p w:rsidRPr="00D742A4" w:rsidR="00D742A4" w:rsidP="0088361D" w:rsidRDefault="00D742A4" w14:paraId="1FD1C6F8" w14:textId="61D7EAC3">
      <w:pPr>
        <w:numPr>
          <w:ilvl w:val="0"/>
          <w:numId w:val="48"/>
        </w:numPr>
        <w:spacing w:after="160" w:line="259" w:lineRule="auto"/>
        <w:ind w:left="426" w:hanging="426"/>
        <w:contextualSpacing/>
        <w:rPr>
          <w:rFonts w:eastAsiaTheme="minorHAnsi"/>
        </w:rPr>
      </w:pPr>
      <w:r>
        <w:t xml:space="preserve">Apeluje, by opracowano </w:t>
      </w:r>
      <w:r>
        <w:rPr>
          <w:b/>
        </w:rPr>
        <w:t>kompleksową strategię czystej transformacji całych przemysłowych łańcuchów wartości, obejmującą wodór, zwiększenie skali produkcji biopaliw oraz rozwijanie paliw syntetycznych, a także by kontynuowano partnerstwa sektorowe w</w:t>
      </w:r>
      <w:r w:rsidR="00F04478">
        <w:rPr>
          <w:b/>
        </w:rPr>
        <w:t> </w:t>
      </w:r>
      <w:r>
        <w:rPr>
          <w:b/>
        </w:rPr>
        <w:t>ramach programu będącego następcą programu „Horyzont Europa”.</w:t>
      </w:r>
    </w:p>
    <w:p w:rsidR="00D742A4" w:rsidP="0088361D" w:rsidRDefault="00D742A4" w14:paraId="4DCAE472" w14:textId="0C53AB85">
      <w:pPr>
        <w:numPr>
          <w:ilvl w:val="0"/>
          <w:numId w:val="48"/>
        </w:numPr>
        <w:spacing w:after="160" w:line="259" w:lineRule="auto"/>
        <w:ind w:left="426" w:hanging="426"/>
        <w:contextualSpacing/>
        <w:rPr>
          <w:rFonts w:eastAsiaTheme="minorHAnsi"/>
        </w:rPr>
      </w:pPr>
      <w:r>
        <w:t xml:space="preserve">Stwierdza, że niezbędne są </w:t>
      </w:r>
      <w:r>
        <w:rPr>
          <w:b/>
        </w:rPr>
        <w:t>programy rozwoju umiejętności,</w:t>
      </w:r>
      <w:r>
        <w:t xml:space="preserve"> w tym szkolenia zawodowe i</w:t>
      </w:r>
      <w:r w:rsidR="00F04478">
        <w:t> </w:t>
      </w:r>
      <w:r>
        <w:t xml:space="preserve">wsparcie w zakresie zmiany </w:t>
      </w:r>
      <w:proofErr w:type="spellStart"/>
      <w:r>
        <w:t>zatrudnienia.Ponownie</w:t>
      </w:r>
      <w:proofErr w:type="spellEnd"/>
      <w:r>
        <w:t xml:space="preserve"> zaznacza, że </w:t>
      </w:r>
      <w:r>
        <w:rPr>
          <w:b/>
        </w:rPr>
        <w:t>pierwszorzędną kwestią jest zapewnienie wysokich norm bezpieczeństwa i higieny pracy</w:t>
      </w:r>
      <w:r>
        <w:t xml:space="preserve">. </w:t>
      </w:r>
    </w:p>
    <w:p w:rsidRPr="00D742A4" w:rsidR="005864FB" w:rsidP="005864FB" w:rsidRDefault="005864FB" w14:paraId="5C987679" w14:textId="77777777">
      <w:pPr>
        <w:spacing w:after="160" w:line="259" w:lineRule="auto"/>
        <w:ind w:left="360"/>
        <w:contextualSpacing/>
        <w:jc w:val="left"/>
        <w:rPr>
          <w:rFonts w:eastAsiaTheme="minorHAnsi"/>
        </w:rPr>
      </w:pPr>
    </w:p>
    <w:tbl>
      <w:tblPr>
        <w:tblStyle w:val="TableGrid207"/>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92"/>
        <w:gridCol w:w="3039"/>
      </w:tblGrid>
      <w:tr w:rsidRPr="00D742A4" w:rsidR="00D742A4" w:rsidTr="00D76388" w14:paraId="327B48D9" w14:textId="77777777">
        <w:tc>
          <w:tcPr>
            <w:tcW w:w="3998" w:type="pct"/>
          </w:tcPr>
          <w:p w:rsidRPr="0088361D" w:rsidR="00D742A4" w:rsidP="0088361D" w:rsidRDefault="00D742A4" w14:paraId="7BAAC6C5" w14:textId="77777777">
            <w:pPr>
              <w:spacing w:line="240" w:lineRule="auto"/>
              <w:jc w:val="left"/>
              <w:rPr>
                <w:rFonts w:eastAsiaTheme="minorHAnsi"/>
                <w:i/>
              </w:rPr>
            </w:pPr>
            <w:r>
              <w:rPr>
                <w:b/>
                <w:i/>
              </w:rPr>
              <w:t>Kontakt</w:t>
            </w:r>
          </w:p>
        </w:tc>
        <w:tc>
          <w:tcPr>
            <w:tcW w:w="1002" w:type="pct"/>
            <w:tcBorders>
              <w:left w:val="nil"/>
            </w:tcBorders>
          </w:tcPr>
          <w:p w:rsidRPr="0088361D" w:rsidR="00D742A4" w:rsidP="0088361D" w:rsidRDefault="00D742A4" w14:paraId="61988035" w14:textId="0600FF56">
            <w:pPr>
              <w:spacing w:line="240" w:lineRule="auto"/>
              <w:jc w:val="left"/>
              <w:rPr>
                <w:rFonts w:eastAsiaTheme="minorHAnsi"/>
                <w:i/>
              </w:rPr>
            </w:pPr>
            <w:r>
              <w:rPr>
                <w:i/>
              </w:rPr>
              <w:t xml:space="preserve">Adam </w:t>
            </w:r>
            <w:proofErr w:type="spellStart"/>
            <w:r>
              <w:rPr>
                <w:i/>
              </w:rPr>
              <w:t>Dorywalski</w:t>
            </w:r>
            <w:proofErr w:type="spellEnd"/>
          </w:p>
        </w:tc>
      </w:tr>
      <w:tr w:rsidRPr="00D742A4" w:rsidR="00D742A4" w:rsidTr="00D76388" w14:paraId="47170CFC" w14:textId="77777777">
        <w:tc>
          <w:tcPr>
            <w:tcW w:w="3998" w:type="pct"/>
          </w:tcPr>
          <w:p w:rsidRPr="0088361D" w:rsidR="00D742A4" w:rsidP="0088361D" w:rsidRDefault="00D742A4" w14:paraId="3EA66D45" w14:textId="77777777">
            <w:pPr>
              <w:spacing w:line="240" w:lineRule="auto"/>
              <w:jc w:val="left"/>
              <w:rPr>
                <w:rFonts w:eastAsiaTheme="minorHAnsi"/>
                <w:i/>
              </w:rPr>
            </w:pPr>
            <w:r>
              <w:rPr>
                <w:i/>
              </w:rPr>
              <w:t xml:space="preserve">Tel.: </w:t>
            </w:r>
          </w:p>
        </w:tc>
        <w:tc>
          <w:tcPr>
            <w:tcW w:w="1002" w:type="pct"/>
            <w:tcBorders>
              <w:left w:val="nil"/>
            </w:tcBorders>
          </w:tcPr>
          <w:p w:rsidRPr="0088361D" w:rsidR="00D742A4" w:rsidP="0088361D" w:rsidRDefault="00D742A4" w14:paraId="11BAD200" w14:textId="77777777">
            <w:pPr>
              <w:spacing w:line="240" w:lineRule="auto"/>
              <w:jc w:val="left"/>
              <w:rPr>
                <w:rFonts w:eastAsiaTheme="minorHAnsi"/>
                <w:i/>
              </w:rPr>
            </w:pPr>
            <w:r>
              <w:rPr>
                <w:i/>
              </w:rPr>
              <w:t>+32 25469397</w:t>
            </w:r>
          </w:p>
        </w:tc>
      </w:tr>
      <w:tr w:rsidRPr="00D742A4" w:rsidR="00D742A4" w:rsidTr="00D76388" w14:paraId="7DEA58F4" w14:textId="77777777">
        <w:tc>
          <w:tcPr>
            <w:tcW w:w="3998" w:type="pct"/>
          </w:tcPr>
          <w:p w:rsidRPr="0088361D" w:rsidR="00D742A4" w:rsidP="0088361D" w:rsidRDefault="00D742A4" w14:paraId="5A5A0838" w14:textId="77777777">
            <w:pPr>
              <w:spacing w:line="240" w:lineRule="auto"/>
              <w:jc w:val="left"/>
              <w:rPr>
                <w:rFonts w:eastAsiaTheme="minorHAnsi"/>
                <w:i/>
                <w:iCs/>
              </w:rPr>
            </w:pPr>
            <w:r>
              <w:rPr>
                <w:i/>
              </w:rPr>
              <w:t>e-mail:</w:t>
            </w:r>
          </w:p>
        </w:tc>
        <w:tc>
          <w:tcPr>
            <w:tcW w:w="1002" w:type="pct"/>
            <w:tcBorders>
              <w:left w:val="nil"/>
            </w:tcBorders>
          </w:tcPr>
          <w:p w:rsidRPr="0088361D" w:rsidR="00D742A4" w:rsidP="0088361D" w:rsidRDefault="00D742A4" w14:paraId="4AFA4308" w14:textId="77777777">
            <w:pPr>
              <w:spacing w:line="240" w:lineRule="auto"/>
              <w:jc w:val="left"/>
              <w:rPr>
                <w:rFonts w:eastAsiaTheme="minorHAnsi"/>
                <w:i/>
                <w:iCs/>
              </w:rPr>
            </w:pPr>
            <w:r>
              <w:rPr>
                <w:i/>
                <w:color w:val="0000FF"/>
                <w:u w:val="single"/>
              </w:rPr>
              <w:t>Adam.Dorywalski@eesc.europa.eu</w:t>
            </w:r>
          </w:p>
        </w:tc>
      </w:tr>
    </w:tbl>
    <w:p w:rsidR="00747EBB" w:rsidP="00AA63E5" w:rsidRDefault="00747EBB" w14:paraId="425E1CA4" w14:textId="77777777">
      <w:pPr>
        <w:widowControl w:val="0"/>
        <w:tabs>
          <w:tab w:val="center" w:pos="284"/>
        </w:tabs>
        <w:overflowPunct w:val="0"/>
        <w:autoSpaceDE w:val="0"/>
        <w:autoSpaceDN w:val="0"/>
        <w:adjustRightInd w:val="0"/>
        <w:spacing w:after="160" w:line="259" w:lineRule="auto"/>
        <w:ind w:left="927"/>
        <w:contextualSpacing/>
        <w:jc w:val="left"/>
        <w:textAlignment w:val="baseline"/>
        <w:rPr>
          <w:rFonts w:eastAsiaTheme="minorHAnsi"/>
          <w:b/>
          <w:bCs/>
          <w:i/>
          <w:iCs/>
          <w:sz w:val="28"/>
          <w:szCs w:val="28"/>
          <w:lang w:val="en-US"/>
        </w:rPr>
      </w:pPr>
    </w:p>
    <w:p w:rsidRPr="00747EBB" w:rsidR="00495F59" w:rsidP="001C703D" w:rsidRDefault="005A112C" w14:paraId="5F905652" w14:textId="652DC5FB">
      <w:pPr>
        <w:widowControl w:val="0"/>
        <w:numPr>
          <w:ilvl w:val="0"/>
          <w:numId w:val="27"/>
        </w:numPr>
        <w:overflowPunct w:val="0"/>
        <w:autoSpaceDE w:val="0"/>
        <w:autoSpaceDN w:val="0"/>
        <w:adjustRightInd w:val="0"/>
        <w:ind w:left="266" w:hanging="266"/>
        <w:textAlignment w:val="baseline"/>
        <w:rPr>
          <w:sz w:val="20"/>
          <w:szCs w:val="20"/>
        </w:rPr>
      </w:pPr>
      <w:r>
        <w:lastRenderedPageBreak/>
        <w:tab/>
      </w:r>
      <w:hyperlink w:history="1" r:id="rId42">
        <w:r>
          <w:rPr>
            <w:b/>
            <w:i/>
            <w:color w:val="0000FF"/>
            <w:sz w:val="28"/>
            <w:u w:val="single"/>
          </w:rPr>
          <w:t>Materiały zaawansowane na rzecz wiodącej pozycji w przemyśle</w:t>
        </w:r>
      </w:hyperlink>
      <w:r>
        <w:rPr>
          <w:b/>
          <w:i/>
          <w:color w:val="0000FF"/>
          <w:sz w:val="28"/>
          <w:u w:val="single"/>
        </w:rPr>
        <w:t xml:space="preserve"> </w:t>
      </w:r>
    </w:p>
    <w:p w:rsidR="00747EBB" w:rsidP="00495F59" w:rsidRDefault="00747EBB" w14:paraId="65F5A8CF" w14:textId="3F4C7675">
      <w:pPr>
        <w:widowControl w:val="0"/>
        <w:tabs>
          <w:tab w:val="center" w:pos="284"/>
        </w:tabs>
        <w:overflowPunct w:val="0"/>
        <w:autoSpaceDE w:val="0"/>
        <w:autoSpaceDN w:val="0"/>
        <w:adjustRightInd w:val="0"/>
        <w:ind w:left="284"/>
        <w:textAlignment w:val="baseline"/>
        <w:rPr>
          <w:b/>
          <w:sz w:val="16"/>
          <w:szCs w:val="16"/>
        </w:rPr>
      </w:pPr>
    </w:p>
    <w:p w:rsidRPr="00C13172" w:rsidR="00495F59" w:rsidP="001C703D" w:rsidRDefault="00495F59" w14:paraId="73694B34" w14:textId="77777777">
      <w:pPr>
        <w:widowControl w:val="0"/>
        <w:tabs>
          <w:tab w:val="center" w:pos="284"/>
        </w:tabs>
        <w:overflowPunct w:val="0"/>
        <w:autoSpaceDE w:val="0"/>
        <w:autoSpaceDN w:val="0"/>
        <w:adjustRightInd w:val="0"/>
        <w:ind w:left="284"/>
        <w:textAlignment w:val="baseline"/>
        <w:rPr>
          <w:b/>
          <w:sz w:val="16"/>
          <w:szCs w:val="16"/>
        </w:rPr>
      </w:pPr>
    </w:p>
    <w:tbl>
      <w:tblPr>
        <w:tblStyle w:val="TableGrid208"/>
        <w:tblW w:w="476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38"/>
        <w:gridCol w:w="6705"/>
      </w:tblGrid>
      <w:tr w:rsidRPr="00747EBB" w:rsidR="00747EBB" w:rsidTr="00681E56" w14:paraId="4148C1E7" w14:textId="77777777">
        <w:tc>
          <w:tcPr>
            <w:tcW w:w="1209" w:type="pct"/>
          </w:tcPr>
          <w:p w:rsidRPr="00747EBB" w:rsidR="00747EBB" w:rsidP="00747EBB" w:rsidRDefault="00747EBB" w14:paraId="1C59F341" w14:textId="77777777">
            <w:pPr>
              <w:tabs>
                <w:tab w:val="center" w:pos="284"/>
              </w:tabs>
              <w:overflowPunct w:val="0"/>
              <w:autoSpaceDE w:val="0"/>
              <w:autoSpaceDN w:val="0"/>
              <w:adjustRightInd w:val="0"/>
              <w:ind w:left="266" w:hanging="266"/>
              <w:textAlignment w:val="baseline"/>
              <w:rPr>
                <w:b/>
              </w:rPr>
            </w:pPr>
            <w:r>
              <w:rPr>
                <w:b/>
              </w:rPr>
              <w:t>Sprawozdawca</w:t>
            </w:r>
          </w:p>
        </w:tc>
        <w:tc>
          <w:tcPr>
            <w:tcW w:w="3791" w:type="pct"/>
          </w:tcPr>
          <w:p w:rsidRPr="00750766" w:rsidR="00747EBB" w:rsidP="00747EBB" w:rsidRDefault="00747EBB" w14:paraId="41D5C73A" w14:textId="4F706A6C">
            <w:pPr>
              <w:tabs>
                <w:tab w:val="center" w:pos="284"/>
              </w:tabs>
              <w:overflowPunct w:val="0"/>
              <w:autoSpaceDE w:val="0"/>
              <w:autoSpaceDN w:val="0"/>
              <w:adjustRightInd w:val="0"/>
              <w:ind w:left="266" w:right="-812" w:hanging="266"/>
              <w:textAlignment w:val="baseline"/>
            </w:pPr>
            <w:proofErr w:type="spellStart"/>
            <w:r>
              <w:t>Anastasis</w:t>
            </w:r>
            <w:proofErr w:type="spellEnd"/>
            <w:r>
              <w:t xml:space="preserve"> YIAPANIS (Grupa Organizacji Społeczeństwa Obywatelskiego – CY)</w:t>
            </w:r>
          </w:p>
        </w:tc>
      </w:tr>
      <w:tr w:rsidRPr="00747EBB" w:rsidR="00747EBB" w:rsidTr="00681E56" w14:paraId="4E2ACB03" w14:textId="77777777">
        <w:tc>
          <w:tcPr>
            <w:tcW w:w="1209" w:type="pct"/>
          </w:tcPr>
          <w:p w:rsidRPr="00747EBB" w:rsidR="00747EBB" w:rsidP="00747EBB" w:rsidRDefault="00747EBB" w14:paraId="1F439FD9" w14:textId="77777777">
            <w:pPr>
              <w:tabs>
                <w:tab w:val="center" w:pos="284"/>
              </w:tabs>
              <w:overflowPunct w:val="0"/>
              <w:autoSpaceDE w:val="0"/>
              <w:autoSpaceDN w:val="0"/>
              <w:adjustRightInd w:val="0"/>
              <w:ind w:left="266" w:hanging="266"/>
              <w:textAlignment w:val="baseline"/>
              <w:rPr>
                <w:b/>
              </w:rPr>
            </w:pPr>
            <w:proofErr w:type="spellStart"/>
            <w:r>
              <w:rPr>
                <w:b/>
              </w:rPr>
              <w:t>Współsprawozdawca</w:t>
            </w:r>
            <w:proofErr w:type="spellEnd"/>
          </w:p>
        </w:tc>
        <w:tc>
          <w:tcPr>
            <w:tcW w:w="3791" w:type="pct"/>
          </w:tcPr>
          <w:p w:rsidRPr="00750766" w:rsidR="00747EBB" w:rsidP="00747EBB" w:rsidRDefault="00747EBB" w14:paraId="00581503" w14:textId="26AF81EF">
            <w:pPr>
              <w:tabs>
                <w:tab w:val="center" w:pos="284"/>
              </w:tabs>
              <w:overflowPunct w:val="0"/>
              <w:autoSpaceDE w:val="0"/>
              <w:autoSpaceDN w:val="0"/>
              <w:adjustRightInd w:val="0"/>
              <w:ind w:left="266" w:right="-1383" w:hanging="266"/>
              <w:textAlignment w:val="baseline"/>
            </w:pPr>
            <w:r>
              <w:t>Gerardo Luis ARROYO HERRANZ (Kat.1– ES)</w:t>
            </w:r>
          </w:p>
        </w:tc>
      </w:tr>
      <w:tr w:rsidRPr="00747EBB" w:rsidR="00747EBB" w:rsidTr="00681E56" w14:paraId="55976014" w14:textId="77777777">
        <w:tc>
          <w:tcPr>
            <w:tcW w:w="5000" w:type="pct"/>
            <w:gridSpan w:val="2"/>
          </w:tcPr>
          <w:p w:rsidRPr="00747EBB" w:rsidR="00747EBB" w:rsidP="00747EBB" w:rsidRDefault="00747EBB" w14:paraId="5ABB1166" w14:textId="77777777">
            <w:pPr>
              <w:tabs>
                <w:tab w:val="center" w:pos="284"/>
              </w:tabs>
              <w:overflowPunct w:val="0"/>
              <w:autoSpaceDE w:val="0"/>
              <w:autoSpaceDN w:val="0"/>
              <w:adjustRightInd w:val="0"/>
              <w:spacing w:line="160" w:lineRule="exact"/>
              <w:ind w:left="266" w:hanging="266"/>
              <w:textAlignment w:val="baseline"/>
            </w:pPr>
          </w:p>
        </w:tc>
      </w:tr>
      <w:tr w:rsidRPr="00747EBB" w:rsidR="00747EBB" w:rsidTr="00681E56" w14:paraId="60D7635B" w14:textId="77777777">
        <w:tc>
          <w:tcPr>
            <w:tcW w:w="1209" w:type="pct"/>
          </w:tcPr>
          <w:p w:rsidRPr="00747EBB" w:rsidR="00747EBB" w:rsidP="00747EBB" w:rsidRDefault="00747EBB" w14:paraId="2B4DB9EE" w14:textId="77777777">
            <w:pPr>
              <w:tabs>
                <w:tab w:val="center" w:pos="284"/>
              </w:tabs>
              <w:overflowPunct w:val="0"/>
              <w:autoSpaceDE w:val="0"/>
              <w:autoSpaceDN w:val="0"/>
              <w:adjustRightInd w:val="0"/>
              <w:ind w:left="266" w:hanging="266"/>
              <w:textAlignment w:val="baseline"/>
              <w:rPr>
                <w:b/>
                <w:highlight w:val="yellow"/>
              </w:rPr>
            </w:pPr>
            <w:r>
              <w:rPr>
                <w:b/>
              </w:rPr>
              <w:t>Dokumenty źródłowe</w:t>
            </w:r>
          </w:p>
        </w:tc>
        <w:tc>
          <w:tcPr>
            <w:tcW w:w="3791" w:type="pct"/>
          </w:tcPr>
          <w:p w:rsidRPr="00747EBB" w:rsidR="00747EBB" w:rsidP="00747EBB" w:rsidRDefault="00747EBB" w14:paraId="5FE2B10E" w14:textId="77777777">
            <w:pPr>
              <w:tabs>
                <w:tab w:val="center" w:pos="284"/>
              </w:tabs>
              <w:overflowPunct w:val="0"/>
              <w:autoSpaceDE w:val="0"/>
              <w:autoSpaceDN w:val="0"/>
              <w:adjustRightInd w:val="0"/>
              <w:ind w:left="266" w:hanging="266"/>
              <w:textAlignment w:val="baseline"/>
              <w:rPr>
                <w:highlight w:val="yellow"/>
              </w:rPr>
            </w:pPr>
            <w:r>
              <w:t xml:space="preserve">COM(2024) 98 </w:t>
            </w:r>
            <w:proofErr w:type="spellStart"/>
            <w:r>
              <w:t>final</w:t>
            </w:r>
            <w:proofErr w:type="spellEnd"/>
          </w:p>
          <w:p w:rsidRPr="00747EBB" w:rsidR="00747EBB" w:rsidP="00747EBB" w:rsidRDefault="00747EBB" w14:paraId="16AF5EE0" w14:textId="3618795A">
            <w:pPr>
              <w:tabs>
                <w:tab w:val="center" w:pos="284"/>
              </w:tabs>
              <w:overflowPunct w:val="0"/>
              <w:autoSpaceDE w:val="0"/>
              <w:autoSpaceDN w:val="0"/>
              <w:adjustRightInd w:val="0"/>
              <w:ind w:left="266" w:hanging="266"/>
              <w:textAlignment w:val="baseline"/>
              <w:rPr>
                <w:highlight w:val="yellow"/>
              </w:rPr>
            </w:pPr>
            <w:r>
              <w:t>EESC-2024-01425-00-00-AC</w:t>
            </w:r>
          </w:p>
        </w:tc>
      </w:tr>
    </w:tbl>
    <w:p w:rsidRPr="00747EBB" w:rsidR="00747EBB" w:rsidP="00747EBB" w:rsidRDefault="00747EBB" w14:paraId="4FFF06F9" w14:textId="77777777">
      <w:pPr>
        <w:keepNext/>
        <w:keepLines/>
        <w:tabs>
          <w:tab w:val="center" w:pos="284"/>
        </w:tabs>
        <w:overflowPunct w:val="0"/>
        <w:autoSpaceDE w:val="0"/>
        <w:autoSpaceDN w:val="0"/>
        <w:adjustRightInd w:val="0"/>
        <w:ind w:left="266" w:hanging="266"/>
        <w:textAlignment w:val="baseline"/>
        <w:rPr>
          <w:b/>
        </w:rPr>
      </w:pPr>
      <w:r>
        <w:rPr>
          <w:b/>
        </w:rPr>
        <w:t>Główne punkty</w:t>
      </w:r>
    </w:p>
    <w:p w:rsidRPr="00747EBB" w:rsidR="00747EBB" w:rsidP="00747EBB" w:rsidRDefault="00747EBB" w14:paraId="05BB4D96" w14:textId="77777777">
      <w:pPr>
        <w:keepNext/>
        <w:keepLines/>
        <w:tabs>
          <w:tab w:val="center" w:pos="284"/>
        </w:tabs>
        <w:overflowPunct w:val="0"/>
        <w:autoSpaceDE w:val="0"/>
        <w:autoSpaceDN w:val="0"/>
        <w:adjustRightInd w:val="0"/>
        <w:ind w:left="266" w:hanging="266"/>
        <w:textAlignment w:val="baseline"/>
        <w:rPr>
          <w:b/>
          <w:sz w:val="16"/>
          <w:szCs w:val="16"/>
        </w:rPr>
      </w:pPr>
    </w:p>
    <w:p w:rsidR="00747EBB" w:rsidP="00747EBB" w:rsidRDefault="00747EBB" w14:paraId="7D9C1FC5" w14:textId="7CBCEF16">
      <w:pPr>
        <w:overflowPunct w:val="0"/>
        <w:autoSpaceDE w:val="0"/>
        <w:autoSpaceDN w:val="0"/>
        <w:adjustRightInd w:val="0"/>
        <w:textAlignment w:val="baseline"/>
        <w:rPr>
          <w:bCs/>
          <w:iCs/>
        </w:rPr>
      </w:pPr>
      <w:r>
        <w:t>EKES</w:t>
      </w:r>
    </w:p>
    <w:p w:rsidRPr="00747EBB" w:rsidR="00750766" w:rsidP="00747EBB" w:rsidRDefault="00750766" w14:paraId="772D23C3" w14:textId="77777777">
      <w:pPr>
        <w:overflowPunct w:val="0"/>
        <w:autoSpaceDE w:val="0"/>
        <w:autoSpaceDN w:val="0"/>
        <w:adjustRightInd w:val="0"/>
        <w:textAlignment w:val="baseline"/>
        <w:rPr>
          <w:bCs/>
          <w:iCs/>
        </w:rPr>
      </w:pPr>
    </w:p>
    <w:p w:rsidRPr="00747EBB" w:rsidR="00747EBB" w:rsidP="0088361D" w:rsidRDefault="00747EBB" w14:paraId="697BD62E" w14:textId="15BC7B27">
      <w:pPr>
        <w:numPr>
          <w:ilvl w:val="0"/>
          <w:numId w:val="49"/>
        </w:numPr>
        <w:overflowPunct w:val="0"/>
        <w:autoSpaceDE w:val="0"/>
        <w:autoSpaceDN w:val="0"/>
        <w:adjustRightInd w:val="0"/>
        <w:spacing w:after="200" w:line="276" w:lineRule="auto"/>
        <w:ind w:left="284" w:hanging="284"/>
        <w:contextualSpacing/>
        <w:textAlignment w:val="baseline"/>
        <w:rPr>
          <w:bCs/>
          <w:iCs/>
        </w:rPr>
      </w:pPr>
      <w:r>
        <w:t>Uważa, komunikatu Komisji Europejskiej w sprawie materiałów zaawansowanych nie można postrzegać jako strategii samej w sobie, ponieważ brakuje w nim wymiernych celów, terminów i</w:t>
      </w:r>
      <w:r w:rsidR="00966BE9">
        <w:t> </w:t>
      </w:r>
      <w:r>
        <w:t>konkretnych kluczowych wskaźników skuteczności działania (KPI) wspierających wdrażanie.</w:t>
      </w:r>
    </w:p>
    <w:p w:rsidRPr="00747EBB" w:rsidR="00747EBB" w:rsidP="0088361D" w:rsidRDefault="00747EBB" w14:paraId="4ED4883D"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Jest przekonany, że UE potrzebuje całościowego podejścia, aby zmniejszyć zużycie materiałów, promować obieg zamknięty i ułatwiać przejście na zrównoważone modele biznesowe i zachowania konsumpcyjne.</w:t>
      </w:r>
    </w:p>
    <w:p w:rsidRPr="00747EBB" w:rsidR="00747EBB" w:rsidP="0088361D" w:rsidRDefault="00747EBB" w14:paraId="4A7B6AB8"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Zauważa, że budowa złożonego ekosystemu materiałów zaawansowanych wymaga kompleksowej strategii, znacznych funduszy, zachęt, dostępności odpowiednich umiejętności oraz wsparcia politycznego na wysokim szczeblu.</w:t>
      </w:r>
    </w:p>
    <w:p w:rsidRPr="00747EBB" w:rsidR="00747EBB" w:rsidP="0088361D" w:rsidRDefault="00747EBB" w14:paraId="7BB9F785"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Z zadowoleniem przyjmuje pogłębiony dialog UE–Japonia w zakresie materiałów zaawansowanych oraz sądzi, że takie inicjatywy należy rozszerzyć na inne wiodące kraje.</w:t>
      </w:r>
    </w:p>
    <w:p w:rsidRPr="00747EBB" w:rsidR="00747EBB" w:rsidP="0088361D" w:rsidRDefault="00747EBB" w14:paraId="2859B1FD" w14:textId="3001AA16">
      <w:pPr>
        <w:numPr>
          <w:ilvl w:val="0"/>
          <w:numId w:val="49"/>
        </w:numPr>
        <w:overflowPunct w:val="0"/>
        <w:autoSpaceDE w:val="0"/>
        <w:autoSpaceDN w:val="0"/>
        <w:adjustRightInd w:val="0"/>
        <w:spacing w:after="200" w:line="276" w:lineRule="auto"/>
        <w:ind w:left="284" w:hanging="284"/>
        <w:contextualSpacing/>
        <w:textAlignment w:val="baseline"/>
        <w:rPr>
          <w:bCs/>
          <w:iCs/>
        </w:rPr>
      </w:pPr>
      <w:r>
        <w:t>Jest zdania, że niezwykle istotne jest wspieranie konkurencyjności w zakresie badań, rozwoju i</w:t>
      </w:r>
      <w:r w:rsidR="00966BE9">
        <w:t> </w:t>
      </w:r>
      <w:r>
        <w:t>innowacji poprzez zaangażowanie podmiotów przemysłowych, władz publicznych, partnerów społecznych i środowisk akademickich oraz utworzenie sieci transgranicznej infrastruktury badawczej.</w:t>
      </w:r>
    </w:p>
    <w:p w:rsidRPr="00747EBB" w:rsidR="00747EBB" w:rsidP="0088361D" w:rsidRDefault="00747EBB" w14:paraId="140DF661"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Proponuje włączenie opieki zdrowotnej jako dodatkowego wstępnego obszaru strategicznego, ponieważ stanowi ona jedną z największych gałęzi przemysłu w Europie, przy czym zaawansowane materiały związane z opieką zdrowotną często krzyżują się z sektorami takimi jak elektronika i energia.</w:t>
      </w:r>
    </w:p>
    <w:p w:rsidRPr="00747EBB" w:rsidR="00747EBB" w:rsidP="0088361D" w:rsidRDefault="00747EBB" w14:paraId="76B194F1"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Podkreśla znaczenie włączenia technologii cyfrowych i innowacji do procesów opracowywania materiałów.</w:t>
      </w:r>
    </w:p>
    <w:p w:rsidRPr="00747EBB" w:rsidR="00747EBB" w:rsidP="0088361D" w:rsidRDefault="00747EBB" w14:paraId="15ABDA1D" w14:textId="16057750">
      <w:pPr>
        <w:numPr>
          <w:ilvl w:val="0"/>
          <w:numId w:val="49"/>
        </w:numPr>
        <w:overflowPunct w:val="0"/>
        <w:autoSpaceDE w:val="0"/>
        <w:autoSpaceDN w:val="0"/>
        <w:adjustRightInd w:val="0"/>
        <w:spacing w:after="200" w:line="276" w:lineRule="auto"/>
        <w:ind w:left="284" w:hanging="284"/>
        <w:contextualSpacing/>
        <w:textAlignment w:val="baseline"/>
        <w:rPr>
          <w:bCs/>
          <w:iCs/>
        </w:rPr>
      </w:pPr>
      <w:r>
        <w:t>Popiera wprowadzenie cyfrowych paszportów produktów, obejmujących standardy informacyjne i</w:t>
      </w:r>
      <w:r w:rsidR="00966BE9">
        <w:t> </w:t>
      </w:r>
      <w:r>
        <w:t xml:space="preserve">szczegółowe informacje, od produkcji po recykling, jednak przestrzega przed dodatkową biurokracją i zwiększeniem kosztów dla przedsiębiorstw lub konsumentów. </w:t>
      </w:r>
    </w:p>
    <w:p w:rsidR="00747EBB" w:rsidP="00750766" w:rsidRDefault="00747EBB" w14:paraId="7CDB480C" w14:textId="540C2B36">
      <w:pPr>
        <w:numPr>
          <w:ilvl w:val="0"/>
          <w:numId w:val="49"/>
        </w:numPr>
        <w:overflowPunct w:val="0"/>
        <w:autoSpaceDE w:val="0"/>
        <w:autoSpaceDN w:val="0"/>
        <w:adjustRightInd w:val="0"/>
        <w:spacing w:line="276" w:lineRule="auto"/>
        <w:ind w:left="284" w:hanging="284"/>
        <w:contextualSpacing/>
        <w:textAlignment w:val="baseline"/>
        <w:rPr>
          <w:bCs/>
          <w:iCs/>
        </w:rPr>
      </w:pPr>
      <w:r>
        <w:t>Uważa, że trzeba wzmocnić produkcję europejską, wesprzeć komercjalizację, usprawnić dostęp do rynku i poprawić jego nadzór w tym obszarze.</w:t>
      </w:r>
    </w:p>
    <w:p w:rsidRPr="00747EBB" w:rsidR="00BC4CB8" w:rsidP="0088361D" w:rsidRDefault="00BC4CB8" w14:paraId="71E292A0" w14:textId="77777777">
      <w:pPr>
        <w:overflowPunct w:val="0"/>
        <w:autoSpaceDE w:val="0"/>
        <w:autoSpaceDN w:val="0"/>
        <w:adjustRightInd w:val="0"/>
        <w:spacing w:line="276" w:lineRule="auto"/>
        <w:ind w:left="284"/>
        <w:contextualSpacing/>
        <w:textAlignment w:val="baseline"/>
        <w:rPr>
          <w:bCs/>
          <w:iCs/>
        </w:rPr>
      </w:pPr>
    </w:p>
    <w:p w:rsidRPr="00747EBB" w:rsidR="00747EBB" w:rsidP="00747EBB" w:rsidRDefault="00747EBB" w14:paraId="0367F970" w14:textId="77777777">
      <w:pPr>
        <w:widowControl w:val="0"/>
        <w:overflowPunct w:val="0"/>
        <w:autoSpaceDE w:val="0"/>
        <w:autoSpaceDN w:val="0"/>
        <w:adjustRightInd w:val="0"/>
        <w:ind w:left="709"/>
        <w:textAlignment w:val="baseline"/>
        <w:rPr>
          <w:rFonts w:asciiTheme="minorHAnsi" w:hAnsiTheme="minorHAnsi"/>
          <w:sz w:val="16"/>
          <w:szCs w:val="16"/>
        </w:rPr>
      </w:pPr>
    </w:p>
    <w:tbl>
      <w:tblPr>
        <w:tblStyle w:val="TableGrid19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A773FA" w:rsidR="00624933" w:rsidTr="00D76388" w14:paraId="241DA007" w14:textId="77777777">
        <w:tc>
          <w:tcPr>
            <w:tcW w:w="1556" w:type="pct"/>
          </w:tcPr>
          <w:p w:rsidRPr="0088361D" w:rsidR="00624933" w:rsidP="00D76388" w:rsidRDefault="00624933" w14:paraId="5B374FDA" w14:textId="77777777">
            <w:pPr>
              <w:overflowPunct w:val="0"/>
              <w:autoSpaceDE w:val="0"/>
              <w:autoSpaceDN w:val="0"/>
              <w:adjustRightInd w:val="0"/>
              <w:spacing w:line="240" w:lineRule="auto"/>
              <w:textAlignment w:val="baseline"/>
              <w:rPr>
                <w:bCs/>
                <w:iCs/>
              </w:rPr>
            </w:pPr>
            <w:r>
              <w:t>Kontakt</w:t>
            </w:r>
          </w:p>
        </w:tc>
        <w:tc>
          <w:tcPr>
            <w:tcW w:w="3444" w:type="pct"/>
          </w:tcPr>
          <w:p w:rsidRPr="00A773FA" w:rsidR="00624933" w:rsidP="00D76388" w:rsidRDefault="00570D62" w14:paraId="73FF4C43" w14:textId="62D056EE">
            <w:pPr>
              <w:overflowPunct w:val="0"/>
              <w:autoSpaceDE w:val="0"/>
              <w:autoSpaceDN w:val="0"/>
              <w:adjustRightInd w:val="0"/>
              <w:spacing w:line="240" w:lineRule="auto"/>
              <w:textAlignment w:val="baseline"/>
              <w:rPr>
                <w:i/>
              </w:rPr>
            </w:pPr>
            <w:r>
              <w:rPr>
                <w:i/>
              </w:rPr>
              <w:t xml:space="preserve">Heli </w:t>
            </w:r>
            <w:proofErr w:type="spellStart"/>
            <w:r>
              <w:rPr>
                <w:i/>
              </w:rPr>
              <w:t>Niemelä-Farrer</w:t>
            </w:r>
            <w:proofErr w:type="spellEnd"/>
          </w:p>
        </w:tc>
      </w:tr>
      <w:tr w:rsidRPr="00A773FA" w:rsidR="00624933" w:rsidTr="00D76388" w14:paraId="5E7FD2AC" w14:textId="77777777">
        <w:tc>
          <w:tcPr>
            <w:tcW w:w="1556" w:type="pct"/>
          </w:tcPr>
          <w:p w:rsidRPr="00A773FA" w:rsidR="00624933" w:rsidP="00D76388" w:rsidRDefault="00624933" w14:paraId="1F90DF6C" w14:textId="77777777">
            <w:pPr>
              <w:overflowPunct w:val="0"/>
              <w:autoSpaceDE w:val="0"/>
              <w:autoSpaceDN w:val="0"/>
              <w:adjustRightInd w:val="0"/>
              <w:spacing w:line="240" w:lineRule="auto"/>
              <w:textAlignment w:val="baseline"/>
              <w:rPr>
                <w:i/>
              </w:rPr>
            </w:pPr>
            <w:r>
              <w:rPr>
                <w:i/>
              </w:rPr>
              <w:t>Tel.:</w:t>
            </w:r>
          </w:p>
        </w:tc>
        <w:tc>
          <w:tcPr>
            <w:tcW w:w="3444" w:type="pct"/>
          </w:tcPr>
          <w:p w:rsidRPr="00A773FA" w:rsidR="00624933" w:rsidP="00D76388" w:rsidRDefault="00570D62" w14:paraId="13D7F287" w14:textId="18A8E6EA">
            <w:pPr>
              <w:overflowPunct w:val="0"/>
              <w:autoSpaceDE w:val="0"/>
              <w:autoSpaceDN w:val="0"/>
              <w:adjustRightInd w:val="0"/>
              <w:spacing w:line="240" w:lineRule="auto"/>
              <w:textAlignment w:val="baseline"/>
              <w:rPr>
                <w:i/>
              </w:rPr>
            </w:pPr>
            <w:r>
              <w:rPr>
                <w:i/>
              </w:rPr>
              <w:t>+32 22822464</w:t>
            </w:r>
          </w:p>
        </w:tc>
      </w:tr>
      <w:tr w:rsidRPr="00A773FA" w:rsidR="00624933" w:rsidTr="00D76388" w14:paraId="4032EE62" w14:textId="77777777">
        <w:tc>
          <w:tcPr>
            <w:tcW w:w="1556" w:type="pct"/>
          </w:tcPr>
          <w:p w:rsidRPr="00A773FA" w:rsidR="00624933" w:rsidP="00D76388" w:rsidRDefault="00624933" w14:paraId="68C20213" w14:textId="77777777">
            <w:pPr>
              <w:overflowPunct w:val="0"/>
              <w:autoSpaceDE w:val="0"/>
              <w:autoSpaceDN w:val="0"/>
              <w:adjustRightInd w:val="0"/>
              <w:spacing w:line="240" w:lineRule="auto"/>
              <w:textAlignment w:val="baseline"/>
              <w:rPr>
                <w:i/>
              </w:rPr>
            </w:pPr>
            <w:r>
              <w:rPr>
                <w:i/>
              </w:rPr>
              <w:t>e-mail:</w:t>
            </w:r>
          </w:p>
        </w:tc>
        <w:tc>
          <w:tcPr>
            <w:tcW w:w="3444" w:type="pct"/>
          </w:tcPr>
          <w:p w:rsidRPr="00A773FA" w:rsidR="00570D62" w:rsidP="00D76388" w:rsidRDefault="00EE19DE" w14:paraId="75D67AD3" w14:textId="63F44F21">
            <w:pPr>
              <w:overflowPunct w:val="0"/>
              <w:autoSpaceDE w:val="0"/>
              <w:autoSpaceDN w:val="0"/>
              <w:adjustRightInd w:val="0"/>
              <w:spacing w:line="240" w:lineRule="auto"/>
              <w:textAlignment w:val="baseline"/>
              <w:rPr>
                <w:i/>
              </w:rPr>
            </w:pPr>
            <w:hyperlink w:history="1" r:id="rId43">
              <w:r w:rsidR="000B64C3">
                <w:rPr>
                  <w:rStyle w:val="Hyperlink"/>
                  <w:i/>
                </w:rPr>
                <w:t>Heli.Niemela-Farrer@eesc.europa.eu</w:t>
              </w:r>
            </w:hyperlink>
          </w:p>
        </w:tc>
      </w:tr>
    </w:tbl>
    <w:p w:rsidR="004351D4" w:rsidP="00AA63E5" w:rsidRDefault="004351D4" w14:paraId="0AE04AB9" w14:textId="2E8C923C">
      <w:pPr>
        <w:widowControl w:val="0"/>
        <w:tabs>
          <w:tab w:val="center" w:pos="284"/>
        </w:tabs>
        <w:overflowPunct w:val="0"/>
        <w:autoSpaceDE w:val="0"/>
        <w:autoSpaceDN w:val="0"/>
        <w:adjustRightInd w:val="0"/>
        <w:spacing w:after="160" w:line="259" w:lineRule="auto"/>
        <w:ind w:left="927"/>
        <w:contextualSpacing/>
        <w:jc w:val="left"/>
        <w:textAlignment w:val="baseline"/>
        <w:rPr>
          <w:lang w:val="nl-BE"/>
        </w:rPr>
      </w:pPr>
    </w:p>
    <w:p w:rsidRPr="006C7863" w:rsidR="0092772D" w:rsidP="006C7863" w:rsidRDefault="00556EDF" w14:paraId="7379A588" w14:textId="3EDEF816">
      <w:pPr>
        <w:overflowPunct w:val="0"/>
        <w:autoSpaceDE w:val="0"/>
        <w:autoSpaceDN w:val="0"/>
        <w:adjustRightInd w:val="0"/>
        <w:jc w:val="center"/>
        <w:textAlignment w:val="baseline"/>
      </w:pPr>
      <w:r>
        <w:t>_____________</w:t>
      </w:r>
    </w:p>
    <w:sectPr w:rsidRPr="006C7863" w:rsidR="0092772D" w:rsidSect="0071141F">
      <w:headerReference w:type="even" r:id="rId44"/>
      <w:headerReference w:type="default" r:id="rId45"/>
      <w:footerReference w:type="even" r:id="rId46"/>
      <w:footerReference w:type="default" r:id="rId47"/>
      <w:headerReference w:type="first" r:id="rId48"/>
      <w:footerReference w:type="first" r:id="rId49"/>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138C1" w14:textId="77777777" w:rsidR="002B5510" w:rsidRDefault="002B5510" w:rsidP="003B0516">
      <w:pPr>
        <w:spacing w:line="240" w:lineRule="auto"/>
      </w:pPr>
      <w:r>
        <w:separator/>
      </w:r>
    </w:p>
  </w:endnote>
  <w:endnote w:type="continuationSeparator" w:id="0">
    <w:p w14:paraId="6C59A801" w14:textId="77777777" w:rsidR="002B5510" w:rsidRDefault="002B5510"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5E411" w14:textId="77777777" w:rsidR="0071141F" w:rsidRPr="0071141F" w:rsidRDefault="0071141F" w:rsidP="007114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2DBC333A" w:rsidR="00765C4F" w:rsidRPr="0071141F" w:rsidRDefault="0071141F" w:rsidP="0071141F">
    <w:pPr>
      <w:pStyle w:val="Footer"/>
    </w:pPr>
    <w:r>
      <w:t xml:space="preserve">EESC-2024-02113-00-01-TCD-TRA (EN) </w:t>
    </w:r>
    <w:r>
      <w:fldChar w:fldCharType="begin"/>
    </w:r>
    <w:r>
      <w:instrText xml:space="preserve"> PAGE  \* Arabic  \* MERGEFORMAT </w:instrText>
    </w:r>
    <w:r>
      <w:fldChar w:fldCharType="separate"/>
    </w:r>
    <w:r w:rsidR="000B64C3">
      <w:t>1</w:t>
    </w:r>
    <w:r>
      <w:fldChar w:fldCharType="end"/>
    </w:r>
    <w:r>
      <w:t>/</w:t>
    </w:r>
    <w:r w:rsidR="00EE19DE">
      <w:fldChar w:fldCharType="begin"/>
    </w:r>
    <w:r w:rsidR="00EE19DE">
      <w:instrText xml:space="preserve"> NUMPAGES </w:instrText>
    </w:r>
    <w:r w:rsidR="00EE19DE">
      <w:fldChar w:fldCharType="separate"/>
    </w:r>
    <w:r w:rsidR="000B64C3">
      <w:t>2</w:t>
    </w:r>
    <w:r w:rsidR="00EE19D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DA489" w14:textId="77777777" w:rsidR="0071141F" w:rsidRPr="0071141F" w:rsidRDefault="0071141F" w:rsidP="007114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71141F" w:rsidRDefault="00E4258F" w:rsidP="0071141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760E267B" w:rsidR="00E4258F" w:rsidRPr="0071141F" w:rsidRDefault="0071141F" w:rsidP="0071141F">
    <w:pPr>
      <w:pStyle w:val="Footer"/>
    </w:pPr>
    <w:r>
      <w:t xml:space="preserve">EESC-2024-02113-00-01-TCD-TRA (EN) </w:t>
    </w:r>
    <w:r>
      <w:fldChar w:fldCharType="begin"/>
    </w:r>
    <w:r>
      <w:instrText xml:space="preserve"> PAGE  \* Arabic  \* MERGEFORMAT </w:instrText>
    </w:r>
    <w:r>
      <w:fldChar w:fldCharType="separate"/>
    </w:r>
    <w:r>
      <w:t>2</w:t>
    </w:r>
    <w:r>
      <w:fldChar w:fldCharType="end"/>
    </w:r>
    <w:r>
      <w:t>/</w:t>
    </w:r>
    <w:r w:rsidR="00EE19DE">
      <w:fldChar w:fldCharType="begin"/>
    </w:r>
    <w:r w:rsidR="00EE19DE">
      <w:instrText xml:space="preserve"> NUMPAGES </w:instrText>
    </w:r>
    <w:r w:rsidR="00EE19DE">
      <w:fldChar w:fldCharType="separate"/>
    </w:r>
    <w:r>
      <w:t>16</w:t>
    </w:r>
    <w:r w:rsidR="00EE19DE">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71141F" w:rsidRDefault="00E4258F" w:rsidP="007114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9324F" w14:textId="77777777" w:rsidR="002B5510" w:rsidRDefault="002B5510" w:rsidP="003B0516">
      <w:pPr>
        <w:spacing w:line="240" w:lineRule="auto"/>
      </w:pPr>
      <w:r>
        <w:separator/>
      </w:r>
    </w:p>
  </w:footnote>
  <w:footnote w:type="continuationSeparator" w:id="0">
    <w:p w14:paraId="2F3B2B06" w14:textId="77777777" w:rsidR="002B5510" w:rsidRDefault="002B5510"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93A2A" w14:textId="77777777" w:rsidR="0071141F" w:rsidRPr="0071141F" w:rsidRDefault="0071141F" w:rsidP="007114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B837B" w14:textId="21BD1E1A" w:rsidR="0071141F" w:rsidRPr="0071141F" w:rsidRDefault="0071141F" w:rsidP="007114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90D29" w14:textId="77777777" w:rsidR="0071141F" w:rsidRPr="0071141F" w:rsidRDefault="0071141F" w:rsidP="007114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71141F" w:rsidRDefault="00E4258F" w:rsidP="0071141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682475FA" w:rsidR="00E4258F" w:rsidRPr="0071141F" w:rsidRDefault="00E4258F" w:rsidP="0071141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71141F" w:rsidRDefault="00E4258F" w:rsidP="007114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1E65BE0"/>
    <w:lvl w:ilvl="0">
      <w:numFmt w:val="decimal"/>
      <w:lvlText w:val="*"/>
      <w:lvlJc w:val="left"/>
    </w:lvl>
  </w:abstractNum>
  <w:abstractNum w:abstractNumId="1" w15:restartNumberingAfterBreak="0">
    <w:nsid w:val="00EE628C"/>
    <w:multiLevelType w:val="hybridMultilevel"/>
    <w:tmpl w:val="A3CC432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01247154"/>
    <w:multiLevelType w:val="hybridMultilevel"/>
    <w:tmpl w:val="0100CE8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6133D59"/>
    <w:multiLevelType w:val="hybridMultilevel"/>
    <w:tmpl w:val="5F862D5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5" w15:restartNumberingAfterBreak="0">
    <w:nsid w:val="0829479D"/>
    <w:multiLevelType w:val="hybridMultilevel"/>
    <w:tmpl w:val="6F22EA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936141B"/>
    <w:multiLevelType w:val="hybridMultilevel"/>
    <w:tmpl w:val="0FEC57F8"/>
    <w:lvl w:ilvl="0" w:tplc="F6166D28">
      <w:start w:val="1"/>
      <w:numFmt w:val="bullet"/>
      <w:lvlText w:val=""/>
      <w:lvlJc w:val="left"/>
      <w:pPr>
        <w:ind w:left="720" w:hanging="360"/>
      </w:pPr>
      <w:rPr>
        <w:rFonts w:ascii="Symbol" w:hAnsi="Symbol" w:hint="default"/>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7" w15:restartNumberingAfterBreak="0">
    <w:nsid w:val="0B915A3D"/>
    <w:multiLevelType w:val="hybridMultilevel"/>
    <w:tmpl w:val="35C4182C"/>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15:restartNumberingAfterBreak="0">
    <w:nsid w:val="0B986667"/>
    <w:multiLevelType w:val="hybridMultilevel"/>
    <w:tmpl w:val="77C2AEA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F26503F"/>
    <w:multiLevelType w:val="multilevel"/>
    <w:tmpl w:val="B052A6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7CF268"/>
    <w:multiLevelType w:val="hybridMultilevel"/>
    <w:tmpl w:val="F5A8EBE6"/>
    <w:lvl w:ilvl="0" w:tplc="04090001">
      <w:start w:val="1"/>
      <w:numFmt w:val="bullet"/>
      <w:lvlText w:val=""/>
      <w:lvlJc w:val="left"/>
      <w:pPr>
        <w:ind w:left="720" w:hanging="360"/>
      </w:pPr>
      <w:rPr>
        <w:rFonts w:ascii="Symbol" w:hAnsi="Symbol" w:hint="default"/>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11" w15:restartNumberingAfterBreak="0">
    <w:nsid w:val="12475718"/>
    <w:multiLevelType w:val="hybridMultilevel"/>
    <w:tmpl w:val="1168084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3DD303B"/>
    <w:multiLevelType w:val="hybridMultilevel"/>
    <w:tmpl w:val="01C6726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7D16DC2"/>
    <w:multiLevelType w:val="hybridMultilevel"/>
    <w:tmpl w:val="CF686BB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4" w15:restartNumberingAfterBreak="0">
    <w:nsid w:val="19074987"/>
    <w:multiLevelType w:val="hybridMultilevel"/>
    <w:tmpl w:val="25B4C3AE"/>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5" w15:restartNumberingAfterBreak="0">
    <w:nsid w:val="1DC36649"/>
    <w:multiLevelType w:val="hybridMultilevel"/>
    <w:tmpl w:val="713A19CA"/>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6" w15:restartNumberingAfterBreak="0">
    <w:nsid w:val="1F7347CD"/>
    <w:multiLevelType w:val="hybridMultilevel"/>
    <w:tmpl w:val="420C3CCE"/>
    <w:lvl w:ilvl="0" w:tplc="08090001">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05281D"/>
    <w:multiLevelType w:val="hybridMultilevel"/>
    <w:tmpl w:val="142C58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230E118E"/>
    <w:multiLevelType w:val="hybridMultilevel"/>
    <w:tmpl w:val="E8FEDEF0"/>
    <w:lvl w:ilvl="0" w:tplc="1F185A40">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7D275F"/>
    <w:multiLevelType w:val="hybridMultilevel"/>
    <w:tmpl w:val="220437D2"/>
    <w:lvl w:ilvl="0" w:tplc="F6166D28">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721E5C"/>
    <w:multiLevelType w:val="hybridMultilevel"/>
    <w:tmpl w:val="BC0223C6"/>
    <w:lvl w:ilvl="0" w:tplc="F6166D28">
      <w:start w:val="1"/>
      <w:numFmt w:val="bullet"/>
      <w:lvlText w:val=""/>
      <w:lvlJc w:val="left"/>
      <w:pPr>
        <w:ind w:left="720" w:hanging="360"/>
      </w:pPr>
      <w:rPr>
        <w:rFonts w:ascii="Symbol" w:hAnsi="Symbol" w:hint="default"/>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21"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2E536CF7"/>
    <w:multiLevelType w:val="hybridMultilevel"/>
    <w:tmpl w:val="0422FD8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30F90C9D"/>
    <w:multiLevelType w:val="hybridMultilevel"/>
    <w:tmpl w:val="0986B254"/>
    <w:lvl w:ilvl="0" w:tplc="F6166D28">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1645BE"/>
    <w:multiLevelType w:val="hybridMultilevel"/>
    <w:tmpl w:val="B9A436AA"/>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5" w15:restartNumberingAfterBreak="0">
    <w:nsid w:val="3AB60AE3"/>
    <w:multiLevelType w:val="hybridMultilevel"/>
    <w:tmpl w:val="8DFEB8B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3DB51499"/>
    <w:multiLevelType w:val="singleLevel"/>
    <w:tmpl w:val="080C0001"/>
    <w:lvl w:ilvl="0">
      <w:start w:val="1"/>
      <w:numFmt w:val="bullet"/>
      <w:lvlText w:val=""/>
      <w:lvlJc w:val="left"/>
      <w:pPr>
        <w:ind w:left="360" w:hanging="360"/>
      </w:pPr>
      <w:rPr>
        <w:rFonts w:ascii="Symbol" w:hAnsi="Symbol" w:hint="default"/>
      </w:rPr>
    </w:lvl>
  </w:abstractNum>
  <w:abstractNum w:abstractNumId="27" w15:restartNumberingAfterBreak="0">
    <w:nsid w:val="3DD01171"/>
    <w:multiLevelType w:val="hybridMultilevel"/>
    <w:tmpl w:val="C2BC4CE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3E1C66E5"/>
    <w:multiLevelType w:val="hybridMultilevel"/>
    <w:tmpl w:val="61102A12"/>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9" w15:restartNumberingAfterBreak="0">
    <w:nsid w:val="403C7B2A"/>
    <w:multiLevelType w:val="hybridMultilevel"/>
    <w:tmpl w:val="3264802E"/>
    <w:lvl w:ilvl="0" w:tplc="00E836BA">
      <w:start w:val="1"/>
      <w:numFmt w:val="bullet"/>
      <w:lvlText w:val=""/>
      <w:lvlJc w:val="left"/>
      <w:pPr>
        <w:ind w:left="360" w:hanging="360"/>
      </w:pPr>
      <w:rPr>
        <w:rFonts w:ascii="Symbol" w:hAnsi="Symbol" w:hint="default"/>
        <w:sz w:val="28"/>
        <w:szCs w:val="28"/>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45B44E3A"/>
    <w:multiLevelType w:val="hybridMultilevel"/>
    <w:tmpl w:val="A56487F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48ED777E"/>
    <w:multiLevelType w:val="hybridMultilevel"/>
    <w:tmpl w:val="DD9064E4"/>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2" w15:restartNumberingAfterBreak="0">
    <w:nsid w:val="506F038A"/>
    <w:multiLevelType w:val="hybridMultilevel"/>
    <w:tmpl w:val="EA567300"/>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3" w15:restartNumberingAfterBreak="0">
    <w:nsid w:val="51AD2AAE"/>
    <w:multiLevelType w:val="hybridMultilevel"/>
    <w:tmpl w:val="3FFC134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53652359"/>
    <w:multiLevelType w:val="hybridMultilevel"/>
    <w:tmpl w:val="9A0E92A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5" w15:restartNumberingAfterBreak="0">
    <w:nsid w:val="5B593470"/>
    <w:multiLevelType w:val="hybridMultilevel"/>
    <w:tmpl w:val="DCC0522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6" w15:restartNumberingAfterBreak="0">
    <w:nsid w:val="5B966248"/>
    <w:multiLevelType w:val="hybridMultilevel"/>
    <w:tmpl w:val="550C47CE"/>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7" w15:restartNumberingAfterBreak="0">
    <w:nsid w:val="5C416698"/>
    <w:multiLevelType w:val="hybridMultilevel"/>
    <w:tmpl w:val="B268C3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61AE19D6"/>
    <w:multiLevelType w:val="hybridMultilevel"/>
    <w:tmpl w:val="A7E21F6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62F353DB"/>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31A290F"/>
    <w:multiLevelType w:val="hybridMultilevel"/>
    <w:tmpl w:val="E37832B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679336FE"/>
    <w:multiLevelType w:val="hybridMultilevel"/>
    <w:tmpl w:val="50B487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6EEC1EC8"/>
    <w:multiLevelType w:val="hybridMultilevel"/>
    <w:tmpl w:val="2BA0EF5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72FC79E8"/>
    <w:multiLevelType w:val="hybridMultilevel"/>
    <w:tmpl w:val="16F41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F26DCA"/>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6" w15:restartNumberingAfterBreak="0">
    <w:nsid w:val="7A556706"/>
    <w:multiLevelType w:val="hybridMultilevel"/>
    <w:tmpl w:val="47BC6A4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7" w15:restartNumberingAfterBreak="0">
    <w:nsid w:val="7F1A6F23"/>
    <w:multiLevelType w:val="hybridMultilevel"/>
    <w:tmpl w:val="00481944"/>
    <w:lvl w:ilvl="0" w:tplc="04090001">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0"/>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3">
    <w:abstractNumId w:val="29"/>
  </w:num>
  <w:num w:numId="4">
    <w:abstractNumId w:val="18"/>
  </w:num>
  <w:num w:numId="5">
    <w:abstractNumId w:val="17"/>
  </w:num>
  <w:num w:numId="6">
    <w:abstractNumId w:val="9"/>
  </w:num>
  <w:num w:numId="7">
    <w:abstractNumId w:val="47"/>
  </w:num>
  <w:num w:numId="8">
    <w:abstractNumId w:val="45"/>
  </w:num>
  <w:num w:numId="9">
    <w:abstractNumId w:val="3"/>
  </w:num>
  <w:num w:numId="10">
    <w:abstractNumId w:val="28"/>
  </w:num>
  <w:num w:numId="11">
    <w:abstractNumId w:val="46"/>
  </w:num>
  <w:num w:numId="12">
    <w:abstractNumId w:val="16"/>
  </w:num>
  <w:num w:numId="13">
    <w:abstractNumId w:val="37"/>
  </w:num>
  <w:num w:numId="14">
    <w:abstractNumId w:val="5"/>
  </w:num>
  <w:num w:numId="15">
    <w:abstractNumId w:val="31"/>
  </w:num>
  <w:num w:numId="16">
    <w:abstractNumId w:val="23"/>
  </w:num>
  <w:num w:numId="17">
    <w:abstractNumId w:val="15"/>
  </w:num>
  <w:num w:numId="18">
    <w:abstractNumId w:val="7"/>
  </w:num>
  <w:num w:numId="19">
    <w:abstractNumId w:val="19"/>
  </w:num>
  <w:num w:numId="20">
    <w:abstractNumId w:val="2"/>
  </w:num>
  <w:num w:numId="21">
    <w:abstractNumId w:val="44"/>
  </w:num>
  <w:num w:numId="22">
    <w:abstractNumId w:val="39"/>
  </w:num>
  <w:num w:numId="23">
    <w:abstractNumId w:val="1"/>
  </w:num>
  <w:num w:numId="24">
    <w:abstractNumId w:val="11"/>
  </w:num>
  <w:num w:numId="25">
    <w:abstractNumId w:val="27"/>
  </w:num>
  <w:num w:numId="26">
    <w:abstractNumId w:val="43"/>
  </w:num>
  <w:num w:numId="27">
    <w:abstractNumId w:val="0"/>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28">
    <w:abstractNumId w:val="38"/>
  </w:num>
  <w:num w:numId="29">
    <w:abstractNumId w:val="41"/>
  </w:num>
  <w:num w:numId="30">
    <w:abstractNumId w:val="25"/>
  </w:num>
  <w:num w:numId="31">
    <w:abstractNumId w:val="26"/>
  </w:num>
  <w:num w:numId="32">
    <w:abstractNumId w:val="10"/>
  </w:num>
  <w:num w:numId="33">
    <w:abstractNumId w:val="4"/>
  </w:num>
  <w:num w:numId="34">
    <w:abstractNumId w:val="22"/>
  </w:num>
  <w:num w:numId="35">
    <w:abstractNumId w:val="35"/>
  </w:num>
  <w:num w:numId="36">
    <w:abstractNumId w:val="40"/>
  </w:num>
  <w:num w:numId="37">
    <w:abstractNumId w:val="8"/>
  </w:num>
  <w:num w:numId="38">
    <w:abstractNumId w:val="33"/>
  </w:num>
  <w:num w:numId="39">
    <w:abstractNumId w:val="12"/>
  </w:num>
  <w:num w:numId="40">
    <w:abstractNumId w:val="42"/>
  </w:num>
  <w:num w:numId="41">
    <w:abstractNumId w:val="36"/>
  </w:num>
  <w:num w:numId="42">
    <w:abstractNumId w:val="32"/>
  </w:num>
  <w:num w:numId="43">
    <w:abstractNumId w:val="14"/>
  </w:num>
  <w:num w:numId="44">
    <w:abstractNumId w:val="20"/>
  </w:num>
  <w:num w:numId="45">
    <w:abstractNumId w:val="6"/>
  </w:num>
  <w:num w:numId="46">
    <w:abstractNumId w:val="13"/>
  </w:num>
  <w:num w:numId="47">
    <w:abstractNumId w:val="24"/>
  </w:num>
  <w:num w:numId="48">
    <w:abstractNumId w:val="30"/>
  </w:num>
  <w:num w:numId="49">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11FC"/>
    <w:rsid w:val="00001786"/>
    <w:rsid w:val="00001A64"/>
    <w:rsid w:val="00002061"/>
    <w:rsid w:val="00002240"/>
    <w:rsid w:val="00002A4B"/>
    <w:rsid w:val="00005277"/>
    <w:rsid w:val="000058F8"/>
    <w:rsid w:val="00007729"/>
    <w:rsid w:val="00011582"/>
    <w:rsid w:val="00011846"/>
    <w:rsid w:val="00012071"/>
    <w:rsid w:val="000124A6"/>
    <w:rsid w:val="00013CEE"/>
    <w:rsid w:val="00014132"/>
    <w:rsid w:val="000142E0"/>
    <w:rsid w:val="00014C93"/>
    <w:rsid w:val="00015A43"/>
    <w:rsid w:val="00015E18"/>
    <w:rsid w:val="00016015"/>
    <w:rsid w:val="00017B56"/>
    <w:rsid w:val="00020557"/>
    <w:rsid w:val="0002109C"/>
    <w:rsid w:val="00021CE3"/>
    <w:rsid w:val="000232FA"/>
    <w:rsid w:val="00023B5F"/>
    <w:rsid w:val="00023DE9"/>
    <w:rsid w:val="000243E7"/>
    <w:rsid w:val="0002450A"/>
    <w:rsid w:val="00024601"/>
    <w:rsid w:val="000247C5"/>
    <w:rsid w:val="00024D79"/>
    <w:rsid w:val="00025304"/>
    <w:rsid w:val="000257FE"/>
    <w:rsid w:val="00025CE3"/>
    <w:rsid w:val="00026AF7"/>
    <w:rsid w:val="0002700A"/>
    <w:rsid w:val="00027072"/>
    <w:rsid w:val="000273E5"/>
    <w:rsid w:val="00027441"/>
    <w:rsid w:val="0003047E"/>
    <w:rsid w:val="00030AA7"/>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C4A"/>
    <w:rsid w:val="0004205F"/>
    <w:rsid w:val="000421E0"/>
    <w:rsid w:val="00043287"/>
    <w:rsid w:val="00043A3F"/>
    <w:rsid w:val="00046621"/>
    <w:rsid w:val="00046E56"/>
    <w:rsid w:val="00047887"/>
    <w:rsid w:val="00050002"/>
    <w:rsid w:val="000507DF"/>
    <w:rsid w:val="0005110E"/>
    <w:rsid w:val="0005170F"/>
    <w:rsid w:val="00052BF1"/>
    <w:rsid w:val="00052D14"/>
    <w:rsid w:val="00052DD1"/>
    <w:rsid w:val="0005495B"/>
    <w:rsid w:val="00055A19"/>
    <w:rsid w:val="00055CA5"/>
    <w:rsid w:val="00055D63"/>
    <w:rsid w:val="00056079"/>
    <w:rsid w:val="00056B3E"/>
    <w:rsid w:val="0005755A"/>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BCC"/>
    <w:rsid w:val="00071F4C"/>
    <w:rsid w:val="00072D9B"/>
    <w:rsid w:val="00073491"/>
    <w:rsid w:val="000736D0"/>
    <w:rsid w:val="0007419A"/>
    <w:rsid w:val="000748E3"/>
    <w:rsid w:val="00075ECB"/>
    <w:rsid w:val="000764E8"/>
    <w:rsid w:val="00076BA9"/>
    <w:rsid w:val="00077FF5"/>
    <w:rsid w:val="000830F4"/>
    <w:rsid w:val="00083845"/>
    <w:rsid w:val="00085082"/>
    <w:rsid w:val="00086B53"/>
    <w:rsid w:val="00086D43"/>
    <w:rsid w:val="000911BF"/>
    <w:rsid w:val="000917D8"/>
    <w:rsid w:val="00092425"/>
    <w:rsid w:val="000925AF"/>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953"/>
    <w:rsid w:val="000A3603"/>
    <w:rsid w:val="000A558D"/>
    <w:rsid w:val="000A74DC"/>
    <w:rsid w:val="000A7BA8"/>
    <w:rsid w:val="000A7EC1"/>
    <w:rsid w:val="000B01F7"/>
    <w:rsid w:val="000B0B9A"/>
    <w:rsid w:val="000B1628"/>
    <w:rsid w:val="000B19C4"/>
    <w:rsid w:val="000B1AE6"/>
    <w:rsid w:val="000B1C30"/>
    <w:rsid w:val="000B1C78"/>
    <w:rsid w:val="000B25D7"/>
    <w:rsid w:val="000B2AC9"/>
    <w:rsid w:val="000B37D6"/>
    <w:rsid w:val="000B3B3B"/>
    <w:rsid w:val="000B5492"/>
    <w:rsid w:val="000B5831"/>
    <w:rsid w:val="000B5E57"/>
    <w:rsid w:val="000B64C3"/>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D0"/>
    <w:rsid w:val="000D5A98"/>
    <w:rsid w:val="000D65AC"/>
    <w:rsid w:val="000D7181"/>
    <w:rsid w:val="000D72F5"/>
    <w:rsid w:val="000D754F"/>
    <w:rsid w:val="000D7878"/>
    <w:rsid w:val="000E1079"/>
    <w:rsid w:val="000E14F2"/>
    <w:rsid w:val="000E3485"/>
    <w:rsid w:val="000E37FD"/>
    <w:rsid w:val="000E437C"/>
    <w:rsid w:val="000E447F"/>
    <w:rsid w:val="000E5197"/>
    <w:rsid w:val="000E56EA"/>
    <w:rsid w:val="000E5FFD"/>
    <w:rsid w:val="000E6108"/>
    <w:rsid w:val="000E698E"/>
    <w:rsid w:val="000E75F1"/>
    <w:rsid w:val="000F21B9"/>
    <w:rsid w:val="000F2598"/>
    <w:rsid w:val="000F2BDB"/>
    <w:rsid w:val="000F2E5A"/>
    <w:rsid w:val="000F442A"/>
    <w:rsid w:val="000F4825"/>
    <w:rsid w:val="000F53B7"/>
    <w:rsid w:val="000F679A"/>
    <w:rsid w:val="000F6FCF"/>
    <w:rsid w:val="001000A8"/>
    <w:rsid w:val="0010109E"/>
    <w:rsid w:val="001016BE"/>
    <w:rsid w:val="00101D87"/>
    <w:rsid w:val="001023AA"/>
    <w:rsid w:val="00104302"/>
    <w:rsid w:val="00104B7A"/>
    <w:rsid w:val="001052A1"/>
    <w:rsid w:val="00105345"/>
    <w:rsid w:val="0010535A"/>
    <w:rsid w:val="00105758"/>
    <w:rsid w:val="00105EF9"/>
    <w:rsid w:val="00106358"/>
    <w:rsid w:val="00110085"/>
    <w:rsid w:val="001106FB"/>
    <w:rsid w:val="00111187"/>
    <w:rsid w:val="00111BD8"/>
    <w:rsid w:val="00113B00"/>
    <w:rsid w:val="001140AE"/>
    <w:rsid w:val="00115CB3"/>
    <w:rsid w:val="00115CD7"/>
    <w:rsid w:val="00115FCA"/>
    <w:rsid w:val="001167A1"/>
    <w:rsid w:val="001168D6"/>
    <w:rsid w:val="00116A1C"/>
    <w:rsid w:val="001179DB"/>
    <w:rsid w:val="00117AA8"/>
    <w:rsid w:val="00120215"/>
    <w:rsid w:val="00120BA5"/>
    <w:rsid w:val="00121BCE"/>
    <w:rsid w:val="00123FF3"/>
    <w:rsid w:val="0012472C"/>
    <w:rsid w:val="00124D7C"/>
    <w:rsid w:val="00124D9E"/>
    <w:rsid w:val="0012548F"/>
    <w:rsid w:val="001264CB"/>
    <w:rsid w:val="00126BB5"/>
    <w:rsid w:val="00126D3E"/>
    <w:rsid w:val="00126D40"/>
    <w:rsid w:val="001271C3"/>
    <w:rsid w:val="0013052F"/>
    <w:rsid w:val="00132B56"/>
    <w:rsid w:val="001332A2"/>
    <w:rsid w:val="00133A01"/>
    <w:rsid w:val="00133C08"/>
    <w:rsid w:val="001348CC"/>
    <w:rsid w:val="00135610"/>
    <w:rsid w:val="00135769"/>
    <w:rsid w:val="00137BCC"/>
    <w:rsid w:val="001400C7"/>
    <w:rsid w:val="0014322B"/>
    <w:rsid w:val="001435E4"/>
    <w:rsid w:val="001445A7"/>
    <w:rsid w:val="001455A1"/>
    <w:rsid w:val="0014589C"/>
    <w:rsid w:val="00145DCD"/>
    <w:rsid w:val="00150AD8"/>
    <w:rsid w:val="00150B75"/>
    <w:rsid w:val="00150E51"/>
    <w:rsid w:val="001513FD"/>
    <w:rsid w:val="00151EDB"/>
    <w:rsid w:val="0015211E"/>
    <w:rsid w:val="00153032"/>
    <w:rsid w:val="00153F0C"/>
    <w:rsid w:val="00153FB4"/>
    <w:rsid w:val="001543FE"/>
    <w:rsid w:val="00154EC7"/>
    <w:rsid w:val="00155B53"/>
    <w:rsid w:val="001563F6"/>
    <w:rsid w:val="00157F0F"/>
    <w:rsid w:val="001606AD"/>
    <w:rsid w:val="00160A67"/>
    <w:rsid w:val="00163106"/>
    <w:rsid w:val="00164813"/>
    <w:rsid w:val="0016534C"/>
    <w:rsid w:val="00165EA2"/>
    <w:rsid w:val="001711D7"/>
    <w:rsid w:val="00172541"/>
    <w:rsid w:val="0017287C"/>
    <w:rsid w:val="00173E94"/>
    <w:rsid w:val="001744F9"/>
    <w:rsid w:val="00174763"/>
    <w:rsid w:val="001755E0"/>
    <w:rsid w:val="001756D1"/>
    <w:rsid w:val="00175EC3"/>
    <w:rsid w:val="001760E9"/>
    <w:rsid w:val="00176786"/>
    <w:rsid w:val="001800DA"/>
    <w:rsid w:val="00180F59"/>
    <w:rsid w:val="0018231C"/>
    <w:rsid w:val="00182F92"/>
    <w:rsid w:val="0018432F"/>
    <w:rsid w:val="00184D19"/>
    <w:rsid w:val="0018585A"/>
    <w:rsid w:val="001861B4"/>
    <w:rsid w:val="001865D3"/>
    <w:rsid w:val="00187F8B"/>
    <w:rsid w:val="00191584"/>
    <w:rsid w:val="00191597"/>
    <w:rsid w:val="0019161A"/>
    <w:rsid w:val="00192911"/>
    <w:rsid w:val="00192BCD"/>
    <w:rsid w:val="00193D92"/>
    <w:rsid w:val="00194870"/>
    <w:rsid w:val="001951FD"/>
    <w:rsid w:val="00195380"/>
    <w:rsid w:val="001965D5"/>
    <w:rsid w:val="0019674A"/>
    <w:rsid w:val="0019715D"/>
    <w:rsid w:val="001A0AD4"/>
    <w:rsid w:val="001A1CC5"/>
    <w:rsid w:val="001A2273"/>
    <w:rsid w:val="001A2632"/>
    <w:rsid w:val="001A2ED2"/>
    <w:rsid w:val="001A7110"/>
    <w:rsid w:val="001A7476"/>
    <w:rsid w:val="001B10DA"/>
    <w:rsid w:val="001B146A"/>
    <w:rsid w:val="001B643B"/>
    <w:rsid w:val="001B6460"/>
    <w:rsid w:val="001B79F5"/>
    <w:rsid w:val="001C087D"/>
    <w:rsid w:val="001C08F2"/>
    <w:rsid w:val="001C1786"/>
    <w:rsid w:val="001C226F"/>
    <w:rsid w:val="001C3412"/>
    <w:rsid w:val="001C3C0F"/>
    <w:rsid w:val="001C4219"/>
    <w:rsid w:val="001C4A5D"/>
    <w:rsid w:val="001C4EDC"/>
    <w:rsid w:val="001C4EFA"/>
    <w:rsid w:val="001C5776"/>
    <w:rsid w:val="001C5D5C"/>
    <w:rsid w:val="001C64EB"/>
    <w:rsid w:val="001C6DC3"/>
    <w:rsid w:val="001C703D"/>
    <w:rsid w:val="001C72AB"/>
    <w:rsid w:val="001C7B41"/>
    <w:rsid w:val="001D1F54"/>
    <w:rsid w:val="001D2636"/>
    <w:rsid w:val="001D31CF"/>
    <w:rsid w:val="001D357A"/>
    <w:rsid w:val="001D3D0A"/>
    <w:rsid w:val="001D6EF9"/>
    <w:rsid w:val="001D6FFF"/>
    <w:rsid w:val="001D770D"/>
    <w:rsid w:val="001E0F0C"/>
    <w:rsid w:val="001E1489"/>
    <w:rsid w:val="001E1833"/>
    <w:rsid w:val="001E2286"/>
    <w:rsid w:val="001E2BD2"/>
    <w:rsid w:val="001E347B"/>
    <w:rsid w:val="001E3DFE"/>
    <w:rsid w:val="001E418F"/>
    <w:rsid w:val="001E6413"/>
    <w:rsid w:val="001E6AE6"/>
    <w:rsid w:val="001E6F69"/>
    <w:rsid w:val="001E715B"/>
    <w:rsid w:val="001E71D7"/>
    <w:rsid w:val="001F0687"/>
    <w:rsid w:val="001F1433"/>
    <w:rsid w:val="001F1862"/>
    <w:rsid w:val="001F3E4F"/>
    <w:rsid w:val="001F47B5"/>
    <w:rsid w:val="001F56CE"/>
    <w:rsid w:val="001F5A42"/>
    <w:rsid w:val="001F6FD5"/>
    <w:rsid w:val="001F773D"/>
    <w:rsid w:val="00200222"/>
    <w:rsid w:val="00200444"/>
    <w:rsid w:val="0020062C"/>
    <w:rsid w:val="0020064C"/>
    <w:rsid w:val="00200823"/>
    <w:rsid w:val="00200BE9"/>
    <w:rsid w:val="0020199E"/>
    <w:rsid w:val="00201A37"/>
    <w:rsid w:val="00202D9A"/>
    <w:rsid w:val="002037FC"/>
    <w:rsid w:val="00203B0B"/>
    <w:rsid w:val="00203BF4"/>
    <w:rsid w:val="002040E7"/>
    <w:rsid w:val="002043D7"/>
    <w:rsid w:val="002048F7"/>
    <w:rsid w:val="002049FA"/>
    <w:rsid w:val="00204FE8"/>
    <w:rsid w:val="00205D0D"/>
    <w:rsid w:val="00206D17"/>
    <w:rsid w:val="00207025"/>
    <w:rsid w:val="00207B3C"/>
    <w:rsid w:val="00210F85"/>
    <w:rsid w:val="002119AD"/>
    <w:rsid w:val="00215520"/>
    <w:rsid w:val="0021590B"/>
    <w:rsid w:val="00215FAB"/>
    <w:rsid w:val="00217695"/>
    <w:rsid w:val="002205F3"/>
    <w:rsid w:val="00221313"/>
    <w:rsid w:val="002213A3"/>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571"/>
    <w:rsid w:val="00231B83"/>
    <w:rsid w:val="00232374"/>
    <w:rsid w:val="002326F4"/>
    <w:rsid w:val="00232868"/>
    <w:rsid w:val="002328D2"/>
    <w:rsid w:val="0023415A"/>
    <w:rsid w:val="00234EA0"/>
    <w:rsid w:val="0023561C"/>
    <w:rsid w:val="00235B94"/>
    <w:rsid w:val="00237481"/>
    <w:rsid w:val="00240C09"/>
    <w:rsid w:val="00240D4D"/>
    <w:rsid w:val="002419CA"/>
    <w:rsid w:val="00241C29"/>
    <w:rsid w:val="00242666"/>
    <w:rsid w:val="00243BC0"/>
    <w:rsid w:val="00245136"/>
    <w:rsid w:val="002457A2"/>
    <w:rsid w:val="00245A60"/>
    <w:rsid w:val="00245CD4"/>
    <w:rsid w:val="002460C7"/>
    <w:rsid w:val="00246F51"/>
    <w:rsid w:val="002479AC"/>
    <w:rsid w:val="00247E02"/>
    <w:rsid w:val="00251418"/>
    <w:rsid w:val="002525C2"/>
    <w:rsid w:val="002525F9"/>
    <w:rsid w:val="002527F0"/>
    <w:rsid w:val="00252D9C"/>
    <w:rsid w:val="00252DA5"/>
    <w:rsid w:val="00254776"/>
    <w:rsid w:val="00255669"/>
    <w:rsid w:val="0025617D"/>
    <w:rsid w:val="00256BEC"/>
    <w:rsid w:val="00256F0A"/>
    <w:rsid w:val="002571FC"/>
    <w:rsid w:val="00260907"/>
    <w:rsid w:val="00260B0A"/>
    <w:rsid w:val="00261903"/>
    <w:rsid w:val="00261EA6"/>
    <w:rsid w:val="00261FDB"/>
    <w:rsid w:val="002634CF"/>
    <w:rsid w:val="002635C7"/>
    <w:rsid w:val="00263616"/>
    <w:rsid w:val="002646B8"/>
    <w:rsid w:val="00267ABD"/>
    <w:rsid w:val="002706AD"/>
    <w:rsid w:val="00270828"/>
    <w:rsid w:val="00270AEC"/>
    <w:rsid w:val="002713AA"/>
    <w:rsid w:val="002713F4"/>
    <w:rsid w:val="002725D3"/>
    <w:rsid w:val="002736DF"/>
    <w:rsid w:val="002737D4"/>
    <w:rsid w:val="00274160"/>
    <w:rsid w:val="00274765"/>
    <w:rsid w:val="00274C1C"/>
    <w:rsid w:val="00274DCF"/>
    <w:rsid w:val="00275718"/>
    <w:rsid w:val="00275A32"/>
    <w:rsid w:val="002761B2"/>
    <w:rsid w:val="0027698E"/>
    <w:rsid w:val="00276CC9"/>
    <w:rsid w:val="002776B9"/>
    <w:rsid w:val="00277FEC"/>
    <w:rsid w:val="0028000C"/>
    <w:rsid w:val="00280603"/>
    <w:rsid w:val="00280A90"/>
    <w:rsid w:val="0028106D"/>
    <w:rsid w:val="0028403D"/>
    <w:rsid w:val="002852F7"/>
    <w:rsid w:val="002859C4"/>
    <w:rsid w:val="00285E58"/>
    <w:rsid w:val="00286C54"/>
    <w:rsid w:val="002879B4"/>
    <w:rsid w:val="00287B4A"/>
    <w:rsid w:val="002908E2"/>
    <w:rsid w:val="002910B2"/>
    <w:rsid w:val="00291154"/>
    <w:rsid w:val="0029132C"/>
    <w:rsid w:val="00292D44"/>
    <w:rsid w:val="00293765"/>
    <w:rsid w:val="0029379B"/>
    <w:rsid w:val="00293E9C"/>
    <w:rsid w:val="0029442A"/>
    <w:rsid w:val="00295B31"/>
    <w:rsid w:val="00295B97"/>
    <w:rsid w:val="002962DA"/>
    <w:rsid w:val="00297110"/>
    <w:rsid w:val="0029725F"/>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5510"/>
    <w:rsid w:val="002B5CF2"/>
    <w:rsid w:val="002B6D6C"/>
    <w:rsid w:val="002B75A5"/>
    <w:rsid w:val="002B7981"/>
    <w:rsid w:val="002B7C5C"/>
    <w:rsid w:val="002B7F3A"/>
    <w:rsid w:val="002C016E"/>
    <w:rsid w:val="002C07E4"/>
    <w:rsid w:val="002C08B8"/>
    <w:rsid w:val="002C0E2F"/>
    <w:rsid w:val="002C2466"/>
    <w:rsid w:val="002C24B9"/>
    <w:rsid w:val="002C2B80"/>
    <w:rsid w:val="002C42F2"/>
    <w:rsid w:val="002C4B6E"/>
    <w:rsid w:val="002C5F52"/>
    <w:rsid w:val="002C704D"/>
    <w:rsid w:val="002D03B9"/>
    <w:rsid w:val="002D10D5"/>
    <w:rsid w:val="002D1175"/>
    <w:rsid w:val="002D3D63"/>
    <w:rsid w:val="002D3FFF"/>
    <w:rsid w:val="002D4382"/>
    <w:rsid w:val="002D4A78"/>
    <w:rsid w:val="002D4C38"/>
    <w:rsid w:val="002D4C63"/>
    <w:rsid w:val="002D4D5D"/>
    <w:rsid w:val="002D5A51"/>
    <w:rsid w:val="002D691D"/>
    <w:rsid w:val="002D6C8A"/>
    <w:rsid w:val="002E01B5"/>
    <w:rsid w:val="002E211F"/>
    <w:rsid w:val="002E29B4"/>
    <w:rsid w:val="002E44D6"/>
    <w:rsid w:val="002E459D"/>
    <w:rsid w:val="002E5473"/>
    <w:rsid w:val="002E615C"/>
    <w:rsid w:val="002E62B0"/>
    <w:rsid w:val="002E7F30"/>
    <w:rsid w:val="002F0853"/>
    <w:rsid w:val="002F0F3E"/>
    <w:rsid w:val="002F31FD"/>
    <w:rsid w:val="002F32E6"/>
    <w:rsid w:val="002F47C0"/>
    <w:rsid w:val="002F4AF0"/>
    <w:rsid w:val="002F5750"/>
    <w:rsid w:val="002F57AC"/>
    <w:rsid w:val="002F5819"/>
    <w:rsid w:val="002F5EE1"/>
    <w:rsid w:val="002F63EB"/>
    <w:rsid w:val="002F6997"/>
    <w:rsid w:val="002F6FA0"/>
    <w:rsid w:val="002F795E"/>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20F33"/>
    <w:rsid w:val="0032128B"/>
    <w:rsid w:val="00321539"/>
    <w:rsid w:val="0032154F"/>
    <w:rsid w:val="0032266E"/>
    <w:rsid w:val="003227CC"/>
    <w:rsid w:val="0032340F"/>
    <w:rsid w:val="0032356C"/>
    <w:rsid w:val="00323A05"/>
    <w:rsid w:val="00323D28"/>
    <w:rsid w:val="00325509"/>
    <w:rsid w:val="00325F6C"/>
    <w:rsid w:val="003262D8"/>
    <w:rsid w:val="00326919"/>
    <w:rsid w:val="00326F5F"/>
    <w:rsid w:val="00327162"/>
    <w:rsid w:val="0033098C"/>
    <w:rsid w:val="0033099B"/>
    <w:rsid w:val="00330A97"/>
    <w:rsid w:val="0033100D"/>
    <w:rsid w:val="00331ACB"/>
    <w:rsid w:val="00331C12"/>
    <w:rsid w:val="00331F0C"/>
    <w:rsid w:val="00331F6F"/>
    <w:rsid w:val="00332490"/>
    <w:rsid w:val="00333BE7"/>
    <w:rsid w:val="00333F1A"/>
    <w:rsid w:val="00334052"/>
    <w:rsid w:val="00335DF3"/>
    <w:rsid w:val="00336A36"/>
    <w:rsid w:val="00337140"/>
    <w:rsid w:val="00337D94"/>
    <w:rsid w:val="00337F36"/>
    <w:rsid w:val="00340D07"/>
    <w:rsid w:val="00340F46"/>
    <w:rsid w:val="003429F9"/>
    <w:rsid w:val="00342F72"/>
    <w:rsid w:val="0034321F"/>
    <w:rsid w:val="00343E1E"/>
    <w:rsid w:val="003447C3"/>
    <w:rsid w:val="00344B13"/>
    <w:rsid w:val="00344BCF"/>
    <w:rsid w:val="00344D4D"/>
    <w:rsid w:val="003465B5"/>
    <w:rsid w:val="00346B57"/>
    <w:rsid w:val="00347160"/>
    <w:rsid w:val="00347F9A"/>
    <w:rsid w:val="003505DD"/>
    <w:rsid w:val="00350A12"/>
    <w:rsid w:val="00350F5C"/>
    <w:rsid w:val="00351248"/>
    <w:rsid w:val="003512EC"/>
    <w:rsid w:val="0035145B"/>
    <w:rsid w:val="00351F56"/>
    <w:rsid w:val="003527B4"/>
    <w:rsid w:val="003529C2"/>
    <w:rsid w:val="00353184"/>
    <w:rsid w:val="00353D37"/>
    <w:rsid w:val="00354714"/>
    <w:rsid w:val="003567CE"/>
    <w:rsid w:val="00356BAD"/>
    <w:rsid w:val="00356CCD"/>
    <w:rsid w:val="003604AE"/>
    <w:rsid w:val="00360C81"/>
    <w:rsid w:val="00361E48"/>
    <w:rsid w:val="00361F46"/>
    <w:rsid w:val="00363F5C"/>
    <w:rsid w:val="003641AD"/>
    <w:rsid w:val="003661D3"/>
    <w:rsid w:val="0036641A"/>
    <w:rsid w:val="00370548"/>
    <w:rsid w:val="00370CCB"/>
    <w:rsid w:val="003746E1"/>
    <w:rsid w:val="003748B6"/>
    <w:rsid w:val="00374BB8"/>
    <w:rsid w:val="003754CD"/>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73CF"/>
    <w:rsid w:val="00390587"/>
    <w:rsid w:val="00391B98"/>
    <w:rsid w:val="0039201C"/>
    <w:rsid w:val="00394949"/>
    <w:rsid w:val="00395070"/>
    <w:rsid w:val="003953F0"/>
    <w:rsid w:val="00395762"/>
    <w:rsid w:val="00396061"/>
    <w:rsid w:val="0039613E"/>
    <w:rsid w:val="003965BB"/>
    <w:rsid w:val="00396707"/>
    <w:rsid w:val="00396CC5"/>
    <w:rsid w:val="003A088F"/>
    <w:rsid w:val="003A0DB7"/>
    <w:rsid w:val="003A2251"/>
    <w:rsid w:val="003A3334"/>
    <w:rsid w:val="003A37C0"/>
    <w:rsid w:val="003A3C4C"/>
    <w:rsid w:val="003A5C4C"/>
    <w:rsid w:val="003A7071"/>
    <w:rsid w:val="003B01EE"/>
    <w:rsid w:val="003B0516"/>
    <w:rsid w:val="003B2007"/>
    <w:rsid w:val="003B301F"/>
    <w:rsid w:val="003B3C5F"/>
    <w:rsid w:val="003B3D68"/>
    <w:rsid w:val="003B48B7"/>
    <w:rsid w:val="003B6100"/>
    <w:rsid w:val="003B62FD"/>
    <w:rsid w:val="003B6653"/>
    <w:rsid w:val="003B6760"/>
    <w:rsid w:val="003B6EB5"/>
    <w:rsid w:val="003C07C5"/>
    <w:rsid w:val="003C0D9C"/>
    <w:rsid w:val="003C0E5B"/>
    <w:rsid w:val="003C0FF2"/>
    <w:rsid w:val="003C179C"/>
    <w:rsid w:val="003C2647"/>
    <w:rsid w:val="003C2F64"/>
    <w:rsid w:val="003C3C73"/>
    <w:rsid w:val="003C3F66"/>
    <w:rsid w:val="003C4172"/>
    <w:rsid w:val="003C4D5B"/>
    <w:rsid w:val="003C5614"/>
    <w:rsid w:val="003C5C25"/>
    <w:rsid w:val="003C5D97"/>
    <w:rsid w:val="003C7843"/>
    <w:rsid w:val="003D219D"/>
    <w:rsid w:val="003D33F7"/>
    <w:rsid w:val="003D4576"/>
    <w:rsid w:val="003D4F68"/>
    <w:rsid w:val="003D5339"/>
    <w:rsid w:val="003D55E1"/>
    <w:rsid w:val="003D5625"/>
    <w:rsid w:val="003D57BD"/>
    <w:rsid w:val="003D5824"/>
    <w:rsid w:val="003D5CC0"/>
    <w:rsid w:val="003D6811"/>
    <w:rsid w:val="003D76E2"/>
    <w:rsid w:val="003D7B91"/>
    <w:rsid w:val="003E15E3"/>
    <w:rsid w:val="003E15FD"/>
    <w:rsid w:val="003E1AFA"/>
    <w:rsid w:val="003E2373"/>
    <w:rsid w:val="003E262D"/>
    <w:rsid w:val="003E2757"/>
    <w:rsid w:val="003E3BA4"/>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3D32"/>
    <w:rsid w:val="003F437F"/>
    <w:rsid w:val="003F4F94"/>
    <w:rsid w:val="003F510A"/>
    <w:rsid w:val="003F549A"/>
    <w:rsid w:val="003F5D7F"/>
    <w:rsid w:val="003F6382"/>
    <w:rsid w:val="003F6762"/>
    <w:rsid w:val="003F6EE3"/>
    <w:rsid w:val="003F78A9"/>
    <w:rsid w:val="0040019C"/>
    <w:rsid w:val="00400842"/>
    <w:rsid w:val="00400A1F"/>
    <w:rsid w:val="004028F0"/>
    <w:rsid w:val="00402A19"/>
    <w:rsid w:val="004031E2"/>
    <w:rsid w:val="004033C4"/>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5CFC"/>
    <w:rsid w:val="00416136"/>
    <w:rsid w:val="00420A3B"/>
    <w:rsid w:val="00420AB5"/>
    <w:rsid w:val="00421CBB"/>
    <w:rsid w:val="004220CA"/>
    <w:rsid w:val="004228C2"/>
    <w:rsid w:val="00423D72"/>
    <w:rsid w:val="00424F1B"/>
    <w:rsid w:val="00424FBB"/>
    <w:rsid w:val="00425793"/>
    <w:rsid w:val="00425B4A"/>
    <w:rsid w:val="004268C7"/>
    <w:rsid w:val="00426B8F"/>
    <w:rsid w:val="00426ECD"/>
    <w:rsid w:val="00427161"/>
    <w:rsid w:val="00427D31"/>
    <w:rsid w:val="004305AF"/>
    <w:rsid w:val="004331B4"/>
    <w:rsid w:val="00433439"/>
    <w:rsid w:val="0043387F"/>
    <w:rsid w:val="004351D4"/>
    <w:rsid w:val="00435C78"/>
    <w:rsid w:val="00436853"/>
    <w:rsid w:val="004408E6"/>
    <w:rsid w:val="004412D5"/>
    <w:rsid w:val="004415E2"/>
    <w:rsid w:val="00441A37"/>
    <w:rsid w:val="00441E1B"/>
    <w:rsid w:val="00441E45"/>
    <w:rsid w:val="004429E2"/>
    <w:rsid w:val="0044393A"/>
    <w:rsid w:val="0044394C"/>
    <w:rsid w:val="00443C4F"/>
    <w:rsid w:val="00444114"/>
    <w:rsid w:val="004442D3"/>
    <w:rsid w:val="00447339"/>
    <w:rsid w:val="004477C9"/>
    <w:rsid w:val="00447EE5"/>
    <w:rsid w:val="00450E5A"/>
    <w:rsid w:val="004511AE"/>
    <w:rsid w:val="00451644"/>
    <w:rsid w:val="004516BD"/>
    <w:rsid w:val="0045193E"/>
    <w:rsid w:val="004529D8"/>
    <w:rsid w:val="004539DA"/>
    <w:rsid w:val="00455312"/>
    <w:rsid w:val="0045690D"/>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6CD9"/>
    <w:rsid w:val="00467BE4"/>
    <w:rsid w:val="00470719"/>
    <w:rsid w:val="00472A79"/>
    <w:rsid w:val="00472ACA"/>
    <w:rsid w:val="00472E72"/>
    <w:rsid w:val="004732C2"/>
    <w:rsid w:val="004734C7"/>
    <w:rsid w:val="004743D6"/>
    <w:rsid w:val="00474FF0"/>
    <w:rsid w:val="004755C3"/>
    <w:rsid w:val="00475D3E"/>
    <w:rsid w:val="0047677D"/>
    <w:rsid w:val="00477361"/>
    <w:rsid w:val="00477E0A"/>
    <w:rsid w:val="00480DF5"/>
    <w:rsid w:val="004823CB"/>
    <w:rsid w:val="00482F34"/>
    <w:rsid w:val="00483DD5"/>
    <w:rsid w:val="00485EA6"/>
    <w:rsid w:val="00490086"/>
    <w:rsid w:val="004904F9"/>
    <w:rsid w:val="00491C8D"/>
    <w:rsid w:val="00492374"/>
    <w:rsid w:val="00492ED3"/>
    <w:rsid w:val="0049347F"/>
    <w:rsid w:val="004940E4"/>
    <w:rsid w:val="004940F8"/>
    <w:rsid w:val="00495110"/>
    <w:rsid w:val="004955DA"/>
    <w:rsid w:val="00495F59"/>
    <w:rsid w:val="004961BF"/>
    <w:rsid w:val="004971E8"/>
    <w:rsid w:val="004A3CBD"/>
    <w:rsid w:val="004A46D9"/>
    <w:rsid w:val="004A5CD7"/>
    <w:rsid w:val="004A6166"/>
    <w:rsid w:val="004A654F"/>
    <w:rsid w:val="004A66EE"/>
    <w:rsid w:val="004A688A"/>
    <w:rsid w:val="004A6B7F"/>
    <w:rsid w:val="004B1BC7"/>
    <w:rsid w:val="004B2250"/>
    <w:rsid w:val="004B32D3"/>
    <w:rsid w:val="004B344F"/>
    <w:rsid w:val="004B4150"/>
    <w:rsid w:val="004B4B28"/>
    <w:rsid w:val="004B7248"/>
    <w:rsid w:val="004B72DD"/>
    <w:rsid w:val="004C0C1D"/>
    <w:rsid w:val="004C1E12"/>
    <w:rsid w:val="004C1EDE"/>
    <w:rsid w:val="004C2872"/>
    <w:rsid w:val="004C3902"/>
    <w:rsid w:val="004C40E4"/>
    <w:rsid w:val="004C4101"/>
    <w:rsid w:val="004C583B"/>
    <w:rsid w:val="004C758D"/>
    <w:rsid w:val="004C76BE"/>
    <w:rsid w:val="004C7B29"/>
    <w:rsid w:val="004D0366"/>
    <w:rsid w:val="004D0940"/>
    <w:rsid w:val="004D09EB"/>
    <w:rsid w:val="004D1910"/>
    <w:rsid w:val="004D2E64"/>
    <w:rsid w:val="004D3247"/>
    <w:rsid w:val="004D3E27"/>
    <w:rsid w:val="004D65FF"/>
    <w:rsid w:val="004D7AC0"/>
    <w:rsid w:val="004D7CB8"/>
    <w:rsid w:val="004D7F08"/>
    <w:rsid w:val="004E0C44"/>
    <w:rsid w:val="004E114D"/>
    <w:rsid w:val="004E1AA1"/>
    <w:rsid w:val="004E3304"/>
    <w:rsid w:val="004E34ED"/>
    <w:rsid w:val="004E41B9"/>
    <w:rsid w:val="004E5A3A"/>
    <w:rsid w:val="004E5DC9"/>
    <w:rsid w:val="004E77E1"/>
    <w:rsid w:val="004F0CF5"/>
    <w:rsid w:val="004F2430"/>
    <w:rsid w:val="004F271C"/>
    <w:rsid w:val="004F3158"/>
    <w:rsid w:val="004F32CD"/>
    <w:rsid w:val="004F4CD9"/>
    <w:rsid w:val="004F68A8"/>
    <w:rsid w:val="004F7FE1"/>
    <w:rsid w:val="00500031"/>
    <w:rsid w:val="00501036"/>
    <w:rsid w:val="00501B49"/>
    <w:rsid w:val="00502092"/>
    <w:rsid w:val="0050211A"/>
    <w:rsid w:val="00502B04"/>
    <w:rsid w:val="00502C82"/>
    <w:rsid w:val="005030F7"/>
    <w:rsid w:val="00503E8A"/>
    <w:rsid w:val="00504D3B"/>
    <w:rsid w:val="0050513B"/>
    <w:rsid w:val="00505C07"/>
    <w:rsid w:val="00507FBD"/>
    <w:rsid w:val="00510903"/>
    <w:rsid w:val="00510B95"/>
    <w:rsid w:val="00510F71"/>
    <w:rsid w:val="0051254E"/>
    <w:rsid w:val="005127F5"/>
    <w:rsid w:val="00512A34"/>
    <w:rsid w:val="0051658B"/>
    <w:rsid w:val="00516CCE"/>
    <w:rsid w:val="00516FB9"/>
    <w:rsid w:val="00520680"/>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0143"/>
    <w:rsid w:val="005414B4"/>
    <w:rsid w:val="00542A74"/>
    <w:rsid w:val="00542AB1"/>
    <w:rsid w:val="00542C6F"/>
    <w:rsid w:val="005445DD"/>
    <w:rsid w:val="00544D95"/>
    <w:rsid w:val="005463FF"/>
    <w:rsid w:val="0054651F"/>
    <w:rsid w:val="00546746"/>
    <w:rsid w:val="00546842"/>
    <w:rsid w:val="00546843"/>
    <w:rsid w:val="00546B94"/>
    <w:rsid w:val="005475DA"/>
    <w:rsid w:val="00550800"/>
    <w:rsid w:val="0055106D"/>
    <w:rsid w:val="00552022"/>
    <w:rsid w:val="005522C8"/>
    <w:rsid w:val="0055236A"/>
    <w:rsid w:val="005523A0"/>
    <w:rsid w:val="005531A7"/>
    <w:rsid w:val="00553758"/>
    <w:rsid w:val="00554499"/>
    <w:rsid w:val="00555A39"/>
    <w:rsid w:val="00555C58"/>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919"/>
    <w:rsid w:val="00570527"/>
    <w:rsid w:val="00570D62"/>
    <w:rsid w:val="00570DDC"/>
    <w:rsid w:val="00571BCD"/>
    <w:rsid w:val="00571FEB"/>
    <w:rsid w:val="005721DA"/>
    <w:rsid w:val="00572679"/>
    <w:rsid w:val="00572735"/>
    <w:rsid w:val="005727A8"/>
    <w:rsid w:val="00574403"/>
    <w:rsid w:val="00574E5A"/>
    <w:rsid w:val="00577672"/>
    <w:rsid w:val="00582A42"/>
    <w:rsid w:val="00584D91"/>
    <w:rsid w:val="00585857"/>
    <w:rsid w:val="0058593B"/>
    <w:rsid w:val="0058593F"/>
    <w:rsid w:val="005864FB"/>
    <w:rsid w:val="00586967"/>
    <w:rsid w:val="00586B4B"/>
    <w:rsid w:val="005874AF"/>
    <w:rsid w:val="00587FA5"/>
    <w:rsid w:val="00590BDD"/>
    <w:rsid w:val="00593F1B"/>
    <w:rsid w:val="00594140"/>
    <w:rsid w:val="005941E3"/>
    <w:rsid w:val="00594760"/>
    <w:rsid w:val="0059541C"/>
    <w:rsid w:val="0059647B"/>
    <w:rsid w:val="005967FB"/>
    <w:rsid w:val="005A112C"/>
    <w:rsid w:val="005A1FA3"/>
    <w:rsid w:val="005A297E"/>
    <w:rsid w:val="005A29D5"/>
    <w:rsid w:val="005A31A4"/>
    <w:rsid w:val="005A3AC1"/>
    <w:rsid w:val="005A3DF8"/>
    <w:rsid w:val="005A3E6D"/>
    <w:rsid w:val="005A4945"/>
    <w:rsid w:val="005A4ABB"/>
    <w:rsid w:val="005A4E72"/>
    <w:rsid w:val="005A622F"/>
    <w:rsid w:val="005A67F3"/>
    <w:rsid w:val="005A6946"/>
    <w:rsid w:val="005A755F"/>
    <w:rsid w:val="005A7D66"/>
    <w:rsid w:val="005B0E27"/>
    <w:rsid w:val="005B3012"/>
    <w:rsid w:val="005B3E1F"/>
    <w:rsid w:val="005B3E41"/>
    <w:rsid w:val="005B4680"/>
    <w:rsid w:val="005B4EE6"/>
    <w:rsid w:val="005B5038"/>
    <w:rsid w:val="005B6007"/>
    <w:rsid w:val="005B7660"/>
    <w:rsid w:val="005C0363"/>
    <w:rsid w:val="005C0454"/>
    <w:rsid w:val="005C078D"/>
    <w:rsid w:val="005C6297"/>
    <w:rsid w:val="005C63F8"/>
    <w:rsid w:val="005C6A74"/>
    <w:rsid w:val="005C72B5"/>
    <w:rsid w:val="005C7902"/>
    <w:rsid w:val="005C7C47"/>
    <w:rsid w:val="005D0AE8"/>
    <w:rsid w:val="005D326D"/>
    <w:rsid w:val="005D3431"/>
    <w:rsid w:val="005D55F5"/>
    <w:rsid w:val="005D610D"/>
    <w:rsid w:val="005D621C"/>
    <w:rsid w:val="005D6E4D"/>
    <w:rsid w:val="005D76AC"/>
    <w:rsid w:val="005D7939"/>
    <w:rsid w:val="005E0555"/>
    <w:rsid w:val="005E1D60"/>
    <w:rsid w:val="005E23CD"/>
    <w:rsid w:val="005E2C02"/>
    <w:rsid w:val="005E3426"/>
    <w:rsid w:val="005E3EE4"/>
    <w:rsid w:val="005E4970"/>
    <w:rsid w:val="005E547D"/>
    <w:rsid w:val="005E56F3"/>
    <w:rsid w:val="005E60E1"/>
    <w:rsid w:val="005E682E"/>
    <w:rsid w:val="005E764B"/>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10B3B"/>
    <w:rsid w:val="0061132E"/>
    <w:rsid w:val="006119BD"/>
    <w:rsid w:val="00612458"/>
    <w:rsid w:val="006125A8"/>
    <w:rsid w:val="00613467"/>
    <w:rsid w:val="0061692F"/>
    <w:rsid w:val="00617140"/>
    <w:rsid w:val="0061753E"/>
    <w:rsid w:val="006178CC"/>
    <w:rsid w:val="006203CD"/>
    <w:rsid w:val="0062050F"/>
    <w:rsid w:val="00620F8C"/>
    <w:rsid w:val="00621329"/>
    <w:rsid w:val="0062138E"/>
    <w:rsid w:val="00621E7B"/>
    <w:rsid w:val="00622199"/>
    <w:rsid w:val="00622822"/>
    <w:rsid w:val="00623469"/>
    <w:rsid w:val="00624785"/>
    <w:rsid w:val="00624933"/>
    <w:rsid w:val="00624CAC"/>
    <w:rsid w:val="00625885"/>
    <w:rsid w:val="006260A5"/>
    <w:rsid w:val="006262F2"/>
    <w:rsid w:val="006263FF"/>
    <w:rsid w:val="00626B92"/>
    <w:rsid w:val="00627B8F"/>
    <w:rsid w:val="00627D71"/>
    <w:rsid w:val="00630047"/>
    <w:rsid w:val="0063079B"/>
    <w:rsid w:val="00630928"/>
    <w:rsid w:val="00631509"/>
    <w:rsid w:val="0063176E"/>
    <w:rsid w:val="00631A84"/>
    <w:rsid w:val="00632139"/>
    <w:rsid w:val="0063245C"/>
    <w:rsid w:val="006324DA"/>
    <w:rsid w:val="006334BE"/>
    <w:rsid w:val="00633FC6"/>
    <w:rsid w:val="00636F0E"/>
    <w:rsid w:val="00637ED7"/>
    <w:rsid w:val="00637F76"/>
    <w:rsid w:val="00640656"/>
    <w:rsid w:val="00640B6E"/>
    <w:rsid w:val="00640E92"/>
    <w:rsid w:val="00641262"/>
    <w:rsid w:val="00641B9B"/>
    <w:rsid w:val="006432CF"/>
    <w:rsid w:val="006433A5"/>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604D8"/>
    <w:rsid w:val="00661542"/>
    <w:rsid w:val="00662436"/>
    <w:rsid w:val="00662475"/>
    <w:rsid w:val="00662D95"/>
    <w:rsid w:val="0066408C"/>
    <w:rsid w:val="006669FA"/>
    <w:rsid w:val="00666A72"/>
    <w:rsid w:val="00667E70"/>
    <w:rsid w:val="00670347"/>
    <w:rsid w:val="00670387"/>
    <w:rsid w:val="006722E8"/>
    <w:rsid w:val="0067337A"/>
    <w:rsid w:val="006736F5"/>
    <w:rsid w:val="006749D4"/>
    <w:rsid w:val="00674A47"/>
    <w:rsid w:val="00675177"/>
    <w:rsid w:val="00675C3E"/>
    <w:rsid w:val="00675DC1"/>
    <w:rsid w:val="00676CBB"/>
    <w:rsid w:val="00677979"/>
    <w:rsid w:val="0068132C"/>
    <w:rsid w:val="00681B23"/>
    <w:rsid w:val="00681E56"/>
    <w:rsid w:val="0068241A"/>
    <w:rsid w:val="00682943"/>
    <w:rsid w:val="00682B1D"/>
    <w:rsid w:val="00682BBF"/>
    <w:rsid w:val="0068439A"/>
    <w:rsid w:val="006849A6"/>
    <w:rsid w:val="00685937"/>
    <w:rsid w:val="00685C57"/>
    <w:rsid w:val="00686FAC"/>
    <w:rsid w:val="00687437"/>
    <w:rsid w:val="00687C49"/>
    <w:rsid w:val="0069051C"/>
    <w:rsid w:val="00691253"/>
    <w:rsid w:val="00691356"/>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97B"/>
    <w:rsid w:val="006A5171"/>
    <w:rsid w:val="006A5764"/>
    <w:rsid w:val="006A5AA8"/>
    <w:rsid w:val="006A66F5"/>
    <w:rsid w:val="006A6D9B"/>
    <w:rsid w:val="006A6FE4"/>
    <w:rsid w:val="006A737A"/>
    <w:rsid w:val="006A7E31"/>
    <w:rsid w:val="006A7FB4"/>
    <w:rsid w:val="006B050A"/>
    <w:rsid w:val="006B106B"/>
    <w:rsid w:val="006B13C2"/>
    <w:rsid w:val="006B265F"/>
    <w:rsid w:val="006B318C"/>
    <w:rsid w:val="006B3316"/>
    <w:rsid w:val="006B3967"/>
    <w:rsid w:val="006B5025"/>
    <w:rsid w:val="006B58ED"/>
    <w:rsid w:val="006B5D99"/>
    <w:rsid w:val="006B6D88"/>
    <w:rsid w:val="006C1160"/>
    <w:rsid w:val="006C23B2"/>
    <w:rsid w:val="006C24B2"/>
    <w:rsid w:val="006C25B5"/>
    <w:rsid w:val="006C2C92"/>
    <w:rsid w:val="006C2EB9"/>
    <w:rsid w:val="006C4311"/>
    <w:rsid w:val="006C4EC5"/>
    <w:rsid w:val="006C4ED2"/>
    <w:rsid w:val="006C61EF"/>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6D5"/>
    <w:rsid w:val="006E1DD7"/>
    <w:rsid w:val="006E224A"/>
    <w:rsid w:val="006E3078"/>
    <w:rsid w:val="006E360B"/>
    <w:rsid w:val="006E3F60"/>
    <w:rsid w:val="006E4430"/>
    <w:rsid w:val="006E489B"/>
    <w:rsid w:val="006E4F6C"/>
    <w:rsid w:val="006E6434"/>
    <w:rsid w:val="006E679C"/>
    <w:rsid w:val="006F04AD"/>
    <w:rsid w:val="006F108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141F"/>
    <w:rsid w:val="007133BE"/>
    <w:rsid w:val="0071398A"/>
    <w:rsid w:val="007150C5"/>
    <w:rsid w:val="007155A0"/>
    <w:rsid w:val="00715A60"/>
    <w:rsid w:val="007179BC"/>
    <w:rsid w:val="00720D22"/>
    <w:rsid w:val="00721342"/>
    <w:rsid w:val="00721386"/>
    <w:rsid w:val="00721B7D"/>
    <w:rsid w:val="007220B3"/>
    <w:rsid w:val="00724702"/>
    <w:rsid w:val="00724D6D"/>
    <w:rsid w:val="00727B0D"/>
    <w:rsid w:val="00730A22"/>
    <w:rsid w:val="00730BCC"/>
    <w:rsid w:val="00730BDD"/>
    <w:rsid w:val="00730F46"/>
    <w:rsid w:val="007313E4"/>
    <w:rsid w:val="007327CD"/>
    <w:rsid w:val="00732CC4"/>
    <w:rsid w:val="00733A55"/>
    <w:rsid w:val="00734181"/>
    <w:rsid w:val="00735256"/>
    <w:rsid w:val="00737766"/>
    <w:rsid w:val="007406C8"/>
    <w:rsid w:val="007425D2"/>
    <w:rsid w:val="0074379C"/>
    <w:rsid w:val="00743FAB"/>
    <w:rsid w:val="0074419C"/>
    <w:rsid w:val="00744C0A"/>
    <w:rsid w:val="0074506B"/>
    <w:rsid w:val="00745EAA"/>
    <w:rsid w:val="00746B35"/>
    <w:rsid w:val="007473E6"/>
    <w:rsid w:val="00747EBB"/>
    <w:rsid w:val="00750766"/>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B02"/>
    <w:rsid w:val="00760C0A"/>
    <w:rsid w:val="0076429F"/>
    <w:rsid w:val="007650A7"/>
    <w:rsid w:val="00765480"/>
    <w:rsid w:val="00765C4F"/>
    <w:rsid w:val="00766372"/>
    <w:rsid w:val="00766B65"/>
    <w:rsid w:val="0076753A"/>
    <w:rsid w:val="00770B2E"/>
    <w:rsid w:val="00771110"/>
    <w:rsid w:val="007717CB"/>
    <w:rsid w:val="00772F61"/>
    <w:rsid w:val="00775FC4"/>
    <w:rsid w:val="00775FDA"/>
    <w:rsid w:val="007764A8"/>
    <w:rsid w:val="007770B2"/>
    <w:rsid w:val="0077736D"/>
    <w:rsid w:val="0077792F"/>
    <w:rsid w:val="007818B3"/>
    <w:rsid w:val="00781B32"/>
    <w:rsid w:val="007830DD"/>
    <w:rsid w:val="007833BB"/>
    <w:rsid w:val="00783680"/>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26B7"/>
    <w:rsid w:val="007A4DC4"/>
    <w:rsid w:val="007A4F58"/>
    <w:rsid w:val="007A52BD"/>
    <w:rsid w:val="007A63CB"/>
    <w:rsid w:val="007B081C"/>
    <w:rsid w:val="007B20AF"/>
    <w:rsid w:val="007B21C5"/>
    <w:rsid w:val="007B231B"/>
    <w:rsid w:val="007B4C34"/>
    <w:rsid w:val="007B4C38"/>
    <w:rsid w:val="007B4EBE"/>
    <w:rsid w:val="007B6259"/>
    <w:rsid w:val="007B6B96"/>
    <w:rsid w:val="007B76EB"/>
    <w:rsid w:val="007B7C40"/>
    <w:rsid w:val="007C0BDC"/>
    <w:rsid w:val="007C11A7"/>
    <w:rsid w:val="007C1E20"/>
    <w:rsid w:val="007C2536"/>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1970"/>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119"/>
    <w:rsid w:val="007F211C"/>
    <w:rsid w:val="007F26D0"/>
    <w:rsid w:val="007F292F"/>
    <w:rsid w:val="007F2C09"/>
    <w:rsid w:val="007F68CA"/>
    <w:rsid w:val="007F6922"/>
    <w:rsid w:val="007F6CE1"/>
    <w:rsid w:val="007F7DBA"/>
    <w:rsid w:val="007F7E38"/>
    <w:rsid w:val="00800DE9"/>
    <w:rsid w:val="00802A53"/>
    <w:rsid w:val="008033DC"/>
    <w:rsid w:val="00804736"/>
    <w:rsid w:val="0080501D"/>
    <w:rsid w:val="00806BBC"/>
    <w:rsid w:val="0080771B"/>
    <w:rsid w:val="00807FBF"/>
    <w:rsid w:val="008102E2"/>
    <w:rsid w:val="008103DE"/>
    <w:rsid w:val="008106AA"/>
    <w:rsid w:val="00810736"/>
    <w:rsid w:val="00810CA6"/>
    <w:rsid w:val="00810E21"/>
    <w:rsid w:val="00812594"/>
    <w:rsid w:val="00813A00"/>
    <w:rsid w:val="00813C58"/>
    <w:rsid w:val="00814E33"/>
    <w:rsid w:val="008159E1"/>
    <w:rsid w:val="00816A45"/>
    <w:rsid w:val="00816D78"/>
    <w:rsid w:val="008171DA"/>
    <w:rsid w:val="008172B0"/>
    <w:rsid w:val="00817B23"/>
    <w:rsid w:val="00820120"/>
    <w:rsid w:val="00821220"/>
    <w:rsid w:val="008220BD"/>
    <w:rsid w:val="00822289"/>
    <w:rsid w:val="00822ED8"/>
    <w:rsid w:val="0082354F"/>
    <w:rsid w:val="00824647"/>
    <w:rsid w:val="00824DCF"/>
    <w:rsid w:val="00824E86"/>
    <w:rsid w:val="0082509A"/>
    <w:rsid w:val="00825787"/>
    <w:rsid w:val="0082737D"/>
    <w:rsid w:val="0082786A"/>
    <w:rsid w:val="00827902"/>
    <w:rsid w:val="008279D0"/>
    <w:rsid w:val="00827B0E"/>
    <w:rsid w:val="00830C03"/>
    <w:rsid w:val="00830DE0"/>
    <w:rsid w:val="008327B1"/>
    <w:rsid w:val="00832A5A"/>
    <w:rsid w:val="00833016"/>
    <w:rsid w:val="008335B0"/>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69D4"/>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19D2"/>
    <w:rsid w:val="00862DC9"/>
    <w:rsid w:val="0086458A"/>
    <w:rsid w:val="008653E0"/>
    <w:rsid w:val="008663D5"/>
    <w:rsid w:val="00866533"/>
    <w:rsid w:val="00866A28"/>
    <w:rsid w:val="00866A9D"/>
    <w:rsid w:val="00870153"/>
    <w:rsid w:val="00871481"/>
    <w:rsid w:val="00871B5A"/>
    <w:rsid w:val="008737C0"/>
    <w:rsid w:val="00873B6F"/>
    <w:rsid w:val="00873B93"/>
    <w:rsid w:val="00873BFE"/>
    <w:rsid w:val="00873E2F"/>
    <w:rsid w:val="008742E0"/>
    <w:rsid w:val="008745F7"/>
    <w:rsid w:val="00874AE5"/>
    <w:rsid w:val="00875684"/>
    <w:rsid w:val="00875906"/>
    <w:rsid w:val="00876E46"/>
    <w:rsid w:val="00877395"/>
    <w:rsid w:val="00877776"/>
    <w:rsid w:val="008778E2"/>
    <w:rsid w:val="00877DC5"/>
    <w:rsid w:val="008811C8"/>
    <w:rsid w:val="00881C83"/>
    <w:rsid w:val="00881E9B"/>
    <w:rsid w:val="0088219D"/>
    <w:rsid w:val="00882D7E"/>
    <w:rsid w:val="0088361D"/>
    <w:rsid w:val="00883640"/>
    <w:rsid w:val="00883682"/>
    <w:rsid w:val="0088465F"/>
    <w:rsid w:val="00884879"/>
    <w:rsid w:val="008854AE"/>
    <w:rsid w:val="00885CFC"/>
    <w:rsid w:val="00886448"/>
    <w:rsid w:val="008866A5"/>
    <w:rsid w:val="008870B6"/>
    <w:rsid w:val="008878CF"/>
    <w:rsid w:val="008879E6"/>
    <w:rsid w:val="00891F6E"/>
    <w:rsid w:val="008927A3"/>
    <w:rsid w:val="00892C1A"/>
    <w:rsid w:val="00892D6C"/>
    <w:rsid w:val="0089333A"/>
    <w:rsid w:val="008944AD"/>
    <w:rsid w:val="008946BF"/>
    <w:rsid w:val="00894BA8"/>
    <w:rsid w:val="00895C48"/>
    <w:rsid w:val="008968EE"/>
    <w:rsid w:val="00896F71"/>
    <w:rsid w:val="008A0B15"/>
    <w:rsid w:val="008A0C54"/>
    <w:rsid w:val="008A0E09"/>
    <w:rsid w:val="008A16E3"/>
    <w:rsid w:val="008A4B7D"/>
    <w:rsid w:val="008A4C14"/>
    <w:rsid w:val="008A4D3B"/>
    <w:rsid w:val="008A55B6"/>
    <w:rsid w:val="008A6537"/>
    <w:rsid w:val="008A6871"/>
    <w:rsid w:val="008A6EC7"/>
    <w:rsid w:val="008A72A1"/>
    <w:rsid w:val="008A72F9"/>
    <w:rsid w:val="008A755A"/>
    <w:rsid w:val="008A7B98"/>
    <w:rsid w:val="008B2544"/>
    <w:rsid w:val="008B26C6"/>
    <w:rsid w:val="008B2708"/>
    <w:rsid w:val="008B4283"/>
    <w:rsid w:val="008B47C5"/>
    <w:rsid w:val="008B5703"/>
    <w:rsid w:val="008B659D"/>
    <w:rsid w:val="008B66DD"/>
    <w:rsid w:val="008B7198"/>
    <w:rsid w:val="008B72DD"/>
    <w:rsid w:val="008C18DE"/>
    <w:rsid w:val="008C3B5E"/>
    <w:rsid w:val="008C3DBE"/>
    <w:rsid w:val="008C3E09"/>
    <w:rsid w:val="008C4B50"/>
    <w:rsid w:val="008C4FD1"/>
    <w:rsid w:val="008C5358"/>
    <w:rsid w:val="008C5DFD"/>
    <w:rsid w:val="008D089A"/>
    <w:rsid w:val="008D1E60"/>
    <w:rsid w:val="008D2131"/>
    <w:rsid w:val="008D315D"/>
    <w:rsid w:val="008D5168"/>
    <w:rsid w:val="008D5213"/>
    <w:rsid w:val="008D6032"/>
    <w:rsid w:val="008E0931"/>
    <w:rsid w:val="008E0C2D"/>
    <w:rsid w:val="008E0C2F"/>
    <w:rsid w:val="008E0E80"/>
    <w:rsid w:val="008E2A59"/>
    <w:rsid w:val="008E2BA0"/>
    <w:rsid w:val="008E2CDC"/>
    <w:rsid w:val="008E2CDD"/>
    <w:rsid w:val="008E32A8"/>
    <w:rsid w:val="008E4427"/>
    <w:rsid w:val="008E499D"/>
    <w:rsid w:val="008E5076"/>
    <w:rsid w:val="008E639A"/>
    <w:rsid w:val="008E679C"/>
    <w:rsid w:val="008E7618"/>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804"/>
    <w:rsid w:val="00912E0E"/>
    <w:rsid w:val="00912F6B"/>
    <w:rsid w:val="0091310A"/>
    <w:rsid w:val="009134F0"/>
    <w:rsid w:val="00914265"/>
    <w:rsid w:val="009150E9"/>
    <w:rsid w:val="009173E7"/>
    <w:rsid w:val="009177FF"/>
    <w:rsid w:val="009200A8"/>
    <w:rsid w:val="009209AC"/>
    <w:rsid w:val="00921C81"/>
    <w:rsid w:val="0092322D"/>
    <w:rsid w:val="00923439"/>
    <w:rsid w:val="00924AC1"/>
    <w:rsid w:val="00924B37"/>
    <w:rsid w:val="0092675E"/>
    <w:rsid w:val="00927055"/>
    <w:rsid w:val="009274B5"/>
    <w:rsid w:val="0092772D"/>
    <w:rsid w:val="00931577"/>
    <w:rsid w:val="00931584"/>
    <w:rsid w:val="00932DBC"/>
    <w:rsid w:val="00934472"/>
    <w:rsid w:val="009357C2"/>
    <w:rsid w:val="00935B1C"/>
    <w:rsid w:val="00937D7A"/>
    <w:rsid w:val="009401A5"/>
    <w:rsid w:val="00940899"/>
    <w:rsid w:val="00940972"/>
    <w:rsid w:val="00942238"/>
    <w:rsid w:val="00942F41"/>
    <w:rsid w:val="00943A69"/>
    <w:rsid w:val="009444A2"/>
    <w:rsid w:val="00944A54"/>
    <w:rsid w:val="0094733C"/>
    <w:rsid w:val="009476EF"/>
    <w:rsid w:val="00947E08"/>
    <w:rsid w:val="009508AD"/>
    <w:rsid w:val="00950C4F"/>
    <w:rsid w:val="009530C5"/>
    <w:rsid w:val="0095386D"/>
    <w:rsid w:val="0095396D"/>
    <w:rsid w:val="00957B83"/>
    <w:rsid w:val="00957CBF"/>
    <w:rsid w:val="0096099A"/>
    <w:rsid w:val="00960F6E"/>
    <w:rsid w:val="00961956"/>
    <w:rsid w:val="00961F3C"/>
    <w:rsid w:val="00964DE8"/>
    <w:rsid w:val="00965516"/>
    <w:rsid w:val="00965B61"/>
    <w:rsid w:val="00966BE9"/>
    <w:rsid w:val="0096721E"/>
    <w:rsid w:val="00967517"/>
    <w:rsid w:val="009679A9"/>
    <w:rsid w:val="00967CEC"/>
    <w:rsid w:val="00970971"/>
    <w:rsid w:val="00971495"/>
    <w:rsid w:val="00971842"/>
    <w:rsid w:val="00971A18"/>
    <w:rsid w:val="00972A8C"/>
    <w:rsid w:val="009737C7"/>
    <w:rsid w:val="009744BD"/>
    <w:rsid w:val="00974EE4"/>
    <w:rsid w:val="00975A67"/>
    <w:rsid w:val="0097659B"/>
    <w:rsid w:val="009775B8"/>
    <w:rsid w:val="00980E41"/>
    <w:rsid w:val="0098510D"/>
    <w:rsid w:val="00986C7F"/>
    <w:rsid w:val="00987332"/>
    <w:rsid w:val="00987507"/>
    <w:rsid w:val="00987A9E"/>
    <w:rsid w:val="009916B2"/>
    <w:rsid w:val="009954A1"/>
    <w:rsid w:val="0099551B"/>
    <w:rsid w:val="009958AF"/>
    <w:rsid w:val="009960A0"/>
    <w:rsid w:val="00996E9C"/>
    <w:rsid w:val="009A1011"/>
    <w:rsid w:val="009A1B51"/>
    <w:rsid w:val="009A3E0E"/>
    <w:rsid w:val="009A6A17"/>
    <w:rsid w:val="009A6D65"/>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4996"/>
    <w:rsid w:val="009C513E"/>
    <w:rsid w:val="009C53DA"/>
    <w:rsid w:val="009C574C"/>
    <w:rsid w:val="009C75E4"/>
    <w:rsid w:val="009C7E57"/>
    <w:rsid w:val="009D07F4"/>
    <w:rsid w:val="009D0FCC"/>
    <w:rsid w:val="009D1CA2"/>
    <w:rsid w:val="009D1E59"/>
    <w:rsid w:val="009D2CD0"/>
    <w:rsid w:val="009D388E"/>
    <w:rsid w:val="009D5CC6"/>
    <w:rsid w:val="009D5F27"/>
    <w:rsid w:val="009D6767"/>
    <w:rsid w:val="009D6A81"/>
    <w:rsid w:val="009D7824"/>
    <w:rsid w:val="009E03F3"/>
    <w:rsid w:val="009E2696"/>
    <w:rsid w:val="009E2B66"/>
    <w:rsid w:val="009E433D"/>
    <w:rsid w:val="009E4E92"/>
    <w:rsid w:val="009E4F7F"/>
    <w:rsid w:val="009E57A4"/>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6825"/>
    <w:rsid w:val="00A06E9E"/>
    <w:rsid w:val="00A1036D"/>
    <w:rsid w:val="00A10A98"/>
    <w:rsid w:val="00A10B0E"/>
    <w:rsid w:val="00A10C1C"/>
    <w:rsid w:val="00A11AB2"/>
    <w:rsid w:val="00A12627"/>
    <w:rsid w:val="00A12A65"/>
    <w:rsid w:val="00A13493"/>
    <w:rsid w:val="00A13A09"/>
    <w:rsid w:val="00A1414A"/>
    <w:rsid w:val="00A15A75"/>
    <w:rsid w:val="00A15A99"/>
    <w:rsid w:val="00A17267"/>
    <w:rsid w:val="00A200F9"/>
    <w:rsid w:val="00A2086E"/>
    <w:rsid w:val="00A20E9D"/>
    <w:rsid w:val="00A2120F"/>
    <w:rsid w:val="00A2178F"/>
    <w:rsid w:val="00A21FFA"/>
    <w:rsid w:val="00A23F52"/>
    <w:rsid w:val="00A24264"/>
    <w:rsid w:val="00A26217"/>
    <w:rsid w:val="00A3013F"/>
    <w:rsid w:val="00A3055E"/>
    <w:rsid w:val="00A30792"/>
    <w:rsid w:val="00A30B84"/>
    <w:rsid w:val="00A31DC8"/>
    <w:rsid w:val="00A3262A"/>
    <w:rsid w:val="00A3344B"/>
    <w:rsid w:val="00A33973"/>
    <w:rsid w:val="00A35436"/>
    <w:rsid w:val="00A35FF9"/>
    <w:rsid w:val="00A367AA"/>
    <w:rsid w:val="00A37880"/>
    <w:rsid w:val="00A400BF"/>
    <w:rsid w:val="00A40DCD"/>
    <w:rsid w:val="00A41A3E"/>
    <w:rsid w:val="00A43CE0"/>
    <w:rsid w:val="00A4413F"/>
    <w:rsid w:val="00A44394"/>
    <w:rsid w:val="00A45B92"/>
    <w:rsid w:val="00A45EC3"/>
    <w:rsid w:val="00A46122"/>
    <w:rsid w:val="00A478BD"/>
    <w:rsid w:val="00A47CF5"/>
    <w:rsid w:val="00A5032A"/>
    <w:rsid w:val="00A50AC9"/>
    <w:rsid w:val="00A51F03"/>
    <w:rsid w:val="00A51F67"/>
    <w:rsid w:val="00A522D4"/>
    <w:rsid w:val="00A5367D"/>
    <w:rsid w:val="00A5507B"/>
    <w:rsid w:val="00A57D98"/>
    <w:rsid w:val="00A61524"/>
    <w:rsid w:val="00A62F57"/>
    <w:rsid w:val="00A63413"/>
    <w:rsid w:val="00A6488B"/>
    <w:rsid w:val="00A6556C"/>
    <w:rsid w:val="00A659B5"/>
    <w:rsid w:val="00A65A66"/>
    <w:rsid w:val="00A661BB"/>
    <w:rsid w:val="00A70D6E"/>
    <w:rsid w:val="00A715F7"/>
    <w:rsid w:val="00A720CF"/>
    <w:rsid w:val="00A72192"/>
    <w:rsid w:val="00A72B07"/>
    <w:rsid w:val="00A72EDD"/>
    <w:rsid w:val="00A73BB9"/>
    <w:rsid w:val="00A73D4A"/>
    <w:rsid w:val="00A743EB"/>
    <w:rsid w:val="00A7450E"/>
    <w:rsid w:val="00A74B4C"/>
    <w:rsid w:val="00A7552F"/>
    <w:rsid w:val="00A76236"/>
    <w:rsid w:val="00A763E7"/>
    <w:rsid w:val="00A769C2"/>
    <w:rsid w:val="00A773FA"/>
    <w:rsid w:val="00A77796"/>
    <w:rsid w:val="00A81862"/>
    <w:rsid w:val="00A8187F"/>
    <w:rsid w:val="00A8271E"/>
    <w:rsid w:val="00A827D2"/>
    <w:rsid w:val="00A847C3"/>
    <w:rsid w:val="00A855CF"/>
    <w:rsid w:val="00A85A01"/>
    <w:rsid w:val="00A86128"/>
    <w:rsid w:val="00A86D6A"/>
    <w:rsid w:val="00A86E2C"/>
    <w:rsid w:val="00A8766D"/>
    <w:rsid w:val="00A90F72"/>
    <w:rsid w:val="00A93DC3"/>
    <w:rsid w:val="00A9462E"/>
    <w:rsid w:val="00A94E45"/>
    <w:rsid w:val="00A950A5"/>
    <w:rsid w:val="00A978B6"/>
    <w:rsid w:val="00A97929"/>
    <w:rsid w:val="00AA05F8"/>
    <w:rsid w:val="00AA1167"/>
    <w:rsid w:val="00AA22BE"/>
    <w:rsid w:val="00AA44A3"/>
    <w:rsid w:val="00AA5C1D"/>
    <w:rsid w:val="00AA5C61"/>
    <w:rsid w:val="00AA63E5"/>
    <w:rsid w:val="00AA6795"/>
    <w:rsid w:val="00AA69BF"/>
    <w:rsid w:val="00AA6CC7"/>
    <w:rsid w:val="00AA70B6"/>
    <w:rsid w:val="00AA7709"/>
    <w:rsid w:val="00AA7DA3"/>
    <w:rsid w:val="00AB0B18"/>
    <w:rsid w:val="00AB0B62"/>
    <w:rsid w:val="00AB192A"/>
    <w:rsid w:val="00AB20C0"/>
    <w:rsid w:val="00AB3045"/>
    <w:rsid w:val="00AB416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37AD"/>
    <w:rsid w:val="00AD3DB1"/>
    <w:rsid w:val="00AD49F7"/>
    <w:rsid w:val="00AD4AF8"/>
    <w:rsid w:val="00AD5B94"/>
    <w:rsid w:val="00AD66C7"/>
    <w:rsid w:val="00AD6708"/>
    <w:rsid w:val="00AD6EAC"/>
    <w:rsid w:val="00AD75EB"/>
    <w:rsid w:val="00AD762D"/>
    <w:rsid w:val="00AE0239"/>
    <w:rsid w:val="00AE0A52"/>
    <w:rsid w:val="00AE0E0E"/>
    <w:rsid w:val="00AE0F6C"/>
    <w:rsid w:val="00AE2AF5"/>
    <w:rsid w:val="00AE2E3C"/>
    <w:rsid w:val="00AE4A8E"/>
    <w:rsid w:val="00AE4F16"/>
    <w:rsid w:val="00AE6038"/>
    <w:rsid w:val="00AE6E34"/>
    <w:rsid w:val="00AE6F01"/>
    <w:rsid w:val="00AF07E3"/>
    <w:rsid w:val="00AF0BE2"/>
    <w:rsid w:val="00AF10D4"/>
    <w:rsid w:val="00AF1233"/>
    <w:rsid w:val="00AF1A9F"/>
    <w:rsid w:val="00AF27D5"/>
    <w:rsid w:val="00AF2C37"/>
    <w:rsid w:val="00AF45AD"/>
    <w:rsid w:val="00AF4F10"/>
    <w:rsid w:val="00AF562C"/>
    <w:rsid w:val="00AF5A72"/>
    <w:rsid w:val="00B00DCF"/>
    <w:rsid w:val="00B0112A"/>
    <w:rsid w:val="00B0112B"/>
    <w:rsid w:val="00B01501"/>
    <w:rsid w:val="00B01AC1"/>
    <w:rsid w:val="00B020DA"/>
    <w:rsid w:val="00B0229E"/>
    <w:rsid w:val="00B02467"/>
    <w:rsid w:val="00B06EFC"/>
    <w:rsid w:val="00B0753C"/>
    <w:rsid w:val="00B07DA6"/>
    <w:rsid w:val="00B07E5D"/>
    <w:rsid w:val="00B10582"/>
    <w:rsid w:val="00B10934"/>
    <w:rsid w:val="00B11496"/>
    <w:rsid w:val="00B11964"/>
    <w:rsid w:val="00B12187"/>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B60"/>
    <w:rsid w:val="00B24C28"/>
    <w:rsid w:val="00B24DF3"/>
    <w:rsid w:val="00B253A1"/>
    <w:rsid w:val="00B258FA"/>
    <w:rsid w:val="00B2754C"/>
    <w:rsid w:val="00B27E17"/>
    <w:rsid w:val="00B30118"/>
    <w:rsid w:val="00B31461"/>
    <w:rsid w:val="00B31929"/>
    <w:rsid w:val="00B3199A"/>
    <w:rsid w:val="00B31B33"/>
    <w:rsid w:val="00B320F5"/>
    <w:rsid w:val="00B334FC"/>
    <w:rsid w:val="00B339AC"/>
    <w:rsid w:val="00B34E93"/>
    <w:rsid w:val="00B35908"/>
    <w:rsid w:val="00B371BD"/>
    <w:rsid w:val="00B40093"/>
    <w:rsid w:val="00B40158"/>
    <w:rsid w:val="00B408BC"/>
    <w:rsid w:val="00B41E79"/>
    <w:rsid w:val="00B41FD1"/>
    <w:rsid w:val="00B42E2F"/>
    <w:rsid w:val="00B42F7B"/>
    <w:rsid w:val="00B4330A"/>
    <w:rsid w:val="00B444D1"/>
    <w:rsid w:val="00B44B44"/>
    <w:rsid w:val="00B44BB9"/>
    <w:rsid w:val="00B44E37"/>
    <w:rsid w:val="00B4522B"/>
    <w:rsid w:val="00B4791A"/>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1FC"/>
    <w:rsid w:val="00B5652D"/>
    <w:rsid w:val="00B60CC7"/>
    <w:rsid w:val="00B60ED7"/>
    <w:rsid w:val="00B61819"/>
    <w:rsid w:val="00B62D22"/>
    <w:rsid w:val="00B6406F"/>
    <w:rsid w:val="00B652A4"/>
    <w:rsid w:val="00B656FE"/>
    <w:rsid w:val="00B65C4F"/>
    <w:rsid w:val="00B66035"/>
    <w:rsid w:val="00B667ED"/>
    <w:rsid w:val="00B67C63"/>
    <w:rsid w:val="00B67EDA"/>
    <w:rsid w:val="00B7366B"/>
    <w:rsid w:val="00B73746"/>
    <w:rsid w:val="00B7530C"/>
    <w:rsid w:val="00B76922"/>
    <w:rsid w:val="00B772EE"/>
    <w:rsid w:val="00B77513"/>
    <w:rsid w:val="00B77F1B"/>
    <w:rsid w:val="00B80349"/>
    <w:rsid w:val="00B8063B"/>
    <w:rsid w:val="00B807B4"/>
    <w:rsid w:val="00B808AC"/>
    <w:rsid w:val="00B80E1C"/>
    <w:rsid w:val="00B81D0F"/>
    <w:rsid w:val="00B8331B"/>
    <w:rsid w:val="00B83A51"/>
    <w:rsid w:val="00B83E7B"/>
    <w:rsid w:val="00B83F1F"/>
    <w:rsid w:val="00B84B22"/>
    <w:rsid w:val="00B84DE4"/>
    <w:rsid w:val="00B85573"/>
    <w:rsid w:val="00B856BD"/>
    <w:rsid w:val="00B86481"/>
    <w:rsid w:val="00B873AE"/>
    <w:rsid w:val="00B876EC"/>
    <w:rsid w:val="00B90D85"/>
    <w:rsid w:val="00B92B86"/>
    <w:rsid w:val="00B93469"/>
    <w:rsid w:val="00B951E9"/>
    <w:rsid w:val="00B95972"/>
    <w:rsid w:val="00B95AE8"/>
    <w:rsid w:val="00B95B34"/>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54C"/>
    <w:rsid w:val="00BB1EE2"/>
    <w:rsid w:val="00BB219B"/>
    <w:rsid w:val="00BB29D4"/>
    <w:rsid w:val="00BB37C1"/>
    <w:rsid w:val="00BB3A55"/>
    <w:rsid w:val="00BB3AF7"/>
    <w:rsid w:val="00BB4097"/>
    <w:rsid w:val="00BB5AEC"/>
    <w:rsid w:val="00BB6CDD"/>
    <w:rsid w:val="00BB6DE1"/>
    <w:rsid w:val="00BB7297"/>
    <w:rsid w:val="00BB739D"/>
    <w:rsid w:val="00BB7B29"/>
    <w:rsid w:val="00BC0000"/>
    <w:rsid w:val="00BC0384"/>
    <w:rsid w:val="00BC156C"/>
    <w:rsid w:val="00BC1767"/>
    <w:rsid w:val="00BC1AAD"/>
    <w:rsid w:val="00BC1E78"/>
    <w:rsid w:val="00BC212E"/>
    <w:rsid w:val="00BC28F5"/>
    <w:rsid w:val="00BC2966"/>
    <w:rsid w:val="00BC29C8"/>
    <w:rsid w:val="00BC3670"/>
    <w:rsid w:val="00BC375B"/>
    <w:rsid w:val="00BC376C"/>
    <w:rsid w:val="00BC3933"/>
    <w:rsid w:val="00BC39DD"/>
    <w:rsid w:val="00BC3EF9"/>
    <w:rsid w:val="00BC3FCE"/>
    <w:rsid w:val="00BC41D9"/>
    <w:rsid w:val="00BC4CB8"/>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717"/>
    <w:rsid w:val="00C02D8A"/>
    <w:rsid w:val="00C0325D"/>
    <w:rsid w:val="00C1014D"/>
    <w:rsid w:val="00C10B48"/>
    <w:rsid w:val="00C10C77"/>
    <w:rsid w:val="00C1211B"/>
    <w:rsid w:val="00C129F3"/>
    <w:rsid w:val="00C13172"/>
    <w:rsid w:val="00C14111"/>
    <w:rsid w:val="00C142B4"/>
    <w:rsid w:val="00C1585F"/>
    <w:rsid w:val="00C15B26"/>
    <w:rsid w:val="00C15C6A"/>
    <w:rsid w:val="00C16CAA"/>
    <w:rsid w:val="00C1769B"/>
    <w:rsid w:val="00C17A76"/>
    <w:rsid w:val="00C20094"/>
    <w:rsid w:val="00C2260E"/>
    <w:rsid w:val="00C23477"/>
    <w:rsid w:val="00C23683"/>
    <w:rsid w:val="00C237F1"/>
    <w:rsid w:val="00C259DF"/>
    <w:rsid w:val="00C25DB3"/>
    <w:rsid w:val="00C26828"/>
    <w:rsid w:val="00C27D32"/>
    <w:rsid w:val="00C27F0C"/>
    <w:rsid w:val="00C3104C"/>
    <w:rsid w:val="00C31ED8"/>
    <w:rsid w:val="00C32763"/>
    <w:rsid w:val="00C331A1"/>
    <w:rsid w:val="00C33312"/>
    <w:rsid w:val="00C33446"/>
    <w:rsid w:val="00C34921"/>
    <w:rsid w:val="00C34AB4"/>
    <w:rsid w:val="00C34B35"/>
    <w:rsid w:val="00C351BF"/>
    <w:rsid w:val="00C35EED"/>
    <w:rsid w:val="00C362DC"/>
    <w:rsid w:val="00C37843"/>
    <w:rsid w:val="00C3794C"/>
    <w:rsid w:val="00C37AC2"/>
    <w:rsid w:val="00C37F51"/>
    <w:rsid w:val="00C403AD"/>
    <w:rsid w:val="00C414F1"/>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2951"/>
    <w:rsid w:val="00C644EA"/>
    <w:rsid w:val="00C64EEF"/>
    <w:rsid w:val="00C65A95"/>
    <w:rsid w:val="00C6773B"/>
    <w:rsid w:val="00C677AD"/>
    <w:rsid w:val="00C6785F"/>
    <w:rsid w:val="00C67ABA"/>
    <w:rsid w:val="00C70714"/>
    <w:rsid w:val="00C70E54"/>
    <w:rsid w:val="00C71AB7"/>
    <w:rsid w:val="00C73493"/>
    <w:rsid w:val="00C746FB"/>
    <w:rsid w:val="00C752C7"/>
    <w:rsid w:val="00C7574C"/>
    <w:rsid w:val="00C75B61"/>
    <w:rsid w:val="00C76C46"/>
    <w:rsid w:val="00C76D56"/>
    <w:rsid w:val="00C77DD4"/>
    <w:rsid w:val="00C80321"/>
    <w:rsid w:val="00C80462"/>
    <w:rsid w:val="00C82A3D"/>
    <w:rsid w:val="00C834A5"/>
    <w:rsid w:val="00C8431E"/>
    <w:rsid w:val="00C8544C"/>
    <w:rsid w:val="00C85FA4"/>
    <w:rsid w:val="00C86443"/>
    <w:rsid w:val="00C8697D"/>
    <w:rsid w:val="00C86ABD"/>
    <w:rsid w:val="00C86F74"/>
    <w:rsid w:val="00C87097"/>
    <w:rsid w:val="00C91A43"/>
    <w:rsid w:val="00C92102"/>
    <w:rsid w:val="00C92A72"/>
    <w:rsid w:val="00C94CB5"/>
    <w:rsid w:val="00C9562F"/>
    <w:rsid w:val="00C95751"/>
    <w:rsid w:val="00C9679B"/>
    <w:rsid w:val="00C96BF2"/>
    <w:rsid w:val="00C96DFA"/>
    <w:rsid w:val="00C972F1"/>
    <w:rsid w:val="00C97966"/>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215"/>
    <w:rsid w:val="00CB1CE5"/>
    <w:rsid w:val="00CB1D03"/>
    <w:rsid w:val="00CB2473"/>
    <w:rsid w:val="00CB2A8A"/>
    <w:rsid w:val="00CB32B2"/>
    <w:rsid w:val="00CB3305"/>
    <w:rsid w:val="00CB3335"/>
    <w:rsid w:val="00CB3574"/>
    <w:rsid w:val="00CB4448"/>
    <w:rsid w:val="00CB6509"/>
    <w:rsid w:val="00CB676E"/>
    <w:rsid w:val="00CB7CB5"/>
    <w:rsid w:val="00CB7F99"/>
    <w:rsid w:val="00CC1E5F"/>
    <w:rsid w:val="00CC25F9"/>
    <w:rsid w:val="00CC2678"/>
    <w:rsid w:val="00CC31B2"/>
    <w:rsid w:val="00CC42B6"/>
    <w:rsid w:val="00CC521C"/>
    <w:rsid w:val="00CC7995"/>
    <w:rsid w:val="00CC7E96"/>
    <w:rsid w:val="00CD1976"/>
    <w:rsid w:val="00CD1982"/>
    <w:rsid w:val="00CD1F25"/>
    <w:rsid w:val="00CD252F"/>
    <w:rsid w:val="00CD2E0F"/>
    <w:rsid w:val="00CD3079"/>
    <w:rsid w:val="00CD3DF8"/>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692D"/>
    <w:rsid w:val="00CE7004"/>
    <w:rsid w:val="00CE7111"/>
    <w:rsid w:val="00CF0005"/>
    <w:rsid w:val="00CF0261"/>
    <w:rsid w:val="00CF0270"/>
    <w:rsid w:val="00CF1F97"/>
    <w:rsid w:val="00CF2B24"/>
    <w:rsid w:val="00CF2F88"/>
    <w:rsid w:val="00CF309F"/>
    <w:rsid w:val="00CF3D01"/>
    <w:rsid w:val="00CF42E9"/>
    <w:rsid w:val="00CF5398"/>
    <w:rsid w:val="00CF53D9"/>
    <w:rsid w:val="00CF5AC7"/>
    <w:rsid w:val="00CF7381"/>
    <w:rsid w:val="00CF7F58"/>
    <w:rsid w:val="00D0023B"/>
    <w:rsid w:val="00D007F3"/>
    <w:rsid w:val="00D00BF8"/>
    <w:rsid w:val="00D014A8"/>
    <w:rsid w:val="00D01E10"/>
    <w:rsid w:val="00D02411"/>
    <w:rsid w:val="00D02D08"/>
    <w:rsid w:val="00D0461E"/>
    <w:rsid w:val="00D04678"/>
    <w:rsid w:val="00D0477D"/>
    <w:rsid w:val="00D05789"/>
    <w:rsid w:val="00D076AE"/>
    <w:rsid w:val="00D07ABE"/>
    <w:rsid w:val="00D115CF"/>
    <w:rsid w:val="00D11DE8"/>
    <w:rsid w:val="00D12B14"/>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C97"/>
    <w:rsid w:val="00D36CE6"/>
    <w:rsid w:val="00D37A1A"/>
    <w:rsid w:val="00D41D3C"/>
    <w:rsid w:val="00D41F72"/>
    <w:rsid w:val="00D423EB"/>
    <w:rsid w:val="00D442EE"/>
    <w:rsid w:val="00D468A2"/>
    <w:rsid w:val="00D47085"/>
    <w:rsid w:val="00D47589"/>
    <w:rsid w:val="00D50A85"/>
    <w:rsid w:val="00D5178D"/>
    <w:rsid w:val="00D51D0A"/>
    <w:rsid w:val="00D525F9"/>
    <w:rsid w:val="00D534BA"/>
    <w:rsid w:val="00D53537"/>
    <w:rsid w:val="00D554E6"/>
    <w:rsid w:val="00D55B4C"/>
    <w:rsid w:val="00D56AAA"/>
    <w:rsid w:val="00D56C99"/>
    <w:rsid w:val="00D61100"/>
    <w:rsid w:val="00D61B08"/>
    <w:rsid w:val="00D623C0"/>
    <w:rsid w:val="00D62FA5"/>
    <w:rsid w:val="00D630B8"/>
    <w:rsid w:val="00D633D2"/>
    <w:rsid w:val="00D63656"/>
    <w:rsid w:val="00D6423D"/>
    <w:rsid w:val="00D64E2D"/>
    <w:rsid w:val="00D67943"/>
    <w:rsid w:val="00D67B5F"/>
    <w:rsid w:val="00D67CAD"/>
    <w:rsid w:val="00D706C3"/>
    <w:rsid w:val="00D707A3"/>
    <w:rsid w:val="00D70F4B"/>
    <w:rsid w:val="00D720FB"/>
    <w:rsid w:val="00D7226F"/>
    <w:rsid w:val="00D725C2"/>
    <w:rsid w:val="00D742A4"/>
    <w:rsid w:val="00D7590E"/>
    <w:rsid w:val="00D761CD"/>
    <w:rsid w:val="00D76363"/>
    <w:rsid w:val="00D77C31"/>
    <w:rsid w:val="00D80558"/>
    <w:rsid w:val="00D805B3"/>
    <w:rsid w:val="00D80C88"/>
    <w:rsid w:val="00D8145F"/>
    <w:rsid w:val="00D81C25"/>
    <w:rsid w:val="00D82C3A"/>
    <w:rsid w:val="00D82E7E"/>
    <w:rsid w:val="00D83C26"/>
    <w:rsid w:val="00D84FBD"/>
    <w:rsid w:val="00D85838"/>
    <w:rsid w:val="00D85D67"/>
    <w:rsid w:val="00D86432"/>
    <w:rsid w:val="00D91EA9"/>
    <w:rsid w:val="00D92244"/>
    <w:rsid w:val="00D92EBC"/>
    <w:rsid w:val="00D93D43"/>
    <w:rsid w:val="00D944B2"/>
    <w:rsid w:val="00D94C7B"/>
    <w:rsid w:val="00D9545B"/>
    <w:rsid w:val="00D95CCF"/>
    <w:rsid w:val="00D9691F"/>
    <w:rsid w:val="00D96DF6"/>
    <w:rsid w:val="00D97364"/>
    <w:rsid w:val="00D979E8"/>
    <w:rsid w:val="00D97AE5"/>
    <w:rsid w:val="00D97E9C"/>
    <w:rsid w:val="00DA134D"/>
    <w:rsid w:val="00DA20F0"/>
    <w:rsid w:val="00DA2D88"/>
    <w:rsid w:val="00DA4A4C"/>
    <w:rsid w:val="00DA4A76"/>
    <w:rsid w:val="00DA5622"/>
    <w:rsid w:val="00DA608B"/>
    <w:rsid w:val="00DA7AFB"/>
    <w:rsid w:val="00DB2B61"/>
    <w:rsid w:val="00DB34D6"/>
    <w:rsid w:val="00DB3C05"/>
    <w:rsid w:val="00DB3DBA"/>
    <w:rsid w:val="00DB4124"/>
    <w:rsid w:val="00DB5B6E"/>
    <w:rsid w:val="00DB678B"/>
    <w:rsid w:val="00DB6D98"/>
    <w:rsid w:val="00DC054C"/>
    <w:rsid w:val="00DC057E"/>
    <w:rsid w:val="00DC097D"/>
    <w:rsid w:val="00DC15A9"/>
    <w:rsid w:val="00DC1607"/>
    <w:rsid w:val="00DC17CF"/>
    <w:rsid w:val="00DC26B9"/>
    <w:rsid w:val="00DC2874"/>
    <w:rsid w:val="00DC28F0"/>
    <w:rsid w:val="00DC2D49"/>
    <w:rsid w:val="00DC3563"/>
    <w:rsid w:val="00DC3717"/>
    <w:rsid w:val="00DC53E9"/>
    <w:rsid w:val="00DC6FA7"/>
    <w:rsid w:val="00DC72D3"/>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7044"/>
    <w:rsid w:val="00DE010C"/>
    <w:rsid w:val="00DE2110"/>
    <w:rsid w:val="00DE2301"/>
    <w:rsid w:val="00DE29AC"/>
    <w:rsid w:val="00DE2C99"/>
    <w:rsid w:val="00DE308B"/>
    <w:rsid w:val="00DE3CA7"/>
    <w:rsid w:val="00DE43CE"/>
    <w:rsid w:val="00DE4C21"/>
    <w:rsid w:val="00DE4C77"/>
    <w:rsid w:val="00DE5DA2"/>
    <w:rsid w:val="00DE65D0"/>
    <w:rsid w:val="00DE69CB"/>
    <w:rsid w:val="00DE78E2"/>
    <w:rsid w:val="00DF132B"/>
    <w:rsid w:val="00DF2015"/>
    <w:rsid w:val="00DF25DF"/>
    <w:rsid w:val="00DF2640"/>
    <w:rsid w:val="00DF2B94"/>
    <w:rsid w:val="00DF305C"/>
    <w:rsid w:val="00DF349B"/>
    <w:rsid w:val="00DF3AB4"/>
    <w:rsid w:val="00DF3AB5"/>
    <w:rsid w:val="00DF3ABC"/>
    <w:rsid w:val="00DF3E74"/>
    <w:rsid w:val="00DF590D"/>
    <w:rsid w:val="00DF63B1"/>
    <w:rsid w:val="00DF6944"/>
    <w:rsid w:val="00E00CD3"/>
    <w:rsid w:val="00E01B9A"/>
    <w:rsid w:val="00E01EE3"/>
    <w:rsid w:val="00E0226B"/>
    <w:rsid w:val="00E02818"/>
    <w:rsid w:val="00E02E1A"/>
    <w:rsid w:val="00E02F7F"/>
    <w:rsid w:val="00E03BF2"/>
    <w:rsid w:val="00E060CF"/>
    <w:rsid w:val="00E0620E"/>
    <w:rsid w:val="00E062AC"/>
    <w:rsid w:val="00E06456"/>
    <w:rsid w:val="00E074E2"/>
    <w:rsid w:val="00E07A49"/>
    <w:rsid w:val="00E102AB"/>
    <w:rsid w:val="00E10736"/>
    <w:rsid w:val="00E110D0"/>
    <w:rsid w:val="00E11669"/>
    <w:rsid w:val="00E119DF"/>
    <w:rsid w:val="00E11C18"/>
    <w:rsid w:val="00E11CA9"/>
    <w:rsid w:val="00E13E01"/>
    <w:rsid w:val="00E1409A"/>
    <w:rsid w:val="00E1449B"/>
    <w:rsid w:val="00E14907"/>
    <w:rsid w:val="00E15330"/>
    <w:rsid w:val="00E15813"/>
    <w:rsid w:val="00E15965"/>
    <w:rsid w:val="00E20065"/>
    <w:rsid w:val="00E20508"/>
    <w:rsid w:val="00E20579"/>
    <w:rsid w:val="00E207F0"/>
    <w:rsid w:val="00E20FC5"/>
    <w:rsid w:val="00E211D9"/>
    <w:rsid w:val="00E21482"/>
    <w:rsid w:val="00E227B2"/>
    <w:rsid w:val="00E22C3B"/>
    <w:rsid w:val="00E22F64"/>
    <w:rsid w:val="00E24300"/>
    <w:rsid w:val="00E24CDF"/>
    <w:rsid w:val="00E25AC4"/>
    <w:rsid w:val="00E26B20"/>
    <w:rsid w:val="00E26F29"/>
    <w:rsid w:val="00E302BC"/>
    <w:rsid w:val="00E31152"/>
    <w:rsid w:val="00E3132D"/>
    <w:rsid w:val="00E31954"/>
    <w:rsid w:val="00E32E37"/>
    <w:rsid w:val="00E33923"/>
    <w:rsid w:val="00E33D03"/>
    <w:rsid w:val="00E34279"/>
    <w:rsid w:val="00E35F6C"/>
    <w:rsid w:val="00E36007"/>
    <w:rsid w:val="00E36C7E"/>
    <w:rsid w:val="00E36EA1"/>
    <w:rsid w:val="00E3738B"/>
    <w:rsid w:val="00E37A8F"/>
    <w:rsid w:val="00E40125"/>
    <w:rsid w:val="00E4196E"/>
    <w:rsid w:val="00E4258F"/>
    <w:rsid w:val="00E42A19"/>
    <w:rsid w:val="00E42E80"/>
    <w:rsid w:val="00E4355F"/>
    <w:rsid w:val="00E43B90"/>
    <w:rsid w:val="00E44E96"/>
    <w:rsid w:val="00E451AC"/>
    <w:rsid w:val="00E461E1"/>
    <w:rsid w:val="00E46C3B"/>
    <w:rsid w:val="00E46D7D"/>
    <w:rsid w:val="00E47145"/>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2C0"/>
    <w:rsid w:val="00E64300"/>
    <w:rsid w:val="00E653B3"/>
    <w:rsid w:val="00E65C6F"/>
    <w:rsid w:val="00E65D01"/>
    <w:rsid w:val="00E65DF1"/>
    <w:rsid w:val="00E66A9B"/>
    <w:rsid w:val="00E66AAC"/>
    <w:rsid w:val="00E66BE0"/>
    <w:rsid w:val="00E67282"/>
    <w:rsid w:val="00E70CCC"/>
    <w:rsid w:val="00E71209"/>
    <w:rsid w:val="00E72E7D"/>
    <w:rsid w:val="00E73B1E"/>
    <w:rsid w:val="00E7466E"/>
    <w:rsid w:val="00E75479"/>
    <w:rsid w:val="00E75514"/>
    <w:rsid w:val="00E7553B"/>
    <w:rsid w:val="00E775D4"/>
    <w:rsid w:val="00E80149"/>
    <w:rsid w:val="00E81287"/>
    <w:rsid w:val="00E81FA5"/>
    <w:rsid w:val="00E81FDD"/>
    <w:rsid w:val="00E822C7"/>
    <w:rsid w:val="00E827E1"/>
    <w:rsid w:val="00E82B6C"/>
    <w:rsid w:val="00E84D9E"/>
    <w:rsid w:val="00E84DEC"/>
    <w:rsid w:val="00E84ED0"/>
    <w:rsid w:val="00E86232"/>
    <w:rsid w:val="00E86421"/>
    <w:rsid w:val="00E865BD"/>
    <w:rsid w:val="00E86F1E"/>
    <w:rsid w:val="00E87122"/>
    <w:rsid w:val="00E87965"/>
    <w:rsid w:val="00E90E50"/>
    <w:rsid w:val="00E91000"/>
    <w:rsid w:val="00E926A5"/>
    <w:rsid w:val="00E93ED5"/>
    <w:rsid w:val="00E94AE8"/>
    <w:rsid w:val="00E94F65"/>
    <w:rsid w:val="00E96E30"/>
    <w:rsid w:val="00E96F39"/>
    <w:rsid w:val="00E9788D"/>
    <w:rsid w:val="00E9792C"/>
    <w:rsid w:val="00E97B50"/>
    <w:rsid w:val="00EA1181"/>
    <w:rsid w:val="00EA2799"/>
    <w:rsid w:val="00EA2EC0"/>
    <w:rsid w:val="00EA3D3D"/>
    <w:rsid w:val="00EA403A"/>
    <w:rsid w:val="00EA46F7"/>
    <w:rsid w:val="00EA72E8"/>
    <w:rsid w:val="00EA74E6"/>
    <w:rsid w:val="00EA76FF"/>
    <w:rsid w:val="00EB051C"/>
    <w:rsid w:val="00EB0645"/>
    <w:rsid w:val="00EB0A27"/>
    <w:rsid w:val="00EB0AB5"/>
    <w:rsid w:val="00EB1ADA"/>
    <w:rsid w:val="00EB3927"/>
    <w:rsid w:val="00EB46E1"/>
    <w:rsid w:val="00EB473F"/>
    <w:rsid w:val="00EB49CC"/>
    <w:rsid w:val="00EB7883"/>
    <w:rsid w:val="00EB7972"/>
    <w:rsid w:val="00EC13BB"/>
    <w:rsid w:val="00EC1820"/>
    <w:rsid w:val="00EC533C"/>
    <w:rsid w:val="00EC54AC"/>
    <w:rsid w:val="00EC5A06"/>
    <w:rsid w:val="00EC6543"/>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7BC2"/>
    <w:rsid w:val="00ED7BC7"/>
    <w:rsid w:val="00EE0235"/>
    <w:rsid w:val="00EE19DE"/>
    <w:rsid w:val="00EE1D94"/>
    <w:rsid w:val="00EE1E04"/>
    <w:rsid w:val="00EE27EF"/>
    <w:rsid w:val="00EE2FBD"/>
    <w:rsid w:val="00EE3B11"/>
    <w:rsid w:val="00EE478C"/>
    <w:rsid w:val="00EE5280"/>
    <w:rsid w:val="00EE5E80"/>
    <w:rsid w:val="00EE6158"/>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50C"/>
    <w:rsid w:val="00F03155"/>
    <w:rsid w:val="00F03666"/>
    <w:rsid w:val="00F0373A"/>
    <w:rsid w:val="00F03950"/>
    <w:rsid w:val="00F04478"/>
    <w:rsid w:val="00F049D6"/>
    <w:rsid w:val="00F057DB"/>
    <w:rsid w:val="00F06237"/>
    <w:rsid w:val="00F0646E"/>
    <w:rsid w:val="00F1199A"/>
    <w:rsid w:val="00F12428"/>
    <w:rsid w:val="00F12491"/>
    <w:rsid w:val="00F13607"/>
    <w:rsid w:val="00F1544C"/>
    <w:rsid w:val="00F161F9"/>
    <w:rsid w:val="00F172C5"/>
    <w:rsid w:val="00F173C9"/>
    <w:rsid w:val="00F20511"/>
    <w:rsid w:val="00F2127E"/>
    <w:rsid w:val="00F223D7"/>
    <w:rsid w:val="00F23C66"/>
    <w:rsid w:val="00F23DC3"/>
    <w:rsid w:val="00F24CA0"/>
    <w:rsid w:val="00F25B83"/>
    <w:rsid w:val="00F25F17"/>
    <w:rsid w:val="00F27A84"/>
    <w:rsid w:val="00F3172E"/>
    <w:rsid w:val="00F3200A"/>
    <w:rsid w:val="00F324AC"/>
    <w:rsid w:val="00F32577"/>
    <w:rsid w:val="00F332F0"/>
    <w:rsid w:val="00F33C79"/>
    <w:rsid w:val="00F33D9F"/>
    <w:rsid w:val="00F33DD2"/>
    <w:rsid w:val="00F33E24"/>
    <w:rsid w:val="00F34DAF"/>
    <w:rsid w:val="00F355B5"/>
    <w:rsid w:val="00F359DE"/>
    <w:rsid w:val="00F3644C"/>
    <w:rsid w:val="00F36987"/>
    <w:rsid w:val="00F37CBC"/>
    <w:rsid w:val="00F37E4A"/>
    <w:rsid w:val="00F41E00"/>
    <w:rsid w:val="00F4212D"/>
    <w:rsid w:val="00F423CE"/>
    <w:rsid w:val="00F42580"/>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47C8"/>
    <w:rsid w:val="00F5682F"/>
    <w:rsid w:val="00F569A1"/>
    <w:rsid w:val="00F5763E"/>
    <w:rsid w:val="00F6157E"/>
    <w:rsid w:val="00F63F2A"/>
    <w:rsid w:val="00F646EF"/>
    <w:rsid w:val="00F649E5"/>
    <w:rsid w:val="00F64B0A"/>
    <w:rsid w:val="00F6655D"/>
    <w:rsid w:val="00F66741"/>
    <w:rsid w:val="00F70268"/>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5EAA"/>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65AC"/>
    <w:rsid w:val="00FB6C43"/>
    <w:rsid w:val="00FB7788"/>
    <w:rsid w:val="00FC0102"/>
    <w:rsid w:val="00FC0C7B"/>
    <w:rsid w:val="00FC2BE8"/>
    <w:rsid w:val="00FC39BA"/>
    <w:rsid w:val="00FC436F"/>
    <w:rsid w:val="00FC5914"/>
    <w:rsid w:val="00FC6799"/>
    <w:rsid w:val="00FC6EDF"/>
    <w:rsid w:val="00FC7765"/>
    <w:rsid w:val="00FD0F60"/>
    <w:rsid w:val="00FD118E"/>
    <w:rsid w:val="00FD2623"/>
    <w:rsid w:val="00FD2AB0"/>
    <w:rsid w:val="00FD3685"/>
    <w:rsid w:val="00FD3A69"/>
    <w:rsid w:val="00FD3D66"/>
    <w:rsid w:val="00FD3EB9"/>
    <w:rsid w:val="00FD4593"/>
    <w:rsid w:val="00FD4CB4"/>
    <w:rsid w:val="00FD4EF0"/>
    <w:rsid w:val="00FD5455"/>
    <w:rsid w:val="00FD63A1"/>
    <w:rsid w:val="00FD6E31"/>
    <w:rsid w:val="00FE044C"/>
    <w:rsid w:val="00FE16D2"/>
    <w:rsid w:val="00FE234C"/>
    <w:rsid w:val="00FE2F95"/>
    <w:rsid w:val="00FE394E"/>
    <w:rsid w:val="00FE6288"/>
    <w:rsid w:val="00FE67BB"/>
    <w:rsid w:val="00FE68B2"/>
    <w:rsid w:val="00FE6ADF"/>
    <w:rsid w:val="00FE7250"/>
    <w:rsid w:val="00FE7D7E"/>
    <w:rsid w:val="00FF0AB7"/>
    <w:rsid w:val="00FF16D1"/>
    <w:rsid w:val="00FF24B5"/>
    <w:rsid w:val="00FF2BA0"/>
    <w:rsid w:val="00FF3C13"/>
    <w:rsid w:val="00FF528C"/>
    <w:rsid w:val="00FF5A6D"/>
    <w:rsid w:val="00FF64D0"/>
    <w:rsid w:val="00FF67B2"/>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2F9"/>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9"/>
      </w:numPr>
      <w:tabs>
        <w:tab w:val="left" w:pos="440"/>
        <w:tab w:val="right" w:leader="dot" w:pos="9063"/>
      </w:tabs>
      <w:spacing w:before="240"/>
      <w:ind w:left="928"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D92244"/>
    <w:pPr>
      <w:tabs>
        <w:tab w:val="left" w:pos="440"/>
        <w:tab w:val="right" w:leader="dot" w:pos="9063"/>
      </w:tabs>
      <w:spacing w:before="240"/>
      <w:ind w:right="-284"/>
      <w:outlineLvl w:val="0"/>
    </w:pPr>
    <w:rPr>
      <w:b/>
      <w:noProof/>
      <w:sz w:val="20"/>
      <w:szCs w:val="20"/>
      <w14:scene3d>
        <w14:camera w14:prst="orthographicFront"/>
        <w14:lightRig w14:rig="threePt" w14:dir="t">
          <w14:rot w14:lat="0" w14:lon="0" w14:rev="0"/>
        </w14:lightRig>
      </w14:scene3d>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pl-PL"/>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qFormat/>
    <w:rsid w:val="002634CF"/>
    <w:pPr>
      <w:numPr>
        <w:numId w:val="1"/>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810E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CC7E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8335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3324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4351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A773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rsid w:val="00A773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rsid w:val="00AD6E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rsid w:val="00231B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rsid w:val="00D759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0"/>
    <w:basedOn w:val="TableNormal"/>
    <w:next w:val="TableGrid"/>
    <w:rsid w:val="003A33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2646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rsid w:val="000575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rsid w:val="00572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rsid w:val="003567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2004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rsid w:val="00CE70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7">
    <w:name w:val="Table Grid207"/>
    <w:basedOn w:val="TableNormal"/>
    <w:next w:val="TableGrid"/>
    <w:rsid w:val="00D742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8">
    <w:name w:val="Table Grid208"/>
    <w:basedOn w:val="TableNormal"/>
    <w:next w:val="TableGrid"/>
    <w:rsid w:val="00747E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570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mailto:Gemma.Amran@eesc.europa.eu" TargetMode="External"/><Relationship Id="rId39" Type="http://schemas.openxmlformats.org/officeDocument/2006/relationships/hyperlink" Target="https://www.eesc.europa.eu/pl/our-work/opinions-information-reports/opinions/eu-biotech-and-biomanufacturing-initiative" TargetMode="External"/><Relationship Id="rId21" Type="http://schemas.openxmlformats.org/officeDocument/2006/relationships/hyperlink" Target="https://www.eesc.europa.eu/pl/our-work/opinions-information-reports/opinions/no-one-should-be-left-behind-inclusive-and-participatory-cohesion-policy-support-social-economic-and-territorial" TargetMode="External"/><Relationship Id="rId34" Type="http://schemas.openxmlformats.org/officeDocument/2006/relationships/hyperlink" Target="mailto:Martine.Delanoy@eesc.europa.eu" TargetMode="External"/><Relationship Id="rId42" Type="http://schemas.openxmlformats.org/officeDocument/2006/relationships/hyperlink" Target="https://www.eesc.europa.eu/pl/our-work/opinions-information-reports/opinions/advanced-materials-industrial-leadership-coordinated-plan-member-states" TargetMode="External"/><Relationship Id="rId47" Type="http://schemas.openxmlformats.org/officeDocument/2006/relationships/footer" Target="footer5.xml"/><Relationship Id="rId50" Type="http://schemas.openxmlformats.org/officeDocument/2006/relationships/fontTable" Target="fontTable.xml"/><Relationship Id="rId55" Type="http://schemas.openxmlformats.org/officeDocument/2006/relationships/customXml" Target="../customXml/item4.xml"/><Relationship Id="rId7"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mailto:Sabrina.Borg@eesc.europa.eu" TargetMode="External"/><Relationship Id="rId11" Type="http://schemas.openxmlformats.org/officeDocument/2006/relationships/image" Target="media/image1.jpeg"/><Relationship Id="rId24" Type="http://schemas.openxmlformats.org/officeDocument/2006/relationships/hyperlink" Target="mailto:Juri.Soosaar@eesc.europa.eu" TargetMode="External"/><Relationship Id="rId32" Type="http://schemas.openxmlformats.org/officeDocument/2006/relationships/hyperlink" Target="https://www.eesc.europa.eu/pl/our-work/opinions-information-reports/opinions/general-fisheries-commission-mediterranean" TargetMode="External"/><Relationship Id="rId37" Type="http://schemas.openxmlformats.org/officeDocument/2006/relationships/hyperlink" Target="https://www.eesc.europa.eu/pl/our-work/opinions-information-reports/opinions/energy-digitalisation-balancing-opportunities-and-risks-european-consumers" TargetMode="External"/><Relationship Id="rId40" Type="http://schemas.openxmlformats.org/officeDocument/2006/relationships/hyperlink" Target="mailto:Marie-Laurence.Drillon@eesc.europa.eu" TargetMode="External"/><Relationship Id="rId45" Type="http://schemas.openxmlformats.org/officeDocument/2006/relationships/header" Target="header5.xml"/><Relationship Id="rId53" Type="http://schemas.openxmlformats.org/officeDocument/2006/relationships/customXml" Target="../customXml/item2.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eesc.europa.eu/pl/our-work/opinions-information-reports/opinions/taxation-framework-social-economy-entities" TargetMode="External"/><Relationship Id="rId28" Type="http://schemas.openxmlformats.org/officeDocument/2006/relationships/hyperlink" Target="mailto:Valeria.Atzori@eesc.europa.eu" TargetMode="External"/><Relationship Id="rId36" Type="http://schemas.openxmlformats.org/officeDocument/2006/relationships/hyperlink" Target="mailto:Marco.Ristori@eesc.europa.eu" TargetMode="External"/><Relationship Id="rId49"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mailto:Marco.Manfroni@eesc.europa.eu" TargetMode="External"/><Relationship Id="rId44" Type="http://schemas.openxmlformats.org/officeDocument/2006/relationships/header" Target="header4.xml"/><Relationship Id="rId52"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Georgios.Meleas@eesc.europa.eu" TargetMode="External"/><Relationship Id="rId27" Type="http://schemas.openxmlformats.org/officeDocument/2006/relationships/hyperlink" Target="https://www.eesc.europa.eu/pl/our-work/opinions-information-reports/opinions/caregivers" TargetMode="External"/><Relationship Id="rId30" Type="http://schemas.openxmlformats.org/officeDocument/2006/relationships/hyperlink" Target="https://www.eesc.europa.eu/pl/our-work/opinions-information-reports/opinions/proposal-council-recommendation-enhancing-research-security" TargetMode="External"/><Relationship Id="rId35" Type="http://schemas.openxmlformats.org/officeDocument/2006/relationships/hyperlink" Target="https://www.eesc.europa.eu/pl/our-work/opinions-information-reports/opinions/screening-foreign-investments-union" TargetMode="External"/><Relationship Id="rId43" Type="http://schemas.openxmlformats.org/officeDocument/2006/relationships/hyperlink" Target="mailto:Heli.Niemela-Farrer@eesc.europa.eu" TargetMode="External"/><Relationship Id="rId48" Type="http://schemas.openxmlformats.org/officeDocument/2006/relationships/header" Target="header6.xml"/><Relationship Id="rId8" Type="http://schemas.openxmlformats.org/officeDocument/2006/relationships/webSettings" Target="webSettings.xml"/><Relationship Id="rId51" Type="http://schemas.openxmlformats.org/officeDocument/2006/relationships/theme" Target="theme/theme1.xml"/><Relationship Id="rId12" Type="http://schemas.openxmlformats.org/officeDocument/2006/relationships/hyperlink" Target="https://www.eesc.europa.eu/pl/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mailto:Sabrina.Borg@eesc.europa.eu" TargetMode="External"/><Relationship Id="rId33" Type="http://schemas.openxmlformats.org/officeDocument/2006/relationships/hyperlink" Target="mailto:Martine.Delanoy@eesc.europa.eu" TargetMode="External"/><Relationship Id="rId38" Type="http://schemas.openxmlformats.org/officeDocument/2006/relationships/hyperlink" Target="mailto:Aleksandra.SarmanGrilc@eesc.europa.eu" TargetMode="External"/><Relationship Id="rId46" Type="http://schemas.openxmlformats.org/officeDocument/2006/relationships/footer" Target="footer4.xml"/><Relationship Id="rId20" Type="http://schemas.openxmlformats.org/officeDocument/2006/relationships/hyperlink" Target="https://www.eesc.europa.eu/pl/our-work/opinions-information-reports/opinions/no-one-should-be-left-behind-inclusive-and-participatory-cohesion-policy-support-social-economic-and-territorial" TargetMode="External"/><Relationship Id="rId41" Type="http://schemas.openxmlformats.org/officeDocument/2006/relationships/hyperlink" Target="https://www.eesc.europa.eu/pl/our-work/opinions-information-reports/opinions/low-carbon-and-renewable-fuels-building-capacity-european-industry-decarbonise-aviation-and-maritime-sectors-spirit" TargetMode="External"/><Relationship Id="rId54" Type="http://schemas.openxmlformats.org/officeDocument/2006/relationships/customXml" Target="../customXml/item3.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C9C698F2971CE54890F427AFE3EB568F" ma:contentTypeVersion="4" ma:contentTypeDescription="Defines the documents for Document Manager V2" ma:contentTypeScope="" ma:versionID="1ede4366cc334d81186bb4f7d46e0bfd">
  <xsd:schema xmlns:xsd="http://www.w3.org/2001/XMLSchema" xmlns:xs="http://www.w3.org/2001/XMLSchema" xmlns:p="http://schemas.microsoft.com/office/2006/metadata/properties" xmlns:ns2="59ace41b-6786-4ce3-be71-52c27066c6ef" xmlns:ns3="http://schemas.microsoft.com/sharepoint/v3/fields" xmlns:ns4="36007a90-28ab-40da-967b-595e4ec83007" targetNamespace="http://schemas.microsoft.com/office/2006/metadata/properties" ma:root="true" ma:fieldsID="793bace539ab1b60d443041a34a09cc2" ns2:_="" ns3:_="" ns4:_="">
    <xsd:import namespace="59ace41b-6786-4ce3-be71-52c27066c6ef"/>
    <xsd:import namespace="http://schemas.microsoft.com/sharepoint/v3/fields"/>
    <xsd:import namespace="36007a90-28ab-40da-967b-595e4ec8300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007a90-28ab-40da-967b-595e4ec83007"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F7M6YNZUATRX-789077548-3354</_dlc_DocId>
    <_dlc_DocIdUrl xmlns="59ace41b-6786-4ce3-be71-52c27066c6ef">
      <Url>http://dm/eesc/2024/_layouts/15/DocIdRedir.aspx?ID=F7M6YNZUATRX-789077548-3354</Url>
      <Description>F7M6YNZUATRX-789077548-3354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2024-07-24T12:00:00+00:00</ProductionDate>
    <DocumentNumber xmlns="36007a90-28ab-40da-967b-595e4ec83007">2113</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2024-09-18T12:00:00+00:00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PL</TermName>
          <TermId xmlns="http://schemas.microsoft.com/office/infopath/2007/PartnerControls">1e03da61-4678-4e07-b136-b5024ca9197b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7682</FicheNumber>
    <OriginalSender xmlns="59ace41b-6786-4ce3-be71-52c27066c6ef">
      <UserInfo>
        <DisplayName>Kosim-Basimoglu Anna</DisplayName>
        <AccountId>1632</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36007a90-28ab-40da-967b-595e4ec83007">590</MeetingNumber>
    <DossierName_0 xmlns="http://schemas.microsoft.com/sharepoint/v3/fields">
      <Terms xmlns="http://schemas.microsoft.com/office/infopath/2007/PartnerControls"/>
    </DossierName_0>
    <DocumentVersion xmlns="59ace41b-6786-4ce3-be71-52c27066c6ef">1</DocumentVersion>
  </documentManagement>
</p:properties>
</file>

<file path=customXml/itemProps1.xml><?xml version="1.0" encoding="utf-8"?>
<ds:datastoreItem xmlns:ds="http://schemas.openxmlformats.org/officeDocument/2006/customXml" ds:itemID="{0D34EC2A-0DD0-4A64-8EF9-3A82A010D735}"/>
</file>

<file path=customXml/itemProps2.xml><?xml version="1.0" encoding="utf-8"?>
<ds:datastoreItem xmlns:ds="http://schemas.openxmlformats.org/officeDocument/2006/customXml" ds:itemID="{36DDF9F3-4E52-499F-859A-3B704CF0BFFE}"/>
</file>

<file path=customXml/itemProps3.xml><?xml version="1.0" encoding="utf-8"?>
<ds:datastoreItem xmlns:ds="http://schemas.openxmlformats.org/officeDocument/2006/customXml" ds:itemID="{07B91690-430F-433C-861C-77F2E5CA6063}"/>
</file>

<file path=customXml/itemProps4.xml><?xml version="1.0" encoding="utf-8"?>
<ds:datastoreItem xmlns:ds="http://schemas.openxmlformats.org/officeDocument/2006/customXml" ds:itemID="{E8D6A5FC-A4D8-42A4-ACEB-532C7778CBE4}"/>
</file>

<file path=docProps/app.xml><?xml version="1.0" encoding="utf-8"?>
<Properties xmlns="http://schemas.openxmlformats.org/officeDocument/2006/extended-properties" xmlns:vt="http://schemas.openxmlformats.org/officeDocument/2006/docPropsVTypes">
  <Template>Normal.dotm</Template>
  <TotalTime>0</TotalTime>
  <Pages>18</Pages>
  <Words>5396</Words>
  <Characters>30758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Summary of opinions - 586th plenary session - March 2024</vt:lpstr>
    </vt:vector>
  </TitlesOfParts>
  <Company>CESE-CdR</Company>
  <LinksUpToDate>false</LinksUpToDate>
  <CharactersWithSpaces>36082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Streszczenie przyjętych opinii - 589. sesja plenarna - lipiec 2024 r.</dc:title>
  <dc:subject>TCD</dc:subject>
  <dc:creator>Nieddu Emma</dc:creator>
  <cp:keywords>EESC-2024-02113-00-01-TCD-TRA-EN</cp:keywords>
  <dc:description>Rapporteur:  - Original language: EN - Date of document: 24/07/2024 - Date of meeting: 30/18/2024 14:30 - External documents:  - Administrator: MME TAMASAUSKIENE Julija</dc:description>
  <cp:lastModifiedBy>Kosim-Basimoglu Anna</cp:lastModifiedBy>
  <cp:revision>18</cp:revision>
  <cp:lastPrinted>2023-06-15T08:00:00Z</cp:lastPrinted>
  <dcterms:created xsi:type="dcterms:W3CDTF">2024-07-19T11:45:00Z</dcterms:created>
  <dcterms:modified xsi:type="dcterms:W3CDTF">2024-07-24T08:10:00Z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19/07/2024, 17/07/2024, 09/04/2024, 27/03/2024, 03/01/2024, 13/11/2023, 25/09/2023, 25/07/2023, 30/06/2023, 23/06/2023, 26/05/2023, 07/03/2023, 11/01/2023, 10/01/2023, 29/03/2022, 04/03/2022, 15/12/2021, 13/09/2021, 03/09/2021, 28/06/2021</vt:lpwstr>
  </property>
  <property fmtid="{D5CDD505-2E9C-101B-9397-08002B2CF9AE}" pid="4" name="Pref_Time">
    <vt:lpwstr>13:45:27, 10:55:58, 17:11:40, 12:24:19, 15:02:18, 17:01:12, 16:07:19, 11:58:41, 14:00:08, 12:39:02, 15:12:50, 10:27:54, 10:12:15, 11:41:25, 14:21:50, 16:54:06, 17:56:36, 14:13:00, 10:08:10, 08:41:48</vt:lpwstr>
  </property>
  <property fmtid="{D5CDD505-2E9C-101B-9397-08002B2CF9AE}" pid="5" name="Pref_User">
    <vt:lpwstr>pacup, jhvi, jhvi, pacup, enied, amett, amett, jhvi, pacup, jhvi, pacup, enied, pacup, enied, jhvi, enied, hnic, amett, enied, enied</vt:lpwstr>
  </property>
  <property fmtid="{D5CDD505-2E9C-101B-9397-08002B2CF9AE}" pid="6" name="Pref_FileName">
    <vt:lpwstr>EESC-2024-02113-00-01-TCD-TRA.docx, eesc-2024-02113-00-00-tcd-ori.docx, EESC-2024-00740-00-01-TCD-ORI.docx, EESC-2024-00740-00-00-TCD-TRA.docx, EESC-2023-04915-00-00-TCD-ORI.docx, EESC-2023-04201-00-00-TCD-ORI.docx, EESC-2023-03625-00-00-TCD-ORI.docx, EES</vt:lpwstr>
  </property>
  <property fmtid="{D5CDD505-2E9C-101B-9397-08002B2CF9AE}" pid="7" name="ContentTypeId">
    <vt:lpwstr>0x010100EA97B91038054C99906057A708A1480A00C9C698F2971CE54890F427AFE3EB568F</vt:lpwstr>
  </property>
  <property fmtid="{D5CDD505-2E9C-101B-9397-08002B2CF9AE}" pid="8" name="_dlc_DocIdItemGuid">
    <vt:lpwstr>db0d7a2c-4aae-468b-8eb3-e275d9ce5ae8</vt:lpwstr>
  </property>
  <property fmtid="{D5CDD505-2E9C-101B-9397-08002B2CF9AE}" pid="9" name="AvailableTranslations">
    <vt:lpwstr>26;#SK|46d9fce0-ef79-4f71-b89b-cd6aa82426b8;#35;#FI|87606a43-d45f-42d6-b8c9-e1a3457db5b7;#30;#HR|2f555653-ed1a-4fe6-8362-9082d95989e5;#28;#LV|46f7e311-5d9f-4663-b433-18aeccb7ace7;#31;#NL|55c6556c-b4f4-441d-9acf-c498d4f838bd;#21;#SV|c2ed69e7-a339-43d7-8f22-d93680a92aa0;#34;#LT|a7ff5ce7-6123-4f68-865a-a57c31810414;#37;#RO|feb747a2-64cd-4299-af12-4833ddc30497;#12;#IT|0774613c-01ed-4e5d-a25d-11d2388de825;#16;#DA|5d49c027-8956-412b-aa16-e85a0f96ad0e;#22;#BG|1a1b3951-7821-4e6a-85f5-5673fc08bd2c;#29;#EL|6d4f4d51-af9b-4650-94b4-4276bee85c91;#32;#HU|6b229040-c589-4408-b4c1-4285663d20a8;#36;#PT|50ccc04a-eadd-42ae-a0cb-acaf45f812ba;#24;#ES|e7a6b05b-ae16-40c8-add9-68b64b03aeba;#33;#ET|ff6c3f4c-b02c-4c3c-ab07-2c37995a7a0a;#5;#EN|f2175f21-25d7-44a3-96da-d6a61b075e1b;#14;#FR|d2afafd3-4c81-4f60-8f52-ee33f2f54ff3;#27;#SL|98a412ae-eb01-49e9-ae3d-585a81724cfc;#25;#DE|f6b31e5a-26fa-4935-b661-318e46daf27e;#43;#CS|72f9705b-0217-4fd3-bea2-cbc7ed80e26e;#17;#PL|1e03da61-4678-4e07-b136-b5024ca9197b</vt:lpwstr>
  </property>
  <property fmtid="{D5CDD505-2E9C-101B-9397-08002B2CF9AE}" pid="10" name="DocumentType_0">
    <vt:lpwstr>TCD|cd9d6eb6-3f4f-424a-b2d1-57c9d450eaaf</vt:lpwstr>
  </property>
  <property fmtid="{D5CDD505-2E9C-101B-9397-08002B2CF9AE}" pid="11" name="MeetingNumber">
    <vt:i4>590</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2113</vt:i4>
  </property>
  <property fmtid="{D5CDD505-2E9C-101B-9397-08002B2CF9AE}" pid="15" name="DocumentVersion">
    <vt:i4>1</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2024-09-18T12:00:00Z</vt:filetime>
  </property>
  <property fmtid="{D5CDD505-2E9C-101B-9397-08002B2CF9AE}" pid="29" name="AvailableTranslations_0">
    <vt:lpwstr>SK|46d9fce0-ef79-4f71-b89b-cd6aa82426b8;FI|87606a43-d45f-42d6-b8c9-e1a3457db5b7;HR|2f555653-ed1a-4fe6-8362-9082d95989e5;LV|46f7e311-5d9f-4663-b433-18aeccb7ace7;NL|55c6556c-b4f4-441d-9acf-c498d4f838bd;SV|c2ed69e7-a339-43d7-8f22-d93680a92aa0;LT|a7ff5ce7-6123-4f68-865a-a57c31810414;RO|feb747a2-64cd-4299-af12-4833ddc30497;IT|0774613c-01ed-4e5d-a25d-11d2388de825;DA|5d49c027-8956-412b-aa16-e85a0f96ad0e;BG|1a1b3951-7821-4e6a-85f5-5673fc08bd2c;HU|6b229040-c589-4408-b4c1-4285663d20a8;PT|50ccc04a-eadd-42ae-a0cb-acaf45f812ba;ES|e7a6b05b-ae16-40c8-add9-68b64b03aeba;EN|f2175f21-25d7-44a3-96da-d6a61b075e1b;SL|98a412ae-eb01-49e9-ae3d-585a81724cfc;DE|f6b31e5a-26fa-4935-b661-318e46daf27e;CS|72f9705b-0217-4fd3-bea2-cbc7ed80e26e</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36;#PT|50ccc04a-eadd-42ae-a0cb-acaf45f812ba;#35;#FI|87606a43-d45f-42d6-b8c9-e1a3457db5b7;#34;#LT|a7ff5ce7-6123-4f68-865a-a57c31810414;#32;#HU|6b229040-c589-4408-b4c1-4285663d20a8;#31;#NL|55c6556c-b4f4-441d-9acf-c498d4f838bd;#30;#HR|2f555653-ed1a-4fe6-8362-9082d95989e5;#28;#LV|46f7e311-5d9f-4663-b433-18aeccb7ace7;#27;#SL|98a412ae-eb01-49e9-ae3d-585a81724cfc;#26;#SK|46d9fce0-ef79-4f71-b89b-cd6aa82426b8;#25;#DE|f6b31e5a-26fa-4935-b661-318e46daf27e;#24;#ES|e7a6b05b-ae16-40c8-add9-68b64b03aeba;#22;#BG|1a1b3951-7821-4e6a-85f5-5673fc08bd2c;#21;#SV|c2ed69e7-a339-43d7-8f22-d93680a92aa0;#43;#CS|72f9705b-0217-4fd3-bea2-cbc7ed80e26e;#16;#DA|5d49c027-8956-412b-aa16-e85a0f96ad0e;#13;#TCD|cd9d6eb6-3f4f-424a-b2d1-57c9d450eaaf;#12;#IT|0774613c-01ed-4e5d-a25d-11d2388de825;#8;#Final|ea5e6674-7b27-4bac-b091-73adbb394efe;#7;#SPL-CES|32d8cb1f-c9ec-4365-95c7-8385a18618ac;#6;#Unrestricted|826e22d7-d029-4ec0-a450-0c28ff673572;#5;#EN|f2175f21-25d7-44a3-96da-d6a61b075e1b;#3;#TRA|150d2a88-1431-44e6-a8ca-0bb753ab8672;#1;#EESC|422833ec-8d7e-4e65-8e4e-8bed07ffb729;#37;#RO|feb747a2-64cd-4299-af12-4833ddc30497</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7682</vt:i4>
  </property>
  <property fmtid="{D5CDD505-2E9C-101B-9397-08002B2CF9AE}" pid="37" name="DocumentLanguage">
    <vt:lpwstr>17;#PL|1e03da61-4678-4e07-b136-b5024ca9197b</vt:lpwstr>
  </property>
</Properties>
</file>