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112593" w14:paraId="785AE44C" w14:textId="625CDBA8">
      <w:pPr>
        <w:jc w:val="center"/>
      </w:pPr>
      <w:r>
        <w:rPr>
          <w:noProof/>
        </w:rPr>
        <w:drawing>
          <wp:inline distT="0" distB="0" distL="0" distR="0" wp14:anchorId="35F9EA8A" wp14:editId="719E562C">
            <wp:extent cx="1792605" cy="1239520"/>
            <wp:effectExtent l="0" t="0" r="0" b="0"/>
            <wp:docPr id="2" name="Picture 2" title="EESCLogo_HU"/>
            <wp:cNvGraphicFramePr/>
            <a:graphic xmlns:a="http://schemas.openxmlformats.org/drawingml/2006/main">
              <a:graphicData uri="http://schemas.openxmlformats.org/drawingml/2006/picture">
                <pic:pic xmlns:pic="http://schemas.openxmlformats.org/drawingml/2006/picture">
                  <pic:nvPicPr>
                    <pic:cNvPr id="2" name="Picture 2" title="EESCLogo_H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1F6397A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HU</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t>Brüsszel, 2024. szeptember 16.</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589. PLENÁRIS ÜLÉSSZAK</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2024. július 10. és 11.</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AZ ELFOGADOTT VÉLEMÉNYEK, ÁLLÁSFOGLALÁSOK ÉS TÁJÉKOZTATÓ/ÉRTÉKELŐ JELENTÉSEK ÖSSZEFOGLALÁSA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Ez a dokumentum a hivatalos nyelveken az EGSZB honlapjáról érhető el, a következő címen:</w:t>
            </w:r>
          </w:p>
          <w:p w:rsidRPr="00094B6B" w:rsidR="00B16284" w:rsidP="00775FC4" w:rsidRDefault="00B16284" w14:paraId="4F26A4CE" w14:textId="77777777">
            <w:pPr>
              <w:snapToGrid w:val="0"/>
              <w:jc w:val="center"/>
            </w:pPr>
          </w:p>
          <w:p w:rsidRPr="00094B6B" w:rsidR="004D7AC0" w:rsidP="00775FC4" w:rsidRDefault="008766EB" w14:paraId="2A9352A2" w14:textId="0680ADB6">
            <w:pPr>
              <w:snapToGrid w:val="0"/>
              <w:jc w:val="center"/>
            </w:pPr>
            <w:hyperlink w:history="1" r:id="rId12">
              <w:r w:rsidR="000B64C3">
                <w:rPr>
                  <w:rStyle w:val="Hyperlink"/>
                  <w:highlight w:val="yellow"/>
                </w:rPr>
                <w:t>https://www.eesc.europa.eu/hu/our-work/opinions-information-reports/plenary-session-summaries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A felsorolt vélemények online az EGSZB keresőrendszerén keresztül érhetők el:</w:t>
            </w:r>
          </w:p>
          <w:p w:rsidRPr="00094B6B" w:rsidR="00B16284" w:rsidP="00775FC4" w:rsidRDefault="00B16284" w14:paraId="7A5411A5" w14:textId="77777777">
            <w:pPr>
              <w:snapToGrid w:val="0"/>
              <w:jc w:val="center"/>
            </w:pPr>
          </w:p>
          <w:p w:rsidRPr="00094B6B" w:rsidR="004D7AC0" w:rsidP="00775FC4" w:rsidRDefault="008766EB" w14:paraId="441AC4DD" w14:textId="1194D751">
            <w:pPr>
              <w:snapToGrid w:val="0"/>
              <w:jc w:val="center"/>
            </w:pPr>
            <w:hyperlink w:history="1" r:id="rId13">
              <w:r w:rsidR="000B64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Tartalomjegyzék</w:t>
      </w:r>
    </w:p>
    <w:p w:rsidR="0040439D" w:rsidRDefault="0014322B" w14:paraId="564D99F9" w14:textId="338A9922">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r>
        <w:fldChar w:fldCharType="begin"/>
      </w:r>
      <w:r>
        <w:instrText xml:space="preserve"> TOC \o "1-1" \h \z \u </w:instrText>
      </w:r>
      <w:r>
        <w:fldChar w:fldCharType="separate"/>
      </w:r>
      <w:hyperlink w:history="1" w:anchor="_Toc172532837">
        <w:r w:rsidRPr="001C495A" w:rsidR="0040439D">
          <w:rPr>
            <w:rStyle w:val="Hyperlink"/>
          </w:rPr>
          <w:t>1.</w:t>
        </w:r>
        <w:r w:rsidR="0040439D">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1C495A" w:rsidR="0040439D">
          <w:rPr>
            <w:rStyle w:val="Hyperlink"/>
          </w:rPr>
          <w:t>ÁLLÁSFOGLALÁS</w:t>
        </w:r>
        <w:r w:rsidR="0040439D">
          <w:rPr>
            <w:webHidden/>
          </w:rPr>
          <w:tab/>
        </w:r>
        <w:r w:rsidR="0040439D">
          <w:rPr>
            <w:webHidden/>
          </w:rPr>
          <w:fldChar w:fldCharType="begin"/>
        </w:r>
        <w:r w:rsidR="0040439D">
          <w:rPr>
            <w:webHidden/>
          </w:rPr>
          <w:instrText xml:space="preserve"> PAGEREF _Toc172532837 \h </w:instrText>
        </w:r>
        <w:r w:rsidR="0040439D">
          <w:rPr>
            <w:webHidden/>
          </w:rPr>
        </w:r>
        <w:r w:rsidR="0040439D">
          <w:rPr>
            <w:webHidden/>
          </w:rPr>
          <w:fldChar w:fldCharType="separate"/>
        </w:r>
        <w:r w:rsidR="0040439D">
          <w:rPr>
            <w:webHidden/>
          </w:rPr>
          <w:t>3</w:t>
        </w:r>
        <w:r w:rsidR="0040439D">
          <w:rPr>
            <w:webHidden/>
          </w:rPr>
          <w:fldChar w:fldCharType="end"/>
        </w:r>
      </w:hyperlink>
    </w:p>
    <w:p w:rsidR="0040439D" w:rsidRDefault="0040439D" w14:paraId="7A18C5E3" w14:textId="2C8C15F3">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2838">
        <w:r w:rsidRPr="001C495A">
          <w:rPr>
            <w:rStyle w:val="Hyperlink"/>
          </w:rPr>
          <w:t>2.</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1C495A">
          <w:rPr>
            <w:rStyle w:val="Hyperlink"/>
          </w:rPr>
          <w:t>GAZDASÁGI ÉS MONETÁRIS UNIÓ, GAZDASÁGI ÉS TÁRSADALMI KOHÉZIÓ</w:t>
        </w:r>
        <w:r>
          <w:rPr>
            <w:webHidden/>
          </w:rPr>
          <w:tab/>
        </w:r>
        <w:r>
          <w:rPr>
            <w:webHidden/>
          </w:rPr>
          <w:fldChar w:fldCharType="begin"/>
        </w:r>
        <w:r>
          <w:rPr>
            <w:webHidden/>
          </w:rPr>
          <w:instrText xml:space="preserve"> PAGEREF _Toc172532838 \h </w:instrText>
        </w:r>
        <w:r>
          <w:rPr>
            <w:webHidden/>
          </w:rPr>
        </w:r>
        <w:r>
          <w:rPr>
            <w:webHidden/>
          </w:rPr>
          <w:fldChar w:fldCharType="separate"/>
        </w:r>
        <w:r>
          <w:rPr>
            <w:webHidden/>
          </w:rPr>
          <w:t>4</w:t>
        </w:r>
        <w:r>
          <w:rPr>
            <w:webHidden/>
          </w:rPr>
          <w:fldChar w:fldCharType="end"/>
        </w:r>
      </w:hyperlink>
    </w:p>
    <w:p w:rsidR="0040439D" w:rsidRDefault="0040439D" w14:paraId="236C8CE7" w14:textId="3A78EFD1">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2839">
        <w:r w:rsidRPr="001C495A">
          <w:rPr>
            <w:rStyle w:val="Hyperlink"/>
          </w:rPr>
          <w:t>3.</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1C495A">
          <w:rPr>
            <w:rStyle w:val="Hyperlink"/>
          </w:rPr>
          <w:t>FOGLALKOZTATÁS- ÉS SZOCIÁLPOLITIKA, UNIÓS POLGÁRSÁG</w:t>
        </w:r>
        <w:r>
          <w:rPr>
            <w:webHidden/>
          </w:rPr>
          <w:tab/>
        </w:r>
        <w:r>
          <w:rPr>
            <w:webHidden/>
          </w:rPr>
          <w:fldChar w:fldCharType="begin"/>
        </w:r>
        <w:r>
          <w:rPr>
            <w:webHidden/>
          </w:rPr>
          <w:instrText xml:space="preserve"> PAGEREF _Toc172532839 \h </w:instrText>
        </w:r>
        <w:r>
          <w:rPr>
            <w:webHidden/>
          </w:rPr>
        </w:r>
        <w:r>
          <w:rPr>
            <w:webHidden/>
          </w:rPr>
          <w:fldChar w:fldCharType="separate"/>
        </w:r>
        <w:r>
          <w:rPr>
            <w:webHidden/>
          </w:rPr>
          <w:t>5</w:t>
        </w:r>
        <w:r>
          <w:rPr>
            <w:webHidden/>
          </w:rPr>
          <w:fldChar w:fldCharType="end"/>
        </w:r>
      </w:hyperlink>
    </w:p>
    <w:p w:rsidR="0040439D" w:rsidRDefault="0040439D" w14:paraId="16664214" w14:textId="1221CA41">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2840">
        <w:r w:rsidRPr="001C495A">
          <w:rPr>
            <w:rStyle w:val="Hyperlink"/>
          </w:rPr>
          <w:t>4.</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1C495A">
          <w:rPr>
            <w:rStyle w:val="Hyperlink"/>
          </w:rPr>
          <w:t>EGYSÉGES PIAC, TERMELÉS ÉS FOGYASZTÁS</w:t>
        </w:r>
        <w:r>
          <w:rPr>
            <w:webHidden/>
          </w:rPr>
          <w:tab/>
        </w:r>
        <w:r>
          <w:rPr>
            <w:webHidden/>
          </w:rPr>
          <w:fldChar w:fldCharType="begin"/>
        </w:r>
        <w:r>
          <w:rPr>
            <w:webHidden/>
          </w:rPr>
          <w:instrText xml:space="preserve"> PAGEREF _Toc172532840 \h </w:instrText>
        </w:r>
        <w:r>
          <w:rPr>
            <w:webHidden/>
          </w:rPr>
        </w:r>
        <w:r>
          <w:rPr>
            <w:webHidden/>
          </w:rPr>
          <w:fldChar w:fldCharType="separate"/>
        </w:r>
        <w:r>
          <w:rPr>
            <w:webHidden/>
          </w:rPr>
          <w:t>10</w:t>
        </w:r>
        <w:r>
          <w:rPr>
            <w:webHidden/>
          </w:rPr>
          <w:fldChar w:fldCharType="end"/>
        </w:r>
      </w:hyperlink>
    </w:p>
    <w:p w:rsidR="0040439D" w:rsidRDefault="0040439D" w14:paraId="6C01A9AB" w14:textId="57C2A0AC">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2841">
        <w:r w:rsidRPr="001C495A">
          <w:rPr>
            <w:rStyle w:val="Hyperlink"/>
          </w:rPr>
          <w:t>5.</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1C495A">
          <w:rPr>
            <w:rStyle w:val="Hyperlink"/>
          </w:rPr>
          <w:t>MEZŐGAZDASÁG, VIDÉKFEJLESZTÉS ÉS KÖRNYEZETVÉDELEM</w:t>
        </w:r>
        <w:r>
          <w:rPr>
            <w:webHidden/>
          </w:rPr>
          <w:tab/>
        </w:r>
        <w:r>
          <w:rPr>
            <w:webHidden/>
          </w:rPr>
          <w:fldChar w:fldCharType="begin"/>
        </w:r>
        <w:r>
          <w:rPr>
            <w:webHidden/>
          </w:rPr>
          <w:instrText xml:space="preserve"> PAGEREF _Toc172532841 \h </w:instrText>
        </w:r>
        <w:r>
          <w:rPr>
            <w:webHidden/>
          </w:rPr>
        </w:r>
        <w:r>
          <w:rPr>
            <w:webHidden/>
          </w:rPr>
          <w:fldChar w:fldCharType="separate"/>
        </w:r>
        <w:r>
          <w:rPr>
            <w:webHidden/>
          </w:rPr>
          <w:t>11</w:t>
        </w:r>
        <w:r>
          <w:rPr>
            <w:webHidden/>
          </w:rPr>
          <w:fldChar w:fldCharType="end"/>
        </w:r>
      </w:hyperlink>
    </w:p>
    <w:p w:rsidR="0040439D" w:rsidRDefault="0040439D" w14:paraId="16D6EC00" w14:textId="6C05C4A8">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2842">
        <w:r w:rsidRPr="001C495A">
          <w:rPr>
            <w:rStyle w:val="Hyperlink"/>
          </w:rPr>
          <w:t>6.</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1C495A">
          <w:rPr>
            <w:rStyle w:val="Hyperlink"/>
          </w:rPr>
          <w:t>KÜLKAPCSOLATOK</w:t>
        </w:r>
        <w:r>
          <w:rPr>
            <w:webHidden/>
          </w:rPr>
          <w:tab/>
        </w:r>
        <w:r>
          <w:rPr>
            <w:webHidden/>
          </w:rPr>
          <w:fldChar w:fldCharType="begin"/>
        </w:r>
        <w:r>
          <w:rPr>
            <w:webHidden/>
          </w:rPr>
          <w:instrText xml:space="preserve"> PAGEREF _Toc172532842 \h </w:instrText>
        </w:r>
        <w:r>
          <w:rPr>
            <w:webHidden/>
          </w:rPr>
        </w:r>
        <w:r>
          <w:rPr>
            <w:webHidden/>
          </w:rPr>
          <w:fldChar w:fldCharType="separate"/>
        </w:r>
        <w:r>
          <w:rPr>
            <w:webHidden/>
          </w:rPr>
          <w:t>13</w:t>
        </w:r>
        <w:r>
          <w:rPr>
            <w:webHidden/>
          </w:rPr>
          <w:fldChar w:fldCharType="end"/>
        </w:r>
      </w:hyperlink>
    </w:p>
    <w:p w:rsidR="0040439D" w:rsidRDefault="0040439D" w14:paraId="4E287E9C" w14:textId="5C3A5799">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2843">
        <w:r w:rsidRPr="001C495A">
          <w:rPr>
            <w:rStyle w:val="Hyperlink"/>
          </w:rPr>
          <w:t>7.</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1C495A">
          <w:rPr>
            <w:rStyle w:val="Hyperlink"/>
          </w:rPr>
          <w:t>KÖZLEKEDÉS, ENERGIA, INFRASTRUKTÚRA ÉS INFORMÁCIÓS TÁRSADALOM</w:t>
        </w:r>
        <w:r>
          <w:rPr>
            <w:webHidden/>
          </w:rPr>
          <w:tab/>
        </w:r>
        <w:r>
          <w:rPr>
            <w:webHidden/>
          </w:rPr>
          <w:fldChar w:fldCharType="begin"/>
        </w:r>
        <w:r>
          <w:rPr>
            <w:webHidden/>
          </w:rPr>
          <w:instrText xml:space="preserve"> PAGEREF _Toc172532843 \h </w:instrText>
        </w:r>
        <w:r>
          <w:rPr>
            <w:webHidden/>
          </w:rPr>
        </w:r>
        <w:r>
          <w:rPr>
            <w:webHidden/>
          </w:rPr>
          <w:fldChar w:fldCharType="separate"/>
        </w:r>
        <w:r>
          <w:rPr>
            <w:webHidden/>
          </w:rPr>
          <w:t>15</w:t>
        </w:r>
        <w:r>
          <w:rPr>
            <w:webHidden/>
          </w:rPr>
          <w:fldChar w:fldCharType="end"/>
        </w:r>
      </w:hyperlink>
    </w:p>
    <w:p w:rsidR="0040439D" w:rsidRDefault="0040439D" w14:paraId="028E12DF" w14:textId="121A4AF9">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2844">
        <w:r w:rsidRPr="001C495A">
          <w:rPr>
            <w:rStyle w:val="Hyperlink"/>
          </w:rPr>
          <w:t xml:space="preserve">8. </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1C495A">
          <w:rPr>
            <w:rStyle w:val="Hyperlink"/>
          </w:rPr>
          <w:t>IPARI SZERKEZETVÁLTÁS KONZULTATÍV BIZOTTSÁGA</w:t>
        </w:r>
        <w:r>
          <w:rPr>
            <w:webHidden/>
          </w:rPr>
          <w:tab/>
        </w:r>
        <w:r>
          <w:rPr>
            <w:webHidden/>
          </w:rPr>
          <w:fldChar w:fldCharType="begin"/>
        </w:r>
        <w:r>
          <w:rPr>
            <w:webHidden/>
          </w:rPr>
          <w:instrText xml:space="preserve"> PAGEREF _Toc172532844 \h </w:instrText>
        </w:r>
        <w:r>
          <w:rPr>
            <w:webHidden/>
          </w:rPr>
        </w:r>
        <w:r>
          <w:rPr>
            <w:webHidden/>
          </w:rPr>
          <w:fldChar w:fldCharType="separate"/>
        </w:r>
        <w:r>
          <w:rPr>
            <w:webHidden/>
          </w:rPr>
          <w:t>16</w:t>
        </w:r>
        <w:r>
          <w:rPr>
            <w:webHidden/>
          </w:rPr>
          <w:fldChar w:fldCharType="end"/>
        </w:r>
      </w:hyperlink>
    </w:p>
    <w:p w:rsidR="00C86ABD" w:rsidRDefault="0014322B" w14:paraId="4EDE006A" w14:textId="1F76B394">
      <w:pPr>
        <w:jc w:val="left"/>
      </w:pPr>
      <w:r>
        <w:fldChar w:fldCharType="end"/>
      </w:r>
      <w:r>
        <w:br w:type="page"/>
      </w:r>
    </w:p>
    <w:p w:rsidR="00C86ABD" w:rsidP="00810736" w:rsidRDefault="00C86ABD" w14:paraId="6C806385" w14:textId="0970C9A4">
      <w:pPr>
        <w:pStyle w:val="Heading1"/>
        <w:ind w:left="709" w:hanging="720"/>
        <w:rPr>
          <w:b/>
          <w:bCs/>
        </w:rPr>
      </w:pPr>
      <w:bookmarkStart w:name="_Toc172532837" w:id="0"/>
      <w:r>
        <w:rPr>
          <w:b/>
        </w:rPr>
        <w:lastRenderedPageBreak/>
        <w:t>ÁLLÁSFOGLALÁS</w:t>
      </w:r>
      <w:bookmarkEnd w:id="0"/>
      <w:r>
        <w:rPr>
          <w:b/>
        </w:rPr>
        <w:t xml:space="preserve"> </w:t>
      </w:r>
    </w:p>
    <w:p w:rsidRPr="004516BD" w:rsidR="004516BD" w:rsidP="004516BD" w:rsidRDefault="004516BD" w14:paraId="46F44DDA" w14:textId="77777777"/>
    <w:p w:rsidRPr="00A773FA" w:rsidR="00A773FA" w:rsidP="0088361D" w:rsidRDefault="008766EB" w14:paraId="53AAF1F5" w14:textId="02D242F3">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0">
        <w:r w:rsidR="000B64C3">
          <w:rPr>
            <w:b/>
            <w:i/>
            <w:color w:val="0000FF"/>
            <w:sz w:val="28"/>
            <w:u w:val="single"/>
          </w:rPr>
          <w:t>Senkit nem hagyunk hátra!</w:t>
        </w:r>
      </w:hyperlink>
      <w:hyperlink w:history="1" r:id="rId21">
        <w:r w:rsidR="000B64C3">
          <w:rPr>
            <w:b/>
            <w:i/>
            <w:color w:val="0000FF"/>
            <w:sz w:val="28"/>
            <w:u w:val="single"/>
          </w:rPr>
          <w:t xml:space="preserve"> Inkluzív és részvételen alapuló kohéziós politika a társadalmi, gazdasági és területi kohézió támogatása érdekében</w:t>
        </w:r>
      </w:hyperlink>
    </w:p>
    <w:p w:rsidRPr="00A773FA" w:rsidR="00A773FA" w:rsidP="00A773FA" w:rsidRDefault="00A773FA" w14:paraId="60111A05" w14:textId="77777777">
      <w:pPr>
        <w:overflowPunct w:val="0"/>
        <w:autoSpaceDE w:val="0"/>
        <w:autoSpaceDN w:val="0"/>
        <w:adjustRightInd w:val="0"/>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4"/>
        <w:gridCol w:w="6863"/>
      </w:tblGrid>
      <w:tr w:rsidRPr="00A773FA" w:rsidR="00A773FA" w:rsidTr="001F4854" w14:paraId="26A7967B" w14:textId="77777777">
        <w:tc>
          <w:tcPr>
            <w:tcW w:w="1143"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Pr>
                <w:b/>
              </w:rPr>
              <w:t>Előadó:</w:t>
            </w:r>
          </w:p>
        </w:tc>
        <w:tc>
          <w:tcPr>
            <w:tcW w:w="3857" w:type="pct"/>
          </w:tcPr>
          <w:p w:rsidRPr="00A773FA" w:rsidR="00A773FA" w:rsidP="0088361D" w:rsidRDefault="00A773FA" w14:paraId="6A6E5B0B" w14:textId="77777777">
            <w:pPr>
              <w:overflowPunct w:val="0"/>
              <w:autoSpaceDE w:val="0"/>
              <w:autoSpaceDN w:val="0"/>
              <w:adjustRightInd w:val="0"/>
              <w:spacing w:line="240" w:lineRule="auto"/>
              <w:textAlignment w:val="baseline"/>
            </w:pPr>
            <w:proofErr w:type="spellStart"/>
            <w:r>
              <w:t>Ioannis</w:t>
            </w:r>
            <w:proofErr w:type="spellEnd"/>
            <w:r>
              <w:t xml:space="preserve"> VARDAKASTANIS (Civil társadalmi szervezetek/EL)</w:t>
            </w:r>
          </w:p>
        </w:tc>
      </w:tr>
      <w:tr w:rsidRPr="00A773FA" w:rsidR="00A773FA" w:rsidTr="001F4854" w14:paraId="138FE1BF" w14:textId="77777777">
        <w:tc>
          <w:tcPr>
            <w:tcW w:w="5000" w:type="pct"/>
            <w:gridSpan w:val="2"/>
          </w:tcPr>
          <w:p w:rsidRPr="00A773FA"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773FA" w:rsidR="00A773FA" w:rsidTr="001F4854" w14:paraId="77930193" w14:textId="77777777">
        <w:tc>
          <w:tcPr>
            <w:tcW w:w="1143"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Pr>
                <w:b/>
              </w:rPr>
              <w:t>Hivatkozás:</w:t>
            </w:r>
          </w:p>
        </w:tc>
        <w:tc>
          <w:tcPr>
            <w:tcW w:w="3857"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t>EESC-2024-02528-00-00-RES</w:t>
            </w:r>
          </w:p>
        </w:tc>
      </w:tr>
    </w:tbl>
    <w:p w:rsidRPr="00A773FA" w:rsidR="00A773FA" w:rsidP="00A773FA" w:rsidRDefault="00A773FA" w14:paraId="5DB06AE6" w14:textId="77777777">
      <w:pPr>
        <w:overflowPunct w:val="0"/>
        <w:autoSpaceDE w:val="0"/>
        <w:autoSpaceDN w:val="0"/>
        <w:adjustRightInd w:val="0"/>
        <w:textAlignment w:val="baseline"/>
        <w:rPr>
          <w:b/>
          <w:iCs/>
        </w:rPr>
      </w:pPr>
    </w:p>
    <w:p w:rsidR="00A773FA" w:rsidP="0040439D" w:rsidRDefault="00A773FA" w14:paraId="5401D531" w14:textId="25CF0778">
      <w:pPr>
        <w:overflowPunct w:val="0"/>
        <w:autoSpaceDE w:val="0"/>
        <w:autoSpaceDN w:val="0"/>
        <w:adjustRightInd w:val="0"/>
        <w:spacing w:before="120" w:after="120" w:line="22" w:lineRule="atLeast"/>
        <w:textAlignment w:val="baseline"/>
        <w:rPr>
          <w:bCs/>
          <w:iCs/>
        </w:rPr>
      </w:pPr>
      <w:r>
        <w:t>Az EGSZB:</w:t>
      </w:r>
    </w:p>
    <w:p w:rsidRPr="00A773FA" w:rsidR="00A773FA" w:rsidP="0040439D" w:rsidRDefault="00A773FA" w14:paraId="655C9842" w14:textId="77777777">
      <w:pPr>
        <w:numPr>
          <w:ilvl w:val="0"/>
          <w:numId w:val="34"/>
        </w:numPr>
        <w:overflowPunct w:val="0"/>
        <w:autoSpaceDE w:val="0"/>
        <w:autoSpaceDN w:val="0"/>
        <w:adjustRightInd w:val="0"/>
        <w:spacing w:after="200" w:line="22" w:lineRule="atLeast"/>
        <w:ind w:left="284" w:hanging="284"/>
        <w:contextualSpacing/>
        <w:textAlignment w:val="baseline"/>
        <w:rPr>
          <w:bCs/>
        </w:rPr>
      </w:pPr>
      <w:r>
        <w:t>arra kéri az Európai Unió tagállamait és vezetőit, az európai intézményeket és az uniós polgárokat, hogy az EUMSZ 174. cikkének megfelelően őrizzék és védjék meg az EU gazdasági, társadalmi és területi kohézióját,</w:t>
      </w:r>
    </w:p>
    <w:p w:rsidRPr="00A773FA" w:rsidR="00A773FA" w:rsidP="0040439D" w:rsidRDefault="00A773FA" w14:paraId="2C4A058D" w14:textId="77777777">
      <w:pPr>
        <w:numPr>
          <w:ilvl w:val="0"/>
          <w:numId w:val="34"/>
        </w:numPr>
        <w:overflowPunct w:val="0"/>
        <w:autoSpaceDE w:val="0"/>
        <w:autoSpaceDN w:val="0"/>
        <w:adjustRightInd w:val="0"/>
        <w:spacing w:after="200" w:line="22" w:lineRule="atLeast"/>
        <w:ind w:left="284" w:hanging="284"/>
        <w:contextualSpacing/>
        <w:textAlignment w:val="baseline"/>
        <w:rPr>
          <w:bCs/>
        </w:rPr>
      </w:pPr>
      <w:r>
        <w:t xml:space="preserve">hangsúlyozza, hogy a kohéziós politikában továbbra is szilárd és érvényes alapelv az, hogy „senkit nem hagyunk hátra”, valamint hogy a civil társadalmi partnerek készen állnak arra, hogy egy szilárd uniós beruházási politika révén folytassák a munkát a szóban forgó elv megvalósítása érdekében, </w:t>
      </w:r>
    </w:p>
    <w:p w:rsidRPr="00A773FA" w:rsidR="00A773FA" w:rsidP="0040439D" w:rsidRDefault="00A773FA" w14:paraId="2EC3C971" w14:textId="77777777">
      <w:pPr>
        <w:numPr>
          <w:ilvl w:val="0"/>
          <w:numId w:val="34"/>
        </w:numPr>
        <w:overflowPunct w:val="0"/>
        <w:autoSpaceDE w:val="0"/>
        <w:autoSpaceDN w:val="0"/>
        <w:adjustRightInd w:val="0"/>
        <w:spacing w:after="200" w:line="22" w:lineRule="atLeast"/>
        <w:ind w:left="284" w:hanging="284"/>
        <w:contextualSpacing/>
        <w:textAlignment w:val="baseline"/>
        <w:rPr>
          <w:bCs/>
        </w:rPr>
      </w:pPr>
      <w:r>
        <w:t xml:space="preserve">rámutat, hogy az esélyegyenlőtlenség káros lehet a hosszú távú, regionális, nemzeti és uniós növekedésre és versenyképességre nézve. A kohéziós politikának ezért </w:t>
      </w:r>
      <w:proofErr w:type="spellStart"/>
      <w:r>
        <w:t>diverzifikáltabbnak</w:t>
      </w:r>
      <w:proofErr w:type="spellEnd"/>
      <w:r>
        <w:t xml:space="preserve"> és rugalmasabbnak, ugyanakkor hitelesnek, stabilnak és világosnak kell lennie, hogy nagyobb figyelmet tudjon fordítani az emberekre, különösen a legkiszolgáltatottabbakra, valamint megfelelőbben kezelni tudja a sokakat fenyegető esélyegyenlőtlenséget,</w:t>
      </w:r>
    </w:p>
    <w:p w:rsidRPr="00A773FA" w:rsidR="00A773FA" w:rsidP="0040439D" w:rsidRDefault="00A773FA" w14:paraId="2813B803" w14:textId="77777777">
      <w:pPr>
        <w:numPr>
          <w:ilvl w:val="0"/>
          <w:numId w:val="34"/>
        </w:numPr>
        <w:overflowPunct w:val="0"/>
        <w:autoSpaceDE w:val="0"/>
        <w:autoSpaceDN w:val="0"/>
        <w:adjustRightInd w:val="0"/>
        <w:spacing w:after="200" w:line="22" w:lineRule="atLeast"/>
        <w:ind w:left="284" w:hanging="284"/>
        <w:contextualSpacing/>
        <w:textAlignment w:val="baseline"/>
        <w:rPr>
          <w:bCs/>
        </w:rPr>
      </w:pPr>
      <w:r>
        <w:t xml:space="preserve">bírálja annak a biztosi tárcának a megszüntetését, amelyik elsősorban a kohéziós politikáért felel, </w:t>
      </w:r>
    </w:p>
    <w:p w:rsidRPr="00A773FA" w:rsidR="00A773FA" w:rsidP="0040439D" w:rsidRDefault="00A773FA" w14:paraId="17871B44" w14:textId="77777777">
      <w:pPr>
        <w:numPr>
          <w:ilvl w:val="0"/>
          <w:numId w:val="34"/>
        </w:numPr>
        <w:overflowPunct w:val="0"/>
        <w:autoSpaceDE w:val="0"/>
        <w:autoSpaceDN w:val="0"/>
        <w:adjustRightInd w:val="0"/>
        <w:spacing w:after="200" w:line="22" w:lineRule="atLeast"/>
        <w:ind w:left="284" w:hanging="284"/>
        <w:contextualSpacing/>
        <w:textAlignment w:val="baseline"/>
        <w:rPr>
          <w:bCs/>
        </w:rPr>
      </w:pPr>
      <w:r>
        <w:t>ellenzi a kohéziós politika visszaszorítását és azt, hogy azt vészhelyzetek kezelésére szolgáló eszközzé akarják átalakítani,</w:t>
      </w:r>
    </w:p>
    <w:p w:rsidRPr="00A773FA" w:rsidR="00A773FA" w:rsidP="0040439D" w:rsidRDefault="00A773FA" w14:paraId="352DC0D1" w14:textId="77777777">
      <w:pPr>
        <w:numPr>
          <w:ilvl w:val="0"/>
          <w:numId w:val="34"/>
        </w:numPr>
        <w:overflowPunct w:val="0"/>
        <w:autoSpaceDE w:val="0"/>
        <w:autoSpaceDN w:val="0"/>
        <w:adjustRightInd w:val="0"/>
        <w:spacing w:after="200" w:line="22" w:lineRule="atLeast"/>
        <w:ind w:left="284" w:hanging="284"/>
        <w:contextualSpacing/>
        <w:textAlignment w:val="baseline"/>
        <w:rPr>
          <w:bCs/>
        </w:rPr>
      </w:pPr>
      <w:r>
        <w:t xml:space="preserve">elutasítja azt az elképzelést, hogy a kohéziós politikát hasonló mechanizmussá alakítsák, mint amilyen a Helyreállítási és </w:t>
      </w:r>
      <w:proofErr w:type="spellStart"/>
      <w:r>
        <w:t>Rezilienciaépítési</w:t>
      </w:r>
      <w:proofErr w:type="spellEnd"/>
      <w:r>
        <w:t xml:space="preserve"> Eszköz, amelyre alig vagy egyáltalán nem jellemző az érdekelt felek strukturált részvétele, a megosztott irányítás és a többszintű kormányzás, </w:t>
      </w:r>
    </w:p>
    <w:p w:rsidRPr="00A773FA" w:rsidR="00A773FA" w:rsidP="0040439D" w:rsidRDefault="00A773FA" w14:paraId="374AE5D9" w14:textId="77777777">
      <w:pPr>
        <w:numPr>
          <w:ilvl w:val="0"/>
          <w:numId w:val="34"/>
        </w:numPr>
        <w:overflowPunct w:val="0"/>
        <w:autoSpaceDE w:val="0"/>
        <w:autoSpaceDN w:val="0"/>
        <w:adjustRightInd w:val="0"/>
        <w:spacing w:after="200" w:line="22" w:lineRule="atLeast"/>
        <w:ind w:left="284" w:hanging="284"/>
        <w:contextualSpacing/>
        <w:textAlignment w:val="baseline"/>
        <w:rPr>
          <w:bCs/>
        </w:rPr>
      </w:pPr>
      <w:r>
        <w:t xml:space="preserve">támogatja a partnerség elvét és azt, hogy egyértelmű szabályokat vezessenek be a civil társadalomnak az uniós </w:t>
      </w:r>
      <w:proofErr w:type="spellStart"/>
      <w:r>
        <w:t>finanszírozású</w:t>
      </w:r>
      <w:proofErr w:type="spellEnd"/>
      <w:r>
        <w:t xml:space="preserve"> műveletek kiválasztásába, irányításába és nyomon követésébe való bevonására,</w:t>
      </w:r>
    </w:p>
    <w:p w:rsidRPr="00A773FA" w:rsidR="00A773FA" w:rsidP="0040439D" w:rsidRDefault="00A773FA" w14:paraId="4F607A17" w14:textId="77777777">
      <w:pPr>
        <w:numPr>
          <w:ilvl w:val="0"/>
          <w:numId w:val="34"/>
        </w:numPr>
        <w:overflowPunct w:val="0"/>
        <w:autoSpaceDE w:val="0"/>
        <w:autoSpaceDN w:val="0"/>
        <w:adjustRightInd w:val="0"/>
        <w:spacing w:after="200" w:line="22" w:lineRule="atLeast"/>
        <w:ind w:left="284" w:hanging="284"/>
        <w:contextualSpacing/>
        <w:textAlignment w:val="baseline"/>
        <w:rPr>
          <w:bCs/>
        </w:rPr>
      </w:pPr>
      <w:r>
        <w:t>kéri, hogy a civil társadalom bevonása határozott megfogalmazásban szerepeljen a következő közös rendelkezésekről szóló rendeletben (CPR), amely a kohéziós alapok és más uniós finanszírozás 2027 utáni felhasználását szabályozza, ahogyan azt a 2021–2027-es időszakra vonatkozóan is tette,</w:t>
      </w:r>
    </w:p>
    <w:p w:rsidRPr="00A773FA" w:rsidR="00A773FA" w:rsidP="0040439D" w:rsidRDefault="00A773FA" w14:paraId="4338B067" w14:textId="77777777">
      <w:pPr>
        <w:numPr>
          <w:ilvl w:val="0"/>
          <w:numId w:val="34"/>
        </w:numPr>
        <w:overflowPunct w:val="0"/>
        <w:autoSpaceDE w:val="0"/>
        <w:autoSpaceDN w:val="0"/>
        <w:adjustRightInd w:val="0"/>
        <w:spacing w:after="200" w:line="22" w:lineRule="atLeast"/>
        <w:ind w:left="284" w:hanging="284"/>
        <w:contextualSpacing/>
        <w:textAlignment w:val="baseline"/>
        <w:rPr>
          <w:bCs/>
        </w:rPr>
      </w:pPr>
      <w:r>
        <w:t>helyi alapú és emberközpontú kohéziós politikát szorgalmaz,</w:t>
      </w:r>
    </w:p>
    <w:p w:rsidRPr="00A773FA" w:rsidR="00A773FA" w:rsidP="0040439D" w:rsidRDefault="00A773FA" w14:paraId="70D43668" w14:textId="77777777">
      <w:pPr>
        <w:numPr>
          <w:ilvl w:val="0"/>
          <w:numId w:val="34"/>
        </w:numPr>
        <w:overflowPunct w:val="0"/>
        <w:autoSpaceDE w:val="0"/>
        <w:autoSpaceDN w:val="0"/>
        <w:adjustRightInd w:val="0"/>
        <w:spacing w:after="200" w:line="22" w:lineRule="atLeast"/>
        <w:ind w:left="284" w:hanging="284"/>
        <w:contextualSpacing/>
        <w:textAlignment w:val="baseline"/>
        <w:rPr>
          <w:bCs/>
        </w:rPr>
      </w:pPr>
      <w:r>
        <w:t>új lendületet kér a kohéziós politikának. Úgy véli, hogy egy erős, hatékony, rugalmas és megújított kohéziós politika kialakítása érdekében az egyszerű beruházásokon túl bővíteni, korszerűsíteni kell, illetve felül kell vizsgálni az eszközök és megközelítések körét, nagyobb hangsúlyt fektetve a kapacitásokra, a régiók közötti kapcsolatokra, az eredmények hatékonyságára és a kedvezményezettek lehetőségeire,</w:t>
      </w:r>
    </w:p>
    <w:p w:rsidR="00A773FA" w:rsidP="0040439D" w:rsidRDefault="00A773FA" w14:paraId="18382F91" w14:textId="00985E44">
      <w:pPr>
        <w:numPr>
          <w:ilvl w:val="0"/>
          <w:numId w:val="34"/>
        </w:numPr>
        <w:overflowPunct w:val="0"/>
        <w:autoSpaceDE w:val="0"/>
        <w:autoSpaceDN w:val="0"/>
        <w:adjustRightInd w:val="0"/>
        <w:spacing w:after="200" w:line="22" w:lineRule="atLeast"/>
        <w:ind w:left="284" w:hanging="284"/>
        <w:contextualSpacing/>
        <w:textAlignment w:val="baseline"/>
        <w:rPr>
          <w:bCs/>
        </w:rPr>
      </w:pPr>
      <w:r>
        <w:t>mindent meg fog tenni annak érdekében, hogy megőrizze a kohéziós politika alapelveit, és biztosítsa, hogy továbbra is a kohéziós politika legyen az a kapocs, amely összetartja Európát.</w:t>
      </w:r>
    </w:p>
    <w:p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70"/>
      </w:tblGrid>
      <w:tr w:rsidRPr="00A773FA" w:rsidR="00A773FA" w:rsidTr="001F4854" w14:paraId="1E00A390" w14:textId="77777777">
        <w:tc>
          <w:tcPr>
            <w:tcW w:w="1418"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Pr>
                <w:b/>
                <w:i/>
              </w:rPr>
              <w:t>Kapcsolattartó:</w:t>
            </w:r>
          </w:p>
        </w:tc>
        <w:tc>
          <w:tcPr>
            <w:tcW w:w="5670"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A773FA" w:rsidR="00A773FA" w:rsidTr="001F4854" w14:paraId="27B092BE" w14:textId="77777777">
        <w:tc>
          <w:tcPr>
            <w:tcW w:w="1418"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Pr>
                <w:i/>
              </w:rPr>
              <w:t>+32 254 69 795</w:t>
            </w:r>
          </w:p>
        </w:tc>
      </w:tr>
      <w:tr w:rsidRPr="00A773FA" w:rsidR="00A773FA" w:rsidTr="001F4854" w14:paraId="719936AC" w14:textId="77777777">
        <w:tc>
          <w:tcPr>
            <w:tcW w:w="1418"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Pr>
                <w:i/>
              </w:rPr>
              <w:t>E-mail:</w:t>
            </w:r>
          </w:p>
        </w:tc>
        <w:tc>
          <w:tcPr>
            <w:tcW w:w="5670" w:type="dxa"/>
          </w:tcPr>
          <w:p w:rsidRPr="00A773FA" w:rsidR="00A773FA" w:rsidP="00A773FA" w:rsidRDefault="008766EB" w14:paraId="0E731FD7" w14:textId="77777777">
            <w:pPr>
              <w:keepNext/>
              <w:keepLines/>
              <w:overflowPunct w:val="0"/>
              <w:autoSpaceDE w:val="0"/>
              <w:autoSpaceDN w:val="0"/>
              <w:adjustRightInd w:val="0"/>
              <w:spacing w:line="240" w:lineRule="auto"/>
              <w:textAlignment w:val="baseline"/>
              <w:rPr>
                <w:i/>
              </w:rPr>
            </w:pPr>
            <w:hyperlink w:history="1" r:id="rId22">
              <w:r w:rsidR="000B64C3">
                <w:rPr>
                  <w:i/>
                  <w:color w:val="0000FF"/>
                  <w:u w:val="single"/>
                </w:rPr>
                <w:t>Georgios.Meleas@eesc.europa.eu</w:t>
              </w:r>
            </w:hyperlink>
            <w:r w:rsidR="000B64C3">
              <w:rPr>
                <w:i/>
              </w:rPr>
              <w:t xml:space="preserve"> </w:t>
            </w:r>
          </w:p>
        </w:tc>
      </w:tr>
    </w:tbl>
    <w:p w:rsidR="008469D4" w:rsidP="008469D4" w:rsidRDefault="008469D4" w14:paraId="1862AFC9" w14:textId="6D1C7136"/>
    <w:p w:rsidR="001711D7" w:rsidP="0088361D" w:rsidRDefault="001711D7" w14:paraId="77302185" w14:textId="3C6A5E73">
      <w:pPr>
        <w:ind w:left="142"/>
      </w:pPr>
    </w:p>
    <w:p w:rsidRPr="008469D4" w:rsidR="0040439D" w:rsidP="0088361D" w:rsidRDefault="0040439D" w14:paraId="57B64402" w14:textId="77777777">
      <w:pPr>
        <w:ind w:left="142"/>
      </w:pP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72532838" w:id="3"/>
      <w:bookmarkEnd w:id="1"/>
      <w:bookmarkEnd w:id="2"/>
      <w:r>
        <w:rPr>
          <w:b/>
        </w:rPr>
        <w:lastRenderedPageBreak/>
        <w:t>GAZDASÁGI ÉS MONETÁRIS UNIÓ, GAZDASÁGI ÉS TÁRSADALMI KOHÉZIÓ</w:t>
      </w:r>
      <w:bookmarkEnd w:id="3"/>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8766EB"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3">
        <w:r w:rsidR="000B64C3">
          <w:rPr>
            <w:b/>
            <w:i/>
            <w:color w:val="0000FF"/>
            <w:sz w:val="28"/>
            <w:u w:val="single"/>
          </w:rPr>
          <w:t>A szociális gazdasági szervezetek adózási kerete</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Előadó:</w:t>
            </w:r>
          </w:p>
        </w:tc>
        <w:tc>
          <w:tcPr>
            <w:tcW w:w="3833"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r>
              <w:t>Giuseppe GUERINI (Civil társadalmi szervezetek/IT)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rPr>
              <w:t>Hivatkozás:</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saját kezdeményezésű vélemény</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Az EGSZB:</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hangsúlyozza, hogy a tagállamok adórendszerei nem akadályozhatják a szociális gazdaság fejlődését, és üdvözli az Európai Bizottság azon szándékát, hogy iránymutatásokat tegyen közzé a tagállamok támogatására a szociális gazdaság szereplőinek megadóztatására vonatkozóan alkalmazandó keretekről,</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megjegyzi, hogy a különböző tagállamokban alkalmazott megközelítések ismerete fontos kiindulópont lehet a belső piacon működő szociális gazdasági szervezetek általános adózási keretének alapos tanulmányozásához és javításához,</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reméli, hogy a jövőben a szociális gazdasági szervezetek adóztatására vonatkozó megközelítés harmonizálása a belső piac megszilárdítása érdekében folytatódhat,</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kéri, hogy alaposan vizsgálják meg, milyen módokon valósulhatna meg a szociális gazdaság adóztatásának jövőbeli harmonizációja az EU-ban,</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 xml:space="preserve">arra ösztönzi az Európai Bizottságot és a tagállamokat, hogy a szociális gazdasági szervezetek által végzett közhasznú tevékenységekre és a szociális szolgáltatásokra – különösen az idősek egészségügyi és szociális ellátása, valamint a személyi jellegű szolgáltatások, a tartós ápolás-gondozás és az oktatás területén is – fontolják meg kivételesen kedvező </w:t>
      </w:r>
      <w:proofErr w:type="spellStart"/>
      <w:r>
        <w:t>héamérték</w:t>
      </w:r>
      <w:proofErr w:type="spellEnd"/>
      <w:r>
        <w:t xml:space="preserve"> bevezetését.</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+32 254 69 628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A773FA" w:rsidP="00A773FA" w:rsidRDefault="008766EB" w14:paraId="7316BD89" w14:textId="77777777">
            <w:pPr>
              <w:overflowPunct w:val="0"/>
              <w:autoSpaceDE w:val="0"/>
              <w:autoSpaceDN w:val="0"/>
              <w:adjustRightInd w:val="0"/>
              <w:spacing w:line="240" w:lineRule="auto"/>
              <w:textAlignment w:val="baseline"/>
              <w:rPr>
                <w:i/>
              </w:rPr>
            </w:pPr>
            <w:hyperlink w:history="1" r:id="rId24">
              <w:r w:rsidR="000B64C3">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End w:id="4"/>
    <w:p w:rsidR="00C37F51" w:rsidP="00D92244" w:rsidRDefault="00C34921" w14:paraId="264EB5BB" w14:textId="64EED120">
      <w:pPr>
        <w:pStyle w:val="TOC1"/>
        <w:rPr>
          <w:rStyle w:val="Hyperlink"/>
          <w:b w:val="0"/>
          <w:color w:val="000000" w:themeColor="text1"/>
          <w:sz w:val="22"/>
          <w:szCs w:val="22"/>
          <w:u w:val="none"/>
        </w:rPr>
      </w:pPr>
      <w:r>
        <w:lastRenderedPageBreak/>
        <w:fldChar w:fldCharType="begin"/>
      </w:r>
      <w:r>
        <w:instrText xml:space="preserve"> HYPERLINK \l "_Toc164353188" </w:instrText>
      </w:r>
      <w:r>
        <w:fldChar w:fldCharType="separate"/>
      </w:r>
      <w:bookmarkStart w:name="_Toc172532839" w:id="5"/>
      <w:r>
        <w:rPr>
          <w:rStyle w:val="Hyperlink"/>
          <w:color w:val="000000" w:themeColor="text1"/>
          <w:sz w:val="22"/>
          <w:u w:val="none"/>
        </w:rPr>
        <w:t>3.</w:t>
      </w:r>
      <w:r>
        <w:rPr>
          <w:rFonts w:asciiTheme="minorHAnsi" w:hAnsiTheme="minorHAnsi"/>
          <w:color w:val="000000" w:themeColor="text1"/>
        </w:rPr>
        <w:tab/>
      </w:r>
      <w:r>
        <w:t>FOGLALKOZTATÁS- ÉS SZOCIÁLPOLITIKA, UNIÓS POLGÁRSÁG</w:t>
      </w:r>
      <w:bookmarkEnd w:id="5"/>
      <w:r>
        <w:rPr>
          <w:rStyle w:val="Hyperlink"/>
          <w:rFonts w:asciiTheme="minorHAnsi" w:hAnsiTheme="minorHAnsi"/>
          <w:color w:val="auto"/>
          <w:sz w:val="22"/>
          <w:u w:val="none"/>
        </w:rPr>
        <w:t xml:space="preserve"> </w:t>
      </w:r>
      <w:r>
        <w:rPr>
          <w:rStyle w:val="Hyperlink"/>
          <w:color w:val="000000" w:themeColor="text1"/>
          <w:sz w:val="22"/>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"https://www.eesc.europa.eu/hu/our-work/opinions-information-reports/opinions/combating-sexual-abuse-and-sexual-exploitation-children-and-child-pornography"</w:instrText>
      </w:r>
      <w:r w:rsidRPr="00231B83">
        <w:rPr>
          <w:b/>
          <w:i/>
          <w:sz w:val="28"/>
        </w:rPr>
        <w:fldChar w:fldCharType="separate"/>
      </w:r>
      <w:r>
        <w:rPr>
          <w:b/>
          <w:i/>
          <w:color w:val="0000FF"/>
          <w:sz w:val="28"/>
          <w:u w:val="single"/>
        </w:rPr>
        <w:t>A gyermekek szexuális bántalmazása, szexuális kizsákmányolása és a gyermekek szexuális bántalmazását ábrázoló anyagok elleni küzdelem</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Előadó:</w:t>
            </w:r>
          </w:p>
          <w:p w:rsidRPr="00231B83" w:rsidR="00231B83" w:rsidP="00231B83" w:rsidRDefault="00231B83" w14:paraId="020B7D59" w14:textId="77777777">
            <w:pPr>
              <w:overflowPunct w:val="0"/>
              <w:autoSpaceDE w:val="0"/>
              <w:autoSpaceDN w:val="0"/>
              <w:adjustRightInd w:val="0"/>
              <w:ind w:left="-113"/>
              <w:textAlignment w:val="baseline"/>
              <w:rPr>
                <w:b/>
              </w:rPr>
            </w:pPr>
            <w:r>
              <w:rPr>
                <w:b/>
              </w:rPr>
              <w:t>Társelőadó:</w:t>
            </w:r>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Christian BÄUMLER (Munkavállalók/DE)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Diana INDJOVA (Civil társadalmi szervezetek/BG)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rPr>
              <w:t>Hivatkozás:</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 xml:space="preserve">COM(2024) 60 </w:t>
            </w:r>
            <w:proofErr w:type="spellStart"/>
            <w:r>
              <w:t>final</w:t>
            </w:r>
            <w:proofErr w:type="spellEnd"/>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Az EGSZB:</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támogatja a javaslat azon célkitűzését, hogy a gyermekek szexuális bántalmazásának és kizsákmányolásának minden formáját – beleértve a technológiai fejlődés által lehetővé tett vagy elősegített formákat is – bűncselekménnyé nyilvánítsák,</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hangsúlyozza, hogy kiemelt figyelemben kell részesíteni a fogyatékossággal élő gyermekek különösen kiszolgáltatott csoportját, akik könnyen szexuális bántalmazás, szexuális kizsákmányolás és </w:t>
      </w:r>
      <w:proofErr w:type="spellStart"/>
      <w:r>
        <w:t>kiberbűnözés</w:t>
      </w:r>
      <w:proofErr w:type="spellEnd"/>
      <w:r>
        <w:t xml:space="preserve"> áldozataivá válhatnak,</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szorgalmazza, hogy javítsák a koordinációt a gyermekek szexuális bántalmazásának megelőzése és az ellene folytatott küzdelem terén a tagállamok között és nemzeti szinten is. Ennek kapcsán egyetért azzal a javaslattal is, hogy minden tagállam számára előírják az ilyen koordinációért felelős nemzeti hatóságok létrehozását,</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kiemeli, hogy ahhoz, hogy az EU-ban mindenütt biztosítani lehessen mind az elkövetők büntetőeljárás alá vonását, mind pedig az áldozatok védelmét, közös minimumszabályokra van szükség a bűncselekményi tényállások meghatározására és a vonatkozó szankciók mértékére vonatkozóan. Egyetért azzal is, hogy az úgynevezett „pedofiloknak szóló kézikönyvek” birtoklását és terjesztését bűncselekménnyé kell nyilvánítani,</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kéri, hogy külön szabályozzák a gyermekek szexuális bántalmazásával és kizsákmányolásával kapcsolatos nemzetközi adatcserét, és egy uniós kutatóközpont létrehozásával valamennyi tagállamban bővítsék az adatmegőrzési lehetőségeket,</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egyetért azzal a céllal, hogy javuljon a prevenció és a szexuális kizsákmányolás és bántalmazás áldozatait célzó segítségnyújtás. Támogatja azt a javaslatot, hogy növeljék a büntetések minimumszintjét és hosszabbítsák meg az elévülési időt,</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fontosnak tartja, hogy a bűnüldöző szervek tagjai és a gyermekekkel kapcsolatba kerülő személyek folyamatos képzést kapjanak, hogy megfelelően elláthassák feladataikat,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úgy véli, hogy elengedhetetlen a civil társadalom bevonása a gyermekek szexuális bántalmazása és szexuális kizsákmányolása elleni küzdelembe, csakúgy mint a megelőzésbe és az áldozatsegítésbe.</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proofErr w:type="spellStart"/>
            <w:r>
              <w:rPr>
                <w:i/>
              </w:rPr>
              <w:t>Sabrina</w:t>
            </w:r>
            <w:proofErr w:type="spellEnd"/>
            <w:r>
              <w:rPr>
                <w:i/>
              </w:rPr>
              <w:t xml:space="preserve"> </w:t>
            </w:r>
            <w:proofErr w:type="spellStart"/>
            <w:r>
              <w:rPr>
                <w:i/>
              </w:rPr>
              <w:t>Borg</w:t>
            </w:r>
            <w:proofErr w:type="spellEnd"/>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Tel.:</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+32 254 69 727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E-mail:</w:t>
            </w:r>
          </w:p>
        </w:tc>
        <w:tc>
          <w:tcPr>
            <w:tcW w:w="3444" w:type="pct"/>
          </w:tcPr>
          <w:p w:rsidRPr="00231B83" w:rsidR="00231B83" w:rsidP="00231B83" w:rsidRDefault="008766EB" w14:paraId="3099FA9B" w14:textId="77777777">
            <w:pPr>
              <w:overflowPunct w:val="0"/>
              <w:autoSpaceDE w:val="0"/>
              <w:autoSpaceDN w:val="0"/>
              <w:adjustRightInd w:val="0"/>
              <w:spacing w:line="240" w:lineRule="auto"/>
              <w:textAlignment w:val="baseline"/>
              <w:rPr>
                <w:color w:val="0000FF"/>
                <w:u w:val="single"/>
              </w:rPr>
            </w:pPr>
            <w:hyperlink w:history="1" r:id="rId25">
              <w:r w:rsidR="000B64C3">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"https://www.eesc.europa.eu/hu/our-work/opinions-information-reports/opinions/anti-smuggling-package" </w:instrText>
      </w:r>
      <w:r w:rsidRPr="00D7590E">
        <w:rPr>
          <w:b/>
          <w:i/>
          <w:sz w:val="28"/>
        </w:rPr>
        <w:fldChar w:fldCharType="separate"/>
      </w:r>
      <w:r>
        <w:rPr>
          <w:b/>
          <w:i/>
          <w:color w:val="0000FF"/>
          <w:sz w:val="28"/>
          <w:u w:val="single"/>
        </w:rPr>
        <w:t>Csempészet elleni csomag</w:t>
      </w:r>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Előadó:</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proofErr w:type="spellStart"/>
            <w:r>
              <w:t>Florin</w:t>
            </w:r>
            <w:proofErr w:type="spellEnd"/>
            <w:r>
              <w:t xml:space="preserve"> BERCEA (Munkavállalók/RO)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rPr>
              <w:t>Hivatkozás:</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 xml:space="preserve">COM(2023) 754 </w:t>
            </w:r>
            <w:proofErr w:type="spellStart"/>
            <w:r>
              <w:t>final</w:t>
            </w:r>
            <w:proofErr w:type="spellEnd"/>
          </w:p>
          <w:p w:rsidR="002910B2" w:rsidP="00D7590E" w:rsidRDefault="002910B2" w14:paraId="17832B6E" w14:textId="1959CA9B">
            <w:pPr>
              <w:tabs>
                <w:tab w:val="left" w:pos="4430"/>
              </w:tabs>
              <w:overflowPunct w:val="0"/>
              <w:autoSpaceDE w:val="0"/>
              <w:autoSpaceDN w:val="0"/>
              <w:adjustRightInd w:val="0"/>
              <w:ind w:left="-113" w:right="-823"/>
              <w:textAlignment w:val="baseline"/>
            </w:pPr>
            <w:r>
              <w:t xml:space="preserve">COM(2023) 755 </w:t>
            </w:r>
            <w:proofErr w:type="spellStart"/>
            <w:r>
              <w:t>final</w:t>
            </w:r>
            <w:proofErr w:type="spellEnd"/>
          </w:p>
          <w:p w:rsidRPr="00D7590E" w:rsidR="004033C4" w:rsidP="00D7590E" w:rsidRDefault="00D7590E" w14:paraId="4326B236" w14:textId="065BDF97">
            <w:pPr>
              <w:tabs>
                <w:tab w:val="left" w:pos="4430"/>
              </w:tabs>
              <w:overflowPunct w:val="0"/>
              <w:autoSpaceDE w:val="0"/>
              <w:autoSpaceDN w:val="0"/>
              <w:adjustRightInd w:val="0"/>
              <w:ind w:left="-113" w:right="-823"/>
              <w:textAlignment w:val="baseline"/>
            </w:pPr>
            <w:r>
              <w:t>EESC-2024-00141-00-00-AC</w:t>
            </w:r>
          </w:p>
        </w:tc>
      </w:tr>
      <w:tr w:rsidRPr="0040439D"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40439D" w:rsidRDefault="00D7590E" w14:paraId="03E23293" w14:textId="77777777">
      <w:pPr>
        <w:keepNext/>
        <w:keepLines/>
        <w:tabs>
          <w:tab w:val="center" w:pos="284"/>
        </w:tabs>
        <w:overflowPunct w:val="0"/>
        <w:autoSpaceDE w:val="0"/>
        <w:autoSpaceDN w:val="0"/>
        <w:adjustRightInd w:val="0"/>
        <w:spacing w:line="22" w:lineRule="atLeast"/>
        <w:ind w:left="266" w:hanging="266"/>
        <w:textAlignment w:val="baseline"/>
        <w:rPr>
          <w:szCs w:val="20"/>
        </w:rPr>
      </w:pPr>
      <w:r>
        <w:t>Az EGSZB:</w:t>
      </w:r>
    </w:p>
    <w:p w:rsidRPr="00D7590E" w:rsidR="00D7590E" w:rsidP="0040439D" w:rsidRDefault="00D7590E" w14:paraId="17BAED7F" w14:textId="77777777">
      <w:pPr>
        <w:keepNext/>
        <w:keepLines/>
        <w:tabs>
          <w:tab w:val="center" w:pos="284"/>
        </w:tabs>
        <w:overflowPunct w:val="0"/>
        <w:autoSpaceDE w:val="0"/>
        <w:autoSpaceDN w:val="0"/>
        <w:adjustRightInd w:val="0"/>
        <w:spacing w:line="22" w:lineRule="atLeast"/>
        <w:ind w:left="266" w:hanging="266"/>
        <w:textAlignment w:val="baseline"/>
        <w:rPr>
          <w:b/>
          <w:sz w:val="16"/>
          <w:szCs w:val="16"/>
        </w:rPr>
      </w:pPr>
    </w:p>
    <w:p w:rsidRPr="00D7590E" w:rsidR="00D7590E" w:rsidP="0040439D" w:rsidRDefault="00D7590E" w14:paraId="7935EE89" w14:textId="77777777">
      <w:pPr>
        <w:keepNext/>
        <w:keepLines/>
        <w:numPr>
          <w:ilvl w:val="0"/>
          <w:numId w:val="37"/>
        </w:numPr>
        <w:tabs>
          <w:tab w:val="center" w:pos="284"/>
        </w:tabs>
        <w:overflowPunct w:val="0"/>
        <w:autoSpaceDE w:val="0"/>
        <w:autoSpaceDN w:val="0"/>
        <w:adjustRightInd w:val="0"/>
        <w:spacing w:after="200" w:line="22" w:lineRule="atLeast"/>
        <w:ind w:left="284" w:hanging="284"/>
        <w:contextualSpacing/>
        <w:textAlignment w:val="baseline"/>
      </w:pPr>
      <w:r>
        <w:t>megjegyzi, hogy a két jogalkotási javaslat és a globális szövetség arányos és fokozatos kapacitásépítést javasol, de a folyamat hatékony kezeléséhez nagyobb stratégiai ambícióra és elkötelezettségre van szükség,</w:t>
      </w:r>
    </w:p>
    <w:p w:rsidRPr="00D7590E" w:rsidR="00D7590E" w:rsidP="0040439D" w:rsidRDefault="00D7590E" w14:paraId="250CEFF6" w14:textId="77777777">
      <w:pPr>
        <w:keepNext/>
        <w:keepLines/>
        <w:numPr>
          <w:ilvl w:val="0"/>
          <w:numId w:val="37"/>
        </w:numPr>
        <w:tabs>
          <w:tab w:val="center" w:pos="284"/>
        </w:tabs>
        <w:overflowPunct w:val="0"/>
        <w:autoSpaceDE w:val="0"/>
        <w:autoSpaceDN w:val="0"/>
        <w:adjustRightInd w:val="0"/>
        <w:spacing w:after="200" w:line="22" w:lineRule="atLeast"/>
        <w:ind w:left="284" w:hanging="284"/>
        <w:contextualSpacing/>
        <w:textAlignment w:val="baseline"/>
      </w:pPr>
      <w:r>
        <w:t>elismeri, hogy a migránscsempészés elleni küzdelem minden szinten új lendületet és jobb koordinációt igényel. Ugyanakkor az EGSZB úgy véli, hogy alapvetően fontos, hogy legális migrációs csatornák és eljárások nyíljanak azok számára, akik biztonságosan és legálisan szeretnének eljutni az EU-ba,</w:t>
      </w:r>
    </w:p>
    <w:p w:rsidRPr="00D7590E" w:rsidR="00D7590E" w:rsidP="0040439D" w:rsidRDefault="00D7590E" w14:paraId="7C5E834F" w14:textId="77777777">
      <w:pPr>
        <w:keepNext/>
        <w:keepLines/>
        <w:numPr>
          <w:ilvl w:val="0"/>
          <w:numId w:val="37"/>
        </w:numPr>
        <w:tabs>
          <w:tab w:val="center" w:pos="284"/>
        </w:tabs>
        <w:overflowPunct w:val="0"/>
        <w:autoSpaceDE w:val="0"/>
        <w:autoSpaceDN w:val="0"/>
        <w:adjustRightInd w:val="0"/>
        <w:spacing w:after="200" w:line="22" w:lineRule="atLeast"/>
        <w:ind w:left="284" w:hanging="284"/>
        <w:contextualSpacing/>
        <w:textAlignment w:val="baseline"/>
      </w:pPr>
      <w:r>
        <w:t>elismeri, hogy az uniós menekültügyi rendszer hatékony működéséhez alapvetően fontos, hogy megoldást találjunk arra a problémára, hogy az EU külső határain rendszeresen alkalmaznak visszatoloncolásokat; ezt ugyanis tiltja a genfi egyezmény. Az EU-ba való biztonságos és jogszerű beutazás lehetőségeinek hiánya miatt a biztonságot kereső menekülteknek és migránsoknak nincs más lehetőségük, mint hogy veszélyesebb útvonalakat vegyenek igénybe, amelyekkel kockára teszik az életüket,</w:t>
      </w:r>
    </w:p>
    <w:p w:rsidRPr="00D7590E" w:rsidR="00D7590E" w:rsidP="0040439D" w:rsidRDefault="00D7590E" w14:paraId="50E070D3" w14:textId="77777777">
      <w:pPr>
        <w:keepNext/>
        <w:keepLines/>
        <w:numPr>
          <w:ilvl w:val="0"/>
          <w:numId w:val="37"/>
        </w:numPr>
        <w:tabs>
          <w:tab w:val="center" w:pos="284"/>
        </w:tabs>
        <w:overflowPunct w:val="0"/>
        <w:autoSpaceDE w:val="0"/>
        <w:autoSpaceDN w:val="0"/>
        <w:adjustRightInd w:val="0"/>
        <w:spacing w:after="200" w:line="22" w:lineRule="atLeast"/>
        <w:ind w:left="284" w:hanging="284"/>
        <w:contextualSpacing/>
        <w:textAlignment w:val="baseline"/>
      </w:pPr>
      <w:r>
        <w:t xml:space="preserve">kéri az Európai Bizottságot, hogy a globális szövetségen túl dolgozzon ki kézzelfoghatóbb megközelítést a harmadik országok kapacitásainak megerősítése, valamint az </w:t>
      </w:r>
      <w:proofErr w:type="spellStart"/>
      <w:r>
        <w:t>Europollal</w:t>
      </w:r>
      <w:proofErr w:type="spellEnd"/>
      <w:r>
        <w:t xml:space="preserve"> és a tagállamok bűnüldöző hatóságaival való együttműködés ösztönzése érdekében,</w:t>
      </w:r>
    </w:p>
    <w:p w:rsidRPr="00D7590E" w:rsidR="00D7590E" w:rsidP="0040439D" w:rsidRDefault="00D7590E" w14:paraId="4D5523B2" w14:textId="77777777">
      <w:pPr>
        <w:keepNext/>
        <w:keepLines/>
        <w:numPr>
          <w:ilvl w:val="0"/>
          <w:numId w:val="37"/>
        </w:numPr>
        <w:tabs>
          <w:tab w:val="center" w:pos="284"/>
        </w:tabs>
        <w:overflowPunct w:val="0"/>
        <w:autoSpaceDE w:val="0"/>
        <w:autoSpaceDN w:val="0"/>
        <w:adjustRightInd w:val="0"/>
        <w:spacing w:after="200" w:line="22" w:lineRule="atLeast"/>
        <w:ind w:left="284" w:hanging="284"/>
        <w:contextualSpacing/>
        <w:textAlignment w:val="baseline"/>
      </w:pPr>
      <w:r>
        <w:t>sajnálatát fejezi ki amiatt, hogy a csomag nem terjed ki a migránscsempészek szolgáltatásait igénybe vevő személyekre, annak ellenére, hogy őket potenciális áldozatként ismerik el, Az EU-nak a migránscsempészés elleni stratégiájába be kell építenie egy alapjogi dimenziót azon személyek vonatkozásában, akik olyan kétségbeesettek és kiszolgáltatottak, hogy embercsempészek szolgáltatásait veszik igénybe. A szakpolitikának emellett jobban figyelembe kell vennie a még kiszolgáltatottabb csoportokat, például a fogyatékossággal élőket,</w:t>
      </w:r>
    </w:p>
    <w:p w:rsidRPr="00D7590E" w:rsidR="00D7590E" w:rsidP="0040439D" w:rsidRDefault="00D7590E" w14:paraId="564743B9" w14:textId="77777777">
      <w:pPr>
        <w:keepNext/>
        <w:keepLines/>
        <w:numPr>
          <w:ilvl w:val="0"/>
          <w:numId w:val="37"/>
        </w:numPr>
        <w:tabs>
          <w:tab w:val="center" w:pos="284"/>
        </w:tabs>
        <w:overflowPunct w:val="0"/>
        <w:autoSpaceDE w:val="0"/>
        <w:autoSpaceDN w:val="0"/>
        <w:adjustRightInd w:val="0"/>
        <w:spacing w:after="200" w:line="22" w:lineRule="atLeast"/>
        <w:ind w:left="284" w:hanging="284"/>
        <w:contextualSpacing/>
        <w:textAlignment w:val="baseline"/>
      </w:pPr>
      <w:r>
        <w:t>nagyobb átláthatóságot szorgalmaz a javaslatok előkészítése során, mivel a javaslatokat nem kísérte előzetes hatásvizsgálati jelentés,</w:t>
      </w:r>
    </w:p>
    <w:p w:rsidRPr="00D7590E" w:rsidR="00D7590E" w:rsidP="0040439D" w:rsidRDefault="00D7590E" w14:paraId="06FDE4CE" w14:textId="77777777">
      <w:pPr>
        <w:keepNext/>
        <w:keepLines/>
        <w:numPr>
          <w:ilvl w:val="0"/>
          <w:numId w:val="37"/>
        </w:numPr>
        <w:tabs>
          <w:tab w:val="center" w:pos="284"/>
        </w:tabs>
        <w:overflowPunct w:val="0"/>
        <w:autoSpaceDE w:val="0"/>
        <w:autoSpaceDN w:val="0"/>
        <w:adjustRightInd w:val="0"/>
        <w:spacing w:after="200" w:line="22" w:lineRule="atLeast"/>
        <w:ind w:left="284" w:hanging="284"/>
        <w:contextualSpacing/>
        <w:textAlignment w:val="baseline"/>
      </w:pPr>
      <w:r>
        <w:t>üdvözli az irányelvet, de figyelmeztet arra, hogy annak tartalma súlyosan érintheti a migránsok, valamint a számukra humanitárius okból segítséget nyújtók alapvető jogait. Az EGSZB úgy véli, hogy a humanitárius, jogi vagy akár adminisztratív segítségnyújtást övező félelem légkörének megteremtése és fenntartása rossz és elfogadhatatlan módja a migránscsempészés elleni küzdelemnek.</w:t>
      </w:r>
    </w:p>
    <w:p w:rsidR="00D7590E" w:rsidP="0040439D" w:rsidRDefault="00D7590E" w14:paraId="553F6915" w14:textId="065B4B8E">
      <w:pPr>
        <w:keepNext/>
        <w:keepLines/>
        <w:numPr>
          <w:ilvl w:val="0"/>
          <w:numId w:val="37"/>
        </w:numPr>
        <w:tabs>
          <w:tab w:val="center" w:pos="284"/>
        </w:tabs>
        <w:overflowPunct w:val="0"/>
        <w:autoSpaceDE w:val="0"/>
        <w:autoSpaceDN w:val="0"/>
        <w:adjustRightInd w:val="0"/>
        <w:spacing w:after="60" w:line="22" w:lineRule="atLeast"/>
        <w:ind w:left="284" w:hanging="284"/>
        <w:contextualSpacing/>
        <w:textAlignment w:val="baseline"/>
      </w:pPr>
      <w:r>
        <w:t>úgy véli továbbá, hogy a humanitárius segítségnyújtók, a családtagok és a migránsoknak szolgáltatásokat nyújtó egyéb személyek esetében ki kell zárni a büntetőeljárás indításának lehetőségét. Büntetőeljárás alá vonásra csak az szolgáltathat okot, ha jogellenes pénzügyi haszon merül fel.</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Pr>
                <w:i/>
              </w:rPr>
              <w:t xml:space="preserve">Gemma </w:t>
            </w:r>
            <w:proofErr w:type="spellStart"/>
            <w:r>
              <w:rPr>
                <w:i/>
              </w:rPr>
              <w:t>Amran</w:t>
            </w:r>
            <w:proofErr w:type="spellEnd"/>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Tel.:</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+32 254 69 415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E-mail:</w:t>
            </w:r>
          </w:p>
        </w:tc>
        <w:tc>
          <w:tcPr>
            <w:tcW w:w="3444" w:type="pct"/>
          </w:tcPr>
          <w:p w:rsidRPr="00D7590E" w:rsidR="00D7590E" w:rsidP="00D7590E" w:rsidRDefault="008766EB" w14:paraId="61475911" w14:textId="77777777">
            <w:pPr>
              <w:overflowPunct w:val="0"/>
              <w:autoSpaceDE w:val="0"/>
              <w:autoSpaceDN w:val="0"/>
              <w:adjustRightInd w:val="0"/>
              <w:spacing w:line="240" w:lineRule="auto"/>
              <w:textAlignment w:val="baseline"/>
              <w:rPr>
                <w:color w:val="0000FF"/>
                <w:u w:val="single"/>
              </w:rPr>
            </w:pPr>
            <w:hyperlink w:history="1" r:id="rId26">
              <w:r w:rsidR="000B64C3">
                <w:rPr>
                  <w:i/>
                  <w:color w:val="0000FF"/>
                  <w:u w:val="single"/>
                </w:rPr>
                <w:t>Gemma.Amran@eesc.europa.eu</w:t>
              </w:r>
            </w:hyperlink>
          </w:p>
        </w:tc>
      </w:tr>
    </w:tbl>
    <w:p w:rsidR="009E4F7F" w:rsidRDefault="009E4F7F" w14:paraId="44124BD4" w14:textId="77777777">
      <w:pPr>
        <w:spacing w:after="160" w:line="259" w:lineRule="auto"/>
        <w:jc w:val="left"/>
        <w:rPr>
          <w:rFonts w:eastAsiaTheme="minorEastAsia"/>
        </w:rPr>
      </w:pPr>
    </w:p>
    <w:p w:rsidR="009E4F7F" w:rsidRDefault="009E4F7F" w14:paraId="01C3F58C" w14:textId="77777777">
      <w:pPr>
        <w:spacing w:after="160" w:line="259" w:lineRule="auto"/>
        <w:jc w:val="left"/>
        <w:rPr>
          <w:rFonts w:eastAsiaTheme="minorEastAsia"/>
        </w:rPr>
      </w:pPr>
      <w:r>
        <w:br w:type="page"/>
      </w:r>
    </w:p>
    <w:p w:rsidRPr="003A3334" w:rsidR="003A3334" w:rsidP="003A3334" w:rsidRDefault="008766EB"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000B64C3">
          <w:rPr>
            <w:b/>
            <w:i/>
            <w:color w:val="0000FF"/>
            <w:sz w:val="28"/>
            <w:u w:val="single"/>
          </w:rPr>
          <w:t>Gondozók</w:t>
        </w:r>
      </w:hyperlink>
      <w:r w:rsidRPr="003A3334" w:rsidR="003A3334">
        <w:rPr>
          <w:b/>
          <w:i/>
          <w:sz w:val="28"/>
        </w:rPr>
        <w:fldChar w:fldCharType="begin"/>
      </w:r>
      <w:r w:rsidRPr="003A3334" w:rsidR="003A3334">
        <w:rPr>
          <w:b/>
          <w:i/>
          <w:sz w:val="28"/>
        </w:rPr>
        <w:instrText xml:space="preserve"> HYPERLINK "https://www.eesc.europa.eu/hu/our-work/opinions-information-reports/opinions/anti-smuggling-package" </w:instrText>
      </w:r>
      <w:r w:rsidRPr="003A3334" w:rsidR="003A3334">
        <w:rPr>
          <w:b/>
          <w:i/>
          <w:sz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3A3334">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4"/>
        <w:gridCol w:w="1160"/>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Előadó:</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t xml:space="preserve">Pietro </w:t>
            </w:r>
            <w:proofErr w:type="spellStart"/>
            <w:r>
              <w:t>Vittorio</w:t>
            </w:r>
            <w:proofErr w:type="spellEnd"/>
            <w:r>
              <w:t xml:space="preserve"> BARBIERI (Civil társadalmi szervezetek/IT)</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rPr>
              <w:t>Hivatkozás:</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saját kezdeményezésű vélemény</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Főbb pontok</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Az EGSZB:</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arra kéri az Európai Bizottságot, hogy tűzze kiemelt kérdésként az informális gondozók témáját a politikai napirendre, és hozzon létre egy platformot a bevált gyakorlatok tagállamok közötti cseréjére; felhívja a tagállamokat, hogy fogadjanak el olyan politikákat, amelyek ösztönzik a magas színvonalú, közösségi alapú tartós ápolási-gondozási szolgáltatások nyújtását és igénybevételét, az informális gondozók számára nyújtott mentesítő szolgáltatások, valamint a preventív orvoslás elérhetőségét, hogy kezelni lehessen a kiégés, valamint a fizikai és mentális túlterhelés magas kockázatát, amelynek az informális gondozók ki vannak téve,</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felhívja a tagállamokat, hogy hozzanak megfelelő intézkedéseket annak biztosítására, hogy az informális gondozás vállalása önkéntes döntés legyen, hogy a nemek közötti egyenlőtlenségeket kezeljék, hogy az informális gondozók a rugalmasabb munkarendnek köszönhetően megtarthassák munkahelyüket és fizetésüket, és könnyen visszatérhessenek a munkaerőpiacra, ha kénytelenek voltak elhagyni azt,</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kéri, hogy a családi gondozókat is vonják be a gondozás nemzetközi napjának megünneplésébe, hogy az európai ellátórendszerben is elismerjék őket,</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t>rendkívül fontosnak tartja, hogy minőségi és mennyiségi adatok álljanak rendelkezésre az informális gondozók tényleges életkörülményeiről, és további kutatási stratégiák elfogadását szorgalmazza.</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Kapcsolattartó:</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proofErr w:type="spellStart"/>
            <w:r>
              <w:rPr>
                <w:i/>
              </w:rPr>
              <w:t>Valeria</w:t>
            </w:r>
            <w:proofErr w:type="spellEnd"/>
            <w:r>
              <w:rPr>
                <w:i/>
              </w:rPr>
              <w:t xml:space="preserve"> </w:t>
            </w:r>
            <w:proofErr w:type="spellStart"/>
            <w:r>
              <w:rPr>
                <w:i/>
              </w:rPr>
              <w:t>Atzori</w:t>
            </w:r>
            <w:proofErr w:type="spellEnd"/>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Tel.:</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+32 254 68 774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E-mail:</w:t>
            </w:r>
          </w:p>
        </w:tc>
        <w:tc>
          <w:tcPr>
            <w:tcW w:w="3444" w:type="pct"/>
          </w:tcPr>
          <w:p w:rsidRPr="003A3334" w:rsidR="003A3334" w:rsidP="003A3334" w:rsidRDefault="008766EB" w14:paraId="30545BE2" w14:textId="77777777">
            <w:pPr>
              <w:widowControl w:val="0"/>
              <w:overflowPunct w:val="0"/>
              <w:autoSpaceDE w:val="0"/>
              <w:autoSpaceDN w:val="0"/>
              <w:adjustRightInd w:val="0"/>
              <w:textAlignment w:val="baseline"/>
              <w:rPr>
                <w:color w:val="0000FF"/>
                <w:u w:val="single"/>
              </w:rPr>
            </w:pPr>
            <w:hyperlink w:history="1" r:id="rId28">
              <w:r w:rsidR="000B64C3">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"https://www.eesc.europa.eu/hu/our-work/opinions-information-reports/opinions/traineeship-directive-and-reinforced-quality-framework-traineeships"</w:instrText>
      </w:r>
      <w:r w:rsidRPr="002646B8">
        <w:rPr>
          <w:b/>
          <w:i/>
          <w:sz w:val="28"/>
        </w:rPr>
        <w:fldChar w:fldCharType="separate"/>
      </w:r>
      <w:r>
        <w:rPr>
          <w:b/>
          <w:i/>
          <w:color w:val="0000FF"/>
          <w:sz w:val="28"/>
          <w:u w:val="single"/>
        </w:rPr>
        <w:t>A szakmai gyakorlatokról szóló irányelv és a szakmai gyakorlatok megerősített minőségi keretrendszere</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Előadó:</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proofErr w:type="spellStart"/>
            <w:r>
              <w:t>Nicoletta</w:t>
            </w:r>
            <w:proofErr w:type="spellEnd"/>
            <w:r>
              <w:t xml:space="preserve"> MERLO (Munkavállalók/IT)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rPr>
              <w:t>Hivatkozás:</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Pr>
                <w:sz w:val="22"/>
              </w:rPr>
              <w:t xml:space="preserve">COM(2024) 132 </w:t>
            </w:r>
            <w:proofErr w:type="spellStart"/>
            <w:r>
              <w:rPr>
                <w:sz w:val="22"/>
              </w:rPr>
              <w:t>final</w:t>
            </w:r>
            <w:proofErr w:type="spellEnd"/>
          </w:p>
          <w:p w:rsidR="00A769C2" w:rsidP="002646B8" w:rsidRDefault="00A769C2" w14:paraId="6EA44F59" w14:textId="021B4390">
            <w:pPr>
              <w:tabs>
                <w:tab w:val="left" w:pos="4430"/>
              </w:tabs>
              <w:overflowPunct w:val="0"/>
              <w:autoSpaceDE w:val="0"/>
              <w:autoSpaceDN w:val="0"/>
              <w:adjustRightInd w:val="0"/>
              <w:ind w:left="-113" w:right="-823"/>
              <w:textAlignment w:val="baseline"/>
            </w:pPr>
            <w:r>
              <w:rPr>
                <w:sz w:val="22"/>
              </w:rPr>
              <w:t xml:space="preserve">COM(2024) 133 </w:t>
            </w:r>
            <w:proofErr w:type="spellStart"/>
            <w:r>
              <w:rPr>
                <w:sz w:val="22"/>
              </w:rPr>
              <w:t>final</w:t>
            </w:r>
            <w:proofErr w:type="spellEnd"/>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Az EGSZB:</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hangsúlyozza, hogy a tanulószerződéses gyakorlati képzés és a szakmai gyakorlat két különböző gyakorlat, amelyek célja és szabályozása eltérő,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javasolja, hogy a 2. cikkben szereplő fogalommeghatározások ne rójanak olyan kötelezettséget a tagállamokra, hogy akkor is munkaviszonynak minősítsék a szakmai gyakorlatokat, ha a tagállami szabályozások szerint e munkahelyi gyakorlat nem tartozik a „gyakornok” irányelvben meghatározott fogalmába,</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javasolja, hogy az irányelv tartalmazzon egy listát azokról a munkafeltételekről, amelyektől nem lehet eltérni. Ennek célja, hogy jobban védve legyenek a gyakornokok érdekei, de közben megmaradjon a szociális partnerek autonómiája is a nyílt piacon a szakmai gyakorlatok feltételeinek szabályozása terén,</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hangsúlyozza, hogy az illetékes hatóságok kulcsszerepet játszanak a szakmai gyakorlatnak álcázott rendes munkaviszonyok elleni küzdelemben, és hogy el kell ismerni, hogy a szociális partnerek fontos szerepet játszhatnak ezekben az erőfeszítésekben,</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olyan rendelkezéseket szorgalmaz, amelyek biztosítják, hogy a munkavállalók képviselői mindig felléphessenek a gyakornokok védelme érdekében, még akkor is, ha a szakmai gyakorlat nem minősül munkaviszonynak,</w:t>
      </w:r>
    </w:p>
    <w:p w:rsidRPr="002646B8"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javasolja, hogy a szakmai gyakorlatok minden egyes típusát illetően egész Európára kiterjedően határozzanak meg minőségi minimumkritériumokat, hogy valamennyi tagállamban magas szintű normákat és közös alapkeretet lehessen biztosítani. Rámutat, hogy nagyon fontos lenne, hogy a felülvizsgálati és végrehajtási folyamat részeként adatokat gyűjtsenek, valamint hogy uniós szinten a szakmai gyakorlatok minden típusára vonatkozóan megosszák a bevált nemzeti gyakorlatokat,</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hangsúlyozza, hogy fontos az olyan méltányos díjazás, amely figyelembe veszi a képzési tevékenységben való részvétel lehetséges költségeit és a kapcsolódó megélhetési szükségleteket.</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proofErr w:type="spellStart"/>
            <w:r>
              <w:rPr>
                <w:i/>
              </w:rPr>
              <w:t>Sabrina</w:t>
            </w:r>
            <w:proofErr w:type="spellEnd"/>
            <w:r>
              <w:rPr>
                <w:i/>
              </w:rPr>
              <w:t xml:space="preserve"> </w:t>
            </w:r>
            <w:proofErr w:type="spellStart"/>
            <w:r>
              <w:rPr>
                <w:i/>
              </w:rPr>
              <w:t>Borg</w:t>
            </w:r>
            <w:proofErr w:type="spellEnd"/>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Tel.:</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+32 254 69 727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E-mail:</w:t>
            </w:r>
          </w:p>
        </w:tc>
        <w:tc>
          <w:tcPr>
            <w:tcW w:w="3444" w:type="pct"/>
          </w:tcPr>
          <w:p w:rsidRPr="002646B8" w:rsidR="002646B8" w:rsidP="002646B8" w:rsidRDefault="008766EB" w14:paraId="23CAB7B1" w14:textId="77777777">
            <w:pPr>
              <w:overflowPunct w:val="0"/>
              <w:autoSpaceDE w:val="0"/>
              <w:autoSpaceDN w:val="0"/>
              <w:adjustRightInd w:val="0"/>
              <w:spacing w:line="240" w:lineRule="auto"/>
              <w:textAlignment w:val="baseline"/>
              <w:rPr>
                <w:color w:val="0000FF"/>
                <w:u w:val="single"/>
              </w:rPr>
            </w:pPr>
            <w:hyperlink w:history="1" r:id="rId29">
              <w:r w:rsidR="000B64C3">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2F47C0" w:rsidR="00DC26B9" w:rsidRDefault="008766EB" w14:paraId="153FDF23" w14:textId="654546C0">
      <w:pPr>
        <w:pStyle w:val="TOC1"/>
        <w:rPr>
          <w:color w:val="000000" w:themeColor="text1"/>
        </w:rPr>
      </w:pPr>
      <w:hyperlink w:history="1" w:anchor="_Toc164353189">
        <w:bookmarkStart w:name="_Toc172532840" w:id="6"/>
        <w:r w:rsidR="000B64C3">
          <w:t>4.</w:t>
        </w:r>
        <w:r w:rsidR="000B64C3">
          <w:rPr>
            <w:rFonts w:asciiTheme="minorHAnsi" w:hAnsiTheme="minorHAnsi"/>
            <w:sz w:val="22"/>
          </w:rPr>
          <w:tab/>
        </w:r>
      </w:hyperlink>
      <w:r w:rsidR="000B64C3">
        <w:t>EGYSÉGES PIAC, TERMELÉS ÉS FOGYASZTÁS</w:t>
      </w:r>
      <w:bookmarkEnd w:id="6"/>
    </w:p>
    <w:p w:rsidR="00C34921" w:rsidRDefault="008766EB" w14:paraId="65737401" w14:textId="157C195D">
      <w:pPr>
        <w:pStyle w:val="TOC1"/>
        <w:rPr>
          <w:rStyle w:val="Hyperlink"/>
          <w:b w:val="0"/>
          <w:color w:val="000000" w:themeColor="text1"/>
          <w:sz w:val="22"/>
          <w:szCs w:val="22"/>
          <w:u w:val="none"/>
        </w:rPr>
      </w:pPr>
      <w:hyperlink w:history="1" w:anchor="_Toc164353188"/>
    </w:p>
    <w:p w:rsidRPr="0088361D" w:rsidR="00D92244" w:rsidP="0088361D" w:rsidRDefault="008766EB"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hyperlink w:history="1" r:id="rId30">
        <w:r w:rsidR="0074506B">
          <w:rPr>
            <w:b/>
            <w:i/>
            <w:color w:val="0000FF"/>
            <w:sz w:val="28"/>
            <w:u w:val="single"/>
          </w:rPr>
          <w:t>Javaslat tanácsi ajánlásra a kutatásbiztonság fokozásáról</w:t>
        </w:r>
      </w:hyperlink>
      <w:r w:rsidR="0074506B">
        <w:rPr>
          <w:b/>
          <w:i/>
          <w:color w:val="0000FF"/>
          <w:sz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Előadó:</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proofErr w:type="spellStart"/>
            <w:r>
              <w:t>Stefano</w:t>
            </w:r>
            <w:proofErr w:type="spellEnd"/>
            <w:r>
              <w:t xml:space="preserve"> PALMIERI (Munkavállalók/IT)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rPr>
              <w:t>Hivatkozás:</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 xml:space="preserve">COM(2024) 26 </w:t>
            </w:r>
            <w:proofErr w:type="spellStart"/>
            <w:r>
              <w:t>final</w:t>
            </w:r>
            <w:proofErr w:type="spellEnd"/>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AD6EAC"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AD6EAC"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AD6EAC" w:rsidR="00D92244" w:rsidP="00D92244" w:rsidRDefault="00D92244" w14:paraId="4FAC9452" w14:textId="77777777">
      <w:pPr>
        <w:overflowPunct w:val="0"/>
        <w:autoSpaceDE w:val="0"/>
        <w:autoSpaceDN w:val="0"/>
        <w:adjustRightInd w:val="0"/>
        <w:textAlignment w:val="baseline"/>
        <w:rPr>
          <w:bCs/>
          <w:iCs/>
        </w:rPr>
      </w:pPr>
      <w:r>
        <w:t>Az EGSZB:</w:t>
      </w:r>
    </w:p>
    <w:p w:rsidRPr="00AD6EAC" w:rsidR="00D92244" w:rsidP="00D92244" w:rsidRDefault="00D92244" w14:paraId="2AC2F3B1" w14:textId="77777777">
      <w:pPr>
        <w:overflowPunct w:val="0"/>
        <w:autoSpaceDE w:val="0"/>
        <w:autoSpaceDN w:val="0"/>
        <w:adjustRightInd w:val="0"/>
        <w:textAlignment w:val="baseline"/>
        <w:rPr>
          <w:bCs/>
          <w:iCs/>
        </w:rPr>
      </w:pPr>
    </w:p>
    <w:p w:rsidRPr="00AD6EAC"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t>úgy véli, hogy megfelelő egyensúlyt kell teremteni a biztonság szükségessége és az ágazat nemzetközi nyitottságának fenntartása között, miközben megérti, hogy a K+I ágazat sérülékeny az állami és nem állami szereplők egyes nemzetközi K+I együttműködési tevékenységekbe való esetleges rosszindulatú beavatkozásával szemben,</w:t>
      </w:r>
    </w:p>
    <w:p w:rsidRPr="00AD6EAC"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t>úgy véli, hogy a K+I keretében a biztonságot garantáló intézkedések soha nem mehetnek szembe a kutatás teljes autonómiájának és szabadságának megerősítésével,</w:t>
      </w:r>
    </w:p>
    <w:p w:rsidRPr="00AD6EAC"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t>javasolja, hogy az ágazat hatékony, eredményes és átlátható önkormányzása révén érvényesüljön a K+I-szereplők „felelősségvállaláson alapuló szabadságának” elve,</w:t>
      </w:r>
    </w:p>
    <w:p w:rsidRPr="00AD6EAC" w:rsidR="00D92244" w:rsidP="0088361D"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t>úgy gondolja, hogy a biztonságos K+I érdekében folytatott nemzetközi együttműködés biztosításának célkitűzése soha nem eredményezhet diszkriminatív és/vagy tisztességtelen gyakorlatokat a K+I ágazat szereplőivel szemben, továbbá nem sértheti a munkavállalói jogokat és az uniós K+I ágazatban foglalkoztatott munkavállalók munkakörülményeinek védelmét,</w:t>
      </w:r>
    </w:p>
    <w:p w:rsidRPr="00AD6EAC"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t>reméli, hogy a K+I teljes autonómiája egységes és koherens kereten belül alakulhat ki az uniós tagállamokban,</w:t>
      </w:r>
    </w:p>
    <w:p w:rsidRPr="00AD6EAC"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t>rámutat arra, hogy meg kell erősíteni innovációk szellemi tulajdonának védelmét – a nemzetbiztonság biztosítása érdekében, és ki kell terjeszteni a külföldi közvetlen befektetések átvilágítását a fúzióknak és felvásárlásoknak (M&amp;A) kitett vállalkozásokra a tíz kritikus ágazatban és a kettős felhasználású termékek gyártásában,</w:t>
      </w:r>
    </w:p>
    <w:p w:rsidRPr="00AD6EAC" w:rsidR="00D92244" w:rsidP="0088361D"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t xml:space="preserve">úgy gondolja, hogy az ajánlásban a K+I-szereplők tevékenységeinek támogatására szolgáló konkrét iránymutatások hiányát i. a kellő gondosság; ii. a kockázati profilalkotás; és iii. a K+I </w:t>
      </w:r>
      <w:proofErr w:type="spellStart"/>
      <w:r>
        <w:t>ágazatbeli</w:t>
      </w:r>
      <w:proofErr w:type="spellEnd"/>
      <w:r>
        <w:t xml:space="preserve"> nemzetközi partnerszervezetekkel kötött egyetértési megállapodások kidolgozása terén később, a kutatásbiztonsággal foglalkozó európai szakértői központ jövőbeli munkája révén meg lehet oldani,</w:t>
      </w:r>
    </w:p>
    <w:p w:rsidRPr="00AD6EAC"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t>reméli, hogy kutatásbiztonsággal foglalkozó európai szakértői központ platformként fog működni a dokumentáció összegyűjtéséhez és megosztásához, teljes mértékben tiszteletben tartva a kölcsönös átláthatóságot, továbbá kutatásbiztonsággal kapcsolatos képzéseket és továbbképzéseket is szervez majd.</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Tel.:</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+32 254 69 140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E-mail:</w:t>
            </w:r>
          </w:p>
        </w:tc>
        <w:tc>
          <w:tcPr>
            <w:tcW w:w="3444" w:type="pct"/>
          </w:tcPr>
          <w:p w:rsidRPr="00AD6EAC" w:rsidR="00D92244" w:rsidP="00D76388" w:rsidRDefault="008766EB" w14:paraId="3D9D06F0" w14:textId="4B9887DC">
            <w:pPr>
              <w:overflowPunct w:val="0"/>
              <w:autoSpaceDE w:val="0"/>
              <w:autoSpaceDN w:val="0"/>
              <w:adjustRightInd w:val="0"/>
              <w:spacing w:line="240" w:lineRule="auto"/>
              <w:textAlignment w:val="baseline"/>
              <w:rPr>
                <w:i/>
              </w:rPr>
            </w:pPr>
            <w:hyperlink w:history="1" r:id="rId31">
              <w:r w:rsidR="000B64C3">
                <w:rPr>
                  <w:i/>
                  <w:color w:val="0000FF"/>
                  <w:u w:val="single"/>
                </w:rPr>
                <w:t>Marco.Manfroni@eesc.europa.eu</w:t>
              </w:r>
            </w:hyperlink>
          </w:p>
        </w:tc>
      </w:tr>
    </w:tbl>
    <w:p w:rsidR="00DC26B9" w:rsidP="00C37F51" w:rsidRDefault="00DC26B9" w14:paraId="13ABEB8E" w14:textId="77777777">
      <w:pPr>
        <w:rPr>
          <w:rFonts w:eastAsiaTheme="minorEastAsia"/>
        </w:rPr>
      </w:pPr>
    </w:p>
    <w:p w:rsidR="00DC26B9" w:rsidRDefault="00DC26B9" w14:paraId="3806A840" w14:textId="77777777">
      <w:pPr>
        <w:spacing w:after="160" w:line="259" w:lineRule="auto"/>
        <w:jc w:val="left"/>
        <w:rPr>
          <w:rFonts w:eastAsiaTheme="minorEastAsia"/>
        </w:rPr>
      </w:pPr>
      <w:r>
        <w:br w:type="page"/>
      </w:r>
    </w:p>
    <w:p w:rsidR="006A7E31" w:rsidP="006A7E31" w:rsidRDefault="00520680" w14:paraId="295BACE7" w14:textId="7EB5E747">
      <w:pPr>
        <w:pStyle w:val="TOC1"/>
      </w:pPr>
      <w:bookmarkStart w:name="_Toc172532841" w:id="7"/>
      <w:r>
        <w:lastRenderedPageBreak/>
        <w:t>5.</w:t>
      </w:r>
      <w:r>
        <w:rPr>
          <w:rFonts w:asciiTheme="minorHAnsi" w:hAnsiTheme="minorHAnsi"/>
          <w:sz w:val="22"/>
        </w:rPr>
        <w:tab/>
      </w:r>
      <w:hyperlink w:history="1" w:anchor="_Toc164353189">
        <w:r>
          <w:t>MEZŐGAZDASÁG, VIDÉKFEJLESZTÉS ÉS KÖRNYEZETVÉDELEM</w:t>
        </w:r>
        <w:bookmarkEnd w:id="7"/>
      </w:hyperlink>
    </w:p>
    <w:p w:rsidR="006A7E31" w:rsidP="006A7E31" w:rsidRDefault="006A7E31" w14:paraId="3D04EFC9" w14:textId="77777777">
      <w:pPr>
        <w:rPr>
          <w:rFonts w:eastAsiaTheme="minorEastAsia"/>
        </w:rPr>
      </w:pPr>
    </w:p>
    <w:p w:rsidR="006A7E31" w:rsidP="006A7E31" w:rsidRDefault="006A7E31" w14:paraId="016FD202" w14:textId="77777777">
      <w:pPr>
        <w:rPr>
          <w:rFonts w:eastAsiaTheme="minorEastAsia"/>
        </w:rPr>
      </w:pPr>
    </w:p>
    <w:p w:rsidRPr="0005755A" w:rsidR="006A7E31" w:rsidP="006A7E31" w:rsidRDefault="008766EB" w14:paraId="39D83DFD" w14:textId="78AF0616">
      <w:pPr>
        <w:widowControl w:val="0"/>
        <w:numPr>
          <w:ilvl w:val="0"/>
          <w:numId w:val="31"/>
        </w:numPr>
        <w:overflowPunct w:val="0"/>
        <w:autoSpaceDE w:val="0"/>
        <w:autoSpaceDN w:val="0"/>
        <w:adjustRightInd w:val="0"/>
        <w:textAlignment w:val="baseline"/>
        <w:rPr>
          <w:sz w:val="20"/>
          <w:szCs w:val="20"/>
        </w:rPr>
      </w:pPr>
      <w:hyperlink w:history="1" r:id="rId32">
        <w:r w:rsidR="000B64C3">
          <w:rPr>
            <w:b/>
            <w:i/>
            <w:color w:val="0000FF"/>
            <w:sz w:val="28"/>
            <w:u w:val="single"/>
          </w:rPr>
          <w:t>A Földközi-tengeri Általános Halászati Bizottság</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rPr>
              <w:t>Hivatkozás:</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 xml:space="preserve">COM(2024) 183 </w:t>
            </w:r>
            <w:proofErr w:type="spellStart"/>
            <w:r>
              <w:t>final</w:t>
            </w:r>
            <w:proofErr w:type="spellEnd"/>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(„C” kategóriás vélemény)</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Az EGSZB:</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t>minden szempontból megfelelőnek tartja a javaslat tartalmát, és úgy véli, hogy nincs szükség annak véleményezésére.</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Kapcsolattartó:</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proofErr w:type="spellStart"/>
            <w:r>
              <w:rPr>
                <w:i/>
              </w:rPr>
              <w:t>Martine</w:t>
            </w:r>
            <w:proofErr w:type="spellEnd"/>
            <w:r>
              <w:rPr>
                <w:i/>
              </w:rPr>
              <w:t xml:space="preserve"> </w:t>
            </w:r>
            <w:proofErr w:type="spellStart"/>
            <w:r>
              <w:rPr>
                <w:i/>
              </w:rPr>
              <w:t>Delanoy</w:t>
            </w:r>
            <w:proofErr w:type="spellEnd"/>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Tel.:</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+32 254 69 802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E-mail:</w:t>
            </w:r>
          </w:p>
        </w:tc>
        <w:tc>
          <w:tcPr>
            <w:tcW w:w="3444" w:type="pct"/>
          </w:tcPr>
          <w:p w:rsidRPr="0005755A" w:rsidR="006A7E31" w:rsidP="00D76388" w:rsidRDefault="008766EB" w14:paraId="7E7A15DD" w14:textId="77777777">
            <w:pPr>
              <w:overflowPunct w:val="0"/>
              <w:autoSpaceDE w:val="0"/>
              <w:autoSpaceDN w:val="0"/>
              <w:adjustRightInd w:val="0"/>
              <w:spacing w:line="240" w:lineRule="auto"/>
              <w:textAlignment w:val="baseline"/>
              <w:rPr>
                <w:i/>
              </w:rPr>
            </w:pPr>
            <w:hyperlink w:history="1" r:id="rId33">
              <w:r w:rsidR="000B64C3">
                <w:rPr>
                  <w:i/>
                  <w:color w:val="0000FF"/>
                  <w:u w:val="single"/>
                </w:rPr>
                <w:t>Martine.Delanoy@eesc.europa.eu</w:t>
              </w:r>
            </w:hyperlink>
            <w:r w:rsidR="000B64C3">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88361D" w:rsidR="006A7E31" w:rsidP="006A7E31" w:rsidRDefault="006260A5" w14:paraId="246982C8" w14:textId="46860287">
      <w:pPr>
        <w:widowControl w:val="0"/>
        <w:numPr>
          <w:ilvl w:val="0"/>
          <w:numId w:val="27"/>
        </w:numPr>
        <w:overflowPunct w:val="0"/>
        <w:autoSpaceDE w:val="0"/>
        <w:autoSpaceDN w:val="0"/>
        <w:adjustRightInd w:val="0"/>
        <w:ind w:hanging="567"/>
        <w:textAlignment w:val="baseline"/>
        <w:rPr>
          <w:b/>
          <w:bCs/>
          <w:sz w:val="28"/>
          <w:szCs w:val="28"/>
          <w:u w:val="single"/>
        </w:rPr>
      </w:pPr>
      <w:r>
        <w:rPr>
          <w:b/>
          <w:i/>
          <w:color w:val="0000FF"/>
          <w:sz w:val="28"/>
          <w:u w:val="single"/>
        </w:rPr>
        <w:lastRenderedPageBreak/>
        <w:t>Hogyan biztosítható az uniós agrár-élelmiszeripari ágazat társadalmi, környezeti és gazdasági fenntarthatósága a jövőbeli bővítés kontextusában?</w:t>
      </w:r>
    </w:p>
    <w:p w:rsidRPr="005721DA"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5721DA" w:rsidR="006A7E31" w:rsidTr="00D76388" w14:paraId="0A8ED047" w14:textId="77777777">
        <w:tc>
          <w:tcPr>
            <w:tcW w:w="1148"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Pr>
                <w:b/>
              </w:rPr>
              <w:t>Előadó:</w:t>
            </w:r>
          </w:p>
        </w:tc>
        <w:tc>
          <w:tcPr>
            <w:tcW w:w="3852" w:type="pct"/>
          </w:tcPr>
          <w:p w:rsidRPr="005721DA"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TCHOUKANOV (Civil társadalmi szervezetek/BG)</w:t>
            </w:r>
          </w:p>
        </w:tc>
      </w:tr>
      <w:tr w:rsidRPr="005721DA" w:rsidR="006A7E31" w:rsidTr="00D76388"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D76388" w14:paraId="619C9BFB" w14:textId="77777777">
        <w:tc>
          <w:tcPr>
            <w:tcW w:w="1148"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Pr>
                <w:b/>
              </w:rPr>
              <w:t>Hivatkozás:</w:t>
            </w:r>
          </w:p>
        </w:tc>
        <w:tc>
          <w:tcPr>
            <w:tcW w:w="3852" w:type="pct"/>
          </w:tcPr>
          <w:p w:rsidRPr="00EC54AC" w:rsidR="00675DC1" w:rsidP="00D76388" w:rsidRDefault="00675DC1" w14:paraId="0EF6477D" w14:textId="2FD00AD1">
            <w:pPr>
              <w:tabs>
                <w:tab w:val="center" w:pos="284"/>
              </w:tabs>
              <w:overflowPunct w:val="0"/>
              <w:autoSpaceDE w:val="0"/>
              <w:autoSpaceDN w:val="0"/>
              <w:adjustRightInd w:val="0"/>
              <w:ind w:left="266" w:hanging="266"/>
              <w:textAlignment w:val="baseline"/>
            </w:pPr>
            <w:r>
              <w:t>feltáró vélemény az Európai Bizottság felkérésére</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t>EESC-2024-01019-00-00-AC</w:t>
            </w:r>
          </w:p>
        </w:tc>
      </w:tr>
      <w:tr w:rsidRPr="005721DA" w:rsidR="006A7E31" w:rsidTr="00D76388" w14:paraId="305D4258" w14:textId="77777777">
        <w:tc>
          <w:tcPr>
            <w:tcW w:w="1148"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5721DA"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5721DA"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00EC54AC" w:rsidP="006A7E31" w:rsidRDefault="00EC54AC" w14:paraId="4DA44AF4" w14:textId="77777777">
      <w:pPr>
        <w:overflowPunct w:val="0"/>
        <w:autoSpaceDE w:val="0"/>
        <w:autoSpaceDN w:val="0"/>
        <w:adjustRightInd w:val="0"/>
        <w:textAlignment w:val="baseline"/>
        <w:rPr>
          <w:bCs/>
          <w:iCs/>
        </w:rPr>
      </w:pPr>
    </w:p>
    <w:p w:rsidRPr="005721DA" w:rsidR="006A7E31" w:rsidP="006A7E31" w:rsidRDefault="006A7E31" w14:paraId="66855A04" w14:textId="0858B1A9">
      <w:pPr>
        <w:overflowPunct w:val="0"/>
        <w:autoSpaceDE w:val="0"/>
        <w:autoSpaceDN w:val="0"/>
        <w:adjustRightInd w:val="0"/>
        <w:textAlignment w:val="baseline"/>
        <w:rPr>
          <w:bCs/>
          <w:iCs/>
        </w:rPr>
      </w:pPr>
      <w:r>
        <w:t>Az EGSZB:</w:t>
      </w:r>
    </w:p>
    <w:p w:rsidRPr="005721DA"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t>rámutat, hogy bár a jelenlegi, különleges geopolitikai körülmények miatt ez a bővítés eltér az összes korábbi bővítéstől, ez nem lehet ok arra, hogy engedjünk a tagjelölt országok felkészültségéből, a szükséges jogalkotási reformok fontosságából és az alapvető uniós értékek tiszteletben tartásából,</w:t>
      </w:r>
    </w:p>
    <w:p w:rsidRPr="005721DA" w:rsidR="006A7E31" w:rsidP="0088361D"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t>hangsúlyozza, hogy a geopolitikai feszültségek közepette nagyon fontos az ellátás biztonsága az EU élelmiszertermelésében, és hogy az EU valamennyi régiójának lehetőséget kell biztosítani arra, hogy a jövőben is fenntartsa a mezőgazdasági termelést,</w:t>
      </w:r>
    </w:p>
    <w:p w:rsidRPr="005721DA" w:rsidR="006A7E31" w:rsidP="0088361D"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t>hangsúlyozza, hogy ez a bővítés lehetőségeket kínál az EU stratégiai autonómiájának jobb biztosítására és az ágazat környezeti lábnyomának további csökkentésére, ugyanakkor elismeri, hogy az előző bővítés vegyes eredménnyel járt: voltak nyertesek és voltak vesztesek. A gyenge vidéki területeknek sokkal kevesebb hasznuk származott a folyamatból, mint az agglomerációknak, a kisebb méretű európai gazdaságok pedig eltűnőben vannak. Ezért sürgeti az Európai Bizottságot és a tagjelölt államokat, hogy vizsgálják meg és kezeljék a bővítés hatásait, különös tekintettel a családi gazdaságokra és az agrár-élelmiszeripari kis- és középvállalkozásokra mind az EU-ban, mind pedig a tagjelölt országokban,</w:t>
      </w:r>
    </w:p>
    <w:p w:rsidRPr="005721DA"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t xml:space="preserve">hangsúlyozza, hogy a tagjelölt országoknak igazodniuk kell a KAP általános célkitűzéseihez és értékeihez, a KAP szükséges reformjairól és a kapcsolódó pénzügyi keretről pedig még a bővítés előtt megállapodást kell elérni, </w:t>
      </w:r>
    </w:p>
    <w:p w:rsidRPr="005721DA" w:rsidR="006A7E31" w:rsidP="0088361D"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t xml:space="preserve">javasolja, hogy a KAP jelenlegi területalapú alapszintű jövedelemtámogatását fokozatosan váltsák fel a környezet és a társadalom javát szolgáló szolgáltatásokra irányuló pénzügyi ösztönzőkkel, fokozatosan csökkentett kifizetésekkel, minden tagállam esetében kötelező felső határértékekkel vagy az első hektárra vonatkozó emelésekkel, és kéri, hogy a mezőgazdasági és vidékfejlesztési politikák még inkább a </w:t>
      </w:r>
      <w:proofErr w:type="spellStart"/>
      <w:r>
        <w:t>proximitásalapú</w:t>
      </w:r>
      <w:proofErr w:type="spellEnd"/>
      <w:r>
        <w:t xml:space="preserve"> gazdaságot célozzák, és hogy ezeket az elveket ültessék át az új tagjelölt országokban is,</w:t>
      </w:r>
    </w:p>
    <w:p w:rsidRPr="005721DA" w:rsidR="006A7E31" w:rsidP="0088361D"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t>kéri, hogy biztosítsanak nagyobb költségvetést a KAP-</w:t>
      </w:r>
      <w:proofErr w:type="spellStart"/>
      <w:r>
        <w:t>nak</w:t>
      </w:r>
      <w:proofErr w:type="spellEnd"/>
      <w:r>
        <w:t xml:space="preserve"> az uniós mezőgazdasági termelőkre gyakorolt negatív hatások megfelelő kompenzálásához, szem előtt tartva az esetleges társadalmi költségeket is, ami azt jelenti, hogy a jelenlegi nettó befizetőknek készen kell állniuk arra, hogy GDP-</w:t>
      </w:r>
      <w:proofErr w:type="spellStart"/>
      <w:r>
        <w:t>jük</w:t>
      </w:r>
      <w:proofErr w:type="spellEnd"/>
      <w:r>
        <w:t xml:space="preserve"> nagyobb részét fizessék be az EU-nak az új pénzügyi időszakban, figyelembe véve, hogy a bővítés nettó haszonnal fog járni az ipari termékek és szolgáltatások uniós exportőrei számára, míg az agrár-élelmiszeripari ágazatot megingatja az, hogy egyes újonnan érkezők alacsonyabb termelési költségekkel üzemelnek, </w:t>
      </w:r>
    </w:p>
    <w:p w:rsidRPr="005721DA"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t>hangsúlyozza, hogy részletes és megbízható adatokra van szükség, és arra kéri az Európai Bizottságot, hogy szorosan kövesse nyomon a mezőgazdasági termelést és a reformfolyamatok alakulását, beleértve a földspekulációt is,</w:t>
      </w:r>
    </w:p>
    <w:p w:rsidRPr="005721DA" w:rsidR="006A7E31" w:rsidP="0088361D"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lastRenderedPageBreak/>
        <w:t>megjegyzi, hogy az integrációs folyamat valamilyen módon már megkezdődött, mivel az uniós piacok megnyíltak a tagjelölt országokból származó mezőgazdasági termékek előtt, ami hátrányokat okozhat az uniós országok számára. Ezeket mindenképpen el kell kerülni olyan egyértelmű szabályok bevezetésével, amelyeket a tagjelölt országoknak is be kell tartaniuk.</w:t>
      </w:r>
    </w:p>
    <w:p w:rsidRPr="005721DA" w:rsidR="006A7E31" w:rsidP="006A7E31" w:rsidRDefault="006A7E31" w14:paraId="07AD08EE" w14:textId="77777777">
      <w:pPr>
        <w:widowControl w:val="0"/>
        <w:overflowPunct w:val="0"/>
        <w:autoSpaceDE w:val="0"/>
        <w:autoSpaceDN w:val="0"/>
        <w:adjustRightInd w:val="0"/>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21DA" w:rsidR="006A7E31" w:rsidTr="00D76388" w14:paraId="5BF837CA" w14:textId="77777777">
        <w:tc>
          <w:tcPr>
            <w:tcW w:w="1556" w:type="pct"/>
          </w:tcPr>
          <w:p w:rsidRPr="005721DA" w:rsidR="006A7E31" w:rsidP="00D76388" w:rsidRDefault="006A7E31" w14:paraId="143C3E12" w14:textId="77777777">
            <w:pPr>
              <w:overflowPunct w:val="0"/>
              <w:autoSpaceDE w:val="0"/>
              <w:autoSpaceDN w:val="0"/>
              <w:adjustRightInd w:val="0"/>
              <w:spacing w:line="240" w:lineRule="auto"/>
              <w:textAlignment w:val="baseline"/>
              <w:rPr>
                <w:i/>
              </w:rPr>
            </w:pPr>
            <w:r>
              <w:rPr>
                <w:b/>
                <w:i/>
              </w:rPr>
              <w:t xml:space="preserve">Kapcsolattartó: </w:t>
            </w:r>
          </w:p>
        </w:tc>
        <w:tc>
          <w:tcPr>
            <w:tcW w:w="3444" w:type="pct"/>
          </w:tcPr>
          <w:p w:rsidRPr="005721DA" w:rsidR="006A7E31" w:rsidP="00D76388" w:rsidRDefault="006A7E31" w14:paraId="66260770" w14:textId="51A2E154">
            <w:pPr>
              <w:overflowPunct w:val="0"/>
              <w:autoSpaceDE w:val="0"/>
              <w:autoSpaceDN w:val="0"/>
              <w:adjustRightInd w:val="0"/>
              <w:spacing w:line="240" w:lineRule="auto"/>
              <w:textAlignment w:val="baseline"/>
              <w:rPr>
                <w:i/>
              </w:rPr>
            </w:pPr>
            <w:proofErr w:type="spellStart"/>
            <w:r>
              <w:rPr>
                <w:i/>
              </w:rPr>
              <w:t>Martine</w:t>
            </w:r>
            <w:proofErr w:type="spellEnd"/>
            <w:r>
              <w:rPr>
                <w:i/>
              </w:rPr>
              <w:t xml:space="preserve"> </w:t>
            </w:r>
            <w:proofErr w:type="spellStart"/>
            <w:r>
              <w:rPr>
                <w:i/>
              </w:rPr>
              <w:t>Delanoy</w:t>
            </w:r>
            <w:proofErr w:type="spellEnd"/>
          </w:p>
        </w:tc>
      </w:tr>
      <w:tr w:rsidRPr="005721DA" w:rsidR="006A7E31" w:rsidTr="00D76388" w14:paraId="23B38305" w14:textId="77777777">
        <w:tc>
          <w:tcPr>
            <w:tcW w:w="1556" w:type="pct"/>
          </w:tcPr>
          <w:p w:rsidRPr="005721DA" w:rsidR="006A7E31" w:rsidP="00D76388" w:rsidRDefault="006A7E31" w14:paraId="5C8133FF" w14:textId="77777777">
            <w:pPr>
              <w:overflowPunct w:val="0"/>
              <w:autoSpaceDE w:val="0"/>
              <w:autoSpaceDN w:val="0"/>
              <w:adjustRightInd w:val="0"/>
              <w:spacing w:line="240" w:lineRule="auto"/>
              <w:textAlignment w:val="baseline"/>
              <w:rPr>
                <w:i/>
              </w:rPr>
            </w:pPr>
            <w:r>
              <w:rPr>
                <w:i/>
              </w:rPr>
              <w:t>Tel.:</w:t>
            </w:r>
          </w:p>
        </w:tc>
        <w:tc>
          <w:tcPr>
            <w:tcW w:w="3444" w:type="pct"/>
          </w:tcPr>
          <w:p w:rsidRPr="005721DA" w:rsidR="006A7E31" w:rsidP="00D76388" w:rsidRDefault="006A7E31" w14:paraId="63B4A1E4" w14:textId="77777777">
            <w:pPr>
              <w:overflowPunct w:val="0"/>
              <w:autoSpaceDE w:val="0"/>
              <w:autoSpaceDN w:val="0"/>
              <w:adjustRightInd w:val="0"/>
              <w:spacing w:line="240" w:lineRule="auto"/>
              <w:textAlignment w:val="baseline"/>
              <w:rPr>
                <w:i/>
              </w:rPr>
            </w:pPr>
            <w:r>
              <w:rPr>
                <w:i/>
              </w:rPr>
              <w:t>+32 254 69 802</w:t>
            </w:r>
          </w:p>
        </w:tc>
      </w:tr>
      <w:tr w:rsidRPr="005721DA" w:rsidR="006A7E31" w:rsidTr="00D76388" w14:paraId="654AFF96" w14:textId="77777777">
        <w:tc>
          <w:tcPr>
            <w:tcW w:w="1556" w:type="pct"/>
          </w:tcPr>
          <w:p w:rsidRPr="005721DA" w:rsidR="006A7E31" w:rsidP="00D76388" w:rsidRDefault="006A7E31" w14:paraId="38B60C77" w14:textId="77777777">
            <w:pPr>
              <w:overflowPunct w:val="0"/>
              <w:autoSpaceDE w:val="0"/>
              <w:autoSpaceDN w:val="0"/>
              <w:adjustRightInd w:val="0"/>
              <w:spacing w:line="240" w:lineRule="auto"/>
              <w:textAlignment w:val="baseline"/>
              <w:rPr>
                <w:i/>
              </w:rPr>
            </w:pPr>
            <w:r>
              <w:rPr>
                <w:i/>
              </w:rPr>
              <w:t>E-mail:</w:t>
            </w:r>
          </w:p>
        </w:tc>
        <w:tc>
          <w:tcPr>
            <w:tcW w:w="3444" w:type="pct"/>
          </w:tcPr>
          <w:p w:rsidRPr="005721DA" w:rsidR="006A7E31" w:rsidP="00D76388" w:rsidRDefault="008766EB" w14:paraId="3B090D2B" w14:textId="77777777">
            <w:pPr>
              <w:overflowPunct w:val="0"/>
              <w:autoSpaceDE w:val="0"/>
              <w:autoSpaceDN w:val="0"/>
              <w:adjustRightInd w:val="0"/>
              <w:spacing w:line="240" w:lineRule="auto"/>
              <w:textAlignment w:val="baseline"/>
              <w:rPr>
                <w:i/>
              </w:rPr>
            </w:pPr>
            <w:hyperlink w:history="1" r:id="rId34">
              <w:r w:rsidR="000B64C3">
                <w:rPr>
                  <w:i/>
                  <w:color w:val="0000FF"/>
                  <w:u w:val="single"/>
                </w:rPr>
                <w:t>Martine.Delanoy@eesc.europa.eu</w:t>
              </w:r>
            </w:hyperlink>
            <w:r w:rsidR="000B64C3">
              <w:rPr>
                <w:i/>
              </w:rPr>
              <w:t xml:space="preserve"> </w:t>
            </w:r>
          </w:p>
        </w:tc>
      </w:tr>
    </w:tbl>
    <w:p w:rsidR="0040439D" w:rsidRDefault="0040439D" w14:paraId="38BED96D" w14:textId="77777777">
      <w:r>
        <w:br w:type="page"/>
      </w:r>
    </w:p>
    <w:p w:rsidR="00520680" w:rsidP="00D92244" w:rsidRDefault="006A7E31" w14:paraId="3600B088" w14:textId="12B687D3">
      <w:pPr>
        <w:pStyle w:val="TOC1"/>
      </w:pPr>
      <w:bookmarkStart w:name="_Toc172532842" w:id="8"/>
      <w:r>
        <w:lastRenderedPageBreak/>
        <w:t>6.</w:t>
      </w:r>
      <w:r>
        <w:tab/>
        <w:t>KÜLKAPCSOLATOK</w:t>
      </w:r>
      <w:bookmarkEnd w:id="8"/>
    </w:p>
    <w:p w:rsidRPr="006A7E31" w:rsidR="006A7E31" w:rsidP="006A7E31" w:rsidRDefault="006A7E31" w14:paraId="7F857315" w14:textId="77777777"/>
    <w:p w:rsidRPr="003567CE" w:rsidR="003567CE" w:rsidP="0088361D" w:rsidRDefault="008766EB"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5">
        <w:r w:rsidR="000B64C3">
          <w:rPr>
            <w:b/>
            <w:i/>
            <w:color w:val="0000FF"/>
            <w:sz w:val="28"/>
            <w:u w:val="single"/>
          </w:rPr>
          <w:t>Az Unióban megvalósuló külföldi befektetések átvilágítása</w:t>
        </w:r>
      </w:hyperlink>
    </w:p>
    <w:p w:rsidR="003567CE" w:rsidP="003567CE" w:rsidRDefault="003567CE" w14:paraId="1AE1253A" w14:textId="0E5062DE">
      <w:pPr>
        <w:widowControl w:val="0"/>
        <w:jc w:val="left"/>
        <w:rPr>
          <w:sz w:val="16"/>
          <w:szCs w:val="16"/>
          <w:lang w:val="en-US"/>
        </w:rPr>
      </w:pPr>
    </w:p>
    <w:p w:rsidRPr="003567CE"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567CE" w:rsidR="003567CE" w:rsidTr="00D76388" w14:paraId="6BEC2D5C" w14:textId="77777777">
        <w:trPr>
          <w:trHeight w:val="330"/>
        </w:trPr>
        <w:tc>
          <w:tcPr>
            <w:tcW w:w="1701" w:type="dxa"/>
          </w:tcPr>
          <w:p w:rsidRPr="0088361D" w:rsidR="003567CE" w:rsidP="003567CE" w:rsidRDefault="003567CE" w14:paraId="4A5DDF70" w14:textId="77777777">
            <w:pPr>
              <w:tabs>
                <w:tab w:val="center" w:pos="284"/>
              </w:tabs>
              <w:ind w:left="266" w:hanging="266"/>
              <w:rPr>
                <w:b/>
              </w:rPr>
            </w:pPr>
            <w:r>
              <w:rPr>
                <w:b/>
              </w:rPr>
              <w:t>Előadó:</w:t>
            </w:r>
          </w:p>
        </w:tc>
        <w:tc>
          <w:tcPr>
            <w:tcW w:w="5387" w:type="dxa"/>
          </w:tcPr>
          <w:p w:rsidRPr="0088361D" w:rsidR="003567CE" w:rsidP="003567CE" w:rsidRDefault="003567CE" w14:paraId="5C6E2D44" w14:textId="60E22C07">
            <w:pPr>
              <w:tabs>
                <w:tab w:val="center" w:pos="2585"/>
              </w:tabs>
              <w:jc w:val="left"/>
            </w:pPr>
            <w:r>
              <w:t>Javier DOZ ORRIT (Munkavállalók/ES)</w:t>
            </w:r>
          </w:p>
          <w:p w:rsidRPr="0088361D" w:rsidR="007F26D0" w:rsidP="003567CE" w:rsidRDefault="007F26D0" w14:paraId="0E519C77" w14:textId="08771BB2">
            <w:pPr>
              <w:tabs>
                <w:tab w:val="center" w:pos="2585"/>
              </w:tabs>
              <w:jc w:val="left"/>
            </w:pPr>
          </w:p>
        </w:tc>
      </w:tr>
      <w:tr w:rsidRPr="003567CE" w:rsidR="003567CE" w:rsidTr="00D76388" w14:paraId="24EFF744" w14:textId="77777777">
        <w:tc>
          <w:tcPr>
            <w:tcW w:w="1701" w:type="dxa"/>
          </w:tcPr>
          <w:p w:rsidRPr="0088361D" w:rsidR="003567CE" w:rsidP="003567CE" w:rsidRDefault="003567CE" w14:paraId="5E952219" w14:textId="77777777">
            <w:pPr>
              <w:tabs>
                <w:tab w:val="center" w:pos="284"/>
              </w:tabs>
              <w:ind w:left="266" w:hanging="266"/>
              <w:rPr>
                <w:b/>
              </w:rPr>
            </w:pPr>
            <w:r>
              <w:rPr>
                <w:b/>
              </w:rPr>
              <w:t>Hivatkozás:</w:t>
            </w:r>
          </w:p>
        </w:tc>
        <w:tc>
          <w:tcPr>
            <w:tcW w:w="5387" w:type="dxa"/>
          </w:tcPr>
          <w:p w:rsidRPr="0088361D" w:rsidR="007F26D0" w:rsidP="003567CE" w:rsidRDefault="007F26D0" w14:paraId="5C20CCDF" w14:textId="05E01A5F">
            <w:pPr>
              <w:tabs>
                <w:tab w:val="center" w:pos="284"/>
              </w:tabs>
              <w:ind w:left="266" w:hanging="266"/>
            </w:pPr>
            <w:r>
              <w:t xml:space="preserve">COM(2024) 23 </w:t>
            </w:r>
            <w:proofErr w:type="spellStart"/>
            <w:r>
              <w:t>final</w:t>
            </w:r>
            <w:proofErr w:type="spellEnd"/>
          </w:p>
          <w:p w:rsidRPr="0088361D" w:rsidR="003567CE" w:rsidP="003567CE" w:rsidRDefault="003567CE" w14:paraId="1A4A06B4" w14:textId="5FBFFF87">
            <w:pPr>
              <w:tabs>
                <w:tab w:val="center" w:pos="284"/>
              </w:tabs>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Főbb pontok</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40439D" w:rsidRDefault="003567CE" w14:paraId="341428CA" w14:textId="4711E675">
      <w:pPr>
        <w:spacing w:line="22" w:lineRule="atLeast"/>
        <w:rPr>
          <w:bCs/>
          <w:iCs/>
        </w:rPr>
      </w:pPr>
      <w:r>
        <w:t>Az EGSZB:</w:t>
      </w:r>
    </w:p>
    <w:p w:rsidRPr="003567CE" w:rsidR="00BC28F5" w:rsidP="0040439D" w:rsidRDefault="00BC28F5" w14:paraId="14C2E21C" w14:textId="77777777">
      <w:pPr>
        <w:spacing w:line="22" w:lineRule="atLeast"/>
        <w:rPr>
          <w:bCs/>
          <w:iCs/>
          <w:lang w:val="en-US"/>
        </w:rPr>
      </w:pPr>
    </w:p>
    <w:p w:rsidRPr="003567CE" w:rsidR="003567CE" w:rsidP="0040439D" w:rsidRDefault="003567CE" w14:paraId="046DAA13" w14:textId="77777777">
      <w:pPr>
        <w:widowControl w:val="0"/>
        <w:numPr>
          <w:ilvl w:val="0"/>
          <w:numId w:val="45"/>
        </w:numPr>
        <w:overflowPunct w:val="0"/>
        <w:autoSpaceDE w:val="0"/>
        <w:autoSpaceDN w:val="0"/>
        <w:adjustRightInd w:val="0"/>
        <w:spacing w:before="10" w:after="10" w:line="22" w:lineRule="atLeast"/>
        <w:ind w:left="426"/>
        <w:textAlignment w:val="baseline"/>
      </w:pPr>
      <w:r>
        <w:t>üdvözli a javasolt rendeletet, amely a megfelelő irányba tett lépést jelent azzal, hogy megerősíti az EU-ba irányuló közvetlen külföldi befektetések átvilágítási mechanizmusait. E rendelet célja a nemzeti eljárások harmonizálása és az uniós együttműködési mechanizmus megerősítése, biztosítva a kritikus ágazatok és programok feletti állami ellenőrzést,</w:t>
      </w:r>
    </w:p>
    <w:p w:rsidRPr="003567CE" w:rsidR="003567CE" w:rsidP="0040439D" w:rsidRDefault="003567CE" w14:paraId="7E224276" w14:textId="77777777">
      <w:pPr>
        <w:widowControl w:val="0"/>
        <w:numPr>
          <w:ilvl w:val="0"/>
          <w:numId w:val="45"/>
        </w:numPr>
        <w:overflowPunct w:val="0"/>
        <w:autoSpaceDE w:val="0"/>
        <w:autoSpaceDN w:val="0"/>
        <w:adjustRightInd w:val="0"/>
        <w:spacing w:before="10" w:after="10" w:line="22" w:lineRule="atLeast"/>
        <w:ind w:left="426"/>
        <w:textAlignment w:val="baseline"/>
      </w:pPr>
      <w:r>
        <w:t>hangsúlyozza, hogy elő kell mozdítani a közvetlen külföldi befektetéseket és az átvilágítási mechanizmusokat szabályozó nemzeti normák nagyobb fokú harmonizációját. Ez a következőkre terjed ki: i. következetes küszöbértékek meghatározása a közvetlen külföldi befektetések ellenőrzésére vonatkozóan és egységes válaszadási határidők megszabása; ii. a biztonságot és a közrendet fenyegető kockázatok egységes meghatározása; iii. a tagállamok kapacitásainak megerősítése a közvetlen külföldi befektetések ellenőrzésével kapcsolatos feladatok hatékony végrehajtásához,</w:t>
      </w:r>
    </w:p>
    <w:p w:rsidRPr="003567CE" w:rsidR="003567CE" w:rsidP="0040439D" w:rsidRDefault="003567CE" w14:paraId="035CA57A" w14:textId="77777777">
      <w:pPr>
        <w:widowControl w:val="0"/>
        <w:numPr>
          <w:ilvl w:val="0"/>
          <w:numId w:val="45"/>
        </w:numPr>
        <w:spacing w:before="10" w:after="10" w:line="22" w:lineRule="atLeast"/>
        <w:ind w:left="426"/>
      </w:pPr>
      <w:r>
        <w:t>kéri, hogy állapítsanak meg olyan kivételes eseteket, amikor az uniós intézmények megtilthatnak, mérsékelhetnek vagy feltételekhez köthetnek közvetlen külföldi befektetéseket, amennyiben azok veszélyeztetik az Unió érdekeit szolgáló programokat vagy projekteket. Ezzel biztosítani kell a közbiztonság és a közrend védelmének egységes megközelítését a tagállamokban. E célból az EU-nak egyértelmű eljárásokat és körülményeket kell kialakítania az uniós érdekekre jelentős kockázatot jelentő beruházások feletti ellenőrzés gyakorlására,</w:t>
      </w:r>
    </w:p>
    <w:p w:rsidRPr="003567CE" w:rsidR="003567CE" w:rsidP="0040439D" w:rsidRDefault="003567CE" w14:paraId="1444EF7F" w14:textId="77777777">
      <w:pPr>
        <w:widowControl w:val="0"/>
        <w:numPr>
          <w:ilvl w:val="0"/>
          <w:numId w:val="45"/>
        </w:numPr>
        <w:spacing w:before="10" w:after="10" w:line="22" w:lineRule="atLeast"/>
        <w:ind w:left="426"/>
      </w:pPr>
      <w:r>
        <w:t>javasolja, hogy a kiegyensúlyozott és méltányos bánásmód érdekében a harmadik országokkal kötendő kereskedelmi, beruházási vagy társulási megállapodások tárgyalása során igyekezzenek alkalmazni a viszonosság elvét, és kövessék nyomon az olyan harmadik országokból származó befektetéseket, amelyekben korlátozzák az európai befektetéseket. Ezekről eseti alapon kell dönteni. A fenntartható versenyképesség előmozdítása érdekében a stratégiai autonómia és a gazdasági biztonsági stratégia koncepcionális keretén belül továbbra is elő kell mozdítani a közvetlen külföldi befektetéseket,</w:t>
      </w:r>
    </w:p>
    <w:p w:rsidRPr="003567CE" w:rsidR="003567CE" w:rsidP="0040439D" w:rsidRDefault="003567CE" w14:paraId="33A49B20" w14:textId="77777777">
      <w:pPr>
        <w:widowControl w:val="0"/>
        <w:numPr>
          <w:ilvl w:val="0"/>
          <w:numId w:val="45"/>
        </w:numPr>
        <w:spacing w:before="10" w:after="10" w:line="22" w:lineRule="atLeast"/>
        <w:ind w:left="426"/>
      </w:pPr>
      <w:r>
        <w:t>kéri az adóparadicsomokból származó befektetések különleges felügyelet alá vonását, amely megköveteli a befektető társaságok tényleges tulajdonosainak teljes körű ismeretét és vizsgálja a felhasznált források jogszerűségét. A tagállamoknak meg kellene fontolniuk, hogy esetleg eltörlik az uniós országban való tartózkodásra vagy állampolgárság megszerzésére irányuló befektetői letelepedési programokat (ún. „aranyvízum-programokat”),</w:t>
      </w:r>
    </w:p>
    <w:p w:rsidRPr="003567CE" w:rsidR="003567CE" w:rsidP="0040439D" w:rsidRDefault="003567CE" w14:paraId="4CDFF91C" w14:textId="77777777">
      <w:pPr>
        <w:widowControl w:val="0"/>
        <w:numPr>
          <w:ilvl w:val="0"/>
          <w:numId w:val="45"/>
        </w:numPr>
        <w:spacing w:before="10" w:after="10" w:line="22" w:lineRule="atLeast"/>
        <w:ind w:left="426"/>
      </w:pPr>
      <w:r>
        <w:t xml:space="preserve">hangsúlyozza, hogy mechanizmusokra van szükség ahhoz, hogy a szociális partnerek és a civil társadalmi szervezetek mind uniós, mind nemzeti szinten részt vehessenek a közvetlen külföldi befektetésekkel kapcsolatos politikában és ellenőrzésben, ezáltal biztosítva az átláthatóságot és az </w:t>
      </w:r>
      <w:proofErr w:type="spellStart"/>
      <w:r>
        <w:t>inkluzivitást</w:t>
      </w:r>
      <w:proofErr w:type="spellEnd"/>
      <w:r>
        <w:t xml:space="preserve"> az értékelési folyamat során.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0"/>
        <w:gridCol w:w="5670"/>
      </w:tblGrid>
      <w:tr w:rsidRPr="003567CE" w:rsidR="003567CE" w:rsidTr="00D76388" w14:paraId="0BDAEDE2" w14:textId="77777777">
        <w:tc>
          <w:tcPr>
            <w:tcW w:w="1418" w:type="dxa"/>
          </w:tcPr>
          <w:p w:rsidRPr="003567CE" w:rsidR="003567CE" w:rsidP="003567CE" w:rsidRDefault="003567CE" w14:paraId="75FDFE87" w14:textId="77777777">
            <w:pPr>
              <w:rPr>
                <w:i/>
                <w:sz w:val="22"/>
                <w:szCs w:val="22"/>
              </w:rPr>
            </w:pPr>
            <w:r>
              <w:rPr>
                <w:b/>
                <w:i/>
                <w:sz w:val="22"/>
              </w:rPr>
              <w:t>Kapcsolattartó:</w:t>
            </w:r>
          </w:p>
        </w:tc>
        <w:tc>
          <w:tcPr>
            <w:tcW w:w="5670" w:type="dxa"/>
          </w:tcPr>
          <w:p w:rsidRPr="003567CE" w:rsidR="003567CE" w:rsidP="003567CE" w:rsidRDefault="003567CE" w14:paraId="2C1A667F" w14:textId="77777777">
            <w:pPr>
              <w:rPr>
                <w:i/>
                <w:sz w:val="22"/>
                <w:szCs w:val="22"/>
              </w:rPr>
            </w:pPr>
            <w:r>
              <w:rPr>
                <w:i/>
                <w:sz w:val="22"/>
              </w:rPr>
              <w:t xml:space="preserve">Marco </w:t>
            </w:r>
            <w:proofErr w:type="spellStart"/>
            <w:r>
              <w:rPr>
                <w:i/>
                <w:sz w:val="22"/>
              </w:rPr>
              <w:t>Ristori</w:t>
            </w:r>
            <w:proofErr w:type="spellEnd"/>
          </w:p>
        </w:tc>
      </w:tr>
      <w:tr w:rsidRPr="003567CE" w:rsidR="003567CE" w:rsidTr="00D76388" w14:paraId="43A475CE" w14:textId="77777777">
        <w:tc>
          <w:tcPr>
            <w:tcW w:w="1418" w:type="dxa"/>
          </w:tcPr>
          <w:p w:rsidRPr="003567CE" w:rsidR="003567CE" w:rsidP="003567CE" w:rsidRDefault="003567CE" w14:paraId="68E49F1C" w14:textId="77777777">
            <w:pPr>
              <w:rPr>
                <w:i/>
                <w:sz w:val="22"/>
                <w:szCs w:val="22"/>
              </w:rPr>
            </w:pPr>
            <w:r>
              <w:rPr>
                <w:i/>
                <w:sz w:val="22"/>
              </w:rPr>
              <w:t>Tel.:</w:t>
            </w:r>
          </w:p>
        </w:tc>
        <w:tc>
          <w:tcPr>
            <w:tcW w:w="5670" w:type="dxa"/>
          </w:tcPr>
          <w:p w:rsidRPr="003567CE" w:rsidR="003567CE" w:rsidP="003567CE" w:rsidRDefault="003567CE" w14:paraId="25B8F53A" w14:textId="77777777">
            <w:pPr>
              <w:rPr>
                <w:i/>
                <w:sz w:val="22"/>
                <w:szCs w:val="22"/>
              </w:rPr>
            </w:pPr>
            <w:r>
              <w:rPr>
                <w:i/>
                <w:sz w:val="22"/>
              </w:rPr>
              <w:t>+32 254 69 969</w:t>
            </w:r>
          </w:p>
        </w:tc>
      </w:tr>
      <w:tr w:rsidRPr="003567CE" w:rsidR="003567CE" w:rsidTr="00D76388" w14:paraId="25CC9356" w14:textId="77777777">
        <w:tc>
          <w:tcPr>
            <w:tcW w:w="1418" w:type="dxa"/>
          </w:tcPr>
          <w:p w:rsidRPr="003567CE" w:rsidR="003567CE" w:rsidP="003567CE" w:rsidRDefault="003567CE" w14:paraId="17484178" w14:textId="77777777">
            <w:pPr>
              <w:rPr>
                <w:i/>
                <w:sz w:val="22"/>
                <w:szCs w:val="22"/>
              </w:rPr>
            </w:pPr>
            <w:r>
              <w:rPr>
                <w:i/>
                <w:sz w:val="22"/>
              </w:rPr>
              <w:t>E-mail:</w:t>
            </w:r>
          </w:p>
        </w:tc>
        <w:tc>
          <w:tcPr>
            <w:tcW w:w="5670" w:type="dxa"/>
          </w:tcPr>
          <w:p w:rsidRPr="003567CE" w:rsidR="003567CE" w:rsidP="003567CE" w:rsidRDefault="008766EB" w14:paraId="4A046612" w14:textId="77777777">
            <w:pPr>
              <w:rPr>
                <w:i/>
                <w:sz w:val="22"/>
                <w:szCs w:val="22"/>
              </w:rPr>
            </w:pPr>
            <w:hyperlink w:history="1" r:id="rId36">
              <w:r w:rsidR="000B64C3">
                <w:rPr>
                  <w:i/>
                  <w:color w:val="0000FF"/>
                  <w:sz w:val="22"/>
                  <w:u w:val="single"/>
                </w:rPr>
                <w:t>Marco.Ristori@eesc.europa.eu</w:t>
              </w:r>
            </w:hyperlink>
          </w:p>
        </w:tc>
      </w:tr>
    </w:tbl>
    <w:p w:rsidR="003567CE" w:rsidP="0088361D" w:rsidRDefault="003567CE" w14:paraId="67F3595B" w14:textId="7DB7E2AE">
      <w:pPr>
        <w:tabs>
          <w:tab w:val="left" w:pos="426"/>
        </w:tabs>
        <w:spacing w:after="160" w:line="259" w:lineRule="auto"/>
        <w:ind w:left="426" w:hanging="426"/>
        <w:jc w:val="left"/>
        <w:rPr>
          <w:rFonts w:eastAsiaTheme="minorEastAsia"/>
        </w:rPr>
      </w:pPr>
      <w:r>
        <w:br w:type="page"/>
      </w:r>
    </w:p>
    <w:p w:rsidR="006A7E31" w:rsidP="00D92244" w:rsidRDefault="00A72EDD" w14:paraId="07F93DE3" w14:textId="5E2145AE">
      <w:pPr>
        <w:pStyle w:val="TOC1"/>
      </w:pPr>
      <w:bookmarkStart w:name="_Toc172532843" w:id="9"/>
      <w:r>
        <w:lastRenderedPageBreak/>
        <w:t>7.</w:t>
      </w:r>
      <w:r>
        <w:tab/>
        <w:t>KÖZLEKEDÉS, ENERGIA, INFRASTRUKTÚRA ÉS INFORMÁCIÓS TÁRSADALOM</w:t>
      </w:r>
      <w:bookmarkEnd w:id="9"/>
    </w:p>
    <w:p w:rsidR="00160A67" w:rsidP="00160A67" w:rsidRDefault="00160A67" w14:paraId="2CBE297E" w14:textId="164A826B">
      <w:pPr>
        <w:rPr>
          <w:rFonts w:eastAsiaTheme="minorEastAsia"/>
        </w:rPr>
      </w:pPr>
    </w:p>
    <w:p w:rsidRPr="00200444" w:rsidR="00200444" w:rsidP="00200444" w:rsidRDefault="008766EB"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7">
        <w:r w:rsidR="000B64C3">
          <w:rPr>
            <w:b/>
            <w:i/>
            <w:color w:val="0000FF"/>
            <w:sz w:val="28"/>
            <w:u w:val="single"/>
          </w:rPr>
          <w:t>Energetikai digitalizáció: az európai fogyasztók előtt álló lehetőségek és kockázatok közötti egyensúly megteremtése</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Előadó:</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proofErr w:type="spellStart"/>
            <w:r>
              <w:t>Kęstutis</w:t>
            </w:r>
            <w:proofErr w:type="spellEnd"/>
            <w:r>
              <w:t xml:space="preserve"> KUPŠYS (Civil társadalmi szervezetek/LT)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rPr>
              <w:t>Hivatkozás:</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saját kezdeményezésű vélemény</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Az EGSZB:</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hangsúlyozza, hogy a digitalizáció egyre nagyobb jelentőséget kap a zöld átállás fényében. Az energiának azonban megfizethetőnek, szabályozhatónak és könnyen felhasználhatónak kell maradnia a fogyasztók számára. Ehhez olyan felhasználóbarát digitális eszközöket kell kifejleszteni, amelyek kielégítik a különböző igényeket, és előmozdítják a digitális energetikai szolgáltatásokhoz való egyenlő hozzáférést. A fogyasztók számára továbbra is lehetővé kell tenni, hogy „a digitális korszak előtti módon” válasszanak az árak, szerződések és ügyfélszolgálatok között,</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 xml:space="preserve">hangsúlyozza, hogy a felhasználói adatok </w:t>
      </w:r>
      <w:proofErr w:type="spellStart"/>
      <w:r>
        <w:t>kiberbiztonságát</w:t>
      </w:r>
      <w:proofErr w:type="spellEnd"/>
      <w:r>
        <w:t xml:space="preserve"> prioritásként kell kezelni. A digitalizáció felerősíti annak szükségességét, hogy dinamikus fogyasztóvédelmi szabályok jöjjenek létre, amelyek igazodnak az ágazat új adottságaihoz és résztvevőihez,</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t>rámutat arra, hogy növeli az energiaszegénységet az, hogy digitális szakadék alakul ki azok között a fogyasztók között, akik drágább digitális eszközöket is megengedhetnek maguknak, illetve akik nem,</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javasolja, hogy biztosítsanak képzést a munkavállalók számára. Népszerűsíteni kell a „nettó zéró” ipart szolgáló európai akadémiákat valamennyi érdekelt fél körében, hangsúlyt helyezve az energiahatékonysági készségekre.</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5605"/>
      </w:tblGrid>
      <w:tr w:rsidRPr="00200444" w:rsidR="00200444" w:rsidTr="00D76388" w14:paraId="308752F8" w14:textId="77777777">
        <w:tc>
          <w:tcPr>
            <w:tcW w:w="1418"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Kapcsolattartó:</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proofErr w:type="spellStart"/>
            <w:r>
              <w:rPr>
                <w:i/>
              </w:rPr>
              <w:t>Aleksandra</w:t>
            </w:r>
            <w:proofErr w:type="spellEnd"/>
            <w:r>
              <w:rPr>
                <w:i/>
              </w:rPr>
              <w:t xml:space="preserve"> </w:t>
            </w:r>
            <w:proofErr w:type="spellStart"/>
            <w:r>
              <w:rPr>
                <w:i/>
              </w:rPr>
              <w:t>Sarman</w:t>
            </w:r>
            <w:proofErr w:type="spellEnd"/>
            <w:r>
              <w:rPr>
                <w:i/>
              </w:rPr>
              <w:t xml:space="preserve"> </w:t>
            </w:r>
            <w:proofErr w:type="spellStart"/>
            <w:r>
              <w:rPr>
                <w:i/>
              </w:rPr>
              <w:t>Grilc</w:t>
            </w:r>
            <w:proofErr w:type="spellEnd"/>
            <w:r>
              <w:rPr>
                <w:i/>
              </w:rPr>
              <w:t xml:space="preserve"> </w:t>
            </w:r>
          </w:p>
        </w:tc>
      </w:tr>
      <w:tr w:rsidRPr="00200444" w:rsidR="00200444" w:rsidTr="00D76388" w14:paraId="4CB9B9D6" w14:textId="77777777">
        <w:tc>
          <w:tcPr>
            <w:tcW w:w="1418"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Tel.:</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+32 254 68 333</w:t>
            </w:r>
          </w:p>
        </w:tc>
      </w:tr>
      <w:tr w:rsidRPr="00200444" w:rsidR="00200444" w:rsidTr="00D76388" w14:paraId="060AFC65" w14:textId="77777777">
        <w:tc>
          <w:tcPr>
            <w:tcW w:w="1418"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E-mail:</w:t>
            </w:r>
          </w:p>
        </w:tc>
        <w:tc>
          <w:tcPr>
            <w:tcW w:w="5670" w:type="dxa"/>
          </w:tcPr>
          <w:p w:rsidRPr="00200444" w:rsidR="00200444" w:rsidP="00200444" w:rsidRDefault="008766EB" w14:paraId="0B137F65" w14:textId="77777777">
            <w:pPr>
              <w:overflowPunct w:val="0"/>
              <w:autoSpaceDE w:val="0"/>
              <w:autoSpaceDN w:val="0"/>
              <w:adjustRightInd w:val="0"/>
              <w:spacing w:line="240" w:lineRule="auto"/>
              <w:textAlignment w:val="baseline"/>
              <w:rPr>
                <w:i/>
                <w:iCs/>
              </w:rPr>
            </w:pPr>
            <w:hyperlink w:history="1" r:id="rId38">
              <w:r w:rsidR="000B64C3">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br w:type="page"/>
      </w:r>
    </w:p>
    <w:p w:rsidRPr="00160A67" w:rsidR="00160A67" w:rsidP="00FE2F95" w:rsidRDefault="003D6811" w14:paraId="5D209F0E" w14:textId="4471A438">
      <w:pPr>
        <w:pStyle w:val="TOC1"/>
        <w:rPr>
          <w:rFonts w:eastAsiaTheme="minorEastAsia"/>
        </w:rPr>
      </w:pPr>
      <w:bookmarkStart w:name="_Toc172532844" w:id="12"/>
      <w:r>
        <w:rPr>
          <w:sz w:val="22"/>
        </w:rPr>
        <w:lastRenderedPageBreak/>
        <w:t xml:space="preserve">8. </w:t>
      </w:r>
      <w:r>
        <w:rPr>
          <w:sz w:val="22"/>
        </w:rPr>
        <w:tab/>
        <w:t>IPARI SZERKEZETVÁLTÁS KONZULTATÍV BIZOTTSÁGA</w:t>
      </w:r>
      <w:bookmarkEnd w:id="10"/>
      <w:bookmarkEnd w:id="11"/>
      <w:bookmarkEnd w:id="12"/>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8766EB"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9">
        <w:r w:rsidR="000B64C3">
          <w:rPr>
            <w:b/>
            <w:i/>
            <w:color w:val="0000FF"/>
            <w:sz w:val="28"/>
            <w:u w:val="single"/>
          </w:rPr>
          <w:t xml:space="preserve">A természettel közösen épített jövő: a biotechnológia és a </w:t>
        </w:r>
        <w:proofErr w:type="spellStart"/>
        <w:r w:rsidR="000B64C3">
          <w:rPr>
            <w:b/>
            <w:i/>
            <w:color w:val="0000FF"/>
            <w:sz w:val="28"/>
            <w:u w:val="single"/>
          </w:rPr>
          <w:t>biogyártás</w:t>
        </w:r>
        <w:proofErr w:type="spellEnd"/>
        <w:r w:rsidR="000B64C3">
          <w:rPr>
            <w:b/>
            <w:i/>
            <w:color w:val="0000FF"/>
            <w:sz w:val="28"/>
            <w:u w:val="single"/>
          </w:rPr>
          <w:t xml:space="preserve"> fellendítése az EU-ban</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Előadó:</w:t>
            </w:r>
          </w:p>
        </w:tc>
        <w:tc>
          <w:tcPr>
            <w:tcW w:w="3409"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proofErr w:type="spellStart"/>
            <w:r>
              <w:t>Florian</w:t>
            </w:r>
            <w:proofErr w:type="spellEnd"/>
            <w:r>
              <w:t xml:space="preserve"> MARIN (Munkavállalók/RO)</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Pr>
                <w:b/>
              </w:rPr>
              <w:t>Társelőadó:</w:t>
            </w:r>
          </w:p>
        </w:tc>
        <w:tc>
          <w:tcPr>
            <w:tcW w:w="3409"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proofErr w:type="spellStart"/>
            <w:r>
              <w:t>Antonello</w:t>
            </w:r>
            <w:proofErr w:type="spellEnd"/>
            <w:r>
              <w:t xml:space="preserve"> PEZZINI (IT/1. kat.)</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rPr>
              <w:t>Hivatkozás:</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Pr>
                <w:sz w:val="22"/>
              </w:rPr>
              <w:t xml:space="preserve">COM(2024) 137 </w:t>
            </w:r>
            <w:proofErr w:type="spellStart"/>
            <w:r>
              <w:rPr>
                <w:sz w:val="22"/>
              </w:rPr>
              <w:t>final</w:t>
            </w:r>
            <w:proofErr w:type="spellEnd"/>
          </w:p>
          <w:p w:rsidRPr="00CE7004" w:rsidR="00CE7004" w:rsidP="00CE7004" w:rsidRDefault="00CE7004" w14:paraId="2F738739" w14:textId="28F1BFE7">
            <w:pPr>
              <w:tabs>
                <w:tab w:val="center" w:pos="284"/>
              </w:tabs>
              <w:overflowPunct w:val="0"/>
              <w:autoSpaceDE w:val="0"/>
              <w:autoSpaceDN w:val="0"/>
              <w:adjustRightInd w:val="0"/>
              <w:ind w:left="266" w:hanging="266"/>
              <w:textAlignment w:val="baseline"/>
            </w:pPr>
            <w:r>
              <w:t>EESC-2024-00997-00-00-AC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Az EGSZB:</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csalódottságának ad hangot amiatt, hogy az EU még nem rendelkezik </w:t>
      </w:r>
      <w:proofErr w:type="spellStart"/>
      <w:r>
        <w:rPr>
          <w:b/>
        </w:rPr>
        <w:t>biogazdasági</w:t>
      </w:r>
      <w:proofErr w:type="spellEnd"/>
      <w:r>
        <w:rPr>
          <w:b/>
        </w:rPr>
        <w:t xml:space="preserve"> stratégiával</w:t>
      </w:r>
      <w:r>
        <w:t xml:space="preserve"> vagy </w:t>
      </w:r>
      <w:r>
        <w:rPr>
          <w:b/>
        </w:rPr>
        <w:t>biotechnológiai jogszabállyal</w:t>
      </w:r>
      <w:r>
        <w:t>, és úgy véli, hogy a globális helyzetre tekintettel sürgősen szükség van ilyen jogszabályokra,</w:t>
      </w:r>
    </w:p>
    <w:p w:rsidRPr="00CE7004"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t xml:space="preserve">azt javasolja, hogy </w:t>
      </w:r>
      <w:r>
        <w:rPr>
          <w:b/>
        </w:rPr>
        <w:t xml:space="preserve">az uniós </w:t>
      </w:r>
      <w:proofErr w:type="spellStart"/>
      <w:r>
        <w:rPr>
          <w:b/>
        </w:rPr>
        <w:t>biogazdasági</w:t>
      </w:r>
      <w:proofErr w:type="spellEnd"/>
      <w:r>
        <w:rPr>
          <w:b/>
        </w:rPr>
        <w:t xml:space="preserve"> stratégia</w:t>
      </w:r>
      <w:r>
        <w:t xml:space="preserve"> olyan </w:t>
      </w:r>
      <w:r>
        <w:rPr>
          <w:b/>
        </w:rPr>
        <w:t>integrált ágazati megközelítésen alapuljon</w:t>
      </w:r>
      <w:r>
        <w:t>, amely konkrét célokat tűz ki, és magában foglalja a következő tíz évre szóló kutatási menetrendet, egy készségeket felsoroló jegyzéket és a civil társadalom egyértelmű szerepének meghatározását,</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 xml:space="preserve">úgy véli, hogy globális szinten fontolóra kell venni és elő kell mozdítani </w:t>
      </w:r>
      <w:r>
        <w:rPr>
          <w:b/>
        </w:rPr>
        <w:t>az uniós vállalatok és az uniós piacon forgalomba hozott termékek etikai kódexének</w:t>
      </w:r>
      <w:r>
        <w:t xml:space="preserve"> kidolgozását,</w:t>
      </w:r>
    </w:p>
    <w:p w:rsidRPr="00CE7004"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t xml:space="preserve">amellett érvel, hogy </w:t>
      </w:r>
      <w:r>
        <w:rPr>
          <w:b/>
        </w:rPr>
        <w:t>a kompetenciák fejlesztéséhez</w:t>
      </w:r>
      <w:r>
        <w:t xml:space="preserve">, valamint a biotechnológiai készségekre vonatkozó követelmények és a </w:t>
      </w:r>
      <w:proofErr w:type="spellStart"/>
      <w:r>
        <w:t>biogyártási</w:t>
      </w:r>
      <w:proofErr w:type="spellEnd"/>
      <w:r>
        <w:t xml:space="preserve"> igények közötti </w:t>
      </w:r>
      <w:r>
        <w:rPr>
          <w:b/>
        </w:rPr>
        <w:t>szinergiák megszilárdításához célzott intézkedésekre</w:t>
      </w:r>
      <w:r>
        <w:t xml:space="preserve"> van szükség,</w:t>
      </w:r>
    </w:p>
    <w:p w:rsidRPr="00CE7004"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t xml:space="preserve">azt javasolja, hogy a biotechnológia és a </w:t>
      </w:r>
      <w:proofErr w:type="spellStart"/>
      <w:r>
        <w:t>biogyártás</w:t>
      </w:r>
      <w:proofErr w:type="spellEnd"/>
      <w:r>
        <w:t xml:space="preserve"> uniós fejlesztése foglaljon magában </w:t>
      </w:r>
      <w:r>
        <w:rPr>
          <w:b/>
        </w:rPr>
        <w:t>ágazati mutatókat, köz- és magánszféra közötti partnerségeket</w:t>
      </w:r>
      <w:r>
        <w:t xml:space="preserve">, egy </w:t>
      </w:r>
      <w:r>
        <w:rPr>
          <w:b/>
        </w:rPr>
        <w:t>több ágazatot átfogó kutatási rendszert</w:t>
      </w:r>
      <w:r>
        <w:t xml:space="preserve">, </w:t>
      </w:r>
      <w:r>
        <w:rPr>
          <w:b/>
        </w:rPr>
        <w:t>a potenciális befektetőket felsoroló adatbázist, gyorsabb és kevésbé bürokratikus engedélyezési eljárásokat, a fenntartható fejlődési célokkal és a javasolt kék megállapodással való tökéletes szinergiát</w:t>
      </w:r>
      <w:r>
        <w:t xml:space="preserve">, célzott és harmonizált </w:t>
      </w:r>
      <w:r>
        <w:rPr>
          <w:b/>
        </w:rPr>
        <w:t>európai és globális szabványokat</w:t>
      </w:r>
      <w:r>
        <w:t xml:space="preserve">, </w:t>
      </w:r>
      <w:r>
        <w:rPr>
          <w:b/>
        </w:rPr>
        <w:t>az állami támogatás, a bizalom és az oktatás</w:t>
      </w:r>
      <w:r>
        <w:t xml:space="preserve"> fokozását célzó intézkedéseket, valamint </w:t>
      </w:r>
      <w:r>
        <w:rPr>
          <w:b/>
        </w:rPr>
        <w:t>nagyobb egyértelműséget a nemzeti és megosztott hatásköröket illetően</w:t>
      </w:r>
      <w: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 xml:space="preserve">azt javasolja, hogy </w:t>
      </w:r>
      <w:r>
        <w:rPr>
          <w:b/>
        </w:rPr>
        <w:t xml:space="preserve">a biotechnológia és a </w:t>
      </w:r>
      <w:proofErr w:type="spellStart"/>
      <w:r>
        <w:rPr>
          <w:b/>
        </w:rPr>
        <w:t>biogyártás</w:t>
      </w:r>
      <w:proofErr w:type="spellEnd"/>
      <w:r>
        <w:rPr>
          <w:b/>
        </w:rPr>
        <w:t xml:space="preserve"> finanszírozása során az EU-ban</w:t>
      </w:r>
      <w:r>
        <w:t xml:space="preserve"> kellőképpen vegyék figyelembe </w:t>
      </w:r>
      <w:r>
        <w:rPr>
          <w:b/>
        </w:rPr>
        <w:t xml:space="preserve">a Helyreállítási és </w:t>
      </w:r>
      <w:proofErr w:type="spellStart"/>
      <w:r>
        <w:rPr>
          <w:b/>
        </w:rPr>
        <w:t>Rezilienciaépítési</w:t>
      </w:r>
      <w:proofErr w:type="spellEnd"/>
      <w:r>
        <w:rPr>
          <w:b/>
        </w:rPr>
        <w:t xml:space="preserve"> Eszköz, a Stratégiai Technológiák Európai Platformja (STEP), az Európai Beruházási Bank (EBB) és a kohéziós politika szinergiákon alapuló megközelítését</w:t>
      </w:r>
      <w:r>
        <w:t xml:space="preserve">; úgy véli, hogy a </w:t>
      </w:r>
      <w:r>
        <w:rPr>
          <w:b/>
        </w:rPr>
        <w:t>környezetvédelmi adókból</w:t>
      </w:r>
      <w:r>
        <w:t xml:space="preserve"> származó pénz egy részét a </w:t>
      </w:r>
      <w:r>
        <w:rPr>
          <w:b/>
        </w:rPr>
        <w:t>zöld biotechnológiai termékek finanszírozására kellene fordítani</w:t>
      </w:r>
      <w:r>
        <w:t xml:space="preserve">, és hogy </w:t>
      </w:r>
      <w:r>
        <w:rPr>
          <w:b/>
        </w:rPr>
        <w:t>különféle pénzügyi forrásokat és alapokat és ezek kombinációját</w:t>
      </w:r>
      <w:r>
        <w:t xml:space="preserve"> – például hiteleket, kockázati tőkét és közpénzeket – kellene felhasználni.</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Kapcsolattartó:</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Pr>
                <w:b/>
                <w:i/>
              </w:rPr>
              <w:t xml:space="preserve">Marie-Laurence </w:t>
            </w:r>
            <w:proofErr w:type="spellStart"/>
            <w:r>
              <w:rPr>
                <w:b/>
                <w:i/>
              </w:rPr>
              <w:t>Drillon</w:t>
            </w:r>
            <w:proofErr w:type="spellEnd"/>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Tel.:</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+ 32 254 68 320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E-mail:</w:t>
            </w:r>
          </w:p>
        </w:tc>
        <w:tc>
          <w:tcPr>
            <w:tcW w:w="3444" w:type="pct"/>
          </w:tcPr>
          <w:p w:rsidRPr="00CE7004" w:rsidR="00CE7004" w:rsidP="00CE7004" w:rsidRDefault="008766EB" w14:paraId="5FD55C98" w14:textId="77777777">
            <w:pPr>
              <w:overflowPunct w:val="0"/>
              <w:autoSpaceDE w:val="0"/>
              <w:autoSpaceDN w:val="0"/>
              <w:adjustRightInd w:val="0"/>
              <w:spacing w:line="240" w:lineRule="auto"/>
              <w:textAlignment w:val="baseline"/>
              <w:rPr>
                <w:i/>
              </w:rPr>
            </w:pPr>
            <w:hyperlink w:history="1" r:id="rId40">
              <w:r w:rsidR="000B64C3">
                <w:rPr>
                  <w:i/>
                  <w:color w:val="0000FF"/>
                  <w:u w:val="single"/>
                </w:rPr>
                <w:t>Marie-Laurence.Drillon@eesc.europa.eu</w:t>
              </w:r>
            </w:hyperlink>
          </w:p>
        </w:tc>
      </w:tr>
    </w:tbl>
    <w:p w:rsidR="0018585A" w:rsidP="00520680" w:rsidRDefault="0018585A" w14:paraId="53E51CD5" w14:textId="77777777">
      <w:pPr>
        <w:overflowPunct w:val="0"/>
        <w:autoSpaceDE w:val="0"/>
        <w:autoSpaceDN w:val="0"/>
        <w:adjustRightInd w:val="0"/>
        <w:jc w:val="left"/>
        <w:textAlignment w:val="baseline"/>
        <w:rPr>
          <w:lang w:val="nl-BE"/>
        </w:rPr>
      </w:pPr>
    </w:p>
    <w:p w:rsidRPr="0040439D" w:rsidR="00D742A4" w:rsidP="0040439D" w:rsidRDefault="00D742A4" w14:paraId="729EE277" w14:textId="7343BBE6">
      <w:pPr>
        <w:pStyle w:val="ListParagraph"/>
        <w:numPr>
          <w:ilvl w:val="0"/>
          <w:numId w:val="32"/>
        </w:numPr>
        <w:spacing w:after="160" w:line="259" w:lineRule="auto"/>
        <w:ind w:left="284"/>
        <w:rPr>
          <w:rFonts w:eastAsiaTheme="minorHAnsi"/>
          <w:b/>
          <w:i/>
          <w:iCs/>
          <w:sz w:val="28"/>
          <w:szCs w:val="28"/>
        </w:rPr>
      </w:pPr>
      <w:r>
        <w:br w:type="page"/>
      </w:r>
      <w:hyperlink w:history="1" r:id="rId41">
        <w:r w:rsidRPr="0040439D" w:rsidR="00FF64D0">
          <w:rPr>
            <w:b/>
            <w:i/>
            <w:color w:val="0000FF"/>
            <w:sz w:val="28"/>
            <w:u w:val="single"/>
          </w:rPr>
          <w:t xml:space="preserve">Alacsony szén-dioxid-kibocsátású és megújuló üzemanyagok: a légi és tengeri közlekedési ágazat </w:t>
        </w:r>
        <w:proofErr w:type="spellStart"/>
        <w:r w:rsidRPr="0040439D" w:rsidR="00FF64D0">
          <w:rPr>
            <w:b/>
            <w:i/>
            <w:color w:val="0000FF"/>
            <w:sz w:val="28"/>
            <w:u w:val="single"/>
          </w:rPr>
          <w:t>dekarbonizációjához</w:t>
        </w:r>
        <w:proofErr w:type="spellEnd"/>
        <w:r w:rsidRPr="0040439D" w:rsidR="00FF64D0">
          <w:rPr>
            <w:b/>
            <w:i/>
            <w:color w:val="0000FF"/>
            <w:sz w:val="28"/>
            <w:u w:val="single"/>
          </w:rPr>
          <w:t xml:space="preserve"> szükséges kapacitás kiépítése az európai ipar terén, az európai autonómia szellemében</w:t>
        </w:r>
      </w:hyperlink>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Előadó: </w:t>
      </w:r>
      <w:r>
        <w:rPr>
          <w:b/>
          <w:sz w:val="20"/>
        </w:rPr>
        <w:tab/>
      </w:r>
      <w:proofErr w:type="spellStart"/>
      <w:r>
        <w:rPr>
          <w:sz w:val="20"/>
        </w:rPr>
        <w:t>Anastasis</w:t>
      </w:r>
      <w:proofErr w:type="spellEnd"/>
      <w:r>
        <w:rPr>
          <w:sz w:val="20"/>
        </w:rPr>
        <w:t xml:space="preserve"> YIAPANIS (Civil társadalmi szervezetek/CY)</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r>
        <w:rPr>
          <w:b/>
          <w:sz w:val="20"/>
        </w:rPr>
        <w:t>Társelőadó:</w:t>
      </w:r>
      <w:r>
        <w:rPr>
          <w:b/>
          <w:sz w:val="20"/>
        </w:rPr>
        <w:tab/>
      </w:r>
      <w:proofErr w:type="spellStart"/>
      <w:r>
        <w:rPr>
          <w:sz w:val="20"/>
        </w:rPr>
        <w:t>Franck</w:t>
      </w:r>
      <w:proofErr w:type="spellEnd"/>
      <w:r>
        <w:rPr>
          <w:sz w:val="20"/>
        </w:rPr>
        <w:t xml:space="preserve"> UHLIG (FR/2. kat.)</w:t>
      </w:r>
    </w:p>
    <w:p w:rsidRPr="0088361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Hivatkozás:</w:t>
      </w:r>
      <w:r>
        <w:rPr>
          <w:b/>
          <w:sz w:val="20"/>
        </w:rPr>
        <w:tab/>
      </w:r>
      <w:r>
        <w:rPr>
          <w:sz w:val="20"/>
        </w:rPr>
        <w:t>saját kezdeményezésű vélemény</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Főbb pontok</w:t>
      </w:r>
    </w:p>
    <w:p w:rsidRPr="00D742A4" w:rsidR="00D742A4" w:rsidP="00D742A4" w:rsidRDefault="00D742A4" w14:paraId="696A7DF5" w14:textId="77777777">
      <w:pPr>
        <w:spacing w:after="160" w:line="259" w:lineRule="auto"/>
        <w:jc w:val="left"/>
        <w:rPr>
          <w:rFonts w:eastAsiaTheme="minorHAnsi"/>
        </w:rPr>
      </w:pPr>
      <w:r>
        <w:t>Az EGSZB:</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t xml:space="preserve">megjegyzi, hogy </w:t>
      </w:r>
      <w:r>
        <w:rPr>
          <w:b/>
        </w:rPr>
        <w:t>nincsenek ösztönzők</w:t>
      </w:r>
      <w:r>
        <w:t xml:space="preserve"> a fenntartható és alacsony szén-dioxid-kibocsátású üzemanyag-előállítási projektek fejlesztésére; megemlíti, hogy </w:t>
      </w:r>
      <w:r>
        <w:rPr>
          <w:b/>
        </w:rPr>
        <w:t>a magas előállítási költségek, valamint a fenntartható üzemanyagok rendelkezésre állását övező bizonytalanságok</w:t>
      </w:r>
      <w:r>
        <w:t xml:space="preserve"> jelentős akadályokat gördítenek a széles körű elterjedésük elé,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t xml:space="preserve">úgy véli, hogy </w:t>
      </w:r>
      <w:r>
        <w:rPr>
          <w:b/>
        </w:rPr>
        <w:t>ha az Unióban nem állítanának elő fenntartható üzemanyagokat, az kedvezőtlen hatással járna az EU stratégiai autonómiájára nézve</w:t>
      </w:r>
      <w:r>
        <w:t>,</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t xml:space="preserve">hangsúlyozza, hogy az intenzív globális verseny közepette rendkívül fontos </w:t>
      </w:r>
      <w:r>
        <w:rPr>
          <w:b/>
        </w:rPr>
        <w:t>megtartani és javítani az uniós ipar versenyképességét</w:t>
      </w:r>
      <w:r>
        <w:t xml:space="preserve">,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t xml:space="preserve">szorgalmazza </w:t>
      </w:r>
      <w:r>
        <w:rPr>
          <w:b/>
        </w:rPr>
        <w:t>a fenntartható légijármű-üzemanyagok használatának fokozatos növelését illető átfogó ütemtervet</w:t>
      </w:r>
      <w:r>
        <w:t>,</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t xml:space="preserve">úgy gondolja, hogy </w:t>
      </w:r>
      <w:r>
        <w:rPr>
          <w:b/>
        </w:rPr>
        <w:t>a tengeri közlekedési ágazat számára világszerte kihívást jelent a hajók alternatív üzemanyagokkal való biztonságos ellátásához szükséges kikötői töltőinfrastruktúra létrehozása</w:t>
      </w:r>
      <w:r>
        <w:t>,</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t xml:space="preserve">rámutat arra, hogy </w:t>
      </w:r>
      <w:r>
        <w:rPr>
          <w:b/>
        </w:rPr>
        <w:t>esetleges hiány léphet fel a rendelkezésre álló nyersanyagforrások</w:t>
      </w:r>
      <w:r>
        <w:t xml:space="preserve">, valamint a fenntartható üzemanyagok előállítására való átálláshoz szükséges </w:t>
      </w:r>
      <w:proofErr w:type="spellStart"/>
      <w:r>
        <w:rPr>
          <w:b/>
        </w:rPr>
        <w:t>dekarbonizált</w:t>
      </w:r>
      <w:proofErr w:type="spellEnd"/>
      <w:r>
        <w:rPr>
          <w:b/>
        </w:rPr>
        <w:t xml:space="preserve"> energia</w:t>
      </w:r>
      <w:r>
        <w:t xml:space="preserve"> tekintetében,</w:t>
      </w:r>
    </w:p>
    <w:p w:rsidRPr="00D742A4" w:rsidR="00D742A4" w:rsidP="0088361D" w:rsidRDefault="00D742A4" w14:paraId="6663627F" w14:textId="77777777">
      <w:pPr>
        <w:numPr>
          <w:ilvl w:val="0"/>
          <w:numId w:val="48"/>
        </w:numPr>
        <w:spacing w:after="160" w:line="259" w:lineRule="auto"/>
        <w:ind w:left="426" w:hanging="426"/>
        <w:contextualSpacing/>
        <w:rPr>
          <w:rFonts w:eastAsiaTheme="minorHAnsi"/>
        </w:rPr>
      </w:pPr>
      <w:r>
        <w:t xml:space="preserve">sürgeti </w:t>
      </w:r>
      <w:r>
        <w:rPr>
          <w:b/>
        </w:rPr>
        <w:t>a beruházásokat felszabadító koherens szabályozási feltételek kialakítását, az azonnali termelést elősegítő ösztönzőkkel és a kisebb szénlábnyomú üzemanyagok piacának kialakításával</w:t>
      </w:r>
      <w:r>
        <w:t>,</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t xml:space="preserve">javasolja, hogy </w:t>
      </w:r>
      <w:r>
        <w:rPr>
          <w:b/>
        </w:rPr>
        <w:t>az adózást hangolják össze az egyes üzemanyagok éghajlati hatásaival</w:t>
      </w:r>
      <w:r>
        <w:t>,</w:t>
      </w:r>
    </w:p>
    <w:p w:rsidRPr="00D742A4"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t xml:space="preserve">csalódott, hogy </w:t>
      </w:r>
      <w:r>
        <w:rPr>
          <w:b/>
        </w:rPr>
        <w:t>a légi és tengeri közlekedési ágazatban az uniós vissza nem térítendő és egyéb támogatások esetében nem élvez kellő prioritást az alacsony szén-dioxid-kibocsátású és megújuló üzemanyagok előállítási infrastruktúrája</w:t>
      </w:r>
      <w: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t xml:space="preserve">úgy véli, hogy </w:t>
      </w:r>
      <w:r>
        <w:rPr>
          <w:b/>
        </w:rPr>
        <w:t>a kutatás és fejlesztés elengedhetetlen a fejlett, alacsony szén-dioxid-kibocsátású technológiák költségeinek csökkentéséhez</w:t>
      </w:r>
      <w:r>
        <w:t>,</w:t>
      </w:r>
      <w:r>
        <w:rPr>
          <w:b/>
        </w:rPr>
        <w:t xml:space="preserve"> </w:t>
      </w:r>
    </w:p>
    <w:p w:rsidRPr="00D742A4" w:rsidR="00D742A4" w:rsidP="0088361D" w:rsidRDefault="00D742A4" w14:paraId="1FD1C6F8" w14:textId="77777777">
      <w:pPr>
        <w:numPr>
          <w:ilvl w:val="0"/>
          <w:numId w:val="48"/>
        </w:numPr>
        <w:spacing w:after="160" w:line="259" w:lineRule="auto"/>
        <w:ind w:left="426" w:hanging="426"/>
        <w:contextualSpacing/>
        <w:rPr>
          <w:rFonts w:eastAsiaTheme="minorHAnsi"/>
        </w:rPr>
      </w:pPr>
      <w:r>
        <w:rPr>
          <w:b/>
        </w:rPr>
        <w:t>rövid távon holisztikus stratégiát</w:t>
      </w:r>
      <w:r>
        <w:t xml:space="preserve"> szorgalmaz </w:t>
      </w:r>
      <w:r>
        <w:rPr>
          <w:b/>
        </w:rPr>
        <w:t>az ipari értékláncok egészének tiszta átállása érdekében, amely magában foglalja a hidrogén integrálását, a bioüzemanyag-termelés fokozását, a szintetikusüzemanyag-termelés bővítését, valamint a Horizont Európa utódja keretében a meglévő ágazati partnerségek folytatását</w:t>
      </w:r>
      <w:r>
        <w:t>,</w:t>
      </w:r>
    </w:p>
    <w:p w:rsidR="00D742A4" w:rsidP="0088361D" w:rsidRDefault="00D742A4" w14:paraId="4DCAE472" w14:textId="38E5A284">
      <w:pPr>
        <w:numPr>
          <w:ilvl w:val="0"/>
          <w:numId w:val="48"/>
        </w:numPr>
        <w:spacing w:after="160" w:line="259" w:lineRule="auto"/>
        <w:ind w:left="426" w:hanging="426"/>
        <w:contextualSpacing/>
        <w:rPr>
          <w:rFonts w:eastAsiaTheme="minorHAnsi"/>
        </w:rPr>
      </w:pPr>
      <w:r>
        <w:t xml:space="preserve">úgy hiszi, hogy </w:t>
      </w:r>
      <w:r>
        <w:rPr>
          <w:b/>
        </w:rPr>
        <w:t>készségfejlesztési programokra</w:t>
      </w:r>
      <w:r>
        <w:t xml:space="preserve"> van szükség, a szakképzést és az értéklánc egészében a foglalkozásváltás támogatását is beleértve; megismétli, hogy </w:t>
      </w:r>
      <w:r>
        <w:rPr>
          <w:b/>
        </w:rPr>
        <w:t>prioritásként kell kezelni a magas szintű egészségügyi és biztonsági normákat</w:t>
      </w:r>
      <w: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039"/>
      </w:tblGrid>
      <w:tr w:rsidRPr="00D742A4" w:rsidR="00D742A4" w:rsidTr="00D76388" w14:paraId="327B48D9" w14:textId="77777777">
        <w:tc>
          <w:tcPr>
            <w:tcW w:w="3998" w:type="pct"/>
          </w:tcPr>
          <w:p w:rsidRPr="0088361D" w:rsidR="00D742A4" w:rsidP="0088361D" w:rsidRDefault="00D742A4" w14:paraId="7BAAC6C5" w14:textId="77777777">
            <w:pPr>
              <w:spacing w:line="240" w:lineRule="auto"/>
              <w:jc w:val="left"/>
              <w:rPr>
                <w:rFonts w:eastAsiaTheme="minorHAnsi"/>
                <w:i/>
              </w:rPr>
            </w:pPr>
            <w:r>
              <w:rPr>
                <w:b/>
                <w:i/>
              </w:rPr>
              <w:t>Kapcsolattartó:</w:t>
            </w:r>
          </w:p>
        </w:tc>
        <w:tc>
          <w:tcPr>
            <w:tcW w:w="1002" w:type="pct"/>
            <w:tcBorders>
              <w:left w:val="nil"/>
            </w:tcBorders>
          </w:tcPr>
          <w:p w:rsidRPr="0088361D" w:rsidR="00D742A4" w:rsidP="0088361D" w:rsidRDefault="00D742A4" w14:paraId="61988035" w14:textId="0600FF56">
            <w:pPr>
              <w:spacing w:line="240" w:lineRule="auto"/>
              <w:jc w:val="left"/>
              <w:rPr>
                <w:rFonts w:eastAsiaTheme="minorHAnsi"/>
                <w:i/>
              </w:rPr>
            </w:pPr>
            <w:r>
              <w:rPr>
                <w:i/>
              </w:rPr>
              <w:t xml:space="preserve">Adam </w:t>
            </w:r>
            <w:proofErr w:type="spellStart"/>
            <w:r>
              <w:rPr>
                <w:i/>
              </w:rPr>
              <w:t>Dorywalski</w:t>
            </w:r>
            <w:proofErr w:type="spellEnd"/>
          </w:p>
        </w:tc>
      </w:tr>
      <w:tr w:rsidRPr="00D742A4" w:rsidR="00D742A4" w:rsidTr="00D76388" w14:paraId="47170CFC" w14:textId="77777777">
        <w:tc>
          <w:tcPr>
            <w:tcW w:w="3998" w:type="pct"/>
          </w:tcPr>
          <w:p w:rsidRPr="0088361D" w:rsidR="00D742A4" w:rsidP="0088361D" w:rsidRDefault="00D742A4" w14:paraId="3EA66D45" w14:textId="77777777">
            <w:pPr>
              <w:spacing w:line="240" w:lineRule="auto"/>
              <w:jc w:val="left"/>
              <w:rPr>
                <w:rFonts w:eastAsiaTheme="minorHAnsi"/>
                <w:i/>
              </w:rPr>
            </w:pPr>
            <w:r>
              <w:rPr>
                <w:i/>
              </w:rPr>
              <w:t xml:space="preserve">Tel.: </w:t>
            </w:r>
          </w:p>
        </w:tc>
        <w:tc>
          <w:tcPr>
            <w:tcW w:w="1002" w:type="pct"/>
            <w:tcBorders>
              <w:left w:val="nil"/>
            </w:tcBorders>
          </w:tcPr>
          <w:p w:rsidRPr="0088361D" w:rsidR="00D742A4" w:rsidP="0088361D" w:rsidRDefault="00D742A4" w14:paraId="11BAD200" w14:textId="77777777">
            <w:pPr>
              <w:spacing w:line="240" w:lineRule="auto"/>
              <w:jc w:val="left"/>
              <w:rPr>
                <w:rFonts w:eastAsiaTheme="minorHAnsi"/>
                <w:i/>
              </w:rPr>
            </w:pPr>
            <w:r>
              <w:rPr>
                <w:i/>
              </w:rPr>
              <w:t>+ 32 254 69 397</w:t>
            </w:r>
          </w:p>
        </w:tc>
      </w:tr>
      <w:tr w:rsidRPr="00D742A4" w:rsidR="00D742A4" w:rsidTr="00D76388" w14:paraId="7DEA58F4" w14:textId="77777777">
        <w:tc>
          <w:tcPr>
            <w:tcW w:w="3998" w:type="pct"/>
          </w:tcPr>
          <w:p w:rsidRPr="0088361D" w:rsidR="00D742A4" w:rsidP="0088361D" w:rsidRDefault="00D742A4" w14:paraId="5A5A0838" w14:textId="77777777">
            <w:pPr>
              <w:spacing w:line="240" w:lineRule="auto"/>
              <w:jc w:val="left"/>
              <w:rPr>
                <w:rFonts w:eastAsiaTheme="minorHAnsi"/>
                <w:i/>
                <w:iCs/>
              </w:rPr>
            </w:pPr>
            <w:r>
              <w:rPr>
                <w:i/>
              </w:rPr>
              <w:t>E-mail:</w:t>
            </w:r>
          </w:p>
        </w:tc>
        <w:tc>
          <w:tcPr>
            <w:tcW w:w="1002" w:type="pct"/>
            <w:tcBorders>
              <w:left w:val="nil"/>
            </w:tcBorders>
          </w:tcPr>
          <w:p w:rsidRPr="0088361D" w:rsidR="00D742A4" w:rsidP="0088361D" w:rsidRDefault="00D742A4" w14:paraId="4AFA4308" w14:textId="77777777">
            <w:pPr>
              <w:spacing w:line="240" w:lineRule="auto"/>
              <w:jc w:val="left"/>
              <w:rPr>
                <w:rFonts w:eastAsiaTheme="minorHAnsi"/>
                <w:i/>
                <w:iCs/>
              </w:rPr>
            </w:pPr>
            <w:r>
              <w:rPr>
                <w:i/>
                <w:color w:val="0000FF"/>
                <w:u w:val="single"/>
              </w:rPr>
              <w:t>Adam.Dorywalski@eesc.europa.eu</w:t>
            </w:r>
          </w:p>
        </w:tc>
      </w:tr>
    </w:tbl>
    <w:p w:rsidRPr="00747EBB"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lastRenderedPageBreak/>
        <w:tab/>
      </w:r>
      <w:hyperlink w:history="1" r:id="rId42">
        <w:r>
          <w:rPr>
            <w:b/>
            <w:i/>
            <w:color w:val="0000FF"/>
            <w:sz w:val="28"/>
            <w:u w:val="single"/>
          </w:rPr>
          <w:t>Fejlett anyagok az ipari vezető szerepért</w:t>
        </w:r>
      </w:hyperlink>
      <w:r>
        <w:rPr>
          <w:b/>
          <w:i/>
          <w:color w:val="0000FF"/>
          <w:sz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C13172"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Előadó:</w:t>
            </w:r>
          </w:p>
        </w:tc>
        <w:tc>
          <w:tcPr>
            <w:tcW w:w="3833"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proofErr w:type="spellStart"/>
            <w:r>
              <w:t>Anastasis</w:t>
            </w:r>
            <w:proofErr w:type="spellEnd"/>
            <w:r>
              <w:t xml:space="preserve"> YIAPANIS (Civil társadalmi szervezetek/CY)</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Pr>
                <w:b/>
              </w:rPr>
              <w:t>Társelőadó:</w:t>
            </w:r>
          </w:p>
        </w:tc>
        <w:tc>
          <w:tcPr>
            <w:tcW w:w="3833"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proofErr w:type="spellStart"/>
            <w:r>
              <w:t>Gerardo</w:t>
            </w:r>
            <w:proofErr w:type="spellEnd"/>
            <w:r>
              <w:t xml:space="preserve"> Luis ARROYO HERRANZ (ES/1. kat.)</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rPr>
              <w:t>Hivatkozás:</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 xml:space="preserve">COM(2024) 98 </w:t>
            </w:r>
            <w:proofErr w:type="spellStart"/>
            <w:r>
              <w:t>final</w:t>
            </w:r>
            <w:proofErr w:type="spellEnd"/>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Főbb pontok</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Az EGSZB:</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úgy véli, hogy az Európai Bizottság fejlett anyagokról szóló közleménye önmagában nem tekinthető stratégiának, mivel nem tartalmaz számszerűsíthető célokat, határidőket és konkrét fő teljesítménymutatókat,</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meggyőződése, hogy az EU-nak holisztikus megközelítésre van szüksége az anyagfelhasználás csökkentése, a körforgásos jelleg előmozdítása, valamint a fenntartható üzleti modellekre és fogyasztási szokásokra való átállás megkönnyítése érdekében,</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megjegyzi, hogy a fejlett anyagok összetett ökoszisztémájának kiépítéséhez jelentős finanszírozással, ösztönzőkkel, a megfelelő készségekkel és magas szintű politikai támogatással rendelkező, átfogó stratégiára van szükség,</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üdvözli a fejlett anyagokkal kapcsolatos EU–Japán megerősített párbeszédet, és úgy véli, hogy ki kellene terjeszteni ezeket a kezdeményezéseket más vezető országokra,</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alapvető fontosságúnak tartja a K+F+I területén a versenyképesség előmozdítását az ipari szereplők, a hatóságok, a szociális partnerek és a tudományos élet bevonásával, valamint egy határokon átnyúló kutatási hálózat létrehozásával,</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azt javasolja, hogy az egészségügyet is vegyék fel kezdettől fogva a stratégiai területek közé, mivel Európa egyik legnagyobb ágazatáról van szó, amelyben az egészségügyi ellátáshoz kapcsolódó fejlett anyagokat alkalmaznak, gyakran átfedésben olyan ágazatokkal, mint az elektronika és az energia,</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kiemeli a digitális technológiák és innovációk anyagfejlesztési folyamatokba való integrálásának fontosságát,</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támogatja a digitális termékútlevelek bevezetését, amelyek információs szabványokat és adatokat tartalmaznak a gyártástól az újrafeldolgozásig, de óva int attól, hogy mindez további bürokráciát vagy költségeket rójon a vállalkozásokra vagy a fogyasztókra,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szükségesnek tartja az európai termelés megerősítését, a forgalmazás támogatását, a piacra jutás egyszerűsítését és a piacfelügyelet javítását ezen a területen.</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t>Kapcsolattartó:</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proofErr w:type="spellStart"/>
            <w:r>
              <w:rPr>
                <w:i/>
              </w:rPr>
              <w:t>Heli</w:t>
            </w:r>
            <w:proofErr w:type="spellEnd"/>
            <w:r>
              <w:rPr>
                <w:i/>
              </w:rPr>
              <w:t xml:space="preserve"> </w:t>
            </w:r>
            <w:proofErr w:type="spellStart"/>
            <w:r>
              <w:rPr>
                <w:i/>
              </w:rPr>
              <w:t>Niemelä-Farrer</w:t>
            </w:r>
            <w:proofErr w:type="spellEnd"/>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+32 228 22 464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570D62" w:rsidP="00D76388" w:rsidRDefault="008766EB" w14:paraId="75D67AD3" w14:textId="63F44F21">
            <w:pPr>
              <w:overflowPunct w:val="0"/>
              <w:autoSpaceDE w:val="0"/>
              <w:autoSpaceDN w:val="0"/>
              <w:adjustRightInd w:val="0"/>
              <w:spacing w:line="240" w:lineRule="auto"/>
              <w:textAlignment w:val="baseline"/>
              <w:rPr>
                <w:i/>
              </w:rPr>
            </w:pPr>
            <w:hyperlink w:history="1" r:id="rId43">
              <w:r w:rsidR="000B64C3">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71141F">
      <w:headerReference w:type="even" r:id="rId44"/>
      <w:headerReference w:type="default" r:id="rId45"/>
      <w:footerReference w:type="even" r:id="rId46"/>
      <w:footerReference w:type="default" r:id="rId47"/>
      <w:headerReference w:type="first" r:id="rId48"/>
      <w:footerReference w:type="first" r:id="rId4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rsidR="000B64C3">
      <w:t>1</w:t>
    </w:r>
    <w:r>
      <w:fldChar w:fldCharType="end"/>
    </w:r>
    <w:r>
      <w:t>/</w:t>
    </w:r>
    <w:r w:rsidR="008766EB">
      <w:fldChar w:fldCharType="begin"/>
    </w:r>
    <w:r w:rsidR="008766EB">
      <w:instrText xml:space="preserve"> NUMPAGES </w:instrText>
    </w:r>
    <w:r w:rsidR="008766EB">
      <w:fldChar w:fldCharType="separate"/>
    </w:r>
    <w:r w:rsidR="000B64C3">
      <w:t>2</w:t>
    </w:r>
    <w:r w:rsidR="008766E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r w:rsidR="008766EB">
      <w:fldChar w:fldCharType="begin"/>
    </w:r>
    <w:r w:rsidR="008766EB">
      <w:instrText xml:space="preserve"> NUMPAGES </w:instrText>
    </w:r>
    <w:r w:rsidR="008766EB">
      <w:fldChar w:fldCharType="separate"/>
    </w:r>
    <w:r>
      <w:t>16</w:t>
    </w:r>
    <w:r w:rsidR="008766E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74C08F8A"/>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2593"/>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6B45"/>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D59"/>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39D"/>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6EB"/>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hu-HU"/>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https://www.eesc.europa.eu/hu/our-work/opinions-information-reports/opinions/eu-biotech-and-biomanufacturing-initiative" TargetMode="External"/><Relationship Id="rId21" Type="http://schemas.openxmlformats.org/officeDocument/2006/relationships/hyperlink" Target="https://www.eesc.europa.eu/hu/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hu/our-work/opinions-information-reports/opinions/advanced-materials-industrial-leadership-coordinated-plan-member-states"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hu/our-work/opinions-information-reports/opinions/general-fisheries-commission-mediterranean" TargetMode="External"/><Relationship Id="rId37" Type="http://schemas.openxmlformats.org/officeDocument/2006/relationships/hyperlink" Target="https://www.eesc.europa.eu/hu/our-work/opinions-information-reports/opinions/energy-digitalisation-balancing-opportunities-and-risks-european-consumers" TargetMode="External"/><Relationship Id="rId40" Type="http://schemas.openxmlformats.org/officeDocument/2006/relationships/hyperlink" Target="mailto:Marie-Laurence.Drillon@eesc.europa.eu"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hu/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Ristori@eesc.europa.e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hu/our-work/opinions-information-reports/opinions/caregivers" TargetMode="External"/><Relationship Id="rId30" Type="http://schemas.openxmlformats.org/officeDocument/2006/relationships/hyperlink" Target="https://www.eesc.europa.eu/hu/our-work/opinions-information-reports/opinions/proposal-council-recommendation-enhancing-research-security" TargetMode="External"/><Relationship Id="rId35" Type="http://schemas.openxmlformats.org/officeDocument/2006/relationships/hyperlink" Target="https://www.eesc.europa.eu/hu/our-work/opinions-information-reports/opinions/screening-foreign-investments-union"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hu/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4.xml"/><Relationship Id="rId20" Type="http://schemas.openxmlformats.org/officeDocument/2006/relationships/hyperlink" Target="https://www.eesc.europa.eu/hu/our-work/opinions-information-reports/opinions/no-one-should-be-left-behind-inclusive-and-participatory-cohesion-policy-support-social-economic-and-territorial" TargetMode="External"/><Relationship Id="rId41" Type="http://schemas.openxmlformats.org/officeDocument/2006/relationships/hyperlink" Target="https://www.eesc.europa.eu/hu/our-work/opinions-information-reports/opinions/low-carbon-and-renewable-fuels-building-capacity-european-industry-decarbonise-aviation-and-maritime-sectors-spirit"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F7M6YNZUATRX-789077548-3265</_dlc_DocId>
    <_dlc_DocIdUrl xmlns="59ace41b-6786-4ce3-be71-52c27066c6ef">
      <Url>http://dm/eesc/2024/_layouts/15/DocIdRedir.aspx?ID=F7M6YNZUATRX-789077548-3265</Url>
      <Description>F7M6YNZUATRX-789077548-3265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2024-07-22T12:00:00+00:00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Kliment Nora</DisplayName>
        <AccountId>1530</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37B7D43D-586A-4125-A780-F7E8553A1936}"/>
</file>

<file path=customXml/itemProps2.xml><?xml version="1.0" encoding="utf-8"?>
<ds:datastoreItem xmlns:ds="http://schemas.openxmlformats.org/officeDocument/2006/customXml" ds:itemID="{939131E1-94B6-4C16-9DC2-1DA71FABE96F}"/>
</file>

<file path=customXml/itemProps3.xml><?xml version="1.0" encoding="utf-8"?>
<ds:datastoreItem xmlns:ds="http://schemas.openxmlformats.org/officeDocument/2006/customXml" ds:itemID="{8B70D80E-876D-407F-9103-615B4FA12284}"/>
</file>

<file path=customXml/itemProps4.xml><?xml version="1.0" encoding="utf-8"?>
<ds:datastoreItem xmlns:ds="http://schemas.openxmlformats.org/officeDocument/2006/customXml" ds:itemID="{9D75C294-176F-4FE8-9D6B-CF1B877D2977}"/>
</file>

<file path=docProps/app.xml><?xml version="1.0" encoding="utf-8"?>
<Properties xmlns="http://schemas.openxmlformats.org/officeDocument/2006/extended-properties" xmlns:vt="http://schemas.openxmlformats.org/officeDocument/2006/docPropsVTypes">
  <Template>Normal.dotm</Template>
  <TotalTime>0</TotalTime>
  <Pages>17</Pages>
  <Words>5583</Words>
  <Characters>31825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Vélemények összefoglalása - 589. plenáris ülésszak - 2024. július</dc:title>
  <dc:subject>TCD</dc:subject>
  <dc:creator>Nieddu Emma</dc:creator>
  <cp:keywords>EESC-2024-02113-00-01-TCD-TRA-EN</cp:keywords>
  <dc:description>Rapporteur:  - Original language: EN - Date of document: 22/07/2024 - Date of meeting: 30/18/2024 14:30 - External documents:  - Administrator: MME TAMASAUSKIENE Julija</dc:description>
  <cp:lastModifiedBy>Kliment Nora</cp:lastModifiedBy>
  <cp:revision>10</cp:revision>
  <cp:lastPrinted>2023-06-15T08:00:00Z</cp:lastPrinted>
  <dcterms:created xsi:type="dcterms:W3CDTF">2024-07-19T11:45:00Z</dcterms:created>
  <dcterms:modified xsi:type="dcterms:W3CDTF">2024-07-22T07:33:00Z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4d123443-e62b-4d15-90ad-72b8678b513c</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FI|87606a43-d45f-42d6-b8c9-e1a3457db5b7;SV|c2ed69e7-a339-43d7-8f22-d93680a92aa0;BG|1a1b3951-7821-4e6a-85f5-5673fc08bd2c;PT|50ccc04a-eadd-42ae-a0cb-acaf45f812ba;ES|e7a6b05b-ae16-40c8-add9-68b64b03aeba;EN|f2175f21-25d7-44a3-96da-d6a61b075e1b;SL|98a412ae-eb01-49e9-ae3d-585a81724cfc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27;#SL|98a412ae-eb01-49e9-ae3d-585a81724cfc;#24;#ES|e7a6b05b-ae16-40c8-add9-68b64b03aeba;#22;#BG|1a1b3951-7821-4e6a-85f5-5673fc08bd2c;#21;#SV|c2ed69e7-a339-43d7-8f22-d93680a92aa0;#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32;#HU|6b229040-c589-4408-b4c1-4285663d20a8</vt:lpwstr>
  </property>
  <property fmtid="{D5CDD505-2E9C-101B-9397-08002B2CF9AE}" pid="38" name="_docset_NoMedatataSyncRequired">
    <vt:lpwstr>False</vt:lpwstr>
  </property>
</Properties>
</file>