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126719" w14:paraId="785AE44C" w14:textId="72C35168">
      <w:pPr>
        <w:jc w:val="center"/>
      </w:pPr>
      <w:r>
        <w:rPr>
          <w:noProof/>
        </w:rPr>
        <w:drawing>
          <wp:inline distT="0" distB="0" distL="0" distR="0" wp14:anchorId="1FA9435D" wp14:editId="4D7A956D">
            <wp:extent cx="1792605" cy="1239520"/>
            <wp:effectExtent l="0" t="0" r="0" b="0"/>
            <wp:docPr id="2" name="Picture 2" title="EESCLogo_FR"/>
            <wp:cNvGraphicFramePr/>
            <a:graphic xmlns:a="http://schemas.openxmlformats.org/drawingml/2006/main">
              <a:graphicData uri="http://schemas.openxmlformats.org/drawingml/2006/picture">
                <pic:pic xmlns:pic="http://schemas.openxmlformats.org/drawingml/2006/picture">
                  <pic:nvPicPr>
                    <pic:cNvPr id="2" name="Picture 2" title="EESCLogo_F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4A1708AE"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FR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Bruxelles, le 16 septembre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w:t>
            </w:r>
            <w:r>
              <w:rPr>
                <w:b/>
                <w:sz w:val="32"/>
                <w:vertAlign w:val="superscript"/>
              </w:rPr>
              <w:t>e</w:t>
            </w:r>
            <w:r>
              <w:rPr>
                <w:b/>
                <w:sz w:val="32"/>
              </w:rPr>
              <w:t> SESSION PLÉNIÈRE</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les 10 et 11 juillet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SYNTHÈSE DES AVIS, RÉSOLUTIONS ET RAPPORTS D’INFORMATION/D’ÉVALUATION ADOPTÉS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Ce document est disponible dans toutes les langues officielles de l’Union européenne sur le site internet du CESE à l’adresse suivante:</w:t>
            </w:r>
          </w:p>
          <w:p w:rsidRPr="00094B6B" w:rsidR="00B16284" w:rsidP="00775FC4" w:rsidRDefault="00B16284" w14:paraId="4F26A4CE" w14:textId="77777777">
            <w:pPr>
              <w:snapToGrid w:val="0"/>
              <w:jc w:val="center"/>
            </w:pPr>
          </w:p>
          <w:p w:rsidRPr="00094B6B" w:rsidR="004D7AC0" w:rsidP="00775FC4" w:rsidRDefault="001676E5" w14:paraId="2A9352A2" w14:textId="0680ADB6">
            <w:pPr>
              <w:snapToGrid w:val="0"/>
              <w:jc w:val="center"/>
            </w:pPr>
            <w:hyperlink w:history="1" r:id="rId12">
              <w:r w:rsidR="000B64C3">
                <w:rPr>
                  <w:rStyle w:val="Hyperlink"/>
                  <w:highlight w:val="yellow"/>
                </w:rPr>
                <w:t>https://www.eesc.europa.eu/fr/our-work/opinions-information-reports/plenary-session-summaries</w:t>
              </w:r>
            </w:hyperlink>
            <w:r w:rsidR="000B64C3">
              <w:t>.</w:t>
            </w:r>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Les avis mentionnés peuvent être consultés en ligne au moyen du moteur de recherche du CESE:</w:t>
            </w:r>
          </w:p>
          <w:p w:rsidRPr="00094B6B" w:rsidR="00B16284" w:rsidP="00775FC4" w:rsidRDefault="00B16284" w14:paraId="7A5411A5" w14:textId="77777777">
            <w:pPr>
              <w:snapToGrid w:val="0"/>
              <w:jc w:val="center"/>
            </w:pPr>
          </w:p>
          <w:p w:rsidRPr="00094B6B" w:rsidR="004D7AC0" w:rsidP="00775FC4" w:rsidRDefault="001676E5"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Table des matières</w:t>
      </w:r>
    </w:p>
    <w:p w:rsidR="0071141F" w:rsidRDefault="0014322B" w14:paraId="0DF74D84" w14:textId="1BB192EC">
      <w:pPr>
        <w:pStyle w:val="TOC1"/>
        <w:rPr>
          <w:rFonts w:asciiTheme="minorHAnsi" w:hAnsiTheme="minorHAnsi" w:eastAsiaTheme="minorEastAsia" w:cstheme="minorBidi"/>
          <w:b w:val="0"/>
          <w:sz w:val="22"/>
          <w:szCs w:val="22"/>
        </w:rPr>
      </w:pPr>
      <w:r>
        <w:fldChar w:fldCharType="begin"/>
      </w:r>
      <w:r>
        <w:instrText xml:space="preserve"> TOC \o "1-1" \h \z \u </w:instrText>
      </w:r>
      <w:r>
        <w:fldChar w:fldCharType="separate"/>
      </w:r>
      <w:hyperlink w:history="1" w:anchor="_Toc172289016">
        <w:r w:rsidRPr="001A559C" w:rsidR="0071141F">
          <w:rPr>
            <w:rStyle w:val="Hyperlink"/>
          </w:rPr>
          <w:t>1.</w:t>
        </w:r>
        <w:r w:rsidR="0071141F">
          <w:rPr>
            <w:rFonts w:asciiTheme="minorHAnsi" w:hAnsiTheme="minorHAnsi" w:eastAsiaTheme="minorEastAsia" w:cstheme="minorBidi"/>
            <w:b w:val="0"/>
            <w:sz w:val="22"/>
          </w:rPr>
          <w:tab/>
        </w:r>
        <w:r w:rsidRPr="001A559C" w:rsidR="0071141F">
          <w:rPr>
            <w:rStyle w:val="Hyperlink"/>
          </w:rPr>
          <w:t>RESOLUTION</w:t>
        </w:r>
        <w:r w:rsidR="0071141F">
          <w:rPr>
            <w:webHidden/>
          </w:rPr>
          <w:tab/>
        </w:r>
        <w:r w:rsidR="0071141F">
          <w:rPr>
            <w:webHidden/>
          </w:rPr>
          <w:fldChar w:fldCharType="begin"/>
        </w:r>
        <w:r w:rsidR="0071141F">
          <w:rPr>
            <w:webHidden/>
          </w:rPr>
          <w:instrText xml:space="preserve"> PAGEREF _Toc172289016 \h </w:instrText>
        </w:r>
        <w:r w:rsidR="0071141F">
          <w:rPr>
            <w:webHidden/>
          </w:rPr>
        </w:r>
        <w:r w:rsidR="0071141F">
          <w:rPr>
            <w:webHidden/>
          </w:rPr>
          <w:fldChar w:fldCharType="separate"/>
        </w:r>
        <w:r w:rsidR="0071141F">
          <w:rPr>
            <w:webHidden/>
          </w:rPr>
          <w:t>3</w:t>
        </w:r>
        <w:r w:rsidR="0071141F">
          <w:rPr>
            <w:webHidden/>
          </w:rPr>
          <w:fldChar w:fldCharType="end"/>
        </w:r>
      </w:hyperlink>
    </w:p>
    <w:p w:rsidR="0071141F" w:rsidRDefault="001676E5" w14:paraId="636589B5" w14:textId="4C9C1F21">
      <w:pPr>
        <w:pStyle w:val="TOC1"/>
        <w:rPr>
          <w:rFonts w:asciiTheme="minorHAnsi" w:hAnsiTheme="minorHAnsi" w:eastAsiaTheme="minorEastAsia" w:cstheme="minorBidi"/>
          <w:b w:val="0"/>
          <w:sz w:val="22"/>
        </w:rPr>
      </w:pPr>
      <w:hyperlink w:history="1" w:anchor="_Toc172289017">
        <w:r w:rsidRPr="001A559C" w:rsidR="0071141F">
          <w:rPr>
            <w:rStyle w:val="Hyperlink"/>
          </w:rPr>
          <w:t>2.</w:t>
        </w:r>
        <w:r w:rsidR="0071141F">
          <w:rPr>
            <w:rFonts w:asciiTheme="minorHAnsi" w:hAnsiTheme="minorHAnsi" w:eastAsiaTheme="minorEastAsia" w:cstheme="minorBidi"/>
            <w:b w:val="0"/>
            <w:sz w:val="22"/>
          </w:rPr>
          <w:tab/>
        </w:r>
        <w:r w:rsidRPr="001A559C" w:rsidR="0071141F">
          <w:rPr>
            <w:rStyle w:val="Hyperlink"/>
          </w:rPr>
          <w:t>ECONOMIC AND MONETARY UNION, ECONOMIC AND SOCIAL COHESION</w:t>
        </w:r>
        <w:r w:rsidR="0071141F">
          <w:rPr>
            <w:webHidden/>
          </w:rPr>
          <w:tab/>
        </w:r>
        <w:r w:rsidR="0071141F">
          <w:rPr>
            <w:webHidden/>
          </w:rPr>
          <w:fldChar w:fldCharType="begin"/>
        </w:r>
        <w:r w:rsidR="0071141F">
          <w:rPr>
            <w:webHidden/>
          </w:rPr>
          <w:instrText xml:space="preserve"> PAGEREF _Toc172289017 \h </w:instrText>
        </w:r>
        <w:r w:rsidR="0071141F">
          <w:rPr>
            <w:webHidden/>
          </w:rPr>
        </w:r>
        <w:r w:rsidR="0071141F">
          <w:rPr>
            <w:webHidden/>
          </w:rPr>
          <w:fldChar w:fldCharType="separate"/>
        </w:r>
        <w:r w:rsidR="0071141F">
          <w:rPr>
            <w:webHidden/>
          </w:rPr>
          <w:t>4</w:t>
        </w:r>
        <w:r w:rsidR="0071141F">
          <w:rPr>
            <w:webHidden/>
          </w:rPr>
          <w:fldChar w:fldCharType="end"/>
        </w:r>
      </w:hyperlink>
    </w:p>
    <w:p w:rsidR="0071141F" w:rsidRDefault="001676E5" w14:paraId="4960CCE7" w14:textId="2288CF31">
      <w:pPr>
        <w:pStyle w:val="TOC1"/>
        <w:rPr>
          <w:rFonts w:asciiTheme="minorHAnsi" w:hAnsiTheme="minorHAnsi" w:eastAsiaTheme="minorEastAsia" w:cstheme="minorBidi"/>
          <w:b w:val="0"/>
          <w:sz w:val="22"/>
        </w:rPr>
      </w:pPr>
      <w:hyperlink w:history="1" w:anchor="_Toc172289018">
        <w:r w:rsidRPr="001A559C" w:rsidR="0071141F">
          <w:rPr>
            <w:rStyle w:val="Hyperlink"/>
          </w:rPr>
          <w:t>3.</w:t>
        </w:r>
        <w:r w:rsidR="0071141F">
          <w:rPr>
            <w:rFonts w:asciiTheme="minorHAnsi" w:hAnsiTheme="minorHAnsi" w:eastAsiaTheme="minorEastAsia" w:cstheme="minorBidi"/>
            <w:b w:val="0"/>
            <w:sz w:val="22"/>
          </w:rPr>
          <w:tab/>
        </w:r>
        <w:r w:rsidRPr="001A559C" w:rsidR="0071141F">
          <w:rPr>
            <w:rStyle w:val="Hyperlink"/>
          </w:rPr>
          <w:t>EMPLOYMENT, SOCIAL AFFAIRS AND CITIZENSHIP</w:t>
        </w:r>
        <w:r w:rsidR="0071141F">
          <w:rPr>
            <w:webHidden/>
          </w:rPr>
          <w:tab/>
        </w:r>
        <w:r w:rsidR="0071141F">
          <w:rPr>
            <w:webHidden/>
          </w:rPr>
          <w:fldChar w:fldCharType="begin"/>
        </w:r>
        <w:r w:rsidR="0071141F">
          <w:rPr>
            <w:webHidden/>
          </w:rPr>
          <w:instrText xml:space="preserve"> PAGEREF _Toc172289018 \h </w:instrText>
        </w:r>
        <w:r w:rsidR="0071141F">
          <w:rPr>
            <w:webHidden/>
          </w:rPr>
        </w:r>
        <w:r w:rsidR="0071141F">
          <w:rPr>
            <w:webHidden/>
          </w:rPr>
          <w:fldChar w:fldCharType="separate"/>
        </w:r>
        <w:r w:rsidR="0071141F">
          <w:rPr>
            <w:webHidden/>
          </w:rPr>
          <w:t>5</w:t>
        </w:r>
        <w:r w:rsidR="0071141F">
          <w:rPr>
            <w:webHidden/>
          </w:rPr>
          <w:fldChar w:fldCharType="end"/>
        </w:r>
      </w:hyperlink>
    </w:p>
    <w:p w:rsidR="0071141F" w:rsidRDefault="001676E5" w14:paraId="21A1A631" w14:textId="3A5A9976">
      <w:pPr>
        <w:pStyle w:val="TOC1"/>
        <w:rPr>
          <w:rFonts w:asciiTheme="minorHAnsi" w:hAnsiTheme="minorHAnsi" w:eastAsiaTheme="minorEastAsia" w:cstheme="minorBidi"/>
          <w:b w:val="0"/>
          <w:sz w:val="22"/>
        </w:rPr>
      </w:pPr>
      <w:hyperlink w:history="1" w:anchor="_Toc172289019">
        <w:r w:rsidRPr="001A559C" w:rsidR="0071141F">
          <w:rPr>
            <w:rStyle w:val="Hyperlink"/>
          </w:rPr>
          <w:t>4.</w:t>
        </w:r>
        <w:r w:rsidR="0071141F">
          <w:rPr>
            <w:rFonts w:asciiTheme="minorHAnsi" w:hAnsiTheme="minorHAnsi" w:eastAsiaTheme="minorEastAsia" w:cstheme="minorBidi"/>
            <w:b w:val="0"/>
            <w:sz w:val="22"/>
          </w:rPr>
          <w:tab/>
        </w:r>
        <w:r w:rsidRPr="001A559C" w:rsidR="0071141F">
          <w:rPr>
            <w:rStyle w:val="Hyperlink"/>
          </w:rPr>
          <w:t>SINGLE MARKET, PRODUCTION AND CONSUMPTION</w:t>
        </w:r>
        <w:r w:rsidR="0071141F">
          <w:rPr>
            <w:webHidden/>
          </w:rPr>
          <w:tab/>
        </w:r>
        <w:r w:rsidR="0071141F">
          <w:rPr>
            <w:webHidden/>
          </w:rPr>
          <w:fldChar w:fldCharType="begin"/>
        </w:r>
        <w:r w:rsidR="0071141F">
          <w:rPr>
            <w:webHidden/>
          </w:rPr>
          <w:instrText xml:space="preserve"> PAGEREF _Toc172289019 \h </w:instrText>
        </w:r>
        <w:r w:rsidR="0071141F">
          <w:rPr>
            <w:webHidden/>
          </w:rPr>
        </w:r>
        <w:r w:rsidR="0071141F">
          <w:rPr>
            <w:webHidden/>
          </w:rPr>
          <w:fldChar w:fldCharType="separate"/>
        </w:r>
        <w:r w:rsidR="0071141F">
          <w:rPr>
            <w:webHidden/>
          </w:rPr>
          <w:t>9</w:t>
        </w:r>
        <w:r w:rsidR="0071141F">
          <w:rPr>
            <w:webHidden/>
          </w:rPr>
          <w:fldChar w:fldCharType="end"/>
        </w:r>
      </w:hyperlink>
    </w:p>
    <w:p w:rsidR="0071141F" w:rsidRDefault="001676E5" w14:paraId="51716B55" w14:textId="21B29353">
      <w:pPr>
        <w:pStyle w:val="TOC1"/>
        <w:rPr>
          <w:rFonts w:asciiTheme="minorHAnsi" w:hAnsiTheme="minorHAnsi" w:eastAsiaTheme="minorEastAsia" w:cstheme="minorBidi"/>
          <w:b w:val="0"/>
          <w:sz w:val="22"/>
        </w:rPr>
      </w:pPr>
      <w:hyperlink w:history="1" w:anchor="_Toc172289020">
        <w:r w:rsidRPr="001A559C" w:rsidR="0071141F">
          <w:rPr>
            <w:rStyle w:val="Hyperlink"/>
          </w:rPr>
          <w:t>5.</w:t>
        </w:r>
        <w:r w:rsidR="0071141F">
          <w:rPr>
            <w:rFonts w:asciiTheme="minorHAnsi" w:hAnsiTheme="minorHAnsi" w:eastAsiaTheme="minorEastAsia" w:cstheme="minorBidi"/>
            <w:b w:val="0"/>
            <w:sz w:val="22"/>
          </w:rPr>
          <w:tab/>
        </w:r>
        <w:r w:rsidRPr="001A559C" w:rsidR="0071141F">
          <w:rPr>
            <w:rStyle w:val="Hyperlink"/>
          </w:rPr>
          <w:t>AGRICULTURE, RURAL DEVELOPMENT AND THE ENVIRONMENT</w:t>
        </w:r>
        <w:r w:rsidR="0071141F">
          <w:rPr>
            <w:webHidden/>
          </w:rPr>
          <w:tab/>
        </w:r>
        <w:r w:rsidR="0071141F">
          <w:rPr>
            <w:webHidden/>
          </w:rPr>
          <w:fldChar w:fldCharType="begin"/>
        </w:r>
        <w:r w:rsidR="0071141F">
          <w:rPr>
            <w:webHidden/>
          </w:rPr>
          <w:instrText xml:space="preserve"> PAGEREF _Toc172289020 \h </w:instrText>
        </w:r>
        <w:r w:rsidR="0071141F">
          <w:rPr>
            <w:webHidden/>
          </w:rPr>
        </w:r>
        <w:r w:rsidR="0071141F">
          <w:rPr>
            <w:webHidden/>
          </w:rPr>
          <w:fldChar w:fldCharType="separate"/>
        </w:r>
        <w:r w:rsidR="0071141F">
          <w:rPr>
            <w:webHidden/>
          </w:rPr>
          <w:t>10</w:t>
        </w:r>
        <w:r w:rsidR="0071141F">
          <w:rPr>
            <w:webHidden/>
          </w:rPr>
          <w:fldChar w:fldCharType="end"/>
        </w:r>
      </w:hyperlink>
    </w:p>
    <w:p w:rsidR="0071141F" w:rsidRDefault="001676E5" w14:paraId="072F8B4D" w14:textId="64B87976">
      <w:pPr>
        <w:pStyle w:val="TOC1"/>
        <w:rPr>
          <w:rFonts w:asciiTheme="minorHAnsi" w:hAnsiTheme="minorHAnsi" w:eastAsiaTheme="minorEastAsia" w:cstheme="minorBidi"/>
          <w:b w:val="0"/>
          <w:sz w:val="22"/>
        </w:rPr>
      </w:pPr>
      <w:hyperlink w:history="1" w:anchor="_Toc172289021">
        <w:r w:rsidRPr="001A559C" w:rsidR="0071141F">
          <w:rPr>
            <w:rStyle w:val="Hyperlink"/>
          </w:rPr>
          <w:t>6.</w:t>
        </w:r>
        <w:r w:rsidR="0071141F">
          <w:rPr>
            <w:rFonts w:asciiTheme="minorHAnsi" w:hAnsiTheme="minorHAnsi" w:eastAsiaTheme="minorEastAsia" w:cstheme="minorBidi"/>
            <w:b w:val="0"/>
            <w:sz w:val="22"/>
          </w:rPr>
          <w:tab/>
        </w:r>
        <w:r w:rsidRPr="001A559C" w:rsidR="0071141F">
          <w:rPr>
            <w:rStyle w:val="Hyperlink"/>
          </w:rPr>
          <w:t>EXTERNAL RELATIONS</w:t>
        </w:r>
        <w:r w:rsidR="0071141F">
          <w:rPr>
            <w:webHidden/>
          </w:rPr>
          <w:tab/>
        </w:r>
        <w:r w:rsidR="0071141F">
          <w:rPr>
            <w:webHidden/>
          </w:rPr>
          <w:fldChar w:fldCharType="begin"/>
        </w:r>
        <w:r w:rsidR="0071141F">
          <w:rPr>
            <w:webHidden/>
          </w:rPr>
          <w:instrText xml:space="preserve"> PAGEREF _Toc172289021 \h </w:instrText>
        </w:r>
        <w:r w:rsidR="0071141F">
          <w:rPr>
            <w:webHidden/>
          </w:rPr>
        </w:r>
        <w:r w:rsidR="0071141F">
          <w:rPr>
            <w:webHidden/>
          </w:rPr>
          <w:fldChar w:fldCharType="separate"/>
        </w:r>
        <w:r w:rsidR="0071141F">
          <w:rPr>
            <w:webHidden/>
          </w:rPr>
          <w:t>12</w:t>
        </w:r>
        <w:r w:rsidR="0071141F">
          <w:rPr>
            <w:webHidden/>
          </w:rPr>
          <w:fldChar w:fldCharType="end"/>
        </w:r>
      </w:hyperlink>
    </w:p>
    <w:p w:rsidR="0071141F" w:rsidRDefault="001676E5" w14:paraId="45FFC045" w14:textId="31D5875F">
      <w:pPr>
        <w:pStyle w:val="TOC1"/>
        <w:rPr>
          <w:rFonts w:asciiTheme="minorHAnsi" w:hAnsiTheme="minorHAnsi" w:eastAsiaTheme="minorEastAsia" w:cstheme="minorBidi"/>
          <w:b w:val="0"/>
          <w:sz w:val="22"/>
        </w:rPr>
      </w:pPr>
      <w:hyperlink w:history="1" w:anchor="_Toc172289022">
        <w:r w:rsidRPr="001A559C" w:rsidR="0071141F">
          <w:rPr>
            <w:rStyle w:val="Hyperlink"/>
          </w:rPr>
          <w:t>7.</w:t>
        </w:r>
        <w:r w:rsidR="0071141F">
          <w:rPr>
            <w:rFonts w:asciiTheme="minorHAnsi" w:hAnsiTheme="minorHAnsi" w:eastAsiaTheme="minorEastAsia" w:cstheme="minorBidi"/>
            <w:b w:val="0"/>
            <w:sz w:val="22"/>
          </w:rPr>
          <w:tab/>
        </w:r>
        <w:r w:rsidRPr="001A559C" w:rsidR="0071141F">
          <w:rPr>
            <w:rStyle w:val="Hyperlink"/>
          </w:rPr>
          <w:t>TRANSPORT, ENERGY, INFRASTRUCTURE AND THE INFORMATION SOCIETY</w:t>
        </w:r>
        <w:r w:rsidR="0071141F">
          <w:rPr>
            <w:webHidden/>
          </w:rPr>
          <w:tab/>
        </w:r>
        <w:r w:rsidR="0071141F">
          <w:rPr>
            <w:webHidden/>
          </w:rPr>
          <w:fldChar w:fldCharType="begin"/>
        </w:r>
        <w:r w:rsidR="0071141F">
          <w:rPr>
            <w:webHidden/>
          </w:rPr>
          <w:instrText xml:space="preserve"> PAGEREF _Toc172289022 \h </w:instrText>
        </w:r>
        <w:r w:rsidR="0071141F">
          <w:rPr>
            <w:webHidden/>
          </w:rPr>
        </w:r>
        <w:r w:rsidR="0071141F">
          <w:rPr>
            <w:webHidden/>
          </w:rPr>
          <w:fldChar w:fldCharType="separate"/>
        </w:r>
        <w:r w:rsidR="0071141F">
          <w:rPr>
            <w:webHidden/>
          </w:rPr>
          <w:t>13</w:t>
        </w:r>
        <w:r w:rsidR="0071141F">
          <w:rPr>
            <w:webHidden/>
          </w:rPr>
          <w:fldChar w:fldCharType="end"/>
        </w:r>
      </w:hyperlink>
    </w:p>
    <w:p w:rsidR="0071141F" w:rsidRDefault="001676E5" w14:paraId="7F7FF2DA" w14:textId="693C8723">
      <w:pPr>
        <w:pStyle w:val="TOC1"/>
        <w:rPr>
          <w:rFonts w:asciiTheme="minorHAnsi" w:hAnsiTheme="minorHAnsi" w:eastAsiaTheme="minorEastAsia" w:cstheme="minorBidi"/>
          <w:b w:val="0"/>
          <w:sz w:val="22"/>
        </w:rPr>
      </w:pPr>
      <w:hyperlink w:history="1" w:anchor="_Toc172289023">
        <w:r w:rsidRPr="001A559C" w:rsidR="0071141F">
          <w:rPr>
            <w:rStyle w:val="Hyperlink"/>
          </w:rPr>
          <w:t xml:space="preserve">8. </w:t>
        </w:r>
        <w:r w:rsidR="0071141F">
          <w:rPr>
            <w:rFonts w:asciiTheme="minorHAnsi" w:hAnsiTheme="minorHAnsi" w:eastAsiaTheme="minorEastAsia" w:cstheme="minorBidi"/>
            <w:b w:val="0"/>
            <w:sz w:val="22"/>
          </w:rPr>
          <w:tab/>
        </w:r>
        <w:r w:rsidRPr="001A559C" w:rsidR="0071141F">
          <w:rPr>
            <w:rStyle w:val="Hyperlink"/>
          </w:rPr>
          <w:t>CONSULTATIVE COMMISSION ON INDUSTRIAL CHANGE</w:t>
        </w:r>
        <w:r w:rsidR="0071141F">
          <w:rPr>
            <w:webHidden/>
          </w:rPr>
          <w:tab/>
        </w:r>
        <w:r w:rsidR="0071141F">
          <w:rPr>
            <w:webHidden/>
          </w:rPr>
          <w:fldChar w:fldCharType="begin"/>
        </w:r>
        <w:r w:rsidR="0071141F">
          <w:rPr>
            <w:webHidden/>
          </w:rPr>
          <w:instrText xml:space="preserve"> PAGEREF _Toc172289023 \h </w:instrText>
        </w:r>
        <w:r w:rsidR="0071141F">
          <w:rPr>
            <w:webHidden/>
          </w:rPr>
        </w:r>
        <w:r w:rsidR="0071141F">
          <w:rPr>
            <w:webHidden/>
          </w:rPr>
          <w:fldChar w:fldCharType="separate"/>
        </w:r>
        <w:r w:rsidR="0071141F">
          <w:rPr>
            <w:webHidden/>
          </w:rPr>
          <w:t>14</w:t>
        </w:r>
        <w:r w:rsidR="0071141F">
          <w:rPr>
            <w:webHidden/>
          </w:rPr>
          <w:fldChar w:fldCharType="end"/>
        </w:r>
      </w:hyperlink>
    </w:p>
    <w:p w:rsidR="00C86ABD" w:rsidRDefault="0014322B" w14:paraId="4EDE006A" w14:textId="124BEEEA">
      <w:pPr>
        <w:jc w:val="left"/>
      </w:pPr>
      <w:r>
        <w:fldChar w:fldCharType="end"/>
      </w:r>
      <w:r>
        <w:br w:type="page"/>
      </w:r>
    </w:p>
    <w:p w:rsidR="00C86ABD" w:rsidP="00810736" w:rsidRDefault="00C86ABD" w14:paraId="6C806385" w14:textId="0970C9A4">
      <w:pPr>
        <w:pStyle w:val="Heading1"/>
        <w:ind w:left="709" w:hanging="720"/>
        <w:rPr>
          <w:b/>
          <w:bCs/>
        </w:rPr>
      </w:pPr>
      <w:bookmarkStart w:name="_Toc172289016" w:id="0"/>
      <w:r>
        <w:rPr>
          <w:b/>
        </w:rPr>
        <w:lastRenderedPageBreak/>
        <w:t>RÉSOLUTION</w:t>
      </w:r>
      <w:bookmarkEnd w:id="0"/>
      <w:r>
        <w:rPr>
          <w:b/>
        </w:rPr>
        <w:t xml:space="preserve"> </w:t>
      </w:r>
    </w:p>
    <w:p w:rsidRPr="004516BD" w:rsidR="004516BD" w:rsidP="004516BD" w:rsidRDefault="004516BD" w14:paraId="46F44DDA" w14:textId="77777777"/>
    <w:p w:rsidRPr="00A773FA" w:rsidR="00A773FA" w:rsidP="0088361D" w:rsidRDefault="001676E5"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000B64C3">
          <w:rPr>
            <w:b/>
            <w:i/>
            <w:color w:val="0000FF"/>
            <w:sz w:val="28"/>
            <w:u w:val="single"/>
          </w:rPr>
          <w:t>No one should be left behind!</w:t>
        </w:r>
      </w:hyperlink>
      <w:hyperlink w:history="1" r:id="rId21">
        <w:r w:rsidR="000B64C3">
          <w:rPr>
            <w:b/>
            <w:i/>
            <w:color w:val="0000FF"/>
            <w:sz w:val="28"/>
            <w:u w:val="single"/>
          </w:rPr>
          <w:t xml:space="preserve"> For an inclusive and participatory cohesion policy in support of social, economic and territorial cohesion</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4"/>
        <w:gridCol w:w="686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Rapporteur</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r>
              <w:t>Ioannis VARDAKASTANIS (Civil Society Organisations' Group -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References</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The EESC:</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calls on the Member States of the European Union and its leaders, the European institutions and the EU citizens, to safeguard and protect the economic, social and territorial cohesion of the EU according to Article 174 of the TFEU;</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stress that the fundamental principle of cohesion policy, according to which ‘no one should be left behind’, remains sound and valid, and that civil society partners are ready to continue working towards it by means of a solid EU investment policy;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stress that inequality of opportunity can have a detrimental effect on long-term growth and competitiveness at regional, national and EU level. Cohesion policy therefore needs to be more diversified and flexible but at the same time credible stable and clear in order to be able to pay more attention to people, especially the most vulnerable, and to better address the inequality of opportunities faced by many;</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is critical of eliminating the role of a Commissioner whose main responsibility is a cohesion policy portfolio;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is against the reduction and transformation of cohesion policy into an instrument for tackling emergency crises;</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rejects the idea of converting cohesion policy into an instrument similar to the Recovery and Resilience Facility (RRF) with little or no structural stakeholder involvement, shared management and muti-level governance;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is in favour of the partnership principle and clear rules for the inclusion of civil society in the selection, governance and monitoring of EU-funded operations;</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requests a strong wording regarding the involvement of civil society in the next Common Provisions Regulation (CPR), which governs the use of Cohesion Funds as well as other EU funding after 2027 in the same manner as it was for the period 2021-2027;</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calls for a cohesion policy that is place-based and people-based;</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calls for a new impetus for cohesion policy. it believes that the range of instruments and approaches should be broadened, modernised or revised to build a strong, effective, flexible and renewed cohesion policy, focusing more on capacity, interregional links, effectiveness of results and opportunities for beneficiaries beyond investment alone;</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will do whatever it takes to safeguard the core principles of cohesion policy and ensure that it remains the glue that keeps Europe united.</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Contact</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r>
              <w:rPr>
                <w:i/>
              </w:rPr>
              <w:t>Georgios Meleas</w:t>
            </w:r>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Email</w:t>
            </w:r>
          </w:p>
        </w:tc>
        <w:tc>
          <w:tcPr>
            <w:tcW w:w="5670" w:type="dxa"/>
          </w:tcPr>
          <w:p w:rsidRPr="00A773FA" w:rsidR="00A773FA" w:rsidP="00A773FA" w:rsidRDefault="001676E5"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289017" w:id="3"/>
      <w:bookmarkEnd w:id="1"/>
      <w:bookmarkEnd w:id="2"/>
      <w:r>
        <w:rPr>
          <w:b/>
        </w:rPr>
        <w:t>UNION ÉCONOMIQUE ET MONÉTAIRE ET COHÉSION ÉCONOMIQUE ET SOCIALE</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1676E5"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Taxation Framework for Social Economy Entities</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Rapporteur</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r>
              <w:t>Giuseppe Guerini (Civil Society Organisations' Group -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References</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Own-initiative opinion</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The EESC:</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stresses how imperative it is that the Member States’ tax systems do not hamper the development of the social economy, and welcomes the European Commission’s goal to provide support to the Member States by publishing guidance on relevant taxation frameworks applicable to social economy entities;</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notes that knowledge on the approaches adopted in the different Member States could be a significant starting point to deepen and improve the overall tax framework of social economy entities in the internal market;</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hopes that efforts to harmonise the approaches to taxing social enterprises can be pursued in the future, with a view to consolidating the internal market;</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calls for in-depth consideration of possible ways of harmonising social economy taxation in the EU in the future;</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encourages the European Commission and the Member States to also consider extra-favourable VAT rates for public benefit activities carried out by social economy entities and for social services, particularly for the sector of health and social care for older people, as well as the personal services, long-term care and education sectors.</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Contact</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r>
              <w:rPr>
                <w:i/>
              </w:rPr>
              <w:t>Jüri Soosaar</w:t>
            </w:r>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A773FA" w:rsidP="00A773FA" w:rsidRDefault="001676E5"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fldChar w:fldCharType="begin"/>
      </w:r>
      <w:r>
        <w:instrText xml:space="preserve"> HYPERLINK \l "_Toc164353188" </w:instrText>
      </w:r>
      <w:r>
        <w:fldChar w:fldCharType="separate"/>
      </w:r>
      <w:bookmarkStart w:name="_Toc172289018" w:id="5"/>
      <w:r>
        <w:rPr>
          <w:rStyle w:val="Hyperlink"/>
          <w:color w:val="000000" w:themeColor="text1"/>
          <w:sz w:val="22"/>
          <w:u w:val="none"/>
        </w:rPr>
        <w:t>3.</w:t>
      </w:r>
      <w:r>
        <w:rPr>
          <w:rFonts w:asciiTheme="minorHAnsi" w:hAnsiTheme="minorHAnsi"/>
          <w:color w:val="000000" w:themeColor="text1"/>
        </w:rPr>
        <w:tab/>
      </w:r>
      <w:r>
        <w:t>EMPLOI, AFFAIRES SOCIALES ET CITOYENNETÉ</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"https://www.eesc.europa.eu/en/our-work/opinions-information-reports/opinions/combating-sexual-abuse-and-sexual-exploitation-children-and-child-pornography"</w:instrText>
      </w:r>
      <w:r w:rsidRPr="00231B83">
        <w:rPr>
          <w:b/>
          <w:i/>
          <w:sz w:val="28"/>
        </w:rPr>
        <w:fldChar w:fldCharType="separate"/>
      </w:r>
      <w:r>
        <w:rPr>
          <w:b/>
          <w:i/>
          <w:color w:val="0000FF"/>
          <w:sz w:val="28"/>
          <w:u w:val="single"/>
        </w:rPr>
        <w:t>Combating the sexual abuse and sexual exploitation of children and child pornography</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659"/>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Rapporteur</w:t>
            </w:r>
          </w:p>
          <w:p w:rsidRPr="00231B83" w:rsidR="00231B83" w:rsidP="00231B83" w:rsidRDefault="00231B83" w14:paraId="020B7D59" w14:textId="77777777">
            <w:pPr>
              <w:overflowPunct w:val="0"/>
              <w:autoSpaceDE w:val="0"/>
              <w:autoSpaceDN w:val="0"/>
              <w:adjustRightInd w:val="0"/>
              <w:ind w:left="-113"/>
              <w:textAlignment w:val="baseline"/>
              <w:rPr>
                <w:b/>
              </w:rPr>
            </w:pPr>
            <w:r>
              <w:rPr>
                <w:b/>
              </w:rPr>
              <w:t>Co-rapporteur</w:t>
            </w:r>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Christian BÄUMLER (Workers' Group -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Diana INDJOVA (Civil Society Organisations' Group -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References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The EESC:</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supports the proposal’s objective to ensure that all forms of sexual abuse and sexual exploitation of children, including those enabled or facilitated by technological developments, are criminalised;</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emphasises a focus on the particularly vulnerable group of children with disabilities, who can become easy victims of sexual abuse and sexual exploitation and cybercrimes;</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is in favour of better coordination in preventing and combating child sexual abuse across Member States and at national level; supports in this connection the proposed obligation on Member States to establish national authorities in charge of such coordination;</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underlines the importance of having common minimum standards for the definition of criminal offences and the severity of related penalties in order to prosecute offenders effectively and to ensure the protection of victims across the EU; endorses the criminalisation of ‘paedophile manuals’;</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calls for the international exchange of data relating to child sexual abuse and exploitation to be specifically regulated and for the possibilities for data retention to be expanded in all Member States with the development of an EU Research Centre;</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supports the aim of making improvements to the prevention and assistance to victims of sexual exploitation and abuse; endorses the proposed increase in minimum penalties and in the length of statutes of limitations;</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underlines the importance of continuous training for law enforcement officers and for anyone in contact with children for the performance of their duties;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considers the involvement of civil society to be crucial in combating the sexual abuse and sexual exploitation of children, and in prevention and victim support.</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Contact</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Sabrina Borg</w:t>
            </w:r>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Email</w:t>
            </w:r>
          </w:p>
        </w:tc>
        <w:tc>
          <w:tcPr>
            <w:tcW w:w="3444" w:type="pct"/>
          </w:tcPr>
          <w:p w:rsidRPr="00231B83" w:rsidR="00231B83" w:rsidP="00231B83" w:rsidRDefault="001676E5"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fldChar w:fldCharType="begin"/>
      </w:r>
      <w:r w:rsidRPr="00D7590E">
        <w:rPr>
          <w:b/>
          <w:i/>
          <w:sz w:val="28"/>
        </w:rPr>
        <w:instrText xml:space="preserve"> HYPERLINK "https://www.eesc.europa.eu/en/our-work/opinions-information-reports/opinions/anti-smuggling-package" </w:instrText>
      </w:r>
      <w:r w:rsidRPr="00D7590E">
        <w:rPr>
          <w:b/>
          <w:i/>
          <w:sz w:val="28"/>
        </w:rPr>
        <w:fldChar w:fldCharType="separate"/>
      </w:r>
      <w:r>
        <w:rPr>
          <w:b/>
          <w:i/>
          <w:color w:val="0000FF"/>
          <w:sz w:val="28"/>
          <w:u w:val="single"/>
        </w:rPr>
        <w:t>Anti-smuggling package</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Rapporteur</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r>
              <w:t>Florin BERCEA (Workers' Group -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References</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The EESC:</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notes that the two legislative proposals and the Global Alliance propose proportional and incremental capacity-building but need more strategic ambition and commitment to deal effectively with the process;</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acknowledges that combating migrant smuggling needs a new impetus and better coordination at all levels. At the same time, the EESC believes that it is essential to open legal migration channels and procedures for those who want to reach the EU safely and legally;</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recognises that for the EU asylum system to function effectively, it is crucial to find ways to solve the problems of the systematic use of pushbacks at the EU’s external border, as this is banned by the Geneva Convention. The absence of safe and legal pathways to enter the EU leaves refugees and migrants in search of safety, with no other option than to use more dangerous routes that put their lives at risk;</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calls on the Commission to develop a more solid approach beyond the Global Alliance to strengthen third countries’ capacities and encourage cooperation with Europol and Member State law enforcement authorities;</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regrets that the package does not cover the persons using the services of migrant smugglers, even though they are recognised as potential victims. The EU must build into its anti-smuggling strategy a fundamental rights dimension for people who are desperate and vulnerable enough to use the services of smugglers. The policy should be also more geared to groups of people who are even more vulnerable, such as people with disabilities;</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calls for more transparency in the preparation of the proposals as there was no ex-ante impact assessment report accompanying the proposals;</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welcomes the Directive, but warns that its content could seriously affect the fundamental rights of migrants, and those assisting them on humanitarian grounds. The Committee finds that creating and maintaining such a climate of fear around humanitarian, legal or even administrative assistance is a wrong and unacceptable way to combat smuggling;</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furthermore, finds that humanitarians, family members, and other people providing services to migrants should be excluded from prosecution. Such grounds for prosecution should only be possible when an undue financial benefit is involved.</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Contact</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r>
              <w:rPr>
                <w:i/>
              </w:rPr>
              <w:t>Gemma Amran</w:t>
            </w:r>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Email</w:t>
            </w:r>
          </w:p>
        </w:tc>
        <w:tc>
          <w:tcPr>
            <w:tcW w:w="3444" w:type="pct"/>
          </w:tcPr>
          <w:p w:rsidRPr="00D7590E" w:rsidR="00D7590E" w:rsidP="00D7590E" w:rsidRDefault="001676E5"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1676E5"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Caregivers</w:t>
        </w:r>
      </w:hyperlink>
      <w:r w:rsidRPr="003A3334" w:rsidR="003A3334">
        <w:rPr>
          <w:b/>
          <w:i/>
          <w:sz w:val="28"/>
        </w:rPr>
        <w:fldChar w:fldCharType="begin"/>
      </w:r>
      <w:r w:rsidRPr="003A3334" w:rsidR="003A3334">
        <w:rPr>
          <w:b/>
          <w:i/>
          <w:sz w:val="28"/>
        </w:rPr>
        <w:instrText xml:space="preserve"> HYPERLINK "https://www.eesc.europa.eu/en/our-work/opinions-information-reports/opinions/anti-smuggling-package"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4"/>
        <w:gridCol w:w="1160"/>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Rapporteur</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r>
              <w:t>Pietro Vittorio BARBIERI (Civil Society Organisations Group -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References</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Own-initiative opinion</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Key points</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The EESC:</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calls on the Commission to put the topic of informal carers high on the political agenda and to establish a Platform for the exchange of best practices among Member States;calls on Member States to adopt policies that encourage the provision and uptake of high quality community-based long-term care services, the availability of respite services for informal carers as well as of preventive medicine to tackle the high risk of burnout and physical and mental overload to which informal carers are exposed;</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calls on Member States to take appropriate measures to guarantee that the decision to take on informal care is voluntary, that gender inequalities are tackled, that informal carers can maintain their employment and pay through more flexible working conditions and can easily re-enter the job market if they are forced to leave it ;</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calls for family carers to be included in the International Day of Care and Support so that they are recognised in the European care system;</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rPr>
          <w:color w:val="000000"/>
        </w:rPr>
        <w:t>considers it of major importance, to have qualitative and quantitative data available describing the actual living conditions of informal carers and calls for further research strategies to be adopted</w:t>
      </w:r>
      <w:r>
        <w:t>.</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Contact</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r>
              <w:rPr>
                <w:i/>
              </w:rPr>
              <w:t>Valeria Atzori</w:t>
            </w:r>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Email</w:t>
            </w:r>
          </w:p>
        </w:tc>
        <w:tc>
          <w:tcPr>
            <w:tcW w:w="3444" w:type="pct"/>
          </w:tcPr>
          <w:p w:rsidRPr="003A3334" w:rsidR="003A3334" w:rsidP="003A3334" w:rsidRDefault="001676E5"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fldChar w:fldCharType="begin"/>
      </w:r>
      <w:r w:rsidRPr="002646B8">
        <w:rPr>
          <w:b/>
          <w:i/>
          <w:sz w:val="28"/>
        </w:rPr>
        <w:instrText>HYPERLINK "https://www.eesc.europa.eu/en/our-work/opinions-information-reports/opinions/traineeship-directive-and-reinforced-quality-framework-traineeships"</w:instrText>
      </w:r>
      <w:r w:rsidRPr="002646B8">
        <w:rPr>
          <w:b/>
          <w:i/>
          <w:sz w:val="28"/>
        </w:rPr>
        <w:fldChar w:fldCharType="separate"/>
      </w:r>
      <w:r>
        <w:rPr>
          <w:b/>
          <w:i/>
          <w:color w:val="0000FF"/>
          <w:sz w:val="28"/>
          <w:u w:val="single"/>
        </w:rPr>
        <w:t>Traineeship Directive and a Reinforced Quality Framework for Traineeships</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643"/>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Rapporteur</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r>
              <w:t>Nicoletta MERLO (Workers' Group -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References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The EESC:</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underlines that apprenticeships and traineeships are two distinct practices with different aims and regulations;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recommends that the definitions laid down in Article 2 not entail any obligation for Member States to classify traineeships as an employment relationship where, according to the regulations in the Member States, this work practice falls outside the definition of ‘trainee’ set by the directive;</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proposes that the directive should include a list of working conditions that should be considered non-derogable, to ensure better protection of trainees’ interests while preserving the autonomy of the social partners when it comes to regulating the conditions of traineeships in the open market;</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underlines the key role played by the competent authorities in combating regular employment relationships disguised as traineeships, and to recognise the important role that social partners can play in these efforts;</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calls for provisions that ensure that workers' representatives can always act to safeguard trainees, even if the traineeship does not constitute an employment relationship;</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recommends defining minimum quality criteria for each type of traineeship throughout the EU, to ensure high standards and a common basic framework in all Member States; points at the importance of data collection and of sharing examples of good national practices for each type of traineeship at EU level, as part of the review and implementation process;</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emphasises the importance of fair compensation, which considers the possible costs of participating in the training activity and the related living requirements.</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Contact</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Sabrina Borg</w:t>
            </w:r>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Email</w:t>
            </w:r>
          </w:p>
        </w:tc>
        <w:tc>
          <w:tcPr>
            <w:tcW w:w="3444" w:type="pct"/>
          </w:tcPr>
          <w:p w:rsidRPr="002646B8" w:rsidR="002646B8" w:rsidP="002646B8" w:rsidRDefault="001676E5"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1676E5" w14:paraId="153FDF23" w14:textId="654546C0">
      <w:pPr>
        <w:pStyle w:val="TOC1"/>
        <w:rPr>
          <w:color w:val="000000" w:themeColor="text1"/>
        </w:rPr>
      </w:pPr>
      <w:hyperlink w:history="1" w:anchor="_Toc164353189">
        <w:bookmarkStart w:name="_Toc172289019" w:id="6"/>
        <w:r w:rsidR="000B64C3">
          <w:t>4.</w:t>
        </w:r>
        <w:r w:rsidR="000B64C3">
          <w:rPr>
            <w:rFonts w:asciiTheme="minorHAnsi" w:hAnsiTheme="minorHAnsi"/>
            <w:sz w:val="22"/>
          </w:rPr>
          <w:tab/>
        </w:r>
      </w:hyperlink>
      <w:r w:rsidR="000B64C3">
        <w:t>MARCHÉ UNIQUE, PRODUCTION ET CONSOMMATION</w:t>
      </w:r>
      <w:bookmarkEnd w:id="6"/>
    </w:p>
    <w:p w:rsidR="00C34921" w:rsidRDefault="001676E5"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Pr>
          <w:b/>
          <w:i/>
          <w:color w:val="0000FF"/>
          <w:sz w:val="28"/>
          <w:u w:val="single"/>
        </w:rPr>
        <w:t xml:space="preserve">Proposal for a Council recommendation on </w:t>
      </w:r>
      <w:hyperlink w:history="1" r:id="rId30">
        <w:r>
          <w:rPr>
            <w:b/>
            <w:i/>
            <w:color w:val="0000FF"/>
            <w:sz w:val="28"/>
            <w:u w:val="single"/>
          </w:rPr>
          <w:t>Enhancing research security</w:t>
        </w:r>
      </w:hyperlink>
      <w:r>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Rapporteur</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r>
              <w:t>Stefano PALMIERI (Workers' Group -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References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The EESC:</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considers that a fair balance should be struck between the need for security and the need to maintain the international openness of the sector, while understanding the vulnerability of the R&amp;I sector to possible malign interference from state and non-state actors in the context of certain R&amp;I international cooperation activities;</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believes that efforts to bolster the security of R&amp;I should never run counter to asserting the principles of academic freedom and institutional autonomy;</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recommends that the principle of ‘freedom with accountability’ for researchers and innovators is upheld through effective, efficient and transparent self-governance by the actors in the sector;</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considers that the objective of guaranteeing secure international cooperation for R&amp;I should never give rise to discriminatory and/or unfair practices towards R&amp;I actors, nor should it be in conflict with labour rights and the safeguarding of working conditions for those working in the R&amp;I sector in the EU;</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would like to see the full autonomy of R&amp;I develop within a uniform and coherent reference framework for the EU Member States;</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points out the importance to strengthen the protection of the intellectual property of innovations capable of guaranteeing national security and extend the screening of foreign direct investments to companies subject to M&amp;A (mergers and acquisitions) and operating within the ten critical areas and dual-use items sector;</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considers that the lack of detailed guidelines to support the activities of R&amp;I actors in (i) due diligence, (ii) risk profiling, (iii) drawing up memoranda of understanding with R&amp;I international partner organisations in the recommendation could be resolved later through the European Centre of Expertise on Research Security’s future activities;</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hopes that the European Centre of Expertise on Research Security will act as a platform for the collection and sharing of documents in full respect of mutual transparency and organisation of training and further training courses in the field of research security.</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Contact</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r>
              <w:rPr>
                <w:i/>
              </w:rPr>
              <w:t>Marco Manfroni</w:t>
            </w:r>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Email</w:t>
            </w:r>
          </w:p>
        </w:tc>
        <w:tc>
          <w:tcPr>
            <w:tcW w:w="3444" w:type="pct"/>
          </w:tcPr>
          <w:p w:rsidRPr="00AD6EAC" w:rsidR="00D92244" w:rsidP="00D76388" w:rsidRDefault="001676E5"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Pr="00C37F51" w:rsidR="00C37F51" w:rsidP="00C37F51" w:rsidRDefault="00C37F51" w14:paraId="1251C006" w14:textId="35A0E647">
      <w:pPr>
        <w:rPr>
          <w:rFonts w:eastAsiaTheme="minorEastAsia"/>
        </w:rPr>
      </w:pPr>
    </w:p>
    <w:p w:rsidR="006A7E31" w:rsidP="006A7E31" w:rsidRDefault="00520680" w14:paraId="295BACE7" w14:textId="7EB5E747">
      <w:pPr>
        <w:pStyle w:val="TOC1"/>
      </w:pPr>
      <w:bookmarkStart w:name="_Toc172289020" w:id="7"/>
      <w:r>
        <w:t>5.</w:t>
      </w:r>
      <w:r>
        <w:rPr>
          <w:rFonts w:asciiTheme="minorHAnsi" w:hAnsiTheme="minorHAnsi"/>
          <w:sz w:val="22"/>
        </w:rPr>
        <w:tab/>
      </w:r>
      <w:hyperlink w:history="1" w:anchor="_Toc164353189">
        <w:r>
          <w:t>AGRICULTURE, DÉVELOPPEMENT RURAL ET ENVIRONNEMENT</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1676E5"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General Fisheries Commission for the Mediterranean</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References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(Category C opinion)</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The EESC:</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unreservedly endorses the content of the proposal and feels that it requires no comment on its part.</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Contact</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Martine Delanoy</w:t>
            </w:r>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Email</w:t>
            </w:r>
          </w:p>
        </w:tc>
        <w:tc>
          <w:tcPr>
            <w:tcW w:w="3444" w:type="pct"/>
          </w:tcPr>
          <w:p w:rsidRPr="0005755A" w:rsidR="006A7E31" w:rsidP="00D76388" w:rsidRDefault="001676E5"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77777777">
      <w:pPr>
        <w:spacing w:after="160" w:line="259" w:lineRule="auto"/>
        <w:jc w:val="left"/>
        <w:rPr>
          <w:rFonts w:eastAsiaTheme="minorEastAsia"/>
        </w:rPr>
      </w:pPr>
      <w:r>
        <w:br w:type="page"/>
      </w: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t>How to ensure the social, environmental and economic sustainability of the EU agri-food sector with future enlargement?</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820"/>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Rapporteur</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r>
              <w:t>Stoyan TCHOUKANOV (Civil Society Organisations' Group -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References</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Exploratory opinion at the request of the European Commission</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The EESC:</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highlights that while this enlargement is different from all previous enlargements due to the exceptional current geopolitical circumstances, this should not be a reason to undermine the level of preparedness of the candidate countries, the importance of the needed legislative reforms and the respect of core EU values;</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emphasises the importance of security of supply in EU food production amid geopolitical tensions, and the need to ensure that all EU regions can maintain agricultural production in the future;</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highlights opportunities of this enlargement to better secure the EU’s strategic autonomy and further reduce the environmental footprint of the sector, but at the same time acknowledges the mixed outcomes of the previous enlargement, noting that there were winners and losers, with weak rural areas having benefited far less from the process than agglomerations, and the smaller European farms disappearing; therefore urges the European Commission and candidate Member States to consider and manage the impacts of enlargement specifically on family farms and agri-food small and medium enterprises both in the EU and in the candidate countries;</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stresses that candidate countries will have to align with the overall CAP objectives and values, while the CAP necessary reforms and the related financial framework will need to be agreed before the enlargement takes place;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recommends a gradual replacement of the present CAP surface-based basic income support with financial incentives for services benefiting the environment and society, degressive payments, mandatory capping or increases for the first hectares for all Member States, and calls for agricultural and rural development policies to become further oriented towards a proximity economy, and for these principles to be transferred to the new candidate countries;</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calls for an increased CAP budget that must be dedicated to duly compensating for the negative effects on EU farmers, taking into account also potential social costs, meaning that the current net contributors will need to be ready to pay a higher proportion of their GDP to the EU in the new financial period, considering the net benefits for EU exporters of industrial goods and services while the agri-food sector will be undercut by the lower production costs of some of the newcomers;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stresses the need for detailed and reliable data and urges the European Commission to closely monitor the agricultural production and the developments of the processes of reforms, including on land speculation;</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t>observes that the integration process has somehow already started, with EU markets opening to agricultural products from the candidate countries, creating potential disadvantages for EU countries that must be avoided through clear rules that the candidate countries must adhere to.</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Contact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Martine Delanoy</w:t>
            </w:r>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+32 25469802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Email</w:t>
            </w:r>
          </w:p>
        </w:tc>
        <w:tc>
          <w:tcPr>
            <w:tcW w:w="3444" w:type="pct"/>
          </w:tcPr>
          <w:p w:rsidRPr="005721DA" w:rsidR="006A7E31" w:rsidP="00D76388" w:rsidRDefault="001676E5"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520680" w:rsidP="00D92244" w:rsidRDefault="006A7E31" w14:paraId="3600B088" w14:textId="12B687D3">
      <w:pPr>
        <w:pStyle w:val="TOC1"/>
      </w:pPr>
      <w:bookmarkStart w:name="_Toc172289021" w:id="8"/>
      <w:r>
        <w:t>6.</w:t>
      </w:r>
      <w:r>
        <w:tab/>
        <w:t>RELATIONS EXTÉRIEURES</w:t>
      </w:r>
      <w:bookmarkEnd w:id="8"/>
    </w:p>
    <w:p w:rsidRPr="006A7E31" w:rsidR="006A7E31" w:rsidP="006A7E31" w:rsidRDefault="006A7E31" w14:paraId="7F857315" w14:textId="77777777"/>
    <w:p w:rsidRPr="003567CE" w:rsidR="003567CE" w:rsidP="0088361D" w:rsidRDefault="001676E5"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Screening of foreign investment in the Union</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Rapporteur</w:t>
            </w:r>
          </w:p>
        </w:tc>
        <w:tc>
          <w:tcPr>
            <w:tcW w:w="5387" w:type="dxa"/>
          </w:tcPr>
          <w:p w:rsidRPr="0088361D" w:rsidR="003567CE" w:rsidP="003567CE" w:rsidRDefault="003567CE" w14:paraId="5C6E2D44" w14:textId="60E22C07">
            <w:pPr>
              <w:tabs>
                <w:tab w:val="center" w:pos="2585"/>
              </w:tabs>
              <w:jc w:val="left"/>
            </w:pPr>
            <w:r>
              <w:t>Javier DOZ ORRIT (Workers’ Group -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References</w:t>
            </w:r>
          </w:p>
        </w:tc>
        <w:tc>
          <w:tcPr>
            <w:tcW w:w="5387" w:type="dxa"/>
          </w:tcPr>
          <w:p w:rsidRPr="0088361D" w:rsidR="007F26D0" w:rsidP="003567CE" w:rsidRDefault="007F26D0" w14:paraId="5C20CCDF" w14:textId="05E01A5F">
            <w:pPr>
              <w:tabs>
                <w:tab w:val="center" w:pos="284"/>
              </w:tabs>
              <w:ind w:left="266" w:hanging="266"/>
            </w:pPr>
            <w:r>
              <w:t>COM(2024) 23 final</w:t>
            </w:r>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Key points</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The EESC:</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welcomes the proposed Regulation as a step in the right direction, enhancing the screening mechanisms for foreign direct investments (FDI) in the EU. This Regulation aims to harmonize national procedures and strengthen the EU Cooperation Mechanism, ensuring public control over critical sectors and programmes;</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stresses the importance of promoting greater harmonisation of national norms regulating FDI and screening mechanisms. This includes: i) setting consistent thresholds for FDI control and uniform deadlines for responses; ii) establishing coherent definitions of risks to security and public order; iii) bolstering Member States’ capacities for effective implementation of FDI control tasks;</w:t>
      </w:r>
    </w:p>
    <w:p w:rsidRPr="003567CE" w:rsidR="003567CE" w:rsidP="0088361D" w:rsidRDefault="003567CE" w14:paraId="035CA57A" w14:textId="77777777">
      <w:pPr>
        <w:widowControl w:val="0"/>
        <w:numPr>
          <w:ilvl w:val="0"/>
          <w:numId w:val="45"/>
        </w:numPr>
        <w:spacing w:before="10" w:after="10" w:line="276" w:lineRule="auto"/>
        <w:ind w:left="426"/>
      </w:pPr>
      <w:r>
        <w:t>calls for establishing exceptional cases where the EU institutions may prohibit, mitigate, or apply conditions to FDI that jeopardize programmes or projects of interest to the Union, ensuring a unified approach to protecting public security and order across Member States. To this purpose, the EU should establish clear procedures and circumstances to exercise control over investments that pose significant risks to EU interests;</w:t>
      </w:r>
    </w:p>
    <w:p w:rsidRPr="003567CE" w:rsidR="003567CE" w:rsidP="0088361D" w:rsidRDefault="003567CE" w14:paraId="1444EF7F" w14:textId="77777777">
      <w:pPr>
        <w:widowControl w:val="0"/>
        <w:numPr>
          <w:ilvl w:val="0"/>
          <w:numId w:val="45"/>
        </w:numPr>
        <w:spacing w:before="10" w:after="10" w:line="276" w:lineRule="auto"/>
        <w:ind w:left="426"/>
      </w:pPr>
      <w:r>
        <w:t>proposes to promote the application of the principle of reciprocity in trade, investment, or association agreements with third countries, and monitoring investments from countries that restrict EU investments, to ensure balanced and fair treatment; strict application would be decided on a case-by-case basis. Within the conceptual framework of strategic autonomy and the Economic Security Strategy, FDI should still be promoted to foster sustainable competitiveness.</w:t>
      </w:r>
    </w:p>
    <w:p w:rsidRPr="003567CE" w:rsidR="003567CE" w:rsidP="0088361D" w:rsidRDefault="003567CE" w14:paraId="33A49B20" w14:textId="77777777">
      <w:pPr>
        <w:widowControl w:val="0"/>
        <w:numPr>
          <w:ilvl w:val="0"/>
          <w:numId w:val="45"/>
        </w:numPr>
        <w:spacing w:before="10" w:after="10" w:line="276" w:lineRule="auto"/>
        <w:ind w:left="426"/>
      </w:pPr>
      <w:r>
        <w:t>calls for subjecting investments from tax havens to special surveillance, requiring full knowledge of the real owners of the investing companies and examining the legality of the funds deployed. Member States should consider the possibility of abolishing so-called ‘golden visas’ for obtaining residence or nationality in an EU country.</w:t>
      </w:r>
    </w:p>
    <w:p w:rsidRPr="003567CE" w:rsidR="003567CE" w:rsidP="0088361D" w:rsidRDefault="003567CE" w14:paraId="4CDFF91C" w14:textId="77777777">
      <w:pPr>
        <w:widowControl w:val="0"/>
        <w:numPr>
          <w:ilvl w:val="0"/>
          <w:numId w:val="45"/>
        </w:numPr>
        <w:spacing w:before="10" w:after="10" w:line="276" w:lineRule="auto"/>
        <w:ind w:left="426"/>
      </w:pPr>
      <w:r>
        <w:t xml:space="preserve">highlights the necessity of mechanisms for the participation of social partners and civil society organizations in FDI policy and control at both EU and national levels, ensuring transparency and inclusiveness in the evaluation process;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Contact</w:t>
            </w:r>
          </w:p>
        </w:tc>
        <w:tc>
          <w:tcPr>
            <w:tcW w:w="5670" w:type="dxa"/>
          </w:tcPr>
          <w:p w:rsidRPr="003567CE" w:rsidR="003567CE" w:rsidP="003567CE" w:rsidRDefault="003567CE" w14:paraId="2C1A667F" w14:textId="77777777">
            <w:pPr>
              <w:rPr>
                <w:i/>
                <w:sz w:val="22"/>
                <w:szCs w:val="22"/>
              </w:rPr>
            </w:pPr>
            <w:r>
              <w:rPr>
                <w:i/>
                <w:sz w:val="22"/>
              </w:rPr>
              <w:t>Marco Ristori</w:t>
            </w:r>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Tel.</w:t>
            </w:r>
          </w:p>
        </w:tc>
        <w:tc>
          <w:tcPr>
            <w:tcW w:w="5670" w:type="dxa"/>
          </w:tcPr>
          <w:p w:rsidRPr="003567CE" w:rsidR="003567CE" w:rsidP="003567CE" w:rsidRDefault="003567CE" w14:paraId="25B8F53A" w14:textId="77777777">
            <w:pPr>
              <w:rPr>
                <w:i/>
                <w:sz w:val="22"/>
                <w:szCs w:val="22"/>
              </w:rPr>
            </w:pPr>
            <w:r>
              <w:rPr>
                <w:i/>
                <w:sz w:val="22"/>
              </w:rPr>
              <w:t>+32 25469969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Email</w:t>
            </w:r>
          </w:p>
        </w:tc>
        <w:tc>
          <w:tcPr>
            <w:tcW w:w="5670" w:type="dxa"/>
          </w:tcPr>
          <w:p w:rsidRPr="003567CE" w:rsidR="003567CE" w:rsidP="003567CE" w:rsidRDefault="001676E5" w14:paraId="4A046612" w14:textId="77777777">
            <w:pPr>
              <w:rPr>
                <w:i/>
                <w:sz w:val="22"/>
                <w:szCs w:val="22"/>
              </w:rPr>
            </w:pPr>
            <w:hyperlink w:history="1" r:id="rId36">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Toc172289022" w:id="9"/>
      <w:r>
        <w:t>7.</w:t>
      </w:r>
      <w:r>
        <w:tab/>
        <w:t>TRANSPORTS, ÉNERGIE, INFRASTRUCTURES ET SOCIÉTÉ DE L’INFORMATION</w:t>
      </w:r>
      <w:bookmarkEnd w:id="9"/>
    </w:p>
    <w:p w:rsidR="00160A67" w:rsidP="00160A67" w:rsidRDefault="00160A67" w14:paraId="2CBE297E" w14:textId="164A826B">
      <w:pPr>
        <w:rPr>
          <w:rFonts w:eastAsiaTheme="minorEastAsia"/>
        </w:rPr>
      </w:pPr>
    </w:p>
    <w:p w:rsidRPr="00200444" w:rsidR="00200444" w:rsidP="00200444" w:rsidRDefault="001676E5"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Energy Digitalisation: Balancing Opportunities and Risks for European Consumers</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Rapporteurs</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r>
              <w:t>Kęstutis KUPŠYS (Civil Society Organisations' Group -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References</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Own-initiative opinion</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The EESC:</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stresses that digitalisation is becoming ever more important in light of the green transition. Energy, however, should remain affordable, adjustable and easy to use for consumers. This entails developing user-friendly digital tools that accommodate diverse needs and promote equal access to digital energy services. Consumers should still be able to choose prices, contracts, and customer services in a ‘pre-digital’ way.</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underlines the priority of user data cybersecurity. Digitalisation amplifies the need to create dynamic consumer protection regulations adapted to the novel contexts and participants in the sector.</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points out that the digital divide between consumers who can afford more expensive digital tools and those who cannot leads to higher energy poverty.</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recommends that the training be provided for workers. Net-Zero Academies should be promoted to all interested parties, with an emphasis on energy efficiency skills.</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Contact</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Sarman Grilc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Email</w:t>
            </w:r>
          </w:p>
        </w:tc>
        <w:tc>
          <w:tcPr>
            <w:tcW w:w="5670" w:type="dxa"/>
          </w:tcPr>
          <w:p w:rsidRPr="00200444" w:rsidR="00200444" w:rsidP="00200444" w:rsidRDefault="001676E5"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00FE2F95" w:rsidP="00FE2F95" w:rsidRDefault="00FE2F95" w14:paraId="526905B5" w14:textId="77777777">
      <w:pPr>
        <w:pStyle w:val="TOC1"/>
        <w:rPr>
          <w:bCs/>
          <w:noProof w:val="0"/>
          <w:sz w:val="22"/>
          <w:szCs w:val="22"/>
        </w:rPr>
      </w:pPr>
    </w:p>
    <w:p w:rsidRPr="00160A67" w:rsidR="00160A67" w:rsidP="00FE2F95" w:rsidRDefault="003D6811" w14:paraId="5D209F0E" w14:textId="4471A438">
      <w:pPr>
        <w:pStyle w:val="TOC1"/>
        <w:rPr>
          <w:rFonts w:eastAsiaTheme="minorEastAsia"/>
        </w:rPr>
      </w:pPr>
      <w:bookmarkStart w:name="_Toc172289023" w:id="12"/>
      <w:r>
        <w:rPr>
          <w:sz w:val="22"/>
        </w:rPr>
        <w:t xml:space="preserve">8. </w:t>
      </w:r>
      <w:r>
        <w:rPr>
          <w:sz w:val="22"/>
        </w:rPr>
        <w:tab/>
        <w:t>COMMISSION CONSULTATIVE DES MUTATIONS INDUSTRIELLES</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1676E5"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Building the future with nature: Boosting Biotechnology and Biomanufacturing in the EU</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Rapporteur</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r>
              <w:t>Florian Marin (Workers’ Group -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Co-rapporteur</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r>
              <w:t>Antonello Pezzini (Cat. 1 -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References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The EESC:</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is disappointed that the EU does not yet have a</w:t>
      </w:r>
      <w:r>
        <w:rPr>
          <w:b/>
        </w:rPr>
        <w:t xml:space="preserve"> bioeconomy strategy </w:t>
      </w:r>
      <w:r>
        <w:t>or a</w:t>
      </w:r>
      <w:r>
        <w:rPr>
          <w:b/>
        </w:rPr>
        <w:t xml:space="preserve"> biotechnology act</w:t>
      </w:r>
      <w:r>
        <w:t>, deeming that there is an urgent need for such legislation given the global situation;</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proposes that the</w:t>
      </w:r>
      <w:r>
        <w:rPr>
          <w:b/>
        </w:rPr>
        <w:t xml:space="preserve"> EU bioeconomy strategy </w:t>
      </w:r>
      <w:r>
        <w:t>should be</w:t>
      </w:r>
      <w:r>
        <w:rPr>
          <w:b/>
        </w:rPr>
        <w:t xml:space="preserve"> based on an integrated sectoral approach </w:t>
      </w:r>
      <w:r>
        <w:t>with specific targets, including a research agenda for the next ten years, a list of skills and a clear role for civil society;</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is of the opinion that an </w:t>
      </w:r>
      <w:r>
        <w:rPr>
          <w:b/>
        </w:rPr>
        <w:t>ethical code for EU companies and products placed on the EU market</w:t>
      </w:r>
      <w:r>
        <w:t xml:space="preserve"> should be considered and promoted globally;</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argues that </w:t>
      </w:r>
      <w:r>
        <w:rPr>
          <w:b/>
        </w:rPr>
        <w:t>dedicated measures</w:t>
      </w:r>
      <w:r>
        <w:t xml:space="preserve"> are needed to </w:t>
      </w:r>
      <w:r>
        <w:rPr>
          <w:b/>
        </w:rPr>
        <w:t>develop competencies</w:t>
      </w:r>
      <w:r>
        <w:t xml:space="preserve"> and </w:t>
      </w:r>
      <w:r>
        <w:rPr>
          <w:b/>
        </w:rPr>
        <w:t>consolidate synergies</w:t>
      </w:r>
      <w:r>
        <w:t xml:space="preserve"> between biotechnology skills requirements and biomanufacturing needs;</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suggests that the development of biotechnology and biomanufacturing in the EU should include </w:t>
      </w:r>
      <w:r>
        <w:rPr>
          <w:b/>
        </w:rPr>
        <w:t>sectoral indicators, public-private partnerships</w:t>
      </w:r>
      <w:r>
        <w:t xml:space="preserve">, a </w:t>
      </w:r>
      <w:r>
        <w:rPr>
          <w:b/>
        </w:rPr>
        <w:t>cross-sectoral research system</w:t>
      </w:r>
      <w:r>
        <w:t xml:space="preserve">, a </w:t>
      </w:r>
      <w:r>
        <w:rPr>
          <w:b/>
        </w:rPr>
        <w:t>database listing potential investors</w:t>
      </w:r>
      <w:r>
        <w:t xml:space="preserve">, </w:t>
      </w:r>
      <w:r>
        <w:rPr>
          <w:b/>
        </w:rPr>
        <w:t>faster and less bureaucratic authorisation processes</w:t>
      </w:r>
      <w:r>
        <w:t xml:space="preserve">, a </w:t>
      </w:r>
      <w:r>
        <w:rPr>
          <w:b/>
        </w:rPr>
        <w:t>perfect synergy with the SDGs and the proposed Blue Deal</w:t>
      </w:r>
      <w:r>
        <w:t xml:space="preserve">, dedicated and harmonised </w:t>
      </w:r>
      <w:r>
        <w:rPr>
          <w:b/>
        </w:rPr>
        <w:t>European and global standards</w:t>
      </w:r>
      <w:r>
        <w:t xml:space="preserve">, measures to increase </w:t>
      </w:r>
      <w:r>
        <w:rPr>
          <w:b/>
        </w:rPr>
        <w:t>public support, trust and education</w:t>
      </w:r>
      <w:r>
        <w:t xml:space="preserve">, and </w:t>
      </w:r>
      <w:r>
        <w:rPr>
          <w:b/>
        </w:rPr>
        <w:t>more clarity between national and shared competencies</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 xml:space="preserve">suggests that </w:t>
      </w:r>
      <w:r>
        <w:rPr>
          <w:b/>
        </w:rPr>
        <w:t>biotechnology and biomanufacturing in the EU should be financed</w:t>
      </w:r>
      <w:r>
        <w:t xml:space="preserve"> with due regard for a </w:t>
      </w:r>
      <w:r>
        <w:rPr>
          <w:b/>
        </w:rPr>
        <w:t xml:space="preserve">synergies-based approach to the Recovery and Resilience Facility (RRF), Strategic Technologies for Europe Platform (STEP) and the European Investment Bank (EIB) and cohesion policy; </w:t>
      </w:r>
      <w:r>
        <w:t>considers that</w:t>
      </w:r>
      <w:r>
        <w:rPr>
          <w:b/>
        </w:rPr>
        <w:t xml:space="preserve"> </w:t>
      </w:r>
      <w:r>
        <w:t xml:space="preserve">part of the money yielded by </w:t>
      </w:r>
      <w:r>
        <w:rPr>
          <w:b/>
        </w:rPr>
        <w:t>environmental taxes</w:t>
      </w:r>
      <w:r>
        <w:t xml:space="preserve"> should be </w:t>
      </w:r>
      <w:r>
        <w:rPr>
          <w:b/>
        </w:rPr>
        <w:t>redirected to financing green biotechnology products</w:t>
      </w:r>
      <w:r>
        <w:t xml:space="preserve">, and that a </w:t>
      </w:r>
      <w:r>
        <w:rPr>
          <w:b/>
        </w:rPr>
        <w:t>variety and combination of financial sources and funds</w:t>
      </w:r>
      <w:r>
        <w:t xml:space="preserve"> should be used such as loans, venture capital and public funds.</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Contact</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r>
              <w:rPr>
                <w:b/>
                <w:i/>
              </w:rPr>
              <w:t>Marie-Laurence Drillon</w:t>
            </w:r>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Email</w:t>
            </w:r>
          </w:p>
        </w:tc>
        <w:tc>
          <w:tcPr>
            <w:tcW w:w="3444" w:type="pct"/>
          </w:tcPr>
          <w:p w:rsidRPr="00CE7004" w:rsidR="00CE7004" w:rsidP="00CE7004" w:rsidRDefault="001676E5"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tab/>
      </w:r>
      <w:hyperlink w:history="1" r:id="rId41">
        <w:r>
          <w:rPr>
            <w:b/>
            <w:i/>
            <w:color w:val="0000FF"/>
            <w:sz w:val="28"/>
            <w:u w:val="single"/>
          </w:rPr>
          <w:t>Low-carbon and renewable fuels</w:t>
        </w:r>
      </w:hyperlink>
      <w:r>
        <w:rPr>
          <w:b/>
          <w:i/>
          <w:color w:val="0000FF"/>
          <w:sz w:val="28"/>
          <w:u w:val="single"/>
        </w:rPr>
        <w:t>: building the capacity of European industry to decarbonise the aviation and maritime sectors in a spirit of European autonomy</w:t>
      </w:r>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Rapporteur </w:t>
      </w:r>
      <w:r>
        <w:rPr>
          <w:b/>
          <w:sz w:val="20"/>
        </w:rPr>
        <w:tab/>
      </w:r>
      <w:r>
        <w:rPr>
          <w:sz w:val="20"/>
        </w:rPr>
        <w:t>Anastasis YIAPANIS (Civil Society Organisations' Group -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Co-rapporteur</w:t>
      </w:r>
      <w:r>
        <w:rPr>
          <w:b/>
          <w:sz w:val="20"/>
        </w:rPr>
        <w:tab/>
      </w:r>
      <w:r>
        <w:rPr>
          <w:sz w:val="20"/>
        </w:rPr>
        <w:t>Franck UHLIG (Cat. 2 -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References</w:t>
      </w:r>
      <w:r>
        <w:rPr>
          <w:b/>
          <w:sz w:val="20"/>
        </w:rPr>
        <w:tab/>
      </w:r>
      <w:r>
        <w:rPr>
          <w:sz w:val="20"/>
        </w:rPr>
        <w:t>Own-initiative opinion</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Key points</w:t>
      </w:r>
    </w:p>
    <w:p w:rsidRPr="00D742A4" w:rsidR="00D742A4" w:rsidP="00D742A4" w:rsidRDefault="00D742A4" w14:paraId="696A7DF5" w14:textId="77777777">
      <w:pPr>
        <w:spacing w:after="160" w:line="259" w:lineRule="auto"/>
        <w:jc w:val="left"/>
        <w:rPr>
          <w:rFonts w:eastAsiaTheme="minorHAnsi"/>
        </w:rPr>
      </w:pPr>
      <w:r>
        <w:t>The EESC:</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notes </w:t>
      </w:r>
      <w:r>
        <w:rPr>
          <w:b/>
        </w:rPr>
        <w:t>absence of incentives</w:t>
      </w:r>
      <w:r>
        <w:t xml:space="preserve"> for developing the sustainable and low-carbon fuel production projects; mentions </w:t>
      </w:r>
      <w:r>
        <w:rPr>
          <w:b/>
        </w:rPr>
        <w:t>high production costs and uncertainty regarding the availability of sustainable fuels</w:t>
      </w:r>
      <w:r>
        <w:t xml:space="preserve"> as significant barriers for their widespread uptake;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is of the opinion that </w:t>
      </w:r>
      <w:r>
        <w:rPr>
          <w:b/>
        </w:rPr>
        <w:t>a lack of sustainable fuel production in the EU would negatively impact the EU’s strategic autonomy</w:t>
      </w:r>
      <w:r>
        <w:t>;</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emphasises the need to </w:t>
      </w:r>
      <w:r>
        <w:rPr>
          <w:b/>
        </w:rPr>
        <w:t>preserve and enhance the EU industry’s competitiveness</w:t>
      </w:r>
      <w:r>
        <w:t xml:space="preserve"> in the face of intense global competition;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advocates for </w:t>
      </w:r>
      <w:r>
        <w:rPr>
          <w:b/>
        </w:rPr>
        <w:t>a comprehensive roadmap to increase the use of sustainable aviation fuels (SAF)</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considers that </w:t>
      </w:r>
      <w:r>
        <w:rPr>
          <w:b/>
        </w:rPr>
        <w:t xml:space="preserve">for the maritime industry </w:t>
      </w:r>
      <w:r>
        <w:t>a challenge is</w:t>
      </w:r>
      <w:r>
        <w:rPr>
          <w:b/>
        </w:rPr>
        <w:t xml:space="preserve"> in establishing the bunkering infrastructure in ports worldwide to supply ships with alternative fuels;</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highlights the risk of </w:t>
      </w:r>
      <w:r>
        <w:rPr>
          <w:b/>
        </w:rPr>
        <w:t>a possible shortage of available feedstock resources and volumes of decarbonised energy</w:t>
      </w:r>
      <w:r>
        <w:t xml:space="preserve"> required for transition to sustainable fuel manufacturing;</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urges to </w:t>
      </w:r>
      <w:r>
        <w:rPr>
          <w:b/>
        </w:rPr>
        <w:t>establish coherent regulatory conditions unlocking investments</w:t>
      </w:r>
      <w:r>
        <w:t xml:space="preserve">, </w:t>
      </w:r>
      <w:r>
        <w:rPr>
          <w:b/>
        </w:rPr>
        <w:t>with incentives stimulating immediate production and cultivating a market for fuels with reduced carbon footprints;</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proposes </w:t>
      </w:r>
      <w:r>
        <w:rPr>
          <w:b/>
        </w:rPr>
        <w:t>aligning taxation with the climate impact of each fuel</w:t>
      </w:r>
      <w:r>
        <w:t>;</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 xml:space="preserve">is disappointed that </w:t>
      </w:r>
      <w:r>
        <w:rPr>
          <w:b/>
        </w:rPr>
        <w:t>EU grants and subsidies do not sufficiently prioritise the low-carbon and renewable fuels production infrastructure for the aviation and maritime sectors</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suggests </w:t>
      </w:r>
      <w:r>
        <w:rPr>
          <w:b/>
        </w:rPr>
        <w:t>R&amp;D as essential for reducing the costs</w:t>
      </w:r>
      <w:r>
        <w:t xml:space="preserve"> of advanced, low-carbon technologies;</w:t>
      </w:r>
      <w:r>
        <w:rPr>
          <w:b/>
        </w:rPr>
        <w:t xml:space="preserve">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calls for</w:t>
      </w:r>
      <w:r>
        <w:rPr>
          <w:b/>
        </w:rPr>
        <w:t xml:space="preserve"> a holistic strategy for a clean transition of entire industrial value chains, incorporating hydrogen, scaling up biofuel, expanding synthetic fuel and continuing existing sectoral partnerships under the successor of Horizon Europe;</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ensures that </w:t>
      </w:r>
      <w:r>
        <w:rPr>
          <w:b/>
        </w:rPr>
        <w:t xml:space="preserve">skills development programmes, </w:t>
      </w:r>
      <w:r>
        <w:t>including vocational training and support for job transitions are necessary;</w:t>
      </w:r>
      <w:r>
        <w:rPr>
          <w:b/>
        </w:rPr>
        <w:t xml:space="preserve"> </w:t>
      </w:r>
      <w:r>
        <w:t xml:space="preserve">reiterates the </w:t>
      </w:r>
      <w:r>
        <w:rPr>
          <w:b/>
        </w:rPr>
        <w:t>priority of ensuring high health and safety standards</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92"/>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Contact</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Adam Dorywalski</w:t>
            </w:r>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Email</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P="00AA63E5" w:rsidRDefault="00747EBB" w14:paraId="425E1CA4" w14:textId="77777777">
      <w:pPr>
        <w:widowControl w:val="0"/>
        <w:tabs>
          <w:tab w:val="center" w:pos="284"/>
        </w:tabs>
        <w:overflowPunct w:val="0"/>
        <w:autoSpaceDE w:val="0"/>
        <w:autoSpaceDN w:val="0"/>
        <w:adjustRightInd w:val="0"/>
        <w:spacing w:after="160" w:line="259" w:lineRule="auto"/>
        <w:ind w:left="927"/>
        <w:contextualSpacing/>
        <w:jc w:val="left"/>
        <w:textAlignment w:val="baseline"/>
        <w:rPr>
          <w:rFonts w:eastAsiaTheme="minorHAnsi"/>
          <w:b/>
          <w:bCs/>
          <w:i/>
          <w:iCs/>
          <w:sz w:val="28"/>
          <w:szCs w:val="28"/>
          <w:lang w:val="en-US"/>
        </w:rPr>
      </w:pPr>
    </w:p>
    <w:p w:rsidR="00747EBB" w:rsidRDefault="00747EBB" w14:paraId="01E63EDD" w14:textId="77777777">
      <w:pPr>
        <w:spacing w:after="160" w:line="259" w:lineRule="auto"/>
        <w:jc w:val="left"/>
        <w:rPr>
          <w:rFonts w:eastAsiaTheme="minorHAnsi"/>
          <w:b/>
          <w:bCs/>
          <w:i/>
          <w:iCs/>
          <w:sz w:val="28"/>
          <w:szCs w:val="28"/>
        </w:rPr>
      </w:pPr>
      <w:r>
        <w:br w:type="page"/>
      </w: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tab/>
      </w:r>
      <w:hyperlink w:history="1" r:id="rId42">
        <w:r>
          <w:rPr>
            <w:b/>
            <w:i/>
            <w:color w:val="0000FF"/>
            <w:sz w:val="28"/>
            <w:u w:val="single"/>
          </w:rPr>
          <w:t>Advanced materials for industrial leadership</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Rapporteur</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r>
              <w:t>Anastasis YIAPANIS (Civil Society Organisations' Group -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Co-rapporteur</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t>Gerardo Luís ARROYO HERRANZ (Cat.1 - 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References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Key points</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The EESC:</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considers that the European Commission's Communication on Advanced Materials cannot be viewed as a strategy per se, as it lacks quantifiable targets, deadlines and specific key performance indicators (KPIs) to support its implementation;</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is convinced that the EU needs a holistic approach to decrease material consumption, promote circularity and facilitate the transition to sustainable business models and consumption behaviours;</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notes that a complex advanced materials ecosystem demands a comprehensive strategy, substantial funding and incentives, the availability of the right skills as well as high-level political backing;</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welcomes the EU-Japan enhanced dialogue on advanced materials and believes that such initiatives should be extended to other leading countries;</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finds it crucial to foster competitiveness in R&amp;D&amp;I by engaging industrial players, public authorities, social partners and academia, and by creating a network of cross-border research infrastructures;</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proposes including healthcare as an additional initial strategic area, as it represents one of Europe’s largest industries, with healthcare-related advanced materials often intersecting with sectors like electronics and energy;</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highlights the importance of integrating digital technologies and innovations into materials development processes;</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supports the introduction of digital product passports, which include information standards and details from production to recycling, but cautions against introducing additional bureaucracy or costs for businesses or consumers.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deems it necessary to strengthen European production, support commercialisation, streamline market access and improve market surveillance in this area.</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Contact</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Heli Niemelä-Farrer</w:t>
            </w:r>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Email</w:t>
            </w:r>
          </w:p>
        </w:tc>
        <w:tc>
          <w:tcPr>
            <w:tcW w:w="3444" w:type="pct"/>
          </w:tcPr>
          <w:p w:rsidRPr="00A773FA" w:rsidR="00570D62" w:rsidP="00D76388" w:rsidRDefault="001676E5"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rsidR="000B64C3">
      <w:t>1</w:t>
    </w:r>
    <w:r>
      <w:fldChar w:fldCharType="end"/>
    </w:r>
    <w:r>
      <w:t>/</w:t>
    </w:r>
    <w:r w:rsidR="001676E5">
      <w:fldChar w:fldCharType="begin"/>
    </w:r>
    <w:r w:rsidR="001676E5">
      <w:instrText xml:space="preserve"> NUMPAGES </w:instrText>
    </w:r>
    <w:r w:rsidR="001676E5">
      <w:fldChar w:fldCharType="separate"/>
    </w:r>
    <w:r w:rsidR="000B64C3">
      <w:t>2</w:t>
    </w:r>
    <w:r w:rsidR="001676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(EN) </w:t>
    </w:r>
    <w:r>
      <w:fldChar w:fldCharType="begin"/>
    </w:r>
    <w:r>
      <w:instrText xml:space="preserve"> PAGE  \* Arabic  \* MERGEFORMAT </w:instrText>
    </w:r>
    <w:r>
      <w:fldChar w:fldCharType="separate"/>
    </w:r>
    <w:r>
      <w:t>2</w:t>
    </w:r>
    <w:r>
      <w:fldChar w:fldCharType="end"/>
    </w:r>
    <w:r>
      <w:t>/</w:t>
    </w:r>
    <w:r w:rsidR="001676E5">
      <w:fldChar w:fldCharType="begin"/>
    </w:r>
    <w:r w:rsidR="001676E5">
      <w:instrText xml:space="preserve"> NUMPAGES </w:instrText>
    </w:r>
    <w:r w:rsidR="001676E5">
      <w:fldChar w:fldCharType="separate"/>
    </w:r>
    <w:r>
      <w:t>16</w:t>
    </w:r>
    <w:r w:rsidR="001676E5">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719"/>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676E5"/>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r-F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en/our-work/opinions-information-reports/opinions/eu-biotech-and-biomanufacturing-initiative" TargetMode="External"/><Relationship Id="rId21" Type="http://schemas.openxmlformats.org/officeDocument/2006/relationships/hyperlink" Target="https://www.eesc.europa.eu/en/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en/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en/our-work/opinions-information-reports/opinions/general-fisheries-commission-mediterranean" TargetMode="External"/><Relationship Id="rId37" Type="http://schemas.openxmlformats.org/officeDocument/2006/relationships/hyperlink" Target="https://www.eesc.europa.eu/en/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n/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en/our-work/opinions-information-reports/opinions/caregivers" TargetMode="External"/><Relationship Id="rId30" Type="http://schemas.openxmlformats.org/officeDocument/2006/relationships/hyperlink" Target="https://www.eesc.europa.eu/en/our-work/opinions-information-reports/opinions/proposal-council-recommendation-enhancing-research-security" TargetMode="External"/><Relationship Id="rId35" Type="http://schemas.openxmlformats.org/officeDocument/2006/relationships/hyperlink" Target="https://www.eesc.europa.eu/en/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en/our-work/opinions-information-reports/opinions/no-one-should-be-left-behind-inclusive-and-participatory-cohesion-policy-support-social-economic-and-territorial" TargetMode="External"/><Relationship Id="rId41" Type="http://schemas.openxmlformats.org/officeDocument/2006/relationships/hyperlink" Target="https://www.eesc.europa.eu/en/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F7M6YNZUATRX-789077548-3396</_dlc_DocId>
    <_dlc_DocIdUrl xmlns="59ace41b-6786-4ce3-be71-52c27066c6ef">
      <Url>http://dm/eesc/2024/_layouts/15/DocIdRedir.aspx?ID=F7M6YNZUATRX-789077548-3396</Url>
      <Description>F7M6YNZUATRX-789077548-3396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2024-07-24T12:00:00+00:00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Lacroix Grégory</DisplayName>
        <AccountId>1665</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528A753E-315B-4240-BA16-3E4A1EB67827}"/>
</file>

<file path=customXml/itemProps2.xml><?xml version="1.0" encoding="utf-8"?>
<ds:datastoreItem xmlns:ds="http://schemas.openxmlformats.org/officeDocument/2006/customXml" ds:itemID="{561A6585-780B-428D-B67D-63151F3CBD32}"/>
</file>

<file path=customXml/itemProps3.xml><?xml version="1.0" encoding="utf-8"?>
<ds:datastoreItem xmlns:ds="http://schemas.openxmlformats.org/officeDocument/2006/customXml" ds:itemID="{346DB916-B67C-4AA6-915C-CFFE334294DE}"/>
</file>

<file path=customXml/itemProps4.xml><?xml version="1.0" encoding="utf-8"?>
<ds:datastoreItem xmlns:ds="http://schemas.openxmlformats.org/officeDocument/2006/customXml" ds:itemID="{B5A4C288-48D0-40C9-A75F-BA4066502A7B}"/>
</file>

<file path=docProps/app.xml><?xml version="1.0" encoding="utf-8"?>
<Properties xmlns="http://schemas.openxmlformats.org/officeDocument/2006/extended-properties" xmlns:vt="http://schemas.openxmlformats.org/officeDocument/2006/docPropsVTypes">
  <Template>Normal</Template>
  <TotalTime>0</TotalTime>
  <Pages>3</Pages>
  <Words>5125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Synthèse des avis - 589e session plénière - Juillet 2024  </dc:title>
  <dc:subject>TCD</dc:subject>
  <dc:creator>Nieddu Emma</dc:creator>
  <cp:keywords>EESC-2024-02113-00-01-TCD-TRA-EN</cp:keywords>
  <dc:description>Rapporteur:  - Original language: EN - Date of document: 24-07-2024 - Date of meeting: 30-18-2024 14:30 - External documents:  - Administrator: MME TAMASAUSKIENE Julija</dc:description>
  <cp:lastModifiedBy>Lacroix Grégory</cp:lastModifiedBy>
  <cp:revision>7</cp:revision>
  <cp:lastPrinted>2023-06-15T08:00:00Z</cp:lastPrinted>
  <dcterms:created xsi:type="dcterms:W3CDTF">2024-07-19T11:45:00Z</dcterms:created>
  <dcterms:modified xsi:type="dcterms:W3CDTF">2024-07-24T14:52:00Z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9c190cfd-5c15-47b5-93f0-883971660127</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SK|46d9fce0-ef79-4f71-b89b-cd6aa82426b8;FI|87606a43-d45f-42d6-b8c9-e1a3457db5b7;HR|2f555653-ed1a-4fe6-8362-9082d95989e5;LV|46f7e311-5d9f-4663-b433-18aeccb7ace7;NL|55c6556c-b4f4-441d-9acf-c498d4f838bd;SV|c2ed69e7-a339-43d7-8f22-d93680a92aa0;LT|a7ff5ce7-6123-4f68-865a-a57c31810414;RO|feb747a2-64cd-4299-af12-4833ddc30497;IT|0774613c-01ed-4e5d-a25d-11d2388de825;DA|5d49c027-8956-412b-aa16-e85a0f96ad0e;BG|1a1b3951-7821-4e6a-85f5-5673fc08bd2c;HU|6b229040-c589-4408-b4c1-4285663d20a8;PT|50ccc04a-eadd-42ae-a0cb-acaf45f812ba;ES|e7a6b05b-ae16-40c8-add9-68b64b03aeba;ET|ff6c3f4c-b02c-4c3c-ab07-2c37995a7a0a;EN|f2175f21-25d7-44a3-96da-d6a61b075e1b;SL|98a412ae-eb01-49e9-ae3d-585a81724cfc;DE|f6b31e5a-26fa-4935-b661-318e46daf27e;CS|72f9705b-0217-4fd3-bea2-cbc7ed80e26e;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33;#ET|ff6c3f4c-b02c-4c3c-ab07-2c37995a7a0a;#32;#HU|6b229040-c589-4408-b4c1-4285663d20a8;#31;#NL|55c6556c-b4f4-441d-9acf-c498d4f838bd;#30;#HR|2f555653-ed1a-4fe6-8362-9082d95989e5;#28;#LV|46f7e311-5d9f-4663-b433-18aeccb7ace7;#27;#SL|98a412ae-eb01-49e9-ae3d-585a81724cfc;#26;#SK|46d9fce0-ef79-4f71-b89b-cd6aa82426b8;#25;#DE|f6b31e5a-26fa-4935-b661-318e46daf27e;#24;#ES|e7a6b05b-ae16-40c8-add9-68b64b03aeba;#22;#BG|1a1b3951-7821-4e6a-85f5-5673fc08bd2c;#21;#SV|c2ed69e7-a339-43d7-8f22-d93680a92aa0;#43;#CS|72f9705b-0217-4fd3-bea2-cbc7ed80e26e;#16;#DA|5d49c027-8956-412b-aa16-e85a0f96ad0e;#13;#TCD|cd9d6eb6-3f4f-424a-b2d1-57c9d450eaaf;#12;#IT|0774613c-01ed-4e5d-a25d-11d2388de825;#17;#PL|1e03da61-4678-4e07-b136-b5024ca9197b;#8;#Final|ea5e6674-7b27-4bac-b091-73adbb394efe;#7;#SPL-CES|32d8cb1f-c9ec-4365-95c7-8385a18618ac;#6;#Unrestricted|826e22d7-d029-4ec0-a450-0c28ff673572;#5;#EN|f2175f21-25d7-44a3-96da-d6a61b075e1b;#3;#TRA|150d2a88-1431-44e6-a8ca-0bb753ab8672;#1;#EESC|422833ec-8d7e-4e65-8e4e-8bed07ffb729;#37;#RO|feb747a2-64cd-4299-af12-4833ddc30497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14;#FR|d2afafd3-4c81-4f60-8f52-ee33f2f54ff3</vt:lpwstr>
  </property>
</Properties>
</file>