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046DB" w14:paraId="785AE44C" w14:textId="6292D1D9">
      <w:pPr>
        <w:jc w:val="center"/>
      </w:pPr>
      <w:r>
        <w:rPr>
          <w:noProof/>
        </w:rPr>
        <w:drawing>
          <wp:inline distT="0" distB="0" distL="0" distR="0" wp14:anchorId="1A6AF0D2" wp14:editId="4262C7AB">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Picture 2"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35894CC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8182825">
      <w:pPr>
        <w:jc w:val="right"/>
      </w:pPr>
      <w:r>
        <w:t>Bryssel 16. syyskuuta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11C8DC33">
            <w:pPr>
              <w:snapToGrid w:val="0"/>
              <w:jc w:val="center"/>
              <w:rPr>
                <w:b/>
                <w:sz w:val="32"/>
              </w:rPr>
            </w:pPr>
            <w:r>
              <w:rPr>
                <w:b/>
                <w:sz w:val="32"/>
              </w:rPr>
              <w:t>589. TÄYSISTUNTO</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767CE9FD">
            <w:pPr>
              <w:snapToGrid w:val="0"/>
              <w:jc w:val="center"/>
              <w:rPr>
                <w:b/>
                <w:sz w:val="32"/>
              </w:rPr>
            </w:pPr>
            <w:r>
              <w:rPr>
                <w:b/>
                <w:sz w:val="32"/>
              </w:rPr>
              <w:t>10. ja 11. heinäkuuta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YHTEENVETO HYVÄKSYTYISTÄ LAUSUNNOISTA, PÄÄTÖSLAUSELMISTA JA TIEDOTUS- JA ARVIOINTIKERTOMUKSISTA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Tämä asiakirja on saatavana unionin virallisilla kielillä komitean internetsivuilla osoitteessa</w:t>
            </w:r>
          </w:p>
          <w:p w:rsidRPr="00094B6B" w:rsidR="00B16284" w:rsidP="00775FC4" w:rsidRDefault="00B16284" w14:paraId="4F26A4CE" w14:textId="77777777">
            <w:pPr>
              <w:snapToGrid w:val="0"/>
              <w:jc w:val="center"/>
            </w:pPr>
          </w:p>
          <w:p w:rsidRPr="00094B6B" w:rsidR="004D7AC0" w:rsidP="00775FC4" w:rsidRDefault="00B63407" w14:paraId="2A9352A2" w14:textId="0680ADB6">
            <w:pPr>
              <w:snapToGrid w:val="0"/>
              <w:jc w:val="center"/>
            </w:pPr>
            <w:hyperlink w:history="1" r:id="rId12">
              <w:r w:rsidR="008046DB">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Mainitut lausunnot ovat haettavissa sähköisessä muodossa komitean hakukoneella</w:t>
            </w:r>
          </w:p>
          <w:p w:rsidRPr="00094B6B" w:rsidR="00B16284" w:rsidP="00775FC4" w:rsidRDefault="00B16284" w14:paraId="7A5411A5" w14:textId="77777777">
            <w:pPr>
              <w:snapToGrid w:val="0"/>
              <w:jc w:val="center"/>
            </w:pPr>
          </w:p>
          <w:p w:rsidRPr="00094B6B" w:rsidR="004D7AC0" w:rsidP="00775FC4" w:rsidRDefault="00B63407" w14:paraId="441AC4DD" w14:textId="1194D751">
            <w:pPr>
              <w:snapToGrid w:val="0"/>
              <w:jc w:val="center"/>
            </w:pPr>
            <w:hyperlink w:history="1" r:id="rId13">
              <w:r w:rsidR="008046DB">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DC26B9">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Sisällys</w:t>
      </w:r>
    </w:p>
    <w:p w:rsidR="009C49F7" w:rsidRDefault="0014322B" w14:paraId="56AE9DCE" w14:textId="0ED225C0">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289453">
        <w:r w:rsidRPr="00990782" w:rsidR="009C49F7">
          <w:rPr>
            <w:rStyle w:val="Hyperlink"/>
          </w:rPr>
          <w:t>1.</w:t>
        </w:r>
        <w:r w:rsidR="009C49F7">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sidR="009C49F7">
          <w:rPr>
            <w:rStyle w:val="Hyperlink"/>
          </w:rPr>
          <w:t>PÄÄTÖSLAUSELMA</w:t>
        </w:r>
        <w:r w:rsidR="009C49F7">
          <w:rPr>
            <w:webHidden/>
          </w:rPr>
          <w:tab/>
        </w:r>
        <w:r w:rsidR="009C49F7">
          <w:rPr>
            <w:webHidden/>
          </w:rPr>
          <w:fldChar w:fldCharType="begin"/>
        </w:r>
        <w:r w:rsidR="009C49F7">
          <w:rPr>
            <w:webHidden/>
          </w:rPr>
          <w:instrText xml:space="preserve"> PAGEREF _Toc172289453 \h </w:instrText>
        </w:r>
        <w:r w:rsidR="009C49F7">
          <w:rPr>
            <w:webHidden/>
          </w:rPr>
        </w:r>
        <w:r w:rsidR="009C49F7">
          <w:rPr>
            <w:webHidden/>
          </w:rPr>
          <w:fldChar w:fldCharType="separate"/>
        </w:r>
        <w:r w:rsidR="009C49F7">
          <w:rPr>
            <w:webHidden/>
          </w:rPr>
          <w:t>3</w:t>
        </w:r>
        <w:r w:rsidR="009C49F7">
          <w:rPr>
            <w:webHidden/>
          </w:rPr>
          <w:fldChar w:fldCharType="end"/>
        </w:r>
      </w:hyperlink>
    </w:p>
    <w:p w:rsidR="009C49F7" w:rsidRDefault="009C49F7" w14:paraId="03E8D5E9" w14:textId="5B9064E5">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4">
        <w:r w:rsidRPr="00990782">
          <w:rPr>
            <w:rStyle w:val="Hyperlink"/>
          </w:rPr>
          <w:t>2.</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TALOUS- JA RAHALIITTO, TALOUDELLINEN JA SOSIAALINEN YHTEENKUULUVUUS</w:t>
        </w:r>
        <w:r>
          <w:rPr>
            <w:webHidden/>
          </w:rPr>
          <w:tab/>
        </w:r>
        <w:r>
          <w:rPr>
            <w:webHidden/>
          </w:rPr>
          <w:fldChar w:fldCharType="begin"/>
        </w:r>
        <w:r>
          <w:rPr>
            <w:webHidden/>
          </w:rPr>
          <w:instrText xml:space="preserve"> PAGEREF _Toc172289454 \h </w:instrText>
        </w:r>
        <w:r>
          <w:rPr>
            <w:webHidden/>
          </w:rPr>
        </w:r>
        <w:r>
          <w:rPr>
            <w:webHidden/>
          </w:rPr>
          <w:fldChar w:fldCharType="separate"/>
        </w:r>
        <w:r>
          <w:rPr>
            <w:webHidden/>
          </w:rPr>
          <w:t>3</w:t>
        </w:r>
        <w:r>
          <w:rPr>
            <w:webHidden/>
          </w:rPr>
          <w:fldChar w:fldCharType="end"/>
        </w:r>
      </w:hyperlink>
    </w:p>
    <w:p w:rsidR="009C49F7" w:rsidRDefault="009C49F7" w14:paraId="1662F89B" w14:textId="06807E47">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5">
        <w:r w:rsidRPr="00990782">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TYÖLLISYYS, SOSIAALIASIAT JA KANSALAISUUS</w:t>
        </w:r>
        <w:r>
          <w:rPr>
            <w:webHidden/>
          </w:rPr>
          <w:tab/>
        </w:r>
        <w:r>
          <w:rPr>
            <w:webHidden/>
          </w:rPr>
          <w:fldChar w:fldCharType="begin"/>
        </w:r>
        <w:r>
          <w:rPr>
            <w:webHidden/>
          </w:rPr>
          <w:instrText xml:space="preserve"> PAGEREF _Toc172289455 \h </w:instrText>
        </w:r>
        <w:r>
          <w:rPr>
            <w:webHidden/>
          </w:rPr>
        </w:r>
        <w:r>
          <w:rPr>
            <w:webHidden/>
          </w:rPr>
          <w:fldChar w:fldCharType="separate"/>
        </w:r>
        <w:r>
          <w:rPr>
            <w:webHidden/>
          </w:rPr>
          <w:t>5</w:t>
        </w:r>
        <w:r>
          <w:rPr>
            <w:webHidden/>
          </w:rPr>
          <w:fldChar w:fldCharType="end"/>
        </w:r>
      </w:hyperlink>
    </w:p>
    <w:p w:rsidR="009C49F7" w:rsidRDefault="009C49F7" w14:paraId="6DE8052F" w14:textId="30FF2C9E">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6">
        <w:r w:rsidRPr="00990782">
          <w:rPr>
            <w:rStyle w:val="Hyperlink"/>
          </w:rPr>
          <w:t>4.</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SISÄMARKKINAT, TUOTANTO JA KULUTUS</w:t>
        </w:r>
        <w:r>
          <w:rPr>
            <w:webHidden/>
          </w:rPr>
          <w:tab/>
        </w:r>
        <w:r>
          <w:rPr>
            <w:webHidden/>
          </w:rPr>
          <w:fldChar w:fldCharType="begin"/>
        </w:r>
        <w:r>
          <w:rPr>
            <w:webHidden/>
          </w:rPr>
          <w:instrText xml:space="preserve"> PAGEREF _Toc172289456 \h </w:instrText>
        </w:r>
        <w:r>
          <w:rPr>
            <w:webHidden/>
          </w:rPr>
        </w:r>
        <w:r>
          <w:rPr>
            <w:webHidden/>
          </w:rPr>
          <w:fldChar w:fldCharType="separate"/>
        </w:r>
        <w:r>
          <w:rPr>
            <w:webHidden/>
          </w:rPr>
          <w:t>9</w:t>
        </w:r>
        <w:r>
          <w:rPr>
            <w:webHidden/>
          </w:rPr>
          <w:fldChar w:fldCharType="end"/>
        </w:r>
      </w:hyperlink>
    </w:p>
    <w:p w:rsidR="009C49F7" w:rsidRDefault="009C49F7" w14:paraId="791BC2B9" w14:textId="73EA8B9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7">
        <w:r w:rsidRPr="00990782">
          <w:rPr>
            <w:rStyle w:val="Hyperlink"/>
          </w:rPr>
          <w:t>5.</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MAATALOUS, MAASEUDUN KEHITTÄMINEN JA YMPÄRISTÖ</w:t>
        </w:r>
        <w:r>
          <w:rPr>
            <w:webHidden/>
          </w:rPr>
          <w:tab/>
        </w:r>
        <w:r>
          <w:rPr>
            <w:webHidden/>
          </w:rPr>
          <w:fldChar w:fldCharType="begin"/>
        </w:r>
        <w:r>
          <w:rPr>
            <w:webHidden/>
          </w:rPr>
          <w:instrText xml:space="preserve"> PAGEREF _Toc172289457 \h </w:instrText>
        </w:r>
        <w:r>
          <w:rPr>
            <w:webHidden/>
          </w:rPr>
        </w:r>
        <w:r>
          <w:rPr>
            <w:webHidden/>
          </w:rPr>
          <w:fldChar w:fldCharType="separate"/>
        </w:r>
        <w:r>
          <w:rPr>
            <w:webHidden/>
          </w:rPr>
          <w:t>10</w:t>
        </w:r>
        <w:r>
          <w:rPr>
            <w:webHidden/>
          </w:rPr>
          <w:fldChar w:fldCharType="end"/>
        </w:r>
      </w:hyperlink>
    </w:p>
    <w:p w:rsidR="009C49F7" w:rsidRDefault="009C49F7" w14:paraId="390A2DB7" w14:textId="30EEB539">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8">
        <w:r w:rsidRPr="00990782">
          <w:rPr>
            <w:rStyle w:val="Hyperlink"/>
          </w:rPr>
          <w:t>6.</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ULKOSUHTEET</w:t>
        </w:r>
        <w:r>
          <w:rPr>
            <w:webHidden/>
          </w:rPr>
          <w:tab/>
        </w:r>
        <w:r>
          <w:rPr>
            <w:webHidden/>
          </w:rPr>
          <w:fldChar w:fldCharType="begin"/>
        </w:r>
        <w:r>
          <w:rPr>
            <w:webHidden/>
          </w:rPr>
          <w:instrText xml:space="preserve"> PAGEREF _Toc172289458 \h </w:instrText>
        </w:r>
        <w:r>
          <w:rPr>
            <w:webHidden/>
          </w:rPr>
        </w:r>
        <w:r>
          <w:rPr>
            <w:webHidden/>
          </w:rPr>
          <w:fldChar w:fldCharType="separate"/>
        </w:r>
        <w:r>
          <w:rPr>
            <w:webHidden/>
          </w:rPr>
          <w:t>12</w:t>
        </w:r>
        <w:r>
          <w:rPr>
            <w:webHidden/>
          </w:rPr>
          <w:fldChar w:fldCharType="end"/>
        </w:r>
      </w:hyperlink>
    </w:p>
    <w:p w:rsidR="009C49F7" w:rsidRDefault="009C49F7" w14:paraId="56889EB8" w14:textId="010B00B7">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59">
        <w:r w:rsidRPr="00990782">
          <w:rPr>
            <w:rStyle w:val="Hyperlink"/>
          </w:rPr>
          <w:t>7.</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LIIKENNE, ENERGIA, PERUSRAKENTEET, TIETOYHTEISKUNTA</w:t>
        </w:r>
        <w:r>
          <w:rPr>
            <w:webHidden/>
          </w:rPr>
          <w:tab/>
        </w:r>
        <w:r>
          <w:rPr>
            <w:webHidden/>
          </w:rPr>
          <w:fldChar w:fldCharType="begin"/>
        </w:r>
        <w:r>
          <w:rPr>
            <w:webHidden/>
          </w:rPr>
          <w:instrText xml:space="preserve"> PAGEREF _Toc172289459 \h </w:instrText>
        </w:r>
        <w:r>
          <w:rPr>
            <w:webHidden/>
          </w:rPr>
        </w:r>
        <w:r>
          <w:rPr>
            <w:webHidden/>
          </w:rPr>
          <w:fldChar w:fldCharType="separate"/>
        </w:r>
        <w:r>
          <w:rPr>
            <w:webHidden/>
          </w:rPr>
          <w:t>13</w:t>
        </w:r>
        <w:r>
          <w:rPr>
            <w:webHidden/>
          </w:rPr>
          <w:fldChar w:fldCharType="end"/>
        </w:r>
      </w:hyperlink>
    </w:p>
    <w:p w:rsidR="009C49F7" w:rsidRDefault="009C49F7" w14:paraId="523DDF7F" w14:textId="364D175A">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289460">
        <w:r w:rsidRPr="00990782">
          <w:rPr>
            <w:rStyle w:val="Hyperlink"/>
          </w:rPr>
          <w:t xml:space="preserve">8. </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990782">
          <w:rPr>
            <w:rStyle w:val="Hyperlink"/>
          </w:rPr>
          <w:t>NEUVOA-ANTAVA VALIOKUNTA ”TEOLLISUUDEN MUUTOKSET”</w:t>
        </w:r>
        <w:r>
          <w:rPr>
            <w:webHidden/>
          </w:rPr>
          <w:tab/>
        </w:r>
        <w:r>
          <w:rPr>
            <w:webHidden/>
          </w:rPr>
          <w:fldChar w:fldCharType="begin"/>
        </w:r>
        <w:r>
          <w:rPr>
            <w:webHidden/>
          </w:rPr>
          <w:instrText xml:space="preserve"> PAGEREF _Toc172289460 \h </w:instrText>
        </w:r>
        <w:r>
          <w:rPr>
            <w:webHidden/>
          </w:rPr>
        </w:r>
        <w:r>
          <w:rPr>
            <w:webHidden/>
          </w:rPr>
          <w:fldChar w:fldCharType="separate"/>
        </w:r>
        <w:r>
          <w:rPr>
            <w:webHidden/>
          </w:rPr>
          <w:t>14</w:t>
        </w:r>
        <w:r>
          <w:rPr>
            <w:webHidden/>
          </w:rPr>
          <w:fldChar w:fldCharType="end"/>
        </w:r>
      </w:hyperlink>
    </w:p>
    <w:p w:rsidR="00C86ABD" w:rsidRDefault="0014322B" w14:paraId="4EDE006A" w14:textId="2AB3DF22">
      <w:pPr>
        <w:jc w:val="left"/>
      </w:pPr>
      <w:r>
        <w:fldChar w:fldCharType="end"/>
      </w:r>
      <w:r>
        <w:br w:type="page"/>
      </w:r>
    </w:p>
    <w:p w:rsidR="00C86ABD" w:rsidP="00810736" w:rsidRDefault="00C86ABD" w14:paraId="6C806385" w14:textId="0970C9A4">
      <w:pPr>
        <w:pStyle w:val="Heading1"/>
        <w:ind w:left="709" w:hanging="720"/>
        <w:rPr>
          <w:b/>
          <w:bCs/>
        </w:rPr>
      </w:pPr>
      <w:bookmarkStart w:name="_Toc172289453" w:id="0"/>
      <w:r>
        <w:rPr>
          <w:b/>
        </w:rPr>
        <w:lastRenderedPageBreak/>
        <w:t>PÄÄTÖSLAUSELMA</w:t>
      </w:r>
      <w:bookmarkEnd w:id="0"/>
      <w:r>
        <w:rPr>
          <w:b/>
        </w:rPr>
        <w:t xml:space="preserve"> </w:t>
      </w:r>
    </w:p>
    <w:p w:rsidRPr="004516BD" w:rsidR="004516BD" w:rsidP="004516BD" w:rsidRDefault="004516BD" w14:paraId="46F44DDA" w14:textId="77777777"/>
    <w:p w:rsidRPr="00A773FA" w:rsidR="00A773FA" w:rsidP="004C40FF" w:rsidRDefault="0010570D" w14:paraId="53AAF1F5" w14:textId="53740CE0">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15">
        <w:r>
          <w:rPr>
            <w:rStyle w:val="Hyperlink"/>
            <w:b/>
            <w:i/>
            <w:sz w:val="28"/>
          </w:rPr>
          <w:t>Ketään ei saa jättää jälkeen.</w:t>
        </w:r>
      </w:hyperlink>
      <w:hyperlink w:history="1" r:id="rId16">
        <w:r w:rsidR="00DC054C">
          <w:rPr>
            <w:b/>
            <w:i/>
            <w:color w:val="0000FF"/>
            <w:sz w:val="28"/>
            <w:u w:val="single"/>
          </w:rPr>
          <w:t xml:space="preserve"> Kattava ja osallistava koheesiopolitiikka sosiaalisen, taloudellisen ja alueellisen yhteenkuuluvuuden tukemiseksi</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703"/>
      </w:tblGrid>
      <w:tr w:rsidRPr="00A6689B" w:rsidR="0010570D" w:rsidTr="006B3766" w14:paraId="26F03E4B" w14:textId="77777777">
        <w:tc>
          <w:tcPr>
            <w:tcW w:w="1143" w:type="pct"/>
          </w:tcPr>
          <w:p w:rsidRPr="00A6689B" w:rsidR="0010570D" w:rsidP="006B3766" w:rsidRDefault="0010570D" w14:paraId="5E3C948D" w14:textId="77777777">
            <w:pPr>
              <w:tabs>
                <w:tab w:val="center" w:pos="284"/>
              </w:tabs>
              <w:ind w:left="266" w:hanging="266"/>
              <w:rPr>
                <w:b/>
              </w:rPr>
            </w:pPr>
            <w:r>
              <w:rPr>
                <w:b/>
              </w:rPr>
              <w:t>Esittelijä</w:t>
            </w:r>
          </w:p>
        </w:tc>
        <w:tc>
          <w:tcPr>
            <w:tcW w:w="3857" w:type="pct"/>
          </w:tcPr>
          <w:p w:rsidRPr="00A6689B" w:rsidR="0010570D" w:rsidP="006B3766" w:rsidRDefault="0010570D" w14:paraId="551BCF65" w14:textId="77777777">
            <w:proofErr w:type="spellStart"/>
            <w:r>
              <w:t>Ioannis</w:t>
            </w:r>
            <w:proofErr w:type="spellEnd"/>
            <w:r>
              <w:t xml:space="preserve"> </w:t>
            </w:r>
            <w:proofErr w:type="spellStart"/>
            <w:r>
              <w:t>Vardakastanis</w:t>
            </w:r>
            <w:proofErr w:type="spellEnd"/>
            <w:r>
              <w:t xml:space="preserve"> (kansalaisyhteiskunnan organisaatiot – EL)</w:t>
            </w:r>
          </w:p>
        </w:tc>
      </w:tr>
      <w:tr w:rsidRPr="00A6689B" w:rsidR="0010570D" w:rsidTr="006B3766" w14:paraId="3628C31E" w14:textId="77777777">
        <w:tc>
          <w:tcPr>
            <w:tcW w:w="5000" w:type="pct"/>
            <w:gridSpan w:val="2"/>
          </w:tcPr>
          <w:p w:rsidRPr="00A6689B" w:rsidR="0010570D" w:rsidP="006B3766" w:rsidRDefault="0010570D" w14:paraId="69928C99" w14:textId="77777777">
            <w:pPr>
              <w:tabs>
                <w:tab w:val="center" w:pos="284"/>
              </w:tabs>
              <w:spacing w:line="160" w:lineRule="exact"/>
              <w:ind w:left="266" w:hanging="266"/>
              <w:rPr>
                <w:lang w:val="en-US"/>
              </w:rPr>
            </w:pPr>
          </w:p>
        </w:tc>
      </w:tr>
      <w:tr w:rsidRPr="00A6689B" w:rsidR="0010570D" w:rsidTr="006B3766" w14:paraId="59C1527A" w14:textId="77777777">
        <w:tc>
          <w:tcPr>
            <w:tcW w:w="1143" w:type="pct"/>
          </w:tcPr>
          <w:p w:rsidRPr="00A6689B" w:rsidR="0010570D" w:rsidP="006B3766" w:rsidRDefault="0010570D" w14:paraId="54D22133" w14:textId="77777777">
            <w:pPr>
              <w:tabs>
                <w:tab w:val="center" w:pos="284"/>
              </w:tabs>
              <w:ind w:left="266" w:hanging="266"/>
              <w:rPr>
                <w:b/>
              </w:rPr>
            </w:pPr>
            <w:r>
              <w:rPr>
                <w:b/>
              </w:rPr>
              <w:t>Viiteasiakirja</w:t>
            </w:r>
          </w:p>
        </w:tc>
        <w:tc>
          <w:tcPr>
            <w:tcW w:w="3857" w:type="pct"/>
          </w:tcPr>
          <w:p w:rsidRPr="00A6689B" w:rsidR="0010570D" w:rsidP="006B3766" w:rsidRDefault="0010570D" w14:paraId="1C50906C" w14:textId="77777777">
            <w:pPr>
              <w:tabs>
                <w:tab w:val="center" w:pos="284"/>
              </w:tabs>
              <w:ind w:left="266" w:hanging="266"/>
            </w:pPr>
            <w:r>
              <w:t>EESC-2024-02528-00-00-RES</w:t>
            </w:r>
          </w:p>
        </w:tc>
      </w:tr>
    </w:tbl>
    <w:p w:rsidRPr="00125102" w:rsidR="0010570D" w:rsidP="0010570D" w:rsidRDefault="0010570D" w14:paraId="68860AF4" w14:textId="77777777">
      <w:pPr>
        <w:spacing w:line="240" w:lineRule="auto"/>
        <w:rPr>
          <w:b/>
          <w:iCs/>
        </w:rPr>
      </w:pPr>
    </w:p>
    <w:p w:rsidR="0010570D" w:rsidP="0010570D" w:rsidRDefault="0010570D" w14:paraId="795F1D69" w14:textId="77777777">
      <w:pPr>
        <w:spacing w:line="240" w:lineRule="auto"/>
        <w:rPr>
          <w:bCs/>
          <w:iCs/>
        </w:rPr>
      </w:pPr>
      <w:r>
        <w:t>ETSK</w:t>
      </w:r>
    </w:p>
    <w:p w:rsidRPr="00F72846" w:rsidR="0010570D" w:rsidP="0010570D" w:rsidRDefault="0010570D" w14:paraId="50F83F21" w14:textId="77777777">
      <w:pPr>
        <w:pStyle w:val="ListParagraph"/>
        <w:numPr>
          <w:ilvl w:val="0"/>
          <w:numId w:val="25"/>
        </w:numPr>
        <w:spacing w:line="240" w:lineRule="auto"/>
        <w:ind w:left="714" w:hanging="357"/>
        <w:rPr>
          <w:bCs/>
        </w:rPr>
      </w:pPr>
      <w:r>
        <w:t>kehottaa Euroopan unionin jäsenvaltioita, unionin johtajia ja toimielimiä sekä EU-kansalaisia vaalimaan EU:n taloudellista, sosiaalista ja alueellista yhteenkuuluvuutta ja turvaamaan sen Euroopan unionin toiminnasta tehdyn sopimuksen 174 artiklan mukaisesti.</w:t>
      </w:r>
    </w:p>
    <w:p w:rsidRPr="00F72846" w:rsidR="0010570D" w:rsidP="0010570D" w:rsidRDefault="0010570D" w14:paraId="5E9AA3BD" w14:textId="77777777">
      <w:pPr>
        <w:pStyle w:val="ListParagraph"/>
        <w:numPr>
          <w:ilvl w:val="0"/>
          <w:numId w:val="25"/>
        </w:numPr>
        <w:spacing w:after="200" w:line="240" w:lineRule="auto"/>
        <w:rPr>
          <w:bCs/>
        </w:rPr>
      </w:pPr>
      <w:r>
        <w:t xml:space="preserve">korostaa, että koheesiopolitiikan perusperiaate, jonka mukaan ketään ei jätetä jälkeen, on edelleen tärkeä ja pätevä ja että kansalaisyhteiskuntaa edustavat tahot ovat valmiita jatkamaan työtä tämän periaatteen puolesta EU:n vahvan investointipolitiikan avulla. </w:t>
      </w:r>
    </w:p>
    <w:p w:rsidRPr="00F72846" w:rsidR="0010570D" w:rsidP="0010570D" w:rsidRDefault="0010570D" w14:paraId="6D885FD3" w14:textId="77777777">
      <w:pPr>
        <w:pStyle w:val="ListParagraph"/>
        <w:numPr>
          <w:ilvl w:val="0"/>
          <w:numId w:val="25"/>
        </w:numPr>
        <w:spacing w:after="200" w:line="240" w:lineRule="auto"/>
        <w:rPr>
          <w:bCs/>
        </w:rPr>
      </w:pPr>
      <w:r>
        <w:t>tähdentää, että epätasa-arvoiset mahdollisuudet voivat pitkällä aikavälillä aiheuttaa haittaa kasvulle ja kilpailukyvylle alue-, valtio- ja EU-tasolla. Siksi on tärkeää, että koheesiopolitiikasta tehdään monipuolisempaa ja joustavampaa ja että se on samanaikaisesti myös uskottavaa, vakaata ja selkeää, jotta voidaan kiinnittää enemmän huomiota ihmisiin ja erityisesti kaikkein heikoimmassa asemassa oleviin ja puuttua paremmin monien kohtaamaan mahdollisuuksien eriarvoisuuteen.</w:t>
      </w:r>
    </w:p>
    <w:p w:rsidRPr="00F72846" w:rsidR="0010570D" w:rsidP="0010570D" w:rsidRDefault="0010570D" w14:paraId="23D11D83" w14:textId="77777777">
      <w:pPr>
        <w:pStyle w:val="ListParagraph"/>
        <w:numPr>
          <w:ilvl w:val="0"/>
          <w:numId w:val="25"/>
        </w:numPr>
        <w:spacing w:after="200" w:line="240" w:lineRule="auto"/>
        <w:rPr>
          <w:bCs/>
        </w:rPr>
      </w:pPr>
      <w:r>
        <w:t xml:space="preserve">suhtautuu kriittisesti siihen, että päätyökseen koheesiopolitiikasta vastaavan komissaarin tehtävä lakkautettaisiin. </w:t>
      </w:r>
    </w:p>
    <w:p w:rsidRPr="00F72846" w:rsidR="0010570D" w:rsidP="0010570D" w:rsidRDefault="0010570D" w14:paraId="2865E7CF" w14:textId="77777777">
      <w:pPr>
        <w:pStyle w:val="ListParagraph"/>
        <w:numPr>
          <w:ilvl w:val="0"/>
          <w:numId w:val="25"/>
        </w:numPr>
        <w:spacing w:after="200" w:line="240" w:lineRule="auto"/>
        <w:rPr>
          <w:bCs/>
        </w:rPr>
      </w:pPr>
      <w:r>
        <w:t>vastustaa koheesiopolitiikan supistamista ja muuntamista pikaista ratkaisua vaativien kriisien ratkaisemisvälineeksi.</w:t>
      </w:r>
    </w:p>
    <w:p w:rsidRPr="00F72846" w:rsidR="0010570D" w:rsidP="0010570D" w:rsidRDefault="0010570D" w14:paraId="687AB308" w14:textId="77777777">
      <w:pPr>
        <w:pStyle w:val="ListParagraph"/>
        <w:numPr>
          <w:ilvl w:val="0"/>
          <w:numId w:val="25"/>
        </w:numPr>
        <w:spacing w:after="200" w:line="240" w:lineRule="auto"/>
        <w:rPr>
          <w:bCs/>
        </w:rPr>
      </w:pPr>
      <w:r>
        <w:t xml:space="preserve">ei hyväksy ajatusta koheesiopolitiikan muuttamisesta elpymis- ja palautumistukivälineen kaltaiseksi välineeksi, johon sidosryhmät eivät pääse vaikuttamaan rakenteellisesti juuri lainkaan ja jonka hallinnointi ei sanottavasti perustu yhteistyöhön eikä ole monitasoista. </w:t>
      </w:r>
    </w:p>
    <w:p w:rsidRPr="00F72846" w:rsidR="0010570D" w:rsidP="0010570D" w:rsidRDefault="0010570D" w14:paraId="46333B02" w14:textId="77777777">
      <w:pPr>
        <w:pStyle w:val="ListParagraph"/>
        <w:numPr>
          <w:ilvl w:val="0"/>
          <w:numId w:val="25"/>
        </w:numPr>
        <w:spacing w:after="200" w:line="240" w:lineRule="auto"/>
        <w:rPr>
          <w:bCs/>
        </w:rPr>
      </w:pPr>
      <w:r>
        <w:t>kannattaa kumppanuusperiaatetta ja selkeitä sääntöjä kansalaisyhteiskunnan osallistamisesta EU:n rahoitusta saavien toimien valintaan, hallinnointiin ja seurantaan.</w:t>
      </w:r>
    </w:p>
    <w:p w:rsidRPr="00F72846" w:rsidR="0010570D" w:rsidP="0010570D" w:rsidRDefault="0010570D" w14:paraId="366B944B" w14:textId="77777777">
      <w:pPr>
        <w:pStyle w:val="ListParagraph"/>
        <w:numPr>
          <w:ilvl w:val="0"/>
          <w:numId w:val="25"/>
        </w:numPr>
        <w:spacing w:after="200" w:line="240" w:lineRule="auto"/>
        <w:rPr>
          <w:bCs/>
        </w:rPr>
      </w:pPr>
      <w:r>
        <w:t>kehottaa säätämään kansalaisyhteiskunnan osallistumisesta vahvoin sanakääntein seuraavassa yhteisiä säännöksiä koskevassa asetuksessa, jolla säännellään koheesiorahastojen ja muun EU:lta saatavan rahoituksen käyttöä vuoden 2027 jälkeen, samalla tavalla kuin kaudella 2021–2027.</w:t>
      </w:r>
    </w:p>
    <w:p w:rsidRPr="00F72846" w:rsidR="0010570D" w:rsidP="0010570D" w:rsidRDefault="0010570D" w14:paraId="5824CF8C" w14:textId="77777777">
      <w:pPr>
        <w:pStyle w:val="ListParagraph"/>
        <w:numPr>
          <w:ilvl w:val="0"/>
          <w:numId w:val="25"/>
        </w:numPr>
        <w:spacing w:after="200" w:line="240" w:lineRule="auto"/>
        <w:rPr>
          <w:bCs/>
        </w:rPr>
      </w:pPr>
      <w:r>
        <w:t>peräänkuuluttaa paikkalähtöistä ja ihmislähtöistä koheesiopolitiikkaa.</w:t>
      </w:r>
    </w:p>
    <w:p w:rsidR="0010570D" w:rsidP="0010570D" w:rsidRDefault="0010570D" w14:paraId="173B0095" w14:textId="77777777">
      <w:pPr>
        <w:pStyle w:val="ListParagraph"/>
        <w:numPr>
          <w:ilvl w:val="0"/>
          <w:numId w:val="25"/>
        </w:numPr>
        <w:spacing w:after="200" w:line="240" w:lineRule="auto"/>
        <w:rPr>
          <w:bCs/>
        </w:rPr>
      </w:pPr>
      <w:r>
        <w:t>kehottaa antamaan koheesiopolitiikalle uutta pontta ja katsoo, että välineiden ja toimintatapojen valikoimaa olisi syytä laajentaa, uudistaa tai muuttaa, jotta voidaan rakentaa vahva, tehokas, joustava ja uudistettu koheesiopolitiikka, jossa painotetaan yhä enemmän valmiuksia, alueiden välisiä yhteyksiä, tulosten vaikuttavuutta ja tuensaajille avautuvia mahdollisuuksia eikä pelkästään investointeja.</w:t>
      </w:r>
    </w:p>
    <w:p w:rsidRPr="00F72846" w:rsidR="0010570D" w:rsidP="0010570D" w:rsidRDefault="0010570D" w14:paraId="4D921BFC" w14:textId="77777777">
      <w:pPr>
        <w:pStyle w:val="ListParagraph"/>
        <w:numPr>
          <w:ilvl w:val="0"/>
          <w:numId w:val="25"/>
        </w:numPr>
        <w:spacing w:after="200" w:line="240" w:lineRule="auto"/>
        <w:rPr>
          <w:bCs/>
        </w:rPr>
      </w:pPr>
      <w:r>
        <w:t>sitoutuu tekemään kaiken voitavansa koheesiopolitiikan perusperiaatteiden turvaamiseksi ja sen varmistamiseksi, että koheesiopolitiikka pysyy Eurooppaa yhdistävänä voimana.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0570D" w:rsidTr="006B3766" w14:paraId="79CEB0DA" w14:textId="77777777">
        <w:tc>
          <w:tcPr>
            <w:tcW w:w="1418" w:type="dxa"/>
          </w:tcPr>
          <w:p w:rsidRPr="00A6689B" w:rsidR="0010570D" w:rsidP="006B3766" w:rsidRDefault="0010570D" w14:paraId="794873CD" w14:textId="77777777">
            <w:pPr>
              <w:keepNext/>
              <w:keepLines/>
              <w:spacing w:line="240" w:lineRule="auto"/>
              <w:rPr>
                <w:i/>
              </w:rPr>
            </w:pPr>
            <w:r>
              <w:rPr>
                <w:b/>
                <w:i/>
              </w:rPr>
              <w:t>Yhteydenotot</w:t>
            </w:r>
          </w:p>
        </w:tc>
        <w:tc>
          <w:tcPr>
            <w:tcW w:w="5670" w:type="dxa"/>
          </w:tcPr>
          <w:p w:rsidRPr="00165B52" w:rsidR="0010570D" w:rsidP="006B3766" w:rsidRDefault="0010570D" w14:paraId="6B8F76D5" w14:textId="77777777">
            <w:pPr>
              <w:keepNext/>
              <w:keepLines/>
              <w:spacing w:line="240" w:lineRule="auto"/>
              <w:rPr>
                <w:i/>
              </w:rPr>
            </w:pPr>
            <w:proofErr w:type="spellStart"/>
            <w:r>
              <w:rPr>
                <w:i/>
              </w:rPr>
              <w:t>Georgios</w:t>
            </w:r>
            <w:proofErr w:type="spellEnd"/>
            <w:r>
              <w:rPr>
                <w:i/>
              </w:rPr>
              <w:t xml:space="preserve"> </w:t>
            </w:r>
            <w:proofErr w:type="spellStart"/>
            <w:r>
              <w:rPr>
                <w:i/>
              </w:rPr>
              <w:t>Meleas</w:t>
            </w:r>
            <w:proofErr w:type="spellEnd"/>
          </w:p>
        </w:tc>
      </w:tr>
      <w:tr w:rsidRPr="00A6689B" w:rsidR="0010570D" w:rsidTr="006B3766" w14:paraId="146C7A5D" w14:textId="77777777">
        <w:tc>
          <w:tcPr>
            <w:tcW w:w="1418" w:type="dxa"/>
          </w:tcPr>
          <w:p w:rsidRPr="00A6689B" w:rsidR="0010570D" w:rsidP="006B3766" w:rsidRDefault="0010570D" w14:paraId="0963958F" w14:textId="77777777">
            <w:pPr>
              <w:keepNext/>
              <w:keepLines/>
              <w:spacing w:line="240" w:lineRule="auto"/>
              <w:rPr>
                <w:i/>
              </w:rPr>
            </w:pPr>
            <w:r>
              <w:rPr>
                <w:i/>
              </w:rPr>
              <w:t>P.</w:t>
            </w:r>
          </w:p>
        </w:tc>
        <w:tc>
          <w:tcPr>
            <w:tcW w:w="5670" w:type="dxa"/>
          </w:tcPr>
          <w:p w:rsidRPr="00A6689B" w:rsidR="0010570D" w:rsidP="006B3766" w:rsidRDefault="0010570D" w14:paraId="4C6D33E3" w14:textId="77777777">
            <w:pPr>
              <w:keepNext/>
              <w:keepLines/>
              <w:spacing w:line="240" w:lineRule="auto"/>
              <w:rPr>
                <w:i/>
              </w:rPr>
            </w:pPr>
            <w:r>
              <w:rPr>
                <w:i/>
              </w:rPr>
              <w:t>+32 25469795</w:t>
            </w:r>
          </w:p>
        </w:tc>
      </w:tr>
      <w:tr w:rsidRPr="00A6689B" w:rsidR="0010570D" w:rsidTr="006B3766" w14:paraId="317E2F1A" w14:textId="77777777">
        <w:tc>
          <w:tcPr>
            <w:tcW w:w="1418" w:type="dxa"/>
          </w:tcPr>
          <w:p w:rsidRPr="00A6689B" w:rsidR="0010570D" w:rsidP="006B3766" w:rsidRDefault="0010570D" w14:paraId="209EEEAB" w14:textId="77777777">
            <w:pPr>
              <w:keepNext/>
              <w:keepLines/>
              <w:spacing w:line="240" w:lineRule="auto"/>
              <w:rPr>
                <w:i/>
              </w:rPr>
            </w:pPr>
            <w:r>
              <w:rPr>
                <w:i/>
              </w:rPr>
              <w:t>Sähköposti</w:t>
            </w:r>
          </w:p>
        </w:tc>
        <w:tc>
          <w:tcPr>
            <w:tcW w:w="5670" w:type="dxa"/>
          </w:tcPr>
          <w:p w:rsidRPr="00A6689B" w:rsidR="0010570D" w:rsidP="006B3766" w:rsidRDefault="0010570D" w14:paraId="0C36E865" w14:textId="77777777">
            <w:pPr>
              <w:keepNext/>
              <w:keepLines/>
              <w:spacing w:line="240" w:lineRule="auto"/>
              <w:rPr>
                <w:i/>
              </w:rPr>
            </w:pPr>
            <w:hyperlink w:history="1" r:id="rId17">
              <w:r>
                <w:rPr>
                  <w:rStyle w:val="Hyperlink"/>
                  <w:i/>
                </w:rPr>
                <w:t>Georgios.Meleas@eesc.europa.eu</w:t>
              </w:r>
            </w:hyperlink>
            <w:r>
              <w:rPr>
                <w:i/>
              </w:rPr>
              <w:t xml:space="preserve"> </w:t>
            </w:r>
          </w:p>
        </w:tc>
      </w:tr>
    </w:tbl>
    <w:p w:rsidR="008469D4" w:rsidP="008469D4" w:rsidRDefault="008469D4" w14:paraId="1862AFC9" w14:textId="6D1C7136"/>
    <w:p w:rsidRPr="008469D4" w:rsidR="001711D7" w:rsidP="004C40FF"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289454" w:id="3"/>
      <w:bookmarkEnd w:id="1"/>
      <w:bookmarkEnd w:id="2"/>
      <w:r>
        <w:rPr>
          <w:b/>
        </w:rPr>
        <w:t>TALOUS- JA RAHALIITTO, TALOUDELLINEN JA SOSIAALINEN YHTEENKUULUVUUS</w:t>
      </w:r>
      <w:bookmarkEnd w:id="3"/>
    </w:p>
    <w:p w:rsidRPr="00EE2FBD" w:rsidR="00B807B4" w:rsidP="00810736" w:rsidRDefault="00B807B4" w14:paraId="3CAC710B" w14:textId="11524E6A">
      <w:pPr>
        <w:pStyle w:val="Heading1"/>
        <w:numPr>
          <w:ilvl w:val="0"/>
          <w:numId w:val="0"/>
        </w:numPr>
        <w:ind w:left="928"/>
        <w:rPr>
          <w:b/>
          <w:bCs/>
        </w:rPr>
      </w:pPr>
    </w:p>
    <w:p w:rsidRPr="0003586F" w:rsidR="0010570D" w:rsidP="0010570D" w:rsidRDefault="0010570D" w14:paraId="36E55E19" w14:textId="77777777">
      <w:pPr>
        <w:widowControl w:val="0"/>
        <w:numPr>
          <w:ilvl w:val="0"/>
          <w:numId w:val="27"/>
        </w:numPr>
        <w:overflowPunct w:val="0"/>
        <w:autoSpaceDE w:val="0"/>
        <w:autoSpaceDN w:val="0"/>
        <w:adjustRightInd w:val="0"/>
        <w:ind w:hanging="567"/>
        <w:textAlignment w:val="baseline"/>
        <w:rPr>
          <w:sz w:val="20"/>
        </w:rPr>
      </w:pPr>
      <w:hyperlink w:history="1" r:id="rId18">
        <w:r>
          <w:rPr>
            <w:rStyle w:val="Hyperlink"/>
            <w:b/>
            <w:i/>
            <w:sz w:val="28"/>
          </w:rPr>
          <w:t>Verokehys yhteisötalouden toimijoille</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A6689B" w:rsidR="0010570D" w:rsidTr="006B3766" w14:paraId="70B50D66" w14:textId="77777777">
        <w:tc>
          <w:tcPr>
            <w:tcW w:w="1167" w:type="pct"/>
          </w:tcPr>
          <w:p w:rsidRPr="00A6689B" w:rsidR="0010570D" w:rsidP="006B3766" w:rsidRDefault="0010570D" w14:paraId="10C10BA6" w14:textId="77777777">
            <w:pPr>
              <w:tabs>
                <w:tab w:val="center" w:pos="284"/>
              </w:tabs>
              <w:ind w:left="266" w:hanging="266"/>
              <w:rPr>
                <w:b/>
              </w:rPr>
            </w:pPr>
            <w:r>
              <w:rPr>
                <w:b/>
              </w:rPr>
              <w:t>Esittelijä</w:t>
            </w:r>
          </w:p>
        </w:tc>
        <w:tc>
          <w:tcPr>
            <w:tcW w:w="3833" w:type="pct"/>
          </w:tcPr>
          <w:p w:rsidRPr="00A6689B" w:rsidR="0010570D" w:rsidP="006B3766" w:rsidRDefault="0010570D" w14:paraId="58E8A955" w14:textId="77777777">
            <w:pPr>
              <w:tabs>
                <w:tab w:val="center" w:pos="284"/>
              </w:tabs>
              <w:ind w:left="266" w:hanging="266"/>
            </w:pPr>
            <w:r>
              <w:t xml:space="preserve">Giuseppe </w:t>
            </w:r>
            <w:proofErr w:type="spellStart"/>
            <w:r>
              <w:t>Guerini</w:t>
            </w:r>
            <w:proofErr w:type="spellEnd"/>
            <w:r>
              <w:t xml:space="preserve"> (kansalaisyhteiskunnan organisaatiot – IT)</w:t>
            </w:r>
          </w:p>
        </w:tc>
      </w:tr>
      <w:tr w:rsidRPr="00A6689B" w:rsidR="0010570D" w:rsidTr="006B3766" w14:paraId="00F6A6B1" w14:textId="77777777">
        <w:tc>
          <w:tcPr>
            <w:tcW w:w="5000" w:type="pct"/>
            <w:gridSpan w:val="2"/>
          </w:tcPr>
          <w:p w:rsidRPr="00A6689B" w:rsidR="0010570D" w:rsidP="006B3766" w:rsidRDefault="0010570D" w14:paraId="6CCFF4FE" w14:textId="77777777">
            <w:pPr>
              <w:tabs>
                <w:tab w:val="center" w:pos="284"/>
              </w:tabs>
              <w:spacing w:line="160" w:lineRule="exact"/>
              <w:ind w:left="266" w:hanging="266"/>
              <w:rPr>
                <w:lang w:val="en-US"/>
              </w:rPr>
            </w:pPr>
          </w:p>
        </w:tc>
      </w:tr>
      <w:tr w:rsidRPr="00A6689B" w:rsidR="0010570D" w:rsidTr="006B3766" w14:paraId="1FF8E212" w14:textId="77777777">
        <w:tc>
          <w:tcPr>
            <w:tcW w:w="1167" w:type="pct"/>
          </w:tcPr>
          <w:p w:rsidRPr="00A6689B" w:rsidR="0010570D" w:rsidP="006B3766" w:rsidRDefault="0010570D" w14:paraId="116595DE" w14:textId="77777777">
            <w:pPr>
              <w:tabs>
                <w:tab w:val="center" w:pos="284"/>
              </w:tabs>
              <w:ind w:left="266" w:hanging="266"/>
              <w:rPr>
                <w:b/>
              </w:rPr>
            </w:pPr>
            <w:r>
              <w:rPr>
                <w:b/>
              </w:rPr>
              <w:t>Viiteasiakirja</w:t>
            </w:r>
          </w:p>
        </w:tc>
        <w:tc>
          <w:tcPr>
            <w:tcW w:w="3833" w:type="pct"/>
          </w:tcPr>
          <w:p w:rsidRPr="00A6689B" w:rsidR="0010570D" w:rsidP="006B3766" w:rsidRDefault="0010570D" w14:paraId="013316A8" w14:textId="77777777">
            <w:pPr>
              <w:tabs>
                <w:tab w:val="center" w:pos="284"/>
              </w:tabs>
              <w:ind w:left="266" w:hanging="266"/>
            </w:pPr>
            <w:r>
              <w:t>EESC-2024-00699-00-00-AC</w:t>
            </w:r>
          </w:p>
        </w:tc>
      </w:tr>
    </w:tbl>
    <w:p w:rsidRPr="00A6689B" w:rsidR="0010570D" w:rsidP="0010570D" w:rsidRDefault="0010570D" w14:paraId="2A057CC2" w14:textId="77777777">
      <w:pPr>
        <w:tabs>
          <w:tab w:val="center" w:pos="284"/>
        </w:tabs>
        <w:ind w:left="266" w:hanging="266"/>
      </w:pPr>
    </w:p>
    <w:p w:rsidRPr="00A6689B" w:rsidR="0010570D" w:rsidP="0010570D" w:rsidRDefault="0010570D" w14:paraId="2F8FEC41" w14:textId="77777777">
      <w:pPr>
        <w:keepNext/>
        <w:keepLines/>
        <w:tabs>
          <w:tab w:val="center" w:pos="284"/>
        </w:tabs>
        <w:ind w:left="266" w:hanging="266"/>
        <w:rPr>
          <w:b/>
        </w:rPr>
      </w:pPr>
      <w:r>
        <w:rPr>
          <w:b/>
        </w:rPr>
        <w:t>Keskeiset kohdat</w:t>
      </w:r>
    </w:p>
    <w:p w:rsidRPr="00A6689B" w:rsidR="0010570D" w:rsidP="0010570D" w:rsidRDefault="0010570D" w14:paraId="3F6741EB" w14:textId="77777777">
      <w:pPr>
        <w:keepNext/>
        <w:keepLines/>
        <w:tabs>
          <w:tab w:val="center" w:pos="284"/>
        </w:tabs>
        <w:ind w:left="266" w:hanging="266"/>
        <w:rPr>
          <w:b/>
        </w:rPr>
      </w:pPr>
    </w:p>
    <w:p w:rsidRPr="00A6689B" w:rsidR="0010570D" w:rsidP="0010570D" w:rsidRDefault="0010570D" w14:paraId="7758B912" w14:textId="77777777">
      <w:pPr>
        <w:rPr>
          <w:bCs/>
          <w:iCs/>
        </w:rPr>
      </w:pPr>
      <w:r>
        <w:t>ETSK</w:t>
      </w:r>
    </w:p>
    <w:p w:rsidR="0010570D" w:rsidP="0010570D" w:rsidRDefault="0010570D" w14:paraId="21C0EC8A" w14:textId="77777777">
      <w:pPr>
        <w:rPr>
          <w:bCs/>
          <w:iCs/>
        </w:rPr>
      </w:pPr>
    </w:p>
    <w:p w:rsidR="0010570D" w:rsidP="0010570D" w:rsidRDefault="0010570D" w14:paraId="013F2D7F" w14:textId="77777777">
      <w:pPr>
        <w:widowControl w:val="0"/>
        <w:numPr>
          <w:ilvl w:val="0"/>
          <w:numId w:val="27"/>
        </w:numPr>
        <w:overflowPunct w:val="0"/>
        <w:autoSpaceDE w:val="0"/>
        <w:autoSpaceDN w:val="0"/>
        <w:adjustRightInd w:val="0"/>
        <w:ind w:left="709"/>
      </w:pPr>
      <w:r>
        <w:t>painottaa, että jäsenvaltioiden verojärjestelmät eivät saisi estää yhteisötalouden kehitystä, ja suhtautuu myönteisesti Euroopan komission tavoitteeseen tukea jäsenvaltioita julkaisemalla asiaankuuluvista yhteisötalouden toimijoita koskevista verokehyksistä suuntaviivat.</w:t>
      </w:r>
    </w:p>
    <w:p w:rsidR="0010570D" w:rsidP="0010570D" w:rsidRDefault="0010570D" w14:paraId="6FC11FED" w14:textId="77777777">
      <w:pPr>
        <w:widowControl w:val="0"/>
        <w:numPr>
          <w:ilvl w:val="0"/>
          <w:numId w:val="27"/>
        </w:numPr>
        <w:overflowPunct w:val="0"/>
        <w:autoSpaceDE w:val="0"/>
        <w:autoSpaceDN w:val="0"/>
        <w:adjustRightInd w:val="0"/>
        <w:ind w:left="709"/>
      </w:pPr>
      <w:r>
        <w:t>toteaa, että tietojen saaminen eri jäsenvaltioissa käytössä olevista toimintamalleista voi olla tärkeä lähtökohta yhteisötalouden toimijoiden yleisen verokehyksen syventämiselle ja parantamiselle sisämarkkinoilla.</w:t>
      </w:r>
    </w:p>
    <w:p w:rsidR="0010570D" w:rsidP="0010570D" w:rsidRDefault="0010570D" w14:paraId="5EF2A92E" w14:textId="77777777">
      <w:pPr>
        <w:widowControl w:val="0"/>
        <w:numPr>
          <w:ilvl w:val="0"/>
          <w:numId w:val="27"/>
        </w:numPr>
        <w:overflowPunct w:val="0"/>
        <w:autoSpaceDE w:val="0"/>
        <w:autoSpaceDN w:val="0"/>
        <w:adjustRightInd w:val="0"/>
        <w:ind w:left="709"/>
      </w:pPr>
      <w:r>
        <w:t>toivoo, että tulevaisuudessa tapaa, jolla yhteisötalouden toimijoiden verotusta käsitellään, voitaisiin yhdenmukaistaa sisämarkkinoiden lujittamiseksi.</w:t>
      </w:r>
    </w:p>
    <w:p w:rsidR="0010570D" w:rsidP="0010570D" w:rsidRDefault="0010570D" w14:paraId="1E512640" w14:textId="77777777">
      <w:pPr>
        <w:widowControl w:val="0"/>
        <w:numPr>
          <w:ilvl w:val="0"/>
          <w:numId w:val="27"/>
        </w:numPr>
        <w:overflowPunct w:val="0"/>
        <w:autoSpaceDE w:val="0"/>
        <w:autoSpaceDN w:val="0"/>
        <w:adjustRightInd w:val="0"/>
        <w:ind w:left="709"/>
      </w:pPr>
      <w:r>
        <w:t>kehottaa pohtimaan perusteellisesti mahdollisia keinoja yhdenmukaistaa yhteisötalouden verotusta EU:ssa.</w:t>
      </w:r>
    </w:p>
    <w:p w:rsidR="0010570D" w:rsidP="0010570D" w:rsidRDefault="0010570D" w14:paraId="2A35253E" w14:textId="77777777">
      <w:pPr>
        <w:widowControl w:val="0"/>
        <w:numPr>
          <w:ilvl w:val="0"/>
          <w:numId w:val="27"/>
        </w:numPr>
        <w:overflowPunct w:val="0"/>
        <w:autoSpaceDE w:val="0"/>
        <w:autoSpaceDN w:val="0"/>
        <w:adjustRightInd w:val="0"/>
        <w:ind w:left="709"/>
      </w:pPr>
      <w:r>
        <w:t>kannustaa Euroopan komissiota ja jäsenvaltioita harkitsemaan myös erityiseen etuuskohteluun perustuvia arvonlisäverokantoja yhteisötalouden toimijoiden tarjoamalle yleishyödylliselle toiminnalle ja sosiaalipalveluille erityisesti vanhustenhuollon, henkilöpalvelujen ja pitkäaikaishoidon alalla.</w:t>
      </w:r>
    </w:p>
    <w:p w:rsidRPr="000624A9" w:rsidR="0010570D" w:rsidP="0010570D" w:rsidRDefault="0010570D" w14:paraId="53E273A5" w14:textId="77777777">
      <w:pPr>
        <w:pStyle w:val="ListParagraph"/>
        <w:spacing w:line="360" w:lineRule="auto"/>
        <w:ind w:left="714"/>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10570D" w:rsidTr="006B3766" w14:paraId="29CCD32C" w14:textId="77777777">
        <w:tc>
          <w:tcPr>
            <w:tcW w:w="1556" w:type="pct"/>
          </w:tcPr>
          <w:p w:rsidRPr="00A6689B" w:rsidR="0010570D" w:rsidP="006B3766" w:rsidRDefault="0010570D" w14:paraId="317B5CA8" w14:textId="77777777">
            <w:pPr>
              <w:spacing w:line="240" w:lineRule="auto"/>
              <w:rPr>
                <w:i/>
              </w:rPr>
            </w:pPr>
            <w:r>
              <w:rPr>
                <w:b/>
                <w:i/>
              </w:rPr>
              <w:t>Yhteydenotot</w:t>
            </w:r>
          </w:p>
        </w:tc>
        <w:tc>
          <w:tcPr>
            <w:tcW w:w="3444" w:type="pct"/>
          </w:tcPr>
          <w:p w:rsidRPr="00A6689B" w:rsidR="0010570D" w:rsidP="006B3766" w:rsidRDefault="0010570D" w14:paraId="649E5918" w14:textId="77777777">
            <w:pPr>
              <w:spacing w:line="240" w:lineRule="auto"/>
              <w:rPr>
                <w:i/>
              </w:rPr>
            </w:pPr>
            <w:proofErr w:type="spellStart"/>
            <w:r>
              <w:rPr>
                <w:i/>
              </w:rPr>
              <w:t>Jüri</w:t>
            </w:r>
            <w:proofErr w:type="spellEnd"/>
            <w:r>
              <w:rPr>
                <w:i/>
              </w:rPr>
              <w:t xml:space="preserve"> </w:t>
            </w:r>
            <w:proofErr w:type="spellStart"/>
            <w:r>
              <w:rPr>
                <w:i/>
              </w:rPr>
              <w:t>Soosaar</w:t>
            </w:r>
            <w:proofErr w:type="spellEnd"/>
          </w:p>
        </w:tc>
      </w:tr>
      <w:tr w:rsidRPr="00A6689B" w:rsidR="0010570D" w:rsidTr="006B3766" w14:paraId="512668D2" w14:textId="77777777">
        <w:tc>
          <w:tcPr>
            <w:tcW w:w="1556" w:type="pct"/>
          </w:tcPr>
          <w:p w:rsidRPr="00A6689B" w:rsidR="0010570D" w:rsidP="006B3766" w:rsidRDefault="0010570D" w14:paraId="31CE1694" w14:textId="77777777">
            <w:pPr>
              <w:spacing w:line="240" w:lineRule="auto"/>
              <w:rPr>
                <w:i/>
              </w:rPr>
            </w:pPr>
            <w:r>
              <w:rPr>
                <w:i/>
              </w:rPr>
              <w:t>P.</w:t>
            </w:r>
          </w:p>
        </w:tc>
        <w:tc>
          <w:tcPr>
            <w:tcW w:w="3444" w:type="pct"/>
          </w:tcPr>
          <w:p w:rsidRPr="00A6689B" w:rsidR="0010570D" w:rsidP="006B3766" w:rsidRDefault="0010570D" w14:paraId="4A44EC34" w14:textId="77777777">
            <w:pPr>
              <w:spacing w:line="240" w:lineRule="auto"/>
              <w:rPr>
                <w:i/>
              </w:rPr>
            </w:pPr>
            <w:r>
              <w:rPr>
                <w:i/>
              </w:rPr>
              <w:t>+32 25469628</w:t>
            </w:r>
          </w:p>
        </w:tc>
      </w:tr>
      <w:tr w:rsidRPr="00A6689B" w:rsidR="0010570D" w:rsidTr="006B3766" w14:paraId="49D20D27" w14:textId="77777777">
        <w:tc>
          <w:tcPr>
            <w:tcW w:w="1556" w:type="pct"/>
          </w:tcPr>
          <w:p w:rsidRPr="00A6689B" w:rsidR="0010570D" w:rsidP="006B3766" w:rsidRDefault="0010570D" w14:paraId="499029A3" w14:textId="77777777">
            <w:pPr>
              <w:spacing w:line="240" w:lineRule="auto"/>
              <w:rPr>
                <w:i/>
              </w:rPr>
            </w:pPr>
            <w:r>
              <w:rPr>
                <w:i/>
              </w:rPr>
              <w:t>Sähköposti</w:t>
            </w:r>
          </w:p>
        </w:tc>
        <w:tc>
          <w:tcPr>
            <w:tcW w:w="3444" w:type="pct"/>
          </w:tcPr>
          <w:p w:rsidRPr="00A6689B" w:rsidR="0010570D" w:rsidP="006B3766" w:rsidRDefault="0010570D" w14:paraId="3A9A3AE4" w14:textId="77777777">
            <w:pPr>
              <w:spacing w:line="240" w:lineRule="auto"/>
              <w:rPr>
                <w:i/>
              </w:rPr>
            </w:pPr>
            <w:hyperlink w:history="1" r:id="rId19">
              <w:r>
                <w:rPr>
                  <w:rStyle w:val="Hyperlink"/>
                  <w:i/>
                </w:rPr>
                <w:t>Juri.Soosaar@eesc.europa.eu</w:t>
              </w:r>
            </w:hyperlink>
          </w:p>
        </w:tc>
      </w:tr>
    </w:tbl>
    <w:p w:rsidR="0010570D" w:rsidP="0010570D" w:rsidRDefault="0010570D" w14:paraId="1A4F6038" w14:textId="77777777">
      <w:pPr>
        <w:jc w:val="center"/>
        <w:rPr>
          <w:lang w:val="nl-BE"/>
        </w:rPr>
      </w:pPr>
    </w:p>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Start w:name="_Hlk171935721" w:id="5"/>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289455" w:id="6"/>
      <w:r>
        <w:rPr>
          <w:rStyle w:val="Hyperlink"/>
          <w:color w:val="000000" w:themeColor="text1"/>
          <w:sz w:val="22"/>
          <w:u w:val="none"/>
        </w:rPr>
        <w:t>3.</w:t>
      </w:r>
      <w:r>
        <w:rPr>
          <w:rFonts w:asciiTheme="minorHAnsi" w:hAnsiTheme="minorHAnsi"/>
          <w:color w:val="000000" w:themeColor="text1"/>
        </w:rPr>
        <w:tab/>
      </w:r>
      <w:r>
        <w:t>TYÖLLISYYS, SOSIAALIASIAT JA KANSALAISUUS</w:t>
      </w:r>
      <w:bookmarkEnd w:id="6"/>
      <w:r>
        <w:rPr>
          <w:rStyle w:val="Hyperlink"/>
          <w:rFonts w:asciiTheme="minorHAnsi" w:hAnsiTheme="minorHAnsi"/>
          <w:color w:val="auto"/>
          <w:sz w:val="22"/>
          <w:u w:val="none"/>
        </w:rPr>
        <w:t xml:space="preserve"> </w:t>
      </w:r>
      <w:r>
        <w:rPr>
          <w:rStyle w:val="Hyperlink"/>
          <w:color w:val="000000" w:themeColor="text1"/>
          <w:sz w:val="22"/>
          <w:u w:val="none"/>
        </w:rPr>
        <w:fldChar w:fldCharType="end"/>
      </w:r>
    </w:p>
    <w:bookmarkEnd w:id="5"/>
    <w:p w:rsidRPr="00D92244" w:rsidR="00D92244" w:rsidP="00D92244" w:rsidRDefault="00D92244" w14:paraId="38D997EF" w14:textId="77777777">
      <w:pPr>
        <w:rPr>
          <w:rFonts w:eastAsiaTheme="minorEastAsia"/>
        </w:rPr>
      </w:pPr>
    </w:p>
    <w:p w:rsidRPr="00231B83" w:rsidR="00231B83" w:rsidP="00231B83" w:rsidRDefault="00231B83" w14:paraId="15471AA9" w14:textId="2E6325E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"https://www.eesc.europa.eu/en/our-work/opinions-information-reports/opinions/combating-sexual-abuse-and-sexual-exploitation-children-and-child-pornography"</w:instrText>
      </w:r>
      <w:r w:rsidRPr="00231B83">
        <w:rPr>
          <w:b/>
          <w:i/>
          <w:sz w:val="28"/>
        </w:rPr>
        <w:fldChar w:fldCharType="separate"/>
      </w:r>
      <w:r w:rsidRPr="0010570D" w:rsidR="0010570D">
        <w:t xml:space="preserve"> </w:t>
      </w:r>
      <w:r w:rsidRPr="0010570D" w:rsidR="0010570D">
        <w:rPr>
          <w:b/>
          <w:i/>
          <w:color w:val="0000FF"/>
          <w:sz w:val="28"/>
          <w:u w:val="single"/>
        </w:rPr>
        <w:t>Lapsiin kohdistuvan seksuaaliväkivallan ja seksuaalisen riiston sekä lapsipornografian torjuminen</w:t>
      </w:r>
    </w:p>
    <w:p w:rsidR="0010570D" w:rsidP="0010570D" w:rsidRDefault="00231B83" w14:paraId="3AD69C10" w14:textId="77777777">
      <w:pPr>
        <w:widowControl w:val="0"/>
        <w:overflowPunct w:val="0"/>
        <w:autoSpaceDE w:val="0"/>
        <w:autoSpaceDN w:val="0"/>
        <w:adjustRightInd w:val="0"/>
        <w:ind w:left="567"/>
        <w:textAlignment w:val="baseline"/>
      </w:pPr>
      <w:r w:rsidRPr="00231B83">
        <w:rPr>
          <w:b/>
          <w:i/>
          <w:sz w:val="28"/>
        </w:rPr>
        <w:fldChar w:fldCharType="end"/>
      </w: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A6689B" w:rsidR="0010570D" w:rsidTr="006B3766" w14:paraId="0D5623DA" w14:textId="77777777">
        <w:tc>
          <w:tcPr>
            <w:tcW w:w="1321" w:type="pct"/>
          </w:tcPr>
          <w:p w:rsidR="0010570D" w:rsidP="006B3766" w:rsidRDefault="0010570D" w14:paraId="562DE7C1" w14:textId="77777777">
            <w:pPr>
              <w:ind w:left="-113"/>
              <w:rPr>
                <w:b/>
              </w:rPr>
            </w:pPr>
            <w:r>
              <w:rPr>
                <w:b/>
              </w:rPr>
              <w:t>Esittelijä</w:t>
            </w:r>
          </w:p>
          <w:p w:rsidRPr="00A6689B" w:rsidR="0010570D" w:rsidP="006B3766" w:rsidRDefault="0010570D" w14:paraId="3A20BE11" w14:textId="77777777">
            <w:pPr>
              <w:ind w:left="-113"/>
              <w:rPr>
                <w:b/>
              </w:rPr>
            </w:pPr>
            <w:r>
              <w:rPr>
                <w:b/>
              </w:rPr>
              <w:t>Yhteisesittelijä</w:t>
            </w:r>
          </w:p>
        </w:tc>
        <w:tc>
          <w:tcPr>
            <w:tcW w:w="3679" w:type="pct"/>
          </w:tcPr>
          <w:p w:rsidR="0010570D" w:rsidP="006B3766" w:rsidRDefault="0010570D" w14:paraId="15285BAF" w14:textId="77777777">
            <w:pPr>
              <w:tabs>
                <w:tab w:val="left" w:pos="4572"/>
              </w:tabs>
              <w:ind w:left="-113" w:right="-823"/>
            </w:pPr>
            <w:r>
              <w:t>Christian BÄUMLER (työntekijät – DE)</w:t>
            </w:r>
          </w:p>
          <w:p w:rsidRPr="00E51944" w:rsidR="0010570D" w:rsidP="006B3766" w:rsidRDefault="0010570D" w14:paraId="48520351" w14:textId="77777777">
            <w:pPr>
              <w:tabs>
                <w:tab w:val="left" w:pos="4572"/>
              </w:tabs>
              <w:ind w:left="-113" w:right="-823"/>
            </w:pPr>
            <w:r>
              <w:t>Diana INDJOVA (kansalaisyhteiskunnan organisaatiot – BG)</w:t>
            </w:r>
          </w:p>
        </w:tc>
      </w:tr>
      <w:tr w:rsidRPr="00A6689B" w:rsidR="0010570D" w:rsidTr="006B3766" w14:paraId="6ABDEB1A" w14:textId="77777777">
        <w:tc>
          <w:tcPr>
            <w:tcW w:w="1321" w:type="pct"/>
            <w:vMerge w:val="restart"/>
          </w:tcPr>
          <w:p w:rsidRPr="00557B11" w:rsidR="0010570D" w:rsidP="006B3766" w:rsidRDefault="0010570D" w14:paraId="3CAA2B7A" w14:textId="77777777">
            <w:pPr>
              <w:ind w:left="-113"/>
              <w:rPr>
                <w:b/>
              </w:rPr>
            </w:pPr>
            <w:r>
              <w:rPr>
                <w:b/>
              </w:rPr>
              <w:t>Viiteasiakirja</w:t>
            </w:r>
          </w:p>
        </w:tc>
        <w:tc>
          <w:tcPr>
            <w:tcW w:w="3679" w:type="pct"/>
          </w:tcPr>
          <w:p w:rsidRPr="00557B11" w:rsidR="0010570D" w:rsidP="006B3766" w:rsidRDefault="0010570D" w14:paraId="6752B385" w14:textId="77777777">
            <w:pPr>
              <w:tabs>
                <w:tab w:val="left" w:pos="4430"/>
              </w:tabs>
              <w:ind w:left="-113" w:right="-823"/>
            </w:pPr>
            <w:r>
              <w:t>EESC-2024-00873-00-00-AC</w:t>
            </w:r>
          </w:p>
        </w:tc>
      </w:tr>
      <w:tr w:rsidRPr="00A6689B" w:rsidR="0010570D" w:rsidTr="006B3766" w14:paraId="21E26304" w14:textId="77777777">
        <w:tc>
          <w:tcPr>
            <w:tcW w:w="1321" w:type="pct"/>
            <w:vMerge/>
          </w:tcPr>
          <w:p w:rsidRPr="00A6689B" w:rsidR="0010570D" w:rsidP="006B3766" w:rsidRDefault="0010570D" w14:paraId="12F132F8" w14:textId="77777777">
            <w:pPr>
              <w:tabs>
                <w:tab w:val="center" w:pos="284"/>
              </w:tabs>
              <w:ind w:left="266" w:hanging="266"/>
              <w:rPr>
                <w:b/>
                <w:lang w:val="en-US"/>
              </w:rPr>
            </w:pPr>
          </w:p>
        </w:tc>
        <w:tc>
          <w:tcPr>
            <w:tcW w:w="3679" w:type="pct"/>
          </w:tcPr>
          <w:p w:rsidRPr="00A6689B" w:rsidR="0010570D" w:rsidP="006B3766" w:rsidRDefault="0010570D" w14:paraId="4A3D047F" w14:textId="77777777">
            <w:pPr>
              <w:tabs>
                <w:tab w:val="center" w:pos="284"/>
                <w:tab w:val="left" w:pos="4430"/>
              </w:tabs>
              <w:ind w:left="266" w:right="-823" w:hanging="266"/>
              <w:rPr>
                <w:lang w:val="en-US"/>
              </w:rPr>
            </w:pPr>
          </w:p>
        </w:tc>
      </w:tr>
    </w:tbl>
    <w:p w:rsidR="0010570D" w:rsidP="0010570D" w:rsidRDefault="0010570D" w14:paraId="04FD52FE" w14:textId="77777777">
      <w:pPr>
        <w:keepNext/>
        <w:keepLines/>
        <w:tabs>
          <w:tab w:val="center" w:pos="284"/>
        </w:tabs>
        <w:ind w:left="266" w:hanging="266"/>
        <w:rPr>
          <w:b/>
        </w:rPr>
      </w:pPr>
      <w:r>
        <w:rPr>
          <w:b/>
        </w:rPr>
        <w:t>Keskeiset kohdat</w:t>
      </w:r>
    </w:p>
    <w:p w:rsidRPr="00FE759E" w:rsidR="0010570D" w:rsidP="0010570D" w:rsidRDefault="0010570D" w14:paraId="05659924" w14:textId="77777777">
      <w:pPr>
        <w:keepNext/>
        <w:keepLines/>
        <w:tabs>
          <w:tab w:val="center" w:pos="284"/>
        </w:tabs>
        <w:ind w:left="266" w:hanging="266"/>
        <w:rPr>
          <w:b/>
          <w:sz w:val="16"/>
          <w:szCs w:val="16"/>
        </w:rPr>
      </w:pPr>
    </w:p>
    <w:p w:rsidR="0010570D" w:rsidP="0010570D" w:rsidRDefault="0010570D" w14:paraId="25B0BCC4" w14:textId="77777777">
      <w:pPr>
        <w:keepNext/>
        <w:keepLines/>
        <w:tabs>
          <w:tab w:val="center" w:pos="284"/>
        </w:tabs>
        <w:ind w:left="266" w:hanging="266"/>
      </w:pPr>
      <w:r>
        <w:t>ETSK</w:t>
      </w:r>
    </w:p>
    <w:p w:rsidRPr="00C91A2B" w:rsidR="0010570D" w:rsidP="0010570D" w:rsidRDefault="0010570D" w14:paraId="08467802" w14:textId="77777777">
      <w:pPr>
        <w:pStyle w:val="ListParagraph"/>
        <w:keepNext/>
        <w:keepLines/>
        <w:numPr>
          <w:ilvl w:val="0"/>
          <w:numId w:val="28"/>
        </w:numPr>
        <w:tabs>
          <w:tab w:val="center" w:pos="284"/>
        </w:tabs>
        <w:spacing w:after="200" w:line="276" w:lineRule="auto"/>
      </w:pPr>
      <w:r>
        <w:t>kannattaa ehdotuksen tavoitetta varmistaa, että kaikki lapsiin kohdistuvan seksuaaliväkivallan ja seksuaalisen riiston muodot, myös teknologian kehityksen mahdollistamat tai helpottamat muodot, kriminalisoidaan.</w:t>
      </w:r>
    </w:p>
    <w:p w:rsidRPr="00C91A2B" w:rsidR="0010570D" w:rsidP="0010570D" w:rsidRDefault="0010570D" w14:paraId="12769F2C" w14:textId="77777777">
      <w:pPr>
        <w:pStyle w:val="ListParagraph"/>
        <w:keepNext/>
        <w:keepLines/>
        <w:numPr>
          <w:ilvl w:val="0"/>
          <w:numId w:val="28"/>
        </w:numPr>
        <w:tabs>
          <w:tab w:val="center" w:pos="284"/>
        </w:tabs>
        <w:spacing w:after="200" w:line="276" w:lineRule="auto"/>
      </w:pPr>
      <w:r>
        <w:t>pitää tärkeänä keskittyä erityisen haavoittuvassa asemassa olevaan ryhmään eli vammaisiin lapsiin, jotka voivat päätyä helposti seksuaaliväkivallan ja seksuaalisen riiston sekä kyberrikollisuuden uhreiksi.</w:t>
      </w:r>
    </w:p>
    <w:p w:rsidRPr="00C91A2B" w:rsidR="0010570D" w:rsidP="0010570D" w:rsidRDefault="0010570D" w14:paraId="6BC52888" w14:textId="77777777">
      <w:pPr>
        <w:pStyle w:val="ListParagraph"/>
        <w:keepNext/>
        <w:keepLines/>
        <w:numPr>
          <w:ilvl w:val="0"/>
          <w:numId w:val="28"/>
        </w:numPr>
        <w:tabs>
          <w:tab w:val="center" w:pos="284"/>
        </w:tabs>
        <w:spacing w:after="200" w:line="276" w:lineRule="auto"/>
      </w:pPr>
      <w:r>
        <w:t>pitää tarpeellisena edistää lapsiin kohdistuvan seksuaaliväkivallan ehkäisyn ja torjunnan parempaa koordinointia jäsenvaltioiden kesken ja kansallisella tasolla. Komitea kannattaa tässä yhteydessä ehdotuksen mukaista jäsenvaltioiden velvoitetta perustaa kansallinen viranomainen, joka vastaa tällaisesta koordinoinnista.</w:t>
      </w:r>
    </w:p>
    <w:p w:rsidRPr="00C91A2B" w:rsidR="0010570D" w:rsidP="0010570D" w:rsidRDefault="0010570D" w14:paraId="05B0E98A" w14:textId="77777777">
      <w:pPr>
        <w:pStyle w:val="ListParagraph"/>
        <w:keepNext/>
        <w:keepLines/>
        <w:numPr>
          <w:ilvl w:val="0"/>
          <w:numId w:val="28"/>
        </w:numPr>
        <w:tabs>
          <w:tab w:val="center" w:pos="284"/>
        </w:tabs>
        <w:spacing w:after="200" w:line="276" w:lineRule="auto"/>
      </w:pPr>
      <w:r>
        <w:t>painottaa, että rikoksentekijöiden tehokas syytteeseenpano ja uhrien suojelu kaikkialla EU:ssa edellyttää rikosten määrittelyä ja seuraamusten tasoa koskevien yhteisten vähimmäisvaatimusten vahvistamista. Komitea kannattaa niin kutsuttujen pedofiilin oppaiden kriminalisointia.</w:t>
      </w:r>
    </w:p>
    <w:p w:rsidRPr="00C91A2B" w:rsidR="0010570D" w:rsidP="0010570D" w:rsidRDefault="0010570D" w14:paraId="6EFBF79F" w14:textId="77777777">
      <w:pPr>
        <w:pStyle w:val="ListParagraph"/>
        <w:keepNext/>
        <w:keepLines/>
        <w:numPr>
          <w:ilvl w:val="0"/>
          <w:numId w:val="28"/>
        </w:numPr>
        <w:tabs>
          <w:tab w:val="center" w:pos="284"/>
        </w:tabs>
        <w:spacing w:after="200" w:line="276" w:lineRule="auto"/>
      </w:pPr>
      <w:r>
        <w:t>kehottaa sääntelemään lapsiin kohdistuvaan seksuaaliväkivaltaan ja seksuaaliseen riistoon liittyvää kansainvälistä tietojenvaihtoa konkreettisin säännöin ja laajentamaan tietojen säilyttämismahdollisuuksia kaikissa jäsenvaltioissa luomalla EU-tason tutkimuskeskuksen.</w:t>
      </w:r>
    </w:p>
    <w:p w:rsidRPr="00C91A2B" w:rsidR="0010570D" w:rsidP="0010570D" w:rsidRDefault="0010570D" w14:paraId="53577A35" w14:textId="77777777">
      <w:pPr>
        <w:pStyle w:val="ListParagraph"/>
        <w:keepNext/>
        <w:keepLines/>
        <w:numPr>
          <w:ilvl w:val="0"/>
          <w:numId w:val="28"/>
        </w:numPr>
        <w:tabs>
          <w:tab w:val="center" w:pos="284"/>
        </w:tabs>
        <w:spacing w:after="200" w:line="276" w:lineRule="auto"/>
      </w:pPr>
      <w:r>
        <w:t>kannattaa tavoitetta parantaa seksuaalisen riiston ja hyväksikäytön ennaltaehkäisyä sekä uhrien auttamista. Komitea pitää tervetulleena ehdotettua vähimmäisrangaistusten tiukentamista sekä vanhentumisaikojen pidentämistä.</w:t>
      </w:r>
    </w:p>
    <w:p w:rsidRPr="00C91A2B" w:rsidR="0010570D" w:rsidP="0010570D" w:rsidRDefault="0010570D" w14:paraId="5DF82F60" w14:textId="77777777">
      <w:pPr>
        <w:pStyle w:val="ListParagraph"/>
        <w:keepNext/>
        <w:keepLines/>
        <w:numPr>
          <w:ilvl w:val="0"/>
          <w:numId w:val="28"/>
        </w:numPr>
        <w:tabs>
          <w:tab w:val="center" w:pos="284"/>
        </w:tabs>
        <w:spacing w:after="200" w:line="276" w:lineRule="auto"/>
      </w:pPr>
      <w:r>
        <w:t xml:space="preserve">korostaa, että sekä lainvalvontaviranomaisille että kaikille lasten kanssa tekemisissä oleville on annettava jatkuvaa koulutusta. </w:t>
      </w:r>
    </w:p>
    <w:p w:rsidRPr="00C91A2B" w:rsidR="0010570D" w:rsidP="0010570D" w:rsidRDefault="0010570D" w14:paraId="153E53D7" w14:textId="77777777">
      <w:pPr>
        <w:pStyle w:val="ListParagraph"/>
        <w:keepNext/>
        <w:keepLines/>
        <w:numPr>
          <w:ilvl w:val="0"/>
          <w:numId w:val="28"/>
        </w:numPr>
        <w:tabs>
          <w:tab w:val="center" w:pos="284"/>
        </w:tabs>
        <w:spacing w:after="200" w:line="276" w:lineRule="auto"/>
      </w:pPr>
      <w:r>
        <w:t>pitää ratkaisevan tärkeänä ottaa kansalaisyhteiskunta mukaan sekä lapsiin kohdistuvan seksuaaliväkivallan ja seksuaalisen riiston torjuntaan että sen ennaltaehkäisyyn ja uhrien tukemiseen.</w:t>
      </w:r>
    </w:p>
    <w:p w:rsidRPr="00FE759E" w:rsidR="0010570D" w:rsidP="0010570D" w:rsidRDefault="0010570D" w14:paraId="13230A0B" w14:textId="77777777">
      <w:pPr>
        <w:pStyle w:val="ListParagraph"/>
        <w:keepNext/>
        <w:keepLines/>
        <w:tabs>
          <w:tab w:val="center" w:pos="284"/>
        </w:tabs>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10570D" w:rsidTr="006B3766" w14:paraId="71344964" w14:textId="77777777">
        <w:tc>
          <w:tcPr>
            <w:tcW w:w="1556" w:type="pct"/>
          </w:tcPr>
          <w:p w:rsidRPr="00A6689B" w:rsidR="0010570D" w:rsidP="006B3766" w:rsidRDefault="0010570D" w14:paraId="4244FE8B" w14:textId="77777777">
            <w:pPr>
              <w:spacing w:line="240" w:lineRule="auto"/>
              <w:rPr>
                <w:i/>
              </w:rPr>
            </w:pPr>
            <w:r>
              <w:rPr>
                <w:b/>
                <w:i/>
              </w:rPr>
              <w:t>Yhteydenotot</w:t>
            </w:r>
          </w:p>
        </w:tc>
        <w:tc>
          <w:tcPr>
            <w:tcW w:w="3444" w:type="pct"/>
          </w:tcPr>
          <w:p w:rsidRPr="00A6689B" w:rsidR="0010570D" w:rsidP="006B3766" w:rsidRDefault="0010570D" w14:paraId="6BE5FD53" w14:textId="77777777">
            <w:pPr>
              <w:spacing w:line="240" w:lineRule="auto"/>
              <w:rPr>
                <w:i/>
              </w:rPr>
            </w:pPr>
            <w:proofErr w:type="spellStart"/>
            <w:r>
              <w:rPr>
                <w:i/>
              </w:rPr>
              <w:t>Sabrina</w:t>
            </w:r>
            <w:proofErr w:type="spellEnd"/>
            <w:r>
              <w:rPr>
                <w:i/>
              </w:rPr>
              <w:t xml:space="preserve"> BORG</w:t>
            </w:r>
          </w:p>
        </w:tc>
      </w:tr>
      <w:tr w:rsidRPr="00A6689B" w:rsidR="0010570D" w:rsidTr="006B3766" w14:paraId="7A140AE9" w14:textId="77777777">
        <w:tc>
          <w:tcPr>
            <w:tcW w:w="1556" w:type="pct"/>
          </w:tcPr>
          <w:p w:rsidRPr="00A6689B" w:rsidR="0010570D" w:rsidP="006B3766" w:rsidRDefault="0010570D" w14:paraId="7DF0856C" w14:textId="77777777">
            <w:pPr>
              <w:spacing w:line="240" w:lineRule="auto"/>
              <w:rPr>
                <w:i/>
              </w:rPr>
            </w:pPr>
            <w:r>
              <w:rPr>
                <w:i/>
              </w:rPr>
              <w:t>Puh.</w:t>
            </w:r>
          </w:p>
        </w:tc>
        <w:tc>
          <w:tcPr>
            <w:tcW w:w="3444" w:type="pct"/>
          </w:tcPr>
          <w:p w:rsidRPr="00A6689B" w:rsidR="0010570D" w:rsidP="006B3766" w:rsidRDefault="0010570D" w14:paraId="0F3B896E" w14:textId="77777777">
            <w:pPr>
              <w:spacing w:line="240" w:lineRule="auto"/>
              <w:rPr>
                <w:i/>
              </w:rPr>
            </w:pPr>
            <w:r>
              <w:rPr>
                <w:i/>
              </w:rPr>
              <w:t>+32 25469727</w:t>
            </w:r>
          </w:p>
        </w:tc>
      </w:tr>
      <w:tr w:rsidRPr="00A6689B" w:rsidR="0010570D" w:rsidTr="006B3766" w14:paraId="654C3E6F" w14:textId="77777777">
        <w:tc>
          <w:tcPr>
            <w:tcW w:w="1556" w:type="pct"/>
          </w:tcPr>
          <w:p w:rsidRPr="00A6689B" w:rsidR="0010570D" w:rsidP="006B3766" w:rsidRDefault="0010570D" w14:paraId="6DF3978F" w14:textId="77777777">
            <w:pPr>
              <w:spacing w:line="240" w:lineRule="auto"/>
              <w:rPr>
                <w:i/>
              </w:rPr>
            </w:pPr>
            <w:r>
              <w:rPr>
                <w:i/>
              </w:rPr>
              <w:t>Sähköposti</w:t>
            </w:r>
          </w:p>
        </w:tc>
        <w:tc>
          <w:tcPr>
            <w:tcW w:w="3444" w:type="pct"/>
          </w:tcPr>
          <w:p w:rsidRPr="009A2735" w:rsidR="0010570D" w:rsidP="006B3766" w:rsidRDefault="0010570D" w14:paraId="350A4029" w14:textId="77777777">
            <w:pPr>
              <w:spacing w:line="240" w:lineRule="auto"/>
              <w:rPr>
                <w:rStyle w:val="Hyperlink"/>
              </w:rPr>
            </w:pPr>
            <w:hyperlink w:history="1" r:id="rId20">
              <w:r>
                <w:rPr>
                  <w:rStyle w:val="Hyperlink"/>
                  <w:i/>
                </w:rPr>
                <w:t>Sabrina.Borg@eesc.europa.eu</w:t>
              </w:r>
            </w:hyperlink>
          </w:p>
        </w:tc>
      </w:tr>
    </w:tbl>
    <w:p w:rsidR="00231B83" w:rsidP="0010570D" w:rsidRDefault="00231B83" w14:paraId="1E1037F2" w14:textId="1C31BAC3">
      <w:pPr>
        <w:widowControl w:val="0"/>
        <w:overflowPunct w:val="0"/>
        <w:autoSpaceDE w:val="0"/>
        <w:autoSpaceDN w:val="0"/>
        <w:adjustRightInd w:val="0"/>
        <w:ind w:left="567"/>
        <w:textAlignment w:val="baseline"/>
        <w:rPr>
          <w:rFonts w:eastAsiaTheme="minorEastAsia"/>
        </w:rPr>
      </w:pPr>
      <w:r>
        <w:br w:type="page"/>
      </w:r>
    </w:p>
    <w:p w:rsidRPr="00061CA7" w:rsidR="00681364" w:rsidP="00681364" w:rsidRDefault="00681364" w14:paraId="7163533A" w14:textId="77777777">
      <w:pPr>
        <w:widowControl w:val="0"/>
        <w:numPr>
          <w:ilvl w:val="0"/>
          <w:numId w:val="27"/>
        </w:numPr>
        <w:overflowPunct w:val="0"/>
        <w:autoSpaceDE w:val="0"/>
        <w:autoSpaceDN w:val="0"/>
        <w:adjustRightInd w:val="0"/>
        <w:ind w:hanging="567"/>
        <w:textAlignment w:val="baseline"/>
        <w:rPr>
          <w:rStyle w:val="Hyperlink"/>
          <w:b/>
          <w:bCs/>
          <w:i/>
          <w:iCs/>
          <w:sz w:val="28"/>
          <w:szCs w:val="28"/>
        </w:rPr>
      </w:pPr>
      <w:r>
        <w:rPr>
          <w:b/>
          <w:i/>
          <w:sz w:val="28"/>
        </w:rPr>
        <w:lastRenderedPageBreak/>
        <w:fldChar w:fldCharType="begin"/>
      </w:r>
      <w:r>
        <w:rPr>
          <w:b/>
          <w:i/>
          <w:sz w:val="28"/>
        </w:rPr>
        <w:instrText xml:space="preserve"> HYPERLINK "https://www.eesc.europa.eu/fi/our-work/opinions-information-reports/opinions/anti-smuggling-package" </w:instrText>
      </w:r>
      <w:r>
        <w:rPr>
          <w:b/>
          <w:i/>
          <w:sz w:val="28"/>
        </w:rPr>
        <w:fldChar w:fldCharType="separate"/>
      </w:r>
      <w:r>
        <w:rPr>
          <w:rStyle w:val="Hyperlink"/>
          <w:b/>
          <w:i/>
          <w:sz w:val="28"/>
        </w:rPr>
        <w:t>Salakuljetuksen vastainen paketti</w:t>
      </w:r>
    </w:p>
    <w:p w:rsidRPr="00B95546" w:rsidR="00681364" w:rsidP="00681364" w:rsidRDefault="00681364" w14:paraId="0A7CC445" w14:textId="77777777">
      <w:pPr>
        <w:widowControl w:val="0"/>
        <w:ind w:left="567"/>
        <w:rPr>
          <w:b/>
          <w:i/>
          <w:sz w:val="16"/>
        </w:rPr>
      </w:pPr>
      <w:r>
        <w:rPr>
          <w:b/>
          <w:i/>
          <w:sz w:val="28"/>
        </w:rPr>
        <w:fldChar w:fldCharType="end"/>
      </w:r>
    </w:p>
    <w:tbl>
      <w:tblPr>
        <w:tblStyle w:val="TableGrid"/>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722E56" w:rsidR="00681364" w:rsidTr="006B3766" w14:paraId="2CAE7EFB" w14:textId="77777777">
        <w:tc>
          <w:tcPr>
            <w:tcW w:w="1522" w:type="pct"/>
          </w:tcPr>
          <w:p w:rsidRPr="00722E56" w:rsidR="00681364" w:rsidP="006B3766" w:rsidRDefault="00681364" w14:paraId="6F8249A1" w14:textId="77777777">
            <w:pPr>
              <w:ind w:left="-113"/>
              <w:rPr>
                <w:b/>
              </w:rPr>
            </w:pPr>
            <w:r>
              <w:rPr>
                <w:b/>
              </w:rPr>
              <w:t>Esittelijä</w:t>
            </w:r>
          </w:p>
        </w:tc>
        <w:tc>
          <w:tcPr>
            <w:tcW w:w="3478" w:type="pct"/>
          </w:tcPr>
          <w:p w:rsidRPr="00722E56" w:rsidR="00681364" w:rsidP="006B3766" w:rsidRDefault="00681364" w14:paraId="744F9906" w14:textId="77777777">
            <w:pPr>
              <w:tabs>
                <w:tab w:val="left" w:pos="4572"/>
              </w:tabs>
              <w:ind w:left="-113" w:right="-823"/>
            </w:pPr>
            <w:r>
              <w:t xml:space="preserve">Florin </w:t>
            </w:r>
            <w:proofErr w:type="spellStart"/>
            <w:r>
              <w:t>Bercea</w:t>
            </w:r>
            <w:proofErr w:type="spellEnd"/>
            <w:r>
              <w:t xml:space="preserve"> (työntekijät – RO)</w:t>
            </w:r>
          </w:p>
        </w:tc>
      </w:tr>
      <w:tr w:rsidRPr="00722E56" w:rsidR="00681364" w:rsidTr="006B3766" w14:paraId="5C55A823" w14:textId="77777777">
        <w:tc>
          <w:tcPr>
            <w:tcW w:w="1522" w:type="pct"/>
            <w:vMerge w:val="restart"/>
          </w:tcPr>
          <w:p w:rsidRPr="00722E56" w:rsidR="00681364" w:rsidP="006B3766" w:rsidRDefault="00681364" w14:paraId="3D4A2A24" w14:textId="77777777">
            <w:pPr>
              <w:ind w:left="-113"/>
              <w:rPr>
                <w:b/>
              </w:rPr>
            </w:pPr>
            <w:r>
              <w:rPr>
                <w:b/>
              </w:rPr>
              <w:t>Viiteasiakirja</w:t>
            </w:r>
          </w:p>
        </w:tc>
        <w:tc>
          <w:tcPr>
            <w:tcW w:w="3478" w:type="pct"/>
          </w:tcPr>
          <w:p w:rsidRPr="00722E56" w:rsidR="00681364" w:rsidP="006B3766" w:rsidRDefault="00681364" w14:paraId="613F8171" w14:textId="77777777">
            <w:pPr>
              <w:tabs>
                <w:tab w:val="left" w:pos="4430"/>
              </w:tabs>
              <w:ind w:left="-113" w:right="-823"/>
            </w:pPr>
            <w:r>
              <w:t>EESC-2024-00141-00-00-AC</w:t>
            </w:r>
          </w:p>
        </w:tc>
      </w:tr>
      <w:tr w:rsidRPr="00722E56" w:rsidR="00681364" w:rsidTr="006B3766" w14:paraId="35E9899C" w14:textId="77777777">
        <w:trPr>
          <w:gridAfter w:val="1"/>
          <w:wAfter w:w="3478" w:type="pct"/>
          <w:trHeight w:val="304"/>
        </w:trPr>
        <w:tc>
          <w:tcPr>
            <w:tcW w:w="1522" w:type="pct"/>
            <w:vMerge/>
          </w:tcPr>
          <w:p w:rsidRPr="00722E56" w:rsidR="00681364" w:rsidP="006B3766" w:rsidRDefault="00681364" w14:paraId="5D20299E" w14:textId="77777777">
            <w:pPr>
              <w:tabs>
                <w:tab w:val="center" w:pos="284"/>
              </w:tabs>
              <w:ind w:left="266" w:hanging="266"/>
              <w:rPr>
                <w:b/>
                <w:lang w:val="en-US"/>
              </w:rPr>
            </w:pPr>
          </w:p>
        </w:tc>
      </w:tr>
    </w:tbl>
    <w:p w:rsidRPr="00722E56" w:rsidR="00681364" w:rsidP="00681364" w:rsidRDefault="00681364" w14:paraId="5B50FF23" w14:textId="77777777">
      <w:pPr>
        <w:tabs>
          <w:tab w:val="center" w:pos="284"/>
        </w:tabs>
        <w:ind w:left="266" w:hanging="266"/>
        <w:rPr>
          <w:b/>
        </w:rPr>
      </w:pPr>
      <w:r>
        <w:rPr>
          <w:b/>
        </w:rPr>
        <w:t>Keskeiset kohdat</w:t>
      </w:r>
    </w:p>
    <w:p w:rsidRPr="00B95546" w:rsidR="00681364" w:rsidP="00681364" w:rsidRDefault="00681364" w14:paraId="4D58B6E8" w14:textId="77777777">
      <w:pPr>
        <w:tabs>
          <w:tab w:val="center" w:pos="284"/>
        </w:tabs>
        <w:ind w:left="266" w:hanging="266"/>
        <w:rPr>
          <w:b/>
          <w:sz w:val="16"/>
          <w:szCs w:val="16"/>
        </w:rPr>
      </w:pPr>
    </w:p>
    <w:p w:rsidRPr="00722E56" w:rsidR="00681364" w:rsidP="00681364" w:rsidRDefault="00681364" w14:paraId="5F6DD046" w14:textId="77777777">
      <w:pPr>
        <w:tabs>
          <w:tab w:val="center" w:pos="284"/>
        </w:tabs>
        <w:ind w:left="266" w:hanging="266"/>
      </w:pPr>
      <w:r>
        <w:t>ETSK</w:t>
      </w:r>
    </w:p>
    <w:p w:rsidRPr="00B95546" w:rsidR="00681364" w:rsidP="00681364" w:rsidRDefault="00681364" w14:paraId="12DC0026" w14:textId="77777777">
      <w:pPr>
        <w:tabs>
          <w:tab w:val="center" w:pos="284"/>
        </w:tabs>
        <w:ind w:left="266" w:hanging="266"/>
        <w:rPr>
          <w:b/>
          <w:sz w:val="16"/>
          <w:szCs w:val="16"/>
        </w:rPr>
      </w:pPr>
    </w:p>
    <w:p w:rsidRPr="00722E56" w:rsidR="00681364" w:rsidP="00681364" w:rsidRDefault="00681364" w14:paraId="1CFE68CE" w14:textId="77777777">
      <w:pPr>
        <w:pStyle w:val="ListParagraph"/>
        <w:numPr>
          <w:ilvl w:val="0"/>
          <w:numId w:val="28"/>
        </w:numPr>
        <w:tabs>
          <w:tab w:val="center" w:pos="284"/>
        </w:tabs>
        <w:spacing w:after="200" w:line="276" w:lineRule="auto"/>
      </w:pPr>
      <w:r>
        <w:t>toteaa, että molemmissa lainsäädäntöehdotuksissa sekä maailmanlaajuista allianssia koskevassa aloitteessa ehdotetaan valmiuksien kehittämistä suhteellisuusperiaatteen mukaisesti ja asteittain, mutta strategista tavoitetasoa on tarpeen nostaa ja sitoutumista vahvistaa, jotta prosessiin voidaan puuttua tehokkaasti.</w:t>
      </w:r>
    </w:p>
    <w:p w:rsidRPr="00722E56" w:rsidR="00681364" w:rsidP="00681364" w:rsidRDefault="00681364" w14:paraId="670766BF" w14:textId="77777777">
      <w:pPr>
        <w:pStyle w:val="ListParagraph"/>
        <w:numPr>
          <w:ilvl w:val="0"/>
          <w:numId w:val="28"/>
        </w:numPr>
        <w:tabs>
          <w:tab w:val="center" w:pos="284"/>
        </w:tabs>
        <w:spacing w:after="200" w:line="276" w:lineRule="auto"/>
      </w:pPr>
      <w:r>
        <w:t xml:space="preserve">katsoo, että muuttajien salakuljetuksen torjunnalle on annettava uutta pontta, ja sen koordinointia on parannettava kaikilla tasoilla. </w:t>
      </w:r>
      <w:proofErr w:type="spellStart"/>
      <w:r>
        <w:t>ETSK:n</w:t>
      </w:r>
      <w:proofErr w:type="spellEnd"/>
      <w:r>
        <w:t xml:space="preserve"> mielestä samalla on tärkeää avata laillisia maahanmuuttokanavia ja -menettelyjä niille, jotka haluavat päästä EU:hun turvallisesti ja laillisesti.</w:t>
      </w:r>
    </w:p>
    <w:p w:rsidRPr="00722E56" w:rsidR="00681364" w:rsidP="00681364" w:rsidRDefault="00681364" w14:paraId="21FDAB45" w14:textId="77777777">
      <w:pPr>
        <w:pStyle w:val="ListParagraph"/>
        <w:numPr>
          <w:ilvl w:val="0"/>
          <w:numId w:val="28"/>
        </w:numPr>
        <w:tabs>
          <w:tab w:val="center" w:pos="284"/>
        </w:tabs>
        <w:spacing w:after="200" w:line="276" w:lineRule="auto"/>
      </w:pPr>
      <w:r>
        <w:t>toteaa, että EU:n turvapaikkajärjestelmän tehokkaan toiminnan varmistamiseksi on ratkaisevan tärkeää löytää ratkaisuja ongelmiin, jotka liittyvät järjestelmällisiin pakkokäännytyksiin EU:n ulkorajoilla, sillä tällaiset käännytykset ovat Geneven yleissopimuksen vastaisia. Kun turvallisia ja laillisia väyliä EU:hun tulemiseksi ei ole, turvaa hakeville pakolaisille ja muuttajille ei jää muuta vaihtoehtoa kuin käyttää vaarallisempia reittejä henkensä uhalla.</w:t>
      </w:r>
    </w:p>
    <w:p w:rsidRPr="00722E56" w:rsidR="00681364" w:rsidP="00681364" w:rsidRDefault="00681364" w14:paraId="1BA02F8A" w14:textId="77777777">
      <w:pPr>
        <w:pStyle w:val="ListParagraph"/>
        <w:numPr>
          <w:ilvl w:val="0"/>
          <w:numId w:val="28"/>
        </w:numPr>
        <w:tabs>
          <w:tab w:val="center" w:pos="284"/>
        </w:tabs>
        <w:spacing w:after="200" w:line="276" w:lineRule="auto"/>
      </w:pPr>
      <w:r>
        <w:t>kehottaa komissiota kehittämään maailmanlaajuista allianssia pidemmälle menevän vankemman järjestelmän, jonka avulla voidaan vahvistaa kolmansien maiden valmiuksia ja kannustaa niitä tekemään yhteistyötä Europolin ja jäsenvaltioiden lainvalvontaviranomaisten kanssa.</w:t>
      </w:r>
    </w:p>
    <w:p w:rsidRPr="00722E56" w:rsidR="00681364" w:rsidP="00681364" w:rsidRDefault="00681364" w14:paraId="6B4C80D2" w14:textId="77777777">
      <w:pPr>
        <w:pStyle w:val="ListParagraph"/>
        <w:numPr>
          <w:ilvl w:val="0"/>
          <w:numId w:val="28"/>
        </w:numPr>
        <w:tabs>
          <w:tab w:val="center" w:pos="284"/>
        </w:tabs>
        <w:spacing w:after="200" w:line="276" w:lineRule="auto"/>
      </w:pPr>
      <w:r>
        <w:t>pitää valitettavana, ettei paketti kata muuttajia salakuljettavien tahojen palveluja käyttäviä henkilöitä, vaikka heidät tunnustetaan mahdollisiksi uhreiksi. EU:n on sisällytettävä salakuljetuksen vastaiseen strategiaansa perusoikeuksia koskeva ulottuvuus sellaisia ihmisiä ajatellen, jotka ovat niin epätoivoisia ja haavoittuvassa asemassa, että he turvautuvat salakuljettajien palveluihin. Lisäksi toiminnassa olisi otettava paremmin huomioon tätäkin heikommassa asemassa olevat ihmisryhmät, kuten vammaiset henkilöt.</w:t>
      </w:r>
    </w:p>
    <w:p w:rsidRPr="00722E56" w:rsidR="00681364" w:rsidP="00681364" w:rsidRDefault="00681364" w14:paraId="70F6E143" w14:textId="77777777">
      <w:pPr>
        <w:pStyle w:val="ListParagraph"/>
        <w:numPr>
          <w:ilvl w:val="0"/>
          <w:numId w:val="28"/>
        </w:numPr>
        <w:tabs>
          <w:tab w:val="center" w:pos="284"/>
        </w:tabs>
        <w:spacing w:after="200" w:line="276" w:lineRule="auto"/>
      </w:pPr>
      <w:r>
        <w:t>katsoo, että ehdotusten valmistelun avoimuudessa olisi parantamisen varaa, sillä ehdotuksiin ei ole liitetty vaikutusten ennakkoarviointiaraporttia.</w:t>
      </w:r>
    </w:p>
    <w:p w:rsidRPr="00722E56" w:rsidR="00681364" w:rsidP="00681364" w:rsidRDefault="00681364" w14:paraId="4A2CB39C" w14:textId="77777777">
      <w:pPr>
        <w:pStyle w:val="ListParagraph"/>
        <w:numPr>
          <w:ilvl w:val="0"/>
          <w:numId w:val="28"/>
        </w:numPr>
        <w:tabs>
          <w:tab w:val="center" w:pos="284"/>
        </w:tabs>
        <w:spacing w:after="200" w:line="276" w:lineRule="auto"/>
      </w:pPr>
      <w:r>
        <w:t>suhtautuu direktiiviin myönteisesti, mutta varoittaa, että sen sisältö voi heikentää vakavasti muuttajien ja heitä humanitaarisista syistä avustavien henkilöiden perusoikeuksia. Komitea katsoo, että tällaisen pelon ilmapiirin luominen humanitaarisen, oikeudellisen ja jopa hallinnollisen avunannon ympärille ja sen ylläpitäminen on väärä ja kestämätön tapa torjua salakuljetusta.</w:t>
      </w:r>
    </w:p>
    <w:p w:rsidRPr="006B6CE1" w:rsidR="00681364" w:rsidP="00681364" w:rsidRDefault="00681364" w14:paraId="2FF353A5" w14:textId="77777777">
      <w:pPr>
        <w:pStyle w:val="ListParagraph"/>
        <w:numPr>
          <w:ilvl w:val="0"/>
          <w:numId w:val="28"/>
        </w:numPr>
        <w:tabs>
          <w:tab w:val="center" w:pos="284"/>
        </w:tabs>
        <w:spacing w:after="60" w:line="276" w:lineRule="auto"/>
        <w:ind w:left="714" w:hanging="357"/>
      </w:pPr>
      <w:r>
        <w:t>katsoo lisäksi, että humanitaarista apua antavat henkilöt, perheenjäsenet ja muut maahanmuuttajille palveluja tarjoavat henkilöt olisi suljettava syytetoimien ulkopuolelle. Syytteen nostamisen olisi oltava mahdollista vain, jos toiminnasta seuraa perusteetonta taloudellista hyötyä.</w: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681364" w:rsidTr="006B3766" w14:paraId="1238AC3B" w14:textId="77777777">
        <w:tc>
          <w:tcPr>
            <w:tcW w:w="1556" w:type="pct"/>
          </w:tcPr>
          <w:p w:rsidRPr="00A6689B" w:rsidR="00681364" w:rsidP="006B3766" w:rsidRDefault="00681364" w14:paraId="24DCB0F8" w14:textId="77777777">
            <w:pPr>
              <w:spacing w:line="240" w:lineRule="auto"/>
              <w:rPr>
                <w:i/>
              </w:rPr>
            </w:pPr>
            <w:r>
              <w:rPr>
                <w:b/>
                <w:i/>
              </w:rPr>
              <w:t>Yhteydenotot</w:t>
            </w:r>
          </w:p>
        </w:tc>
        <w:tc>
          <w:tcPr>
            <w:tcW w:w="3444" w:type="pct"/>
          </w:tcPr>
          <w:p w:rsidRPr="00A6689B" w:rsidR="00681364" w:rsidP="006B3766" w:rsidRDefault="00681364" w14:paraId="417DCD45" w14:textId="77777777">
            <w:pPr>
              <w:spacing w:line="240" w:lineRule="auto"/>
              <w:rPr>
                <w:i/>
              </w:rPr>
            </w:pPr>
            <w:proofErr w:type="spellStart"/>
            <w:r>
              <w:rPr>
                <w:i/>
              </w:rPr>
              <w:t>Gemma</w:t>
            </w:r>
            <w:proofErr w:type="spellEnd"/>
            <w:r>
              <w:rPr>
                <w:i/>
              </w:rPr>
              <w:t xml:space="preserve"> </w:t>
            </w:r>
            <w:proofErr w:type="spellStart"/>
            <w:r>
              <w:rPr>
                <w:i/>
              </w:rPr>
              <w:t>Amran</w:t>
            </w:r>
            <w:proofErr w:type="spellEnd"/>
          </w:p>
        </w:tc>
      </w:tr>
      <w:tr w:rsidRPr="00A6689B" w:rsidR="00681364" w:rsidTr="006B3766" w14:paraId="467B836B" w14:textId="77777777">
        <w:tc>
          <w:tcPr>
            <w:tcW w:w="1556" w:type="pct"/>
          </w:tcPr>
          <w:p w:rsidRPr="00A6689B" w:rsidR="00681364" w:rsidP="006B3766" w:rsidRDefault="00681364" w14:paraId="233416F2" w14:textId="77777777">
            <w:pPr>
              <w:spacing w:line="240" w:lineRule="auto"/>
              <w:rPr>
                <w:i/>
              </w:rPr>
            </w:pPr>
            <w:r>
              <w:rPr>
                <w:i/>
              </w:rPr>
              <w:t>P.</w:t>
            </w:r>
          </w:p>
        </w:tc>
        <w:tc>
          <w:tcPr>
            <w:tcW w:w="3444" w:type="pct"/>
          </w:tcPr>
          <w:p w:rsidRPr="00A6689B" w:rsidR="00681364" w:rsidP="006B3766" w:rsidRDefault="00681364" w14:paraId="20610EA5" w14:textId="77777777">
            <w:pPr>
              <w:spacing w:line="240" w:lineRule="auto"/>
              <w:rPr>
                <w:i/>
              </w:rPr>
            </w:pPr>
            <w:r>
              <w:rPr>
                <w:i/>
              </w:rPr>
              <w:t>+32 25469415</w:t>
            </w:r>
          </w:p>
        </w:tc>
      </w:tr>
      <w:tr w:rsidRPr="00A6689B" w:rsidR="00681364" w:rsidTr="006B3766" w14:paraId="0A7364B2" w14:textId="77777777">
        <w:tc>
          <w:tcPr>
            <w:tcW w:w="1556" w:type="pct"/>
          </w:tcPr>
          <w:p w:rsidRPr="00A6689B" w:rsidR="00681364" w:rsidP="006B3766" w:rsidRDefault="00681364" w14:paraId="0B6D718C" w14:textId="77777777">
            <w:pPr>
              <w:spacing w:line="240" w:lineRule="auto"/>
              <w:rPr>
                <w:i/>
              </w:rPr>
            </w:pPr>
            <w:r>
              <w:rPr>
                <w:i/>
              </w:rPr>
              <w:t>Sähköposti</w:t>
            </w:r>
          </w:p>
        </w:tc>
        <w:tc>
          <w:tcPr>
            <w:tcW w:w="3444" w:type="pct"/>
          </w:tcPr>
          <w:p w:rsidRPr="009A2735" w:rsidR="00681364" w:rsidP="006B3766" w:rsidRDefault="00681364" w14:paraId="00A9BAE4" w14:textId="77777777">
            <w:pPr>
              <w:spacing w:line="240" w:lineRule="auto"/>
              <w:rPr>
                <w:rStyle w:val="Hyperlink"/>
              </w:rPr>
            </w:pPr>
            <w:hyperlink w:history="1" r:id="rId21">
              <w:r>
                <w:rPr>
                  <w:rStyle w:val="Hyperlink"/>
                  <w:i/>
                </w:rPr>
                <w:t>Gemma.Amran@eesc.europa.eu</w:t>
              </w:r>
            </w:hyperlink>
          </w:p>
        </w:tc>
      </w:tr>
    </w:tbl>
    <w:p w:rsidR="009E4F7F" w:rsidRDefault="009E4F7F" w14:paraId="01C3F58C" w14:textId="77777777">
      <w:pPr>
        <w:spacing w:after="160" w:line="259" w:lineRule="auto"/>
        <w:jc w:val="left"/>
        <w:rPr>
          <w:rFonts w:eastAsiaTheme="minorEastAsia"/>
        </w:rPr>
      </w:pPr>
      <w:r>
        <w:br w:type="page"/>
      </w:r>
    </w:p>
    <w:p w:rsidRPr="004B5F36" w:rsidR="00681364" w:rsidP="00681364" w:rsidRDefault="00681364" w14:paraId="76C0E90C" w14:textId="77777777">
      <w:pPr>
        <w:widowControl w:val="0"/>
        <w:numPr>
          <w:ilvl w:val="0"/>
          <w:numId w:val="27"/>
        </w:numPr>
        <w:overflowPunct w:val="0"/>
        <w:autoSpaceDE w:val="0"/>
        <w:autoSpaceDN w:val="0"/>
        <w:adjustRightInd w:val="0"/>
        <w:ind w:hanging="567"/>
        <w:textAlignment w:val="baseline"/>
        <w:rPr>
          <w:rStyle w:val="Hyperlink"/>
          <w:b/>
          <w:bCs/>
          <w:i/>
          <w:iCs/>
          <w:sz w:val="28"/>
          <w:szCs w:val="28"/>
        </w:rPr>
      </w:pPr>
      <w:hyperlink w:history="1" r:id="rId22">
        <w:r>
          <w:rPr>
            <w:rStyle w:val="Hyperlink"/>
            <w:b/>
            <w:i/>
            <w:sz w:val="28"/>
          </w:rPr>
          <w:t>Omaishoitajat</w:t>
        </w:r>
      </w:hyperlink>
      <w:r w:rsidRPr="004B5F36">
        <w:rPr>
          <w:b/>
          <w:i/>
          <w:sz w:val="28"/>
        </w:rPr>
        <w:fldChar w:fldCharType="begin"/>
      </w:r>
      <w:r w:rsidRPr="004B5F36">
        <w:rPr>
          <w:b/>
          <w:i/>
          <w:sz w:val="28"/>
        </w:rPr>
        <w:instrText xml:space="preserve"> HYPERLINK "https://www.eesc.europa.eu/fi/our-work/opinions-information-reports/opinions/anti-smuggling-package" </w:instrText>
      </w:r>
      <w:r w:rsidRPr="004B5F36">
        <w:rPr>
          <w:b/>
          <w:i/>
          <w:sz w:val="28"/>
        </w:rPr>
        <w:fldChar w:fldCharType="separate"/>
      </w:r>
    </w:p>
    <w:p w:rsidRPr="004B5F36" w:rsidR="00681364" w:rsidP="00681364" w:rsidRDefault="00681364" w14:paraId="61B97455" w14:textId="77777777">
      <w:pPr>
        <w:widowControl w:val="0"/>
        <w:ind w:left="567"/>
        <w:rPr>
          <w:b/>
          <w:i/>
          <w:sz w:val="28"/>
        </w:rPr>
      </w:pPr>
      <w:r w:rsidRPr="004B5F36">
        <w:rPr>
          <w:b/>
          <w:i/>
          <w:sz w:val="28"/>
        </w:rPr>
        <w:fldChar w:fldCharType="end"/>
      </w:r>
    </w:p>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4536"/>
        <w:gridCol w:w="2547"/>
      </w:tblGrid>
      <w:tr w:rsidRPr="004B5F36" w:rsidR="00681364" w:rsidTr="006B3766" w14:paraId="74AA15FC" w14:textId="77777777">
        <w:tc>
          <w:tcPr>
            <w:tcW w:w="1095" w:type="pct"/>
          </w:tcPr>
          <w:p w:rsidRPr="004B5F36" w:rsidR="00681364" w:rsidP="006B3766" w:rsidRDefault="00681364" w14:paraId="22B0CE34" w14:textId="77777777">
            <w:pPr>
              <w:widowControl w:val="0"/>
              <w:ind w:left="-113"/>
              <w:rPr>
                <w:b/>
              </w:rPr>
            </w:pPr>
            <w:r>
              <w:rPr>
                <w:b/>
              </w:rPr>
              <w:t>Esittelijä</w:t>
            </w:r>
          </w:p>
          <w:p w:rsidRPr="004B5F36" w:rsidR="00681364" w:rsidP="006B3766" w:rsidRDefault="00681364" w14:paraId="73E354E3" w14:textId="77777777">
            <w:pPr>
              <w:widowControl w:val="0"/>
              <w:ind w:left="-113"/>
              <w:rPr>
                <w:b/>
                <w:lang w:val="en-US"/>
              </w:rPr>
            </w:pPr>
          </w:p>
        </w:tc>
        <w:tc>
          <w:tcPr>
            <w:tcW w:w="3905" w:type="pct"/>
            <w:gridSpan w:val="2"/>
          </w:tcPr>
          <w:p w:rsidRPr="004B5F36" w:rsidR="00681364" w:rsidP="006B3766" w:rsidRDefault="00681364" w14:paraId="733C8AEA" w14:textId="77777777">
            <w:pPr>
              <w:widowControl w:val="0"/>
              <w:tabs>
                <w:tab w:val="left" w:pos="4572"/>
              </w:tabs>
              <w:ind w:left="-113" w:right="-823"/>
            </w:pPr>
            <w:proofErr w:type="spellStart"/>
            <w:r>
              <w:t>Pietro</w:t>
            </w:r>
            <w:proofErr w:type="spellEnd"/>
            <w:r>
              <w:t xml:space="preserve"> </w:t>
            </w:r>
            <w:proofErr w:type="spellStart"/>
            <w:r>
              <w:t>Vittorio</w:t>
            </w:r>
            <w:proofErr w:type="spellEnd"/>
            <w:r>
              <w:t xml:space="preserve"> BARBIERI (kansalaisyhteiskunnan organisaatiot – IT)</w:t>
            </w:r>
          </w:p>
        </w:tc>
      </w:tr>
      <w:tr w:rsidRPr="004B5F36" w:rsidR="00681364" w:rsidTr="006B3766" w14:paraId="3B0B8656" w14:textId="77777777">
        <w:trPr>
          <w:gridAfter w:val="1"/>
          <w:wAfter w:w="1405" w:type="pct"/>
        </w:trPr>
        <w:tc>
          <w:tcPr>
            <w:tcW w:w="1095" w:type="pct"/>
            <w:vMerge w:val="restart"/>
          </w:tcPr>
          <w:p w:rsidRPr="004B5F36" w:rsidR="00681364" w:rsidP="006B3766" w:rsidRDefault="00681364" w14:paraId="3C1A62CD" w14:textId="77777777">
            <w:pPr>
              <w:widowControl w:val="0"/>
              <w:ind w:left="-113"/>
              <w:rPr>
                <w:b/>
              </w:rPr>
            </w:pPr>
            <w:r>
              <w:rPr>
                <w:b/>
              </w:rPr>
              <w:t>Viiteasiakirja</w:t>
            </w:r>
          </w:p>
        </w:tc>
        <w:tc>
          <w:tcPr>
            <w:tcW w:w="2501" w:type="pct"/>
          </w:tcPr>
          <w:p w:rsidRPr="004B5F36" w:rsidR="00681364" w:rsidP="006B3766" w:rsidRDefault="00681364" w14:paraId="5B4D2EDC" w14:textId="77777777">
            <w:pPr>
              <w:widowControl w:val="0"/>
              <w:tabs>
                <w:tab w:val="left" w:pos="4430"/>
              </w:tabs>
              <w:ind w:left="-113" w:right="-823"/>
            </w:pPr>
            <w:r>
              <w:t>EESC-2024-00018-00-00-AC-TRA</w:t>
            </w:r>
          </w:p>
        </w:tc>
      </w:tr>
      <w:tr w:rsidRPr="004B5F36" w:rsidR="00681364" w:rsidTr="006B3766" w14:paraId="4A86468E" w14:textId="77777777">
        <w:trPr>
          <w:gridAfter w:val="1"/>
          <w:wAfter w:w="1405" w:type="pct"/>
        </w:trPr>
        <w:tc>
          <w:tcPr>
            <w:tcW w:w="1095" w:type="pct"/>
            <w:vMerge/>
          </w:tcPr>
          <w:p w:rsidRPr="004B5F36" w:rsidR="00681364" w:rsidP="006B3766" w:rsidRDefault="00681364" w14:paraId="442D77F8" w14:textId="77777777">
            <w:pPr>
              <w:widowControl w:val="0"/>
              <w:tabs>
                <w:tab w:val="center" w:pos="284"/>
              </w:tabs>
              <w:ind w:left="266" w:hanging="266"/>
              <w:rPr>
                <w:b/>
                <w:lang w:val="en-US"/>
              </w:rPr>
            </w:pPr>
          </w:p>
        </w:tc>
        <w:tc>
          <w:tcPr>
            <w:tcW w:w="2501" w:type="pct"/>
          </w:tcPr>
          <w:p w:rsidRPr="004B5F36" w:rsidR="00681364" w:rsidP="006B3766" w:rsidRDefault="00681364" w14:paraId="1F60400F" w14:textId="77777777">
            <w:pPr>
              <w:widowControl w:val="0"/>
              <w:tabs>
                <w:tab w:val="center" w:pos="38"/>
                <w:tab w:val="left" w:pos="4430"/>
              </w:tabs>
              <w:ind w:left="266" w:right="-823" w:hanging="370"/>
              <w:rPr>
                <w:lang w:val="en-US"/>
              </w:rPr>
            </w:pPr>
          </w:p>
        </w:tc>
      </w:tr>
    </w:tbl>
    <w:p w:rsidRPr="004B5F36" w:rsidR="00681364" w:rsidP="00681364" w:rsidRDefault="00681364" w14:paraId="1C4D9DE3" w14:textId="77777777">
      <w:pPr>
        <w:widowControl w:val="0"/>
        <w:tabs>
          <w:tab w:val="center" w:pos="284"/>
        </w:tabs>
        <w:ind w:left="266" w:hanging="266"/>
        <w:rPr>
          <w:b/>
        </w:rPr>
      </w:pPr>
    </w:p>
    <w:p w:rsidRPr="004B5F36" w:rsidR="00681364" w:rsidP="00681364" w:rsidRDefault="00681364" w14:paraId="68AEE14F" w14:textId="77777777">
      <w:pPr>
        <w:widowControl w:val="0"/>
        <w:tabs>
          <w:tab w:val="center" w:pos="284"/>
        </w:tabs>
        <w:ind w:left="266" w:hanging="266"/>
        <w:rPr>
          <w:b/>
        </w:rPr>
      </w:pPr>
      <w:r>
        <w:rPr>
          <w:b/>
        </w:rPr>
        <w:t>Keskeiset kohdat</w:t>
      </w:r>
    </w:p>
    <w:p w:rsidRPr="004B5F36" w:rsidR="00681364" w:rsidP="00681364" w:rsidRDefault="00681364" w14:paraId="1806775B" w14:textId="77777777">
      <w:pPr>
        <w:widowControl w:val="0"/>
        <w:tabs>
          <w:tab w:val="center" w:pos="284"/>
        </w:tabs>
        <w:ind w:left="266" w:hanging="266"/>
        <w:rPr>
          <w:b/>
        </w:rPr>
      </w:pPr>
    </w:p>
    <w:p w:rsidRPr="00E80F96" w:rsidR="00681364" w:rsidP="00681364" w:rsidRDefault="00681364" w14:paraId="4B1DA7DD" w14:textId="77777777">
      <w:pPr>
        <w:widowControl w:val="0"/>
        <w:tabs>
          <w:tab w:val="center" w:pos="284"/>
        </w:tabs>
        <w:ind w:left="266" w:hanging="266"/>
      </w:pPr>
      <w:r w:rsidRPr="00E80F96">
        <w:t>ETSK</w:t>
      </w:r>
    </w:p>
    <w:p w:rsidRPr="00E80F96" w:rsidR="00681364" w:rsidP="00681364" w:rsidRDefault="00681364" w14:paraId="4BBD9FE7" w14:textId="77777777">
      <w:pPr>
        <w:pStyle w:val="ListParagraph"/>
        <w:numPr>
          <w:ilvl w:val="0"/>
          <w:numId w:val="30"/>
        </w:numPr>
        <w:spacing w:after="200" w:line="276" w:lineRule="auto"/>
        <w:rPr>
          <w:color w:val="000000"/>
        </w:rPr>
      </w:pPr>
      <w:r w:rsidRPr="00E80F96">
        <w:rPr>
          <w:color w:val="000000"/>
        </w:rPr>
        <w:t>kehottaa komissiota antamaan direktiivin omaishoitajien tilanteen tukemiseksi, koska kyseinen näkökohta jää vaille huomiota niin eurooppalaisessa hoito- ja hoivastrategiassa kuin työ- ja yksityiselämän tasapainottamisesta annetussa direktiivissä (EU) 2019/1158.</w:t>
      </w:r>
    </w:p>
    <w:p w:rsidRPr="00E80F96" w:rsidR="00681364" w:rsidP="00681364" w:rsidRDefault="00681364" w14:paraId="44AC39DC" w14:textId="77777777">
      <w:pPr>
        <w:pStyle w:val="ListParagraph"/>
        <w:numPr>
          <w:ilvl w:val="0"/>
          <w:numId w:val="30"/>
        </w:numPr>
        <w:spacing w:after="200" w:line="276" w:lineRule="auto"/>
        <w:rPr>
          <w:color w:val="000000"/>
        </w:rPr>
      </w:pPr>
      <w:r w:rsidRPr="00E80F96">
        <w:rPr>
          <w:color w:val="000000"/>
        </w:rPr>
        <w:t>kehottaa jäsenvaltioita ottamaan käyttöön toimintapolitiikkoja, joilla edistetään laadukkaiden yhteisöperustaisten pitkäaikaishoitopalvelujen tarjontaa ja hyödyntämistä sekä omaishoitajille tarkoitettujen tilapäishoitopalvelujen ja ennaltaehkäisevän lääketieteen palvelujen saatavuutta, jotta voidaan torjua vakavaa uupumuksen sekä fyysisen ja henkisen ylikuormituksen riskiä, jolle omaishoitajat altistuvat.</w:t>
      </w:r>
    </w:p>
    <w:p w:rsidRPr="00E80F96" w:rsidR="00681364" w:rsidP="00681364" w:rsidRDefault="00681364" w14:paraId="1E3477B4" w14:textId="77777777">
      <w:pPr>
        <w:pStyle w:val="ListParagraph"/>
        <w:numPr>
          <w:ilvl w:val="0"/>
          <w:numId w:val="30"/>
        </w:numPr>
        <w:spacing w:after="200" w:line="276" w:lineRule="auto"/>
        <w:rPr>
          <w:color w:val="000000"/>
        </w:rPr>
      </w:pPr>
      <w:r w:rsidRPr="00E80F96">
        <w:rPr>
          <w:color w:val="000000"/>
        </w:rPr>
        <w:t>kehottaa jäsenvaltioita toteuttamaan asianmukaisia toimenpiteitä sen varmistamiseksi, että omaishoidosta tehtävä päätös on vapaaehtoinen, että sukupuolten epätasa-arvoon puututaan ja että omaishoitajat voivat säilyttää työpaikkansa ja palkkansa entistä joustavampien työolojen ansiosta ja palata helposti työmarkkinoille, jos he ovat pakotettuja poistumaan niiltä.</w:t>
      </w:r>
    </w:p>
    <w:p w:rsidRPr="00E80F96" w:rsidR="00681364" w:rsidP="00681364" w:rsidRDefault="00681364" w14:paraId="5DE0F281" w14:textId="77777777">
      <w:pPr>
        <w:pStyle w:val="ListParagraph"/>
        <w:numPr>
          <w:ilvl w:val="0"/>
          <w:numId w:val="30"/>
        </w:numPr>
        <w:spacing w:line="276" w:lineRule="auto"/>
        <w:ind w:left="714" w:hanging="357"/>
        <w:rPr>
          <w:color w:val="000000"/>
        </w:rPr>
      </w:pPr>
      <w:r w:rsidRPr="00E80F96">
        <w:rPr>
          <w:color w:val="000000"/>
        </w:rPr>
        <w:t>kehottaa ottamaan omaishoitajat huomioon vietettäessä kansainvälistä hoidon ja hoivan päivää, jotta heidän roolinsa eurooppalaisessa hoito- ja hoivajärjestelmässä tunnustetaan.</w:t>
      </w:r>
    </w:p>
    <w:p w:rsidRPr="00E80F96" w:rsidR="00681364" w:rsidP="00681364" w:rsidRDefault="00681364" w14:paraId="19C42EF5" w14:textId="77777777">
      <w:pPr>
        <w:pStyle w:val="ListParagraph"/>
        <w:widowControl w:val="0"/>
        <w:numPr>
          <w:ilvl w:val="0"/>
          <w:numId w:val="29"/>
        </w:numPr>
        <w:tabs>
          <w:tab w:val="center" w:pos="284"/>
        </w:tabs>
      </w:pPr>
      <w:r w:rsidRPr="00E80F96">
        <w:t>pitää olennaisen tärkeänä, että saatavilla on omaishoitajien todellisia elinoloja kuvaavia laadullisia ja määrällisiä tietoja, ja kehottaa ottamaan käyttöön uusia tutkimusstrategioita.</w:t>
      </w:r>
    </w:p>
    <w:p w:rsidRPr="004B5F36" w:rsidR="00681364" w:rsidP="00681364" w:rsidRDefault="00681364" w14:paraId="164A3CA8" w14:textId="77777777">
      <w:pPr>
        <w:widowControl w:val="0"/>
        <w:tabs>
          <w:tab w:val="center" w:pos="284"/>
        </w:tabs>
        <w:ind w:left="266" w:hanging="266"/>
        <w:rPr>
          <w:b/>
        </w:rPr>
      </w:pPr>
    </w:p>
    <w:p w:rsidRPr="004B5F36" w:rsidR="00681364" w:rsidP="00681364" w:rsidRDefault="00681364" w14:paraId="3905AFBB" w14:textId="77777777">
      <w:pPr>
        <w:widowControl w:val="0"/>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4B5F36" w:rsidR="00681364" w:rsidTr="006B3766" w14:paraId="3706A2DC" w14:textId="77777777">
        <w:tc>
          <w:tcPr>
            <w:tcW w:w="1556" w:type="pct"/>
          </w:tcPr>
          <w:p w:rsidRPr="004B5F36" w:rsidR="00681364" w:rsidP="006B3766" w:rsidRDefault="00681364" w14:paraId="2A336357" w14:textId="77777777">
            <w:pPr>
              <w:widowControl w:val="0"/>
              <w:rPr>
                <w:i/>
              </w:rPr>
            </w:pPr>
            <w:r>
              <w:rPr>
                <w:b/>
                <w:i/>
              </w:rPr>
              <w:t>Yhteydenotot</w:t>
            </w:r>
          </w:p>
        </w:tc>
        <w:tc>
          <w:tcPr>
            <w:tcW w:w="3444" w:type="pct"/>
          </w:tcPr>
          <w:p w:rsidRPr="004B5F36" w:rsidR="00681364" w:rsidP="006B3766" w:rsidRDefault="00681364" w14:paraId="1076C23F" w14:textId="77777777">
            <w:pPr>
              <w:widowControl w:val="0"/>
              <w:rPr>
                <w:i/>
              </w:rPr>
            </w:pPr>
            <w:r>
              <w:rPr>
                <w:i/>
              </w:rPr>
              <w:t>Valeria ATZORI</w:t>
            </w:r>
          </w:p>
        </w:tc>
      </w:tr>
      <w:tr w:rsidRPr="004B5F36" w:rsidR="00681364" w:rsidTr="006B3766" w14:paraId="3D90C795" w14:textId="77777777">
        <w:tc>
          <w:tcPr>
            <w:tcW w:w="1556" w:type="pct"/>
          </w:tcPr>
          <w:p w:rsidRPr="004B5F36" w:rsidR="00681364" w:rsidP="006B3766" w:rsidRDefault="00681364" w14:paraId="14A29FB3" w14:textId="77777777">
            <w:pPr>
              <w:widowControl w:val="0"/>
              <w:rPr>
                <w:i/>
              </w:rPr>
            </w:pPr>
            <w:r>
              <w:rPr>
                <w:i/>
              </w:rPr>
              <w:t>P.</w:t>
            </w:r>
          </w:p>
        </w:tc>
        <w:tc>
          <w:tcPr>
            <w:tcW w:w="3444" w:type="pct"/>
          </w:tcPr>
          <w:p w:rsidRPr="004B5F36" w:rsidR="00681364" w:rsidP="006B3766" w:rsidRDefault="00681364" w14:paraId="3DD55E55" w14:textId="77777777">
            <w:pPr>
              <w:widowControl w:val="0"/>
              <w:rPr>
                <w:i/>
              </w:rPr>
            </w:pPr>
            <w:r>
              <w:rPr>
                <w:i/>
              </w:rPr>
              <w:t>+32 25468774</w:t>
            </w:r>
          </w:p>
        </w:tc>
      </w:tr>
      <w:tr w:rsidRPr="004B5F36" w:rsidR="00681364" w:rsidTr="006B3766" w14:paraId="275218BF" w14:textId="77777777">
        <w:tc>
          <w:tcPr>
            <w:tcW w:w="1556" w:type="pct"/>
          </w:tcPr>
          <w:p w:rsidRPr="004B5F36" w:rsidR="00681364" w:rsidP="006B3766" w:rsidRDefault="00681364" w14:paraId="76457DC3" w14:textId="77777777">
            <w:pPr>
              <w:widowControl w:val="0"/>
              <w:rPr>
                <w:i/>
              </w:rPr>
            </w:pPr>
            <w:r>
              <w:rPr>
                <w:i/>
              </w:rPr>
              <w:t>Sähköposti</w:t>
            </w:r>
          </w:p>
        </w:tc>
        <w:tc>
          <w:tcPr>
            <w:tcW w:w="3444" w:type="pct"/>
          </w:tcPr>
          <w:p w:rsidRPr="004B5F36" w:rsidR="00681364" w:rsidP="006B3766" w:rsidRDefault="00681364" w14:paraId="62F68B7D" w14:textId="77777777">
            <w:pPr>
              <w:widowControl w:val="0"/>
              <w:rPr>
                <w:rStyle w:val="Hyperlink"/>
              </w:rPr>
            </w:pPr>
            <w:hyperlink w:history="1" r:id="rId23">
              <w:r>
                <w:rPr>
                  <w:rStyle w:val="Hyperlink"/>
                  <w:i/>
                </w:rPr>
                <w:t>Valeria.Atzori@eesc.europa.eu</w:t>
              </w:r>
            </w:hyperlink>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061CA7" w:rsidR="00681364" w:rsidP="00681364" w:rsidRDefault="00681364" w14:paraId="411EB564" w14:textId="77777777">
      <w:pPr>
        <w:widowControl w:val="0"/>
        <w:numPr>
          <w:ilvl w:val="0"/>
          <w:numId w:val="27"/>
        </w:numPr>
        <w:overflowPunct w:val="0"/>
        <w:autoSpaceDE w:val="0"/>
        <w:autoSpaceDN w:val="0"/>
        <w:adjustRightInd w:val="0"/>
        <w:ind w:hanging="567"/>
        <w:textAlignment w:val="baseline"/>
        <w:rPr>
          <w:rStyle w:val="Hyperlink"/>
          <w:b/>
          <w:bCs/>
          <w:i/>
          <w:iCs/>
          <w:sz w:val="28"/>
          <w:szCs w:val="28"/>
        </w:rPr>
      </w:pPr>
      <w:r>
        <w:rPr>
          <w:b/>
          <w:i/>
          <w:sz w:val="28"/>
        </w:rPr>
        <w:lastRenderedPageBreak/>
        <w:fldChar w:fldCharType="begin"/>
      </w:r>
      <w:r>
        <w:rPr>
          <w:b/>
          <w:i/>
          <w:sz w:val="28"/>
        </w:rPr>
        <w:instrText>HYPERLINK "https://www.eesc.europa.eu/fi/our-work/opinions-information-reports/opinions/traineeship-directive-and-reinforced-quality-framework-traineeships"</w:instrText>
      </w:r>
      <w:r>
        <w:rPr>
          <w:b/>
          <w:i/>
          <w:sz w:val="28"/>
        </w:rPr>
        <w:fldChar w:fldCharType="separate"/>
      </w:r>
      <w:r>
        <w:rPr>
          <w:rStyle w:val="Hyperlink"/>
          <w:b/>
          <w:i/>
          <w:sz w:val="28"/>
        </w:rPr>
        <w:t>Harjoitteludirektiivi ja harjoittelun vahvistetut laatupuitteet</w:t>
      </w:r>
    </w:p>
    <w:p w:rsidRPr="00C47742" w:rsidR="00681364" w:rsidP="00681364" w:rsidRDefault="00681364" w14:paraId="52218D93" w14:textId="77777777">
      <w:pPr>
        <w:widowControl w:val="0"/>
        <w:ind w:left="567"/>
        <w:rPr>
          <w:b/>
          <w:i/>
          <w:sz w:val="28"/>
        </w:rPr>
      </w:pPr>
      <w:r>
        <w:rPr>
          <w:b/>
          <w:i/>
          <w:sz w:val="28"/>
        </w:rPr>
        <w:fldChar w:fldCharType="end"/>
      </w:r>
    </w:p>
    <w:tbl>
      <w:tblPr>
        <w:tblStyle w:val="TableGrid"/>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A6689B" w:rsidR="00681364" w:rsidTr="006B3766" w14:paraId="2537AD90" w14:textId="77777777">
        <w:tc>
          <w:tcPr>
            <w:tcW w:w="1522" w:type="pct"/>
          </w:tcPr>
          <w:p w:rsidRPr="00A6689B" w:rsidR="00681364" w:rsidP="006B3766" w:rsidRDefault="00681364" w14:paraId="6C412ED8" w14:textId="77777777">
            <w:pPr>
              <w:ind w:left="-113"/>
              <w:rPr>
                <w:b/>
              </w:rPr>
            </w:pPr>
            <w:r>
              <w:rPr>
                <w:b/>
              </w:rPr>
              <w:t>Esittelijä</w:t>
            </w:r>
          </w:p>
        </w:tc>
        <w:tc>
          <w:tcPr>
            <w:tcW w:w="3478" w:type="pct"/>
          </w:tcPr>
          <w:p w:rsidRPr="00E51944" w:rsidR="00681364" w:rsidP="006B3766" w:rsidRDefault="00681364" w14:paraId="1BAF0AA2" w14:textId="77777777">
            <w:pPr>
              <w:tabs>
                <w:tab w:val="left" w:pos="4572"/>
              </w:tabs>
              <w:ind w:left="-113" w:right="-823"/>
            </w:pPr>
            <w:r>
              <w:t xml:space="preserve">Nicoletta </w:t>
            </w:r>
            <w:proofErr w:type="spellStart"/>
            <w:r>
              <w:t>Merlo</w:t>
            </w:r>
            <w:proofErr w:type="spellEnd"/>
            <w:r>
              <w:t xml:space="preserve"> (työntekijät – IT)</w:t>
            </w:r>
          </w:p>
        </w:tc>
      </w:tr>
      <w:tr w:rsidRPr="00A6689B" w:rsidR="00681364" w:rsidTr="006B3766" w14:paraId="4230F7E1" w14:textId="77777777">
        <w:tc>
          <w:tcPr>
            <w:tcW w:w="1522" w:type="pct"/>
            <w:vMerge w:val="restart"/>
          </w:tcPr>
          <w:p w:rsidRPr="00557B11" w:rsidR="00681364" w:rsidP="006B3766" w:rsidRDefault="00681364" w14:paraId="640A3671" w14:textId="77777777">
            <w:pPr>
              <w:ind w:left="-113"/>
              <w:rPr>
                <w:b/>
              </w:rPr>
            </w:pPr>
            <w:r>
              <w:rPr>
                <w:b/>
              </w:rPr>
              <w:t>Viiteasiakirja</w:t>
            </w:r>
          </w:p>
        </w:tc>
        <w:tc>
          <w:tcPr>
            <w:tcW w:w="3478" w:type="pct"/>
          </w:tcPr>
          <w:p w:rsidRPr="00557B11" w:rsidR="00681364" w:rsidP="006B3766" w:rsidRDefault="00681364" w14:paraId="76D771AD" w14:textId="77777777">
            <w:pPr>
              <w:tabs>
                <w:tab w:val="left" w:pos="4430"/>
              </w:tabs>
              <w:ind w:left="-113" w:right="-823"/>
            </w:pPr>
            <w:r>
              <w:t>EESC-2024-01418-00-00-AC</w:t>
            </w:r>
          </w:p>
        </w:tc>
      </w:tr>
      <w:tr w:rsidRPr="00A6689B" w:rsidR="00681364" w:rsidTr="006B3766" w14:paraId="161B03E8" w14:textId="77777777">
        <w:tc>
          <w:tcPr>
            <w:tcW w:w="1522" w:type="pct"/>
            <w:vMerge/>
          </w:tcPr>
          <w:p w:rsidRPr="00A6689B" w:rsidR="00681364" w:rsidP="006B3766" w:rsidRDefault="00681364" w14:paraId="6BA23A4B" w14:textId="77777777">
            <w:pPr>
              <w:tabs>
                <w:tab w:val="center" w:pos="284"/>
              </w:tabs>
              <w:ind w:left="266" w:hanging="266"/>
              <w:rPr>
                <w:b/>
                <w:lang w:val="en-US"/>
              </w:rPr>
            </w:pPr>
          </w:p>
        </w:tc>
        <w:tc>
          <w:tcPr>
            <w:tcW w:w="3478" w:type="pct"/>
          </w:tcPr>
          <w:p w:rsidRPr="00A6689B" w:rsidR="00681364" w:rsidP="006B3766" w:rsidRDefault="00681364" w14:paraId="49A33AFE" w14:textId="77777777">
            <w:pPr>
              <w:tabs>
                <w:tab w:val="center" w:pos="284"/>
                <w:tab w:val="left" w:pos="4430"/>
              </w:tabs>
              <w:ind w:left="266" w:right="-823" w:hanging="266"/>
              <w:rPr>
                <w:lang w:val="en-US"/>
              </w:rPr>
            </w:pPr>
          </w:p>
        </w:tc>
      </w:tr>
    </w:tbl>
    <w:p w:rsidR="00681364" w:rsidP="00681364" w:rsidRDefault="00681364" w14:paraId="2571A8C2" w14:textId="77777777">
      <w:pPr>
        <w:keepNext/>
        <w:keepLines/>
        <w:tabs>
          <w:tab w:val="center" w:pos="284"/>
        </w:tabs>
        <w:ind w:left="266" w:hanging="266"/>
        <w:rPr>
          <w:b/>
        </w:rPr>
      </w:pPr>
      <w:r>
        <w:rPr>
          <w:b/>
        </w:rPr>
        <w:t>Keskeiset kohdat</w:t>
      </w:r>
    </w:p>
    <w:p w:rsidR="00681364" w:rsidP="00681364" w:rsidRDefault="00681364" w14:paraId="1463ED46" w14:textId="77777777">
      <w:pPr>
        <w:keepNext/>
        <w:keepLines/>
        <w:tabs>
          <w:tab w:val="center" w:pos="284"/>
        </w:tabs>
        <w:ind w:left="266" w:hanging="266"/>
        <w:rPr>
          <w:b/>
        </w:rPr>
      </w:pPr>
    </w:p>
    <w:p w:rsidR="00681364" w:rsidP="00681364" w:rsidRDefault="00681364" w14:paraId="58926541" w14:textId="77777777">
      <w:pPr>
        <w:keepNext/>
        <w:keepLines/>
        <w:tabs>
          <w:tab w:val="center" w:pos="284"/>
        </w:tabs>
        <w:ind w:left="266" w:hanging="266"/>
      </w:pPr>
      <w:r>
        <w:t>ETSK</w:t>
      </w:r>
    </w:p>
    <w:p w:rsidRPr="00212EFB" w:rsidR="00681364" w:rsidP="00681364" w:rsidRDefault="00681364" w14:paraId="03434BC1" w14:textId="77777777">
      <w:pPr>
        <w:pStyle w:val="ListParagraph"/>
        <w:keepNext/>
        <w:keepLines/>
        <w:tabs>
          <w:tab w:val="center" w:pos="284"/>
        </w:tabs>
        <w:rPr>
          <w:sz w:val="16"/>
          <w:szCs w:val="16"/>
        </w:rPr>
      </w:pPr>
    </w:p>
    <w:p w:rsidRPr="00A85ED1" w:rsidR="00681364" w:rsidP="00681364" w:rsidRDefault="00681364" w14:paraId="47BDD61F" w14:textId="77777777">
      <w:pPr>
        <w:pStyle w:val="ListParagraph"/>
        <w:keepNext/>
        <w:keepLines/>
        <w:numPr>
          <w:ilvl w:val="0"/>
          <w:numId w:val="28"/>
        </w:numPr>
        <w:tabs>
          <w:tab w:val="center" w:pos="284"/>
        </w:tabs>
        <w:spacing w:after="200" w:line="276" w:lineRule="auto"/>
      </w:pPr>
      <w:r>
        <w:t xml:space="preserve">korostaa, että oppisopimuskoulutus ja harjoittelu ovat kaksi erillistä järjestelyä, joilla on erilaiset tavoitteet ja joihin sovelletaan erilaisia sääntöjä. </w:t>
      </w:r>
    </w:p>
    <w:p w:rsidRPr="00A85ED1" w:rsidR="00681364" w:rsidP="00681364" w:rsidRDefault="00681364" w14:paraId="58CC4724" w14:textId="77777777">
      <w:pPr>
        <w:pStyle w:val="ListParagraph"/>
        <w:keepNext/>
        <w:keepLines/>
        <w:numPr>
          <w:ilvl w:val="0"/>
          <w:numId w:val="28"/>
        </w:numPr>
        <w:tabs>
          <w:tab w:val="center" w:pos="284"/>
        </w:tabs>
        <w:spacing w:after="200" w:line="276" w:lineRule="auto"/>
      </w:pPr>
      <w:r>
        <w:t>suosittaa, että 2 artiklassa esitetyissä määritelmissä ei millään tavalla velvoiteta jäsenvaltioita luokittelemaan harjoittelua työsuhteeksi, jos tällaiseen järjestelyyn osallistuva henkilö ei jäsenvaltioiden lainsäädännön mukaan kuulu direktiivissä vahvistetun harjoittelijan määritelmän piiriin.</w:t>
      </w:r>
    </w:p>
    <w:p w:rsidRPr="00A85ED1" w:rsidR="00681364" w:rsidP="00681364" w:rsidRDefault="00681364" w14:paraId="2FD225CB" w14:textId="77777777">
      <w:pPr>
        <w:pStyle w:val="ListParagraph"/>
        <w:keepNext/>
        <w:keepLines/>
        <w:numPr>
          <w:ilvl w:val="0"/>
          <w:numId w:val="28"/>
        </w:numPr>
        <w:tabs>
          <w:tab w:val="center" w:pos="284"/>
        </w:tabs>
        <w:spacing w:after="200" w:line="276" w:lineRule="auto"/>
      </w:pPr>
      <w:r>
        <w:t>ehdottaa harjoittelijoiden etujen paremman suojelun varmistamiseksi, että direktiiviin sisällytetään luettelo työehdoista, joista poikkeamista ei tulisi sallia. Samalla olisi turvattava työmarkkinaosapuolten mahdollisuus säännellä itsenäisesti harjoittelun ehtoja avoimilla markkinoilla.</w:t>
      </w:r>
    </w:p>
    <w:p w:rsidR="00681364" w:rsidP="00681364" w:rsidRDefault="00681364" w14:paraId="2C009DEF" w14:textId="77777777">
      <w:pPr>
        <w:pStyle w:val="ListParagraph"/>
        <w:keepNext/>
        <w:keepLines/>
        <w:numPr>
          <w:ilvl w:val="0"/>
          <w:numId w:val="28"/>
        </w:numPr>
        <w:tabs>
          <w:tab w:val="center" w:pos="284"/>
        </w:tabs>
        <w:spacing w:after="200" w:line="276" w:lineRule="auto"/>
      </w:pPr>
      <w:r>
        <w:t>korostaa toimivaltaisten viranomaisten keskeistä asemaa harjoitteluksi naamioitujen varsinaisten työsuhteiden torjumisessa. Olisi tunnustettava, että myös työmarkkinaosapuolilla voi olla torjuntatoimissa tärkeä rooli.</w:t>
      </w:r>
    </w:p>
    <w:p w:rsidRPr="00A85ED1" w:rsidR="00681364" w:rsidP="00681364" w:rsidRDefault="00681364" w14:paraId="2EB7B4B7" w14:textId="77777777">
      <w:pPr>
        <w:pStyle w:val="ListParagraph"/>
        <w:keepNext/>
        <w:keepLines/>
        <w:numPr>
          <w:ilvl w:val="0"/>
          <w:numId w:val="28"/>
        </w:numPr>
        <w:tabs>
          <w:tab w:val="center" w:pos="284"/>
        </w:tabs>
        <w:spacing w:after="200" w:line="276" w:lineRule="auto"/>
      </w:pPr>
      <w:r>
        <w:t>peräänkuuluttaa säännöksiä, joiden nojalla työntekijöiden edustajat voivat aina ryhtyä toimiin harjoittelijoiden etujen turvaamiseksi, vaikka harjoittelu ei olisikaan työsuhteista.</w:t>
      </w:r>
    </w:p>
    <w:p w:rsidRPr="00A85ED1" w:rsidR="00681364" w:rsidP="00681364" w:rsidRDefault="00681364" w14:paraId="589C909E" w14:textId="77777777">
      <w:pPr>
        <w:pStyle w:val="ListParagraph"/>
        <w:keepNext/>
        <w:keepLines/>
        <w:numPr>
          <w:ilvl w:val="0"/>
          <w:numId w:val="28"/>
        </w:numPr>
        <w:tabs>
          <w:tab w:val="center" w:pos="284"/>
        </w:tabs>
        <w:spacing w:after="200" w:line="276" w:lineRule="auto"/>
      </w:pPr>
      <w:r>
        <w:t>suosittaa, että kullekin harjoittelutyypille määritellään EU:n laajuiset vähimmäislaatuvaatimukset. Näin voidaan taata korkea vaatimustaso ja yhteinen peruskehys kaikissa jäsenvaltioissa. Komitean mielestä uudelleentarkastelu- ja täytäntöönpanoprosessin yhteydessä on tärkeää, että EU:n tasolla kerätään tietoja ja esitellään esimerkkejä hyvistä kansallisista käytännöistä kunkin harjoittelutyypin osalta.</w:t>
      </w:r>
    </w:p>
    <w:p w:rsidRPr="0089398D" w:rsidR="00681364" w:rsidP="00681364" w:rsidRDefault="00681364" w14:paraId="0964E9D3" w14:textId="77777777">
      <w:pPr>
        <w:pStyle w:val="ListParagraph"/>
        <w:keepNext/>
        <w:keepLines/>
        <w:numPr>
          <w:ilvl w:val="0"/>
          <w:numId w:val="28"/>
        </w:numPr>
        <w:tabs>
          <w:tab w:val="center" w:pos="284"/>
        </w:tabs>
        <w:spacing w:after="200" w:line="276" w:lineRule="auto"/>
      </w:pPr>
      <w:r>
        <w:t>tähdentää, että oikeanmukaisella korvauksella, jossa otetaan huomioon myös koulutukseen osallistumisesta mahdollisesti aiheutuvat kulut sekä siihen liittyvät elinkustannukset, on keskeinen merkitys.</w: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681364" w:rsidTr="006B3766" w14:paraId="4281CA27" w14:textId="77777777">
        <w:tc>
          <w:tcPr>
            <w:tcW w:w="1556" w:type="pct"/>
          </w:tcPr>
          <w:p w:rsidRPr="00A6689B" w:rsidR="00681364" w:rsidP="006B3766" w:rsidRDefault="00681364" w14:paraId="7F6AF0C1" w14:textId="77777777">
            <w:pPr>
              <w:spacing w:line="240" w:lineRule="auto"/>
              <w:rPr>
                <w:i/>
              </w:rPr>
            </w:pPr>
            <w:r>
              <w:rPr>
                <w:b/>
                <w:i/>
              </w:rPr>
              <w:t>Yhteydenotot</w:t>
            </w:r>
          </w:p>
        </w:tc>
        <w:tc>
          <w:tcPr>
            <w:tcW w:w="3444" w:type="pct"/>
          </w:tcPr>
          <w:p w:rsidRPr="00A6689B" w:rsidR="00681364" w:rsidP="006B3766" w:rsidRDefault="00681364" w14:paraId="44A329A7" w14:textId="77777777">
            <w:pPr>
              <w:spacing w:line="240" w:lineRule="auto"/>
              <w:rPr>
                <w:i/>
              </w:rPr>
            </w:pPr>
            <w:proofErr w:type="spellStart"/>
            <w:r>
              <w:rPr>
                <w:i/>
              </w:rPr>
              <w:t>Sabrina</w:t>
            </w:r>
            <w:proofErr w:type="spellEnd"/>
            <w:r>
              <w:rPr>
                <w:i/>
              </w:rPr>
              <w:t xml:space="preserve"> Borg</w:t>
            </w:r>
          </w:p>
        </w:tc>
      </w:tr>
      <w:tr w:rsidRPr="00A6689B" w:rsidR="00681364" w:rsidTr="006B3766" w14:paraId="33A513B6" w14:textId="77777777">
        <w:tc>
          <w:tcPr>
            <w:tcW w:w="1556" w:type="pct"/>
          </w:tcPr>
          <w:p w:rsidRPr="00A6689B" w:rsidR="00681364" w:rsidP="006B3766" w:rsidRDefault="00681364" w14:paraId="083515E2" w14:textId="77777777">
            <w:pPr>
              <w:spacing w:line="240" w:lineRule="auto"/>
              <w:rPr>
                <w:i/>
              </w:rPr>
            </w:pPr>
            <w:r>
              <w:rPr>
                <w:i/>
              </w:rPr>
              <w:t>P.</w:t>
            </w:r>
          </w:p>
        </w:tc>
        <w:tc>
          <w:tcPr>
            <w:tcW w:w="3444" w:type="pct"/>
          </w:tcPr>
          <w:p w:rsidRPr="00A6689B" w:rsidR="00681364" w:rsidP="006B3766" w:rsidRDefault="00681364" w14:paraId="77953F2A" w14:textId="77777777">
            <w:pPr>
              <w:spacing w:line="240" w:lineRule="auto"/>
              <w:rPr>
                <w:i/>
              </w:rPr>
            </w:pPr>
            <w:r>
              <w:rPr>
                <w:i/>
              </w:rPr>
              <w:t>+32 25469727</w:t>
            </w:r>
          </w:p>
        </w:tc>
      </w:tr>
      <w:tr w:rsidRPr="00A6689B" w:rsidR="00681364" w:rsidTr="006B3766" w14:paraId="7B164F4C" w14:textId="77777777">
        <w:tc>
          <w:tcPr>
            <w:tcW w:w="1556" w:type="pct"/>
          </w:tcPr>
          <w:p w:rsidRPr="00A6689B" w:rsidR="00681364" w:rsidP="006B3766" w:rsidRDefault="00681364" w14:paraId="5EF204DB" w14:textId="77777777">
            <w:pPr>
              <w:spacing w:line="240" w:lineRule="auto"/>
              <w:rPr>
                <w:i/>
              </w:rPr>
            </w:pPr>
            <w:r>
              <w:rPr>
                <w:i/>
              </w:rPr>
              <w:t>Sähköposti</w:t>
            </w:r>
          </w:p>
        </w:tc>
        <w:tc>
          <w:tcPr>
            <w:tcW w:w="3444" w:type="pct"/>
          </w:tcPr>
          <w:p w:rsidRPr="009A2735" w:rsidR="00681364" w:rsidP="006B3766" w:rsidRDefault="00681364" w14:paraId="05B13A4D" w14:textId="77777777">
            <w:pPr>
              <w:spacing w:line="240" w:lineRule="auto"/>
              <w:rPr>
                <w:rStyle w:val="Hyperlink"/>
              </w:rPr>
            </w:pPr>
            <w:hyperlink w:history="1" r:id="rId24">
              <w:r>
                <w:rPr>
                  <w:rStyle w:val="Hyperlink"/>
                  <w:i/>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bookmarkStart w:name="_Hlk171938252" w:id="7"/>
    <w:p w:rsidRPr="002F47C0" w:rsidR="00DC26B9" w:rsidRDefault="00DC26B9" w14:paraId="153FDF23" w14:textId="1FAF7220">
      <w:pPr>
        <w:pStyle w:val="TOC1"/>
        <w:rPr>
          <w:color w:val="000000" w:themeColor="text1"/>
        </w:rPr>
      </w:pPr>
      <w:r>
        <w:lastRenderedPageBreak/>
        <w:fldChar w:fldCharType="begin"/>
      </w:r>
      <w:r>
        <w:instrText xml:space="preserve"> HYPERLINK \l "_Toc164353189" </w:instrText>
      </w:r>
      <w:r>
        <w:fldChar w:fldCharType="separate"/>
      </w:r>
      <w:bookmarkStart w:name="_Toc172289456" w:id="8"/>
      <w:r>
        <w:t>4.</w:t>
      </w:r>
      <w:r>
        <w:rPr>
          <w:rFonts w:asciiTheme="minorHAnsi" w:hAnsiTheme="minorHAnsi"/>
          <w:sz w:val="22"/>
        </w:rPr>
        <w:tab/>
      </w:r>
      <w:r>
        <w:rPr>
          <w:rFonts w:asciiTheme="minorHAnsi" w:hAnsiTheme="minorHAnsi" w:eastAsiaTheme="minorEastAsia" w:cstheme="minorBidi"/>
          <w:sz w:val="22"/>
        </w:rPr>
        <w:fldChar w:fldCharType="end"/>
      </w:r>
      <w:r>
        <w:t>SISÄMARKKINAT, TUOTANTO JA KULUTUS</w:t>
      </w:r>
      <w:bookmarkEnd w:id="8"/>
    </w:p>
    <w:p w:rsidR="00C34921" w:rsidRDefault="00B63407" w14:paraId="65737401" w14:textId="157C195D">
      <w:pPr>
        <w:pStyle w:val="TOC1"/>
        <w:rPr>
          <w:rStyle w:val="Hyperlink"/>
          <w:b w:val="0"/>
          <w:color w:val="000000" w:themeColor="text1"/>
          <w:sz w:val="22"/>
          <w:szCs w:val="22"/>
          <w:u w:val="none"/>
        </w:rPr>
      </w:pPr>
      <w:hyperlink w:history="1" w:anchor="_Toc164353188"/>
    </w:p>
    <w:bookmarkEnd w:id="7"/>
    <w:p w:rsidRPr="0003586F" w:rsidR="00681364" w:rsidP="00681364" w:rsidRDefault="00681364" w14:paraId="2C3BB868" w14:textId="77777777">
      <w:pPr>
        <w:widowControl w:val="0"/>
        <w:numPr>
          <w:ilvl w:val="0"/>
          <w:numId w:val="27"/>
        </w:numPr>
        <w:overflowPunct w:val="0"/>
        <w:autoSpaceDE w:val="0"/>
        <w:autoSpaceDN w:val="0"/>
        <w:adjustRightInd w:val="0"/>
        <w:ind w:hanging="567"/>
        <w:textAlignment w:val="baseline"/>
        <w:rPr>
          <w:sz w:val="20"/>
        </w:rPr>
      </w:pPr>
      <w:r>
        <w:fldChar w:fldCharType="begin"/>
      </w:r>
      <w:r>
        <w:instrText xml:space="preserve"> HYPERLINK "https://www.eesc.europa.eu/fi/our-work/opinions-information-reports/opinions/proposal-council-recommendation-enhancing-research-security" </w:instrText>
      </w:r>
      <w:r>
        <w:fldChar w:fldCharType="separate"/>
      </w:r>
      <w:r>
        <w:rPr>
          <w:rStyle w:val="Hyperlink"/>
          <w:b/>
          <w:i/>
          <w:sz w:val="28"/>
        </w:rPr>
        <w:t>Tutkimuksen turvallisuuden parantaminen</w:t>
      </w:r>
      <w:r>
        <w:rPr>
          <w:rStyle w:val="Hyperlink"/>
          <w:b/>
          <w:i/>
          <w:sz w:val="28"/>
        </w:rPr>
        <w:fldChar w:fldCharType="end"/>
      </w:r>
      <w:r>
        <w:rPr>
          <w:b/>
          <w:i/>
          <w:sz w:val="28"/>
        </w:rPr>
        <w:t xml:space="preserve"> </w:t>
      </w:r>
    </w:p>
    <w:p w:rsidRPr="00A6689B" w:rsidR="00681364" w:rsidP="00681364" w:rsidRDefault="00681364" w14:paraId="0A1E3125"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6689B" w:rsidR="00681364" w:rsidTr="006B3766" w14:paraId="4F57DCE0" w14:textId="77777777">
        <w:tc>
          <w:tcPr>
            <w:tcW w:w="1591" w:type="pct"/>
          </w:tcPr>
          <w:p w:rsidRPr="00A6689B" w:rsidR="00681364" w:rsidP="006B3766" w:rsidRDefault="00681364" w14:paraId="4350173B" w14:textId="77777777">
            <w:pPr>
              <w:tabs>
                <w:tab w:val="center" w:pos="284"/>
              </w:tabs>
              <w:ind w:left="266" w:hanging="266"/>
              <w:rPr>
                <w:b/>
              </w:rPr>
            </w:pPr>
            <w:r>
              <w:rPr>
                <w:b/>
              </w:rPr>
              <w:t>Esittelijä</w:t>
            </w:r>
          </w:p>
        </w:tc>
        <w:tc>
          <w:tcPr>
            <w:tcW w:w="3409" w:type="pct"/>
          </w:tcPr>
          <w:p w:rsidRPr="006A6CE0" w:rsidR="00681364" w:rsidP="006B3766" w:rsidRDefault="00681364" w14:paraId="72981483" w14:textId="77777777">
            <w:pPr>
              <w:tabs>
                <w:tab w:val="center" w:pos="284"/>
              </w:tabs>
              <w:ind w:left="266" w:hanging="266"/>
              <w:rPr>
                <w:bCs/>
              </w:rPr>
            </w:pPr>
            <w:proofErr w:type="spellStart"/>
            <w:r>
              <w:t>Stefano</w:t>
            </w:r>
            <w:proofErr w:type="spellEnd"/>
            <w:r>
              <w:t xml:space="preserve"> PALMIERI (työntekijät – IT)</w:t>
            </w:r>
          </w:p>
        </w:tc>
      </w:tr>
      <w:tr w:rsidRPr="00A6689B" w:rsidR="00681364" w:rsidTr="006B3766" w14:paraId="2D389F46" w14:textId="77777777">
        <w:tc>
          <w:tcPr>
            <w:tcW w:w="5000" w:type="pct"/>
            <w:gridSpan w:val="2"/>
          </w:tcPr>
          <w:p w:rsidRPr="00A6689B" w:rsidR="00681364" w:rsidP="006B3766" w:rsidRDefault="00681364" w14:paraId="78C15DCE" w14:textId="77777777">
            <w:pPr>
              <w:tabs>
                <w:tab w:val="center" w:pos="284"/>
              </w:tabs>
              <w:spacing w:line="160" w:lineRule="exact"/>
              <w:ind w:left="266" w:hanging="266"/>
              <w:rPr>
                <w:lang w:val="en-US"/>
              </w:rPr>
            </w:pPr>
          </w:p>
        </w:tc>
      </w:tr>
      <w:tr w:rsidRPr="00A6689B" w:rsidR="00681364" w:rsidTr="006B3766" w14:paraId="4E7A8001" w14:textId="77777777">
        <w:tc>
          <w:tcPr>
            <w:tcW w:w="1591" w:type="pct"/>
            <w:vMerge w:val="restart"/>
          </w:tcPr>
          <w:p w:rsidRPr="00A6689B" w:rsidR="00681364" w:rsidP="006B3766" w:rsidRDefault="00681364" w14:paraId="70430895" w14:textId="77777777">
            <w:pPr>
              <w:tabs>
                <w:tab w:val="center" w:pos="284"/>
              </w:tabs>
              <w:ind w:left="266" w:hanging="266"/>
              <w:rPr>
                <w:b/>
              </w:rPr>
            </w:pPr>
            <w:r>
              <w:rPr>
                <w:b/>
              </w:rPr>
              <w:t>Viiteasiakirjat</w:t>
            </w:r>
          </w:p>
        </w:tc>
        <w:tc>
          <w:tcPr>
            <w:tcW w:w="3409" w:type="pct"/>
          </w:tcPr>
          <w:p w:rsidRPr="00A6689B" w:rsidR="00681364" w:rsidP="006B3766" w:rsidRDefault="00681364" w14:paraId="56AD3942" w14:textId="77777777">
            <w:pPr>
              <w:tabs>
                <w:tab w:val="center" w:pos="284"/>
              </w:tabs>
              <w:ind w:left="266" w:hanging="266"/>
            </w:pPr>
            <w:r>
              <w:t xml:space="preserve">COM(2024) 26 </w:t>
            </w:r>
            <w:proofErr w:type="spellStart"/>
            <w:r>
              <w:t>final</w:t>
            </w:r>
            <w:proofErr w:type="spellEnd"/>
          </w:p>
        </w:tc>
      </w:tr>
      <w:tr w:rsidRPr="00A6689B" w:rsidR="00681364" w:rsidTr="006B3766" w14:paraId="3AFEE55F" w14:textId="77777777">
        <w:tc>
          <w:tcPr>
            <w:tcW w:w="1591" w:type="pct"/>
            <w:vMerge/>
          </w:tcPr>
          <w:p w:rsidRPr="00A6689B" w:rsidR="00681364" w:rsidP="006B3766" w:rsidRDefault="00681364" w14:paraId="4C8D76D6" w14:textId="77777777">
            <w:pPr>
              <w:tabs>
                <w:tab w:val="center" w:pos="284"/>
              </w:tabs>
              <w:ind w:left="266" w:hanging="266"/>
              <w:rPr>
                <w:b/>
                <w:lang w:val="en-US"/>
              </w:rPr>
            </w:pPr>
          </w:p>
        </w:tc>
        <w:tc>
          <w:tcPr>
            <w:tcW w:w="3409" w:type="pct"/>
          </w:tcPr>
          <w:p w:rsidRPr="00A6689B" w:rsidR="00681364" w:rsidP="006B3766" w:rsidRDefault="00681364" w14:paraId="6A14CCBA" w14:textId="77777777">
            <w:pPr>
              <w:tabs>
                <w:tab w:val="center" w:pos="284"/>
              </w:tabs>
              <w:ind w:left="266" w:hanging="266"/>
            </w:pPr>
            <w:r>
              <w:t>EESC-2024-00827-00-00-AC</w:t>
            </w:r>
          </w:p>
        </w:tc>
      </w:tr>
    </w:tbl>
    <w:p w:rsidRPr="00A6689B" w:rsidR="00681364" w:rsidP="00681364" w:rsidRDefault="00681364" w14:paraId="5FB23345" w14:textId="77777777">
      <w:pPr>
        <w:tabs>
          <w:tab w:val="center" w:pos="284"/>
        </w:tabs>
        <w:ind w:left="266" w:hanging="266"/>
      </w:pPr>
    </w:p>
    <w:p w:rsidRPr="00A6689B" w:rsidR="00681364" w:rsidP="00681364" w:rsidRDefault="00681364" w14:paraId="5265BC07" w14:textId="77777777">
      <w:pPr>
        <w:keepNext/>
        <w:keepLines/>
        <w:tabs>
          <w:tab w:val="center" w:pos="284"/>
        </w:tabs>
        <w:spacing w:line="276" w:lineRule="auto"/>
        <w:ind w:left="266" w:hanging="266"/>
        <w:rPr>
          <w:b/>
        </w:rPr>
      </w:pPr>
      <w:r>
        <w:rPr>
          <w:b/>
        </w:rPr>
        <w:t>Keskeiset kohdat</w:t>
      </w:r>
    </w:p>
    <w:p w:rsidRPr="00B11B5D" w:rsidR="00681364" w:rsidP="00681364" w:rsidRDefault="00681364" w14:paraId="23EB29D8" w14:textId="77777777">
      <w:pPr>
        <w:keepNext/>
        <w:keepLines/>
        <w:tabs>
          <w:tab w:val="center" w:pos="284"/>
        </w:tabs>
        <w:spacing w:line="276" w:lineRule="auto"/>
        <w:ind w:left="266" w:hanging="266"/>
        <w:rPr>
          <w:b/>
          <w:sz w:val="16"/>
          <w:szCs w:val="16"/>
        </w:rPr>
      </w:pPr>
    </w:p>
    <w:p w:rsidRPr="00A6689B" w:rsidR="00681364" w:rsidP="00681364" w:rsidRDefault="00681364" w14:paraId="0FB0FA05" w14:textId="77777777">
      <w:pPr>
        <w:spacing w:line="276" w:lineRule="auto"/>
        <w:rPr>
          <w:bCs/>
          <w:iCs/>
        </w:rPr>
      </w:pPr>
      <w:r>
        <w:t>ETSK</w:t>
      </w:r>
    </w:p>
    <w:p w:rsidRPr="00F10E3D" w:rsidR="00681364" w:rsidP="00681364" w:rsidRDefault="00681364" w14:paraId="13744E49" w14:textId="77777777">
      <w:pPr>
        <w:widowControl w:val="0"/>
        <w:numPr>
          <w:ilvl w:val="0"/>
          <w:numId w:val="27"/>
        </w:numPr>
        <w:overflowPunct w:val="0"/>
        <w:autoSpaceDE w:val="0"/>
        <w:autoSpaceDN w:val="0"/>
        <w:adjustRightInd w:val="0"/>
        <w:spacing w:line="276" w:lineRule="auto"/>
        <w:textAlignment w:val="baseline"/>
        <w:rPr>
          <w:bCs/>
          <w:iCs/>
        </w:rPr>
      </w:pPr>
      <w:r>
        <w:t>pitää tarpeellisena varmistaa oikea tasapaino turvallisuuden vaatimuksen ja sen välillä, että alan on pysyttävä kuitenkin kansainvälisesti avoimena, mutta ymmärtää samalla, että tutkimus ja innovointi ovat alttiita valtiollisten tai valtiosta riippumattomien toimijoiden mahdolliselle haitalliselle vaikuttamiselle joidenkin kansainvälisten yhteistyötoimien yhteydessä.</w:t>
      </w:r>
    </w:p>
    <w:p w:rsidRPr="00F10E3D" w:rsidR="00681364" w:rsidP="00681364" w:rsidRDefault="00681364" w14:paraId="6FEC1065" w14:textId="77777777">
      <w:pPr>
        <w:widowControl w:val="0"/>
        <w:numPr>
          <w:ilvl w:val="0"/>
          <w:numId w:val="27"/>
        </w:numPr>
        <w:overflowPunct w:val="0"/>
        <w:autoSpaceDE w:val="0"/>
        <w:autoSpaceDN w:val="0"/>
        <w:adjustRightInd w:val="0"/>
        <w:spacing w:line="276" w:lineRule="auto"/>
        <w:textAlignment w:val="baseline"/>
        <w:rPr>
          <w:bCs/>
          <w:iCs/>
        </w:rPr>
      </w:pPr>
      <w:r>
        <w:t>katsoo, että tutkimuksen ja innovoinnin turvallisuuden varmistamiseen tähtäävät toimenpiteet eivät saa olla koskaan ristiriidassa tutkimuksen täyden riippumattomuuden ja vapauden kanssa.</w:t>
      </w:r>
    </w:p>
    <w:p w:rsidRPr="00F10E3D" w:rsidR="00681364" w:rsidP="00681364" w:rsidRDefault="00681364" w14:paraId="4E3DF6A4" w14:textId="77777777">
      <w:pPr>
        <w:widowControl w:val="0"/>
        <w:numPr>
          <w:ilvl w:val="0"/>
          <w:numId w:val="27"/>
        </w:numPr>
        <w:overflowPunct w:val="0"/>
        <w:autoSpaceDE w:val="0"/>
        <w:autoSpaceDN w:val="0"/>
        <w:adjustRightInd w:val="0"/>
        <w:spacing w:line="276" w:lineRule="auto"/>
        <w:textAlignment w:val="baseline"/>
        <w:rPr>
          <w:bCs/>
          <w:iCs/>
        </w:rPr>
      </w:pPr>
      <w:r>
        <w:t>suosittaa, että tutkimus- ja innovointitoimijoiden vastuullisen vapauden periaatteen noudattaminen turvataan alan toimijoiden tehokkaan, tuloksellisen ja avoimen itsehallinnon avulla.</w:t>
      </w:r>
    </w:p>
    <w:p w:rsidRPr="00F10E3D" w:rsidR="00681364" w:rsidP="00681364" w:rsidRDefault="00681364" w14:paraId="3A2BC679" w14:textId="77777777">
      <w:pPr>
        <w:widowControl w:val="0"/>
        <w:numPr>
          <w:ilvl w:val="0"/>
          <w:numId w:val="27"/>
        </w:numPr>
        <w:overflowPunct w:val="0"/>
        <w:autoSpaceDE w:val="0"/>
        <w:autoSpaceDN w:val="0"/>
        <w:adjustRightInd w:val="0"/>
        <w:spacing w:line="276" w:lineRule="auto"/>
        <w:textAlignment w:val="baseline"/>
        <w:rPr>
          <w:bCs/>
          <w:iCs/>
        </w:rPr>
      </w:pPr>
      <w:r>
        <w:t>katsoo, että tutkimuksen ja innovoinnin turvallisen kansainvälisen yhteistyön varmistamisen tavoite ei saisi koskaan johtaa tutkimus- ja innovointialan toimijoiden syrjintään ja/tai häirintään eikä ristiriitaan EU:n tutkimus- ja innovointialan työntekijöiden oikeuksien ja työolojen ja ‑ehtojen turvaamisen kanssa.</w:t>
      </w:r>
    </w:p>
    <w:p w:rsidRPr="00F10E3D" w:rsidR="00681364" w:rsidP="00681364" w:rsidRDefault="00681364" w14:paraId="3C69E214" w14:textId="77777777">
      <w:pPr>
        <w:widowControl w:val="0"/>
        <w:numPr>
          <w:ilvl w:val="0"/>
          <w:numId w:val="27"/>
        </w:numPr>
        <w:overflowPunct w:val="0"/>
        <w:autoSpaceDE w:val="0"/>
        <w:autoSpaceDN w:val="0"/>
        <w:adjustRightInd w:val="0"/>
        <w:spacing w:line="276" w:lineRule="auto"/>
        <w:textAlignment w:val="baseline"/>
        <w:rPr>
          <w:bCs/>
          <w:iCs/>
        </w:rPr>
      </w:pPr>
      <w:r>
        <w:t>toivoo, että tutkimuksen ja innovoinnin täyttä riippumattomuutta kehitetään kaikkien EU:n jäsenvaltioiden välillä yhtenäisessä ja johdonmukaisessa viitekehyksessä.</w:t>
      </w:r>
    </w:p>
    <w:p w:rsidRPr="00F10E3D" w:rsidR="00681364" w:rsidP="00681364" w:rsidRDefault="00681364" w14:paraId="4512F61A" w14:textId="77777777">
      <w:pPr>
        <w:widowControl w:val="0"/>
        <w:numPr>
          <w:ilvl w:val="0"/>
          <w:numId w:val="27"/>
        </w:numPr>
        <w:overflowPunct w:val="0"/>
        <w:autoSpaceDE w:val="0"/>
        <w:autoSpaceDN w:val="0"/>
        <w:adjustRightInd w:val="0"/>
        <w:spacing w:line="276" w:lineRule="auto"/>
        <w:textAlignment w:val="baseline"/>
        <w:rPr>
          <w:bCs/>
          <w:iCs/>
        </w:rPr>
      </w:pPr>
      <w:r>
        <w:t xml:space="preserve">korostaa, että on tärkeää vahvistaa sellaisten innovaatioiden teollis- ja tekijänoikeuksien suojaa, joilla voidaan varmistaa kansallinen turvallisuus, sekä ulottaa ulkomaisten suorien sijoitusten seuranta yrityksiin, jotka ovat </w:t>
      </w:r>
      <w:proofErr w:type="spellStart"/>
      <w:r>
        <w:t>yhteensulautusten</w:t>
      </w:r>
      <w:proofErr w:type="spellEnd"/>
      <w:r>
        <w:t xml:space="preserve"> ja yritysostojen kohteena ja toimivat kymmenellä kriittisellä alalla ja kaksikäyttötuotteiden valmistuksen alalla.</w:t>
      </w:r>
    </w:p>
    <w:p w:rsidRPr="00F10E3D" w:rsidR="00681364" w:rsidP="00681364" w:rsidRDefault="00681364" w14:paraId="03781F50" w14:textId="77777777">
      <w:pPr>
        <w:widowControl w:val="0"/>
        <w:numPr>
          <w:ilvl w:val="0"/>
          <w:numId w:val="27"/>
        </w:numPr>
        <w:overflowPunct w:val="0"/>
        <w:autoSpaceDE w:val="0"/>
        <w:autoSpaceDN w:val="0"/>
        <w:adjustRightInd w:val="0"/>
        <w:spacing w:line="276" w:lineRule="auto"/>
        <w:textAlignment w:val="baseline"/>
        <w:rPr>
          <w:bCs/>
          <w:iCs/>
        </w:rPr>
      </w:pPr>
      <w:r>
        <w:t xml:space="preserve">katsoo, että se, että suosituksesta puuttuu yksityiskohtainen ohjaus tutkimus- ja innovointitoimijoiden tukemiseksi i) </w:t>
      </w:r>
      <w:proofErr w:type="spellStart"/>
      <w:r>
        <w:t>due</w:t>
      </w:r>
      <w:proofErr w:type="spellEnd"/>
      <w:r>
        <w:t xml:space="preserve"> </w:t>
      </w:r>
      <w:proofErr w:type="spellStart"/>
      <w:r>
        <w:t>diligence</w:t>
      </w:r>
      <w:proofErr w:type="spellEnd"/>
      <w:r>
        <w:t xml:space="preserve"> ‑tarkastelussa, ii) riskiprofiloinnissa ja iii) yhteisymmärryspöytäkirjojen laatimisessa tutkimuksen ja innovoinnin alan kansainvälisten kumppaniorganisaatioiden kanssa, voidaan korjata myöhemmässä vaiheessa tutkimuksen turvallisuutta koskevan asiantuntemuksen eurooppalaisen keskuksen tulevien toimien yhteydessä.</w:t>
      </w:r>
    </w:p>
    <w:p w:rsidRPr="00F10E3D" w:rsidR="00681364" w:rsidP="00681364" w:rsidRDefault="00681364" w14:paraId="3255E7B3" w14:textId="77777777">
      <w:pPr>
        <w:widowControl w:val="0"/>
        <w:numPr>
          <w:ilvl w:val="0"/>
          <w:numId w:val="27"/>
        </w:numPr>
        <w:overflowPunct w:val="0"/>
        <w:autoSpaceDE w:val="0"/>
        <w:autoSpaceDN w:val="0"/>
        <w:adjustRightInd w:val="0"/>
        <w:spacing w:line="276" w:lineRule="auto"/>
        <w:textAlignment w:val="baseline"/>
        <w:rPr>
          <w:bCs/>
          <w:iCs/>
        </w:rPr>
      </w:pPr>
      <w:r>
        <w:t>toivoo, että tutkimuksen turvallisuutta koskevan asiantuntemuksen eurooppalainen keskus toimii alustana, joka kerää ja jakaa asiakirja-aineistoa noudattaen täysin vastavuoroista avoimuutta, ja järjestää ammatillista koulutusta ja täydennyskoulutusta tutkimuksen turvallisuudesta.</w:t>
      </w:r>
    </w:p>
    <w:p w:rsidRPr="00B11B5D" w:rsidR="00681364" w:rsidP="00681364" w:rsidRDefault="00681364" w14:paraId="24A69B3D" w14:textId="77777777">
      <w:pPr>
        <w:widowControl w:val="0"/>
        <w:spacing w:line="276" w:lineRule="auto"/>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681364" w:rsidTr="006B3766" w14:paraId="5C77BC0F" w14:textId="77777777">
        <w:tc>
          <w:tcPr>
            <w:tcW w:w="1556" w:type="pct"/>
          </w:tcPr>
          <w:p w:rsidRPr="00A6689B" w:rsidR="00681364" w:rsidP="006B3766" w:rsidRDefault="00681364" w14:paraId="269E4B81" w14:textId="77777777">
            <w:pPr>
              <w:spacing w:line="276" w:lineRule="auto"/>
              <w:rPr>
                <w:i/>
              </w:rPr>
            </w:pPr>
            <w:r>
              <w:rPr>
                <w:b/>
                <w:i/>
              </w:rPr>
              <w:t>Yhteydenotot</w:t>
            </w:r>
          </w:p>
        </w:tc>
        <w:tc>
          <w:tcPr>
            <w:tcW w:w="3444" w:type="pct"/>
          </w:tcPr>
          <w:p w:rsidRPr="00A6689B" w:rsidR="00681364" w:rsidP="006B3766" w:rsidRDefault="00681364" w14:paraId="21C34D43" w14:textId="77777777">
            <w:pPr>
              <w:spacing w:line="276" w:lineRule="auto"/>
              <w:rPr>
                <w:i/>
              </w:rPr>
            </w:pPr>
            <w:r>
              <w:rPr>
                <w:i/>
              </w:rPr>
              <w:t>Marco MANFRONI</w:t>
            </w:r>
          </w:p>
        </w:tc>
      </w:tr>
      <w:tr w:rsidRPr="00A6689B" w:rsidR="00681364" w:rsidTr="006B3766" w14:paraId="0C7803F4" w14:textId="77777777">
        <w:tc>
          <w:tcPr>
            <w:tcW w:w="1556" w:type="pct"/>
          </w:tcPr>
          <w:p w:rsidRPr="00A6689B" w:rsidR="00681364" w:rsidP="006B3766" w:rsidRDefault="00681364" w14:paraId="7876788B" w14:textId="77777777">
            <w:pPr>
              <w:spacing w:line="276" w:lineRule="auto"/>
              <w:rPr>
                <w:i/>
              </w:rPr>
            </w:pPr>
            <w:r>
              <w:rPr>
                <w:i/>
              </w:rPr>
              <w:t>P.</w:t>
            </w:r>
          </w:p>
        </w:tc>
        <w:tc>
          <w:tcPr>
            <w:tcW w:w="3444" w:type="pct"/>
          </w:tcPr>
          <w:p w:rsidRPr="006E04EF" w:rsidR="00681364" w:rsidP="006B3766" w:rsidRDefault="00681364" w14:paraId="73FB5851" w14:textId="77777777">
            <w:pPr>
              <w:spacing w:line="276" w:lineRule="auto"/>
              <w:rPr>
                <w:bCs/>
                <w:i/>
              </w:rPr>
            </w:pPr>
            <w:r>
              <w:rPr>
                <w:i/>
              </w:rPr>
              <w:t>+32 25469140</w:t>
            </w:r>
          </w:p>
        </w:tc>
      </w:tr>
      <w:tr w:rsidRPr="00A6689B" w:rsidR="00681364" w:rsidTr="006B3766" w14:paraId="17E1F7B7" w14:textId="77777777">
        <w:tc>
          <w:tcPr>
            <w:tcW w:w="1556" w:type="pct"/>
          </w:tcPr>
          <w:p w:rsidRPr="00A6689B" w:rsidR="00681364" w:rsidP="006B3766" w:rsidRDefault="00681364" w14:paraId="733C6A19" w14:textId="77777777">
            <w:pPr>
              <w:spacing w:line="276" w:lineRule="auto"/>
              <w:rPr>
                <w:i/>
              </w:rPr>
            </w:pPr>
            <w:r>
              <w:rPr>
                <w:i/>
              </w:rPr>
              <w:t>Sähköposti</w:t>
            </w:r>
          </w:p>
        </w:tc>
        <w:tc>
          <w:tcPr>
            <w:tcW w:w="3444" w:type="pct"/>
          </w:tcPr>
          <w:p w:rsidRPr="00A6689B" w:rsidR="00681364" w:rsidP="006B3766" w:rsidRDefault="00681364" w14:paraId="6FBF45B4" w14:textId="77777777">
            <w:pPr>
              <w:spacing w:line="276" w:lineRule="auto"/>
              <w:rPr>
                <w:i/>
              </w:rPr>
            </w:pPr>
            <w:hyperlink w:history="1" r:id="rId25">
              <w:r>
                <w:rPr>
                  <w:rStyle w:val="Hyperlink"/>
                  <w:i/>
                </w:rPr>
                <w:t>Marco.Manfroni@eesc.europa.eu</w:t>
              </w:r>
            </w:hyperlink>
          </w:p>
        </w:tc>
      </w:tr>
    </w:tbl>
    <w:p w:rsidR="00DC26B9" w:rsidRDefault="00DC26B9" w14:paraId="3806A840" w14:textId="77777777">
      <w:pPr>
        <w:spacing w:after="160" w:line="259" w:lineRule="auto"/>
        <w:jc w:val="left"/>
        <w:rPr>
          <w:rFonts w:eastAsiaTheme="minorEastAsia"/>
        </w:rPr>
      </w:pPr>
      <w:r>
        <w:br w:type="page"/>
      </w:r>
    </w:p>
    <w:p w:rsidRPr="00C37F51" w:rsidR="00C37F51" w:rsidP="00C37F51" w:rsidRDefault="00C37F51" w14:paraId="1251C006" w14:textId="3F62576B">
      <w:pPr>
        <w:rPr>
          <w:rFonts w:eastAsiaTheme="minorEastAsia"/>
        </w:rPr>
      </w:pPr>
    </w:p>
    <w:p w:rsidR="006A7E31" w:rsidP="006A7E31" w:rsidRDefault="00520680" w14:paraId="295BACE7" w14:textId="7EB5E747">
      <w:pPr>
        <w:pStyle w:val="TOC1"/>
      </w:pPr>
      <w:bookmarkStart w:name="_Hlk171938165" w:id="9"/>
      <w:bookmarkStart w:name="_Toc172289457" w:id="10"/>
      <w:r>
        <w:t>5.</w:t>
      </w:r>
      <w:r>
        <w:rPr>
          <w:rFonts w:asciiTheme="minorHAnsi" w:hAnsiTheme="minorHAnsi"/>
          <w:sz w:val="22"/>
        </w:rPr>
        <w:tab/>
      </w:r>
      <w:hyperlink w:history="1" w:anchor="_Toc164353189">
        <w:r>
          <w:t>MAATALOUS, MAASEUDUN KEHITTÄMINEN JA YMPÄRISTÖ</w:t>
        </w:r>
        <w:bookmarkEnd w:id="10"/>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BE7A9B" w:rsidR="00681364" w:rsidP="00681364" w:rsidRDefault="00681364" w14:paraId="2A393B2A" w14:textId="77777777">
      <w:pPr>
        <w:widowControl w:val="0"/>
        <w:numPr>
          <w:ilvl w:val="0"/>
          <w:numId w:val="50"/>
        </w:numPr>
        <w:overflowPunct w:val="0"/>
        <w:autoSpaceDE w:val="0"/>
        <w:autoSpaceDN w:val="0"/>
        <w:adjustRightInd w:val="0"/>
        <w:ind w:left="567" w:hanging="283"/>
        <w:textAlignment w:val="baseline"/>
        <w:rPr>
          <w:sz w:val="20"/>
        </w:rPr>
      </w:pPr>
      <w:r>
        <w:rPr>
          <w:b/>
          <w:i/>
          <w:sz w:val="28"/>
        </w:rPr>
        <w:t>NAT/936</w:t>
      </w:r>
      <w:r>
        <w:t xml:space="preserve"> – </w:t>
      </w:r>
      <w:hyperlink w:history="1" r:id="rId26">
        <w:r>
          <w:rPr>
            <w:rStyle w:val="Hyperlink"/>
            <w:b/>
            <w:i/>
            <w:sz w:val="28"/>
          </w:rPr>
          <w:t>Välimeren yleinen kalastuskomissio</w:t>
        </w:r>
      </w:hyperlink>
    </w:p>
    <w:p w:rsidRPr="00A6689B" w:rsidR="00681364" w:rsidP="00681364" w:rsidRDefault="00681364" w14:paraId="709F876E"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6689B" w:rsidR="00681364" w:rsidTr="006B3766" w14:paraId="42A1620E" w14:textId="77777777">
        <w:tc>
          <w:tcPr>
            <w:tcW w:w="5000" w:type="pct"/>
            <w:gridSpan w:val="2"/>
          </w:tcPr>
          <w:p w:rsidRPr="00A6689B" w:rsidR="00681364" w:rsidP="006B3766" w:rsidRDefault="00681364" w14:paraId="331B8A9C" w14:textId="77777777">
            <w:pPr>
              <w:tabs>
                <w:tab w:val="center" w:pos="284"/>
              </w:tabs>
              <w:spacing w:line="160" w:lineRule="exact"/>
              <w:ind w:left="266" w:hanging="266"/>
              <w:rPr>
                <w:lang w:val="en-US"/>
              </w:rPr>
            </w:pPr>
          </w:p>
        </w:tc>
      </w:tr>
      <w:tr w:rsidRPr="00A6689B" w:rsidR="00681364" w:rsidTr="006B3766" w14:paraId="0BA2912B" w14:textId="77777777">
        <w:tc>
          <w:tcPr>
            <w:tcW w:w="1591" w:type="pct"/>
            <w:vMerge w:val="restart"/>
          </w:tcPr>
          <w:p w:rsidRPr="00A6689B" w:rsidR="00681364" w:rsidP="006B3766" w:rsidRDefault="00681364" w14:paraId="443B95B1" w14:textId="77777777">
            <w:pPr>
              <w:tabs>
                <w:tab w:val="center" w:pos="284"/>
              </w:tabs>
              <w:ind w:left="266" w:hanging="266"/>
              <w:rPr>
                <w:b/>
              </w:rPr>
            </w:pPr>
            <w:r>
              <w:rPr>
                <w:b/>
              </w:rPr>
              <w:t>Viiteasiakirjat</w:t>
            </w:r>
          </w:p>
        </w:tc>
        <w:tc>
          <w:tcPr>
            <w:tcW w:w="3409" w:type="pct"/>
          </w:tcPr>
          <w:p w:rsidRPr="00A6689B" w:rsidR="00681364" w:rsidP="006B3766" w:rsidRDefault="00681364" w14:paraId="3CEA82A4" w14:textId="77777777">
            <w:pPr>
              <w:tabs>
                <w:tab w:val="center" w:pos="284"/>
              </w:tabs>
              <w:ind w:left="266" w:hanging="266"/>
            </w:pPr>
            <w:r>
              <w:t xml:space="preserve">COM(2024) 183 </w:t>
            </w:r>
            <w:proofErr w:type="spellStart"/>
            <w:r>
              <w:t>final</w:t>
            </w:r>
            <w:proofErr w:type="spellEnd"/>
          </w:p>
        </w:tc>
      </w:tr>
      <w:tr w:rsidRPr="00A6689B" w:rsidR="00681364" w:rsidTr="006B3766" w14:paraId="50CE0C78" w14:textId="77777777">
        <w:tc>
          <w:tcPr>
            <w:tcW w:w="1591" w:type="pct"/>
            <w:vMerge/>
          </w:tcPr>
          <w:p w:rsidRPr="00A6689B" w:rsidR="00681364" w:rsidP="006B3766" w:rsidRDefault="00681364" w14:paraId="76A7CBF3" w14:textId="77777777">
            <w:pPr>
              <w:tabs>
                <w:tab w:val="center" w:pos="284"/>
              </w:tabs>
              <w:ind w:left="266" w:hanging="266"/>
              <w:rPr>
                <w:b/>
                <w:lang w:val="en-US"/>
              </w:rPr>
            </w:pPr>
          </w:p>
        </w:tc>
        <w:tc>
          <w:tcPr>
            <w:tcW w:w="3409" w:type="pct"/>
          </w:tcPr>
          <w:p w:rsidRPr="00A6689B" w:rsidR="00681364" w:rsidP="006B3766" w:rsidRDefault="00681364" w14:paraId="1E48255C" w14:textId="77777777">
            <w:pPr>
              <w:tabs>
                <w:tab w:val="center" w:pos="284"/>
              </w:tabs>
              <w:ind w:left="266" w:hanging="266"/>
            </w:pPr>
            <w:r>
              <w:t>EESC-2024-02260-00-00-AC</w:t>
            </w:r>
          </w:p>
        </w:tc>
      </w:tr>
    </w:tbl>
    <w:p w:rsidRPr="00A6689B" w:rsidR="00681364" w:rsidP="00681364" w:rsidRDefault="00681364" w14:paraId="0BC12D77" w14:textId="77777777">
      <w:pPr>
        <w:tabs>
          <w:tab w:val="center" w:pos="284"/>
        </w:tabs>
        <w:ind w:left="266" w:hanging="266"/>
      </w:pPr>
    </w:p>
    <w:p w:rsidRPr="00A6689B" w:rsidR="00681364" w:rsidP="00681364" w:rsidRDefault="00681364" w14:paraId="0CF9E7DB" w14:textId="77777777">
      <w:pPr>
        <w:keepNext/>
        <w:keepLines/>
        <w:tabs>
          <w:tab w:val="center" w:pos="284"/>
        </w:tabs>
        <w:ind w:left="266" w:hanging="266"/>
        <w:rPr>
          <w:b/>
        </w:rPr>
      </w:pPr>
      <w:r>
        <w:rPr>
          <w:b/>
        </w:rPr>
        <w:t>Keskeiset kohdat</w:t>
      </w:r>
    </w:p>
    <w:p w:rsidRPr="00A6689B" w:rsidR="00681364" w:rsidP="00681364" w:rsidRDefault="00681364" w14:paraId="6A4063D2" w14:textId="77777777">
      <w:pPr>
        <w:keepNext/>
        <w:keepLines/>
        <w:tabs>
          <w:tab w:val="center" w:pos="284"/>
        </w:tabs>
        <w:ind w:left="266" w:hanging="266"/>
        <w:rPr>
          <w:b/>
        </w:rPr>
      </w:pPr>
    </w:p>
    <w:p w:rsidRPr="00A6689B" w:rsidR="00681364" w:rsidP="00681364" w:rsidRDefault="00681364" w14:paraId="43425006" w14:textId="77777777">
      <w:pPr>
        <w:rPr>
          <w:bCs/>
          <w:iCs/>
        </w:rPr>
      </w:pPr>
      <w:r>
        <w:t>ETSK</w:t>
      </w:r>
    </w:p>
    <w:p w:rsidRPr="00A6689B" w:rsidR="00681364" w:rsidP="00681364" w:rsidRDefault="00681364" w14:paraId="6204BCC3" w14:textId="77777777">
      <w:pPr>
        <w:rPr>
          <w:bCs/>
          <w:iCs/>
        </w:rPr>
      </w:pPr>
    </w:p>
    <w:p w:rsidRPr="00A6689B" w:rsidR="00681364" w:rsidP="00681364" w:rsidRDefault="00681364" w14:paraId="6ACA62B9" w14:textId="77777777">
      <w:pPr>
        <w:widowControl w:val="0"/>
        <w:numPr>
          <w:ilvl w:val="0"/>
          <w:numId w:val="50"/>
        </w:numPr>
        <w:overflowPunct w:val="0"/>
        <w:autoSpaceDE w:val="0"/>
        <w:autoSpaceDN w:val="0"/>
        <w:adjustRightInd w:val="0"/>
        <w:ind w:left="709" w:hanging="425"/>
        <w:textAlignment w:val="baseline"/>
        <w:rPr>
          <w:bCs/>
          <w:iCs/>
        </w:rPr>
      </w:pPr>
      <w:r>
        <w:t>katsoo, että asiakirjan sisältö on täysin hyväksyttävä, eikä komitealla ole siihen kommentoitavaa.</w:t>
      </w:r>
    </w:p>
    <w:p w:rsidRPr="000624A9" w:rsidR="00681364" w:rsidP="00681364" w:rsidRDefault="00681364" w14:paraId="713A43E6"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681364" w:rsidTr="006B3766" w14:paraId="1E53EA8D" w14:textId="77777777">
        <w:tc>
          <w:tcPr>
            <w:tcW w:w="1556" w:type="pct"/>
          </w:tcPr>
          <w:p w:rsidRPr="00A6689B" w:rsidR="00681364" w:rsidP="006B3766" w:rsidRDefault="00681364" w14:paraId="634BAF96" w14:textId="77777777">
            <w:pPr>
              <w:spacing w:line="240" w:lineRule="auto"/>
              <w:ind w:hanging="110"/>
              <w:rPr>
                <w:i/>
              </w:rPr>
            </w:pPr>
            <w:r>
              <w:rPr>
                <w:b/>
                <w:i/>
              </w:rPr>
              <w:t>Yhteydenotot</w:t>
            </w:r>
          </w:p>
        </w:tc>
        <w:tc>
          <w:tcPr>
            <w:tcW w:w="3444" w:type="pct"/>
          </w:tcPr>
          <w:p w:rsidRPr="00A6689B" w:rsidR="00681364" w:rsidP="006B3766" w:rsidRDefault="00681364" w14:paraId="699BF005" w14:textId="77777777">
            <w:pPr>
              <w:spacing w:line="240" w:lineRule="auto"/>
              <w:rPr>
                <w:i/>
              </w:rPr>
            </w:pPr>
            <w:proofErr w:type="spellStart"/>
            <w:r>
              <w:rPr>
                <w:i/>
              </w:rPr>
              <w:t>Martine</w:t>
            </w:r>
            <w:proofErr w:type="spellEnd"/>
            <w:r>
              <w:rPr>
                <w:i/>
              </w:rPr>
              <w:t xml:space="preserve"> </w:t>
            </w:r>
            <w:proofErr w:type="spellStart"/>
            <w:r>
              <w:rPr>
                <w:i/>
              </w:rPr>
              <w:t>Delanoy</w:t>
            </w:r>
            <w:proofErr w:type="spellEnd"/>
          </w:p>
        </w:tc>
      </w:tr>
      <w:tr w:rsidRPr="00A6689B" w:rsidR="00681364" w:rsidTr="006B3766" w14:paraId="20B0F4E6" w14:textId="77777777">
        <w:tc>
          <w:tcPr>
            <w:tcW w:w="1556" w:type="pct"/>
          </w:tcPr>
          <w:p w:rsidRPr="00A6689B" w:rsidR="00681364" w:rsidP="006B3766" w:rsidRDefault="00681364" w14:paraId="1459EAEF" w14:textId="77777777">
            <w:pPr>
              <w:spacing w:line="240" w:lineRule="auto"/>
              <w:ind w:left="-110"/>
              <w:rPr>
                <w:i/>
              </w:rPr>
            </w:pPr>
            <w:r>
              <w:rPr>
                <w:i/>
              </w:rPr>
              <w:t>P.</w:t>
            </w:r>
          </w:p>
        </w:tc>
        <w:tc>
          <w:tcPr>
            <w:tcW w:w="3444" w:type="pct"/>
          </w:tcPr>
          <w:p w:rsidRPr="00A6689B" w:rsidR="00681364" w:rsidP="006B3766" w:rsidRDefault="00681364" w14:paraId="58967FC8" w14:textId="77777777">
            <w:pPr>
              <w:spacing w:line="240" w:lineRule="auto"/>
              <w:rPr>
                <w:i/>
              </w:rPr>
            </w:pPr>
            <w:r>
              <w:rPr>
                <w:i/>
              </w:rPr>
              <w:t>+32 25469802</w:t>
            </w:r>
          </w:p>
        </w:tc>
      </w:tr>
      <w:tr w:rsidRPr="00A6689B" w:rsidR="00681364" w:rsidTr="006B3766" w14:paraId="6AB7BD75" w14:textId="77777777">
        <w:tc>
          <w:tcPr>
            <w:tcW w:w="1556" w:type="pct"/>
          </w:tcPr>
          <w:p w:rsidRPr="00A6689B" w:rsidR="00681364" w:rsidP="006B3766" w:rsidRDefault="00681364" w14:paraId="3FAFDBD8" w14:textId="77777777">
            <w:pPr>
              <w:spacing w:line="240" w:lineRule="auto"/>
              <w:ind w:hanging="110"/>
              <w:rPr>
                <w:i/>
              </w:rPr>
            </w:pPr>
            <w:r>
              <w:rPr>
                <w:i/>
              </w:rPr>
              <w:t>Sähköposti</w:t>
            </w:r>
          </w:p>
        </w:tc>
        <w:tc>
          <w:tcPr>
            <w:tcW w:w="3444" w:type="pct"/>
          </w:tcPr>
          <w:p w:rsidRPr="00A6689B" w:rsidR="00681364" w:rsidP="006B3766" w:rsidRDefault="00681364" w14:paraId="5891C176" w14:textId="77777777">
            <w:pPr>
              <w:spacing w:line="240" w:lineRule="auto"/>
              <w:rPr>
                <w:i/>
              </w:rPr>
            </w:pPr>
            <w:hyperlink w:history="1" r:id="rId27">
              <w:r>
                <w:rPr>
                  <w:rStyle w:val="Hyperlink"/>
                  <w:i/>
                </w:rPr>
                <w:t>Martine.Delanoy@eesc.europa.eu</w:t>
              </w:r>
            </w:hyperlink>
            <w:r>
              <w:rPr>
                <w:i/>
              </w:rPr>
              <w:t xml:space="preserve"> </w:t>
            </w:r>
          </w:p>
        </w:tc>
      </w:tr>
      <w:tr w:rsidRPr="00A6689B" w:rsidR="00681364" w:rsidTr="006B3766" w14:paraId="0AE7306A" w14:textId="77777777">
        <w:tc>
          <w:tcPr>
            <w:tcW w:w="1556" w:type="pct"/>
          </w:tcPr>
          <w:p w:rsidR="00681364" w:rsidP="006B3766" w:rsidRDefault="00681364" w14:paraId="25EC196E" w14:textId="77777777">
            <w:pPr>
              <w:spacing w:line="240" w:lineRule="auto"/>
              <w:rPr>
                <w:i/>
                <w:lang w:val="en-US"/>
              </w:rPr>
            </w:pPr>
          </w:p>
        </w:tc>
        <w:tc>
          <w:tcPr>
            <w:tcW w:w="3444" w:type="pct"/>
          </w:tcPr>
          <w:p w:rsidR="00681364" w:rsidP="006B3766" w:rsidRDefault="00681364" w14:paraId="6D986853" w14:textId="77777777">
            <w:pPr>
              <w:spacing w:line="240" w:lineRule="auto"/>
              <w:rPr>
                <w:i/>
                <w:lang w:val="en-US"/>
              </w:rPr>
            </w:pP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bookmarkStart w:name="_Hlk171938874" w:id="11"/>
    <w:p w:rsidRPr="0003586F" w:rsidR="009C49F7" w:rsidP="009C49F7" w:rsidRDefault="009C49F7" w14:paraId="42DACA61" w14:textId="77777777">
      <w:pPr>
        <w:widowControl w:val="0"/>
        <w:numPr>
          <w:ilvl w:val="0"/>
          <w:numId w:val="27"/>
        </w:numPr>
        <w:overflowPunct w:val="0"/>
        <w:autoSpaceDE w:val="0"/>
        <w:autoSpaceDN w:val="0"/>
        <w:adjustRightInd w:val="0"/>
        <w:ind w:hanging="567"/>
        <w:textAlignment w:val="baseline"/>
        <w:rPr>
          <w:sz w:val="20"/>
        </w:rPr>
      </w:pPr>
      <w:r>
        <w:lastRenderedPageBreak/>
        <w:fldChar w:fldCharType="begin"/>
      </w:r>
      <w:r>
        <w:instrText xml:space="preserve"> HYPERLINK "https://www.eesc.europa.eu/fi/our-work/opinions-information-reports/opinions/how-ensure-social-environmental-and-economic-sustainability-eu-agri-food-sector-future-enlargement" </w:instrText>
      </w:r>
      <w:r>
        <w:fldChar w:fldCharType="separate"/>
      </w:r>
      <w:r>
        <w:rPr>
          <w:rStyle w:val="Hyperlink"/>
          <w:b/>
          <w:i/>
          <w:sz w:val="28"/>
        </w:rPr>
        <w:t>Laajentuminen ja EU:n maatalouselintarvikeala</w:t>
      </w:r>
      <w:r>
        <w:rPr>
          <w:rStyle w:val="Hyperlink"/>
          <w:b/>
          <w:i/>
          <w:sz w:val="28"/>
        </w:rPr>
        <w:fldChar w:fldCharType="end"/>
      </w:r>
    </w:p>
    <w:p w:rsidRPr="008D4326" w:rsidR="009C49F7" w:rsidP="009C49F7" w:rsidRDefault="009C49F7" w14:paraId="5E92B185" w14:textId="77777777">
      <w:pPr>
        <w:tabs>
          <w:tab w:val="center" w:pos="284"/>
        </w:tabs>
        <w:ind w:left="266" w:hanging="266"/>
        <w:rPr>
          <w:b/>
          <w:sz w:val="16"/>
          <w:szCs w:val="16"/>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A6689B" w:rsidR="009C49F7" w:rsidTr="006B3766" w14:paraId="5BB0F011" w14:textId="77777777">
        <w:tc>
          <w:tcPr>
            <w:tcW w:w="1148" w:type="pct"/>
          </w:tcPr>
          <w:p w:rsidRPr="00A6689B" w:rsidR="009C49F7" w:rsidP="006B3766" w:rsidRDefault="009C49F7" w14:paraId="3CB123B1" w14:textId="77777777">
            <w:pPr>
              <w:tabs>
                <w:tab w:val="center" w:pos="284"/>
              </w:tabs>
              <w:ind w:left="266" w:hanging="266"/>
              <w:rPr>
                <w:b/>
              </w:rPr>
            </w:pPr>
            <w:r>
              <w:rPr>
                <w:b/>
              </w:rPr>
              <w:t>Esittelijä</w:t>
            </w:r>
          </w:p>
        </w:tc>
        <w:tc>
          <w:tcPr>
            <w:tcW w:w="3852" w:type="pct"/>
          </w:tcPr>
          <w:p w:rsidRPr="0002648C" w:rsidR="009C49F7" w:rsidP="006B3766" w:rsidRDefault="009C49F7" w14:paraId="72B3181C" w14:textId="77777777">
            <w:pPr>
              <w:tabs>
                <w:tab w:val="center" w:pos="284"/>
              </w:tabs>
              <w:ind w:left="266" w:hanging="266"/>
              <w:rPr>
                <w:bCs/>
              </w:rPr>
            </w:pPr>
            <w:proofErr w:type="spellStart"/>
            <w:r>
              <w:t>Stoyan</w:t>
            </w:r>
            <w:proofErr w:type="spellEnd"/>
            <w:r>
              <w:t xml:space="preserve"> </w:t>
            </w:r>
            <w:proofErr w:type="spellStart"/>
            <w:r>
              <w:t>Tchoukanov</w:t>
            </w:r>
            <w:proofErr w:type="spellEnd"/>
            <w:r>
              <w:t xml:space="preserve"> (kansalaisyhteiskunnan organisaatiot – BG)</w:t>
            </w:r>
          </w:p>
        </w:tc>
      </w:tr>
      <w:tr w:rsidRPr="00A6689B" w:rsidR="009C49F7" w:rsidTr="006B3766" w14:paraId="6B4FC1CF" w14:textId="77777777">
        <w:tc>
          <w:tcPr>
            <w:tcW w:w="5000" w:type="pct"/>
            <w:gridSpan w:val="2"/>
          </w:tcPr>
          <w:p w:rsidRPr="00A6689B" w:rsidR="009C49F7" w:rsidP="006B3766" w:rsidRDefault="009C49F7" w14:paraId="2DF6ACCB" w14:textId="77777777">
            <w:pPr>
              <w:tabs>
                <w:tab w:val="center" w:pos="284"/>
              </w:tabs>
              <w:spacing w:line="160" w:lineRule="exact"/>
              <w:ind w:left="266" w:hanging="266"/>
              <w:rPr>
                <w:lang w:val="en-US"/>
              </w:rPr>
            </w:pPr>
          </w:p>
        </w:tc>
      </w:tr>
      <w:tr w:rsidRPr="00A6689B" w:rsidR="009C49F7" w:rsidTr="006B3766" w14:paraId="5E830415" w14:textId="77777777">
        <w:tc>
          <w:tcPr>
            <w:tcW w:w="1148" w:type="pct"/>
            <w:vMerge w:val="restart"/>
          </w:tcPr>
          <w:p w:rsidRPr="00A6689B" w:rsidR="009C49F7" w:rsidP="006B3766" w:rsidRDefault="009C49F7" w14:paraId="6DCB08C6" w14:textId="77777777">
            <w:pPr>
              <w:tabs>
                <w:tab w:val="center" w:pos="284"/>
              </w:tabs>
              <w:ind w:left="266" w:hanging="266"/>
              <w:rPr>
                <w:b/>
              </w:rPr>
            </w:pPr>
            <w:r>
              <w:rPr>
                <w:b/>
              </w:rPr>
              <w:t>Viiteasiakirja</w:t>
            </w:r>
          </w:p>
        </w:tc>
        <w:tc>
          <w:tcPr>
            <w:tcW w:w="3852" w:type="pct"/>
          </w:tcPr>
          <w:p w:rsidRPr="00A6689B" w:rsidR="009C49F7" w:rsidP="006B3766" w:rsidRDefault="009C49F7" w14:paraId="211C8765" w14:textId="77777777">
            <w:pPr>
              <w:tabs>
                <w:tab w:val="center" w:pos="284"/>
              </w:tabs>
              <w:ind w:left="266" w:hanging="266"/>
            </w:pPr>
            <w:r>
              <w:t>EESC-2024-01019-00-00-AC</w:t>
            </w:r>
          </w:p>
        </w:tc>
      </w:tr>
      <w:tr w:rsidRPr="00A6689B" w:rsidR="009C49F7" w:rsidTr="006B3766" w14:paraId="0A0037EF" w14:textId="77777777">
        <w:tc>
          <w:tcPr>
            <w:tcW w:w="1148" w:type="pct"/>
            <w:vMerge/>
          </w:tcPr>
          <w:p w:rsidRPr="00A6689B" w:rsidR="009C49F7" w:rsidP="006B3766" w:rsidRDefault="009C49F7" w14:paraId="63408406" w14:textId="77777777">
            <w:pPr>
              <w:tabs>
                <w:tab w:val="center" w:pos="284"/>
              </w:tabs>
              <w:ind w:left="266" w:hanging="266"/>
              <w:rPr>
                <w:b/>
                <w:lang w:val="en-US"/>
              </w:rPr>
            </w:pPr>
          </w:p>
        </w:tc>
        <w:tc>
          <w:tcPr>
            <w:tcW w:w="3852" w:type="pct"/>
          </w:tcPr>
          <w:p w:rsidRPr="008D4326" w:rsidR="009C49F7" w:rsidP="006B3766" w:rsidRDefault="009C49F7" w14:paraId="3D15D7AF" w14:textId="77777777">
            <w:pPr>
              <w:tabs>
                <w:tab w:val="center" w:pos="284"/>
              </w:tabs>
              <w:ind w:left="266" w:hanging="266"/>
              <w:rPr>
                <w:sz w:val="16"/>
                <w:szCs w:val="16"/>
                <w:lang w:val="en-US"/>
              </w:rPr>
            </w:pPr>
          </w:p>
        </w:tc>
      </w:tr>
    </w:tbl>
    <w:p w:rsidR="009C49F7" w:rsidP="009C49F7" w:rsidRDefault="009C49F7" w14:paraId="456E79C1" w14:textId="77777777">
      <w:pPr>
        <w:keepNext/>
        <w:keepLines/>
        <w:tabs>
          <w:tab w:val="center" w:pos="284"/>
        </w:tabs>
        <w:ind w:left="266" w:hanging="266"/>
        <w:rPr>
          <w:b/>
        </w:rPr>
      </w:pPr>
    </w:p>
    <w:p w:rsidRPr="000F13E8" w:rsidR="009C49F7" w:rsidP="009C49F7" w:rsidRDefault="009C49F7" w14:paraId="3A41C837" w14:textId="77777777">
      <w:pPr>
        <w:keepNext/>
        <w:keepLines/>
        <w:tabs>
          <w:tab w:val="center" w:pos="284"/>
        </w:tabs>
        <w:ind w:left="266" w:hanging="266"/>
        <w:rPr>
          <w:b/>
        </w:rPr>
      </w:pPr>
      <w:r>
        <w:rPr>
          <w:b/>
        </w:rPr>
        <w:t>Keskeiset kohdat</w:t>
      </w:r>
    </w:p>
    <w:p w:rsidRPr="00381DEE" w:rsidR="009C49F7" w:rsidP="009C49F7" w:rsidRDefault="009C49F7" w14:paraId="08AABD6D" w14:textId="77777777">
      <w:pPr>
        <w:keepNext/>
        <w:keepLines/>
        <w:tabs>
          <w:tab w:val="center" w:pos="284"/>
        </w:tabs>
        <w:ind w:left="266" w:hanging="266"/>
        <w:rPr>
          <w:b/>
        </w:rPr>
      </w:pPr>
    </w:p>
    <w:p w:rsidR="009C49F7" w:rsidP="009C49F7" w:rsidRDefault="009C49F7" w14:paraId="1931B11A" w14:textId="77777777">
      <w:pPr>
        <w:rPr>
          <w:bCs/>
          <w:iCs/>
        </w:rPr>
      </w:pPr>
      <w:r>
        <w:t>ETSK</w:t>
      </w:r>
    </w:p>
    <w:p w:rsidRPr="00A6689B" w:rsidR="009C49F7" w:rsidP="009C49F7" w:rsidRDefault="009C49F7" w14:paraId="2263F642" w14:textId="77777777">
      <w:pPr>
        <w:rPr>
          <w:bCs/>
          <w:iCs/>
        </w:rPr>
      </w:pPr>
    </w:p>
    <w:p w:rsidR="009C49F7" w:rsidP="009C49F7" w:rsidRDefault="009C49F7" w14:paraId="6FEB0436" w14:textId="77777777">
      <w:pPr>
        <w:widowControl w:val="0"/>
        <w:numPr>
          <w:ilvl w:val="0"/>
          <w:numId w:val="27"/>
        </w:numPr>
        <w:overflowPunct w:val="0"/>
        <w:autoSpaceDE w:val="0"/>
        <w:autoSpaceDN w:val="0"/>
        <w:adjustRightInd w:val="0"/>
        <w:textAlignment w:val="baseline"/>
        <w:rPr>
          <w:bCs/>
          <w:iCs/>
        </w:rPr>
      </w:pPr>
      <w:r>
        <w:t>toteaa, että vaikka seuraava laajentuminen eroaa kaikista aiemmista laajentumisista nykyisen poikkeuksellisen geopoliittiseen tilanteen takia, tämän ei pitäisi olla syy tinkiä ehdokasvaltioiden valmistautumisen tasosta, tarvittavien lainsäädäntöuudistusten painoarvosta ja EU:n perusarvojen kunnioittamisesta.</w:t>
      </w:r>
    </w:p>
    <w:p w:rsidR="009C49F7" w:rsidP="009C49F7" w:rsidRDefault="009C49F7" w14:paraId="260D7B56" w14:textId="77777777">
      <w:pPr>
        <w:widowControl w:val="0"/>
        <w:numPr>
          <w:ilvl w:val="0"/>
          <w:numId w:val="27"/>
        </w:numPr>
        <w:overflowPunct w:val="0"/>
        <w:autoSpaceDE w:val="0"/>
        <w:autoSpaceDN w:val="0"/>
        <w:adjustRightInd w:val="0"/>
        <w:textAlignment w:val="baseline"/>
        <w:rPr>
          <w:bCs/>
          <w:iCs/>
        </w:rPr>
      </w:pPr>
      <w:r>
        <w:t>muistuttaa, että toimitusvarmuuden merkitys EU:n elintarviketuotannossa korostuu kasvavien geopoliittisten jännitteiden seurauksena ja että kaikilla EU:n alueilla on oltava mahdollisuus ylläpitää maataloustuotantoa myös tulevaisuudessa.</w:t>
      </w:r>
    </w:p>
    <w:p w:rsidR="009C49F7" w:rsidP="009C49F7" w:rsidRDefault="009C49F7" w14:paraId="6E41657C" w14:textId="77777777">
      <w:pPr>
        <w:widowControl w:val="0"/>
        <w:numPr>
          <w:ilvl w:val="0"/>
          <w:numId w:val="27"/>
        </w:numPr>
        <w:overflowPunct w:val="0"/>
        <w:autoSpaceDE w:val="0"/>
        <w:autoSpaceDN w:val="0"/>
        <w:adjustRightInd w:val="0"/>
        <w:textAlignment w:val="baseline"/>
        <w:rPr>
          <w:bCs/>
          <w:iCs/>
        </w:rPr>
      </w:pPr>
      <w:r>
        <w:t>korostaa, että seuraava laajentuminen tarjoaa mahdollisuuksia turvata entistä paremmin EU:n strategisen riippumattomuuden ja pienentää edelleen alan ympäristöjalanjälkeä, mutta myöntää samalla, että edellisen laajentumisen tulokset ovat olleet vaihtelevia ja siinä on ollut sekä voittajia että häviäjiä: rakenteellisesti heikot maaseutualueet ovat hyötyneet prosessista paljon vähemmän kuin taajama-alueet, ja pienemmät eurooppalaiset maatilat ovat katoamassa. Komitea kehottaakin Euroopan komissiota ja jäsenehdokasvaltioita tarkastelemaan ja hillitsemään vaikutuksia, joita laajentuminen aiheuttaa erityisesti perhetiloille ja maatalouselintarvikealan pienille ja keskisuurille yrityksille sekä EU:ssa että ehdokasvaltioissa.</w:t>
      </w:r>
    </w:p>
    <w:p w:rsidR="009C49F7" w:rsidP="009C49F7" w:rsidRDefault="009C49F7" w14:paraId="5DDF3EAE" w14:textId="77777777">
      <w:pPr>
        <w:widowControl w:val="0"/>
        <w:numPr>
          <w:ilvl w:val="0"/>
          <w:numId w:val="27"/>
        </w:numPr>
        <w:overflowPunct w:val="0"/>
        <w:autoSpaceDE w:val="0"/>
        <w:autoSpaceDN w:val="0"/>
        <w:adjustRightInd w:val="0"/>
        <w:textAlignment w:val="baseline"/>
        <w:rPr>
          <w:bCs/>
          <w:iCs/>
        </w:rPr>
      </w:pPr>
      <w:r>
        <w:t xml:space="preserve">painottaa, että ehdokasvaltioiden on mukauduttava YMP:n yleisiin tavoitteisiin ja arvoihin, kun taas YMP:hen tarvittavista uudistuksista ja siihen liittyvästä rahoituskehyksestä on sovittava ennen laajentumista. </w:t>
      </w:r>
    </w:p>
    <w:p w:rsidRPr="000F28D8" w:rsidR="009C49F7" w:rsidP="009C49F7" w:rsidRDefault="009C49F7" w14:paraId="58748422" w14:textId="77777777">
      <w:pPr>
        <w:widowControl w:val="0"/>
        <w:numPr>
          <w:ilvl w:val="0"/>
          <w:numId w:val="27"/>
        </w:numPr>
        <w:overflowPunct w:val="0"/>
        <w:autoSpaceDE w:val="0"/>
        <w:autoSpaceDN w:val="0"/>
        <w:adjustRightInd w:val="0"/>
        <w:textAlignment w:val="baseline"/>
        <w:rPr>
          <w:bCs/>
          <w:iCs/>
        </w:rPr>
      </w:pPr>
      <w:r>
        <w:t>suosittaa YMP:n nykyisen pinta-alaperusteisen perustulotuen vaiheittaista korvaamista taloudellisilla kannustimilla, joita annetaan ympäristöä ja yhteiskuntaa hyödyttäville palveluille, asteittain alenevalla tuella, pakollisella ylärajalla tai ensimmäisiin hehtaareihin kohdistuvilla lisämaksuilla kaikille jäsenvaltioille ja kehottaa suuntaamaan maatalous- ja maaseudun kehittämispolitiikkoja entistä enemmän kohti lähitaloutta ja ottamaan nämä periaatteet käyttöön uusissa ehdokasvaltioissa.</w:t>
      </w:r>
    </w:p>
    <w:p w:rsidRPr="008D4326" w:rsidR="009C49F7" w:rsidP="009C49F7" w:rsidRDefault="009C49F7" w14:paraId="08FDEDE9" w14:textId="77777777">
      <w:pPr>
        <w:widowControl w:val="0"/>
        <w:numPr>
          <w:ilvl w:val="0"/>
          <w:numId w:val="27"/>
        </w:numPr>
        <w:overflowPunct w:val="0"/>
        <w:autoSpaceDE w:val="0"/>
        <w:autoSpaceDN w:val="0"/>
        <w:adjustRightInd w:val="0"/>
        <w:textAlignment w:val="baseline"/>
        <w:rPr>
          <w:bCs/>
          <w:iCs/>
          <w:spacing w:val="-4"/>
        </w:rPr>
      </w:pPr>
      <w:r>
        <w:t xml:space="preserve">peräänkuuluttaa YMP:lle enemmän määrärahoja EU:n maataloustuottajiin kohdistuvien haittavaikutusten asianmukaiseksi korvaamiseksi ottaen huomioon myös mahdolliset sosiaaliset kustannukset. Tämä tarkoittaa, että nykyisten nettomaksajien on oltava valmiita maksamaan nykyistä suurempi osuus </w:t>
      </w:r>
      <w:proofErr w:type="spellStart"/>
      <w:r>
        <w:t>BKT:staan</w:t>
      </w:r>
      <w:proofErr w:type="spellEnd"/>
      <w:r>
        <w:t xml:space="preserve"> EU:lle uudella rahoituskaudella, kun otetaan huomioon, että laajentuminen tuottaa nettohyötyä EU:n teollisuustuotteiden ja -palvelujen viejille, kun taas maatalouselintarvikeala kärsii joidenkin uusien tulokkaiden alhaisempien tuotantokustannusten takia. </w:t>
      </w:r>
    </w:p>
    <w:p w:rsidRPr="0002648C" w:rsidR="009C49F7" w:rsidP="009C49F7" w:rsidRDefault="009C49F7" w14:paraId="109CCA28" w14:textId="77777777">
      <w:pPr>
        <w:widowControl w:val="0"/>
        <w:numPr>
          <w:ilvl w:val="0"/>
          <w:numId w:val="27"/>
        </w:numPr>
        <w:overflowPunct w:val="0"/>
        <w:autoSpaceDE w:val="0"/>
        <w:autoSpaceDN w:val="0"/>
        <w:adjustRightInd w:val="0"/>
        <w:textAlignment w:val="baseline"/>
        <w:rPr>
          <w:bCs/>
          <w:iCs/>
        </w:rPr>
      </w:pPr>
      <w:r>
        <w:t>korostaa, että tarvitaan yksityiskohtaisia ja luotettavia tietoja, ja kehottaa Euroopan komissiota seuraamaan tiiviisti maataloustuotantoa ja uudistusprosessien edistymistä, myös maakeinottelua.</w:t>
      </w:r>
    </w:p>
    <w:p w:rsidR="009C49F7" w:rsidP="009C49F7" w:rsidRDefault="009C49F7" w14:paraId="6A041115" w14:textId="77777777">
      <w:pPr>
        <w:widowControl w:val="0"/>
        <w:numPr>
          <w:ilvl w:val="0"/>
          <w:numId w:val="27"/>
        </w:numPr>
        <w:overflowPunct w:val="0"/>
        <w:autoSpaceDE w:val="0"/>
        <w:autoSpaceDN w:val="0"/>
        <w:adjustRightInd w:val="0"/>
        <w:textAlignment w:val="baseline"/>
        <w:rPr>
          <w:bCs/>
          <w:iCs/>
        </w:rPr>
      </w:pPr>
      <w:r>
        <w:t xml:space="preserve">huomauttaa, että yhdentymisprosessi on tietyssä mielessä jo alkanut, kun EU:n markkinat on avattu ehdokasmaiden maataloustuotteille, ja tästä voi aiheutua EU:n jäsenvaltioille haittoja, joita </w:t>
      </w:r>
      <w:r>
        <w:lastRenderedPageBreak/>
        <w:t>on vältettävä selkeillä säännöillä, joita ehdokasvaltioiden on noudatettava.</w:t>
      </w:r>
    </w:p>
    <w:p w:rsidRPr="00A6689B" w:rsidR="009C49F7" w:rsidP="009C49F7" w:rsidRDefault="009C49F7" w14:paraId="39104771" w14:textId="77777777">
      <w:pPr>
        <w:widowControl w:val="0"/>
        <w:ind w:left="567"/>
        <w:rPr>
          <w:bCs/>
          <w:iCs/>
        </w:rPr>
      </w:pPr>
    </w:p>
    <w:p w:rsidRPr="000A7577" w:rsidR="009C49F7" w:rsidP="009C49F7" w:rsidRDefault="009C49F7" w14:paraId="40919AB5" w14:textId="77777777">
      <w:pPr>
        <w:widowControl w:val="0"/>
        <w:ind w:left="709"/>
        <w:rPr>
          <w:rFonts w:asciiTheme="minorHAnsi" w:hAnsiTheme="minorHAnsi"/>
          <w:sz w:val="16"/>
          <w:szCs w:val="14"/>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9C49F7" w:rsidTr="006B3766" w14:paraId="159BC182" w14:textId="77777777">
        <w:tc>
          <w:tcPr>
            <w:tcW w:w="1556" w:type="pct"/>
          </w:tcPr>
          <w:p w:rsidRPr="00A6689B" w:rsidR="009C49F7" w:rsidP="006B3766" w:rsidRDefault="009C49F7" w14:paraId="2CE8F7BC" w14:textId="77777777">
            <w:pPr>
              <w:spacing w:line="240" w:lineRule="auto"/>
              <w:rPr>
                <w:i/>
              </w:rPr>
            </w:pPr>
            <w:r>
              <w:rPr>
                <w:b/>
                <w:i/>
              </w:rPr>
              <w:t xml:space="preserve">Yhteydenotot </w:t>
            </w:r>
          </w:p>
        </w:tc>
        <w:tc>
          <w:tcPr>
            <w:tcW w:w="3444" w:type="pct"/>
          </w:tcPr>
          <w:p w:rsidRPr="00A6689B" w:rsidR="009C49F7" w:rsidP="006B3766" w:rsidRDefault="009C49F7" w14:paraId="0074A2F2" w14:textId="77777777">
            <w:pPr>
              <w:spacing w:line="240" w:lineRule="auto"/>
              <w:rPr>
                <w:i/>
              </w:rPr>
            </w:pPr>
            <w:proofErr w:type="spellStart"/>
            <w:r>
              <w:rPr>
                <w:i/>
              </w:rPr>
              <w:t>Martine</w:t>
            </w:r>
            <w:proofErr w:type="spellEnd"/>
            <w:r>
              <w:rPr>
                <w:i/>
              </w:rPr>
              <w:t xml:space="preserve"> </w:t>
            </w:r>
            <w:proofErr w:type="spellStart"/>
            <w:r>
              <w:rPr>
                <w:i/>
              </w:rPr>
              <w:t>Delanoy</w:t>
            </w:r>
            <w:proofErr w:type="spellEnd"/>
          </w:p>
        </w:tc>
      </w:tr>
      <w:tr w:rsidRPr="00A6689B" w:rsidR="009C49F7" w:rsidTr="006B3766" w14:paraId="09C143B8" w14:textId="77777777">
        <w:tc>
          <w:tcPr>
            <w:tcW w:w="1556" w:type="pct"/>
          </w:tcPr>
          <w:p w:rsidRPr="00A6689B" w:rsidR="009C49F7" w:rsidP="006B3766" w:rsidRDefault="009C49F7" w14:paraId="135B566C" w14:textId="77777777">
            <w:pPr>
              <w:spacing w:line="240" w:lineRule="auto"/>
              <w:rPr>
                <w:i/>
              </w:rPr>
            </w:pPr>
            <w:r>
              <w:rPr>
                <w:i/>
              </w:rPr>
              <w:t>P.</w:t>
            </w:r>
          </w:p>
        </w:tc>
        <w:tc>
          <w:tcPr>
            <w:tcW w:w="3444" w:type="pct"/>
          </w:tcPr>
          <w:p w:rsidRPr="00A6689B" w:rsidR="009C49F7" w:rsidP="006B3766" w:rsidRDefault="009C49F7" w14:paraId="320F2312" w14:textId="77777777">
            <w:pPr>
              <w:spacing w:line="240" w:lineRule="auto"/>
              <w:rPr>
                <w:i/>
              </w:rPr>
            </w:pPr>
            <w:r>
              <w:rPr>
                <w:i/>
              </w:rPr>
              <w:t>+32 25469802</w:t>
            </w:r>
          </w:p>
        </w:tc>
      </w:tr>
      <w:tr w:rsidRPr="00A6689B" w:rsidR="009C49F7" w:rsidTr="006B3766" w14:paraId="6761BD5E" w14:textId="77777777">
        <w:tc>
          <w:tcPr>
            <w:tcW w:w="1556" w:type="pct"/>
          </w:tcPr>
          <w:p w:rsidRPr="00A6689B" w:rsidR="009C49F7" w:rsidP="006B3766" w:rsidRDefault="009C49F7" w14:paraId="564FA154" w14:textId="77777777">
            <w:pPr>
              <w:spacing w:line="240" w:lineRule="auto"/>
              <w:rPr>
                <w:i/>
              </w:rPr>
            </w:pPr>
            <w:r>
              <w:rPr>
                <w:i/>
              </w:rPr>
              <w:t>Sähköposti</w:t>
            </w:r>
          </w:p>
        </w:tc>
        <w:tc>
          <w:tcPr>
            <w:tcW w:w="3444" w:type="pct"/>
          </w:tcPr>
          <w:p w:rsidRPr="00A6689B" w:rsidR="009C49F7" w:rsidP="006B3766" w:rsidRDefault="009C49F7" w14:paraId="47ECED8B" w14:textId="77777777">
            <w:pPr>
              <w:spacing w:line="240" w:lineRule="auto"/>
              <w:rPr>
                <w:i/>
              </w:rPr>
            </w:pPr>
            <w:hyperlink w:history="1" r:id="rId28">
              <w:r>
                <w:rPr>
                  <w:rStyle w:val="Hyperlink"/>
                  <w:i/>
                </w:rPr>
                <w:t>Martine.Delanoy@eesc.europa.eu</w:t>
              </w:r>
            </w:hyperlink>
            <w:r>
              <w:rPr>
                <w:i/>
              </w:rPr>
              <w:t xml:space="preserve"> </w:t>
            </w:r>
          </w:p>
        </w:tc>
      </w:tr>
    </w:tbl>
    <w:p w:rsidR="00520680" w:rsidP="00D92244" w:rsidRDefault="006A7E31" w14:paraId="3600B088" w14:textId="12B687D3">
      <w:pPr>
        <w:pStyle w:val="TOC1"/>
      </w:pPr>
      <w:bookmarkStart w:name="_Toc172289458" w:id="12"/>
      <w:r>
        <w:t>6.</w:t>
      </w:r>
      <w:r>
        <w:tab/>
        <w:t>ULKOSUHTEET</w:t>
      </w:r>
      <w:bookmarkEnd w:id="9"/>
      <w:bookmarkEnd w:id="11"/>
      <w:bookmarkEnd w:id="12"/>
    </w:p>
    <w:p w:rsidRPr="006A7E31" w:rsidR="006A7E31" w:rsidP="006A7E31" w:rsidRDefault="006A7E31" w14:paraId="7F857315" w14:textId="77777777"/>
    <w:p w:rsidRPr="008D7B02" w:rsidR="009C49F7" w:rsidP="009C49F7" w:rsidRDefault="009C49F7" w14:paraId="00E6A471" w14:textId="77777777">
      <w:pPr>
        <w:widowControl w:val="0"/>
        <w:numPr>
          <w:ilvl w:val="0"/>
          <w:numId w:val="32"/>
        </w:numPr>
        <w:overflowPunct w:val="0"/>
        <w:autoSpaceDE w:val="0"/>
        <w:autoSpaceDN w:val="0"/>
        <w:adjustRightInd w:val="0"/>
        <w:ind w:hanging="567"/>
        <w:jc w:val="left"/>
        <w:textAlignment w:val="baseline"/>
        <w:rPr>
          <w:sz w:val="20"/>
        </w:rPr>
      </w:pPr>
      <w:hyperlink r:id="rId29">
        <w:r>
          <w:rPr>
            <w:rStyle w:val="Hyperlink"/>
            <w:b/>
            <w:i/>
            <w:sz w:val="28"/>
          </w:rPr>
          <w:t>Ulkomaisten sijoitusten seuranta unionissa</w:t>
        </w:r>
      </w:hyperlink>
    </w:p>
    <w:p w:rsidRPr="004A3C2E" w:rsidR="009C49F7" w:rsidP="009C49F7" w:rsidRDefault="009C49F7" w14:paraId="2B3F32A2" w14:textId="77777777">
      <w:pPr>
        <w:widowControl w:val="0"/>
        <w:jc w:val="left"/>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8C6F40" w:rsidR="009C49F7" w:rsidTr="006B3766" w14:paraId="2C80B5D8" w14:textId="77777777">
        <w:trPr>
          <w:trHeight w:val="330"/>
        </w:trPr>
        <w:tc>
          <w:tcPr>
            <w:tcW w:w="1701" w:type="dxa"/>
          </w:tcPr>
          <w:p w:rsidRPr="004A3C2E" w:rsidR="009C49F7" w:rsidP="006B3766" w:rsidRDefault="009C49F7" w14:paraId="32863171" w14:textId="77777777">
            <w:pPr>
              <w:tabs>
                <w:tab w:val="center" w:pos="284"/>
              </w:tabs>
              <w:ind w:left="266" w:hanging="266"/>
              <w:rPr>
                <w:b/>
              </w:rPr>
            </w:pPr>
            <w:r>
              <w:rPr>
                <w:b/>
              </w:rPr>
              <w:t>Esittelijä</w:t>
            </w:r>
          </w:p>
        </w:tc>
        <w:tc>
          <w:tcPr>
            <w:tcW w:w="5387" w:type="dxa"/>
          </w:tcPr>
          <w:p w:rsidRPr="004A3C2E" w:rsidR="009C49F7" w:rsidP="006B3766" w:rsidRDefault="009C49F7" w14:paraId="6123910E" w14:textId="77777777">
            <w:pPr>
              <w:tabs>
                <w:tab w:val="center" w:pos="2585"/>
              </w:tabs>
              <w:jc w:val="left"/>
            </w:pPr>
            <w:r>
              <w:t xml:space="preserve">Javier </w:t>
            </w:r>
            <w:proofErr w:type="spellStart"/>
            <w:r>
              <w:t>Doz</w:t>
            </w:r>
            <w:proofErr w:type="spellEnd"/>
            <w:r>
              <w:t xml:space="preserve"> </w:t>
            </w:r>
            <w:proofErr w:type="spellStart"/>
            <w:r>
              <w:t>Orrit</w:t>
            </w:r>
            <w:proofErr w:type="spellEnd"/>
            <w:r>
              <w:t xml:space="preserve"> (työntekijät – ES)</w:t>
            </w:r>
          </w:p>
        </w:tc>
      </w:tr>
      <w:tr w:rsidRPr="008C6F40" w:rsidR="009C49F7" w:rsidTr="006B3766" w14:paraId="6B86F197" w14:textId="77777777">
        <w:tc>
          <w:tcPr>
            <w:tcW w:w="1701" w:type="dxa"/>
          </w:tcPr>
          <w:p w:rsidRPr="004A3C2E" w:rsidR="009C49F7" w:rsidP="006B3766" w:rsidRDefault="009C49F7" w14:paraId="60CCE2E7" w14:textId="77777777">
            <w:pPr>
              <w:tabs>
                <w:tab w:val="center" w:pos="284"/>
              </w:tabs>
              <w:ind w:left="266" w:hanging="266"/>
              <w:rPr>
                <w:b/>
              </w:rPr>
            </w:pPr>
            <w:r>
              <w:rPr>
                <w:b/>
              </w:rPr>
              <w:t>Viiteasiakirja</w:t>
            </w:r>
          </w:p>
        </w:tc>
        <w:tc>
          <w:tcPr>
            <w:tcW w:w="5387" w:type="dxa"/>
          </w:tcPr>
          <w:p w:rsidRPr="004A3C2E" w:rsidR="009C49F7" w:rsidP="006B3766" w:rsidRDefault="009C49F7" w14:paraId="2F29A40A" w14:textId="77777777">
            <w:pPr>
              <w:tabs>
                <w:tab w:val="center" w:pos="284"/>
              </w:tabs>
              <w:ind w:left="266" w:hanging="266"/>
            </w:pPr>
            <w:r>
              <w:t>EESC-2024-01434-00-012-AC</w:t>
            </w:r>
          </w:p>
        </w:tc>
      </w:tr>
    </w:tbl>
    <w:p w:rsidRPr="004A3C2E" w:rsidR="009C49F7" w:rsidP="009C49F7" w:rsidRDefault="009C49F7" w14:paraId="32EF2584" w14:textId="77777777">
      <w:pPr>
        <w:keepNext/>
        <w:keepLines/>
        <w:tabs>
          <w:tab w:val="center" w:pos="284"/>
        </w:tabs>
        <w:ind w:left="266" w:hanging="266"/>
        <w:rPr>
          <w:b/>
          <w:sz w:val="16"/>
          <w:szCs w:val="16"/>
        </w:rPr>
      </w:pPr>
    </w:p>
    <w:p w:rsidRPr="008C6F40" w:rsidR="009C49F7" w:rsidP="009C49F7" w:rsidRDefault="009C49F7" w14:paraId="1B7F15F1" w14:textId="77777777">
      <w:pPr>
        <w:keepNext/>
        <w:keepLines/>
        <w:tabs>
          <w:tab w:val="center" w:pos="284"/>
        </w:tabs>
        <w:spacing w:line="240" w:lineRule="auto"/>
        <w:ind w:left="266" w:hanging="266"/>
        <w:rPr>
          <w:b/>
        </w:rPr>
      </w:pPr>
      <w:r>
        <w:rPr>
          <w:b/>
        </w:rPr>
        <w:t>Keskeiset kohdat</w:t>
      </w:r>
    </w:p>
    <w:p w:rsidRPr="004A3C2E" w:rsidR="009C49F7" w:rsidP="009C49F7" w:rsidRDefault="009C49F7" w14:paraId="757981FC" w14:textId="77777777">
      <w:pPr>
        <w:keepNext/>
        <w:keepLines/>
        <w:tabs>
          <w:tab w:val="center" w:pos="284"/>
        </w:tabs>
        <w:spacing w:line="240" w:lineRule="auto"/>
        <w:ind w:left="266" w:hanging="266"/>
        <w:rPr>
          <w:b/>
          <w:sz w:val="16"/>
          <w:szCs w:val="16"/>
        </w:rPr>
      </w:pPr>
    </w:p>
    <w:p w:rsidRPr="008C6F40" w:rsidR="009C49F7" w:rsidP="009C49F7" w:rsidRDefault="009C49F7" w14:paraId="517C8CAB" w14:textId="77777777">
      <w:pPr>
        <w:spacing w:line="240" w:lineRule="auto"/>
        <w:rPr>
          <w:bCs/>
          <w:iCs/>
        </w:rPr>
      </w:pPr>
      <w:r>
        <w:t>ETSK</w:t>
      </w:r>
    </w:p>
    <w:p w:rsidRPr="008C6F40" w:rsidR="009C49F7" w:rsidP="009C49F7" w:rsidRDefault="009C49F7" w14:paraId="322D5A28" w14:textId="77777777">
      <w:pPr>
        <w:widowControl w:val="0"/>
        <w:numPr>
          <w:ilvl w:val="0"/>
          <w:numId w:val="32"/>
        </w:numPr>
        <w:overflowPunct w:val="0"/>
        <w:autoSpaceDE w:val="0"/>
        <w:autoSpaceDN w:val="0"/>
        <w:adjustRightInd w:val="0"/>
        <w:spacing w:before="10" w:after="10" w:line="240" w:lineRule="auto"/>
        <w:ind w:left="567" w:hanging="567"/>
        <w:textAlignment w:val="baseline"/>
      </w:pPr>
      <w:r>
        <w:t>pitää asetusta oikeansuuntaisena askeleena, joka tehostaa EU:hun kohdistuvien ulkomaisten suorien sijoitusten seurantamekanismeja. Asetuksen tarkoituksena on yhdenmukaistaa kansallisia menettelyjä ja vahvistaa EU:n yhteistyömekanismia kriittisten alojen ja ohjelmien julkisen valvonnan varmistamiseksi.</w:t>
      </w:r>
    </w:p>
    <w:p w:rsidRPr="008C6F40" w:rsidR="009C49F7" w:rsidP="009C49F7" w:rsidRDefault="009C49F7" w14:paraId="10E888CD" w14:textId="77777777">
      <w:pPr>
        <w:widowControl w:val="0"/>
        <w:numPr>
          <w:ilvl w:val="0"/>
          <w:numId w:val="32"/>
        </w:numPr>
        <w:overflowPunct w:val="0"/>
        <w:autoSpaceDE w:val="0"/>
        <w:autoSpaceDN w:val="0"/>
        <w:adjustRightInd w:val="0"/>
        <w:spacing w:before="10" w:after="10" w:line="240" w:lineRule="auto"/>
        <w:ind w:left="567" w:hanging="567"/>
        <w:textAlignment w:val="baseline"/>
      </w:pPr>
      <w:r>
        <w:t>pitää tärkeänä, että suoria ulkomaisia sijoituksia säätelevien kansallisten oikeudellisten normien ja jäsenvaltioiden seurantamekanismien yhdenmukaistamista edistetään. Tämä koskee seuraavia seikkoja: i) määritellään yhdenmukaiset kynnysarvot ulkomaisten suorien sijoitusten valvonnalle sekä yhtäläiset vastausmääräajat, ii) laaditaan johdonmukainen määritelmä siitä, mitä pidetään riskinä yleiselle turvallisuudelle ja järjestykselle, iii) vahvistetaan jäsenvaltioiden valmiuksia, jotta ulkomaisten suorien sijoitusten valvontaan liittyvät tehtävät voidaan suorittaa tehokkaasti.</w:t>
      </w:r>
    </w:p>
    <w:p w:rsidRPr="004A3C2E" w:rsidR="009C49F7" w:rsidP="009C49F7" w:rsidRDefault="009C49F7" w14:paraId="43D4D2E6" w14:textId="77777777">
      <w:pPr>
        <w:pStyle w:val="ListParagraph"/>
        <w:widowControl w:val="0"/>
        <w:numPr>
          <w:ilvl w:val="0"/>
          <w:numId w:val="32"/>
        </w:numPr>
        <w:spacing w:before="10" w:after="10" w:line="240" w:lineRule="auto"/>
        <w:ind w:left="567" w:hanging="567"/>
        <w:contextualSpacing w:val="0"/>
      </w:pPr>
      <w:r>
        <w:t>kehottaa määrittelemään poikkeustapaukset, joissa EU:n toimielimet voivat kieltää ulkomaiset suorat sijoitukset, rajoittaa niitä tai soveltaa niihin tiettyjä ehtoja, jos sijoitukset vaarantavat unionin edun mukaisen ohjelman tai hankkeen. Näin yleistä turvallisuutta ja järjestystä suojeltaisiin johdonmukaisesti kaikissa jäsenvaltioissa. EU:n olisi tätä varten vahvistettava selkeät menettelyt ja edellytykset valvonnalle, joka kohdistuu sijoituksiin, joista aiheutuu huomattava riski unionin edulle.</w:t>
      </w:r>
    </w:p>
    <w:p w:rsidRPr="004A3C2E" w:rsidR="009C49F7" w:rsidP="009C49F7" w:rsidRDefault="009C49F7" w14:paraId="56ABA4C2" w14:textId="77777777">
      <w:pPr>
        <w:pStyle w:val="ListParagraph"/>
        <w:widowControl w:val="0"/>
        <w:numPr>
          <w:ilvl w:val="0"/>
          <w:numId w:val="32"/>
        </w:numPr>
        <w:spacing w:before="10" w:after="10" w:line="240" w:lineRule="auto"/>
        <w:ind w:left="567" w:hanging="567"/>
        <w:contextualSpacing w:val="0"/>
      </w:pPr>
      <w:r>
        <w:t>katsoo, että kolmansien maiden kanssa tehtäviin kauppa-, investointi- ja assosiaatiosopimuksiin olisi sovellettava vastavuoroisuusperiaatetta ja että sellaisista maista tulevia sijoituksia, jotka rajoittavat EU:n investointeja, olisi seurattava tasapuolisen ja oikeudenmukaisen kohtelun varmistamiseksi. Tiukasta soveltamisesta olisi päätettävä tapauskohtaisesti. Suoria ulkomaisia investointeja olisi kuitenkin kestävän kilpailukyvyn parantamiseksi edistettävä strategisen riippumattomuuden ja taloudellisen turvallisuuden strategian käsitteellisessä kehyksessä.</w:t>
      </w:r>
    </w:p>
    <w:p w:rsidRPr="008C6F40" w:rsidR="009C49F7" w:rsidP="009C49F7" w:rsidRDefault="009C49F7" w14:paraId="11DC9333" w14:textId="77777777">
      <w:pPr>
        <w:pStyle w:val="ListParagraph"/>
        <w:widowControl w:val="0"/>
        <w:numPr>
          <w:ilvl w:val="0"/>
          <w:numId w:val="32"/>
        </w:numPr>
        <w:spacing w:before="10" w:after="10" w:line="240" w:lineRule="auto"/>
        <w:ind w:left="567" w:hanging="567"/>
        <w:contextualSpacing w:val="0"/>
      </w:pPr>
      <w:r>
        <w:t>kehottaa soveltamaan veroparatiiseista tuleviin sijoituksiin erityistä valvontaa, mikä edellyttää sijoittavien yhtiöiden todellisten omistajien kattavaa tuntemusta ja käytettyjen varojen laillisuuden tutkimista. Jäsenvaltioiden olisi harkittava mahdollisuutta poistaa ns. kultaiset viisumit, joiden avulla on voinut saada oleskeluluvan tai kansalaisuuden EU-maassa.</w:t>
      </w:r>
    </w:p>
    <w:p w:rsidR="009C49F7" w:rsidP="009C49F7" w:rsidRDefault="009C49F7" w14:paraId="5607D482" w14:textId="77777777">
      <w:pPr>
        <w:pStyle w:val="ListParagraph"/>
        <w:widowControl w:val="0"/>
        <w:numPr>
          <w:ilvl w:val="0"/>
          <w:numId w:val="32"/>
        </w:numPr>
        <w:spacing w:before="10" w:after="10" w:line="240" w:lineRule="auto"/>
        <w:ind w:left="567" w:hanging="567"/>
        <w:contextualSpacing w:val="0"/>
      </w:pPr>
      <w:r>
        <w:t xml:space="preserve">painottaa, että tarvitaan mekanismeja, joiden avulla työmarkkinaosapuolet ja kansalaisyhteiskunnan organisaatiot voivat osallistua ulkomaisia investointeja koskevaan politiikkaan ja näiden investointien valvontaan sekä EU:n tasolla että kansallisella tasolla. Näin varmistettaisiin arviointiprosessin läpinäkyvyys ja osallistavuus. </w:t>
      </w:r>
    </w:p>
    <w:p w:rsidRPr="004A3C2E" w:rsidR="009C49F7" w:rsidP="009C49F7" w:rsidRDefault="009C49F7" w14:paraId="057055EC" w14:textId="77777777">
      <w:pPr>
        <w:pStyle w:val="ListParagraph"/>
        <w:widowControl w:val="0"/>
        <w:spacing w:before="10" w:after="10" w:line="240" w:lineRule="auto"/>
        <w:ind w:left="567"/>
        <w:contextualSpacing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C6F40" w:rsidR="009C49F7" w:rsidTr="006B3766" w14:paraId="6172186A" w14:textId="77777777">
        <w:tc>
          <w:tcPr>
            <w:tcW w:w="1418" w:type="dxa"/>
          </w:tcPr>
          <w:p w:rsidRPr="004A3C2E" w:rsidR="009C49F7" w:rsidP="006B3766" w:rsidRDefault="009C49F7" w14:paraId="419CF848" w14:textId="77777777">
            <w:pPr>
              <w:spacing w:line="240" w:lineRule="auto"/>
              <w:rPr>
                <w:i/>
              </w:rPr>
            </w:pPr>
            <w:r>
              <w:rPr>
                <w:b/>
                <w:i/>
              </w:rPr>
              <w:t>Yhteydenotot</w:t>
            </w:r>
          </w:p>
        </w:tc>
        <w:tc>
          <w:tcPr>
            <w:tcW w:w="5670" w:type="dxa"/>
          </w:tcPr>
          <w:p w:rsidRPr="004A3C2E" w:rsidR="009C49F7" w:rsidP="006B3766" w:rsidRDefault="009C49F7" w14:paraId="3DEDA8D0" w14:textId="77777777">
            <w:pPr>
              <w:spacing w:line="240" w:lineRule="auto"/>
              <w:rPr>
                <w:i/>
              </w:rPr>
            </w:pPr>
            <w:r>
              <w:rPr>
                <w:i/>
              </w:rPr>
              <w:t xml:space="preserve">Marco </w:t>
            </w:r>
            <w:proofErr w:type="spellStart"/>
            <w:r>
              <w:rPr>
                <w:i/>
              </w:rPr>
              <w:t>Ristori</w:t>
            </w:r>
            <w:proofErr w:type="spellEnd"/>
          </w:p>
        </w:tc>
      </w:tr>
      <w:tr w:rsidRPr="008C6F40" w:rsidR="009C49F7" w:rsidTr="006B3766" w14:paraId="1C97046C" w14:textId="77777777">
        <w:tc>
          <w:tcPr>
            <w:tcW w:w="1418" w:type="dxa"/>
          </w:tcPr>
          <w:p w:rsidRPr="004A3C2E" w:rsidR="009C49F7" w:rsidP="006B3766" w:rsidRDefault="009C49F7" w14:paraId="711F8714" w14:textId="77777777">
            <w:pPr>
              <w:spacing w:line="240" w:lineRule="auto"/>
              <w:rPr>
                <w:i/>
              </w:rPr>
            </w:pPr>
            <w:r>
              <w:rPr>
                <w:i/>
              </w:rPr>
              <w:t>P.</w:t>
            </w:r>
          </w:p>
        </w:tc>
        <w:tc>
          <w:tcPr>
            <w:tcW w:w="5670" w:type="dxa"/>
          </w:tcPr>
          <w:p w:rsidRPr="004A3C2E" w:rsidR="009C49F7" w:rsidP="006B3766" w:rsidRDefault="009C49F7" w14:paraId="618DEBAC" w14:textId="77777777">
            <w:pPr>
              <w:spacing w:line="240" w:lineRule="auto"/>
              <w:rPr>
                <w:i/>
              </w:rPr>
            </w:pPr>
            <w:r>
              <w:rPr>
                <w:i/>
              </w:rPr>
              <w:t>+32 25469969</w:t>
            </w:r>
          </w:p>
        </w:tc>
      </w:tr>
      <w:tr w:rsidRPr="008C6F40" w:rsidR="009C49F7" w:rsidTr="006B3766" w14:paraId="12475E03" w14:textId="77777777">
        <w:tc>
          <w:tcPr>
            <w:tcW w:w="1418" w:type="dxa"/>
          </w:tcPr>
          <w:p w:rsidRPr="004A3C2E" w:rsidR="009C49F7" w:rsidP="006B3766" w:rsidRDefault="009C49F7" w14:paraId="68915C07" w14:textId="77777777">
            <w:pPr>
              <w:spacing w:line="240" w:lineRule="auto"/>
              <w:rPr>
                <w:i/>
              </w:rPr>
            </w:pPr>
            <w:r>
              <w:rPr>
                <w:i/>
              </w:rPr>
              <w:t>Sähköposti</w:t>
            </w:r>
          </w:p>
        </w:tc>
        <w:tc>
          <w:tcPr>
            <w:tcW w:w="5670" w:type="dxa"/>
          </w:tcPr>
          <w:p w:rsidRPr="004A3C2E" w:rsidR="009C49F7" w:rsidP="006B3766" w:rsidRDefault="009C49F7" w14:paraId="2B846C9C" w14:textId="77777777">
            <w:pPr>
              <w:spacing w:line="240" w:lineRule="auto"/>
              <w:rPr>
                <w:i/>
              </w:rPr>
            </w:pPr>
            <w:hyperlink w:history="1" r:id="rId30">
              <w:r>
                <w:rPr>
                  <w:rStyle w:val="Hyperlink"/>
                  <w:i/>
                </w:rPr>
                <w:t>Marco.Ristori@eesc.europa.eu</w:t>
              </w:r>
            </w:hyperlink>
          </w:p>
        </w:tc>
      </w:tr>
    </w:tbl>
    <w:p w:rsidR="003567CE" w:rsidP="004C40FF" w:rsidRDefault="003567CE" w14:paraId="67F3595B" w14:textId="7DB7E2AE">
      <w:pPr>
        <w:tabs>
          <w:tab w:val="left" w:pos="426"/>
        </w:tabs>
        <w:spacing w:after="160" w:line="259" w:lineRule="auto"/>
        <w:ind w:left="426" w:hanging="426"/>
        <w:jc w:val="left"/>
        <w:rPr>
          <w:rFonts w:eastAsiaTheme="minorEastAsia"/>
        </w:rPr>
      </w:pPr>
      <w: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Hlk171939398" w:id="13"/>
      <w:bookmarkStart w:name="_Hlk171940016" w:id="14"/>
      <w:bookmarkStart w:name="_Toc172289459" w:id="15"/>
      <w:r>
        <w:t>7.</w:t>
      </w:r>
      <w:r>
        <w:tab/>
      </w:r>
      <w:bookmarkEnd w:id="13"/>
      <w:r>
        <w:t>LIIKENNE, ENERGIA, PERUSRAKENTEET, TIETOYHTEISKUNTA</w:t>
      </w:r>
      <w:bookmarkEnd w:id="15"/>
    </w:p>
    <w:bookmarkEnd w:id="14"/>
    <w:p w:rsidR="00160A67" w:rsidP="00160A67" w:rsidRDefault="00160A67" w14:paraId="2CBE297E" w14:textId="164A826B">
      <w:pPr>
        <w:rPr>
          <w:rFonts w:eastAsiaTheme="minorEastAsia"/>
        </w:rPr>
      </w:pPr>
    </w:p>
    <w:p w:rsidRPr="0003586F" w:rsidR="009C49F7" w:rsidP="009C49F7" w:rsidRDefault="009C49F7" w14:paraId="17D80655" w14:textId="77777777">
      <w:pPr>
        <w:widowControl w:val="0"/>
        <w:numPr>
          <w:ilvl w:val="0"/>
          <w:numId w:val="27"/>
        </w:numPr>
        <w:overflowPunct w:val="0"/>
        <w:autoSpaceDE w:val="0"/>
        <w:autoSpaceDN w:val="0"/>
        <w:adjustRightInd w:val="0"/>
        <w:ind w:hanging="567"/>
        <w:textAlignment w:val="baseline"/>
        <w:rPr>
          <w:sz w:val="20"/>
        </w:rPr>
      </w:pPr>
      <w:hyperlink w:history="1" r:id="rId31">
        <w:r>
          <w:rPr>
            <w:rStyle w:val="Hyperlink"/>
            <w:b/>
            <w:i/>
            <w:sz w:val="28"/>
          </w:rPr>
          <w:t>Energia-alan digitalisointi: mahdollisuuksien ja riskien arviointi eurooppalaisten kuluttajien kannalta</w:t>
        </w:r>
      </w:hyperlink>
    </w:p>
    <w:p w:rsidRPr="001F7703" w:rsidR="009C49F7" w:rsidP="009C49F7" w:rsidRDefault="009C49F7" w14:paraId="5577A7B8" w14:textId="77777777">
      <w:pPr>
        <w:tabs>
          <w:tab w:val="center" w:pos="284"/>
        </w:tabs>
        <w:ind w:left="266" w:hanging="266"/>
        <w:rPr>
          <w:b/>
          <w:sz w:val="16"/>
          <w:szCs w:val="16"/>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6689B" w:rsidR="009C49F7" w:rsidTr="006B3766" w14:paraId="5A7E94B9" w14:textId="77777777">
        <w:tc>
          <w:tcPr>
            <w:tcW w:w="2235" w:type="dxa"/>
          </w:tcPr>
          <w:p w:rsidRPr="00A6689B" w:rsidR="009C49F7" w:rsidP="006B3766" w:rsidRDefault="009C49F7" w14:paraId="6A6A2A90" w14:textId="77777777">
            <w:pPr>
              <w:tabs>
                <w:tab w:val="center" w:pos="284"/>
              </w:tabs>
              <w:ind w:left="266" w:hanging="266"/>
              <w:rPr>
                <w:b/>
              </w:rPr>
            </w:pPr>
            <w:r>
              <w:rPr>
                <w:b/>
              </w:rPr>
              <w:t>Esittelijä</w:t>
            </w:r>
          </w:p>
        </w:tc>
        <w:tc>
          <w:tcPr>
            <w:tcW w:w="6838" w:type="dxa"/>
          </w:tcPr>
          <w:p w:rsidRPr="00A6689B" w:rsidR="009C49F7" w:rsidP="006B3766" w:rsidRDefault="009C49F7" w14:paraId="05EFC5A9" w14:textId="77777777">
            <w:pPr>
              <w:tabs>
                <w:tab w:val="center" w:pos="284"/>
              </w:tabs>
              <w:ind w:left="266" w:hanging="266"/>
            </w:pPr>
            <w:proofErr w:type="spellStart"/>
            <w:r>
              <w:t>Kęstutis</w:t>
            </w:r>
            <w:proofErr w:type="spellEnd"/>
            <w:r>
              <w:t xml:space="preserve"> KUPŠYS (kansalaisyhteiskunnan organisaatiot – LT)</w:t>
            </w:r>
          </w:p>
        </w:tc>
      </w:tr>
      <w:tr w:rsidRPr="00A6689B" w:rsidR="009C49F7" w:rsidTr="006B3766" w14:paraId="6C2D0E8E" w14:textId="77777777">
        <w:tc>
          <w:tcPr>
            <w:tcW w:w="9073" w:type="dxa"/>
            <w:gridSpan w:val="2"/>
          </w:tcPr>
          <w:p w:rsidRPr="00A6689B" w:rsidR="009C49F7" w:rsidP="006B3766" w:rsidRDefault="009C49F7" w14:paraId="451C5D1E" w14:textId="77777777">
            <w:pPr>
              <w:tabs>
                <w:tab w:val="center" w:pos="284"/>
              </w:tabs>
              <w:spacing w:line="160" w:lineRule="exact"/>
              <w:ind w:left="266" w:hanging="266"/>
              <w:rPr>
                <w:lang w:val="en-US"/>
              </w:rPr>
            </w:pPr>
          </w:p>
        </w:tc>
      </w:tr>
      <w:tr w:rsidRPr="00A6689B" w:rsidR="009C49F7" w:rsidTr="006B3766" w14:paraId="23955A52" w14:textId="77777777">
        <w:tc>
          <w:tcPr>
            <w:tcW w:w="2235" w:type="dxa"/>
          </w:tcPr>
          <w:p w:rsidRPr="00A6689B" w:rsidR="009C49F7" w:rsidP="006B3766" w:rsidRDefault="009C49F7" w14:paraId="17944271" w14:textId="77777777">
            <w:pPr>
              <w:tabs>
                <w:tab w:val="center" w:pos="284"/>
              </w:tabs>
              <w:ind w:left="266" w:hanging="266"/>
              <w:rPr>
                <w:b/>
              </w:rPr>
            </w:pPr>
            <w:r>
              <w:rPr>
                <w:b/>
              </w:rPr>
              <w:t>Viiteasiakirja</w:t>
            </w:r>
          </w:p>
        </w:tc>
        <w:tc>
          <w:tcPr>
            <w:tcW w:w="6838" w:type="dxa"/>
          </w:tcPr>
          <w:p w:rsidRPr="001347FC" w:rsidR="009C49F7" w:rsidP="006B3766" w:rsidRDefault="009C49F7" w14:paraId="2DC5AF69" w14:textId="77777777">
            <w:pPr>
              <w:tabs>
                <w:tab w:val="center" w:pos="0"/>
              </w:tabs>
            </w:pPr>
            <w:r>
              <w:t>oma-aloitteinen lausunto</w:t>
            </w:r>
          </w:p>
          <w:p w:rsidRPr="00A6689B" w:rsidR="009C49F7" w:rsidP="006B3766" w:rsidRDefault="009C49F7" w14:paraId="13E71821" w14:textId="77777777">
            <w:pPr>
              <w:tabs>
                <w:tab w:val="center" w:pos="284"/>
              </w:tabs>
              <w:ind w:left="266" w:hanging="266"/>
            </w:pPr>
            <w:r>
              <w:t>EESC-2024-01212-00-00-AC</w:t>
            </w:r>
          </w:p>
        </w:tc>
      </w:tr>
    </w:tbl>
    <w:p w:rsidRPr="00A6689B" w:rsidR="009C49F7" w:rsidP="009C49F7" w:rsidRDefault="009C49F7" w14:paraId="33B6B556" w14:textId="77777777">
      <w:pPr>
        <w:keepNext/>
        <w:keepLines/>
        <w:tabs>
          <w:tab w:val="center" w:pos="284"/>
        </w:tabs>
        <w:ind w:left="266" w:hanging="266"/>
        <w:rPr>
          <w:b/>
        </w:rPr>
      </w:pPr>
      <w:r>
        <w:rPr>
          <w:b/>
        </w:rPr>
        <w:t>Keskeiset kohdat</w:t>
      </w:r>
    </w:p>
    <w:p w:rsidRPr="001F7703" w:rsidR="009C49F7" w:rsidP="009C49F7" w:rsidRDefault="009C49F7" w14:paraId="03576AE7" w14:textId="77777777">
      <w:pPr>
        <w:keepNext/>
        <w:keepLines/>
        <w:tabs>
          <w:tab w:val="center" w:pos="284"/>
        </w:tabs>
        <w:ind w:left="266" w:hanging="266"/>
        <w:rPr>
          <w:b/>
          <w:sz w:val="16"/>
          <w:szCs w:val="16"/>
        </w:rPr>
      </w:pPr>
    </w:p>
    <w:p w:rsidRPr="00E10581" w:rsidR="009C49F7" w:rsidP="009C49F7" w:rsidRDefault="009C49F7" w14:paraId="4BACDE68" w14:textId="77777777">
      <w:pPr>
        <w:rPr>
          <w:bCs/>
          <w:iCs/>
        </w:rPr>
      </w:pPr>
      <w:r>
        <w:t>ETSK</w:t>
      </w:r>
    </w:p>
    <w:p w:rsidRPr="001F7703" w:rsidR="009C49F7" w:rsidP="009C49F7" w:rsidRDefault="009C49F7" w14:paraId="41DD285A" w14:textId="77777777">
      <w:pPr>
        <w:keepNext/>
        <w:keepLines/>
        <w:tabs>
          <w:tab w:val="center" w:pos="284"/>
        </w:tabs>
        <w:ind w:left="266" w:hanging="266"/>
        <w:rPr>
          <w:b/>
          <w:sz w:val="16"/>
          <w:szCs w:val="16"/>
        </w:rPr>
      </w:pPr>
    </w:p>
    <w:p w:rsidRPr="00E03E8C" w:rsidR="009C49F7" w:rsidP="009C49F7" w:rsidRDefault="009C49F7" w14:paraId="5C61E61A" w14:textId="77777777">
      <w:pPr>
        <w:pStyle w:val="ListParagraph"/>
        <w:numPr>
          <w:ilvl w:val="0"/>
          <w:numId w:val="33"/>
        </w:numPr>
        <w:ind w:left="567" w:hanging="567"/>
      </w:pPr>
      <w:r>
        <w:t>korostaa, että digitalisaatiosta on vihreän siirtymän johdosta tulossa yhä tärkeämpää. Energian olisi kuitenkin oltava kuluttajille jatkossakin kohtuuhintaista ja helppokäyttöistä, ja sitä tulisi voida säädellä. Tämä edellyttää sellaisten käyttäjäystävällisten digitaalisten välineiden kehittämistä, joissa otetaan huomioon erilaiset tarpeet ja joilla edistetään digitaalisten energiapalvelujen yhdenvertaista saatavuutta. Kuluttajilla tulisi edelleen olla mahdollisuus tehdä hintoja, sopimuksia ja asiakaspalvelua koskevia valintoja samaan tapaan kuin ennen digiaikaa.</w:t>
      </w:r>
    </w:p>
    <w:p w:rsidR="009C49F7" w:rsidP="009C49F7" w:rsidRDefault="009C49F7" w14:paraId="32C55261" w14:textId="77777777">
      <w:pPr>
        <w:pStyle w:val="ListParagraph"/>
        <w:numPr>
          <w:ilvl w:val="0"/>
          <w:numId w:val="33"/>
        </w:numPr>
        <w:ind w:left="567" w:hanging="567"/>
      </w:pPr>
      <w:r>
        <w:t>painottaa, että ensisijaisena tavoitteena on oltava käyttäjätietojen kyberturvallisuus. Digitalisaatio lisää tarvetta luoda dynaamisia kuluttajansuojasäännöksiä, jotka on mukautettu energia-alan uusiin olosuhteisiin ja osallistujiin.</w:t>
      </w:r>
    </w:p>
    <w:p w:rsidR="009C49F7" w:rsidP="009C49F7" w:rsidRDefault="009C49F7" w14:paraId="56F63265" w14:textId="77777777">
      <w:pPr>
        <w:pStyle w:val="ListParagraph"/>
        <w:numPr>
          <w:ilvl w:val="0"/>
          <w:numId w:val="33"/>
        </w:numPr>
        <w:ind w:left="567" w:hanging="567"/>
      </w:pPr>
      <w:r>
        <w:t xml:space="preserve">suosittaa, että työntekijöille tarjotaan koulutusta. Net-Zero Industry </w:t>
      </w:r>
      <w:proofErr w:type="spellStart"/>
      <w:r>
        <w:t>Academies</w:t>
      </w:r>
      <w:proofErr w:type="spellEnd"/>
      <w:r>
        <w:t xml:space="preserve"> ‑koulutusyhteenliittymiä olisi tehtävä tunnetuiksi kaikille asianomaisille osapuolille energiatehokkuusosaamista painottaen.</w:t>
      </w:r>
    </w:p>
    <w:p w:rsidR="009C49F7" w:rsidP="009C49F7" w:rsidRDefault="009C49F7" w14:paraId="3DF840C1" w14:textId="77777777"/>
    <w:p w:rsidR="009C49F7" w:rsidP="009C49F7" w:rsidRDefault="009C49F7" w14:paraId="77D913D0" w14:textId="77777777"/>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10581" w:rsidR="009C49F7" w:rsidTr="006B3766" w14:paraId="7455CEBF" w14:textId="77777777">
        <w:tc>
          <w:tcPr>
            <w:tcW w:w="1418" w:type="dxa"/>
          </w:tcPr>
          <w:p w:rsidRPr="00E10581" w:rsidR="009C49F7" w:rsidP="006B3766" w:rsidRDefault="009C49F7" w14:paraId="5DD9FB63" w14:textId="77777777">
            <w:pPr>
              <w:spacing w:line="240" w:lineRule="auto"/>
              <w:rPr>
                <w:i/>
              </w:rPr>
            </w:pPr>
            <w:r>
              <w:rPr>
                <w:b/>
                <w:i/>
              </w:rPr>
              <w:t>Yhteydenotot</w:t>
            </w:r>
          </w:p>
        </w:tc>
        <w:tc>
          <w:tcPr>
            <w:tcW w:w="5670" w:type="dxa"/>
          </w:tcPr>
          <w:p w:rsidRPr="00E10581" w:rsidR="009C49F7" w:rsidP="006B3766" w:rsidRDefault="009C49F7" w14:paraId="0E8DE34E" w14:textId="77777777">
            <w:pPr>
              <w:spacing w:line="240" w:lineRule="auto"/>
              <w:rPr>
                <w:i/>
              </w:rPr>
            </w:pPr>
            <w:r>
              <w:rPr>
                <w:i/>
              </w:rPr>
              <w:t xml:space="preserve">Aleksandra SARMAN GRILC </w:t>
            </w:r>
          </w:p>
        </w:tc>
      </w:tr>
      <w:tr w:rsidRPr="00E10581" w:rsidR="009C49F7" w:rsidTr="006B3766" w14:paraId="354170E4" w14:textId="77777777">
        <w:tc>
          <w:tcPr>
            <w:tcW w:w="1418" w:type="dxa"/>
          </w:tcPr>
          <w:p w:rsidRPr="00E10581" w:rsidR="009C49F7" w:rsidP="006B3766" w:rsidRDefault="009C49F7" w14:paraId="1AE9640F" w14:textId="77777777">
            <w:pPr>
              <w:spacing w:line="240" w:lineRule="auto"/>
              <w:rPr>
                <w:i/>
              </w:rPr>
            </w:pPr>
            <w:r>
              <w:rPr>
                <w:i/>
              </w:rPr>
              <w:t>P.</w:t>
            </w:r>
          </w:p>
        </w:tc>
        <w:tc>
          <w:tcPr>
            <w:tcW w:w="5670" w:type="dxa"/>
          </w:tcPr>
          <w:p w:rsidRPr="00E10581" w:rsidR="009C49F7" w:rsidP="006B3766" w:rsidRDefault="009C49F7" w14:paraId="06B051DE" w14:textId="77777777">
            <w:pPr>
              <w:spacing w:line="240" w:lineRule="auto"/>
              <w:rPr>
                <w:i/>
              </w:rPr>
            </w:pPr>
            <w:r>
              <w:rPr>
                <w:i/>
              </w:rPr>
              <w:t>+32 25468333</w:t>
            </w:r>
          </w:p>
        </w:tc>
      </w:tr>
      <w:tr w:rsidRPr="00A6689B" w:rsidR="009C49F7" w:rsidTr="006B3766" w14:paraId="56A2650F" w14:textId="77777777">
        <w:tc>
          <w:tcPr>
            <w:tcW w:w="1418" w:type="dxa"/>
          </w:tcPr>
          <w:p w:rsidRPr="00E10581" w:rsidR="009C49F7" w:rsidP="006B3766" w:rsidRDefault="009C49F7" w14:paraId="2A9499FF" w14:textId="77777777">
            <w:pPr>
              <w:spacing w:line="240" w:lineRule="auto"/>
              <w:rPr>
                <w:i/>
              </w:rPr>
            </w:pPr>
            <w:r>
              <w:rPr>
                <w:i/>
              </w:rPr>
              <w:t>Sähköposti</w:t>
            </w:r>
          </w:p>
        </w:tc>
        <w:tc>
          <w:tcPr>
            <w:tcW w:w="5670" w:type="dxa"/>
          </w:tcPr>
          <w:p w:rsidRPr="0080772D" w:rsidR="009C49F7" w:rsidP="006B3766" w:rsidRDefault="009C49F7" w14:paraId="21E483D6" w14:textId="77777777">
            <w:pPr>
              <w:spacing w:line="240" w:lineRule="auto"/>
              <w:rPr>
                <w:i/>
                <w:iCs/>
              </w:rPr>
            </w:pPr>
            <w:hyperlink w:history="1" r:id="rId32">
              <w:r>
                <w:rPr>
                  <w:rStyle w:val="Hyperlink"/>
                  <w:i/>
                </w:rPr>
                <w:t>Aleksandra.SarmanGrilc@eesc.europa.eu</w:t>
              </w:r>
            </w:hyperlink>
          </w:p>
        </w:tc>
      </w:tr>
    </w:tbl>
    <w:p w:rsidR="009C49F7" w:rsidP="009C49F7" w:rsidRDefault="009C49F7" w14:paraId="2F0BD2C2" w14:textId="77777777">
      <w:pPr>
        <w:jc w:val="center"/>
        <w:rPr>
          <w:lang w:val="nl-BE"/>
        </w:rPr>
      </w:pPr>
    </w:p>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6"/>
      <w:bookmarkStart w:name="_Toc153547136" w:id="17"/>
      <w:r>
        <w:br w:type="page"/>
      </w:r>
    </w:p>
    <w:p w:rsidR="00FE2F95" w:rsidP="00FE2F95" w:rsidRDefault="00FE2F95" w14:paraId="526905B5" w14:textId="77777777">
      <w:pPr>
        <w:pStyle w:val="TOC1"/>
        <w:rPr>
          <w:bCs/>
          <w:noProof w:val="0"/>
          <w:sz w:val="22"/>
          <w:szCs w:val="22"/>
        </w:rPr>
      </w:pPr>
    </w:p>
    <w:p w:rsidRPr="00160A67" w:rsidR="00160A67" w:rsidP="00FE2F95" w:rsidRDefault="003D6811" w14:paraId="5D209F0E" w14:textId="4471A438">
      <w:pPr>
        <w:pStyle w:val="TOC1"/>
        <w:rPr>
          <w:rFonts w:eastAsiaTheme="minorEastAsia"/>
        </w:rPr>
      </w:pPr>
      <w:bookmarkStart w:name="_Toc172289460" w:id="18"/>
      <w:r>
        <w:rPr>
          <w:sz w:val="22"/>
        </w:rPr>
        <w:t xml:space="preserve">8. </w:t>
      </w:r>
      <w:r>
        <w:rPr>
          <w:sz w:val="22"/>
        </w:rPr>
        <w:tab/>
        <w:t>NEUVOA-ANTAVA VALIOKUNTA ”TEOLLISUUDEN MUUTOKSET”</w:t>
      </w:r>
      <w:bookmarkEnd w:id="16"/>
      <w:bookmarkEnd w:id="17"/>
      <w:bookmarkEnd w:id="18"/>
    </w:p>
    <w:p w:rsidR="0018585A" w:rsidP="00520680" w:rsidRDefault="0018585A" w14:paraId="57026A6C" w14:textId="12B99797">
      <w:pPr>
        <w:overflowPunct w:val="0"/>
        <w:autoSpaceDE w:val="0"/>
        <w:autoSpaceDN w:val="0"/>
        <w:adjustRightInd w:val="0"/>
        <w:jc w:val="left"/>
        <w:textAlignment w:val="baseline"/>
      </w:pPr>
    </w:p>
    <w:p w:rsidRPr="00B443D6" w:rsidR="009C49F7" w:rsidP="009C49F7" w:rsidRDefault="009C49F7" w14:paraId="023004EF" w14:textId="77777777">
      <w:pPr>
        <w:widowControl w:val="0"/>
        <w:numPr>
          <w:ilvl w:val="0"/>
          <w:numId w:val="27"/>
        </w:numPr>
        <w:overflowPunct w:val="0"/>
        <w:autoSpaceDE w:val="0"/>
        <w:autoSpaceDN w:val="0"/>
        <w:adjustRightInd w:val="0"/>
        <w:ind w:hanging="567"/>
        <w:textAlignment w:val="baseline"/>
        <w:rPr>
          <w:i/>
          <w:iCs/>
          <w:sz w:val="28"/>
          <w:szCs w:val="28"/>
        </w:rPr>
      </w:pPr>
      <w:hyperlink w:history="1" r:id="rId33">
        <w:r>
          <w:rPr>
            <w:rStyle w:val="Hyperlink"/>
            <w:b/>
            <w:i/>
            <w:sz w:val="28"/>
          </w:rPr>
          <w:t>Tulevaisuutta rakentamassa luonnon opein: bioteknologian ja biovalmistuksen kehittäminen EU:ssa</w:t>
        </w:r>
      </w:hyperlink>
    </w:p>
    <w:p w:rsidRPr="00F70230" w:rsidR="009C49F7" w:rsidP="009C49F7" w:rsidRDefault="009C49F7" w14:paraId="0739F4C8" w14:textId="77777777">
      <w:pPr>
        <w:tabs>
          <w:tab w:val="center" w:pos="284"/>
        </w:tabs>
        <w:ind w:left="266" w:hanging="266"/>
        <w:rPr>
          <w:b/>
          <w:sz w:val="18"/>
          <w:szCs w:val="18"/>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6689B" w:rsidR="009C49F7" w:rsidTr="006B3766" w14:paraId="70319FDB" w14:textId="77777777">
        <w:tc>
          <w:tcPr>
            <w:tcW w:w="1591" w:type="pct"/>
          </w:tcPr>
          <w:p w:rsidRPr="00A6689B" w:rsidR="009C49F7" w:rsidP="006B3766" w:rsidRDefault="009C49F7" w14:paraId="557059B9" w14:textId="77777777">
            <w:pPr>
              <w:tabs>
                <w:tab w:val="center" w:pos="284"/>
              </w:tabs>
              <w:ind w:left="266" w:hanging="266"/>
              <w:rPr>
                <w:b/>
              </w:rPr>
            </w:pPr>
            <w:r>
              <w:rPr>
                <w:b/>
              </w:rPr>
              <w:t>Esittelijä</w:t>
            </w:r>
          </w:p>
        </w:tc>
        <w:tc>
          <w:tcPr>
            <w:tcW w:w="3409" w:type="pct"/>
          </w:tcPr>
          <w:p w:rsidRPr="000E6176" w:rsidR="009C49F7" w:rsidP="006B3766" w:rsidRDefault="009C49F7" w14:paraId="522F0076" w14:textId="77777777">
            <w:pPr>
              <w:tabs>
                <w:tab w:val="center" w:pos="284"/>
              </w:tabs>
              <w:ind w:left="266" w:hanging="266"/>
              <w:rPr>
                <w:b/>
                <w:bCs/>
              </w:rPr>
            </w:pPr>
            <w:proofErr w:type="spellStart"/>
            <w:r>
              <w:rPr>
                <w:b/>
              </w:rPr>
              <w:t>Florian</w:t>
            </w:r>
            <w:proofErr w:type="spellEnd"/>
            <w:r>
              <w:rPr>
                <w:b/>
              </w:rPr>
              <w:t xml:space="preserve"> Marin (työntekijät – RO)</w:t>
            </w:r>
          </w:p>
        </w:tc>
      </w:tr>
      <w:tr w:rsidRPr="00A6689B" w:rsidR="009C49F7" w:rsidTr="006B3766" w14:paraId="5E40FDA9" w14:textId="77777777">
        <w:tc>
          <w:tcPr>
            <w:tcW w:w="1591" w:type="pct"/>
          </w:tcPr>
          <w:p w:rsidRPr="00A6689B" w:rsidR="009C49F7" w:rsidP="006B3766" w:rsidRDefault="009C49F7" w14:paraId="3ACE9177" w14:textId="77777777">
            <w:pPr>
              <w:tabs>
                <w:tab w:val="center" w:pos="284"/>
              </w:tabs>
              <w:ind w:left="266" w:hanging="266"/>
              <w:rPr>
                <w:b/>
              </w:rPr>
            </w:pPr>
            <w:r>
              <w:rPr>
                <w:b/>
              </w:rPr>
              <w:t>Yhteisesittelijä</w:t>
            </w:r>
          </w:p>
        </w:tc>
        <w:tc>
          <w:tcPr>
            <w:tcW w:w="3409" w:type="pct"/>
          </w:tcPr>
          <w:p w:rsidRPr="000E6176" w:rsidR="009C49F7" w:rsidP="006B3766" w:rsidRDefault="009C49F7" w14:paraId="21AF5447" w14:textId="77777777">
            <w:pPr>
              <w:tabs>
                <w:tab w:val="center" w:pos="284"/>
              </w:tabs>
              <w:ind w:left="266" w:hanging="266"/>
              <w:rPr>
                <w:b/>
                <w:bCs/>
              </w:rPr>
            </w:pPr>
            <w:proofErr w:type="spellStart"/>
            <w:r>
              <w:rPr>
                <w:b/>
              </w:rPr>
              <w:t>Antonello</w:t>
            </w:r>
            <w:proofErr w:type="spellEnd"/>
            <w:r>
              <w:rPr>
                <w:b/>
              </w:rPr>
              <w:t xml:space="preserve"> </w:t>
            </w:r>
            <w:proofErr w:type="spellStart"/>
            <w:r>
              <w:rPr>
                <w:b/>
              </w:rPr>
              <w:t>Pezzini</w:t>
            </w:r>
            <w:proofErr w:type="spellEnd"/>
            <w:r>
              <w:rPr>
                <w:b/>
              </w:rPr>
              <w:t xml:space="preserve"> (kat. 1 – IT)</w:t>
            </w:r>
          </w:p>
        </w:tc>
      </w:tr>
      <w:tr w:rsidRPr="00A6689B" w:rsidR="009C49F7" w:rsidTr="006B3766" w14:paraId="625D82DD" w14:textId="77777777">
        <w:tc>
          <w:tcPr>
            <w:tcW w:w="5000" w:type="pct"/>
            <w:gridSpan w:val="2"/>
          </w:tcPr>
          <w:p w:rsidRPr="00A6689B" w:rsidR="009C49F7" w:rsidP="006B3766" w:rsidRDefault="009C49F7" w14:paraId="7E501C60" w14:textId="77777777">
            <w:pPr>
              <w:tabs>
                <w:tab w:val="center" w:pos="284"/>
              </w:tabs>
              <w:spacing w:line="160" w:lineRule="exact"/>
              <w:ind w:left="266" w:hanging="266"/>
              <w:rPr>
                <w:lang w:val="en-US"/>
              </w:rPr>
            </w:pPr>
          </w:p>
        </w:tc>
      </w:tr>
      <w:tr w:rsidRPr="00A6689B" w:rsidR="009C49F7" w:rsidTr="006B3766" w14:paraId="1DAD95F1" w14:textId="77777777">
        <w:tc>
          <w:tcPr>
            <w:tcW w:w="1591" w:type="pct"/>
            <w:vMerge w:val="restart"/>
          </w:tcPr>
          <w:p w:rsidRPr="00A6689B" w:rsidR="009C49F7" w:rsidP="006B3766" w:rsidRDefault="009C49F7" w14:paraId="38723905" w14:textId="77777777">
            <w:pPr>
              <w:tabs>
                <w:tab w:val="center" w:pos="284"/>
              </w:tabs>
              <w:ind w:left="266" w:hanging="266"/>
              <w:rPr>
                <w:b/>
              </w:rPr>
            </w:pPr>
            <w:r>
              <w:rPr>
                <w:b/>
              </w:rPr>
              <w:t>Viiteasiakirja</w:t>
            </w:r>
          </w:p>
        </w:tc>
        <w:tc>
          <w:tcPr>
            <w:tcW w:w="3409" w:type="pct"/>
          </w:tcPr>
          <w:p w:rsidRPr="00A6689B" w:rsidR="009C49F7" w:rsidP="006B3766" w:rsidRDefault="009C49F7" w14:paraId="11023B67" w14:textId="77777777">
            <w:pPr>
              <w:tabs>
                <w:tab w:val="center" w:pos="284"/>
              </w:tabs>
              <w:ind w:left="266" w:hanging="266"/>
            </w:pPr>
            <w:r>
              <w:t>EESC-2024-00997-00-00-AS-TRA</w:t>
            </w:r>
          </w:p>
        </w:tc>
      </w:tr>
      <w:tr w:rsidRPr="00A6689B" w:rsidR="009C49F7" w:rsidTr="006B3766" w14:paraId="3263E806" w14:textId="77777777">
        <w:tc>
          <w:tcPr>
            <w:tcW w:w="1591" w:type="pct"/>
            <w:vMerge/>
          </w:tcPr>
          <w:p w:rsidRPr="00A6689B" w:rsidR="009C49F7" w:rsidP="006B3766" w:rsidRDefault="009C49F7" w14:paraId="275E08E2" w14:textId="77777777">
            <w:pPr>
              <w:tabs>
                <w:tab w:val="center" w:pos="284"/>
              </w:tabs>
              <w:ind w:left="266" w:hanging="266"/>
              <w:rPr>
                <w:b/>
                <w:lang w:val="en-US"/>
              </w:rPr>
            </w:pPr>
          </w:p>
        </w:tc>
        <w:tc>
          <w:tcPr>
            <w:tcW w:w="3409" w:type="pct"/>
          </w:tcPr>
          <w:p w:rsidRPr="00A6689B" w:rsidR="009C49F7" w:rsidP="006B3766" w:rsidRDefault="009C49F7" w14:paraId="5D8780C5" w14:textId="77777777">
            <w:pPr>
              <w:tabs>
                <w:tab w:val="center" w:pos="284"/>
              </w:tabs>
              <w:ind w:left="266" w:hanging="266"/>
              <w:rPr>
                <w:lang w:val="en-US"/>
              </w:rPr>
            </w:pPr>
          </w:p>
        </w:tc>
      </w:tr>
    </w:tbl>
    <w:p w:rsidRPr="00F70230" w:rsidR="009C49F7" w:rsidP="009C49F7" w:rsidRDefault="009C49F7" w14:paraId="3DC8FB95" w14:textId="77777777">
      <w:pPr>
        <w:keepNext/>
        <w:keepLines/>
        <w:tabs>
          <w:tab w:val="center" w:pos="284"/>
        </w:tabs>
        <w:ind w:left="266" w:hanging="266"/>
        <w:rPr>
          <w:b/>
          <w:sz w:val="18"/>
          <w:szCs w:val="18"/>
        </w:rPr>
      </w:pPr>
    </w:p>
    <w:p w:rsidRPr="00A6689B" w:rsidR="009C49F7" w:rsidP="009C49F7" w:rsidRDefault="009C49F7" w14:paraId="62684EF4" w14:textId="77777777">
      <w:pPr>
        <w:keepNext/>
        <w:keepLines/>
        <w:tabs>
          <w:tab w:val="center" w:pos="284"/>
        </w:tabs>
        <w:ind w:left="266" w:hanging="266"/>
        <w:rPr>
          <w:b/>
        </w:rPr>
      </w:pPr>
      <w:r>
        <w:rPr>
          <w:b/>
        </w:rPr>
        <w:t>Keskeiset kohdat</w:t>
      </w:r>
    </w:p>
    <w:p w:rsidRPr="00F70230" w:rsidR="009C49F7" w:rsidP="009C49F7" w:rsidRDefault="009C49F7" w14:paraId="56A9DFF3" w14:textId="77777777">
      <w:pPr>
        <w:keepNext/>
        <w:keepLines/>
        <w:tabs>
          <w:tab w:val="center" w:pos="284"/>
        </w:tabs>
        <w:ind w:left="266" w:hanging="266"/>
        <w:rPr>
          <w:b/>
          <w:sz w:val="18"/>
          <w:szCs w:val="18"/>
        </w:rPr>
      </w:pPr>
    </w:p>
    <w:p w:rsidRPr="004F5157" w:rsidR="009C49F7" w:rsidP="009C49F7" w:rsidRDefault="009C49F7" w14:paraId="4E014A0A" w14:textId="77777777">
      <w:pPr>
        <w:rPr>
          <w:bCs/>
          <w:iCs/>
        </w:rPr>
      </w:pPr>
      <w:r>
        <w:t>ETSK</w:t>
      </w:r>
    </w:p>
    <w:p w:rsidRPr="00F70230" w:rsidR="009C49F7" w:rsidP="009C49F7" w:rsidRDefault="009C49F7" w14:paraId="22823687" w14:textId="77777777">
      <w:pPr>
        <w:ind w:left="567" w:hanging="567"/>
        <w:rPr>
          <w:sz w:val="18"/>
          <w:szCs w:val="16"/>
        </w:rPr>
      </w:pPr>
    </w:p>
    <w:p w:rsidRPr="00E33F2E" w:rsidR="009C49F7" w:rsidP="009C49F7" w:rsidRDefault="009C49F7" w14:paraId="7872AB29" w14:textId="77777777">
      <w:pPr>
        <w:widowControl w:val="0"/>
        <w:numPr>
          <w:ilvl w:val="0"/>
          <w:numId w:val="27"/>
        </w:numPr>
        <w:overflowPunct w:val="0"/>
        <w:autoSpaceDE w:val="0"/>
        <w:autoSpaceDN w:val="0"/>
        <w:adjustRightInd w:val="0"/>
        <w:ind w:left="709" w:hanging="425"/>
        <w:textAlignment w:val="baseline"/>
        <w:rPr>
          <w:bCs/>
          <w:iCs/>
        </w:rPr>
      </w:pPr>
      <w:r>
        <w:t xml:space="preserve">on pettynyt siihen, että EU:lla ei vielä ole </w:t>
      </w:r>
      <w:r>
        <w:rPr>
          <w:b/>
        </w:rPr>
        <w:t>biotalousstrategiaa</w:t>
      </w:r>
      <w:r>
        <w:t xml:space="preserve"> tai </w:t>
      </w:r>
      <w:r>
        <w:rPr>
          <w:b/>
        </w:rPr>
        <w:t>biotekniikkasäädöstä</w:t>
      </w:r>
      <w:r>
        <w:t>, ja katsoo, että maailmanlaajuinen tilanne huomioon ottaen tällaista lainsäädäntöä tarvitaan kiireellisesti.</w:t>
      </w:r>
    </w:p>
    <w:p w:rsidRPr="00E33F2E" w:rsidR="009C49F7" w:rsidP="009C49F7" w:rsidRDefault="009C49F7" w14:paraId="621D4718" w14:textId="77777777">
      <w:pPr>
        <w:widowControl w:val="0"/>
        <w:numPr>
          <w:ilvl w:val="0"/>
          <w:numId w:val="27"/>
        </w:numPr>
        <w:overflowPunct w:val="0"/>
        <w:autoSpaceDE w:val="0"/>
        <w:autoSpaceDN w:val="0"/>
        <w:adjustRightInd w:val="0"/>
        <w:ind w:left="709" w:hanging="425"/>
        <w:textAlignment w:val="baseline"/>
        <w:rPr>
          <w:bCs/>
          <w:iCs/>
        </w:rPr>
      </w:pPr>
      <w:r>
        <w:t xml:space="preserve">ehdottaa, että </w:t>
      </w:r>
      <w:r>
        <w:rPr>
          <w:b/>
        </w:rPr>
        <w:t>EU:n biotalousstrategian perustaksi otetaan yhdennetty alakohtainen lähestymistapa</w:t>
      </w:r>
      <w:r>
        <w:t>, jossa määritellään täsmälliset tavoitteet, mukaan lukien tutkimusohjelma seuraaviksi kymmeneksi vuodeksi, osaamisluettelo sekä selkeä rooli kansalaisyhteiskunnalle.</w:t>
      </w:r>
    </w:p>
    <w:p w:rsidRPr="00E33F2E" w:rsidR="009C49F7" w:rsidP="009C49F7" w:rsidRDefault="009C49F7" w14:paraId="183D3FA9" w14:textId="77777777">
      <w:pPr>
        <w:widowControl w:val="0"/>
        <w:numPr>
          <w:ilvl w:val="0"/>
          <w:numId w:val="27"/>
        </w:numPr>
        <w:overflowPunct w:val="0"/>
        <w:autoSpaceDE w:val="0"/>
        <w:autoSpaceDN w:val="0"/>
        <w:adjustRightInd w:val="0"/>
        <w:ind w:left="709" w:hanging="425"/>
        <w:textAlignment w:val="baseline"/>
        <w:rPr>
          <w:bCs/>
          <w:iCs/>
        </w:rPr>
      </w:pPr>
      <w:r>
        <w:t xml:space="preserve">pitää tarpeellisena pohtia ja edistää maailmanlaajuisesti </w:t>
      </w:r>
      <w:r>
        <w:rPr>
          <w:b/>
        </w:rPr>
        <w:t>EU:n yrityksiä ja EU:n markkinoille saatettavia tuotteita koskevia eettisiä sääntöjä</w:t>
      </w:r>
      <w:r>
        <w:t>.</w:t>
      </w:r>
    </w:p>
    <w:p w:rsidRPr="00E33F2E" w:rsidR="009C49F7" w:rsidP="009C49F7" w:rsidRDefault="009C49F7" w14:paraId="00BFE501" w14:textId="77777777">
      <w:pPr>
        <w:widowControl w:val="0"/>
        <w:numPr>
          <w:ilvl w:val="0"/>
          <w:numId w:val="27"/>
        </w:numPr>
        <w:overflowPunct w:val="0"/>
        <w:autoSpaceDE w:val="0"/>
        <w:autoSpaceDN w:val="0"/>
        <w:adjustRightInd w:val="0"/>
        <w:ind w:left="709" w:hanging="425"/>
        <w:textAlignment w:val="baseline"/>
        <w:rPr>
          <w:bCs/>
          <w:iCs/>
        </w:rPr>
      </w:pPr>
      <w:r>
        <w:t xml:space="preserve">peräänkuuluttaa </w:t>
      </w:r>
      <w:r>
        <w:rPr>
          <w:b/>
        </w:rPr>
        <w:t>erityisiä toimenpiteitä</w:t>
      </w:r>
      <w:r>
        <w:t xml:space="preserve">, jotta voidaan </w:t>
      </w:r>
      <w:r>
        <w:rPr>
          <w:b/>
        </w:rPr>
        <w:t>kehittää osaamista</w:t>
      </w:r>
      <w:r>
        <w:t xml:space="preserve"> ja </w:t>
      </w:r>
      <w:r>
        <w:rPr>
          <w:b/>
        </w:rPr>
        <w:t>vahvistaa</w:t>
      </w:r>
      <w:r>
        <w:t xml:space="preserve"> bioteknologian osaamisvaatimusten ja biovalmistustarpeiden välisiä </w:t>
      </w:r>
      <w:r>
        <w:rPr>
          <w:b/>
        </w:rPr>
        <w:t>synergioita</w:t>
      </w:r>
      <w:r>
        <w:t>.</w:t>
      </w:r>
    </w:p>
    <w:p w:rsidRPr="00DC65A4" w:rsidR="009C49F7" w:rsidP="009C49F7" w:rsidRDefault="009C49F7" w14:paraId="5CC10A17" w14:textId="77777777">
      <w:pPr>
        <w:widowControl w:val="0"/>
        <w:numPr>
          <w:ilvl w:val="0"/>
          <w:numId w:val="27"/>
        </w:numPr>
        <w:overflowPunct w:val="0"/>
        <w:autoSpaceDE w:val="0"/>
        <w:autoSpaceDN w:val="0"/>
        <w:adjustRightInd w:val="0"/>
        <w:ind w:left="709" w:hanging="425"/>
        <w:textAlignment w:val="baseline"/>
        <w:rPr>
          <w:bCs/>
          <w:iCs/>
        </w:rPr>
      </w:pPr>
      <w:r>
        <w:t xml:space="preserve">ehdottaa, että bioteknologian ja biovalmistuksen kehittämisen EU:ssa tulisi kattaa </w:t>
      </w:r>
      <w:r>
        <w:rPr>
          <w:b/>
        </w:rPr>
        <w:t>alakohtaiset indikaattorit</w:t>
      </w:r>
      <w:r>
        <w:t xml:space="preserve">, </w:t>
      </w:r>
      <w:r>
        <w:rPr>
          <w:b/>
        </w:rPr>
        <w:t>julkisen ja yksityisen sektorin kumppanuudet</w:t>
      </w:r>
      <w:r>
        <w:t xml:space="preserve">, </w:t>
      </w:r>
      <w:r>
        <w:rPr>
          <w:b/>
        </w:rPr>
        <w:t>laaja-alaisen tutkimusjärjestelmän</w:t>
      </w:r>
      <w:r>
        <w:t xml:space="preserve">, </w:t>
      </w:r>
      <w:r>
        <w:rPr>
          <w:b/>
        </w:rPr>
        <w:t>tietokannan, joka kattaa mahdolliset sijoittajat</w:t>
      </w:r>
      <w:r>
        <w:t xml:space="preserve">, </w:t>
      </w:r>
      <w:r>
        <w:rPr>
          <w:b/>
        </w:rPr>
        <w:t>nopeammat ja vähemmän byrokraattiset lupamenettelyt</w:t>
      </w:r>
      <w:r>
        <w:t xml:space="preserve">, </w:t>
      </w:r>
      <w:r>
        <w:rPr>
          <w:b/>
        </w:rPr>
        <w:t>täydellisen synergian kestävän kehityksen tavoitteiden ja ehdotetun sinisen kehityksen ohjelman kanssa</w:t>
      </w:r>
      <w:r>
        <w:t xml:space="preserve">, kohdennetut ja yhdenmukaistetut </w:t>
      </w:r>
      <w:r>
        <w:rPr>
          <w:b/>
        </w:rPr>
        <w:t>eurooppalaiset ja maailmanlaajuiset standardit</w:t>
      </w:r>
      <w:r>
        <w:t xml:space="preserve">, toimenpiteet, joilla lisätään </w:t>
      </w:r>
      <w:r>
        <w:rPr>
          <w:b/>
        </w:rPr>
        <w:t>bioteknologiatuotteita koskevaa julkista hyväksyntää, luottamusta ja koulutusta</w:t>
      </w:r>
      <w:r>
        <w:t xml:space="preserve"> ja </w:t>
      </w:r>
      <w:r>
        <w:rPr>
          <w:b/>
        </w:rPr>
        <w:t>kansallisten ja jaettujen toimivaltuuksien selkeämmän eriyttämisen</w:t>
      </w:r>
      <w:r>
        <w:t>.</w:t>
      </w:r>
    </w:p>
    <w:p w:rsidRPr="00B97F1D" w:rsidR="009C49F7" w:rsidP="009C49F7" w:rsidRDefault="009C49F7" w14:paraId="74ACED12" w14:textId="77777777">
      <w:pPr>
        <w:widowControl w:val="0"/>
        <w:numPr>
          <w:ilvl w:val="0"/>
          <w:numId w:val="27"/>
        </w:numPr>
        <w:overflowPunct w:val="0"/>
        <w:autoSpaceDE w:val="0"/>
        <w:autoSpaceDN w:val="0"/>
        <w:adjustRightInd w:val="0"/>
        <w:ind w:left="709" w:hanging="425"/>
        <w:textAlignment w:val="baseline"/>
        <w:rPr>
          <w:bCs/>
          <w:iCs/>
        </w:rPr>
      </w:pPr>
      <w:r>
        <w:t xml:space="preserve">ehdottaa, että </w:t>
      </w:r>
      <w:r>
        <w:rPr>
          <w:b/>
        </w:rPr>
        <w:t>bioteknologian ja biovalmistuksen rahoittamisessa EU:ssa</w:t>
      </w:r>
      <w:r>
        <w:t xml:space="preserve"> otetaan asianmukaisesti huomioon </w:t>
      </w:r>
      <w:r>
        <w:rPr>
          <w:b/>
        </w:rPr>
        <w:t>synergiaan perustuvaa lähestymistapa elpymis- ja palautumistukivälineeseen, Euroopan strategisten teknologioiden kehysvälineeseen (STEP), Euroopan investointipankkiin (EIP) ja koheesiopolitiikkaan</w:t>
      </w:r>
      <w:r>
        <w:t xml:space="preserve">. Komitea katsoo, että osa </w:t>
      </w:r>
      <w:r>
        <w:rPr>
          <w:b/>
        </w:rPr>
        <w:t>ympäristöveroista</w:t>
      </w:r>
      <w:r>
        <w:t xml:space="preserve"> saaduista varoista tulisi </w:t>
      </w:r>
      <w:r>
        <w:rPr>
          <w:b/>
        </w:rPr>
        <w:t>ohjata vihreän bioteknologian tuotteiden rahoittamiseen</w:t>
      </w:r>
      <w:r>
        <w:t xml:space="preserve">. Lisäksi olisi hyödynnettävä </w:t>
      </w:r>
      <w:r>
        <w:rPr>
          <w:b/>
        </w:rPr>
        <w:t>erilaisten rahoituslähteiden ja rahastojen</w:t>
      </w:r>
      <w:r>
        <w:t xml:space="preserve">, kuten lainojen, riskipääoman ja julkisten varojen, </w:t>
      </w:r>
      <w:r>
        <w:rPr>
          <w:b/>
        </w:rPr>
        <w:t>yhdistelmiä</w:t>
      </w:r>
      <w:r>
        <w:t>.</w:t>
      </w:r>
    </w:p>
    <w:p w:rsidRPr="00DC65A4" w:rsidR="009C49F7" w:rsidP="009C49F7" w:rsidRDefault="009C49F7" w14:paraId="290FB33E" w14:textId="77777777">
      <w:pPr>
        <w:widowControl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9C49F7" w:rsidTr="006B3766" w14:paraId="19C83402" w14:textId="77777777">
        <w:tc>
          <w:tcPr>
            <w:tcW w:w="1556" w:type="pct"/>
          </w:tcPr>
          <w:p w:rsidRPr="00A6689B" w:rsidR="009C49F7" w:rsidP="006B3766" w:rsidRDefault="009C49F7" w14:paraId="5A5C13FC" w14:textId="77777777">
            <w:pPr>
              <w:spacing w:line="240" w:lineRule="auto"/>
              <w:rPr>
                <w:i/>
              </w:rPr>
            </w:pPr>
            <w:r>
              <w:rPr>
                <w:b/>
                <w:i/>
              </w:rPr>
              <w:t>Yhteydenotot</w:t>
            </w:r>
          </w:p>
        </w:tc>
        <w:tc>
          <w:tcPr>
            <w:tcW w:w="3444" w:type="pct"/>
          </w:tcPr>
          <w:p w:rsidRPr="004F5157" w:rsidR="009C49F7" w:rsidP="006B3766" w:rsidRDefault="009C49F7" w14:paraId="197788CF" w14:textId="77777777">
            <w:pPr>
              <w:spacing w:line="240" w:lineRule="auto"/>
              <w:rPr>
                <w:b/>
                <w:bCs/>
                <w:i/>
              </w:rPr>
            </w:pPr>
            <w:r>
              <w:rPr>
                <w:b/>
                <w:i/>
              </w:rPr>
              <w:t xml:space="preserve">Marie-Laurence </w:t>
            </w:r>
            <w:proofErr w:type="spellStart"/>
            <w:r>
              <w:rPr>
                <w:b/>
                <w:i/>
              </w:rPr>
              <w:t>Drillon</w:t>
            </w:r>
            <w:proofErr w:type="spellEnd"/>
          </w:p>
        </w:tc>
      </w:tr>
      <w:tr w:rsidRPr="00A6689B" w:rsidR="009C49F7" w:rsidTr="006B3766" w14:paraId="0E1CDB4C" w14:textId="77777777">
        <w:tc>
          <w:tcPr>
            <w:tcW w:w="1556" w:type="pct"/>
          </w:tcPr>
          <w:p w:rsidRPr="00A6689B" w:rsidR="009C49F7" w:rsidP="006B3766" w:rsidRDefault="009C49F7" w14:paraId="307FFD28" w14:textId="77777777">
            <w:pPr>
              <w:spacing w:line="240" w:lineRule="auto"/>
              <w:rPr>
                <w:i/>
              </w:rPr>
            </w:pPr>
            <w:r>
              <w:rPr>
                <w:i/>
              </w:rPr>
              <w:t>Puh.</w:t>
            </w:r>
          </w:p>
        </w:tc>
        <w:tc>
          <w:tcPr>
            <w:tcW w:w="3444" w:type="pct"/>
          </w:tcPr>
          <w:p w:rsidRPr="00A6689B" w:rsidR="009C49F7" w:rsidP="006B3766" w:rsidRDefault="009C49F7" w14:paraId="391FA57F" w14:textId="77777777">
            <w:pPr>
              <w:spacing w:line="240" w:lineRule="auto"/>
              <w:rPr>
                <w:i/>
              </w:rPr>
            </w:pPr>
            <w:r>
              <w:rPr>
                <w:i/>
              </w:rPr>
              <w:t>+32 25468320</w:t>
            </w:r>
          </w:p>
        </w:tc>
      </w:tr>
      <w:tr w:rsidRPr="00A6689B" w:rsidR="009C49F7" w:rsidTr="006B3766" w14:paraId="2BB570FE" w14:textId="77777777">
        <w:tc>
          <w:tcPr>
            <w:tcW w:w="1556" w:type="pct"/>
          </w:tcPr>
          <w:p w:rsidRPr="00A6689B" w:rsidR="009C49F7" w:rsidP="006B3766" w:rsidRDefault="009C49F7" w14:paraId="0415A424" w14:textId="77777777">
            <w:pPr>
              <w:spacing w:line="240" w:lineRule="auto"/>
              <w:rPr>
                <w:i/>
              </w:rPr>
            </w:pPr>
            <w:r>
              <w:rPr>
                <w:i/>
              </w:rPr>
              <w:t>Sähköposti</w:t>
            </w:r>
          </w:p>
        </w:tc>
        <w:tc>
          <w:tcPr>
            <w:tcW w:w="3444" w:type="pct"/>
          </w:tcPr>
          <w:p w:rsidRPr="00A6689B" w:rsidR="009C49F7" w:rsidP="006B3766" w:rsidRDefault="009C49F7" w14:paraId="4D46AF07" w14:textId="77777777">
            <w:pPr>
              <w:spacing w:line="240" w:lineRule="auto"/>
              <w:rPr>
                <w:i/>
              </w:rPr>
            </w:pPr>
            <w:hyperlink w:history="1" r:id="rId34">
              <w:r>
                <w:rPr>
                  <w:rStyle w:val="Hyperlink"/>
                  <w:i/>
                </w:rPr>
                <w:t>Marie-Laurence.Drillon@eesc.europa.eu</w:t>
              </w:r>
            </w:hyperlink>
          </w:p>
        </w:tc>
      </w:tr>
    </w:tbl>
    <w:p w:rsidR="00D742A4" w:rsidRDefault="00D742A4" w14:paraId="6193E08C" w14:textId="77777777">
      <w:pPr>
        <w:spacing w:after="160" w:line="259" w:lineRule="auto"/>
        <w:jc w:val="left"/>
        <w:rPr>
          <w:rFonts w:eastAsiaTheme="minorHAnsi"/>
          <w:b/>
          <w:bCs/>
          <w:i/>
          <w:iCs/>
          <w:sz w:val="28"/>
          <w:szCs w:val="28"/>
        </w:rPr>
      </w:pPr>
      <w:r>
        <w:br w:type="page"/>
      </w:r>
    </w:p>
    <w:p w:rsidRPr="00F84488" w:rsidR="009C49F7" w:rsidP="009C49F7" w:rsidRDefault="00FF64D0" w14:paraId="3DF23388" w14:textId="77777777">
      <w:pPr>
        <w:pStyle w:val="ListParagraph"/>
        <w:widowControl w:val="0"/>
        <w:numPr>
          <w:ilvl w:val="0"/>
          <w:numId w:val="13"/>
        </w:numPr>
        <w:tabs>
          <w:tab w:val="center" w:pos="284"/>
        </w:tabs>
        <w:overflowPunct w:val="0"/>
        <w:autoSpaceDE w:val="0"/>
        <w:autoSpaceDN w:val="0"/>
        <w:adjustRightInd w:val="0"/>
        <w:ind w:left="266" w:hanging="266"/>
        <w:textAlignment w:val="baseline"/>
        <w:rPr>
          <w:b/>
          <w:i/>
          <w:iCs/>
          <w:sz w:val="28"/>
          <w:szCs w:val="28"/>
        </w:rPr>
      </w:pPr>
      <w:r>
        <w:rPr>
          <w:b/>
          <w:i/>
          <w:sz w:val="28"/>
        </w:rPr>
        <w:lastRenderedPageBreak/>
        <w:tab/>
      </w:r>
      <w:hyperlink w:history="1" r:id="rId35">
        <w:r w:rsidR="009C49F7">
          <w:rPr>
            <w:rStyle w:val="Hyperlink"/>
            <w:b/>
            <w:i/>
            <w:sz w:val="28"/>
          </w:rPr>
          <w:t>Vähähiiliset ja uusiutuvat polttoaineet</w:t>
        </w:r>
      </w:hyperlink>
    </w:p>
    <w:p w:rsidRPr="00F6194F" w:rsidR="009C49F7" w:rsidP="009C49F7" w:rsidRDefault="009C49F7" w14:paraId="0FAFCFE3" w14:textId="77777777">
      <w:pPr>
        <w:widowControl w:val="0"/>
        <w:tabs>
          <w:tab w:val="center" w:pos="284"/>
        </w:tabs>
        <w:overflowPunct w:val="0"/>
        <w:autoSpaceDE w:val="0"/>
        <w:autoSpaceDN w:val="0"/>
        <w:adjustRightInd w:val="0"/>
        <w:textAlignment w:val="baseline"/>
        <w:rPr>
          <w:b/>
          <w:lang w:val="en-US"/>
        </w:rPr>
      </w:pPr>
    </w:p>
    <w:p w:rsidRPr="00F6194F" w:rsidR="009C49F7" w:rsidP="009C49F7" w:rsidRDefault="009C49F7" w14:paraId="66C6E505" w14:textId="77777777">
      <w:pPr>
        <w:widowControl w:val="0"/>
        <w:tabs>
          <w:tab w:val="left" w:pos="1843"/>
        </w:tabs>
        <w:overflowPunct w:val="0"/>
        <w:autoSpaceDE w:val="0"/>
        <w:autoSpaceDN w:val="0"/>
        <w:adjustRightInd w:val="0"/>
        <w:textAlignment w:val="baseline"/>
        <w:rPr>
          <w:b/>
          <w:bCs/>
        </w:rPr>
      </w:pPr>
      <w:r>
        <w:rPr>
          <w:b/>
        </w:rPr>
        <w:t xml:space="preserve">Esittelijä </w:t>
      </w:r>
      <w:r>
        <w:rPr>
          <w:b/>
        </w:rPr>
        <w:tab/>
      </w:r>
      <w:proofErr w:type="spellStart"/>
      <w:r>
        <w:rPr>
          <w:b/>
        </w:rPr>
        <w:t>Anastasis</w:t>
      </w:r>
      <w:proofErr w:type="spellEnd"/>
      <w:r>
        <w:rPr>
          <w:b/>
        </w:rPr>
        <w:t xml:space="preserve"> </w:t>
      </w:r>
      <w:proofErr w:type="spellStart"/>
      <w:r>
        <w:rPr>
          <w:b/>
        </w:rPr>
        <w:t>Yiapanis</w:t>
      </w:r>
      <w:proofErr w:type="spellEnd"/>
      <w:r>
        <w:rPr>
          <w:b/>
        </w:rPr>
        <w:t xml:space="preserve"> (kansalaisyhteiskunnan organisaatiot – CY)</w:t>
      </w:r>
    </w:p>
    <w:p w:rsidRPr="00F6194F" w:rsidR="009C49F7" w:rsidP="009C49F7" w:rsidRDefault="009C49F7" w14:paraId="774CDB70" w14:textId="77777777">
      <w:pPr>
        <w:widowControl w:val="0"/>
        <w:tabs>
          <w:tab w:val="left" w:pos="1843"/>
        </w:tabs>
        <w:overflowPunct w:val="0"/>
        <w:autoSpaceDE w:val="0"/>
        <w:autoSpaceDN w:val="0"/>
        <w:adjustRightInd w:val="0"/>
        <w:textAlignment w:val="baseline"/>
        <w:rPr>
          <w:b/>
          <w:bCs/>
        </w:rPr>
      </w:pPr>
    </w:p>
    <w:p w:rsidRPr="00F6194F" w:rsidR="009C49F7" w:rsidP="009C49F7" w:rsidRDefault="009C49F7" w14:paraId="5A8B43BC" w14:textId="77777777">
      <w:pPr>
        <w:widowControl w:val="0"/>
        <w:tabs>
          <w:tab w:val="left" w:pos="1843"/>
        </w:tabs>
        <w:overflowPunct w:val="0"/>
        <w:autoSpaceDE w:val="0"/>
        <w:autoSpaceDN w:val="0"/>
        <w:adjustRightInd w:val="0"/>
        <w:textAlignment w:val="baseline"/>
        <w:rPr>
          <w:b/>
          <w:bCs/>
        </w:rPr>
      </w:pPr>
      <w:r>
        <w:rPr>
          <w:b/>
        </w:rPr>
        <w:t>Yhteisesittelijä</w:t>
      </w:r>
      <w:r>
        <w:rPr>
          <w:b/>
        </w:rPr>
        <w:tab/>
        <w:t xml:space="preserve">Franck </w:t>
      </w:r>
      <w:proofErr w:type="spellStart"/>
      <w:r>
        <w:rPr>
          <w:b/>
        </w:rPr>
        <w:t>Uhlig</w:t>
      </w:r>
      <w:proofErr w:type="spellEnd"/>
      <w:r>
        <w:rPr>
          <w:b/>
        </w:rPr>
        <w:t xml:space="preserve"> (kat. 2 – FR)</w:t>
      </w:r>
    </w:p>
    <w:p w:rsidRPr="00F6194F" w:rsidR="009C49F7" w:rsidP="009C49F7" w:rsidRDefault="009C49F7" w14:paraId="2BB25A71" w14:textId="77777777">
      <w:pPr>
        <w:widowControl w:val="0"/>
        <w:tabs>
          <w:tab w:val="left" w:pos="1843"/>
        </w:tabs>
        <w:overflowPunct w:val="0"/>
        <w:autoSpaceDE w:val="0"/>
        <w:autoSpaceDN w:val="0"/>
        <w:adjustRightInd w:val="0"/>
        <w:textAlignment w:val="baseline"/>
        <w:rPr>
          <w:b/>
          <w:bCs/>
        </w:rPr>
      </w:pPr>
      <w:r w:rsidRPr="00262AFB">
        <w:rPr>
          <w:b/>
          <w:bCs/>
          <w:noProof/>
          <w:sz w:val="20"/>
          <w:lang w:eastAsia="en-GB"/>
        </w:rPr>
        <mc:AlternateContent>
          <mc:Choice Requires="wps">
            <w:drawing>
              <wp:anchor distT="0" distB="0" distL="114300" distR="114300" simplePos="0" relativeHeight="251659264" behindDoc="1" locked="0" layoutInCell="0" allowOverlap="1" wp14:editId="73113F87" wp14:anchorId="02B4F46A">
                <wp:simplePos x="0" y="0"/>
                <wp:positionH relativeFrom="page">
                  <wp:posOffset>6769100</wp:posOffset>
                </wp:positionH>
                <wp:positionV relativeFrom="page">
                  <wp:posOffset>10081260</wp:posOffset>
                </wp:positionV>
                <wp:extent cx="647700" cy="396240"/>
                <wp:effectExtent l="0" t="3810" r="3175"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C49F7" w:rsidP="009C49F7" w:rsidRDefault="009C49F7" w14:paraId="70365FA8" w14:textId="77777777">
                            <w:pPr>
                              <w:jc w:val="center"/>
                              <w:rPr>
                                <w:rFonts w:ascii="Arial" w:hAnsi="Arial" w:cs="Arial"/>
                                <w:b/>
                                <w:bCs/>
                                <w:sz w:val="48"/>
                                <w:lang w:val="nl-BE"/>
                              </w:rPr>
                            </w:pPr>
                            <w:r>
                              <w:rPr>
                                <w:rFonts w:ascii="Arial" w:hAnsi="Arial" w:cs="Arial"/>
                                <w:b/>
                                <w:bCs/>
                                <w:sz w:val="48"/>
                                <w:lang w:val="nl-BE"/>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BDTU/9QEAAM4DAAAOAAAAAAAAAAAAAAAAAC4CAABk&#10;cnMvZTJvRG9jLnhtbFBLAQItABQABgAIAAAAIQDrVDFa3gAAAA8BAAAPAAAAAAAAAAAAAAAAAE8E&#10;AABkcnMvZG93bnJldi54bWxQSwUGAAAAAAQABADzAAAAWgUAAAAA&#10;" w14:anchorId="02B4F46A">
                <v:textbox>
                  <w:txbxContent>
                    <w:p w:rsidRPr="00260E65" w:rsidR="009C49F7" w:rsidP="009C49F7" w:rsidRDefault="009C49F7" w14:paraId="70365FA8" w14:textId="77777777">
                      <w:pPr>
                        <w:jc w:val="center"/>
                        <w:rPr>
                          <w:rFonts w:ascii="Arial" w:hAnsi="Arial" w:cs="Arial"/>
                          <w:b/>
                          <w:bCs/>
                          <w:sz w:val="48"/>
                          <w:lang w:val="nl-BE"/>
                        </w:rPr>
                      </w:pPr>
                      <w:r>
                        <w:rPr>
                          <w:rFonts w:ascii="Arial" w:hAnsi="Arial" w:cs="Arial"/>
                          <w:b/>
                          <w:bCs/>
                          <w:sz w:val="48"/>
                          <w:lang w:val="nl-BE"/>
                        </w:rPr>
                        <w:t>FI</w:t>
                      </w:r>
                    </w:p>
                  </w:txbxContent>
                </v:textbox>
                <w10:wrap anchorx="page" anchory="page"/>
              </v:shape>
            </w:pict>
          </mc:Fallback>
        </mc:AlternateContent>
      </w:r>
    </w:p>
    <w:p w:rsidR="009C49F7" w:rsidP="009C49F7" w:rsidRDefault="009C49F7" w14:paraId="74445E0A" w14:textId="77777777">
      <w:pPr>
        <w:widowControl w:val="0"/>
        <w:tabs>
          <w:tab w:val="left" w:pos="1843"/>
        </w:tabs>
        <w:overflowPunct w:val="0"/>
        <w:autoSpaceDE w:val="0"/>
        <w:autoSpaceDN w:val="0"/>
        <w:adjustRightInd w:val="0"/>
        <w:textAlignment w:val="baseline"/>
        <w:rPr>
          <w:b/>
          <w:bCs/>
        </w:rPr>
      </w:pPr>
      <w:r>
        <w:rPr>
          <w:b/>
        </w:rPr>
        <w:t>Viiteasiakirja</w:t>
      </w:r>
      <w:r>
        <w:rPr>
          <w:b/>
        </w:rPr>
        <w:tab/>
      </w:r>
      <w:r>
        <w:t>oma-aloitteinen lausunto</w:t>
      </w:r>
    </w:p>
    <w:p w:rsidRPr="00F6194F" w:rsidR="009C49F7" w:rsidP="009C49F7" w:rsidRDefault="009C49F7" w14:paraId="7DD8A049" w14:textId="77777777">
      <w:pPr>
        <w:widowControl w:val="0"/>
        <w:tabs>
          <w:tab w:val="left" w:pos="1843"/>
        </w:tabs>
        <w:overflowPunct w:val="0"/>
        <w:autoSpaceDE w:val="0"/>
        <w:autoSpaceDN w:val="0"/>
        <w:adjustRightInd w:val="0"/>
        <w:textAlignment w:val="baseline"/>
      </w:pPr>
      <w:r>
        <w:rPr>
          <w:b/>
        </w:rPr>
        <w:tab/>
      </w:r>
      <w:r>
        <w:t>EESC-2024-00735-00-00-AC</w:t>
      </w:r>
    </w:p>
    <w:p w:rsidRPr="00F6194F" w:rsidR="009C49F7" w:rsidP="009C49F7" w:rsidRDefault="009C49F7" w14:paraId="7A8A1E0E" w14:textId="77777777">
      <w:pPr>
        <w:widowControl w:val="0"/>
        <w:tabs>
          <w:tab w:val="left" w:pos="1843"/>
        </w:tabs>
        <w:overflowPunct w:val="0"/>
        <w:autoSpaceDE w:val="0"/>
        <w:autoSpaceDN w:val="0"/>
        <w:adjustRightInd w:val="0"/>
        <w:textAlignment w:val="baseline"/>
        <w:rPr>
          <w:b/>
          <w:lang w:val="en-US"/>
        </w:rPr>
      </w:pPr>
    </w:p>
    <w:p w:rsidRPr="00F6194F" w:rsidR="009C49F7" w:rsidP="009C49F7" w:rsidRDefault="009C49F7" w14:paraId="1FB003F0" w14:textId="77777777">
      <w:pPr>
        <w:keepNext/>
        <w:keepLines/>
        <w:ind w:left="142" w:hanging="142"/>
        <w:rPr>
          <w:b/>
        </w:rPr>
      </w:pPr>
      <w:r>
        <w:rPr>
          <w:b/>
        </w:rPr>
        <w:t>Keskeiset kohdat</w:t>
      </w:r>
    </w:p>
    <w:p w:rsidR="009C49F7" w:rsidP="009C49F7" w:rsidRDefault="009C49F7" w14:paraId="3E93C39D" w14:textId="77777777">
      <w:r>
        <w:t>ETSK</w:t>
      </w:r>
    </w:p>
    <w:p w:rsidRPr="002C1584" w:rsidR="009C49F7" w:rsidP="009C49F7" w:rsidRDefault="009C49F7" w14:paraId="45C42511" w14:textId="77777777">
      <w:pPr>
        <w:pStyle w:val="ListParagraph"/>
        <w:numPr>
          <w:ilvl w:val="0"/>
          <w:numId w:val="14"/>
        </w:numPr>
        <w:spacing w:after="160" w:line="259" w:lineRule="auto"/>
      </w:pPr>
      <w:r>
        <w:t xml:space="preserve">toteaa, ettei kestävien ja vähähiilisten polttoaineiden tuotantohankkeisiin ole tarjolla kannustimia. Komitea katsoo, että kestävien polttoaineiden laajamittaista käyttöönottoa haittaavat erityisesti korkeat tuotantokustannukset ja epävarma saatavuus. </w:t>
      </w:r>
    </w:p>
    <w:p w:rsidR="009C49F7" w:rsidP="009C49F7" w:rsidRDefault="009C49F7" w14:paraId="10CEDE83" w14:textId="77777777">
      <w:pPr>
        <w:pStyle w:val="ListParagraph"/>
        <w:numPr>
          <w:ilvl w:val="0"/>
          <w:numId w:val="14"/>
        </w:numPr>
        <w:spacing w:after="160" w:line="259" w:lineRule="auto"/>
      </w:pPr>
      <w:r>
        <w:t>on sitä mieltä, että jos kestäviä polttoaineita ei tuoteta EU:ssa, EU:n strateginen riippumattomuus kärsii.</w:t>
      </w:r>
    </w:p>
    <w:p w:rsidRPr="00FB5409" w:rsidR="009C49F7" w:rsidP="009C49F7" w:rsidRDefault="009C49F7" w14:paraId="6B3AF931" w14:textId="77777777">
      <w:pPr>
        <w:pStyle w:val="ListParagraph"/>
        <w:numPr>
          <w:ilvl w:val="0"/>
          <w:numId w:val="14"/>
        </w:numPr>
        <w:spacing w:after="160" w:line="259" w:lineRule="auto"/>
      </w:pPr>
      <w:r>
        <w:t xml:space="preserve">muistuttaa, että EU:n yritysten kilpailukyky on pystyttävä turvaamaan ja sitä on voitava parantaa kiivaassa maailmanlaajuisessa kilpailussa, </w:t>
      </w:r>
    </w:p>
    <w:p w:rsidRPr="00FD42EB" w:rsidR="009C49F7" w:rsidP="009C49F7" w:rsidRDefault="009C49F7" w14:paraId="5076B015" w14:textId="77777777">
      <w:pPr>
        <w:pStyle w:val="ListParagraph"/>
        <w:numPr>
          <w:ilvl w:val="0"/>
          <w:numId w:val="14"/>
        </w:numPr>
        <w:spacing w:after="160" w:line="259" w:lineRule="auto"/>
        <w:rPr>
          <w:b/>
          <w:bCs/>
        </w:rPr>
      </w:pPr>
      <w:r>
        <w:t>painottaa kattavan etenemissuunnitelman tarvetta kestävien lentopolttoaineiden käytön lisäämiseksi.</w:t>
      </w:r>
    </w:p>
    <w:p w:rsidR="009C49F7" w:rsidP="009C49F7" w:rsidRDefault="009C49F7" w14:paraId="744DE307" w14:textId="77777777">
      <w:pPr>
        <w:pStyle w:val="ListParagraph"/>
        <w:numPr>
          <w:ilvl w:val="0"/>
          <w:numId w:val="14"/>
        </w:numPr>
        <w:spacing w:after="160" w:line="259" w:lineRule="auto"/>
        <w:rPr>
          <w:b/>
          <w:bCs/>
        </w:rPr>
      </w:pPr>
      <w:r>
        <w:t>pitää merenkulun haasteena tarvittavan tankkausinfrastruktuurin rakentamista satamiin ympäri maailmaa, jotta aluksiin voidaan tankata vaihtoehtoisia polttoaineita.</w:t>
      </w:r>
    </w:p>
    <w:p w:rsidRPr="007A3305" w:rsidR="009C49F7" w:rsidP="009C49F7" w:rsidRDefault="009C49F7" w14:paraId="6B0B75BB" w14:textId="77777777">
      <w:pPr>
        <w:pStyle w:val="ListParagraph"/>
        <w:numPr>
          <w:ilvl w:val="0"/>
          <w:numId w:val="14"/>
        </w:numPr>
        <w:spacing w:after="160" w:line="259" w:lineRule="auto"/>
      </w:pPr>
      <w:r>
        <w:t>nostaa esiin riskin, että raaka-aineresursseista saattaa tulla pulaa eikä kestävien polttoaineiden tuotantoon tarvittavaa vähähiilistä energiaa ole tarjolla tarpeeksi.</w:t>
      </w:r>
    </w:p>
    <w:p w:rsidRPr="00D67493" w:rsidR="009C49F7" w:rsidP="009C49F7" w:rsidRDefault="009C49F7" w14:paraId="31B0803E" w14:textId="77777777">
      <w:pPr>
        <w:pStyle w:val="ListParagraph"/>
        <w:numPr>
          <w:ilvl w:val="0"/>
          <w:numId w:val="14"/>
        </w:numPr>
        <w:spacing w:after="160" w:line="259" w:lineRule="auto"/>
      </w:pPr>
      <w:r>
        <w:t>kehottaa luomaan sääntelyn avulla edellytykset investointien käynnistymiselle sekä tarjoamaan kannustimia siihen, että pienemmän hiilijalanjäljen polttoaineita ryhdyttäisiin tuottamaan viipymättä ja niille luotaisiin markkinat.</w:t>
      </w:r>
    </w:p>
    <w:p w:rsidR="009C49F7" w:rsidP="009C49F7" w:rsidRDefault="009C49F7" w14:paraId="5B34A75C" w14:textId="77777777">
      <w:pPr>
        <w:pStyle w:val="ListParagraph"/>
        <w:numPr>
          <w:ilvl w:val="0"/>
          <w:numId w:val="14"/>
        </w:numPr>
        <w:spacing w:after="160" w:line="259" w:lineRule="auto"/>
      </w:pPr>
      <w:r>
        <w:t>ehdottaa verotuksen mukauttamista kunkin polttoaineen ilmastovaikutusten mukaan.</w:t>
      </w:r>
    </w:p>
    <w:p w:rsidRPr="00FA09D4" w:rsidR="009C49F7" w:rsidP="009C49F7" w:rsidRDefault="009C49F7" w14:paraId="0E05504A" w14:textId="77777777">
      <w:pPr>
        <w:pStyle w:val="ListParagraph"/>
        <w:numPr>
          <w:ilvl w:val="0"/>
          <w:numId w:val="14"/>
        </w:numPr>
        <w:spacing w:after="160" w:line="259" w:lineRule="auto"/>
      </w:pPr>
      <w:r>
        <w:t xml:space="preserve">on pettynyt siihen, että EU:n avustuksissa ja tuissa ei painoteta riittävästi vähähiilisten ja uusiutuvien polttoaineiden tuotantoinfrastruktuurin kehittämistä ilmailu- ja merenkulkualaa varten. </w:t>
      </w:r>
    </w:p>
    <w:p w:rsidRPr="00983342" w:rsidR="009C49F7" w:rsidP="009C49F7" w:rsidRDefault="009C49F7" w14:paraId="7CE5CE84" w14:textId="77777777">
      <w:pPr>
        <w:pStyle w:val="ListParagraph"/>
        <w:numPr>
          <w:ilvl w:val="0"/>
          <w:numId w:val="14"/>
        </w:numPr>
        <w:spacing w:after="160" w:line="259" w:lineRule="auto"/>
      </w:pPr>
      <w:r>
        <w:t>pitää tutkimus- ja kehittämistyötä olennaisen tärkeänä edistyksellisten vähähiilisten teknologioiden kustannusten alentamiseksi.</w:t>
      </w:r>
      <w:r>
        <w:rPr>
          <w:b/>
        </w:rPr>
        <w:t xml:space="preserve"> </w:t>
      </w:r>
    </w:p>
    <w:p w:rsidRPr="00FA6E34" w:rsidR="009C49F7" w:rsidP="009C49F7" w:rsidRDefault="009C49F7" w14:paraId="1730A188" w14:textId="77777777">
      <w:pPr>
        <w:pStyle w:val="ListParagraph"/>
        <w:numPr>
          <w:ilvl w:val="0"/>
          <w:numId w:val="14"/>
        </w:numPr>
        <w:spacing w:after="160" w:line="259" w:lineRule="auto"/>
      </w:pPr>
      <w:r>
        <w:t>kehottaa laatimaan kattavan strategian siitä, miten puhdas siirtymä toteutetaan teollisten arvoketjujen kaikissa vaiheissa. Strategiassa olisi käsiteltävä myös vetyä, biopolttoaineiden mittakaavalaajennusta ja synteettisten polttoaineiden lisäämistä sekä varmistettava nykyisten alakohtaisten kumppanuuksien jatkuminen Horisontti Eurooppa -ohjelman jälkeisessä ohjelmassa.</w:t>
      </w:r>
    </w:p>
    <w:p w:rsidRPr="00B271EE" w:rsidR="009C49F7" w:rsidP="009C49F7" w:rsidRDefault="009C49F7" w14:paraId="3FB19062" w14:textId="77777777">
      <w:pPr>
        <w:pStyle w:val="ListParagraph"/>
        <w:numPr>
          <w:ilvl w:val="0"/>
          <w:numId w:val="14"/>
        </w:numPr>
        <w:spacing w:after="160" w:line="259" w:lineRule="auto"/>
      </w:pPr>
      <w:r>
        <w:t xml:space="preserve">muistuttaa, että osaamisen kehittämisohjelmat sekä ammatillinen koulutus ja tuki työpaikasta toiseen siirtymiseen ovat välttämättömiä, ja painottaa jälleen korkeiden terveys- ja turvallisuusnormien soveltamisen olevan ensisijaisen tärkeää. </w: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8"/>
        <w:gridCol w:w="3321"/>
      </w:tblGrid>
      <w:tr w:rsidRPr="007F6262" w:rsidR="009C49F7" w:rsidTr="006B3766" w14:paraId="61ED60F5" w14:textId="77777777">
        <w:tc>
          <w:tcPr>
            <w:tcW w:w="3998" w:type="pct"/>
          </w:tcPr>
          <w:p w:rsidRPr="007F6262" w:rsidR="009C49F7" w:rsidP="006B3766" w:rsidRDefault="009C49F7" w14:paraId="19FCDF5D" w14:textId="77777777">
            <w:pPr>
              <w:rPr>
                <w:i/>
              </w:rPr>
            </w:pPr>
            <w:r>
              <w:rPr>
                <w:b/>
                <w:i/>
              </w:rPr>
              <w:t>Yhteydenotot</w:t>
            </w:r>
          </w:p>
        </w:tc>
        <w:tc>
          <w:tcPr>
            <w:tcW w:w="1002" w:type="pct"/>
            <w:tcBorders>
              <w:left w:val="nil"/>
            </w:tcBorders>
          </w:tcPr>
          <w:p w:rsidRPr="007F6262" w:rsidR="009C49F7" w:rsidP="006B3766" w:rsidRDefault="009C49F7" w14:paraId="1511AB82" w14:textId="77777777">
            <w:pPr>
              <w:rPr>
                <w:i/>
              </w:rPr>
            </w:pPr>
            <w:r>
              <w:rPr>
                <w:i/>
              </w:rPr>
              <w:t xml:space="preserve">Adam </w:t>
            </w:r>
            <w:proofErr w:type="spellStart"/>
            <w:r>
              <w:rPr>
                <w:i/>
              </w:rPr>
              <w:t>Dorywalski</w:t>
            </w:r>
            <w:proofErr w:type="spellEnd"/>
          </w:p>
        </w:tc>
      </w:tr>
      <w:tr w:rsidRPr="007F6262" w:rsidR="009C49F7" w:rsidTr="006B3766" w14:paraId="6F7CE439" w14:textId="77777777">
        <w:tc>
          <w:tcPr>
            <w:tcW w:w="3998" w:type="pct"/>
          </w:tcPr>
          <w:p w:rsidRPr="007F6262" w:rsidR="009C49F7" w:rsidP="006B3766" w:rsidRDefault="009C49F7" w14:paraId="6AAD82D3" w14:textId="77777777">
            <w:pPr>
              <w:rPr>
                <w:i/>
              </w:rPr>
            </w:pPr>
            <w:r>
              <w:rPr>
                <w:i/>
              </w:rPr>
              <w:t xml:space="preserve">P. </w:t>
            </w:r>
          </w:p>
        </w:tc>
        <w:tc>
          <w:tcPr>
            <w:tcW w:w="1002" w:type="pct"/>
            <w:tcBorders>
              <w:left w:val="nil"/>
            </w:tcBorders>
          </w:tcPr>
          <w:p w:rsidRPr="007F6262" w:rsidR="009C49F7" w:rsidP="006B3766" w:rsidRDefault="009C49F7" w14:paraId="1D80C11B" w14:textId="77777777">
            <w:pPr>
              <w:rPr>
                <w:i/>
              </w:rPr>
            </w:pPr>
            <w:r>
              <w:rPr>
                <w:i/>
              </w:rPr>
              <w:t>+32 25469397</w:t>
            </w:r>
          </w:p>
        </w:tc>
      </w:tr>
      <w:tr w:rsidRPr="007F6262" w:rsidR="009C49F7" w:rsidTr="006B3766" w14:paraId="697AC684" w14:textId="77777777">
        <w:tc>
          <w:tcPr>
            <w:tcW w:w="3998" w:type="pct"/>
          </w:tcPr>
          <w:p w:rsidRPr="007F6262" w:rsidR="009C49F7" w:rsidP="006B3766" w:rsidRDefault="009C49F7" w14:paraId="254C607C" w14:textId="77777777">
            <w:pPr>
              <w:rPr>
                <w:i/>
                <w:iCs/>
              </w:rPr>
            </w:pPr>
            <w:r>
              <w:rPr>
                <w:i/>
              </w:rPr>
              <w:t>Sähköposti</w:t>
            </w:r>
          </w:p>
        </w:tc>
        <w:tc>
          <w:tcPr>
            <w:tcW w:w="1002" w:type="pct"/>
            <w:tcBorders>
              <w:left w:val="nil"/>
            </w:tcBorders>
          </w:tcPr>
          <w:p w:rsidRPr="00EB0FF7" w:rsidR="009C49F7" w:rsidP="006B3766" w:rsidRDefault="009C49F7" w14:paraId="7E1E3F99" w14:textId="77777777">
            <w:pPr>
              <w:rPr>
                <w:i/>
                <w:iCs/>
              </w:rPr>
            </w:pPr>
            <w:r>
              <w:rPr>
                <w:i/>
                <w:color w:val="0000FF"/>
                <w:u w:val="single"/>
              </w:rPr>
              <w:t>Adam.Dorywalski@eesc.europa.eu</w:t>
            </w:r>
          </w:p>
        </w:tc>
      </w:tr>
    </w:tbl>
    <w:p w:rsidR="00747EBB" w:rsidP="009C49F7" w:rsidRDefault="00747EBB" w14:paraId="425E1CA4" w14:textId="261EB290">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bCs/>
          <w:i/>
          <w:iCs/>
          <w:sz w:val="28"/>
          <w:szCs w:val="28"/>
          <w:lang w:val="en-US"/>
        </w:rPr>
      </w:pPr>
    </w:p>
    <w:p w:rsidR="00747EBB" w:rsidRDefault="00747EBB" w14:paraId="01E63EDD" w14:textId="77777777">
      <w:pPr>
        <w:spacing w:after="160" w:line="259" w:lineRule="auto"/>
        <w:jc w:val="left"/>
        <w:rPr>
          <w:rFonts w:eastAsiaTheme="minorHAnsi"/>
          <w:b/>
          <w:bCs/>
          <w:i/>
          <w:iCs/>
          <w:sz w:val="28"/>
          <w:szCs w:val="28"/>
        </w:rPr>
      </w:pPr>
      <w:r>
        <w:br w:type="page"/>
      </w:r>
    </w:p>
    <w:p w:rsidRPr="0003586F" w:rsidR="009C49F7" w:rsidP="009C49F7" w:rsidRDefault="009C49F7" w14:paraId="5828824F" w14:textId="77777777">
      <w:pPr>
        <w:widowControl w:val="0"/>
        <w:numPr>
          <w:ilvl w:val="0"/>
          <w:numId w:val="27"/>
        </w:numPr>
        <w:overflowPunct w:val="0"/>
        <w:autoSpaceDE w:val="0"/>
        <w:autoSpaceDN w:val="0"/>
        <w:adjustRightInd w:val="0"/>
        <w:ind w:hanging="567"/>
        <w:textAlignment w:val="baseline"/>
        <w:rPr>
          <w:sz w:val="20"/>
        </w:rPr>
      </w:pPr>
      <w:hyperlink w:history="1" r:id="rId36">
        <w:r>
          <w:rPr>
            <w:rStyle w:val="Hyperlink"/>
            <w:b/>
            <w:i/>
            <w:sz w:val="28"/>
          </w:rPr>
          <w:t>Kehittyneet materiaalit teollisuuden johtoaseman turvaamiseksi</w:t>
        </w:r>
      </w:hyperlink>
    </w:p>
    <w:p w:rsidRPr="00B952F2" w:rsidR="009C49F7" w:rsidP="009C49F7" w:rsidRDefault="009C49F7" w14:paraId="251BF63B" w14:textId="77777777">
      <w:pPr>
        <w:tabs>
          <w:tab w:val="center" w:pos="284"/>
        </w:tabs>
        <w:spacing w:line="240" w:lineRule="auto"/>
        <w:ind w:left="266" w:hanging="266"/>
        <w:rPr>
          <w:b/>
          <w:sz w:val="16"/>
          <w:szCs w:val="16"/>
        </w:rPr>
      </w:pPr>
    </w:p>
    <w:tbl>
      <w:tblPr>
        <w:tblStyle w:val="TableGrid"/>
        <w:tblW w:w="48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840"/>
      </w:tblGrid>
      <w:tr w:rsidRPr="00B952F2" w:rsidR="009C49F7" w:rsidTr="006B3766" w14:paraId="29337FEE" w14:textId="77777777">
        <w:tc>
          <w:tcPr>
            <w:tcW w:w="1125" w:type="pct"/>
          </w:tcPr>
          <w:p w:rsidRPr="00B952F2" w:rsidR="009C49F7" w:rsidP="006B3766" w:rsidRDefault="009C49F7" w14:paraId="3CC1EDA1" w14:textId="77777777">
            <w:pPr>
              <w:tabs>
                <w:tab w:val="center" w:pos="284"/>
              </w:tabs>
              <w:ind w:left="266" w:hanging="266"/>
              <w:rPr>
                <w:b/>
              </w:rPr>
            </w:pPr>
            <w:r w:rsidRPr="00B952F2">
              <w:rPr>
                <w:b/>
              </w:rPr>
              <w:t>Esittelijä</w:t>
            </w:r>
          </w:p>
        </w:tc>
        <w:tc>
          <w:tcPr>
            <w:tcW w:w="3875" w:type="pct"/>
          </w:tcPr>
          <w:p w:rsidRPr="00B952F2" w:rsidR="009C49F7" w:rsidP="006B3766" w:rsidRDefault="009C49F7" w14:paraId="76C61C2A" w14:textId="77777777">
            <w:pPr>
              <w:tabs>
                <w:tab w:val="center" w:pos="284"/>
              </w:tabs>
              <w:ind w:left="266" w:right="-812" w:hanging="266"/>
            </w:pPr>
            <w:proofErr w:type="spellStart"/>
            <w:r w:rsidRPr="00B952F2">
              <w:rPr>
                <w:b/>
              </w:rPr>
              <w:t>Anastasis</w:t>
            </w:r>
            <w:proofErr w:type="spellEnd"/>
            <w:r w:rsidRPr="00B952F2">
              <w:rPr>
                <w:b/>
              </w:rPr>
              <w:t xml:space="preserve"> </w:t>
            </w:r>
            <w:proofErr w:type="spellStart"/>
            <w:r w:rsidRPr="00B952F2">
              <w:rPr>
                <w:b/>
              </w:rPr>
              <w:t>Yiapanis</w:t>
            </w:r>
            <w:proofErr w:type="spellEnd"/>
            <w:r w:rsidRPr="00B952F2">
              <w:rPr>
                <w:b/>
              </w:rPr>
              <w:t xml:space="preserve"> (kansalaisyhteiskunnan organisaatiot -ryhmä – CY)</w:t>
            </w:r>
          </w:p>
        </w:tc>
      </w:tr>
      <w:tr w:rsidRPr="00B952F2" w:rsidR="009C49F7" w:rsidTr="006B3766" w14:paraId="4C7427D1" w14:textId="77777777">
        <w:tc>
          <w:tcPr>
            <w:tcW w:w="1125" w:type="pct"/>
          </w:tcPr>
          <w:p w:rsidRPr="00B952F2" w:rsidR="009C49F7" w:rsidP="006B3766" w:rsidRDefault="009C49F7" w14:paraId="37BF8CED" w14:textId="77777777">
            <w:pPr>
              <w:tabs>
                <w:tab w:val="center" w:pos="284"/>
              </w:tabs>
              <w:ind w:left="266" w:hanging="266"/>
              <w:rPr>
                <w:b/>
              </w:rPr>
            </w:pPr>
            <w:r w:rsidRPr="00B952F2">
              <w:rPr>
                <w:b/>
              </w:rPr>
              <w:t>Yhteisesittelijä</w:t>
            </w:r>
          </w:p>
        </w:tc>
        <w:tc>
          <w:tcPr>
            <w:tcW w:w="3875" w:type="pct"/>
          </w:tcPr>
          <w:p w:rsidRPr="00B952F2" w:rsidR="009C49F7" w:rsidP="006B3766" w:rsidRDefault="009C49F7" w14:paraId="4A8E342B" w14:textId="77777777">
            <w:pPr>
              <w:tabs>
                <w:tab w:val="center" w:pos="284"/>
              </w:tabs>
              <w:ind w:left="266" w:right="-1383" w:hanging="266"/>
            </w:pPr>
            <w:proofErr w:type="spellStart"/>
            <w:r w:rsidRPr="00B952F2">
              <w:rPr>
                <w:b/>
              </w:rPr>
              <w:t>Gerardo</w:t>
            </w:r>
            <w:proofErr w:type="spellEnd"/>
            <w:r w:rsidRPr="00B952F2">
              <w:rPr>
                <w:b/>
              </w:rPr>
              <w:t xml:space="preserve"> Luis </w:t>
            </w:r>
            <w:proofErr w:type="spellStart"/>
            <w:r w:rsidRPr="00B952F2">
              <w:rPr>
                <w:b/>
              </w:rPr>
              <w:t>Arroyo</w:t>
            </w:r>
            <w:proofErr w:type="spellEnd"/>
            <w:r w:rsidRPr="00B952F2">
              <w:rPr>
                <w:b/>
              </w:rPr>
              <w:t xml:space="preserve"> </w:t>
            </w:r>
            <w:proofErr w:type="spellStart"/>
            <w:r w:rsidRPr="00B952F2">
              <w:rPr>
                <w:b/>
              </w:rPr>
              <w:t>Herranz</w:t>
            </w:r>
            <w:proofErr w:type="spellEnd"/>
            <w:r w:rsidRPr="00B952F2">
              <w:rPr>
                <w:b/>
              </w:rPr>
              <w:t xml:space="preserve"> (kat. 1 – ES)</w:t>
            </w:r>
          </w:p>
        </w:tc>
      </w:tr>
      <w:tr w:rsidRPr="00B952F2" w:rsidR="009C49F7" w:rsidTr="006B3766" w14:paraId="6B13BDAC" w14:textId="77777777">
        <w:tc>
          <w:tcPr>
            <w:tcW w:w="5000" w:type="pct"/>
            <w:gridSpan w:val="2"/>
          </w:tcPr>
          <w:p w:rsidRPr="00B952F2" w:rsidR="009C49F7" w:rsidP="006B3766" w:rsidRDefault="009C49F7" w14:paraId="1F2860BC" w14:textId="77777777">
            <w:pPr>
              <w:tabs>
                <w:tab w:val="center" w:pos="284"/>
              </w:tabs>
              <w:spacing w:line="240" w:lineRule="auto"/>
              <w:ind w:left="266" w:hanging="266"/>
              <w:rPr>
                <w:sz w:val="16"/>
                <w:szCs w:val="16"/>
                <w:lang w:val="en-US"/>
              </w:rPr>
            </w:pPr>
          </w:p>
        </w:tc>
      </w:tr>
      <w:tr w:rsidRPr="00B952F2" w:rsidR="009C49F7" w:rsidTr="006B3766" w14:paraId="0C54AEAB" w14:textId="77777777">
        <w:tc>
          <w:tcPr>
            <w:tcW w:w="1125" w:type="pct"/>
          </w:tcPr>
          <w:p w:rsidRPr="00B952F2" w:rsidR="009C49F7" w:rsidP="006B3766" w:rsidRDefault="009C49F7" w14:paraId="6F606438" w14:textId="77777777">
            <w:pPr>
              <w:tabs>
                <w:tab w:val="center" w:pos="284"/>
              </w:tabs>
              <w:ind w:left="266" w:hanging="266"/>
              <w:rPr>
                <w:b/>
                <w:highlight w:val="yellow"/>
              </w:rPr>
            </w:pPr>
            <w:r w:rsidRPr="00B952F2">
              <w:rPr>
                <w:b/>
              </w:rPr>
              <w:t>Viiteasiakirjat</w:t>
            </w:r>
          </w:p>
        </w:tc>
        <w:tc>
          <w:tcPr>
            <w:tcW w:w="3875" w:type="pct"/>
          </w:tcPr>
          <w:p w:rsidRPr="00B952F2" w:rsidR="009C49F7" w:rsidP="006B3766" w:rsidRDefault="009C49F7" w14:paraId="5FF1B88B" w14:textId="77777777">
            <w:pPr>
              <w:tabs>
                <w:tab w:val="center" w:pos="284"/>
              </w:tabs>
              <w:ind w:left="266" w:hanging="266"/>
              <w:rPr>
                <w:highlight w:val="yellow"/>
              </w:rPr>
            </w:pPr>
            <w:r w:rsidRPr="00B952F2">
              <w:t xml:space="preserve">COM(2024) 98 </w:t>
            </w:r>
            <w:proofErr w:type="spellStart"/>
            <w:r w:rsidRPr="00B952F2">
              <w:t>final</w:t>
            </w:r>
            <w:proofErr w:type="spellEnd"/>
          </w:p>
          <w:p w:rsidRPr="00B952F2" w:rsidR="009C49F7" w:rsidP="006B3766" w:rsidRDefault="009C49F7" w14:paraId="5741A49B" w14:textId="77777777">
            <w:pPr>
              <w:tabs>
                <w:tab w:val="center" w:pos="284"/>
              </w:tabs>
              <w:ind w:left="266" w:hanging="266"/>
              <w:rPr>
                <w:highlight w:val="yellow"/>
              </w:rPr>
            </w:pPr>
            <w:r w:rsidRPr="00B952F2">
              <w:t>CCMI/227 - EESC-2024-01425-00-00-AC</w:t>
            </w:r>
          </w:p>
        </w:tc>
      </w:tr>
    </w:tbl>
    <w:p w:rsidRPr="00B952F2" w:rsidR="009C49F7" w:rsidP="009C49F7" w:rsidRDefault="009C49F7" w14:paraId="27BDA03A" w14:textId="77777777">
      <w:pPr>
        <w:keepNext/>
        <w:keepLines/>
        <w:tabs>
          <w:tab w:val="center" w:pos="284"/>
        </w:tabs>
        <w:spacing w:line="240" w:lineRule="auto"/>
        <w:ind w:left="266" w:hanging="266"/>
        <w:rPr>
          <w:b/>
          <w:sz w:val="16"/>
          <w:szCs w:val="16"/>
        </w:rPr>
      </w:pPr>
    </w:p>
    <w:p w:rsidRPr="00B952F2" w:rsidR="009C49F7" w:rsidP="009C49F7" w:rsidRDefault="009C49F7" w14:paraId="30B89D33" w14:textId="77777777">
      <w:pPr>
        <w:keepNext/>
        <w:keepLines/>
        <w:tabs>
          <w:tab w:val="center" w:pos="284"/>
        </w:tabs>
        <w:spacing w:line="240" w:lineRule="auto"/>
        <w:ind w:left="266" w:hanging="266"/>
        <w:rPr>
          <w:b/>
        </w:rPr>
      </w:pPr>
      <w:r w:rsidRPr="00B952F2">
        <w:rPr>
          <w:b/>
        </w:rPr>
        <w:t>Keskeiset kohdat</w:t>
      </w:r>
    </w:p>
    <w:p w:rsidRPr="00B952F2" w:rsidR="009C49F7" w:rsidP="009C49F7" w:rsidRDefault="009C49F7" w14:paraId="357375FC" w14:textId="77777777">
      <w:pPr>
        <w:keepNext/>
        <w:keepLines/>
        <w:tabs>
          <w:tab w:val="center" w:pos="284"/>
        </w:tabs>
        <w:spacing w:line="240" w:lineRule="auto"/>
        <w:ind w:left="266" w:hanging="266"/>
        <w:rPr>
          <w:b/>
          <w:sz w:val="16"/>
          <w:szCs w:val="16"/>
        </w:rPr>
      </w:pPr>
    </w:p>
    <w:p w:rsidRPr="00B952F2" w:rsidR="009C49F7" w:rsidP="009C49F7" w:rsidRDefault="009C49F7" w14:paraId="298210D3" w14:textId="77777777">
      <w:pPr>
        <w:spacing w:line="240" w:lineRule="auto"/>
        <w:rPr>
          <w:bCs/>
          <w:iCs/>
        </w:rPr>
      </w:pPr>
      <w:r w:rsidRPr="00B952F2">
        <w:t>ETSK</w:t>
      </w:r>
    </w:p>
    <w:p w:rsidRPr="00B952F2" w:rsidR="009C49F7" w:rsidP="009C49F7" w:rsidRDefault="009C49F7" w14:paraId="7DCC450B" w14:textId="77777777">
      <w:pPr>
        <w:pStyle w:val="ListParagraph"/>
        <w:numPr>
          <w:ilvl w:val="0"/>
          <w:numId w:val="27"/>
        </w:numPr>
        <w:spacing w:after="200" w:line="276" w:lineRule="auto"/>
        <w:ind w:left="284" w:hanging="284"/>
        <w:rPr>
          <w:bCs/>
          <w:iCs/>
          <w:spacing w:val="-2"/>
        </w:rPr>
      </w:pPr>
      <w:r w:rsidRPr="00B952F2">
        <w:rPr>
          <w:spacing w:val="-2"/>
        </w:rPr>
        <w:t>katsoo, että Euroopan komission tiedonantoa kehittyneistä materiaaleista ei voida pitää varsinaisena strategiana, koska siinä ei aseteta sen täytäntöönpanoa tukevia määrällisiä tavoitteita, aikataulua eikä keskeisiä tulosindikaattoreita saavutusten mittaamiseksi.</w:t>
      </w:r>
    </w:p>
    <w:p w:rsidRPr="00B952F2" w:rsidR="009C49F7" w:rsidP="009C49F7" w:rsidRDefault="009C49F7" w14:paraId="2081A166" w14:textId="77777777">
      <w:pPr>
        <w:pStyle w:val="ListParagraph"/>
        <w:numPr>
          <w:ilvl w:val="0"/>
          <w:numId w:val="27"/>
        </w:numPr>
        <w:spacing w:after="200" w:line="276" w:lineRule="auto"/>
        <w:ind w:left="284" w:hanging="284"/>
        <w:rPr>
          <w:bCs/>
          <w:iCs/>
          <w:spacing w:val="-2"/>
        </w:rPr>
      </w:pPr>
      <w:r w:rsidRPr="00B952F2">
        <w:rPr>
          <w:spacing w:val="-2"/>
        </w:rPr>
        <w:t>on vakuuttunut siitä, että EU:n on ryhdyttävä vähentämään materiaalien kulutusta ja edistämään kiertotaloutta sekä kestäviin liiketoimintamalleihin ja kulutuskäyttäytymiseen siirtymistä kokonaisvaltaisesti.</w:t>
      </w:r>
    </w:p>
    <w:p w:rsidRPr="00B952F2" w:rsidR="009C49F7" w:rsidP="009C49F7" w:rsidRDefault="009C49F7" w14:paraId="281976D6" w14:textId="77777777">
      <w:pPr>
        <w:pStyle w:val="ListParagraph"/>
        <w:numPr>
          <w:ilvl w:val="0"/>
          <w:numId w:val="27"/>
        </w:numPr>
        <w:spacing w:after="200" w:line="276" w:lineRule="auto"/>
        <w:ind w:left="284" w:hanging="284"/>
        <w:rPr>
          <w:bCs/>
          <w:iCs/>
          <w:spacing w:val="-2"/>
        </w:rPr>
      </w:pPr>
      <w:r w:rsidRPr="00B952F2">
        <w:rPr>
          <w:spacing w:val="-2"/>
        </w:rPr>
        <w:t>toteaa, että kehittyneiden materiaalien alan monitahoisen ekosysteemin rakentamiseksi tarvitaan kattava strategia, merkittävää rahoitusta ja kannustimia, oikeanlaisen osaamisen saatavuutta sekä korkean tason poliittista tukea.</w:t>
      </w:r>
    </w:p>
    <w:p w:rsidRPr="00B952F2" w:rsidR="009C49F7" w:rsidP="009C49F7" w:rsidRDefault="009C49F7" w14:paraId="73F0ACBB" w14:textId="77777777">
      <w:pPr>
        <w:pStyle w:val="ListParagraph"/>
        <w:numPr>
          <w:ilvl w:val="0"/>
          <w:numId w:val="27"/>
        </w:numPr>
        <w:spacing w:after="200" w:line="276" w:lineRule="auto"/>
        <w:ind w:left="284" w:hanging="284"/>
        <w:rPr>
          <w:bCs/>
          <w:iCs/>
          <w:spacing w:val="-2"/>
        </w:rPr>
      </w:pPr>
      <w:r w:rsidRPr="00B952F2">
        <w:rPr>
          <w:spacing w:val="-2"/>
        </w:rPr>
        <w:t>suhtautuu myönteisesti kehittyneitä materiaaleja koskevaan EU:n ja Japanin vahvistettuun vuoropuheluun ja katsoo, että tällaisia aloitteita tulisi toteuttaa myös muiden johtavien maiden kanssa.</w:t>
      </w:r>
    </w:p>
    <w:p w:rsidRPr="00B952F2" w:rsidR="009C49F7" w:rsidP="009C49F7" w:rsidRDefault="009C49F7" w14:paraId="731F7C97" w14:textId="77777777">
      <w:pPr>
        <w:pStyle w:val="ListParagraph"/>
        <w:numPr>
          <w:ilvl w:val="0"/>
          <w:numId w:val="27"/>
        </w:numPr>
        <w:spacing w:after="200" w:line="276" w:lineRule="auto"/>
        <w:ind w:left="284" w:hanging="284"/>
        <w:rPr>
          <w:bCs/>
          <w:iCs/>
          <w:spacing w:val="-2"/>
        </w:rPr>
      </w:pPr>
      <w:r w:rsidRPr="00B952F2">
        <w:rPr>
          <w:spacing w:val="-2"/>
        </w:rPr>
        <w:t xml:space="preserve">pitää keskeisenä, että tutkimus-, kehitys- ja innovointitoiminnassa (TKI) edistetään kilpailukykyä </w:t>
      </w:r>
      <w:proofErr w:type="spellStart"/>
      <w:r w:rsidRPr="00B952F2">
        <w:rPr>
          <w:spacing w:val="-2"/>
        </w:rPr>
        <w:t>osallistamalla</w:t>
      </w:r>
      <w:proofErr w:type="spellEnd"/>
      <w:r w:rsidRPr="00B952F2">
        <w:rPr>
          <w:spacing w:val="-2"/>
        </w:rPr>
        <w:t xml:space="preserve"> siihen teollisuuden toimijat, viranomaiset, työmarkkinaosapuolet ja tiedemaailma sekä perustamalla </w:t>
      </w:r>
      <w:proofErr w:type="spellStart"/>
      <w:r w:rsidRPr="00B952F2">
        <w:rPr>
          <w:spacing w:val="-2"/>
        </w:rPr>
        <w:t>rajatylittävien</w:t>
      </w:r>
      <w:proofErr w:type="spellEnd"/>
      <w:r w:rsidRPr="00B952F2">
        <w:rPr>
          <w:spacing w:val="-2"/>
        </w:rPr>
        <w:t xml:space="preserve"> tutkimusinfrastruktuurien verkosto.</w:t>
      </w:r>
    </w:p>
    <w:p w:rsidRPr="00B952F2" w:rsidR="009C49F7" w:rsidP="009C49F7" w:rsidRDefault="009C49F7" w14:paraId="19FB9409" w14:textId="77777777">
      <w:pPr>
        <w:pStyle w:val="ListParagraph"/>
        <w:numPr>
          <w:ilvl w:val="0"/>
          <w:numId w:val="27"/>
        </w:numPr>
        <w:spacing w:after="200" w:line="276" w:lineRule="auto"/>
        <w:ind w:left="284" w:hanging="284"/>
        <w:rPr>
          <w:bCs/>
          <w:iCs/>
          <w:spacing w:val="-2"/>
        </w:rPr>
      </w:pPr>
      <w:r w:rsidRPr="00B952F2">
        <w:rPr>
          <w:spacing w:val="-2"/>
        </w:rPr>
        <w:t>ehdottaa, että ensi vaiheen strategisten alojen joukkoon lisätään terveydenhuolto, sillä se on yksi Euroopan suurimmista toimialoista ja terveydenhuoltoon liittyvillä kehittyneillä materiaaleilla on usein yhtymäkohtia esimerkiksi elektroniikka- ja energia-aloihin.</w:t>
      </w:r>
    </w:p>
    <w:p w:rsidRPr="00B952F2" w:rsidR="009C49F7" w:rsidP="009C49F7" w:rsidRDefault="009C49F7" w14:paraId="636AD564" w14:textId="77777777">
      <w:pPr>
        <w:pStyle w:val="ListParagraph"/>
        <w:numPr>
          <w:ilvl w:val="0"/>
          <w:numId w:val="27"/>
        </w:numPr>
        <w:spacing w:after="200" w:line="276" w:lineRule="auto"/>
        <w:ind w:left="284" w:hanging="284"/>
        <w:rPr>
          <w:bCs/>
          <w:iCs/>
          <w:spacing w:val="-2"/>
        </w:rPr>
      </w:pPr>
      <w:r w:rsidRPr="00B952F2">
        <w:rPr>
          <w:spacing w:val="-2"/>
        </w:rPr>
        <w:t xml:space="preserve">korostaa, että materiaalien kehittämisprosesseissa on tärkeää hyödyntää digitaaliteknologiaa ja </w:t>
      </w:r>
      <w:r w:rsidRPr="00B952F2">
        <w:rPr>
          <w:spacing w:val="-2"/>
        </w:rPr>
        <w:noBreakHyphen/>
        <w:t>innovaatioita.</w:t>
      </w:r>
    </w:p>
    <w:p w:rsidRPr="00B952F2" w:rsidR="009C49F7" w:rsidP="009C49F7" w:rsidRDefault="009C49F7" w14:paraId="1489390B" w14:textId="77777777">
      <w:pPr>
        <w:pStyle w:val="ListParagraph"/>
        <w:numPr>
          <w:ilvl w:val="0"/>
          <w:numId w:val="27"/>
        </w:numPr>
        <w:spacing w:after="200" w:line="276" w:lineRule="auto"/>
        <w:ind w:left="284" w:hanging="284"/>
        <w:rPr>
          <w:bCs/>
          <w:iCs/>
          <w:spacing w:val="-2"/>
        </w:rPr>
      </w:pPr>
      <w:r w:rsidRPr="00B952F2">
        <w:rPr>
          <w:spacing w:val="-2"/>
        </w:rPr>
        <w:t xml:space="preserve">kannattaa tietovaatimukset ja yksityiskohdat tuotannosta kierrätykseen asti sisältävien digitaalisten tuotepassien käyttöönottoa, mutta varoittaa aiheuttamasta yrityksille tai kuluttajille lisäbyrokratiaa tai -kustannuksia. </w:t>
      </w:r>
    </w:p>
    <w:p w:rsidRPr="00B952F2" w:rsidR="009C49F7" w:rsidP="009C49F7" w:rsidRDefault="009C49F7" w14:paraId="6F5E1B0F" w14:textId="77777777">
      <w:pPr>
        <w:pStyle w:val="ListParagraph"/>
        <w:numPr>
          <w:ilvl w:val="0"/>
          <w:numId w:val="27"/>
        </w:numPr>
        <w:spacing w:line="276" w:lineRule="auto"/>
        <w:ind w:left="284" w:hanging="284"/>
        <w:rPr>
          <w:bCs/>
          <w:iCs/>
          <w:spacing w:val="-2"/>
        </w:rPr>
      </w:pPr>
      <w:r w:rsidRPr="00B952F2">
        <w:rPr>
          <w:spacing w:val="-2"/>
        </w:rPr>
        <w:t>pitää tarpeellisena vahvistaa eurooppalaista tuotantoa, tukea tuotteiden kaupallistamista, sujuvoittaa markkinoille pääsyä ja parantaa markkinavalvontaa tällä alalla.</w:t>
      </w:r>
    </w:p>
    <w:p w:rsidRPr="00B952F2" w:rsidR="009C49F7" w:rsidP="009C49F7" w:rsidRDefault="009C49F7" w14:paraId="0840F3E8" w14:textId="77777777">
      <w:pPr>
        <w:widowControl w:val="0"/>
        <w:spacing w:line="240" w:lineRule="auto"/>
        <w:ind w:left="709"/>
        <w:rPr>
          <w:rFonts w:asciiTheme="minorHAnsi" w:hAnsiTheme="minorHAnsi"/>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tblGrid>
      <w:tr w:rsidRPr="00B952F2" w:rsidR="009C49F7" w:rsidTr="006B3766" w14:paraId="42276DC5" w14:textId="77777777">
        <w:tc>
          <w:tcPr>
            <w:tcW w:w="3998" w:type="pct"/>
          </w:tcPr>
          <w:p w:rsidRPr="00B952F2" w:rsidR="009C49F7" w:rsidP="006B3766" w:rsidRDefault="009C49F7" w14:paraId="3ED9BCA9" w14:textId="77777777">
            <w:pPr>
              <w:spacing w:line="276" w:lineRule="auto"/>
              <w:rPr>
                <w:i/>
              </w:rPr>
            </w:pPr>
            <w:r w:rsidRPr="00B952F2">
              <w:rPr>
                <w:b/>
                <w:i/>
              </w:rPr>
              <w:t>Yhteydenotot: Heli Niemelä-</w:t>
            </w:r>
            <w:proofErr w:type="spellStart"/>
            <w:r w:rsidRPr="00B952F2">
              <w:rPr>
                <w:b/>
                <w:i/>
              </w:rPr>
              <w:t>Farrer</w:t>
            </w:r>
            <w:proofErr w:type="spellEnd"/>
          </w:p>
        </w:tc>
      </w:tr>
      <w:tr w:rsidRPr="00B952F2" w:rsidR="009C49F7" w:rsidTr="006B3766" w14:paraId="2302BFB7" w14:textId="77777777">
        <w:tc>
          <w:tcPr>
            <w:tcW w:w="3998" w:type="pct"/>
          </w:tcPr>
          <w:p w:rsidRPr="00B952F2" w:rsidR="009C49F7" w:rsidP="006B3766" w:rsidRDefault="009C49F7" w14:paraId="7DAAF841" w14:textId="77777777">
            <w:pPr>
              <w:spacing w:line="276" w:lineRule="auto"/>
              <w:rPr>
                <w:i/>
              </w:rPr>
            </w:pPr>
            <w:r w:rsidRPr="00B952F2">
              <w:rPr>
                <w:i/>
              </w:rPr>
              <w:t>P. +32 22822464</w:t>
            </w:r>
          </w:p>
        </w:tc>
      </w:tr>
      <w:tr w:rsidRPr="00B952F2" w:rsidR="009C49F7" w:rsidTr="006B3766" w14:paraId="73B4B539" w14:textId="77777777">
        <w:tc>
          <w:tcPr>
            <w:tcW w:w="3998" w:type="pct"/>
          </w:tcPr>
          <w:p w:rsidRPr="00B952F2" w:rsidR="009C49F7" w:rsidP="006B3766" w:rsidRDefault="009C49F7" w14:paraId="3B818AC0" w14:textId="77777777">
            <w:pPr>
              <w:tabs>
                <w:tab w:val="left" w:pos="5160"/>
              </w:tabs>
              <w:spacing w:line="276" w:lineRule="auto"/>
              <w:rPr>
                <w:i/>
                <w:iCs/>
              </w:rPr>
            </w:pPr>
            <w:r w:rsidRPr="00B952F2">
              <w:rPr>
                <w:i/>
                <w:iCs/>
              </w:rPr>
              <w:t>Sähköposti</w:t>
            </w:r>
            <w:r w:rsidRPr="00B952F2">
              <w:t xml:space="preserve"> </w:t>
            </w:r>
            <w:hyperlink w:history="1" r:id="rId37">
              <w:r w:rsidRPr="00B952F2">
                <w:rPr>
                  <w:rStyle w:val="Hyperlink"/>
                  <w:i/>
                </w:rPr>
                <w:t>Heli.Niemela-Farrer@eesc.europa.eu</w:t>
              </w:r>
            </w:hyperlink>
          </w:p>
        </w:tc>
      </w:tr>
    </w:tbl>
    <w:p w:rsidR="004351D4" w:rsidP="00AA63E5" w:rsidRDefault="004351D4" w14:paraId="0AE04AB9" w14:textId="26110CD9">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DC26B9">
      <w:headerReference w:type="even" r:id="rId38"/>
      <w:headerReference w:type="default" r:id="rId39"/>
      <w:footerReference w:type="even" r:id="rId40"/>
      <w:footerReference w:type="default" r:id="rId41"/>
      <w:headerReference w:type="first" r:id="rId42"/>
      <w:footerReference w:type="first" r:id="rId43"/>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7E40461" w:rsidR="00765C4F" w:rsidRPr="00DC26B9" w:rsidRDefault="00DC26B9" w:rsidP="00DC26B9">
    <w:pPr>
      <w:pStyle w:val="Footer"/>
    </w:pPr>
    <w:r>
      <w:t>EESC-2024-02113-00-0</w:t>
    </w:r>
    <w:r w:rsidR="0006666B">
      <w:t>1</w:t>
    </w:r>
    <w:r>
      <w:t xml:space="preserve">-TCD-TRA (EN) </w:t>
    </w:r>
    <w:r>
      <w:fldChar w:fldCharType="begin"/>
    </w:r>
    <w:r>
      <w:instrText xml:space="preserve"> PAGE  \* Arabic  \* MERGEFORMAT </w:instrText>
    </w:r>
    <w:r>
      <w:fldChar w:fldCharType="separate"/>
    </w:r>
    <w:r w:rsidR="004C40FF">
      <w:t>1</w:t>
    </w:r>
    <w:r>
      <w:fldChar w:fldCharType="end"/>
    </w:r>
    <w:r>
      <w:t>/</w:t>
    </w:r>
    <w:r w:rsidR="00B63407">
      <w:fldChar w:fldCharType="begin"/>
    </w:r>
    <w:r w:rsidR="00B63407">
      <w:instrText xml:space="preserve"> NUMPAGES </w:instrText>
    </w:r>
    <w:r w:rsidR="00B63407">
      <w:fldChar w:fldCharType="separate"/>
    </w:r>
    <w:r w:rsidR="004C40FF">
      <w:t>1</w:t>
    </w:r>
    <w:r w:rsidR="00B634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C26B9" w:rsidRDefault="00E4258F" w:rsidP="00DC2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9B229D4" w:rsidR="00E4258F" w:rsidRPr="00DC26B9" w:rsidRDefault="00DC26B9" w:rsidP="00DC26B9">
    <w:pPr>
      <w:pStyle w:val="Footer"/>
    </w:pPr>
    <w:r>
      <w:t>EESC-2024-02113-00-0</w:t>
    </w:r>
    <w:r w:rsidR="0006666B">
      <w:t>1</w:t>
    </w:r>
    <w:r>
      <w:t xml:space="preserve">-TCD-TRA (EN) </w:t>
    </w:r>
    <w:r>
      <w:fldChar w:fldCharType="begin"/>
    </w:r>
    <w:r>
      <w:instrText xml:space="preserve"> PAGE  \* Arabic  \* MERGEFORMAT </w:instrText>
    </w:r>
    <w:r>
      <w:fldChar w:fldCharType="separate"/>
    </w:r>
    <w:r>
      <w:t>2</w:t>
    </w:r>
    <w:r>
      <w:fldChar w:fldCharType="end"/>
    </w:r>
    <w:r>
      <w:t>/</w:t>
    </w:r>
    <w:r w:rsidR="00B63407">
      <w:fldChar w:fldCharType="begin"/>
    </w:r>
    <w:r w:rsidR="00B63407">
      <w:instrText xml:space="preserve"> NUMPAGES </w:instrText>
    </w:r>
    <w:r w:rsidR="00B63407">
      <w:fldChar w:fldCharType="separate"/>
    </w:r>
    <w:r>
      <w:t>16</w:t>
    </w:r>
    <w:r w:rsidR="00B63407">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C26B9" w:rsidRDefault="00E4258F" w:rsidP="00DC2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C26B9" w:rsidRDefault="00E4258F" w:rsidP="00DC2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FFB5680" w:rsidR="00E4258F" w:rsidRPr="00DC26B9" w:rsidRDefault="00E4258F" w:rsidP="00DC2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C26B9" w:rsidRDefault="00E4258F" w:rsidP="00DC2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0374C"/>
    <w:multiLevelType w:val="singleLevel"/>
    <w:tmpl w:val="B1E65BE0"/>
    <w:lvl w:ilvl="0">
      <w:numFmt w:val="decimal"/>
      <w:lvlText w:val="*"/>
      <w:lvlJc w:val="left"/>
    </w:lvl>
  </w:abstractNum>
  <w:abstractNum w:abstractNumId="25"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8"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7"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30"/>
  </w:num>
  <w:num w:numId="4">
    <w:abstractNumId w:val="18"/>
  </w:num>
  <w:num w:numId="5">
    <w:abstractNumId w:val="17"/>
  </w:num>
  <w:num w:numId="6">
    <w:abstractNumId w:val="9"/>
  </w:num>
  <w:num w:numId="7">
    <w:abstractNumId w:val="48"/>
  </w:num>
  <w:num w:numId="8">
    <w:abstractNumId w:val="46"/>
  </w:num>
  <w:num w:numId="9">
    <w:abstractNumId w:val="3"/>
  </w:num>
  <w:num w:numId="10">
    <w:abstractNumId w:val="29"/>
  </w:num>
  <w:num w:numId="11">
    <w:abstractNumId w:val="47"/>
  </w:num>
  <w:num w:numId="12">
    <w:abstractNumId w:val="16"/>
  </w:num>
  <w:num w:numId="13">
    <w:abstractNumId w:val="38"/>
  </w:num>
  <w:num w:numId="14">
    <w:abstractNumId w:val="5"/>
  </w:num>
  <w:num w:numId="15">
    <w:abstractNumId w:val="32"/>
  </w:num>
  <w:num w:numId="16">
    <w:abstractNumId w:val="23"/>
  </w:num>
  <w:num w:numId="17">
    <w:abstractNumId w:val="15"/>
  </w:num>
  <w:num w:numId="18">
    <w:abstractNumId w:val="7"/>
  </w:num>
  <w:num w:numId="19">
    <w:abstractNumId w:val="19"/>
  </w:num>
  <w:num w:numId="20">
    <w:abstractNumId w:val="2"/>
  </w:num>
  <w:num w:numId="21">
    <w:abstractNumId w:val="45"/>
  </w:num>
  <w:num w:numId="22">
    <w:abstractNumId w:val="40"/>
  </w:num>
  <w:num w:numId="23">
    <w:abstractNumId w:val="1"/>
  </w:num>
  <w:num w:numId="24">
    <w:abstractNumId w:val="11"/>
  </w:num>
  <w:num w:numId="25">
    <w:abstractNumId w:val="28"/>
  </w:num>
  <w:num w:numId="26">
    <w:abstractNumId w:val="44"/>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9"/>
  </w:num>
  <w:num w:numId="29">
    <w:abstractNumId w:val="42"/>
  </w:num>
  <w:num w:numId="30">
    <w:abstractNumId w:val="26"/>
  </w:num>
  <w:num w:numId="31">
    <w:abstractNumId w:val="27"/>
  </w:num>
  <w:num w:numId="32">
    <w:abstractNumId w:val="10"/>
  </w:num>
  <w:num w:numId="33">
    <w:abstractNumId w:val="4"/>
  </w:num>
  <w:num w:numId="34">
    <w:abstractNumId w:val="22"/>
  </w:num>
  <w:num w:numId="35">
    <w:abstractNumId w:val="36"/>
  </w:num>
  <w:num w:numId="36">
    <w:abstractNumId w:val="41"/>
  </w:num>
  <w:num w:numId="37">
    <w:abstractNumId w:val="8"/>
  </w:num>
  <w:num w:numId="38">
    <w:abstractNumId w:val="34"/>
  </w:num>
  <w:num w:numId="39">
    <w:abstractNumId w:val="12"/>
  </w:num>
  <w:num w:numId="40">
    <w:abstractNumId w:val="43"/>
  </w:num>
  <w:num w:numId="41">
    <w:abstractNumId w:val="37"/>
  </w:num>
  <w:num w:numId="42">
    <w:abstractNumId w:val="33"/>
  </w:num>
  <w:num w:numId="43">
    <w:abstractNumId w:val="14"/>
  </w:num>
  <w:num w:numId="44">
    <w:abstractNumId w:val="20"/>
  </w:num>
  <w:num w:numId="45">
    <w:abstractNumId w:val="6"/>
  </w:num>
  <w:num w:numId="46">
    <w:abstractNumId w:val="13"/>
  </w:num>
  <w:num w:numId="47">
    <w:abstractNumId w:val="25"/>
  </w:num>
  <w:num w:numId="48">
    <w:abstractNumId w:val="31"/>
  </w:num>
  <w:num w:numId="49">
    <w:abstractNumId w:val="35"/>
  </w:num>
  <w:num w:numId="5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66B"/>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0D"/>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0FF"/>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42F8"/>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364"/>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524"/>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6DB"/>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49F7"/>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AF6F5C"/>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3407"/>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fi/our-work/opinions-information-reports/opinions/taxation-framework-social-economy-entities" TargetMode="External"/><Relationship Id="rId26" Type="http://schemas.openxmlformats.org/officeDocument/2006/relationships/hyperlink" Target="https://www.eesc.europa.eu/fi/our-work/opinions-information-reports/opinions/general-fisheries-commission-mediterranean" TargetMode="External"/><Relationship Id="rId39" Type="http://schemas.openxmlformats.org/officeDocument/2006/relationships/header" Target="header2.xml"/><Relationship Id="rId21" Type="http://schemas.openxmlformats.org/officeDocument/2006/relationships/hyperlink" Target="mailto:Gemma.Amran@eesc.europa.eu" TargetMode="External"/><Relationship Id="rId34" Type="http://schemas.openxmlformats.org/officeDocument/2006/relationships/hyperlink" Target="mailto:Marie-Laurence.Drillon@eesc.europa.eu" TargetMode="External"/><Relationship Id="rId42" Type="http://schemas.openxmlformats.org/officeDocument/2006/relationships/header" Target="header3.xml"/><Relationship Id="rId47"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hyperlink" Target="https://www.eesc.europa.eu/en/our-work/opinions-information-reports/opinions/no-one-should-be-left-behind-inclusive-and-participatory-cohesion-policy-support-social-economic-and-territorial" TargetMode="External"/><Relationship Id="rId29" Type="http://schemas.openxmlformats.org/officeDocument/2006/relationships/hyperlink" Target="https://www.eesc.europa.eu/fi/our-work/opinions-information-reports/opinions/screening-foreign-investments-un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brina.Borg@eesc.europa.eu" TargetMode="External"/><Relationship Id="rId32" Type="http://schemas.openxmlformats.org/officeDocument/2006/relationships/hyperlink" Target="mailto:Aleksandra.SarmanGrilc@eesc.europa.eu" TargetMode="External"/><Relationship Id="rId37" Type="http://schemas.openxmlformats.org/officeDocument/2006/relationships/hyperlink" Target="mailto:Heli.Niemela-Farrer@eesc.europa.eu"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esc.europa.eu/fi/our-work/opinions-information-reports/opinions/no-one-should-be-left-behind-inclusive-and-participatory-cohesion-policy-support-social-economic-and-territorial" TargetMode="External"/><Relationship Id="rId23" Type="http://schemas.openxmlformats.org/officeDocument/2006/relationships/hyperlink" Target="mailto:Valeria.Atzori@eesc.europa.eu" TargetMode="External"/><Relationship Id="rId28" Type="http://schemas.openxmlformats.org/officeDocument/2006/relationships/hyperlink" Target="mailto:Martine.Delanoy@eesc.europa.eu" TargetMode="External"/><Relationship Id="rId36" Type="http://schemas.openxmlformats.org/officeDocument/2006/relationships/hyperlink" Target="https://www.eesc.europa.eu/fi/our-work/opinions-information-reports/opinions/advanced-materials-industrial-leadership-coordinated-plan-member-states" TargetMode="External"/><Relationship Id="rId49"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yperlink" Target="mailto:Juri.Soosaar@eesc.europa.eu" TargetMode="External"/><Relationship Id="rId31" Type="http://schemas.openxmlformats.org/officeDocument/2006/relationships/hyperlink" Target="https://www.eesc.europa.eu/fi/our-work/opinions-information-reports/opinions/energy-digitalisation-balancing-opportunities-and-risks-european-consumers" TargetMode="External"/><Relationship Id="rId44"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fi/our-work/opinions-information-reports/opinions/caregivers" TargetMode="External"/><Relationship Id="rId27" Type="http://schemas.openxmlformats.org/officeDocument/2006/relationships/hyperlink" Target="mailto:Martine.Delanoy@eesc.europa.eu" TargetMode="External"/><Relationship Id="rId30" Type="http://schemas.openxmlformats.org/officeDocument/2006/relationships/hyperlink" Target="mailto:Marco.Ristori@eesc.europa.eu" TargetMode="External"/><Relationship Id="rId35" Type="http://schemas.openxmlformats.org/officeDocument/2006/relationships/hyperlink" Target="https://www.eesc.europa.eu/fi/our-work/opinions-information-reports/opinions/low-carbon-and-renewable-fuels-building-capacity-european-industry-decarbonise-aviation-and-maritime-sectors-spirit" TargetMode="External"/><Relationship Id="rId43" Type="http://schemas.openxmlformats.org/officeDocument/2006/relationships/footer" Target="footer4.xml"/><Relationship Id="rId48" Type="http://schemas.openxmlformats.org/officeDocument/2006/relationships/customXml" Target="../customXml/item3.xml"/><Relationship Id="rId8" Type="http://schemas.openxmlformats.org/officeDocument/2006/relationships/webSettings" Target="webSettings.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mailto:Georgios.Meleas@eesc.europa.eu" TargetMode="External"/><Relationship Id="rId25" Type="http://schemas.openxmlformats.org/officeDocument/2006/relationships/hyperlink" Target="mailto:Marco.Manfroni@eesc.europa.eu" TargetMode="External"/><Relationship Id="rId33" Type="http://schemas.openxmlformats.org/officeDocument/2006/relationships/hyperlink" Target="https://www.eesc.europa.eu/fi/our-work/opinions-information-reports/opinions/eu-biotech-and-biomanufacturing-initiative" TargetMode="External"/><Relationship Id="rId38" Type="http://schemas.openxmlformats.org/officeDocument/2006/relationships/header" Target="header1.xml"/><Relationship Id="rId46" Type="http://schemas.openxmlformats.org/officeDocument/2006/relationships/customXml" Target="../customXml/item1.xml"/><Relationship Id="rId20" Type="http://schemas.openxmlformats.org/officeDocument/2006/relationships/hyperlink" Target="mailto:Sabrina.Borg@eesc.europa.eu"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F7M6YNZUATRX-789077548-3247</_dlc_DocId>
    <_dlc_DocIdUrl xmlns="59ace41b-6786-4ce3-be71-52c27066c6ef">
      <Url>http://dm/eesc/2024/_layouts/15/DocIdRedir.aspx?ID=F7M6YNZUATRX-789077548-3247</Url>
      <Description>F7M6YNZUATRX-789077548-3247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Paakkulainen Anna</DisplayName>
        <AccountId>1541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6EE02-3623-4EDC-A877-515C00F2AB08}"/>
</file>

<file path=customXml/itemProps2.xml><?xml version="1.0" encoding="utf-8"?>
<ds:datastoreItem xmlns:ds="http://schemas.openxmlformats.org/officeDocument/2006/customXml" ds:itemID="{12A04450-C191-4CB3-ACC7-A5A2BDD8B728}"/>
</file>

<file path=customXml/itemProps3.xml><?xml version="1.0" encoding="utf-8"?>
<ds:datastoreItem xmlns:ds="http://schemas.openxmlformats.org/officeDocument/2006/customXml" ds:itemID="{C215AE09-0299-464E-8420-93B1B590CAE0}"/>
</file>

<file path=customXml/itemProps4.xml><?xml version="1.0" encoding="utf-8"?>
<ds:datastoreItem xmlns:ds="http://schemas.openxmlformats.org/officeDocument/2006/customXml" ds:itemID="{323C5F55-7A6D-4A34-8F1A-CCD6B80A10EA}"/>
</file>

<file path=docProps/app.xml><?xml version="1.0" encoding="utf-8"?>
<Properties xmlns="http://schemas.openxmlformats.org/officeDocument/2006/extended-properties" xmlns:vt="http://schemas.openxmlformats.org/officeDocument/2006/docPropsVTypes">
  <Template>Normal.dotm</Template>
  <TotalTime>0</TotalTime>
  <Pages>16</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Yhteenveto hyväksytyistä lausunnoista - 589. täysistunto - heinäkuu 2024</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Paakkulainen Anna</cp:lastModifiedBy>
  <cp:revision>5</cp:revision>
  <cp:lastPrinted>2023-06-15T08:00:00Z</cp:lastPrinted>
  <dcterms:created xsi:type="dcterms:W3CDTF">2024-07-19T11:56:00Z</dcterms:created>
  <dcterms:modified xsi:type="dcterms:W3CDTF">2024-07-19T13:56:00Z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17/07/2024, 09/04/2024, 27/03/2024, 03/01/2024, 13/11/2023, 25/09/2023, 25/07/2023, 30/06/2023, 23/06/2023, 26/05/2023, 07/03/2023, 11/01/2023, 10/01/2023, 29/03/2022, 04/03/2022, 15/12/2021, 13/09/2021, 03/09/2021, 28/06/2021</vt:lpwstr>
  </property>
  <property fmtid="{D5CDD505-2E9C-101B-9397-08002B2CF9AE}" pid="4" name="Pref_Time">
    <vt:lpwstr>10:55:58,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eesc-2024-02113-00-00-tcd-ori.docx,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0x010100EA97B91038054C99906057A708A1480A00C9C698F2971CE54890F427AFE3EB568F</vt:lpwstr>
  </property>
  <property fmtid="{D5CDD505-2E9C-101B-9397-08002B2CF9AE}" pid="8" name="_dlc_DocIdItemGuid">
    <vt:lpwstr>b7b6c03c-156e-4df9-9e78-016f0581abd5</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SV|c2ed69e7-a339-43d7-8f22-d93680a92aa0;BG|1a1b3951-7821-4e6a-85f5-5673fc08bd2c;PT|50ccc04a-eadd-42ae-a0cb-acaf45f812ba;ES|e7a6b05b-ae16-40c8-add9-68b64b03aeba;EN|f2175f21-25d7-44a3-96da-d6a61b075e1b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22;#BG|1a1b3951-7821-4e6a-85f5-5673fc08bd2c;#13;#TCD|cd9d6eb6-3f4f-424a-b2d1-57c9d450eaaf;#8;#Final|ea5e6674-7b27-4bac-b091-73adbb394efe;#7;#SPL-CES|32d8cb1f-c9ec-4365-95c7-8385a18618ac;#6;#Unrestricted|826e22d7-d029-4ec0-a450-0c28ff673572;#5;#EN|f2175f21-25d7-44a3-96da-d6a61b075e1b;#21;#SV|c2ed69e7-a339-43d7-8f22-d93680a92aa0;#3;#TRA|150d2a88-1431-44e6-a8ca-0bb753ab8672;#36;#PT|50ccc04a-eadd-42ae-a0cb-acaf45f812ba;#1;#EESC|422833ec-8d7e-4e65-8e4e-8bed07ffb729;#24;#ES|e7a6b05b-ae16-40c8-add9-68b64b03aeba</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35;#FI|87606a43-d45f-42d6-b8c9-e1a3457db5b7</vt:lpwstr>
  </property>
  <property fmtid="{D5CDD505-2E9C-101B-9397-08002B2CF9AE}" pid="38" name="_docset_NoMedatataSyncRequired">
    <vt:lpwstr>False</vt:lpwstr>
  </property>
</Properties>
</file>