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E5721A" w14:paraId="785AE44C" w14:textId="30CC7515">
      <w:pPr>
        <w:jc w:val="center"/>
      </w:pPr>
      <w:r>
        <w:rPr>
          <w:noProof/>
        </w:rPr>
        <w:drawing>
          <wp:inline distT="0" distB="0" distL="0" distR="0" wp14:anchorId="45E80D2C" wp14:editId="21E6DD81">
            <wp:extent cx="1792605" cy="1239520"/>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Picture 2"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EB46A97"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Bruselas, 16 de septiembre de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589.º PLENO</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 y 11 de julio de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SÍNTESIS DE LOS DICTÁMENES Y RESOLUCIONES APROBADOS Y DE LOS INFORMES DE EVALUACIÓN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Este documento puede consultarse en todas las lenguas oficiales de la Unión Europea en el sitio internet del CESE en la siguiente dirección:</w:t>
            </w:r>
          </w:p>
          <w:p w:rsidRPr="00094B6B" w:rsidR="00B16284" w:rsidP="00775FC4" w:rsidRDefault="00B16284" w14:paraId="4F26A4CE" w14:textId="77777777">
            <w:pPr>
              <w:snapToGrid w:val="0"/>
              <w:jc w:val="center"/>
            </w:pPr>
          </w:p>
          <w:p w:rsidRPr="00094B6B" w:rsidR="004D7AC0" w:rsidP="00775FC4" w:rsidRDefault="00DD283E" w14:paraId="2A9352A2" w14:textId="0680ADB6">
            <w:pPr>
              <w:snapToGrid w:val="0"/>
              <w:jc w:val="center"/>
            </w:pPr>
            <w:hyperlink w:history="1" r:id="rId12">
              <w:r w:rsidR="000B64C3">
                <w:rPr>
                  <w:rStyle w:val="Hyperlink"/>
                  <w:highlight w:val="yellow"/>
                </w:rPr>
                <w:t>https://www.eesc.europa.eu/es/our-work/opinions-information-reports/plenary-session-summaries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Los dictámenes mencionados pueden consultarse en línea </w:t>
            </w:r>
            <w:r>
              <w:br/>
              <w:t>utilizando el motor de búsqueda del CESE:</w:t>
            </w:r>
          </w:p>
          <w:p w:rsidRPr="00094B6B" w:rsidR="00B16284" w:rsidP="00775FC4" w:rsidRDefault="00B16284" w14:paraId="7A5411A5" w14:textId="77777777">
            <w:pPr>
              <w:snapToGrid w:val="0"/>
              <w:jc w:val="center"/>
            </w:pPr>
          </w:p>
          <w:p w:rsidRPr="00094B6B" w:rsidR="004D7AC0" w:rsidP="00775FC4" w:rsidRDefault="00DD283E"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Índice:</w:t>
      </w:r>
    </w:p>
    <w:p w:rsidR="0071141F" w:rsidRDefault="0014322B" w14:paraId="0DF74D84" w14:textId="1BB192EC">
      <w:pPr>
        <w:pStyle w:val="TOC1"/>
        <w:rPr>
          <w:rFonts w:asciiTheme="minorHAnsi" w:hAnsiTheme="minorHAnsi" w:eastAsiaTheme="minorEastAsia" w:cstheme="minorBidi"/>
          <w:b w:val="0"/>
          <w:sz w:val="22"/>
          <w:szCs w:val="22"/>
        </w:rPr>
      </w:pPr>
      <w:r>
        <w:fldChar w:fldCharType="begin"/>
      </w:r>
      <w:r>
        <w:instrText xml:space="preserve"> TOC \o "1-1" \h \z \u </w:instrText>
      </w:r>
      <w:r>
        <w:fldChar w:fldCharType="separate"/>
      </w:r>
      <w:hyperlink w:history="1" w:anchor="_Toc172289016">
        <w:r w:rsidRPr="001A559C" w:rsidR="0071141F">
          <w:rPr>
            <w:rStyle w:val="Hyperlink"/>
          </w:rPr>
          <w:t>1.</w:t>
        </w:r>
        <w:r w:rsidR="0071141F">
          <w:rPr>
            <w:rFonts w:asciiTheme="minorHAnsi" w:hAnsiTheme="minorHAnsi" w:eastAsiaTheme="minorEastAsia" w:cstheme="minorBidi"/>
            <w:b w:val="0"/>
            <w:sz w:val="22"/>
          </w:rPr>
          <w:tab/>
        </w:r>
        <w:r w:rsidRPr="001A559C" w:rsidR="0071141F">
          <w:rPr>
            <w:rStyle w:val="Hyperlink"/>
          </w:rPr>
          <w:t>RESOLUTION</w:t>
        </w:r>
        <w:r w:rsidR="0071141F">
          <w:rPr>
            <w:webHidden/>
          </w:rPr>
          <w:tab/>
        </w:r>
        <w:r w:rsidR="0071141F">
          <w:rPr>
            <w:webHidden/>
          </w:rPr>
          <w:fldChar w:fldCharType="begin"/>
        </w:r>
        <w:r w:rsidR="0071141F">
          <w:rPr>
            <w:webHidden/>
          </w:rPr>
          <w:instrText xml:space="preserve"> PAGEREF _Toc172289016 \h </w:instrText>
        </w:r>
        <w:r w:rsidR="0071141F">
          <w:rPr>
            <w:webHidden/>
          </w:rPr>
        </w:r>
        <w:r w:rsidR="0071141F">
          <w:rPr>
            <w:webHidden/>
          </w:rPr>
          <w:fldChar w:fldCharType="separate"/>
        </w:r>
        <w:r w:rsidR="0071141F">
          <w:rPr>
            <w:webHidden/>
          </w:rPr>
          <w:t>3</w:t>
        </w:r>
        <w:r w:rsidR="0071141F">
          <w:rPr>
            <w:webHidden/>
          </w:rPr>
          <w:fldChar w:fldCharType="end"/>
        </w:r>
      </w:hyperlink>
    </w:p>
    <w:p w:rsidR="0071141F" w:rsidRDefault="00DD283E" w14:paraId="636589B5" w14:textId="4C9C1F21">
      <w:pPr>
        <w:pStyle w:val="TOC1"/>
        <w:rPr>
          <w:rFonts w:asciiTheme="minorHAnsi" w:hAnsiTheme="minorHAnsi" w:eastAsiaTheme="minorEastAsia" w:cstheme="minorBidi"/>
          <w:b w:val="0"/>
          <w:sz w:val="22"/>
        </w:rPr>
      </w:pPr>
      <w:hyperlink w:history="1" w:anchor="_Toc172289017">
        <w:r w:rsidRPr="001A559C" w:rsidR="0071141F">
          <w:rPr>
            <w:rStyle w:val="Hyperlink"/>
          </w:rPr>
          <w:t>2.</w:t>
        </w:r>
        <w:r w:rsidR="0071141F">
          <w:rPr>
            <w:rFonts w:asciiTheme="minorHAnsi" w:hAnsiTheme="minorHAnsi" w:eastAsiaTheme="minorEastAsia" w:cstheme="minorBidi"/>
            <w:b w:val="0"/>
            <w:sz w:val="22"/>
          </w:rPr>
          <w:tab/>
        </w:r>
        <w:r w:rsidRPr="001A559C" w:rsidR="0071141F">
          <w:rPr>
            <w:rStyle w:val="Hyperlink"/>
          </w:rPr>
          <w:t>ECONOMIC AND MONETARY UNION, ECONOMIC AND SOCIAL COHESION</w:t>
        </w:r>
        <w:r w:rsidR="0071141F">
          <w:rPr>
            <w:webHidden/>
          </w:rPr>
          <w:tab/>
        </w:r>
        <w:r w:rsidR="0071141F">
          <w:rPr>
            <w:webHidden/>
          </w:rPr>
          <w:fldChar w:fldCharType="begin"/>
        </w:r>
        <w:r w:rsidR="0071141F">
          <w:rPr>
            <w:webHidden/>
          </w:rPr>
          <w:instrText xml:space="preserve"> PAGEREF _Toc172289017 \h </w:instrText>
        </w:r>
        <w:r w:rsidR="0071141F">
          <w:rPr>
            <w:webHidden/>
          </w:rPr>
        </w:r>
        <w:r w:rsidR="0071141F">
          <w:rPr>
            <w:webHidden/>
          </w:rPr>
          <w:fldChar w:fldCharType="separate"/>
        </w:r>
        <w:r w:rsidR="0071141F">
          <w:rPr>
            <w:webHidden/>
          </w:rPr>
          <w:t>4</w:t>
        </w:r>
        <w:r w:rsidR="0071141F">
          <w:rPr>
            <w:webHidden/>
          </w:rPr>
          <w:fldChar w:fldCharType="end"/>
        </w:r>
      </w:hyperlink>
    </w:p>
    <w:p w:rsidR="0071141F" w:rsidRDefault="00DD283E" w14:paraId="4960CCE7" w14:textId="2288CF31">
      <w:pPr>
        <w:pStyle w:val="TOC1"/>
        <w:rPr>
          <w:rFonts w:asciiTheme="minorHAnsi" w:hAnsiTheme="minorHAnsi" w:eastAsiaTheme="minorEastAsia" w:cstheme="minorBidi"/>
          <w:b w:val="0"/>
          <w:sz w:val="22"/>
        </w:rPr>
      </w:pPr>
      <w:hyperlink w:history="1" w:anchor="_Toc172289018">
        <w:r w:rsidRPr="001A559C" w:rsidR="0071141F">
          <w:rPr>
            <w:rStyle w:val="Hyperlink"/>
          </w:rPr>
          <w:t>3.</w:t>
        </w:r>
        <w:r w:rsidR="0071141F">
          <w:rPr>
            <w:rFonts w:asciiTheme="minorHAnsi" w:hAnsiTheme="minorHAnsi" w:eastAsiaTheme="minorEastAsia" w:cstheme="minorBidi"/>
            <w:b w:val="0"/>
            <w:sz w:val="22"/>
          </w:rPr>
          <w:tab/>
        </w:r>
        <w:r w:rsidRPr="001A559C" w:rsidR="0071141F">
          <w:rPr>
            <w:rStyle w:val="Hyperlink"/>
          </w:rPr>
          <w:t>EMPLOYMENT, SOCIAL AFFAIRS AND CITIZENSHIP</w:t>
        </w:r>
        <w:r w:rsidR="0071141F">
          <w:rPr>
            <w:webHidden/>
          </w:rPr>
          <w:tab/>
        </w:r>
        <w:r w:rsidR="0071141F">
          <w:rPr>
            <w:webHidden/>
          </w:rPr>
          <w:fldChar w:fldCharType="begin"/>
        </w:r>
        <w:r w:rsidR="0071141F">
          <w:rPr>
            <w:webHidden/>
          </w:rPr>
          <w:instrText xml:space="preserve"> PAGEREF _Toc172289018 \h </w:instrText>
        </w:r>
        <w:r w:rsidR="0071141F">
          <w:rPr>
            <w:webHidden/>
          </w:rPr>
        </w:r>
        <w:r w:rsidR="0071141F">
          <w:rPr>
            <w:webHidden/>
          </w:rPr>
          <w:fldChar w:fldCharType="separate"/>
        </w:r>
        <w:r w:rsidR="0071141F">
          <w:rPr>
            <w:webHidden/>
          </w:rPr>
          <w:t>5</w:t>
        </w:r>
        <w:r w:rsidR="0071141F">
          <w:rPr>
            <w:webHidden/>
          </w:rPr>
          <w:fldChar w:fldCharType="end"/>
        </w:r>
      </w:hyperlink>
    </w:p>
    <w:p w:rsidR="0071141F" w:rsidRDefault="00DD283E" w14:paraId="21A1A631" w14:textId="3A5A9976">
      <w:pPr>
        <w:pStyle w:val="TOC1"/>
        <w:rPr>
          <w:rFonts w:asciiTheme="minorHAnsi" w:hAnsiTheme="minorHAnsi" w:eastAsiaTheme="minorEastAsia" w:cstheme="minorBidi"/>
          <w:b w:val="0"/>
          <w:sz w:val="22"/>
        </w:rPr>
      </w:pPr>
      <w:hyperlink w:history="1" w:anchor="_Toc172289019">
        <w:r w:rsidRPr="001A559C" w:rsidR="0071141F">
          <w:rPr>
            <w:rStyle w:val="Hyperlink"/>
          </w:rPr>
          <w:t>4.</w:t>
        </w:r>
        <w:r w:rsidR="0071141F">
          <w:rPr>
            <w:rFonts w:asciiTheme="minorHAnsi" w:hAnsiTheme="minorHAnsi" w:eastAsiaTheme="minorEastAsia" w:cstheme="minorBidi"/>
            <w:b w:val="0"/>
            <w:sz w:val="22"/>
          </w:rPr>
          <w:tab/>
        </w:r>
        <w:r w:rsidRPr="001A559C" w:rsidR="0071141F">
          <w:rPr>
            <w:rStyle w:val="Hyperlink"/>
          </w:rPr>
          <w:t>SINGLE MARKET, PRODUCTION AND CONSUMPTION</w:t>
        </w:r>
        <w:r w:rsidR="0071141F">
          <w:rPr>
            <w:webHidden/>
          </w:rPr>
          <w:tab/>
        </w:r>
        <w:r w:rsidR="0071141F">
          <w:rPr>
            <w:webHidden/>
          </w:rPr>
          <w:fldChar w:fldCharType="begin"/>
        </w:r>
        <w:r w:rsidR="0071141F">
          <w:rPr>
            <w:webHidden/>
          </w:rPr>
          <w:instrText xml:space="preserve"> PAGEREF _Toc172289019 \h </w:instrText>
        </w:r>
        <w:r w:rsidR="0071141F">
          <w:rPr>
            <w:webHidden/>
          </w:rPr>
        </w:r>
        <w:r w:rsidR="0071141F">
          <w:rPr>
            <w:webHidden/>
          </w:rPr>
          <w:fldChar w:fldCharType="separate"/>
        </w:r>
        <w:r w:rsidR="0071141F">
          <w:rPr>
            <w:webHidden/>
          </w:rPr>
          <w:t>9</w:t>
        </w:r>
        <w:r w:rsidR="0071141F">
          <w:rPr>
            <w:webHidden/>
          </w:rPr>
          <w:fldChar w:fldCharType="end"/>
        </w:r>
      </w:hyperlink>
    </w:p>
    <w:p w:rsidR="0071141F" w:rsidRDefault="00DD283E" w14:paraId="51716B55" w14:textId="21B29353">
      <w:pPr>
        <w:pStyle w:val="TOC1"/>
        <w:rPr>
          <w:rFonts w:asciiTheme="minorHAnsi" w:hAnsiTheme="minorHAnsi" w:eastAsiaTheme="minorEastAsia" w:cstheme="minorBidi"/>
          <w:b w:val="0"/>
          <w:sz w:val="22"/>
        </w:rPr>
      </w:pPr>
      <w:hyperlink w:history="1" w:anchor="_Toc172289020">
        <w:r w:rsidRPr="001A559C" w:rsidR="0071141F">
          <w:rPr>
            <w:rStyle w:val="Hyperlink"/>
          </w:rPr>
          <w:t>5.</w:t>
        </w:r>
        <w:r w:rsidR="0071141F">
          <w:rPr>
            <w:rFonts w:asciiTheme="minorHAnsi" w:hAnsiTheme="minorHAnsi" w:eastAsiaTheme="minorEastAsia" w:cstheme="minorBidi"/>
            <w:b w:val="0"/>
            <w:sz w:val="22"/>
          </w:rPr>
          <w:tab/>
        </w:r>
        <w:r w:rsidRPr="001A559C" w:rsidR="0071141F">
          <w:rPr>
            <w:rStyle w:val="Hyperlink"/>
          </w:rPr>
          <w:t>AGRICULTURE, RURAL DEVELOPMENT AND THE ENVIRONMENT</w:t>
        </w:r>
        <w:r w:rsidR="0071141F">
          <w:rPr>
            <w:webHidden/>
          </w:rPr>
          <w:tab/>
        </w:r>
        <w:r w:rsidR="0071141F">
          <w:rPr>
            <w:webHidden/>
          </w:rPr>
          <w:fldChar w:fldCharType="begin"/>
        </w:r>
        <w:r w:rsidR="0071141F">
          <w:rPr>
            <w:webHidden/>
          </w:rPr>
          <w:instrText xml:space="preserve"> PAGEREF _Toc172289020 \h </w:instrText>
        </w:r>
        <w:r w:rsidR="0071141F">
          <w:rPr>
            <w:webHidden/>
          </w:rPr>
        </w:r>
        <w:r w:rsidR="0071141F">
          <w:rPr>
            <w:webHidden/>
          </w:rPr>
          <w:fldChar w:fldCharType="separate"/>
        </w:r>
        <w:r w:rsidR="0071141F">
          <w:rPr>
            <w:webHidden/>
          </w:rPr>
          <w:t>10</w:t>
        </w:r>
        <w:r w:rsidR="0071141F">
          <w:rPr>
            <w:webHidden/>
          </w:rPr>
          <w:fldChar w:fldCharType="end"/>
        </w:r>
      </w:hyperlink>
    </w:p>
    <w:p w:rsidR="0071141F" w:rsidRDefault="00DD283E" w14:paraId="072F8B4D" w14:textId="64B87976">
      <w:pPr>
        <w:pStyle w:val="TOC1"/>
        <w:rPr>
          <w:rFonts w:asciiTheme="minorHAnsi" w:hAnsiTheme="minorHAnsi" w:eastAsiaTheme="minorEastAsia" w:cstheme="minorBidi"/>
          <w:b w:val="0"/>
          <w:sz w:val="22"/>
        </w:rPr>
      </w:pPr>
      <w:hyperlink w:history="1" w:anchor="_Toc172289021">
        <w:r w:rsidRPr="001A559C" w:rsidR="0071141F">
          <w:rPr>
            <w:rStyle w:val="Hyperlink"/>
          </w:rPr>
          <w:t>6.</w:t>
        </w:r>
        <w:r w:rsidR="0071141F">
          <w:rPr>
            <w:rFonts w:asciiTheme="minorHAnsi" w:hAnsiTheme="minorHAnsi" w:eastAsiaTheme="minorEastAsia" w:cstheme="minorBidi"/>
            <w:b w:val="0"/>
            <w:sz w:val="22"/>
          </w:rPr>
          <w:tab/>
        </w:r>
        <w:r w:rsidRPr="001A559C" w:rsidR="0071141F">
          <w:rPr>
            <w:rStyle w:val="Hyperlink"/>
          </w:rPr>
          <w:t>EXTERNAL RELATIONS</w:t>
        </w:r>
        <w:r w:rsidR="0071141F">
          <w:rPr>
            <w:webHidden/>
          </w:rPr>
          <w:tab/>
        </w:r>
        <w:r w:rsidR="0071141F">
          <w:rPr>
            <w:webHidden/>
          </w:rPr>
          <w:fldChar w:fldCharType="begin"/>
        </w:r>
        <w:r w:rsidR="0071141F">
          <w:rPr>
            <w:webHidden/>
          </w:rPr>
          <w:instrText xml:space="preserve"> PAGEREF _Toc172289021 \h </w:instrText>
        </w:r>
        <w:r w:rsidR="0071141F">
          <w:rPr>
            <w:webHidden/>
          </w:rPr>
        </w:r>
        <w:r w:rsidR="0071141F">
          <w:rPr>
            <w:webHidden/>
          </w:rPr>
          <w:fldChar w:fldCharType="separate"/>
        </w:r>
        <w:r w:rsidR="0071141F">
          <w:rPr>
            <w:webHidden/>
          </w:rPr>
          <w:t>12</w:t>
        </w:r>
        <w:r w:rsidR="0071141F">
          <w:rPr>
            <w:webHidden/>
          </w:rPr>
          <w:fldChar w:fldCharType="end"/>
        </w:r>
      </w:hyperlink>
    </w:p>
    <w:p w:rsidR="0071141F" w:rsidRDefault="00DD283E" w14:paraId="45FFC045" w14:textId="31D5875F">
      <w:pPr>
        <w:pStyle w:val="TOC1"/>
        <w:rPr>
          <w:rFonts w:asciiTheme="minorHAnsi" w:hAnsiTheme="minorHAnsi" w:eastAsiaTheme="minorEastAsia" w:cstheme="minorBidi"/>
          <w:b w:val="0"/>
          <w:sz w:val="22"/>
        </w:rPr>
      </w:pPr>
      <w:hyperlink w:history="1" w:anchor="_Toc172289022">
        <w:r w:rsidRPr="001A559C" w:rsidR="0071141F">
          <w:rPr>
            <w:rStyle w:val="Hyperlink"/>
          </w:rPr>
          <w:t>7.</w:t>
        </w:r>
        <w:r w:rsidR="0071141F">
          <w:rPr>
            <w:rFonts w:asciiTheme="minorHAnsi" w:hAnsiTheme="minorHAnsi" w:eastAsiaTheme="minorEastAsia" w:cstheme="minorBidi"/>
            <w:b w:val="0"/>
            <w:sz w:val="22"/>
          </w:rPr>
          <w:tab/>
        </w:r>
        <w:r w:rsidRPr="001A559C" w:rsidR="0071141F">
          <w:rPr>
            <w:rStyle w:val="Hyperlink"/>
          </w:rPr>
          <w:t>TRANSPORT, ENERGY, INFRASTRUCTURE AND THE INFORMATION SOCIETY</w:t>
        </w:r>
        <w:r w:rsidR="0071141F">
          <w:rPr>
            <w:webHidden/>
          </w:rPr>
          <w:tab/>
        </w:r>
        <w:r w:rsidR="0071141F">
          <w:rPr>
            <w:webHidden/>
          </w:rPr>
          <w:fldChar w:fldCharType="begin"/>
        </w:r>
        <w:r w:rsidR="0071141F">
          <w:rPr>
            <w:webHidden/>
          </w:rPr>
          <w:instrText xml:space="preserve"> PAGEREF _Toc172289022 \h </w:instrText>
        </w:r>
        <w:r w:rsidR="0071141F">
          <w:rPr>
            <w:webHidden/>
          </w:rPr>
        </w:r>
        <w:r w:rsidR="0071141F">
          <w:rPr>
            <w:webHidden/>
          </w:rPr>
          <w:fldChar w:fldCharType="separate"/>
        </w:r>
        <w:r w:rsidR="0071141F">
          <w:rPr>
            <w:webHidden/>
          </w:rPr>
          <w:t>13</w:t>
        </w:r>
        <w:r w:rsidR="0071141F">
          <w:rPr>
            <w:webHidden/>
          </w:rPr>
          <w:fldChar w:fldCharType="end"/>
        </w:r>
      </w:hyperlink>
    </w:p>
    <w:p w:rsidR="0071141F" w:rsidRDefault="00DD283E" w14:paraId="7F7FF2DA" w14:textId="693C8723">
      <w:pPr>
        <w:pStyle w:val="TOC1"/>
        <w:rPr>
          <w:rFonts w:asciiTheme="minorHAnsi" w:hAnsiTheme="minorHAnsi" w:eastAsiaTheme="minorEastAsia" w:cstheme="minorBidi"/>
          <w:b w:val="0"/>
          <w:sz w:val="22"/>
        </w:rPr>
      </w:pPr>
      <w:hyperlink w:history="1" w:anchor="_Toc172289023">
        <w:r w:rsidRPr="001A559C" w:rsidR="0071141F">
          <w:rPr>
            <w:rStyle w:val="Hyperlink"/>
          </w:rPr>
          <w:t xml:space="preserve">8. </w:t>
        </w:r>
        <w:r w:rsidR="0071141F">
          <w:rPr>
            <w:rFonts w:asciiTheme="minorHAnsi" w:hAnsiTheme="minorHAnsi" w:eastAsiaTheme="minorEastAsia" w:cstheme="minorBidi"/>
            <w:b w:val="0"/>
            <w:sz w:val="22"/>
          </w:rPr>
          <w:tab/>
        </w:r>
        <w:r w:rsidRPr="001A559C" w:rsidR="0071141F">
          <w:rPr>
            <w:rStyle w:val="Hyperlink"/>
          </w:rPr>
          <w:t>CONSULTATIVE COMMISSION ON INDUSTRIAL CHANGE</w:t>
        </w:r>
        <w:r w:rsidR="0071141F">
          <w:rPr>
            <w:webHidden/>
          </w:rPr>
          <w:tab/>
        </w:r>
        <w:r w:rsidR="0071141F">
          <w:rPr>
            <w:webHidden/>
          </w:rPr>
          <w:fldChar w:fldCharType="begin"/>
        </w:r>
        <w:r w:rsidR="0071141F">
          <w:rPr>
            <w:webHidden/>
          </w:rPr>
          <w:instrText xml:space="preserve"> PAGEREF _Toc172289023 \h </w:instrText>
        </w:r>
        <w:r w:rsidR="0071141F">
          <w:rPr>
            <w:webHidden/>
          </w:rPr>
        </w:r>
        <w:r w:rsidR="0071141F">
          <w:rPr>
            <w:webHidden/>
          </w:rPr>
          <w:fldChar w:fldCharType="separate"/>
        </w:r>
        <w:r w:rsidR="0071141F">
          <w:rPr>
            <w:webHidden/>
          </w:rPr>
          <w:t>14</w:t>
        </w:r>
        <w:r w:rsidR="0071141F">
          <w:rPr>
            <w:webHidden/>
          </w:rPr>
          <w:fldChar w:fldCharType="end"/>
        </w:r>
      </w:hyperlink>
    </w:p>
    <w:p w:rsidR="00C86ABD" w:rsidRDefault="0014322B" w14:paraId="4EDE006A" w14:textId="124BEEEA">
      <w:pPr>
        <w:jc w:val="left"/>
      </w:pPr>
      <w:r>
        <w:fldChar w:fldCharType="end"/>
      </w:r>
      <w:r>
        <w:br w:type="page"/>
      </w:r>
    </w:p>
    <w:p w:rsidR="00C86ABD" w:rsidP="00810736" w:rsidRDefault="00C86ABD" w14:paraId="6C806385" w14:textId="0970C9A4">
      <w:pPr>
        <w:pStyle w:val="Heading1"/>
        <w:ind w:left="709" w:hanging="720"/>
        <w:rPr>
          <w:b/>
          <w:bCs/>
        </w:rPr>
      </w:pPr>
      <w:bookmarkStart w:name="_Toc172289016" w:id="0"/>
      <w:r>
        <w:rPr>
          <w:b/>
        </w:rPr>
        <w:lastRenderedPageBreak/>
        <w:t>RESOLUCIÓN</w:t>
      </w:r>
      <w:bookmarkEnd w:id="0"/>
      <w:r>
        <w:rPr>
          <w:b/>
        </w:rPr>
        <w:t xml:space="preserve"> </w:t>
      </w:r>
    </w:p>
    <w:p w:rsidRPr="004516BD" w:rsidR="004516BD" w:rsidP="004516BD" w:rsidRDefault="004516BD" w14:paraId="46F44DDA" w14:textId="77777777"/>
    <w:p w:rsidRPr="00A773FA" w:rsidR="00A773FA" w:rsidP="0088361D" w:rsidRDefault="00DD283E"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Nadie debe quedarse atrás.</w:t>
        </w:r>
      </w:hyperlink>
      <w:hyperlink w:history="1" r:id="rId21">
        <w:r w:rsidR="000B64C3">
          <w:rPr>
            <w:b/>
            <w:i/>
            <w:color w:val="0000FF"/>
            <w:sz w:val="28"/>
            <w:u w:val="single"/>
          </w:rPr>
          <w:t>Por una política de cohesión inclusiva y participativa en apoyo de la cohesión social, económica y territorial</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0"/>
        <w:gridCol w:w="6947"/>
      </w:tblGrid>
      <w:tr w:rsidRPr="00A773FA" w:rsidR="00A773FA" w:rsidTr="00B261A3" w14:paraId="26A7967B" w14:textId="77777777">
        <w:tc>
          <w:tcPr>
            <w:tcW w:w="1096"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Ponente</w:t>
            </w:r>
          </w:p>
        </w:tc>
        <w:tc>
          <w:tcPr>
            <w:tcW w:w="3904" w:type="pct"/>
          </w:tcPr>
          <w:p w:rsidRPr="00A773FA" w:rsidR="00A773FA" w:rsidP="0088361D" w:rsidRDefault="00A773FA" w14:paraId="6A6E5B0B" w14:textId="77777777">
            <w:pPr>
              <w:overflowPunct w:val="0"/>
              <w:autoSpaceDE w:val="0"/>
              <w:autoSpaceDN w:val="0"/>
              <w:adjustRightInd w:val="0"/>
              <w:spacing w:line="240" w:lineRule="auto"/>
              <w:textAlignment w:val="baseline"/>
            </w:pPr>
            <w:r>
              <w:t>Ioannis VARDAKASTANIS (Grupo de Organizaciones de la Sociedad Civil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B261A3" w14:paraId="77930193" w14:textId="77777777">
        <w:tc>
          <w:tcPr>
            <w:tcW w:w="1096"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Referencias</w:t>
            </w:r>
          </w:p>
        </w:tc>
        <w:tc>
          <w:tcPr>
            <w:tcW w:w="3904"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El CESE:</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pide a los Estados miembros de la Unión Europea y a sus dirigentes, a las instituciones europeas y a la ciudadanía de la UE que salvaguarden y protejan la cohesión económica, social y territorial de la UE, de conformidad con el artículo 174 del TFUE;</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subraya que el principio fundamental de «no dejar a nadie atrás» en la política de cohesión sigue teniendo vigencia y validez, y que los interlocutores de la sociedad civil están dispuestos a seguir trabajando en favor de este principio a través de una política de inversión sólida de la UE;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subraya que la desigualdad de oportunidades puede ser perjudicial para el crecimiento y la competitividad a largo plazo a escala regional, nacional y de la UE. Por lo tanto, es necesario diversificar y flexibilizar más la política de cohesión, pero al mismo tiempo hacerla creíble, estable y clara, para poder prestar más atención a las personas, especialmente a las más vulnerables, y abordar mejor la desigualdad de oportunidades a la que muchas se enfrentan;</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critica la eventualidad de que pueda eliminarse la figura de un comisario cuya principal responsabilidad es la cartera de la política de cohesión;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se opone a la reducción y la transformación de la política de cohesión en un instrumento para hacer frente a las crisis de emergencia;</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rechaza la idea de convertir la política de cohesión en un instrumento similar al Mecanismo de Recuperación y Resiliencia (MRR) con escasa o nula participación estructural de las partes interesadas, gestión compartida y gobernanza multinivel;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está a favor del principio de asociación y de normas claras para la inclusión de la sociedad civil en la selección, la gobernanza y la supervisión de las operaciones financiadas por la UE;</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pide una formulación enérgica en relación con la participación de la sociedad civil en el próximo Reglamento sobre Disposiciones Comunes (RDC), que regirá el uso de los Fondos de Cohesión, así como de otros fondos de la UE, después de 2027, tal y como ha sido el caso en el período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pide una política de cohesión de base local y sustentada en las personas;</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pide un nuevo impulso para la política de cohesión; considera que es preciso ampliar, modernizar o revisar la gama de instrumentos y enfoques para construir una política de cohesión sólida, eficaz, flexible y renovada, centrándose más en la capacidad, los vínculos interregionales, la eficacia de los resultados y las oportunidades para los beneficiarios más allá de la simple inversión;</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hará todo lo que esté a su alcance para salvaguardar los principios fundamentales de la política de cohesión y garantizar que siga siendo el pegamento que mantiene a Europa unida.</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A773FA" w:rsidR="00A773FA" w:rsidTr="00B261A3" w14:paraId="1E00A390" w14:textId="77777777">
        <w:tc>
          <w:tcPr>
            <w:tcW w:w="1951"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Contacto:</w:t>
            </w:r>
          </w:p>
        </w:tc>
        <w:tc>
          <w:tcPr>
            <w:tcW w:w="5137"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Georgios Meleas</w:t>
            </w:r>
          </w:p>
        </w:tc>
      </w:tr>
      <w:tr w:rsidRPr="00A773FA" w:rsidR="00A773FA" w:rsidTr="00B261A3" w14:paraId="27B092BE" w14:textId="77777777">
        <w:tc>
          <w:tcPr>
            <w:tcW w:w="1951"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Teléfono:</w:t>
            </w:r>
          </w:p>
        </w:tc>
        <w:tc>
          <w:tcPr>
            <w:tcW w:w="5137"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B261A3" w14:paraId="719936AC" w14:textId="77777777">
        <w:tc>
          <w:tcPr>
            <w:tcW w:w="1951"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Correo electrónico:</w:t>
            </w:r>
          </w:p>
        </w:tc>
        <w:tc>
          <w:tcPr>
            <w:tcW w:w="5137" w:type="dxa"/>
          </w:tcPr>
          <w:p w:rsidRPr="00A773FA" w:rsidR="00A773FA" w:rsidP="00A773FA" w:rsidRDefault="00DD283E"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289017" w:id="3"/>
      <w:bookmarkEnd w:id="1"/>
      <w:bookmarkEnd w:id="2"/>
      <w:r>
        <w:rPr>
          <w:b/>
        </w:rPr>
        <w:lastRenderedPageBreak/>
        <w:t>UNIÓN ECONÓMICA Y MONETARIA Y COHESIÓN ECONÓMICA Y SOCIAL</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DD283E"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Marco fiscal para las entidades de la economía social</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Ponente</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(Grupo de Organizaciones de la Sociedad Civil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Referencia</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Dictamen de iniciativa</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El CESE:</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subraya la necesidad de que los sistemas fiscales de los Estados miembros no obstaculicen el desarrollo de la economía social, y acoge favorablemente el objetivo de la Comisión Europea de prestar apoyo a los Estados miembros mediante la publicación de directrices sobre los marcos fiscales pertinentes aplicables a las entidades de la economía social;</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señala que conocer los enfoques adoptados en los distintos Estados miembros puede ser un importante punto de partida para profundizar y mejorar el marco fiscal general de las entidades de la economía social en el mercado interior;</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espera que en el futuro pueda proseguirse la armonización del enfoque en materia de fiscalidad de las entidades de la economía social, con vistas a consolidar el mercado interior;</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pide una reflexión profunda sobre las posibles formas de armonizar, en el futuro, el marco fiscal aplicable a la economía social en la UE;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anima a la Comisión Europea y a los Estados miembros a que también consideren tipos de IVA particulares para las actividades de utilidad pública realizadas por las entidades de la economía social y para los servicios sociales, en particular para el sector sanitario y de la asistencia social destinada a las personas mayores, así como para los servicios a las personas, los cuidados de larga duración y la educación.</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Contacto:</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Teléfono:</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A773FA" w:rsidR="00A773FA" w:rsidP="00A773FA" w:rsidRDefault="00DD283E"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289018" w:id="5"/>
      <w:r>
        <w:rPr>
          <w:rStyle w:val="Hyperlink"/>
          <w:color w:val="000000" w:themeColor="text1"/>
          <w:sz w:val="22"/>
          <w:u w:val="none"/>
        </w:rPr>
        <w:t>3.</w:t>
      </w:r>
      <w:r>
        <w:rPr>
          <w:rFonts w:asciiTheme="minorHAnsi" w:hAnsiTheme="minorHAnsi"/>
          <w:color w:val="000000" w:themeColor="text1"/>
        </w:rPr>
        <w:tab/>
      </w:r>
      <w:r>
        <w:t>EMPLEO, ASUNTOS SOCIALES Y CIUDADANÍA</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"https://www.eesc.europa.eu/es/our-work/opinions-information-reports/opinions/combating-sexual-abuse-and-sexual-exploitation-children-and-child-pornography"</w:instrText>
      </w:r>
      <w:r w:rsidRPr="00231B83">
        <w:rPr>
          <w:b/>
          <w:i/>
          <w:sz w:val="28"/>
        </w:rPr>
        <w:fldChar w:fldCharType="separate"/>
      </w:r>
      <w:r>
        <w:rPr>
          <w:b/>
          <w:i/>
          <w:color w:val="0000FF"/>
          <w:sz w:val="28"/>
          <w:u w:val="single"/>
        </w:rPr>
        <w:t>La lucha contra los abusos sexuales y la explotación sexual de los menores y la pornografía infantil</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Ponente</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Coponentes</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(Grupo de Trabajadores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(Grupo de Organizaciones de la Sociedad Civil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Referencias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El CESE:</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apoya el objetivo de la propuesta de garantizar que se tipifiquen como delito todas las formas de abuso y explotación sexuales de menores, incluidas las posibilitadas o facilitadas por los avances tecnológicos;</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hace hincapié en el grupo especialmente vulnerable de los menores con discapacidad, que son susceptibles de convertirse en presa fácil de los abusos y la explotación sexuales y de los ciberdelitos;</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apoya una mejor coordinación en la prevención del abuso sexual de menores y la lucha contra este en todos los Estados miembros y a escala nacional; respalda, en este sentido, la exigencia propuesta de que los Estados miembros establezcan autoridades nacionales encargadas de la coordinación;</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subraya la importancia de contar con normas mínimas comunes para la definición de las infracciones penales y la graduación de las penas correspondientes, a fin de enjuiciar eficazmente a los infractores y garantizar la protección de las víctimas en toda la UE; está a favor de tipificar los «manuales de pedofilia».</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pide que se regule específicamente el intercambio internacional de datos relativos a los abusos y la explotación sexuales de menores y que se amplíen las posibilidades de conservación de los datos en todos los Estados miembros con el desarrollo de un centro de investigación de la UE;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apoya el objetivo de mejorar la prevención y la asistencia a las víctimas de explotación y abusos sexuales; apoya el aumento propuesto de las penas mínimas y la ampliación de los plazos de prescripción;</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subraya la importancia de que los agentes de la autoridad y las personas en contacto con menores reciban formación continua para el buen cumplimiento de sus funciones;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considera que la participación de la sociedad civil es esencial tanto en la lucha contra los abusos y la explotación sexuales de menores como en la prevención de estos delitos y el apoyo a las víctimas.</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Contacto:</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Teléfono:</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231B83" w:rsidR="00231B83" w:rsidP="00231B83" w:rsidRDefault="00DD283E"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"https://www.eesc.europa.eu/es/our-work/opinions-information-reports/opinions/anti-smuggling-package" </w:instrText>
      </w:r>
      <w:r w:rsidRPr="00D7590E">
        <w:rPr>
          <w:b/>
          <w:i/>
          <w:sz w:val="28"/>
        </w:rPr>
        <w:fldChar w:fldCharType="separate"/>
      </w:r>
      <w:r>
        <w:rPr>
          <w:b/>
          <w:i/>
          <w:color w:val="0000FF"/>
          <w:sz w:val="28"/>
          <w:u w:val="single"/>
        </w:rPr>
        <w:t>Paquete de lucha contra la trata</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Ponente</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Florin BERCEA (Grupo de Trabajadores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Referencias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El CESE:</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observa que las dos propuestas legislativas y la Alianza Mundial prevén un desarrollo de capacidades proporcional y gradual, si bien necesitan una ambición estratégica y un compromiso mayores para abordar de forma eficaz el proceso;</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coincide con que la lucha contra el tráfico ilícito de migrantes requiere un nuevo impulso y una mejor coordinación a todos los niveles. Al mismo tiempo, considera que es esencial abrir vías de migración legal y establecer procedimientos para quienes deseen llegar a la UE de forma segura y legal;</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reconoce que, para que el sistema de asilo de la UE funcione de manera eficaz, es fundamental encontrar formas de resolver los problemas del recurso sistemático a devoluciones en caliente en las fronteras exteriores de la UE, que están prohibidas por el Convenio de Ginebra. La ausencia de vías legales y seguras para entrar en la UE deja a los refugiados y migrantes en busca de protección con la única opción de utilizar rutas más peligrosas, poniendo en peligro sus vidas;</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pide a la Comisión que desarrolle un enfoque más sólido que no se limite a la Alianza Mundial con el fin de reforzar las capacidades de los terceros países y fomentar la cooperación con Europol y las autoridades policiales de los Estados miembros;</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lamenta que el paquete no abarque a las personas que recurren a los servicios de los traficantes de migrantes, aunque sean reconocidas como víctimas potenciales. La UE debe integrar en su estrategia de lucha contra el tráfico ilícito una dimensión relativa a los derechos fundamentales de personas tan desesperadas y vulnerables como para recurrir a los servicios de los traficantes. Las políticas también deberían orientarse en mayor medida hacia los colectivos aún más vulnerables, como por ejemplo las personas con discapacidad;</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pide una mayor transparencia a la hora de elaborar las propuestas, ya que estas no iban acompañadas de ningún informe de evaluación de impacto </w:t>
      </w:r>
      <w:r>
        <w:rPr>
          <w:i/>
        </w:rPr>
        <w:t>ex ante</w:t>
      </w:r>
      <w:r>
        <w:t>;</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acoge favorablemente la Directiva, pero advierte que su contenido podría afectar gravemente a los derechos fundamentales de los migrantes y a quienes les ayudan por razones humanitarias; considera que crear y mantener este clima de miedo en torno a la asistencia humanitaria, jurídica o incluso administrativa es una forma equivocada e inaceptable de luchar contra el tráfico ilícito;</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considera asimismo que los trabajadores humanitarios, los familiares y otras personas que prestan servicios a los migrantes no deberían poder ser procesados; solo debería ser posible procesarlos por esta causa cuando obtengan un beneficio económico indebido.</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Contacto:</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Teléfono:</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D7590E" w:rsidR="00D7590E" w:rsidP="00D7590E" w:rsidRDefault="00DD283E"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01C3F58C" w14:textId="77777777">
      <w:pPr>
        <w:spacing w:after="160" w:line="259" w:lineRule="auto"/>
        <w:jc w:val="left"/>
        <w:rPr>
          <w:rFonts w:eastAsiaTheme="minorEastAsia"/>
        </w:rPr>
      </w:pPr>
      <w:r>
        <w:br w:type="page"/>
      </w:r>
    </w:p>
    <w:p w:rsidRPr="003A3334" w:rsidR="003A3334" w:rsidP="003A3334" w:rsidRDefault="00DD283E"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Cuidadores</w:t>
        </w:r>
      </w:hyperlink>
      <w:r w:rsidRPr="003A3334" w:rsidR="003A3334">
        <w:rPr>
          <w:b/>
          <w:i/>
          <w:sz w:val="28"/>
        </w:rPr>
        <w:fldChar w:fldCharType="begin"/>
      </w:r>
      <w:r w:rsidRPr="003A3334" w:rsidR="003A3334">
        <w:rPr>
          <w:b/>
          <w:i/>
          <w:sz w:val="28"/>
        </w:rPr>
        <w:instrText xml:space="preserve"> HYPERLINK "https://www.eesc.europa.eu/es/our-work/opinions-information-reports/opinions/anti-smuggling-package"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Ponente</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(Grupo de Organizaciones de la Sociedad Civil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Referencia</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Dictamen de iniciativa</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Puntos clave</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El CESE:</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pide a la Comisión que sitúe la cuestión de los cuidadores entre las prioridades de los programas políticos y cree una plataforma para el intercambio de buenas prácticas entre los Estados miembros; pide a los Estados miembros que adopten políticas que fomenten la oferta y la aceptación de servicios de cuidados de larga duración de base comunitaria y de alta calidad, la disponibilidad de servicios de sustitución temporal para los cuidadores no profesionales y medicina preventiva para hacer frente al elevado riesgo de desgaste profesional y sobrecarga psicofísica de dichos cuidadores;</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pide a los Estados miembros que adopten las medidas adecuadas para velar por que la decisión de aceptar cuidados no profesionales sea voluntaria, que aborden las situaciones de desigualdad por razón de género y que los cuidadores no profesionales puedan mantener su empleo y su remuneración a través de unas condiciones de trabajo más flexibles y reincorporarse fácilmente al mercado laboral si se ven obligados a abandonarlo;</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pide que se integre a los cuidadores familiares en la celebración del Día Internacional de los Cuidados, para que obtengan el reconocimiento que merecen en el sistema europeo de asistencia;</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considera de gran pertinencia disponer de datos cualitativos y cuantitativos que describan las condiciones de vida reales de los cuidadores no profesionales y pide la adopción de nuevas estrategias de investigación.</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Contacto:</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Valeria Atzori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Teléfono:</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Correo electrónico:</w:t>
            </w:r>
          </w:p>
        </w:tc>
        <w:tc>
          <w:tcPr>
            <w:tcW w:w="3444" w:type="pct"/>
          </w:tcPr>
          <w:p w:rsidRPr="003A3334" w:rsidR="003A3334" w:rsidP="003A3334" w:rsidRDefault="00DD283E"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"https://www.eesc.europa.eu/es/our-work/opinions-information-reports/opinions/traineeship-directive-and-reinforced-quality-framework-traineeships"</w:instrText>
      </w:r>
      <w:r w:rsidRPr="002646B8">
        <w:rPr>
          <w:b/>
          <w:i/>
          <w:sz w:val="28"/>
        </w:rPr>
        <w:fldChar w:fldCharType="separate"/>
      </w:r>
      <w:r>
        <w:rPr>
          <w:b/>
          <w:i/>
          <w:color w:val="0000FF"/>
          <w:sz w:val="28"/>
          <w:u w:val="single"/>
        </w:rPr>
        <w:t>Directiva sobre los períodos de prácticas y Recomendación relativa a un marco de calidad reforzado para los períodos de prácticas</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Ponente</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Nicoletta MERLO (Grupo de Trabajadores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Referencias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El CESE:</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subraya que los períodos de prácticas y los períodos de aprendizaje profesional son dos prácticas laborales que persiguen objetivos diferentes y están sometidas a regímenes jurídicos dispares;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recomienda que las definiciones establecidas en el artículo 2 no entrañen para los Estados miembros ninguna obligación de calificar los períodos de formación práctica de relación laboral cuando, de conformidad con las normativas de los Estados miembros, esta práctica laboral no se ajuste a la definición de «trabajador en prácticas» que figura en la Directiva;</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propone que la Directiva incluya una lista de las condiciones laborales que no pueden ser objeto de excepción, a fin de garantizar una mejor protección de los intereses de los trabajadores en prácticas y preservar al mismo tiempo la autonomía de los interlocutores sociales a la hora de regular las condiciones de los períodos de prácticas en el mercado abierto;</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subraya el papel fundamental que desempeñan las autoridades competentes en la lucha contra las relaciones laborales regulares encubiertas como períodos de prácticas, y reconoce que los interlocutores sociales pueden desempeñar un papel importante en estas medidas;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pide que se establezcan disposiciones con las que garantizar que los representantes de los trabajadores puedan actuar en todo momento para proteger a los trabajadores en prácticas, aunque el período de prácticas no constituya una relación laboral;</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recomienda fijar criterios mínimos de calidad para cada tipo de período de prácticas en toda la UE, con el fin garantizar la aplicación de unas normas estrictas y de un marco básico común en todos los Estados miembros; señala la importancia de recopilar datos y de compartir ejemplos de buenas prácticas nacionales para cada tipo de período de prácticas a escala de la UE, como parte del proceso de revisión y aplicación;</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hace hincapié en la importancia de una compensación justa que tenga en cuenta los costes en que puedan incurrirse para participar en las actividades de formación y las necesidades de subsistencia correspondientes.</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Contacto:</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Teléfono:</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2646B8" w:rsidR="002646B8" w:rsidP="002646B8" w:rsidRDefault="00DD283E"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DD283E" w14:paraId="153FDF23" w14:textId="654546C0">
      <w:pPr>
        <w:pStyle w:val="TOC1"/>
        <w:rPr>
          <w:color w:val="000000" w:themeColor="text1"/>
        </w:rPr>
      </w:pPr>
      <w:hyperlink w:history="1" w:anchor="_Toc164353189">
        <w:bookmarkStart w:name="_Toc172289019" w:id="6"/>
        <w:r w:rsidR="000B64C3">
          <w:t>4.</w:t>
        </w:r>
        <w:r w:rsidR="000B64C3">
          <w:rPr>
            <w:rFonts w:asciiTheme="minorHAnsi" w:hAnsiTheme="minorHAnsi"/>
            <w:sz w:val="22"/>
          </w:rPr>
          <w:tab/>
        </w:r>
      </w:hyperlink>
      <w:r w:rsidR="000B64C3">
        <w:t>MERCADO ÚNICO, PRODUCCIÓN Y CONSUMO</w:t>
      </w:r>
      <w:bookmarkEnd w:id="6"/>
    </w:p>
    <w:p w:rsidR="00C34921" w:rsidRDefault="00DD283E"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Pr>
          <w:b/>
          <w:i/>
          <w:color w:val="0000FF"/>
          <w:sz w:val="28"/>
          <w:u w:val="single"/>
        </w:rPr>
        <w:t xml:space="preserve">Propuesta de Recomendación del Consejo sobre </w:t>
      </w:r>
      <w:hyperlink w:history="1" r:id="rId30">
        <w:r>
          <w:rPr>
            <w:b/>
            <w:i/>
            <w:color w:val="0000FF"/>
            <w:sz w:val="28"/>
            <w:u w:val="single"/>
          </w:rPr>
          <w:t>la mejora de la seguridad de la investigación</w:t>
        </w:r>
      </w:hyperlink>
      <w:r>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Ponente</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(Grupo de Trabajadores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Referencias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B261A3" w:rsidRDefault="00D92244" w14:paraId="1F41BFFE" w14:textId="77777777">
      <w:pPr>
        <w:tabs>
          <w:tab w:val="center" w:pos="284"/>
        </w:tabs>
        <w:overflowPunct w:val="0"/>
        <w:autoSpaceDE w:val="0"/>
        <w:autoSpaceDN w:val="0"/>
        <w:adjustRightInd w:val="0"/>
        <w:spacing w:line="283" w:lineRule="auto"/>
        <w:ind w:left="266" w:hanging="266"/>
        <w:textAlignment w:val="baseline"/>
      </w:pPr>
    </w:p>
    <w:p w:rsidRPr="00AD6EAC" w:rsidR="00D92244" w:rsidP="00B261A3" w:rsidRDefault="00D92244" w14:paraId="386F3AD5" w14:textId="77777777">
      <w:pPr>
        <w:keepNext/>
        <w:keepLines/>
        <w:tabs>
          <w:tab w:val="center" w:pos="284"/>
        </w:tabs>
        <w:overflowPunct w:val="0"/>
        <w:autoSpaceDE w:val="0"/>
        <w:autoSpaceDN w:val="0"/>
        <w:adjustRightInd w:val="0"/>
        <w:spacing w:line="283" w:lineRule="auto"/>
        <w:ind w:left="266" w:hanging="266"/>
        <w:textAlignment w:val="baseline"/>
        <w:rPr>
          <w:b/>
        </w:rPr>
      </w:pPr>
      <w:r>
        <w:rPr>
          <w:b/>
        </w:rPr>
        <w:t>Puntos clave</w:t>
      </w:r>
    </w:p>
    <w:p w:rsidRPr="00AD6EAC" w:rsidR="00D92244" w:rsidP="00B261A3" w:rsidRDefault="00D92244" w14:paraId="1E30C2C4" w14:textId="77777777">
      <w:pPr>
        <w:keepNext/>
        <w:keepLines/>
        <w:tabs>
          <w:tab w:val="center" w:pos="284"/>
        </w:tabs>
        <w:overflowPunct w:val="0"/>
        <w:autoSpaceDE w:val="0"/>
        <w:autoSpaceDN w:val="0"/>
        <w:adjustRightInd w:val="0"/>
        <w:spacing w:line="283" w:lineRule="auto"/>
        <w:ind w:left="266" w:hanging="266"/>
        <w:textAlignment w:val="baseline"/>
        <w:rPr>
          <w:b/>
        </w:rPr>
      </w:pPr>
    </w:p>
    <w:p w:rsidRPr="00AD6EAC" w:rsidR="00D92244" w:rsidP="00B261A3" w:rsidRDefault="00D92244" w14:paraId="4FAC9452" w14:textId="77777777">
      <w:pPr>
        <w:overflowPunct w:val="0"/>
        <w:autoSpaceDE w:val="0"/>
        <w:autoSpaceDN w:val="0"/>
        <w:adjustRightInd w:val="0"/>
        <w:spacing w:line="283" w:lineRule="auto"/>
        <w:textAlignment w:val="baseline"/>
        <w:rPr>
          <w:bCs/>
          <w:iCs/>
        </w:rPr>
      </w:pPr>
      <w:r>
        <w:t>El CESE:</w:t>
      </w:r>
    </w:p>
    <w:p w:rsidRPr="00AD6EAC" w:rsidR="00D92244" w:rsidP="00B261A3" w:rsidRDefault="00D92244" w14:paraId="2AC2F3B1" w14:textId="77777777">
      <w:pPr>
        <w:overflowPunct w:val="0"/>
        <w:autoSpaceDE w:val="0"/>
        <w:autoSpaceDN w:val="0"/>
        <w:adjustRightInd w:val="0"/>
        <w:spacing w:line="283" w:lineRule="auto"/>
        <w:textAlignment w:val="baseline"/>
        <w:rPr>
          <w:bCs/>
          <w:iCs/>
        </w:rPr>
      </w:pPr>
    </w:p>
    <w:p w:rsidRPr="00AD6EAC" w:rsidR="00D92244" w:rsidP="00B261A3" w:rsidRDefault="00D92244" w14:paraId="140BA857"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considera que debe garantizarse un equilibrio justo entre la necesidad de seguridad y la necesidad de mantener una apertura internacional de la I+i, si bien es consciente de la vulnerabilidad de este sector ante posibles injerencias malintencionadas de agentes estatales y no estatales en algunas actividades de cooperación internacional en este ámbito;</w:t>
      </w:r>
    </w:p>
    <w:p w:rsidRPr="00AD6EAC" w:rsidR="00D92244" w:rsidP="00B261A3" w:rsidRDefault="00D92244" w14:paraId="1E45DFAF"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opina que las medidas destinadas a garantizar la seguridad en la I+i nunca deben menoscabar el principio de plena autonomía y libertad de investigación;</w:t>
      </w:r>
    </w:p>
    <w:p w:rsidRPr="00AD6EAC" w:rsidR="00D92244" w:rsidP="00B261A3" w:rsidRDefault="00D92244" w14:paraId="79A2FA63"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recomienda que se respete el principio de «libertad con responsabilidad» de los investigadores e innovadores de la I+i mediante un autogobierno eficaz, eficiente y transparente de los profesionales del sector;</w:t>
      </w:r>
    </w:p>
    <w:p w:rsidRPr="00AD6EAC" w:rsidR="00D92244" w:rsidP="00B261A3" w:rsidRDefault="00D92244" w14:paraId="7C6CA28B"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considera que el objetivo de garantizar la cooperación internacional para una I+i segura nunca deberá dar lugar a prácticas discriminatorias o de estigmatización contra los profesionales de la I+i ni entrar en conflicto con los derechos laborales y la salvaguardia de las condiciones de trabajo de la mano de obra empleada en la I+i de la UE;</w:t>
      </w:r>
    </w:p>
    <w:p w:rsidRPr="00AD6EAC" w:rsidR="00D92244" w:rsidP="00B261A3" w:rsidRDefault="00D92244" w14:paraId="6EA4B4FD"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espera que la plena autonomía de la I+i se desarrolle dentro de un marco de referencia uniforme y coherente en todos los Estados miembros de la UE;</w:t>
      </w:r>
    </w:p>
    <w:p w:rsidRPr="00AD6EAC" w:rsidR="00D92244" w:rsidP="00B261A3" w:rsidRDefault="00D92244" w14:paraId="3FC04FE9"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señala la importancia de reforzar la protección de la propiedad intelectual de las innovaciones y garantizar la seguridad nacional, además de ampliar el control de las inversiones extranjeras directas a las fusiones y adquisiciones de empresas de los diez sectores críticos y los productos de doble uso;</w:t>
      </w:r>
    </w:p>
    <w:p w:rsidRPr="00AD6EAC" w:rsidR="00D92244" w:rsidP="00B261A3" w:rsidRDefault="00D92244" w14:paraId="4FC67D2D"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considera que la falta de indicaciones más específicas para apoyar la labor de los profesionales de la I+i en los ámbitos de la diligencia debida, la elaboración de perfiles de riesgo y la redacción de memorandos de entendimiento con las organizaciones internacionales que colaboran en la I+i puede resolverse en una fase posterior con la futura labor del Centro Europeo de Asesoramiento sobre Seguridad de la Investigación;</w:t>
      </w:r>
    </w:p>
    <w:p w:rsidRPr="00AD6EAC" w:rsidR="00D92244" w:rsidP="00B261A3" w:rsidRDefault="00D92244" w14:paraId="0CBD17E5" w14:textId="77777777">
      <w:pPr>
        <w:widowControl w:val="0"/>
        <w:numPr>
          <w:ilvl w:val="0"/>
          <w:numId w:val="41"/>
        </w:numPr>
        <w:overflowPunct w:val="0"/>
        <w:autoSpaceDE w:val="0"/>
        <w:autoSpaceDN w:val="0"/>
        <w:adjustRightInd w:val="0"/>
        <w:spacing w:line="283" w:lineRule="auto"/>
        <w:ind w:left="284" w:hanging="284"/>
        <w:textAlignment w:val="baseline"/>
        <w:rPr>
          <w:bCs/>
          <w:iCs/>
        </w:rPr>
      </w:pPr>
      <w:r>
        <w:t>confía en que el Centro Europeo de Asesoramiento sobre Seguridad de la Investigación sirva de plataforma de recopilación e intercambio de documentación, en un espíritu de pleno respeto de la transparencia mutua, y para la organización de cursos de formación y de reciclaje profesional en el ámbito de la seguridad de la investigación.</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Contacto:</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Marco Manfroni</w:t>
            </w:r>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Teléfono:</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AD6EAC" w:rsidR="00D92244" w:rsidP="00D76388" w:rsidRDefault="00DD283E"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Pr="00B261A3" w:rsidR="00DC26B9" w:rsidRDefault="00DC26B9" w14:paraId="3806A840" w14:textId="77777777">
      <w:pPr>
        <w:spacing w:after="160" w:line="259" w:lineRule="auto"/>
        <w:jc w:val="left"/>
        <w:rPr>
          <w:rFonts w:eastAsiaTheme="minorEastAsia"/>
          <w:sz w:val="10"/>
          <w:szCs w:val="10"/>
        </w:rPr>
      </w:pPr>
      <w:r>
        <w:br w:type="page"/>
      </w:r>
    </w:p>
    <w:p w:rsidRPr="00C37F51" w:rsidR="00C37F51" w:rsidP="00C37F51" w:rsidRDefault="00C37F51" w14:paraId="1251C006" w14:textId="35A0E647">
      <w:pPr>
        <w:rPr>
          <w:rFonts w:eastAsiaTheme="minorEastAsia"/>
        </w:rPr>
      </w:pPr>
    </w:p>
    <w:p w:rsidR="006A7E31" w:rsidP="006A7E31" w:rsidRDefault="00520680" w14:paraId="295BACE7" w14:textId="7EB5E747">
      <w:pPr>
        <w:pStyle w:val="TOC1"/>
      </w:pPr>
      <w:bookmarkStart w:name="_Toc172289020" w:id="7"/>
      <w:r>
        <w:t>5.</w:t>
      </w:r>
      <w:r>
        <w:rPr>
          <w:rFonts w:asciiTheme="minorHAnsi" w:hAnsiTheme="minorHAnsi"/>
          <w:sz w:val="22"/>
        </w:rPr>
        <w:tab/>
      </w:r>
      <w:hyperlink w:history="1" w:anchor="_Toc164353189">
        <w:r>
          <w:t>AGRICULTURA, DESARROLLO RURAL Y MEDIO AMBIENTE</w:t>
        </w:r>
        <w:bookmarkEnd w:id="7"/>
      </w:hyperlink>
    </w:p>
    <w:p w:rsidR="006A7E31" w:rsidP="006A7E31" w:rsidRDefault="006A7E31" w14:paraId="016FD202" w14:textId="77777777">
      <w:pPr>
        <w:rPr>
          <w:rFonts w:eastAsiaTheme="minorEastAsia"/>
        </w:rPr>
      </w:pPr>
    </w:p>
    <w:p w:rsidRPr="0005755A" w:rsidR="006A7E31" w:rsidP="006A7E31" w:rsidRDefault="00DD283E"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Comisión General de Pesca del Mediterráneo</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Referencias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(Dictamen de categoría C)</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El CESE:</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considera que el contenido de la propuesta es plenamente satisfactorio y no es objeto de ninguna observación por su parte.</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Contacto:</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Teléfono:</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Correo electrónico:</w:t>
            </w:r>
          </w:p>
        </w:tc>
        <w:tc>
          <w:tcPr>
            <w:tcW w:w="3444" w:type="pct"/>
          </w:tcPr>
          <w:p w:rsidRPr="0005755A" w:rsidR="006A7E31" w:rsidP="00D76388" w:rsidRDefault="00DD283E"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Medidas para garantizar la sostenibilidad social, medioambiental y económica del sector agroalimentario de la UE con la futura ampliación</w:t>
      </w:r>
    </w:p>
    <w:p w:rsidRPr="00B261A3" w:rsidR="006A7E31" w:rsidP="006A7E31" w:rsidRDefault="006A7E31" w14:paraId="7ECAFA22" w14:textId="77777777">
      <w:pPr>
        <w:tabs>
          <w:tab w:val="center" w:pos="284"/>
        </w:tabs>
        <w:overflowPunct w:val="0"/>
        <w:autoSpaceDE w:val="0"/>
        <w:autoSpaceDN w:val="0"/>
        <w:adjustRightInd w:val="0"/>
        <w:ind w:left="266" w:hanging="266"/>
        <w:textAlignment w:val="baseline"/>
        <w:rPr>
          <w:b/>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7326"/>
      </w:tblGrid>
      <w:tr w:rsidRPr="00B261A3" w:rsidR="006A7E31" w:rsidTr="00B261A3" w14:paraId="0A8ED047" w14:textId="77777777">
        <w:tc>
          <w:tcPr>
            <w:tcW w:w="862" w:type="pct"/>
          </w:tcPr>
          <w:p w:rsidRPr="00B261A3" w:rsidR="006A7E31" w:rsidP="00D76388" w:rsidRDefault="006A7E31" w14:paraId="4BEAF57E" w14:textId="77777777">
            <w:pPr>
              <w:tabs>
                <w:tab w:val="center" w:pos="284"/>
              </w:tabs>
              <w:overflowPunct w:val="0"/>
              <w:autoSpaceDE w:val="0"/>
              <w:autoSpaceDN w:val="0"/>
              <w:adjustRightInd w:val="0"/>
              <w:ind w:left="266" w:hanging="266"/>
              <w:textAlignment w:val="baseline"/>
              <w:rPr>
                <w:b/>
                <w:sz w:val="22"/>
                <w:szCs w:val="22"/>
              </w:rPr>
            </w:pPr>
            <w:r w:rsidRPr="00B261A3">
              <w:rPr>
                <w:b/>
                <w:sz w:val="22"/>
                <w:szCs w:val="22"/>
              </w:rPr>
              <w:t>Ponente</w:t>
            </w:r>
          </w:p>
        </w:tc>
        <w:tc>
          <w:tcPr>
            <w:tcW w:w="4138" w:type="pct"/>
          </w:tcPr>
          <w:p w:rsidRPr="00B261A3" w:rsidR="006A7E31" w:rsidP="00D76388" w:rsidRDefault="006A7E31" w14:paraId="0FD8C874" w14:textId="77777777">
            <w:pPr>
              <w:tabs>
                <w:tab w:val="center" w:pos="284"/>
              </w:tabs>
              <w:overflowPunct w:val="0"/>
              <w:autoSpaceDE w:val="0"/>
              <w:autoSpaceDN w:val="0"/>
              <w:adjustRightInd w:val="0"/>
              <w:ind w:left="266" w:hanging="266"/>
              <w:textAlignment w:val="baseline"/>
              <w:rPr>
                <w:bCs/>
                <w:sz w:val="22"/>
                <w:szCs w:val="22"/>
              </w:rPr>
            </w:pPr>
            <w:r w:rsidRPr="00B261A3">
              <w:rPr>
                <w:sz w:val="22"/>
                <w:szCs w:val="22"/>
              </w:rPr>
              <w:t>Stoyan TCHOUKANOV (Grupo de Organizaciones de la Sociedad Civil – BG)</w:t>
            </w:r>
          </w:p>
        </w:tc>
      </w:tr>
      <w:tr w:rsidRPr="00B261A3" w:rsidR="006A7E31" w:rsidTr="00D76388" w14:paraId="534412B4" w14:textId="77777777">
        <w:tc>
          <w:tcPr>
            <w:tcW w:w="5000" w:type="pct"/>
            <w:gridSpan w:val="2"/>
          </w:tcPr>
          <w:p w:rsidRPr="00B261A3"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B261A3" w:rsidR="006A7E31" w:rsidTr="00B261A3" w14:paraId="619C9BFB" w14:textId="77777777">
        <w:tc>
          <w:tcPr>
            <w:tcW w:w="862" w:type="pct"/>
            <w:vMerge w:val="restart"/>
          </w:tcPr>
          <w:p w:rsidRPr="00B261A3" w:rsidR="006A7E31" w:rsidP="00D76388" w:rsidRDefault="006A7E31" w14:paraId="758E622C" w14:textId="77777777">
            <w:pPr>
              <w:tabs>
                <w:tab w:val="center" w:pos="284"/>
              </w:tabs>
              <w:overflowPunct w:val="0"/>
              <w:autoSpaceDE w:val="0"/>
              <w:autoSpaceDN w:val="0"/>
              <w:adjustRightInd w:val="0"/>
              <w:ind w:left="266" w:hanging="266"/>
              <w:textAlignment w:val="baseline"/>
              <w:rPr>
                <w:b/>
                <w:sz w:val="22"/>
                <w:szCs w:val="22"/>
              </w:rPr>
            </w:pPr>
            <w:r w:rsidRPr="00B261A3">
              <w:rPr>
                <w:b/>
                <w:sz w:val="22"/>
                <w:szCs w:val="22"/>
              </w:rPr>
              <w:t>Referencia</w:t>
            </w:r>
          </w:p>
        </w:tc>
        <w:tc>
          <w:tcPr>
            <w:tcW w:w="4138" w:type="pct"/>
          </w:tcPr>
          <w:p w:rsidRPr="00B261A3" w:rsidR="00675DC1" w:rsidP="00D76388" w:rsidRDefault="00675DC1" w14:paraId="0EF6477D" w14:textId="2FD00AD1">
            <w:pPr>
              <w:tabs>
                <w:tab w:val="center" w:pos="284"/>
              </w:tabs>
              <w:overflowPunct w:val="0"/>
              <w:autoSpaceDE w:val="0"/>
              <w:autoSpaceDN w:val="0"/>
              <w:adjustRightInd w:val="0"/>
              <w:ind w:left="266" w:hanging="266"/>
              <w:textAlignment w:val="baseline"/>
              <w:rPr>
                <w:sz w:val="22"/>
                <w:szCs w:val="22"/>
              </w:rPr>
            </w:pPr>
            <w:r w:rsidRPr="00B261A3">
              <w:rPr>
                <w:sz w:val="22"/>
                <w:szCs w:val="22"/>
              </w:rPr>
              <w:t>Dictamen exploratorio a petición de la Comisión Europea</w:t>
            </w:r>
          </w:p>
          <w:p w:rsidRPr="00B261A3" w:rsidR="006A7E31" w:rsidP="00D76388" w:rsidRDefault="006A7E31" w14:paraId="72592991" w14:textId="60F76BFA">
            <w:pPr>
              <w:tabs>
                <w:tab w:val="center" w:pos="284"/>
              </w:tabs>
              <w:overflowPunct w:val="0"/>
              <w:autoSpaceDE w:val="0"/>
              <w:autoSpaceDN w:val="0"/>
              <w:adjustRightInd w:val="0"/>
              <w:ind w:left="266" w:hanging="266"/>
              <w:textAlignment w:val="baseline"/>
              <w:rPr>
                <w:sz w:val="22"/>
                <w:szCs w:val="22"/>
              </w:rPr>
            </w:pPr>
            <w:r w:rsidRPr="00B261A3">
              <w:rPr>
                <w:sz w:val="22"/>
                <w:szCs w:val="22"/>
              </w:rPr>
              <w:t>EESC-2024-01019-00-00-AC</w:t>
            </w:r>
          </w:p>
        </w:tc>
      </w:tr>
      <w:tr w:rsidRPr="00B261A3" w:rsidR="006A7E31" w:rsidTr="00B261A3" w14:paraId="305D4258" w14:textId="77777777">
        <w:tc>
          <w:tcPr>
            <w:tcW w:w="862" w:type="pct"/>
            <w:vMerge/>
          </w:tcPr>
          <w:p w:rsidRPr="00B261A3" w:rsidR="006A7E31" w:rsidP="00D76388" w:rsidRDefault="006A7E31" w14:paraId="5018D336" w14:textId="77777777">
            <w:pPr>
              <w:tabs>
                <w:tab w:val="center" w:pos="284"/>
              </w:tabs>
              <w:overflowPunct w:val="0"/>
              <w:autoSpaceDE w:val="0"/>
              <w:autoSpaceDN w:val="0"/>
              <w:adjustRightInd w:val="0"/>
              <w:ind w:left="266" w:hanging="266"/>
              <w:textAlignment w:val="baseline"/>
              <w:rPr>
                <w:b/>
                <w:sz w:val="22"/>
                <w:szCs w:val="22"/>
              </w:rPr>
            </w:pPr>
          </w:p>
        </w:tc>
        <w:tc>
          <w:tcPr>
            <w:tcW w:w="4138" w:type="pct"/>
          </w:tcPr>
          <w:p w:rsidRPr="00B261A3" w:rsidR="006A7E31" w:rsidP="00D76388" w:rsidRDefault="006A7E31" w14:paraId="636B8F17" w14:textId="77777777">
            <w:pPr>
              <w:tabs>
                <w:tab w:val="center" w:pos="284"/>
              </w:tabs>
              <w:overflowPunct w:val="0"/>
              <w:autoSpaceDE w:val="0"/>
              <w:autoSpaceDN w:val="0"/>
              <w:adjustRightInd w:val="0"/>
              <w:ind w:left="266" w:hanging="266"/>
              <w:textAlignment w:val="baseline"/>
              <w:rPr>
                <w:sz w:val="22"/>
                <w:szCs w:val="22"/>
              </w:rPr>
            </w:pPr>
          </w:p>
        </w:tc>
      </w:tr>
    </w:tbl>
    <w:p w:rsidRPr="005721DA" w:rsidR="006A7E31" w:rsidP="00B261A3"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00EC54AC" w:rsidP="00B261A3" w:rsidRDefault="00EC54AC" w14:paraId="4DA44AF4" w14:textId="77777777">
      <w:pPr>
        <w:overflowPunct w:val="0"/>
        <w:autoSpaceDE w:val="0"/>
        <w:autoSpaceDN w:val="0"/>
        <w:adjustRightInd w:val="0"/>
        <w:textAlignment w:val="baseline"/>
        <w:rPr>
          <w:bCs/>
          <w:iCs/>
        </w:rPr>
      </w:pPr>
    </w:p>
    <w:p w:rsidR="006A7E31" w:rsidP="00B261A3" w:rsidRDefault="006A7E31" w14:paraId="66855A04" w14:textId="1A59D518">
      <w:pPr>
        <w:overflowPunct w:val="0"/>
        <w:autoSpaceDE w:val="0"/>
        <w:autoSpaceDN w:val="0"/>
        <w:adjustRightInd w:val="0"/>
        <w:textAlignment w:val="baseline"/>
      </w:pPr>
      <w:r>
        <w:t>El CESE:</w:t>
      </w:r>
    </w:p>
    <w:p w:rsidRPr="005721DA" w:rsidR="00B261A3" w:rsidP="00B261A3" w:rsidRDefault="00B261A3" w14:paraId="0350C507" w14:textId="77777777">
      <w:pPr>
        <w:overflowPunct w:val="0"/>
        <w:autoSpaceDE w:val="0"/>
        <w:autoSpaceDN w:val="0"/>
        <w:adjustRightInd w:val="0"/>
        <w:textAlignment w:val="baseline"/>
        <w:rPr>
          <w:bCs/>
          <w:iCs/>
        </w:rPr>
      </w:pPr>
    </w:p>
    <w:p w:rsidRPr="005721DA" w:rsidR="006A7E31" w:rsidP="00B261A3"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destaca que, si bien esta ampliación es distinta de todas las anteriores debido a las circunstancias geopolíticas excepcionales actuales, esto no debe ser motivo para menoscabar el nivel de preparación de los países candidatos, la importancia de las reformas legislativas necesarias y el respeto a los valores fundamentales de la Unión;</w:t>
      </w:r>
    </w:p>
    <w:p w:rsidRPr="005721DA" w:rsidR="006A7E31" w:rsidP="00B261A3"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pone de relieve la importancia de la seguridad del suministro en el marco de la producción alimentaria de la Unión, en un contexto de tensiones geopolíticas, y la necesidad de garantizar que todas las regiones de la UE puedan mantener la producción agrícola en el futuro;</w:t>
      </w:r>
    </w:p>
    <w:p w:rsidRPr="005721DA" w:rsidR="006A7E31" w:rsidP="00B261A3"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destaca las oportunidades que ofrece esta ampliación para garantizar mejor la autonomía estratégica de la Unión y reducir aún más la huella ambiental del sector, aunque reconoce al mismo tiempo los resultados desiguales de la ampliación anterior y señala que hubo ganadores y perdedores, ya que las zonas rurales frágiles se han beneficiado mucho menos del proceso que las aglomeraciones, y las explotaciones europeas más pequeñas están desapareciendo; por consiguiente, insta a la Comisión Europea y a los países candidatos a la adhesión a estudiar y gestionar las repercusiones que la ampliación pueda tener de forma específica en las explotaciones agrarias familiares y las pequeñas y medianas empresas agroalimentarias tanto de la UE como de los países candidatos;</w:t>
      </w:r>
    </w:p>
    <w:p w:rsidRPr="005721DA" w:rsidR="006A7E31" w:rsidP="00B261A3"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subraya que los países candidatos tendrán que alinearse con los objetivos generales y los valores de la PAC, mientras que las reformas necesarias de la PAC y el marco financiero correspondiente deberán acordarse antes de que tenga lugar la ampliación; </w:t>
      </w:r>
    </w:p>
    <w:p w:rsidRPr="005721DA" w:rsidR="006A7E31" w:rsidP="00B261A3"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recomienda sustituir gradualmente la actual ayuda básica de la PAC a la renta basada en la superficie por incentivos financieros para servicios que beneficien al medio ambiente y a la sociedad, pagos decrecientes, límites máximos obligatorios o incrementos aplicables a las primeras hectáreas para todos los Estados miembros, y pide que las políticas agrícolas y de desarrollo rural se orienten en mayor medida hacia una economía de proximidad y que estos principios se transfieran a los nuevos países candidatos;</w:t>
      </w:r>
    </w:p>
    <w:p w:rsidRPr="005721DA" w:rsidR="006A7E31" w:rsidP="00B261A3"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pide un aumento del presupuesto de la PAC que se dedique a compensar debidamente los efectos negativos para los agricultores de la UE y que también tenga en cuenta los posibles costes sociales, lo que significa que los actuales contribuyentes netos deben estar dispuestos a pagar una mayor proporción de su PIB a la UE durante el nuevo período financiero, teniendo en cuenta el beneficio neto para los exportadores de bienes y servicios industriales de la Unión, mientras que el sector agroalimentario sufrirá la competencia de precios de algunos nuevos miembros con menores costes de producción; </w:t>
      </w:r>
    </w:p>
    <w:p w:rsidRPr="005721DA" w:rsidR="006A7E31" w:rsidP="00B261A3"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 xml:space="preserve">subraya la necesidad de disponer de datos concretos y fiables e insta a la Comisión Europea a que supervise de cerca la producción agrícola y la evolución de los procesos de reforma, incluida la </w:t>
      </w:r>
      <w:r>
        <w:lastRenderedPageBreak/>
        <w:t>especulación sobre el suelo;</w:t>
      </w:r>
    </w:p>
    <w:p w:rsidRPr="005721DA" w:rsidR="006A7E31" w:rsidP="00B261A3"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observa que, de algún modo, el proceso de integración ya ha comenzado con la apertura de los mercados de la UE a los productos agrícolas de los países candidatos, lo que crea para los Estados miembros de la UE posibles desventajas que deben evitarse mediante normas claras que los países candidatos deben respetar.</w:t>
      </w:r>
    </w:p>
    <w:p w:rsidRPr="00B261A3" w:rsidR="006A7E31" w:rsidP="00B261A3" w:rsidRDefault="006A7E31" w14:paraId="07AD08EE" w14:textId="77777777">
      <w:pPr>
        <w:widowControl w:val="0"/>
        <w:overflowPunct w:val="0"/>
        <w:autoSpaceDE w:val="0"/>
        <w:autoSpaceDN w:val="0"/>
        <w:adjustRightInd w:val="0"/>
        <w:ind w:left="709"/>
        <w:textAlignment w:val="baseline"/>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B261A3" w:rsidRDefault="006A7E31" w14:paraId="143C3E12" w14:textId="77777777">
            <w:pPr>
              <w:overflowPunct w:val="0"/>
              <w:autoSpaceDE w:val="0"/>
              <w:autoSpaceDN w:val="0"/>
              <w:adjustRightInd w:val="0"/>
              <w:textAlignment w:val="baseline"/>
              <w:rPr>
                <w:i/>
              </w:rPr>
            </w:pPr>
            <w:r>
              <w:rPr>
                <w:b/>
                <w:i/>
              </w:rPr>
              <w:t xml:space="preserve">Contacto: </w:t>
            </w:r>
          </w:p>
        </w:tc>
        <w:tc>
          <w:tcPr>
            <w:tcW w:w="3444" w:type="pct"/>
          </w:tcPr>
          <w:p w:rsidRPr="005721DA" w:rsidR="006A7E31" w:rsidP="00B261A3" w:rsidRDefault="006A7E31" w14:paraId="66260770" w14:textId="51A2E154">
            <w:pPr>
              <w:overflowPunct w:val="0"/>
              <w:autoSpaceDE w:val="0"/>
              <w:autoSpaceDN w:val="0"/>
              <w:adjustRightInd w:val="0"/>
              <w:textAlignment w:val="baseline"/>
              <w:rPr>
                <w:i/>
              </w:rPr>
            </w:pPr>
            <w:r>
              <w:rPr>
                <w:i/>
              </w:rPr>
              <w:t>Martine Delanoy</w:t>
            </w:r>
          </w:p>
        </w:tc>
      </w:tr>
      <w:tr w:rsidRPr="005721DA" w:rsidR="006A7E31" w:rsidTr="00D76388" w14:paraId="23B38305" w14:textId="77777777">
        <w:tc>
          <w:tcPr>
            <w:tcW w:w="1556" w:type="pct"/>
          </w:tcPr>
          <w:p w:rsidRPr="005721DA" w:rsidR="006A7E31" w:rsidP="00B261A3" w:rsidRDefault="006A7E31" w14:paraId="5C8133FF" w14:textId="77777777">
            <w:pPr>
              <w:overflowPunct w:val="0"/>
              <w:autoSpaceDE w:val="0"/>
              <w:autoSpaceDN w:val="0"/>
              <w:adjustRightInd w:val="0"/>
              <w:textAlignment w:val="baseline"/>
              <w:rPr>
                <w:i/>
              </w:rPr>
            </w:pPr>
            <w:r>
              <w:rPr>
                <w:i/>
              </w:rPr>
              <w:t>Teléfono:</w:t>
            </w:r>
          </w:p>
        </w:tc>
        <w:tc>
          <w:tcPr>
            <w:tcW w:w="3444" w:type="pct"/>
          </w:tcPr>
          <w:p w:rsidRPr="005721DA" w:rsidR="006A7E31" w:rsidP="00B261A3" w:rsidRDefault="006A7E31" w14:paraId="63B4A1E4" w14:textId="77777777">
            <w:pPr>
              <w:overflowPunct w:val="0"/>
              <w:autoSpaceDE w:val="0"/>
              <w:autoSpaceDN w:val="0"/>
              <w:adjustRightInd w:val="0"/>
              <w:textAlignment w:val="baseline"/>
              <w:rPr>
                <w:i/>
              </w:rPr>
            </w:pPr>
            <w:r>
              <w:rPr>
                <w:i/>
              </w:rPr>
              <w:t>+32 25469802</w:t>
            </w:r>
          </w:p>
        </w:tc>
      </w:tr>
      <w:tr w:rsidRPr="005721DA" w:rsidR="006A7E31" w:rsidTr="00D76388" w14:paraId="654AFF96" w14:textId="77777777">
        <w:tc>
          <w:tcPr>
            <w:tcW w:w="1556" w:type="pct"/>
          </w:tcPr>
          <w:p w:rsidRPr="005721DA" w:rsidR="006A7E31" w:rsidP="00B261A3" w:rsidRDefault="006A7E31" w14:paraId="38B60C77" w14:textId="77777777">
            <w:pPr>
              <w:overflowPunct w:val="0"/>
              <w:autoSpaceDE w:val="0"/>
              <w:autoSpaceDN w:val="0"/>
              <w:adjustRightInd w:val="0"/>
              <w:textAlignment w:val="baseline"/>
              <w:rPr>
                <w:i/>
              </w:rPr>
            </w:pPr>
            <w:r>
              <w:rPr>
                <w:i/>
              </w:rPr>
              <w:t>Correo electrónico:</w:t>
            </w:r>
          </w:p>
        </w:tc>
        <w:tc>
          <w:tcPr>
            <w:tcW w:w="3444" w:type="pct"/>
          </w:tcPr>
          <w:p w:rsidRPr="005721DA" w:rsidR="006A7E31" w:rsidP="00B261A3" w:rsidRDefault="00DD283E" w14:paraId="3B090D2B" w14:textId="77777777">
            <w:pPr>
              <w:overflowPunct w:val="0"/>
              <w:autoSpaceDE w:val="0"/>
              <w:autoSpaceDN w:val="0"/>
              <w:adjustRightInd w:val="0"/>
              <w:textAlignment w:val="baseline"/>
              <w:rPr>
                <w:i/>
              </w:rPr>
            </w:pPr>
            <w:hyperlink w:history="1" r:id="rId34">
              <w:r w:rsidR="000B64C3">
                <w:rPr>
                  <w:i/>
                  <w:color w:val="0000FF"/>
                  <w:u w:val="single"/>
                </w:rPr>
                <w:t>Martine.Delanoy@eesc.europa.eu</w:t>
              </w:r>
            </w:hyperlink>
            <w:r w:rsidR="000B64C3">
              <w:rPr>
                <w:i/>
              </w:rPr>
              <w:t xml:space="preserve"> </w:t>
            </w:r>
          </w:p>
        </w:tc>
      </w:tr>
    </w:tbl>
    <w:p w:rsidRPr="00B261A3" w:rsidR="00B261A3" w:rsidP="00D92244" w:rsidRDefault="00B261A3" w14:paraId="274CA412" w14:textId="68183574">
      <w:pPr>
        <w:pStyle w:val="TOC1"/>
        <w:rPr>
          <w:sz w:val="22"/>
          <w:szCs w:val="22"/>
        </w:rPr>
      </w:pPr>
      <w:bookmarkStart w:name="_Toc172289021" w:id="8"/>
    </w:p>
    <w:p w:rsidR="00B261A3" w:rsidRDefault="00B261A3" w14:paraId="03C792DD" w14:textId="77777777">
      <w:pPr>
        <w:spacing w:after="160" w:line="259" w:lineRule="auto"/>
        <w:jc w:val="left"/>
        <w:rPr>
          <w:b/>
          <w:noProof/>
          <w:sz w:val="20"/>
          <w:szCs w:val="20"/>
          <w14:scene3d>
            <w14:camera w14:prst="orthographicFront"/>
            <w14:lightRig w14:rig="threePt" w14:dir="t">
              <w14:rot w14:lat="0" w14:lon="0" w14:rev="0"/>
            </w14:lightRig>
          </w14:scene3d>
        </w:rPr>
      </w:pPr>
      <w:r>
        <w:br w:type="page"/>
      </w:r>
    </w:p>
    <w:p w:rsidR="00520680" w:rsidP="00D92244" w:rsidRDefault="006A7E31" w14:paraId="3600B088" w14:textId="5936D315">
      <w:pPr>
        <w:pStyle w:val="TOC1"/>
      </w:pPr>
      <w:r>
        <w:lastRenderedPageBreak/>
        <w:t>6.</w:t>
      </w:r>
      <w:r>
        <w:tab/>
        <w:t>RELACIONES EXTERIORES</w:t>
      </w:r>
      <w:bookmarkEnd w:id="8"/>
    </w:p>
    <w:p w:rsidRPr="006A7E31" w:rsidR="006A7E31" w:rsidP="006A7E31" w:rsidRDefault="006A7E31" w14:paraId="7F857315" w14:textId="77777777"/>
    <w:p w:rsidRPr="003567CE" w:rsidR="003567CE" w:rsidP="0088361D" w:rsidRDefault="00DD283E"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Control de las inversiones extranjeras en la Unión</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Ponente</w:t>
            </w:r>
          </w:p>
        </w:tc>
        <w:tc>
          <w:tcPr>
            <w:tcW w:w="5387" w:type="dxa"/>
          </w:tcPr>
          <w:p w:rsidRPr="0088361D" w:rsidR="003567CE" w:rsidP="003567CE" w:rsidRDefault="003567CE" w14:paraId="5C6E2D44" w14:textId="60E22C07">
            <w:pPr>
              <w:tabs>
                <w:tab w:val="center" w:pos="2585"/>
              </w:tabs>
              <w:jc w:val="left"/>
            </w:pPr>
            <w:r>
              <w:t>Javier DOZ ORRIT (Grupo de Trabajadores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Referencias</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Puntos clave</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El CESE:</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acoge con satisfacción la propuesta de Reglamento como un paso en la dirección correcta, ya que mejora los mecanismos de control para las inversiones extranjeras directas (IED) en la UE. La propuesta de Reglamento tiene por objeto armonizar los procedimientos nacionales y reforzar el mecanismo de cooperación de la UE, con el fin de garantizar el control público de los sectores y programas críticos;</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destaca la importancia de promover una mayor armonización de las normas nacionales que regulan las IED y los mecanismos de control, en particular en los siguientes aspectos: establecer umbrales coherentes para el control de las IED y plazos uniformes para las respuestas; definir de manera coherente los riesgos para la seguridad y el orden público; reforzar las capacidades de los Estados miembros de cara a la aplicación efectiva de las actividades de control de las IED;</w:t>
      </w:r>
    </w:p>
    <w:p w:rsidRPr="003567CE" w:rsidR="003567CE" w:rsidP="0088361D" w:rsidRDefault="003567CE" w14:paraId="035CA57A" w14:textId="77777777">
      <w:pPr>
        <w:widowControl w:val="0"/>
        <w:numPr>
          <w:ilvl w:val="0"/>
          <w:numId w:val="45"/>
        </w:numPr>
        <w:spacing w:before="10" w:after="10" w:line="276" w:lineRule="auto"/>
        <w:ind w:left="426"/>
      </w:pPr>
      <w:r>
        <w:t>pide que se determinen los casos excepcionales en los que las instituciones de la UE puedan prohibir, mitigar o aplicar condiciones a las IED que pongan en peligro programas o proyectos de interés para la Unión, garantizando un enfoque armonizado para proteger la seguridad y el orden públicos en todos los Estados miembros. A tal efecto, la UE debe establecer procedimientos y circunstancias claros para ejercer control sobre las inversiones que planteen riesgos significativos para los intereses de la UE;</w:t>
      </w:r>
    </w:p>
    <w:p w:rsidRPr="003567CE" w:rsidR="003567CE" w:rsidP="0088361D" w:rsidRDefault="003567CE" w14:paraId="1444EF7F" w14:textId="77777777">
      <w:pPr>
        <w:widowControl w:val="0"/>
        <w:numPr>
          <w:ilvl w:val="0"/>
          <w:numId w:val="45"/>
        </w:numPr>
        <w:spacing w:before="10" w:after="10" w:line="276" w:lineRule="auto"/>
        <w:ind w:left="426"/>
      </w:pPr>
      <w:r>
        <w:t>propone promover la aplicación del principio de reciprocidad en acuerdos comerciales, de inversión o de asociación con terceros países y supervisar las inversiones de países que restringen las inversiones de la UE, con el fin de garantizar un tratamiento equilibrado y justo. La aplicación estricta se decidiría caso por caso. Debe seguir promoviéndose la IED dentro del marco conceptual de la autonomía estratégica y de la Estrategia de Seguridad Económica para fomentar la competitividad sostenible;</w:t>
      </w:r>
    </w:p>
    <w:p w:rsidRPr="003567CE" w:rsidR="003567CE" w:rsidP="0088361D" w:rsidRDefault="003567CE" w14:paraId="33A49B20" w14:textId="77777777">
      <w:pPr>
        <w:widowControl w:val="0"/>
        <w:numPr>
          <w:ilvl w:val="0"/>
          <w:numId w:val="45"/>
        </w:numPr>
        <w:spacing w:before="10" w:after="10" w:line="276" w:lineRule="auto"/>
        <w:ind w:left="426"/>
      </w:pPr>
      <w:r>
        <w:t>pide que las inversiones procedentes de paraísos fiscales se sometan a una vigilancia especial, en la que se exija pleno conocimiento de los verdaderos propietarios de las empresas inversoras y un examen de la legalidad de los fondos empleados. Los Estados miembros deben estudiar la posibilidad de eliminar los llamados «visados de oro» para obtener la residencia en un país de la UE o su nacionalidad;</w:t>
      </w:r>
    </w:p>
    <w:p w:rsidRPr="003567CE" w:rsidR="003567CE" w:rsidP="0088361D" w:rsidRDefault="003567CE" w14:paraId="4CDFF91C" w14:textId="77777777">
      <w:pPr>
        <w:widowControl w:val="0"/>
        <w:numPr>
          <w:ilvl w:val="0"/>
          <w:numId w:val="45"/>
        </w:numPr>
        <w:spacing w:before="10" w:after="10" w:line="276" w:lineRule="auto"/>
        <w:ind w:left="426"/>
      </w:pPr>
      <w:r>
        <w:t xml:space="preserve">destaca la necesidad de establecer mecanismos de participación para los interlocutores sociales y las organizaciones de la sociedad civil en la política y el control de las IED tanto a escala nacional como de la Unión, garantizando la transparencia y el carácter inclusivo del proceso de evaluación.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3567CE" w:rsidR="003567CE" w:rsidTr="00B261A3" w14:paraId="0BDAEDE2" w14:textId="77777777">
        <w:tc>
          <w:tcPr>
            <w:tcW w:w="2093" w:type="dxa"/>
          </w:tcPr>
          <w:p w:rsidRPr="003567CE" w:rsidR="003567CE" w:rsidP="003567CE" w:rsidRDefault="003567CE" w14:paraId="75FDFE87" w14:textId="77777777">
            <w:pPr>
              <w:rPr>
                <w:i/>
                <w:sz w:val="22"/>
                <w:szCs w:val="22"/>
              </w:rPr>
            </w:pPr>
            <w:r>
              <w:rPr>
                <w:b/>
                <w:i/>
                <w:sz w:val="22"/>
              </w:rPr>
              <w:t>Contacto:</w:t>
            </w:r>
          </w:p>
        </w:tc>
        <w:tc>
          <w:tcPr>
            <w:tcW w:w="4995" w:type="dxa"/>
          </w:tcPr>
          <w:p w:rsidRPr="003567CE" w:rsidR="003567CE" w:rsidP="003567CE" w:rsidRDefault="003567CE" w14:paraId="2C1A667F" w14:textId="77777777">
            <w:pPr>
              <w:rPr>
                <w:i/>
                <w:sz w:val="22"/>
                <w:szCs w:val="22"/>
              </w:rPr>
            </w:pPr>
            <w:r>
              <w:rPr>
                <w:i/>
                <w:sz w:val="22"/>
              </w:rPr>
              <w:t>Marco Ristori</w:t>
            </w:r>
          </w:p>
        </w:tc>
      </w:tr>
      <w:tr w:rsidRPr="003567CE" w:rsidR="003567CE" w:rsidTr="00B261A3" w14:paraId="43A475CE" w14:textId="77777777">
        <w:tc>
          <w:tcPr>
            <w:tcW w:w="2093" w:type="dxa"/>
          </w:tcPr>
          <w:p w:rsidRPr="003567CE" w:rsidR="003567CE" w:rsidP="003567CE" w:rsidRDefault="003567CE" w14:paraId="68E49F1C" w14:textId="77777777">
            <w:pPr>
              <w:rPr>
                <w:i/>
                <w:sz w:val="22"/>
                <w:szCs w:val="22"/>
              </w:rPr>
            </w:pPr>
            <w:r>
              <w:rPr>
                <w:i/>
                <w:sz w:val="22"/>
              </w:rPr>
              <w:t>Teléfono:</w:t>
            </w:r>
          </w:p>
        </w:tc>
        <w:tc>
          <w:tcPr>
            <w:tcW w:w="4995" w:type="dxa"/>
          </w:tcPr>
          <w:p w:rsidRPr="003567CE" w:rsidR="003567CE" w:rsidP="003567CE" w:rsidRDefault="003567CE" w14:paraId="25B8F53A" w14:textId="77777777">
            <w:pPr>
              <w:rPr>
                <w:i/>
                <w:sz w:val="22"/>
                <w:szCs w:val="22"/>
              </w:rPr>
            </w:pPr>
            <w:r>
              <w:rPr>
                <w:i/>
                <w:sz w:val="22"/>
              </w:rPr>
              <w:t>+32 25469969</w:t>
            </w:r>
          </w:p>
        </w:tc>
      </w:tr>
      <w:tr w:rsidRPr="003567CE" w:rsidR="003567CE" w:rsidTr="00B261A3" w14:paraId="25CC9356" w14:textId="77777777">
        <w:tc>
          <w:tcPr>
            <w:tcW w:w="2093" w:type="dxa"/>
          </w:tcPr>
          <w:p w:rsidRPr="003567CE" w:rsidR="003567CE" w:rsidP="003567CE" w:rsidRDefault="003567CE" w14:paraId="17484178" w14:textId="77777777">
            <w:pPr>
              <w:rPr>
                <w:i/>
                <w:sz w:val="22"/>
                <w:szCs w:val="22"/>
              </w:rPr>
            </w:pPr>
            <w:r>
              <w:rPr>
                <w:i/>
                <w:sz w:val="22"/>
              </w:rPr>
              <w:t>Correo electrónico:</w:t>
            </w:r>
          </w:p>
        </w:tc>
        <w:tc>
          <w:tcPr>
            <w:tcW w:w="4995" w:type="dxa"/>
          </w:tcPr>
          <w:p w:rsidRPr="003567CE" w:rsidR="003567CE" w:rsidP="003567CE" w:rsidRDefault="00DD283E" w14:paraId="4A046612" w14:textId="77777777">
            <w:pPr>
              <w:rPr>
                <w:i/>
                <w:sz w:val="22"/>
                <w:szCs w:val="22"/>
              </w:rPr>
            </w:pPr>
            <w:hyperlink w:history="1" r:id="rId36">
              <w:r w:rsidR="000B64C3">
                <w:rPr>
                  <w:i/>
                  <w:color w:val="0000FF"/>
                  <w:sz w:val="22"/>
                  <w:u w:val="single"/>
                </w:rPr>
                <w:t>Marco.Ristori@eesc.europa.eu</w:t>
              </w:r>
            </w:hyperlink>
          </w:p>
        </w:tc>
      </w:tr>
    </w:tbl>
    <w:p w:rsidRPr="00B261A3" w:rsidR="003567CE" w:rsidP="0088361D" w:rsidRDefault="003567CE" w14:paraId="67F3595B" w14:textId="7DB7E2AE">
      <w:pPr>
        <w:tabs>
          <w:tab w:val="left" w:pos="426"/>
        </w:tabs>
        <w:spacing w:after="160" w:line="259" w:lineRule="auto"/>
        <w:ind w:left="426" w:hanging="426"/>
        <w:jc w:val="left"/>
        <w:rPr>
          <w:rFonts w:eastAsiaTheme="minorEastAsia"/>
          <w:sz w:val="10"/>
          <w:szCs w:val="10"/>
        </w:rPr>
      </w:pPr>
      <w: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289022" w:id="9"/>
      <w:r>
        <w:t>7.</w:t>
      </w:r>
      <w:r>
        <w:tab/>
        <w:t>TRANSPORTES, ENERGÍA, INFRAESTRUCTURAS Y SOCIEDAD DE LA INFORMACIÓN</w:t>
      </w:r>
      <w:bookmarkEnd w:id="9"/>
    </w:p>
    <w:p w:rsidR="00160A67" w:rsidP="00160A67" w:rsidRDefault="00160A67" w14:paraId="2CBE297E" w14:textId="164A826B">
      <w:pPr>
        <w:rPr>
          <w:rFonts w:eastAsiaTheme="minorEastAsia"/>
        </w:rPr>
      </w:pPr>
    </w:p>
    <w:p w:rsidRPr="00200444" w:rsidR="00200444" w:rsidP="00200444" w:rsidRDefault="00DD283E"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Digitalización de la energía: alcanzar un equilibrio entre las oportunidades y los riesgos para los consumidores europeos</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Ponente</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t>Kęstutis KUPŠYS (Grupo de Organizaciones de la Sociedad Civil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Referencia</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Dictamen de iniciativa</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El CESE:</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subraya que la digitalización es una cuestión que reviste cada vez más importancia a la vista de la transición ecológica. No obstante, la energía debe seguir siendo asequible, renovable y fácil de utilizar para los consumidores. Esto implica desarrollar herramientas digitales fáciles de usar que se adapten a las diversas necesidades y promuevan la igualdad de acceso a los servicios energéticos digitales. Conviene que los consumidores sigan teniendo la posibilidad de optar por precios, contratos y servicios de atención al cliente de forma «predigital»;</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destaca la prioridad que se debe conceder a la ciberseguridad de los datos de los usuarios. La digitalización acentúa la necesidad de elaborar una normativa de protección de los consumidores dinámica y adaptada a los nuevos contextos y participantes en el sector;</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señala que la brecha digital entre los consumidores que pueden permitirse herramientas digitales más caras y los que no, es susceptible de conducir a una mayor pobreza energética;</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recomienda que se imparta formación a los trabajadores. Deben promoverse entre todas las partes interesadas las academias para una industria de cero emisiones netas, con especial atención a las competencias en el ámbito de la eficiencia energética.</w:t>
      </w: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200444" w:rsidR="00200444" w:rsidTr="00B261A3" w14:paraId="308752F8" w14:textId="77777777">
        <w:tc>
          <w:tcPr>
            <w:tcW w:w="1951"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Contacto:</w:t>
            </w:r>
          </w:p>
        </w:tc>
        <w:tc>
          <w:tcPr>
            <w:tcW w:w="5137"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Sarman Grilc </w:t>
            </w:r>
          </w:p>
        </w:tc>
      </w:tr>
      <w:tr w:rsidRPr="00200444" w:rsidR="00200444" w:rsidTr="00B261A3" w14:paraId="4CB9B9D6" w14:textId="77777777">
        <w:tc>
          <w:tcPr>
            <w:tcW w:w="1951"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Teléfono:</w:t>
            </w:r>
          </w:p>
        </w:tc>
        <w:tc>
          <w:tcPr>
            <w:tcW w:w="5137"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B261A3" w14:paraId="060AFC65" w14:textId="77777777">
        <w:tc>
          <w:tcPr>
            <w:tcW w:w="1951"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Correo electrónico:</w:t>
            </w:r>
          </w:p>
        </w:tc>
        <w:tc>
          <w:tcPr>
            <w:tcW w:w="5137" w:type="dxa"/>
          </w:tcPr>
          <w:p w:rsidRPr="00200444" w:rsidR="00200444" w:rsidP="00200444" w:rsidRDefault="00DD283E"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00FE2F95" w:rsidP="00FE2F95" w:rsidRDefault="00FE2F95" w14:paraId="526905B5" w14:textId="77777777">
      <w:pPr>
        <w:pStyle w:val="TOC1"/>
        <w:rPr>
          <w:bCs/>
          <w:noProof w:val="0"/>
          <w:sz w:val="22"/>
          <w:szCs w:val="22"/>
        </w:rPr>
      </w:pPr>
    </w:p>
    <w:p w:rsidRPr="00160A67" w:rsidR="00160A67" w:rsidP="00FE2F95" w:rsidRDefault="003D6811" w14:paraId="5D209F0E" w14:textId="4471A438">
      <w:pPr>
        <w:pStyle w:val="TOC1"/>
        <w:rPr>
          <w:rFonts w:eastAsiaTheme="minorEastAsia"/>
        </w:rPr>
      </w:pPr>
      <w:bookmarkStart w:name="_Toc172289023" w:id="12"/>
      <w:r>
        <w:rPr>
          <w:sz w:val="22"/>
        </w:rPr>
        <w:t xml:space="preserve">8. </w:t>
      </w:r>
      <w:r>
        <w:rPr>
          <w:sz w:val="22"/>
        </w:rPr>
        <w:tab/>
        <w:t>COMISIÓN CONSULTIVA DE LAS TRANSFORMACIONES INDUSTRIALES</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DD283E"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Un futuro construido con la naturaleza: impulso a la biotecnología y la biofabricación en la UE</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Ponente</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(Grupo de Trabajadores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Coponente</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t>Antonello Pezzini (Cat.1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Referencias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El CESE:</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lamenta que la UE no disponga aún de una </w:t>
      </w:r>
      <w:r>
        <w:rPr>
          <w:b/>
        </w:rPr>
        <w:t>estrategia de bioeconomía</w:t>
      </w:r>
      <w:r>
        <w:t xml:space="preserve"> ni de una </w:t>
      </w:r>
      <w:r>
        <w:rPr>
          <w:b/>
        </w:rPr>
        <w:t>normativa sobre biotecnología</w:t>
      </w:r>
      <w:r>
        <w:t xml:space="preserve"> y considera urgente promulgar una legislación de este tipo dada la situación mundial;</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propone que la </w:t>
      </w:r>
      <w:r>
        <w:rPr>
          <w:b/>
        </w:rPr>
        <w:t>estrategia de bioeconomía de la UE se base en un enfoque sectorial integrado</w:t>
      </w:r>
      <w:r>
        <w:t xml:space="preserve"> con objetivos específicos y prevea una agenda de investigación para los próximos diez años, una lista de capacidades y un papel claro para la sociedad civil;</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cree que es preciso considerar y promover a escala mundial un </w:t>
      </w:r>
      <w:r>
        <w:rPr>
          <w:b/>
        </w:rPr>
        <w:t>código ético para las empresas y los productos de la UE que se comercializan en la Unión</w:t>
      </w:r>
      <w:r>
        <w: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defiende que se necesitan </w:t>
      </w:r>
      <w:r>
        <w:rPr>
          <w:b/>
        </w:rPr>
        <w:t>medidas específicas</w:t>
      </w:r>
      <w:r>
        <w:t xml:space="preserve"> para </w:t>
      </w:r>
      <w:r>
        <w:rPr>
          <w:b/>
        </w:rPr>
        <w:t>desarrollar competencias</w:t>
      </w:r>
      <w:r>
        <w:t xml:space="preserve"> y </w:t>
      </w:r>
      <w:r>
        <w:rPr>
          <w:b/>
        </w:rPr>
        <w:t>consolidar las sinergias</w:t>
      </w:r>
      <w:r>
        <w:t xml:space="preserve"> entre los requisitos relativos a las cualificaciones biotecnológicas y las necesidades de la biofabricación;</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propone que el desarrollo de la biotecnología y la biofabricación en la UE incluya </w:t>
      </w:r>
      <w:r>
        <w:rPr>
          <w:b/>
        </w:rPr>
        <w:t>indicadores sectoriales</w:t>
      </w:r>
      <w:r>
        <w:t xml:space="preserve">, </w:t>
      </w:r>
      <w:r>
        <w:rPr>
          <w:b/>
        </w:rPr>
        <w:t>asociaciones público-privadas</w:t>
      </w:r>
      <w:r>
        <w:t xml:space="preserve">, un </w:t>
      </w:r>
      <w:r>
        <w:rPr>
          <w:b/>
        </w:rPr>
        <w:t>sistema de investigación intersectorial</w:t>
      </w:r>
      <w:r>
        <w:t xml:space="preserve">, una </w:t>
      </w:r>
      <w:r>
        <w:rPr>
          <w:b/>
        </w:rPr>
        <w:t>base de datos en la que figuren posibles inversores</w:t>
      </w:r>
      <w:r>
        <w:t xml:space="preserve">, </w:t>
      </w:r>
      <w:r>
        <w:rPr>
          <w:b/>
        </w:rPr>
        <w:t>procesos de autorización más rápidos y menos burocráticos</w:t>
      </w:r>
      <w:r>
        <w:t xml:space="preserve">, una </w:t>
      </w:r>
      <w:r>
        <w:rPr>
          <w:b/>
        </w:rPr>
        <w:t>sinergia perfecta con los ODS y el Pacto Azul propuesto</w:t>
      </w:r>
      <w:r>
        <w:t xml:space="preserve">, </w:t>
      </w:r>
      <w:r>
        <w:rPr>
          <w:b/>
        </w:rPr>
        <w:t>normas europeas y mundiales</w:t>
      </w:r>
      <w:r>
        <w:t xml:space="preserve"> específicas y armonizadas, medidas para aumentar </w:t>
      </w:r>
      <w:r>
        <w:rPr>
          <w:b/>
        </w:rPr>
        <w:t>el apoyo público, la confianza y la educación</w:t>
      </w:r>
      <w:r>
        <w:t xml:space="preserve">, y una </w:t>
      </w:r>
      <w:r>
        <w:rPr>
          <w:b/>
        </w:rPr>
        <w:t>distinción más clara entre las competencias nacionales y las compartidas</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propone que </w:t>
      </w:r>
      <w:r>
        <w:rPr>
          <w:b/>
        </w:rPr>
        <w:t>la biotecnología y la biofabricación en la UE se financien</w:t>
      </w:r>
      <w:r>
        <w:t xml:space="preserve"> teniendo debidamente en cuenta un </w:t>
      </w:r>
      <w:r>
        <w:rPr>
          <w:b/>
        </w:rPr>
        <w:t>enfoque basado en sinergias para el Mecanismo de Recuperación y Resiliencia (MRR), la Plataforma de Tecnologías Estratégicas para Europa (STEP), el Banco Europeo de Inversiones (BEI) y la política de cohesión</w:t>
      </w:r>
      <w:r>
        <w:t xml:space="preserve">; considera que parte de la recaudación de los </w:t>
      </w:r>
      <w:r>
        <w:rPr>
          <w:b/>
        </w:rPr>
        <w:t>impuestos medioambientales</w:t>
      </w:r>
      <w:r>
        <w:t xml:space="preserve"> debe </w:t>
      </w:r>
      <w:r>
        <w:rPr>
          <w:b/>
        </w:rPr>
        <w:t>reorientarse a la financiación de productos de biotecnología ecológica</w:t>
      </w:r>
      <w:r>
        <w:t xml:space="preserve"> y que debe </w:t>
      </w:r>
      <w:r>
        <w:rPr>
          <w:b/>
        </w:rPr>
        <w:t>utilizarse una variedad y una combinación de fuentes y fondos financieros</w:t>
      </w:r>
      <w:r>
        <w:t xml:space="preserve"> tales como préstamos, capital riesgo y fondos públicos.</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Contacto:</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Teléfono:</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CE7004" w:rsidR="00CE7004" w:rsidP="00CE7004" w:rsidRDefault="00DD283E"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Combustibles hipocarbónicos y renovables</w:t>
        </w:r>
      </w:hyperlink>
      <w:r>
        <w:rPr>
          <w:b/>
          <w:i/>
          <w:color w:val="0000FF"/>
          <w:sz w:val="28"/>
          <w:u w:val="single"/>
        </w:rPr>
        <w:t>: desarrollar la capacidad de la industria europea para descarbonizar los sectores aéreo y marítimo en interés de la autonomía europea</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Ponente </w:t>
      </w:r>
      <w:r>
        <w:rPr>
          <w:b/>
          <w:sz w:val="20"/>
        </w:rPr>
        <w:tab/>
      </w:r>
      <w:r>
        <w:rPr>
          <w:sz w:val="20"/>
        </w:rPr>
        <w:t>Anastasis YIAPANIS (Grupo de Organizaciones de la Sociedad Civil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Coponente</w:t>
      </w:r>
      <w:r>
        <w:rPr>
          <w:b/>
          <w:sz w:val="20"/>
        </w:rPr>
        <w:tab/>
      </w:r>
      <w:r>
        <w:rPr>
          <w:sz w:val="20"/>
        </w:rPr>
        <w:t>Franck UHLIG (Cat.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Referencia</w:t>
      </w:r>
      <w:r>
        <w:rPr>
          <w:b/>
          <w:sz w:val="20"/>
        </w:rPr>
        <w:tab/>
      </w:r>
      <w:r>
        <w:rPr>
          <w:sz w:val="20"/>
        </w:rPr>
        <w:t>Dictamen de iniciativa</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Puntos clave</w:t>
      </w:r>
    </w:p>
    <w:p w:rsidRPr="00D742A4" w:rsidR="00D742A4" w:rsidP="00D742A4" w:rsidRDefault="00D742A4" w14:paraId="696A7DF5" w14:textId="77777777">
      <w:pPr>
        <w:spacing w:after="160" w:line="259" w:lineRule="auto"/>
        <w:jc w:val="left"/>
        <w:rPr>
          <w:rFonts w:eastAsiaTheme="minorHAnsi"/>
        </w:rPr>
      </w:pPr>
      <w:r>
        <w:t>El CESE:</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señala la </w:t>
      </w:r>
      <w:r>
        <w:rPr>
          <w:b/>
        </w:rPr>
        <w:t>ausencia de incentivos</w:t>
      </w:r>
      <w:r>
        <w:t xml:space="preserve"> para desarrollar proyectos de producción de combustibles sostenibles e hipocarbónicos; añade que los </w:t>
      </w:r>
      <w:r>
        <w:rPr>
          <w:b/>
        </w:rPr>
        <w:t>elevados costes de producción y la incertidumbre sobre la disponibilidad de combustibles sostenibles</w:t>
      </w:r>
      <w:r>
        <w:t xml:space="preserve"> son obstáculos importantes para su adopción generalizada;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considera que una </w:t>
      </w:r>
      <w:r>
        <w:rPr>
          <w:b/>
        </w:rPr>
        <w:t>producción escasa de combustibles sostenibles en la UE afectaría negativamente a su autonomía estratégica</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hace hincapié en la necesidad de </w:t>
      </w:r>
      <w:r>
        <w:rPr>
          <w:b/>
        </w:rPr>
        <w:t>preservar y mejorar la competitividad de la industria de la UE</w:t>
      </w:r>
      <w:r>
        <w:t xml:space="preserve"> frente a la intensa competencia mundial;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defiende una </w:t>
      </w:r>
      <w:r>
        <w:rPr>
          <w:b/>
        </w:rPr>
        <w:t>hoja de ruta exhaustiva para aumentar el uso de combustibles de aviación sostenibles</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considera que, </w:t>
      </w:r>
      <w:r>
        <w:rPr>
          <w:b/>
        </w:rPr>
        <w:t>para la industria marítima</w:t>
      </w:r>
      <w:r>
        <w:t xml:space="preserve">, </w:t>
      </w:r>
      <w:r>
        <w:rPr>
          <w:b/>
        </w:rPr>
        <w:t>crear la infraestructura de repostaje para que los puertos de todo el mundo puedan abastecer de combustibles alternativos a los buques de forma segura</w:t>
      </w:r>
      <w:r>
        <w:t xml:space="preserve"> supone un reto;</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destaca el riesgo de una </w:t>
      </w:r>
      <w:r>
        <w:rPr>
          <w:b/>
        </w:rPr>
        <w:t>posible escasez de materias primas disponibles y los volúmenes de energía descarbonizada</w:t>
      </w:r>
      <w:r>
        <w:t xml:space="preserve"> para la transición hacia una fabricación de combustibles sostenible;</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insta a </w:t>
      </w:r>
      <w:r>
        <w:rPr>
          <w:b/>
        </w:rPr>
        <w:t>establecer unas condiciones reglamentarias coherentes que desbloqueen las inversiones, con incentivos para estimular la producción inmediata y favorecer un mercado para combustibles con una huella de carbono reducida</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propone </w:t>
      </w:r>
      <w:r>
        <w:rPr>
          <w:b/>
        </w:rPr>
        <w:t>armonizar la fiscalidad con el impacto climático de cada tipo de combustible</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lamenta que las </w:t>
      </w:r>
      <w:r>
        <w:rPr>
          <w:b/>
        </w:rPr>
        <w:t>subvenciones y subsidios de la UE no den prioridad suficiente las infraestructuras para la producción de combustibles hipocarbónicos y renovables destinados a los sectores aéreo y marítimo</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indica que la </w:t>
      </w:r>
      <w:r>
        <w:rPr>
          <w:b/>
        </w:rPr>
        <w:t>I+D es esencial para reducir los costes</w:t>
      </w:r>
      <w:r>
        <w:t xml:space="preserve"> de las tecnologías hipocarbónicas avanzadas;</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aboga por una </w:t>
      </w:r>
      <w:r>
        <w:rPr>
          <w:b/>
        </w:rPr>
        <w:t>estrategia integral que permita llevar a cabo una transición limpia de cadenas de valor industriales completas, incorpore el hidrógeno, aumente los biocombustibles, amplíe los combustibles sintéticos y dé continuidad a las actuales asociaciones sectoriales en el marco del sucesor de Horizonte Europa</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afirma que son necesarios </w:t>
      </w:r>
      <w:r>
        <w:rPr>
          <w:b/>
        </w:rPr>
        <w:t>programas de desarrollo de capacidades</w:t>
      </w:r>
      <w:r>
        <w:t xml:space="preserve">, en particular de formación profesional y apoyo a las transiciones profesionales; reitera la </w:t>
      </w:r>
      <w:r>
        <w:rPr>
          <w:b/>
        </w:rPr>
        <w:t>prioridad de garantizar unas normas estrictas de salud y seguridad</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580"/>
      </w:tblGrid>
      <w:tr w:rsidRPr="00D742A4" w:rsidR="00D742A4" w:rsidTr="00B261A3" w14:paraId="327B48D9" w14:textId="77777777">
        <w:tc>
          <w:tcPr>
            <w:tcW w:w="1494" w:type="pct"/>
          </w:tcPr>
          <w:p w:rsidRPr="0088361D" w:rsidR="00D742A4" w:rsidP="0088361D" w:rsidRDefault="00D742A4" w14:paraId="7BAAC6C5" w14:textId="77777777">
            <w:pPr>
              <w:spacing w:line="240" w:lineRule="auto"/>
              <w:jc w:val="left"/>
              <w:rPr>
                <w:rFonts w:eastAsiaTheme="minorHAnsi"/>
                <w:i/>
              </w:rPr>
            </w:pPr>
            <w:r>
              <w:rPr>
                <w:b/>
                <w:i/>
              </w:rPr>
              <w:t>Contacto:</w:t>
            </w:r>
          </w:p>
        </w:tc>
        <w:tc>
          <w:tcPr>
            <w:tcW w:w="3506" w:type="pct"/>
            <w:tcBorders>
              <w:left w:val="nil"/>
            </w:tcBorders>
          </w:tcPr>
          <w:p w:rsidRPr="0088361D" w:rsidR="00D742A4" w:rsidP="0088361D" w:rsidRDefault="00D742A4" w14:paraId="61988035" w14:textId="0600FF56">
            <w:pPr>
              <w:spacing w:line="240" w:lineRule="auto"/>
              <w:jc w:val="left"/>
              <w:rPr>
                <w:rFonts w:eastAsiaTheme="minorHAnsi"/>
                <w:i/>
              </w:rPr>
            </w:pPr>
            <w:r>
              <w:rPr>
                <w:i/>
              </w:rPr>
              <w:t>Adam Dorywalski</w:t>
            </w:r>
          </w:p>
        </w:tc>
      </w:tr>
      <w:tr w:rsidRPr="00D742A4" w:rsidR="00D742A4" w:rsidTr="00B261A3" w14:paraId="47170CFC" w14:textId="77777777">
        <w:tc>
          <w:tcPr>
            <w:tcW w:w="1494" w:type="pct"/>
          </w:tcPr>
          <w:p w:rsidRPr="0088361D" w:rsidR="00D742A4" w:rsidP="0088361D" w:rsidRDefault="00D742A4" w14:paraId="3EA66D45" w14:textId="77777777">
            <w:pPr>
              <w:spacing w:line="240" w:lineRule="auto"/>
              <w:jc w:val="left"/>
              <w:rPr>
                <w:rFonts w:eastAsiaTheme="minorHAnsi"/>
                <w:i/>
              </w:rPr>
            </w:pPr>
            <w:r>
              <w:rPr>
                <w:i/>
              </w:rPr>
              <w:t xml:space="preserve">Teléfono: </w:t>
            </w:r>
          </w:p>
        </w:tc>
        <w:tc>
          <w:tcPr>
            <w:tcW w:w="3506"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B261A3" w14:paraId="7DEA58F4" w14:textId="77777777">
        <w:tc>
          <w:tcPr>
            <w:tcW w:w="1494" w:type="pct"/>
          </w:tcPr>
          <w:p w:rsidRPr="0088361D" w:rsidR="00D742A4" w:rsidP="0088361D" w:rsidRDefault="00D742A4" w14:paraId="5A5A0838" w14:textId="77777777">
            <w:pPr>
              <w:spacing w:line="240" w:lineRule="auto"/>
              <w:jc w:val="left"/>
              <w:rPr>
                <w:rFonts w:eastAsiaTheme="minorHAnsi"/>
                <w:i/>
                <w:iCs/>
              </w:rPr>
            </w:pPr>
            <w:r>
              <w:rPr>
                <w:i/>
              </w:rPr>
              <w:t>Correo electrónico:</w:t>
            </w:r>
          </w:p>
        </w:tc>
        <w:tc>
          <w:tcPr>
            <w:tcW w:w="3506"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1562B95C">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00747EBB" w:rsidRDefault="00747EBB" w14:paraId="01E63EDD" w14:textId="17FDC2D5">
      <w:pPr>
        <w:spacing w:after="160" w:line="259" w:lineRule="auto"/>
        <w:jc w:val="left"/>
        <w:rPr>
          <w:rFonts w:eastAsiaTheme="minorHAnsi"/>
          <w:b/>
          <w:bCs/>
          <w:i/>
          <w:iCs/>
          <w:sz w:val="28"/>
          <w:szCs w:val="28"/>
        </w:rPr>
      </w:pP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tab/>
      </w:r>
      <w:hyperlink w:history="1" r:id="rId42">
        <w:r>
          <w:rPr>
            <w:b/>
            <w:i/>
            <w:color w:val="0000FF"/>
            <w:sz w:val="28"/>
            <w:u w:val="single"/>
          </w:rPr>
          <w:t>Materiales avanzados para el liderazgo industrial</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Ponente</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t>Anastasis YIAPANIS (Grupo de Organizaciones de la Sociedad Civil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Coponente</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Gerardo Luís ARROYO HERRANZ (Cat. 1 –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Referencias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El CESE:</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considera que la Comunicación de la Comisión Europea sobre materiales avanzados no puede considerarse una estrategia en sí misma, ya que carece de objetivos cuantificables, plazos e indicadores clave de rendimiento específicos para apoyar su aplicación;</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está convencido de que la UE necesita aplicar un enfoque integral para reducir el consumo de materiales, promover la circularidad y facilitar la transición hacia modelos de negocio y comportamientos de consumo sostenibles;</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observa que un complejo ecosistema de materiales avanzados requiere una estrategia global, una financiación e incentivos significativos, la disponibilidad de las capacidades adecuadas y un respaldo político de alto nivel;</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acoge con satisfacción el diálogo reforzado entre la UE y Japón sobre materiales avanzados y considera que estas iniciativas deben ampliarse a otros países líderes;</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considera fundamental fomentar la competitividad en I+D+i impulsando la participación de los agentes industriales, las administraciones públicas, los interlocutores sociales y el mundo académico y creando una red de infraestructuras de investigación transfronterizas;</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propone incluir la asistencia sanitaria como un ámbito estratégico inicial adicional, ya que representa una de las mayores industrias de Europa y utiliza materiales avanzados en la asistencia sanitaria a menudo interrelacionados con sectores como la electrónica y la energía;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destaca la importancia de integrar las tecnologías e innovaciones digitales en los procesos de desarrollo de materiales;</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apoya la introducción de pasaportes digitales de productos que incluyan normas de información y datos desde la producción hasta el reciclado, pero advierte contra la posibilidad de introducir cargas burocráticas o costes adicionales para las empresas o los consumidores;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considera necesario reforzar la producción europea, apoyar la comercialización, racionalizar el acceso al mercado y mejorar la vigilancia del mercado en este ámbito.</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Contacto:</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Heli Niemelä-Farrer</w:t>
            </w:r>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Teléfono:</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A773FA" w:rsidR="00570D62" w:rsidP="00D76388" w:rsidRDefault="00DD283E"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DD283E">
      <w:fldChar w:fldCharType="begin"/>
    </w:r>
    <w:r w:rsidR="00DD283E">
      <w:instrText xml:space="preserve"> NUMPAGES </w:instrText>
    </w:r>
    <w:r w:rsidR="00DD283E">
      <w:fldChar w:fldCharType="separate"/>
    </w:r>
    <w:r w:rsidR="000B64C3">
      <w:t>2</w:t>
    </w:r>
    <w:r w:rsidR="00DD28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DD283E">
      <w:fldChar w:fldCharType="begin"/>
    </w:r>
    <w:r w:rsidR="00DD283E">
      <w:instrText xml:space="preserve"> NUMPAGES </w:instrText>
    </w:r>
    <w:r w:rsidR="00DD283E">
      <w:fldChar w:fldCharType="separate"/>
    </w:r>
    <w:r>
      <w:t>16</w:t>
    </w:r>
    <w:r w:rsidR="00DD283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9A"/>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99F"/>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1A3"/>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4B7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21A"/>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s-ES"/>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es/our-work/opinions-information-reports/opinions/eu-biotech-and-biomanufacturing-initiative" TargetMode="External"/><Relationship Id="rId21" Type="http://schemas.openxmlformats.org/officeDocument/2006/relationships/hyperlink" Target="https://www.eesc.europa.eu/es/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es/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es/our-work/opinions-information-reports/opinions/general-fisheries-commission-mediterranean" TargetMode="External"/><Relationship Id="rId37" Type="http://schemas.openxmlformats.org/officeDocument/2006/relationships/hyperlink" Target="https://www.eesc.europa.eu/es/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s/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es/our-work/opinions-information-reports/opinions/caregivers" TargetMode="External"/><Relationship Id="rId30" Type="http://schemas.openxmlformats.org/officeDocument/2006/relationships/hyperlink" Target="https://www.eesc.europa.eu/es/our-work/opinions-information-reports/opinions/proposal-council-recommendation-enhancing-research-security" TargetMode="External"/><Relationship Id="rId35" Type="http://schemas.openxmlformats.org/officeDocument/2006/relationships/hyperlink" Target="https://www.eesc.europa.eu/es/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es/our-work/opinions-information-reports/opinions/no-one-should-be-left-behind-inclusive-and-participatory-cohesion-policy-support-social-economic-and-territorial" TargetMode="External"/><Relationship Id="rId41" Type="http://schemas.openxmlformats.org/officeDocument/2006/relationships/hyperlink" Target="https://www.eesc.europa.eu/es/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F7M6YNZUATRX-789077548-3241</_dlc_DocId>
    <_dlc_DocIdUrl xmlns="59ace41b-6786-4ce3-be71-52c27066c6ef">
      <Url>http://dm/eesc/2024/_layouts/15/DocIdRedir.aspx?ID=F7M6YNZUATRX-789077548-3241</Url>
      <Description>F7M6YNZUATRX-789077548-3241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Navarro Anna</DisplayName>
        <AccountId>1974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4377B60E-4D83-4DA7-90C7-3D1E06843B07}"/>
</file>

<file path=customXml/itemProps2.xml><?xml version="1.0" encoding="utf-8"?>
<ds:datastoreItem xmlns:ds="http://schemas.openxmlformats.org/officeDocument/2006/customXml" ds:itemID="{7A398A79-0805-45C4-8F3C-7740A163EA62}"/>
</file>

<file path=customXml/itemProps3.xml><?xml version="1.0" encoding="utf-8"?>
<ds:datastoreItem xmlns:ds="http://schemas.openxmlformats.org/officeDocument/2006/customXml" ds:itemID="{193BD3A3-E7A4-44AD-86CD-F9BB86028D02}"/>
</file>

<file path=customXml/itemProps4.xml><?xml version="1.0" encoding="utf-8"?>
<ds:datastoreItem xmlns:ds="http://schemas.openxmlformats.org/officeDocument/2006/customXml" ds:itemID="{C00EE6EB-6EDE-4C82-9C4A-54B37E9534D0}"/>
</file>

<file path=docProps/app.xml><?xml version="1.0" encoding="utf-8"?>
<Properties xmlns="http://schemas.openxmlformats.org/officeDocument/2006/extended-properties" xmlns:vt="http://schemas.openxmlformats.org/officeDocument/2006/docPropsVTypes">
  <Template>Normal</Template>
  <TotalTime>0</TotalTime>
  <Pages>17</Pages>
  <Words>5829</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Sintesis de los dictámenes - 589.º Pleno - julio de 2024</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Navarro Anna</cp:lastModifiedBy>
  <cp:revision>10</cp:revision>
  <cp:lastPrinted>2023-06-15T08:00:00Z</cp:lastPrinted>
  <dcterms:created xsi:type="dcterms:W3CDTF">2024-07-19T11:45:00Z</dcterms:created>
  <dcterms:modified xsi:type="dcterms:W3CDTF">2024-07-19T13:18:00Z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32353ccb-fd34-4109-b42e-8052a57c6547</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SV|c2ed69e7-a339-43d7-8f22-d93680a92aa0;BG|1a1b3951-7821-4e6a-85f5-5673fc08bd2c;PT|50ccc04a-eadd-42ae-a0cb-acaf45f812ba;EN|f2175f21-25d7-44a3-96da-d6a61b075e1b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22;#BG|1a1b3951-7821-4e6a-85f5-5673fc08bd2c;#13;#TCD|cd9d6eb6-3f4f-424a-b2d1-57c9d450eaaf;#8;#Final|ea5e6674-7b27-4bac-b091-73adbb394efe;#7;#SPL-CES|32d8cb1f-c9ec-4365-95c7-8385a18618ac;#6;#Unrestricted|826e22d7-d029-4ec0-a450-0c28ff673572;#5;#EN|f2175f21-25d7-44a3-96da-d6a61b075e1b;#21;#SV|c2ed69e7-a339-43d7-8f22-d93680a92aa0;#3;#TRA|150d2a88-1431-44e6-a8ca-0bb753ab8672;#36;#PT|50ccc04a-eadd-42ae-a0cb-acaf45f812ba;#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24;#ES|e7a6b05b-ae16-40c8-add9-68b64b03aeba</vt:lpwstr>
  </property>
  <property fmtid="{D5CDD505-2E9C-101B-9397-08002B2CF9AE}" pid="38" name="_docset_NoMedatataSyncRequired">
    <vt:lpwstr>False</vt:lpwstr>
  </property>
</Properties>
</file>