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F4C1373">
      <w:pPr>
        <w:jc w:val="center"/>
      </w:pPr>
      <w:bookmarkStart w:name="_GoBack" w:id="0"/>
      <w:bookmarkEnd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7216"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rsidRPr="00094B6B">
        <w:t xml:space="preserve">Brussels, </w:t>
      </w:r>
      <w:r w:rsidR="00026AF7">
        <w:t>16 Septemb</w:t>
      </w:r>
      <w:r w:rsidR="00DC054C">
        <w:t>er</w:t>
      </w:r>
      <w:r w:rsidR="00026AF7">
        <w:t xml:space="preserve"> </w:t>
      </w:r>
      <w:r w:rsidRPr="00094B6B" w:rsidR="00B34E93">
        <w:t>202</w:t>
      </w:r>
      <w:r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sidRPr="00094B6B">
              <w:rPr>
                <w:b/>
                <w:sz w:val="32"/>
              </w:rPr>
              <w:t>5</w:t>
            </w:r>
            <w:r w:rsidRPr="00094B6B" w:rsidR="00BC376C">
              <w:rPr>
                <w:b/>
                <w:sz w:val="32"/>
              </w:rPr>
              <w:t>8</w:t>
            </w:r>
            <w:r w:rsidR="00026AF7">
              <w:rPr>
                <w:b/>
                <w:sz w:val="32"/>
              </w:rPr>
              <w:t>9</w:t>
            </w:r>
            <w:r w:rsidR="00F33E24">
              <w:rPr>
                <w:b/>
                <w:sz w:val="32"/>
              </w:rPr>
              <w:t>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w:t>
            </w:r>
            <w:r w:rsidR="00025304">
              <w:rPr>
                <w:b/>
                <w:sz w:val="32"/>
              </w:rPr>
              <w:t xml:space="preserve">0 </w:t>
            </w:r>
            <w:r w:rsidRPr="00094B6B" w:rsidR="006E6434">
              <w:rPr>
                <w:b/>
                <w:sz w:val="32"/>
              </w:rPr>
              <w:t>and</w:t>
            </w:r>
            <w:r w:rsidRPr="00094B6B" w:rsidR="00884879">
              <w:rPr>
                <w:b/>
                <w:sz w:val="32"/>
              </w:rPr>
              <w:t xml:space="preserve"> </w:t>
            </w:r>
            <w:r>
              <w:rPr>
                <w:b/>
                <w:sz w:val="32"/>
              </w:rPr>
              <w:t>1</w:t>
            </w:r>
            <w:r w:rsidR="00335DF3">
              <w:rPr>
                <w:b/>
                <w:sz w:val="32"/>
              </w:rPr>
              <w:t>1</w:t>
            </w:r>
            <w:r>
              <w:rPr>
                <w:b/>
                <w:sz w:val="32"/>
              </w:rPr>
              <w:t xml:space="preserve"> July </w:t>
            </w:r>
            <w:r w:rsidRPr="00094B6B" w:rsidR="00670347">
              <w:rPr>
                <w:b/>
                <w:sz w:val="32"/>
              </w:rPr>
              <w:t>202</w:t>
            </w:r>
            <w:r w:rsidR="00F33E24">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EF3FA9" w14:paraId="2A9352A2" w14:textId="0680ADB6">
            <w:pPr>
              <w:snapToGrid w:val="0"/>
              <w:jc w:val="center"/>
            </w:pPr>
            <w:hyperlink w:history="1" r:id="rId12">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EF3FA9" w14:paraId="441AC4DD" w14:textId="1194D751">
            <w:pPr>
              <w:snapToGrid w:val="0"/>
              <w:jc w:val="center"/>
            </w:pPr>
            <w:hyperlink w:history="1" r:id="rId13">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eastAsiaTheme="majorEastAsia" w:cstheme="majorBidi"/>
          <w:color w:val="2E74B5" w:themeColor="accent1" w:themeShade="BF"/>
          <w:sz w:val="32"/>
          <w:szCs w:val="32"/>
        </w:rPr>
        <w:lastRenderedPageBreak/>
        <w:t>Contents</w:t>
      </w:r>
    </w:p>
    <w:p w:rsidR="0071141F" w:rsidRDefault="0014322B" w14:paraId="0DF74D84" w14:textId="1BB192EC">
      <w:pPr>
        <w:pStyle w:val="TOC1"/>
        <w:rPr>
          <w:rFonts w:asciiTheme="minorHAnsi" w:hAnsiTheme="minorHAnsi" w:eastAsiaTheme="minorEastAsia" w:cstheme="minorBidi"/>
          <w:b w:val="0"/>
          <w:sz w:val="22"/>
          <w:szCs w:val="22"/>
          <w:lang w:val="en-US"/>
        </w:rPr>
      </w:pPr>
      <w:r>
        <w:rPr>
          <w:bCs/>
        </w:rPr>
        <w:fldChar w:fldCharType="begin"/>
      </w:r>
      <w:r>
        <w:instrText xml:space="preserve"> TOC \o "1-1" \h \z \u </w:instrText>
      </w:r>
      <w:r>
        <w:rPr>
          <w:bCs/>
        </w:rPr>
        <w:fldChar w:fldCharType="separate"/>
      </w:r>
      <w:hyperlink w:history="1" w:anchor="_Toc172289016">
        <w:r w:rsidRPr="001A559C" w:rsidR="0071141F">
          <w:rPr>
            <w:rStyle w:val="Hyperlink"/>
          </w:rPr>
          <w:t>1.</w:t>
        </w:r>
        <w:r w:rsidR="0071141F">
          <w:rPr>
            <w:rFonts w:asciiTheme="minorHAnsi" w:hAnsiTheme="minorHAnsi" w:eastAsiaTheme="minorEastAsia" w:cstheme="minorBidi"/>
            <w:b w:val="0"/>
            <w:sz w:val="22"/>
            <w:szCs w:val="22"/>
            <w:lang w:val="en-US"/>
          </w:rPr>
          <w:tab/>
        </w:r>
        <w:r w:rsidRPr="001A559C" w:rsidR="0071141F">
          <w:rPr>
            <w:rStyle w:val="Hyperlink"/>
            <w:bCs/>
          </w:rPr>
          <w:t>RESOLUTION</w:t>
        </w:r>
        <w:r w:rsidR="0071141F">
          <w:rPr>
            <w:webHidden/>
          </w:rPr>
          <w:tab/>
        </w:r>
        <w:r w:rsidR="0071141F">
          <w:rPr>
            <w:webHidden/>
          </w:rPr>
          <w:fldChar w:fldCharType="begin"/>
        </w:r>
        <w:r w:rsidR="0071141F">
          <w:rPr>
            <w:webHidden/>
          </w:rPr>
          <w:instrText xml:space="preserve"> PAGEREF _Toc172289016 \h </w:instrText>
        </w:r>
        <w:r w:rsidR="0071141F">
          <w:rPr>
            <w:webHidden/>
          </w:rPr>
        </w:r>
        <w:r w:rsidR="0071141F">
          <w:rPr>
            <w:webHidden/>
          </w:rPr>
          <w:fldChar w:fldCharType="separate"/>
        </w:r>
        <w:r w:rsidR="0071141F">
          <w:rPr>
            <w:webHidden/>
          </w:rPr>
          <w:t>3</w:t>
        </w:r>
        <w:r w:rsidR="0071141F">
          <w:rPr>
            <w:webHidden/>
          </w:rPr>
          <w:fldChar w:fldCharType="end"/>
        </w:r>
      </w:hyperlink>
    </w:p>
    <w:p w:rsidR="0071141F" w:rsidRDefault="0071141F" w14:paraId="636589B5" w14:textId="4C9C1F21">
      <w:pPr>
        <w:pStyle w:val="TOC1"/>
        <w:rPr>
          <w:rFonts w:asciiTheme="minorHAnsi" w:hAnsiTheme="minorHAnsi" w:eastAsiaTheme="minorEastAsia" w:cstheme="minorBidi"/>
          <w:b w:val="0"/>
          <w:sz w:val="22"/>
          <w:szCs w:val="22"/>
          <w:lang w:val="en-US"/>
        </w:rPr>
      </w:pPr>
      <w:hyperlink w:history="1" w:anchor="_Toc172289017">
        <w:r w:rsidRPr="001A559C">
          <w:rPr>
            <w:rStyle w:val="Hyperlink"/>
          </w:rPr>
          <w:t>2.</w:t>
        </w:r>
        <w:r>
          <w:rPr>
            <w:rFonts w:asciiTheme="minorHAnsi" w:hAnsiTheme="minorHAnsi" w:eastAsiaTheme="minorEastAsia" w:cstheme="minorBidi"/>
            <w:b w:val="0"/>
            <w:sz w:val="22"/>
            <w:szCs w:val="22"/>
            <w:lang w:val="en-US"/>
          </w:rPr>
          <w:tab/>
        </w:r>
        <w:r w:rsidRPr="001A559C">
          <w:rPr>
            <w:rStyle w:val="Hyperlink"/>
            <w:bCs/>
          </w:rPr>
          <w:t>ECONOMIC AND MONETARY UNION, ECONOMIC AND SOCIAL COHESION</w:t>
        </w:r>
        <w:r>
          <w:rPr>
            <w:webHidden/>
          </w:rPr>
          <w:tab/>
        </w:r>
        <w:r>
          <w:rPr>
            <w:webHidden/>
          </w:rPr>
          <w:fldChar w:fldCharType="begin"/>
        </w:r>
        <w:r>
          <w:rPr>
            <w:webHidden/>
          </w:rPr>
          <w:instrText xml:space="preserve"> PAGEREF _Toc172289017 \h </w:instrText>
        </w:r>
        <w:r>
          <w:rPr>
            <w:webHidden/>
          </w:rPr>
        </w:r>
        <w:r>
          <w:rPr>
            <w:webHidden/>
          </w:rPr>
          <w:fldChar w:fldCharType="separate"/>
        </w:r>
        <w:r>
          <w:rPr>
            <w:webHidden/>
          </w:rPr>
          <w:t>4</w:t>
        </w:r>
        <w:r>
          <w:rPr>
            <w:webHidden/>
          </w:rPr>
          <w:fldChar w:fldCharType="end"/>
        </w:r>
      </w:hyperlink>
    </w:p>
    <w:p w:rsidR="0071141F" w:rsidRDefault="0071141F" w14:paraId="4960CCE7" w14:textId="2288CF31">
      <w:pPr>
        <w:pStyle w:val="TOC1"/>
        <w:rPr>
          <w:rFonts w:asciiTheme="minorHAnsi" w:hAnsiTheme="minorHAnsi" w:eastAsiaTheme="minorEastAsia" w:cstheme="minorBidi"/>
          <w:b w:val="0"/>
          <w:sz w:val="22"/>
          <w:szCs w:val="22"/>
          <w:lang w:val="en-US"/>
        </w:rPr>
      </w:pPr>
      <w:hyperlink w:history="1" w:anchor="_Toc172289018">
        <w:r w:rsidRPr="001A559C">
          <w:rPr>
            <w:rStyle w:val="Hyperlink"/>
          </w:rPr>
          <w:t>3.</w:t>
        </w:r>
        <w:r>
          <w:rPr>
            <w:rFonts w:asciiTheme="minorHAnsi" w:hAnsiTheme="minorHAnsi" w:eastAsiaTheme="minorEastAsia" w:cstheme="minorBidi"/>
            <w:b w:val="0"/>
            <w:sz w:val="22"/>
            <w:szCs w:val="22"/>
            <w:lang w:val="en-US"/>
          </w:rPr>
          <w:tab/>
        </w:r>
        <w:r w:rsidRPr="001A559C">
          <w:rPr>
            <w:rStyle w:val="Hyperlink"/>
            <w:lang w:val="fr-BE" w:eastAsia="fr-BE"/>
          </w:rPr>
          <w:t>EMPLOYMENT, SOCIAL AFFAIRS AND CITIZENSHIP</w:t>
        </w:r>
        <w:r>
          <w:rPr>
            <w:webHidden/>
          </w:rPr>
          <w:tab/>
        </w:r>
        <w:r>
          <w:rPr>
            <w:webHidden/>
          </w:rPr>
          <w:fldChar w:fldCharType="begin"/>
        </w:r>
        <w:r>
          <w:rPr>
            <w:webHidden/>
          </w:rPr>
          <w:instrText xml:space="preserve"> PAGEREF _Toc172289018 \h </w:instrText>
        </w:r>
        <w:r>
          <w:rPr>
            <w:webHidden/>
          </w:rPr>
        </w:r>
        <w:r>
          <w:rPr>
            <w:webHidden/>
          </w:rPr>
          <w:fldChar w:fldCharType="separate"/>
        </w:r>
        <w:r>
          <w:rPr>
            <w:webHidden/>
          </w:rPr>
          <w:t>5</w:t>
        </w:r>
        <w:r>
          <w:rPr>
            <w:webHidden/>
          </w:rPr>
          <w:fldChar w:fldCharType="end"/>
        </w:r>
      </w:hyperlink>
    </w:p>
    <w:p w:rsidR="0071141F" w:rsidRDefault="0071141F" w14:paraId="21A1A631" w14:textId="3A5A9976">
      <w:pPr>
        <w:pStyle w:val="TOC1"/>
        <w:rPr>
          <w:rFonts w:asciiTheme="minorHAnsi" w:hAnsiTheme="minorHAnsi" w:eastAsiaTheme="minorEastAsia" w:cstheme="minorBidi"/>
          <w:b w:val="0"/>
          <w:sz w:val="22"/>
          <w:szCs w:val="22"/>
          <w:lang w:val="en-US"/>
        </w:rPr>
      </w:pPr>
      <w:hyperlink w:history="1" w:anchor="_Toc172289019">
        <w:r w:rsidRPr="001A559C">
          <w:rPr>
            <w:rStyle w:val="Hyperlink"/>
          </w:rPr>
          <w:t>4.</w:t>
        </w:r>
        <w:r>
          <w:rPr>
            <w:rFonts w:asciiTheme="minorHAnsi" w:hAnsiTheme="minorHAnsi" w:eastAsiaTheme="minorEastAsia" w:cstheme="minorBidi"/>
            <w:b w:val="0"/>
            <w:sz w:val="22"/>
            <w:szCs w:val="22"/>
            <w:lang w:val="en-US"/>
          </w:rPr>
          <w:tab/>
        </w:r>
        <w:r w:rsidRPr="001A559C">
          <w:rPr>
            <w:rStyle w:val="Hyperlink"/>
          </w:rPr>
          <w:t>SINGLE MARKET, PRODUCTION AND CONSUMPTION</w:t>
        </w:r>
        <w:r>
          <w:rPr>
            <w:webHidden/>
          </w:rPr>
          <w:tab/>
        </w:r>
        <w:r>
          <w:rPr>
            <w:webHidden/>
          </w:rPr>
          <w:fldChar w:fldCharType="begin"/>
        </w:r>
        <w:r>
          <w:rPr>
            <w:webHidden/>
          </w:rPr>
          <w:instrText xml:space="preserve"> PAGEREF _Toc172289019 \h </w:instrText>
        </w:r>
        <w:r>
          <w:rPr>
            <w:webHidden/>
          </w:rPr>
        </w:r>
        <w:r>
          <w:rPr>
            <w:webHidden/>
          </w:rPr>
          <w:fldChar w:fldCharType="separate"/>
        </w:r>
        <w:r>
          <w:rPr>
            <w:webHidden/>
          </w:rPr>
          <w:t>9</w:t>
        </w:r>
        <w:r>
          <w:rPr>
            <w:webHidden/>
          </w:rPr>
          <w:fldChar w:fldCharType="end"/>
        </w:r>
      </w:hyperlink>
    </w:p>
    <w:p w:rsidR="0071141F" w:rsidRDefault="0071141F" w14:paraId="51716B55" w14:textId="21B29353">
      <w:pPr>
        <w:pStyle w:val="TOC1"/>
        <w:rPr>
          <w:rFonts w:asciiTheme="minorHAnsi" w:hAnsiTheme="minorHAnsi" w:eastAsiaTheme="minorEastAsia" w:cstheme="minorBidi"/>
          <w:b w:val="0"/>
          <w:sz w:val="22"/>
          <w:szCs w:val="22"/>
          <w:lang w:val="en-US"/>
        </w:rPr>
      </w:pPr>
      <w:hyperlink w:history="1" w:anchor="_Toc172289020">
        <w:r w:rsidRPr="001A559C">
          <w:rPr>
            <w:rStyle w:val="Hyperlink"/>
          </w:rPr>
          <w:t>5.</w:t>
        </w:r>
        <w:r>
          <w:rPr>
            <w:rFonts w:asciiTheme="minorHAnsi" w:hAnsiTheme="minorHAnsi" w:eastAsiaTheme="minorEastAsia" w:cstheme="minorBidi"/>
            <w:b w:val="0"/>
            <w:sz w:val="22"/>
            <w:szCs w:val="22"/>
            <w:lang w:val="en-US"/>
          </w:rPr>
          <w:tab/>
        </w:r>
        <w:r w:rsidRPr="001A559C">
          <w:rPr>
            <w:rStyle w:val="Hyperlink"/>
          </w:rPr>
          <w:t>AGRICULTURE, RURAL DEVELOPMENT AND THE ENVIRONMENT</w:t>
        </w:r>
        <w:r>
          <w:rPr>
            <w:webHidden/>
          </w:rPr>
          <w:tab/>
        </w:r>
        <w:r>
          <w:rPr>
            <w:webHidden/>
          </w:rPr>
          <w:fldChar w:fldCharType="begin"/>
        </w:r>
        <w:r>
          <w:rPr>
            <w:webHidden/>
          </w:rPr>
          <w:instrText xml:space="preserve"> PAGEREF _Toc172289020 \h </w:instrText>
        </w:r>
        <w:r>
          <w:rPr>
            <w:webHidden/>
          </w:rPr>
        </w:r>
        <w:r>
          <w:rPr>
            <w:webHidden/>
          </w:rPr>
          <w:fldChar w:fldCharType="separate"/>
        </w:r>
        <w:r>
          <w:rPr>
            <w:webHidden/>
          </w:rPr>
          <w:t>10</w:t>
        </w:r>
        <w:r>
          <w:rPr>
            <w:webHidden/>
          </w:rPr>
          <w:fldChar w:fldCharType="end"/>
        </w:r>
      </w:hyperlink>
    </w:p>
    <w:p w:rsidR="0071141F" w:rsidRDefault="0071141F" w14:paraId="072F8B4D" w14:textId="64B87976">
      <w:pPr>
        <w:pStyle w:val="TOC1"/>
        <w:rPr>
          <w:rFonts w:asciiTheme="minorHAnsi" w:hAnsiTheme="minorHAnsi" w:eastAsiaTheme="minorEastAsia" w:cstheme="minorBidi"/>
          <w:b w:val="0"/>
          <w:sz w:val="22"/>
          <w:szCs w:val="22"/>
          <w:lang w:val="en-US"/>
        </w:rPr>
      </w:pPr>
      <w:hyperlink w:history="1" w:anchor="_Toc172289021">
        <w:r w:rsidRPr="001A559C">
          <w:rPr>
            <w:rStyle w:val="Hyperlink"/>
          </w:rPr>
          <w:t>6.</w:t>
        </w:r>
        <w:r>
          <w:rPr>
            <w:rFonts w:asciiTheme="minorHAnsi" w:hAnsiTheme="minorHAnsi" w:eastAsiaTheme="minorEastAsia" w:cstheme="minorBidi"/>
            <w:b w:val="0"/>
            <w:sz w:val="22"/>
            <w:szCs w:val="22"/>
            <w:lang w:val="en-US"/>
          </w:rPr>
          <w:tab/>
        </w:r>
        <w:r w:rsidRPr="001A559C">
          <w:rPr>
            <w:rStyle w:val="Hyperlink"/>
          </w:rPr>
          <w:t>EXTERNAL RELATIONS</w:t>
        </w:r>
        <w:r>
          <w:rPr>
            <w:webHidden/>
          </w:rPr>
          <w:tab/>
        </w:r>
        <w:r>
          <w:rPr>
            <w:webHidden/>
          </w:rPr>
          <w:fldChar w:fldCharType="begin"/>
        </w:r>
        <w:r>
          <w:rPr>
            <w:webHidden/>
          </w:rPr>
          <w:instrText xml:space="preserve"> PAGEREF _Toc172289021 \h </w:instrText>
        </w:r>
        <w:r>
          <w:rPr>
            <w:webHidden/>
          </w:rPr>
        </w:r>
        <w:r>
          <w:rPr>
            <w:webHidden/>
          </w:rPr>
          <w:fldChar w:fldCharType="separate"/>
        </w:r>
        <w:r>
          <w:rPr>
            <w:webHidden/>
          </w:rPr>
          <w:t>12</w:t>
        </w:r>
        <w:r>
          <w:rPr>
            <w:webHidden/>
          </w:rPr>
          <w:fldChar w:fldCharType="end"/>
        </w:r>
      </w:hyperlink>
    </w:p>
    <w:p w:rsidR="0071141F" w:rsidRDefault="0071141F" w14:paraId="45FFC045" w14:textId="31D5875F">
      <w:pPr>
        <w:pStyle w:val="TOC1"/>
        <w:rPr>
          <w:rFonts w:asciiTheme="minorHAnsi" w:hAnsiTheme="minorHAnsi" w:eastAsiaTheme="minorEastAsia" w:cstheme="minorBidi"/>
          <w:b w:val="0"/>
          <w:sz w:val="22"/>
          <w:szCs w:val="22"/>
          <w:lang w:val="en-US"/>
        </w:rPr>
      </w:pPr>
      <w:hyperlink w:history="1" w:anchor="_Toc172289022">
        <w:r w:rsidRPr="001A559C">
          <w:rPr>
            <w:rStyle w:val="Hyperlink"/>
          </w:rPr>
          <w:t>7.</w:t>
        </w:r>
        <w:r>
          <w:rPr>
            <w:rFonts w:asciiTheme="minorHAnsi" w:hAnsiTheme="minorHAnsi" w:eastAsiaTheme="minorEastAsia" w:cstheme="minorBidi"/>
            <w:b w:val="0"/>
            <w:sz w:val="22"/>
            <w:szCs w:val="22"/>
            <w:lang w:val="en-US"/>
          </w:rPr>
          <w:tab/>
        </w:r>
        <w:r w:rsidRPr="001A559C">
          <w:rPr>
            <w:rStyle w:val="Hyperlink"/>
          </w:rPr>
          <w:t>TRANSPORT, ENERGY, INFRASTRUCTURE AND THE INFORMATION SOCIETY</w:t>
        </w:r>
        <w:r>
          <w:rPr>
            <w:webHidden/>
          </w:rPr>
          <w:tab/>
        </w:r>
        <w:r>
          <w:rPr>
            <w:webHidden/>
          </w:rPr>
          <w:fldChar w:fldCharType="begin"/>
        </w:r>
        <w:r>
          <w:rPr>
            <w:webHidden/>
          </w:rPr>
          <w:instrText xml:space="preserve"> PAGEREF _Toc172289022 \h </w:instrText>
        </w:r>
        <w:r>
          <w:rPr>
            <w:webHidden/>
          </w:rPr>
        </w:r>
        <w:r>
          <w:rPr>
            <w:webHidden/>
          </w:rPr>
          <w:fldChar w:fldCharType="separate"/>
        </w:r>
        <w:r>
          <w:rPr>
            <w:webHidden/>
          </w:rPr>
          <w:t>13</w:t>
        </w:r>
        <w:r>
          <w:rPr>
            <w:webHidden/>
          </w:rPr>
          <w:fldChar w:fldCharType="end"/>
        </w:r>
      </w:hyperlink>
    </w:p>
    <w:p w:rsidR="0071141F" w:rsidRDefault="0071141F" w14:paraId="7F7FF2DA" w14:textId="693C8723">
      <w:pPr>
        <w:pStyle w:val="TOC1"/>
        <w:rPr>
          <w:rFonts w:asciiTheme="minorHAnsi" w:hAnsiTheme="minorHAnsi" w:eastAsiaTheme="minorEastAsia" w:cstheme="minorBidi"/>
          <w:b w:val="0"/>
          <w:sz w:val="22"/>
          <w:szCs w:val="22"/>
          <w:lang w:val="en-US"/>
        </w:rPr>
      </w:pPr>
      <w:hyperlink w:history="1" w:anchor="_Toc172289023">
        <w:r w:rsidRPr="001A559C">
          <w:rPr>
            <w:rStyle w:val="Hyperlink"/>
            <w:bCs/>
          </w:rPr>
          <w:t xml:space="preserve">8. </w:t>
        </w:r>
        <w:r>
          <w:rPr>
            <w:rFonts w:asciiTheme="minorHAnsi" w:hAnsiTheme="minorHAnsi" w:eastAsiaTheme="minorEastAsia" w:cstheme="minorBidi"/>
            <w:b w:val="0"/>
            <w:sz w:val="22"/>
            <w:szCs w:val="22"/>
            <w:lang w:val="en-US"/>
          </w:rPr>
          <w:tab/>
        </w:r>
        <w:r w:rsidRPr="001A559C">
          <w:rPr>
            <w:rStyle w:val="Hyperlink"/>
            <w:bCs/>
          </w:rPr>
          <w:t>CONSULTATIVE COMMISSION ON INDUSTRIAL CHANGE</w:t>
        </w:r>
        <w:r>
          <w:rPr>
            <w:webHidden/>
          </w:rPr>
          <w:tab/>
        </w:r>
        <w:r>
          <w:rPr>
            <w:webHidden/>
          </w:rPr>
          <w:fldChar w:fldCharType="begin"/>
        </w:r>
        <w:r>
          <w:rPr>
            <w:webHidden/>
          </w:rPr>
          <w:instrText xml:space="preserve"> PAGEREF _Toc172289023 \h </w:instrText>
        </w:r>
        <w:r>
          <w:rPr>
            <w:webHidden/>
          </w:rPr>
        </w:r>
        <w:r>
          <w:rPr>
            <w:webHidden/>
          </w:rPr>
          <w:fldChar w:fldCharType="separate"/>
        </w:r>
        <w:r>
          <w:rPr>
            <w:webHidden/>
          </w:rPr>
          <w:t>14</w:t>
        </w:r>
        <w:r>
          <w:rPr>
            <w:webHidden/>
          </w:rPr>
          <w:fldChar w:fldCharType="end"/>
        </w:r>
      </w:hyperlink>
    </w:p>
    <w:p w:rsidR="00C86ABD" w:rsidRDefault="0014322B" w14:paraId="4EDE006A" w14:textId="124BEEEA">
      <w:pPr>
        <w:spacing w:after="160" w:line="259" w:lineRule="auto"/>
        <w:jc w:val="left"/>
      </w:pPr>
      <w:r>
        <w:fldChar w:fldCharType="end"/>
      </w:r>
      <w:r w:rsidR="00C86ABD">
        <w:br w:type="page"/>
      </w:r>
    </w:p>
    <w:p w:rsidR="00C86ABD" w:rsidP="00810736" w:rsidRDefault="00C86ABD" w14:paraId="6C806385" w14:textId="0970C9A4">
      <w:pPr>
        <w:pStyle w:val="Heading1"/>
        <w:ind w:left="709" w:hanging="720"/>
        <w:rPr>
          <w:b/>
          <w:bCs/>
        </w:rPr>
      </w:pPr>
      <w:bookmarkStart w:name="_Toc172289016" w:id="1"/>
      <w:r w:rsidRPr="00EA3D3D">
        <w:rPr>
          <w:b/>
          <w:bCs/>
        </w:rPr>
        <w:t>RESOLUTION</w:t>
      </w:r>
      <w:bookmarkEnd w:id="1"/>
      <w:r w:rsidRPr="00EA3D3D">
        <w:rPr>
          <w:b/>
          <w:bCs/>
        </w:rPr>
        <w:t xml:space="preserve"> </w:t>
      </w:r>
    </w:p>
    <w:p w:rsidRPr="004516BD" w:rsidR="004516BD" w:rsidP="004516BD" w:rsidRDefault="004516BD" w14:paraId="46F44DDA" w14:textId="77777777"/>
    <w:p w:rsidRPr="00A773FA" w:rsidR="00A773FA" w:rsidP="0088361D" w:rsidRDefault="00EF3FA9"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lang w:eastAsia="zh-CN"/>
        </w:rPr>
      </w:pPr>
      <w:hyperlink w:history="1" r:id="rId20">
        <w:r w:rsidRPr="00A773FA" w:rsidR="00A773FA">
          <w:rPr>
            <w:b/>
            <w:bCs/>
            <w:i/>
            <w:iCs/>
            <w:color w:val="0000FF"/>
            <w:sz w:val="28"/>
            <w:szCs w:val="28"/>
            <w:u w:val="single"/>
            <w:lang w:eastAsia="zh-CN"/>
          </w:rPr>
          <w:t>No one should be left behind! For an inclusive and participatory cohesion policy in support of social, economic and territorial cohesion</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sidRPr="00A773FA">
              <w:rPr>
                <w:b/>
              </w:rPr>
              <w:t>Rapporteur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r w:rsidRPr="00A773FA">
              <w:rPr>
                <w:bCs/>
              </w:rPr>
              <w:t>Ioannis VARDAKASTANIS (Civil Society Organisations' Group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sidRPr="00A773FA">
              <w:rPr>
                <w:b/>
              </w:rPr>
              <w:t>References</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rsidRPr="00A773FA">
              <w:rPr>
                <w:bCs/>
                <w:iCs/>
              </w:rP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rsidRPr="00A773FA">
        <w:rPr>
          <w:bCs/>
          <w:iCs/>
        </w:rPr>
        <w:t>The EESC:</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calls on the Member States of the European Union and its leaders, the European institutions and the EU citizens, to safeguard and protect the economic, social and territorial cohesion of the EU according to Article 174 of the TFEU;</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 xml:space="preserve">stress that the fundamental principle of cohesion policy, according to which ‘no one should be left behind’, remains sound and valid, and that civil society partners are ready to continue working towards it by means of a solid EU investment policy;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stress that inequality of opportunity can have a detrimental effect on long-term growth and competitiveness at regional, national and EU level. Cohesion policy therefore needs to be more diversified and flexible but at the same time credible stable and clear in order to be able to pay more attention to people, especially the most vulnerable, and to better address the inequality of opportunities faced by many;</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 xml:space="preserve">is critical of eliminating the role of a Commissioner whose main responsibility is a cohesion policy portfolio;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is against the reduction and transformation of cohesion policy into an instrument for tackling emergency crises;</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 xml:space="preserve">rejects the idea of converting cohesion policy into an instrument similar to the Recovery and Resilience Facility (RRF) with little or no structural stakeholder involvement, shared management and muti-level governance;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is in favour of the partnership principle and clear rules for the inclusion of civil society in the selection, governance and monitoring of EU-funded operations;</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requests a strong wording regarding the involvement of civil society in the next Common Provisions Regulation (CPR), which governs the use of Cohesion Funds as well as other EU funding after 2027 in the same manner as it was for the period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calls for a cohesion policy that is place-based and people-based;</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calls for a new impetus for cohesion policy. it believes that the range of instruments and approaches should be broadened, modernised or revised to build a strong, effective, flexible and renewed cohesion policy, focusing more on capacity, interregional links, effectiveness of results and opportunities for beneficiaries beyond investment alone;</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lang w:val="en-US"/>
        </w:rPr>
      </w:pPr>
      <w:r w:rsidRPr="00A773FA">
        <w:rPr>
          <w:bCs/>
          <w:lang w:val="en-US"/>
        </w:rPr>
        <w:t>will do whatever it takes to safeguard the core principles of cohesion policy and ensure that it remains the glue that keeps Europe united.</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sidRPr="00A773FA">
              <w:rPr>
                <w:b/>
                <w:i/>
              </w:rPr>
              <w:t>Contact</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sidRPr="00A773FA">
              <w:rPr>
                <w:i/>
              </w:rPr>
              <w:t>Georgios Meleas</w:t>
            </w:r>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sidRPr="00A773FA">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sidRPr="00A773FA">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sidRPr="00A773FA">
              <w:rPr>
                <w:i/>
              </w:rPr>
              <w:t>Email</w:t>
            </w:r>
          </w:p>
        </w:tc>
        <w:tc>
          <w:tcPr>
            <w:tcW w:w="5670" w:type="dxa"/>
          </w:tcPr>
          <w:p w:rsidRPr="00A773FA" w:rsidR="00A773FA" w:rsidP="00A773FA" w:rsidRDefault="00EF3FA9" w14:paraId="0E731FD7" w14:textId="77777777">
            <w:pPr>
              <w:keepNext/>
              <w:keepLines/>
              <w:overflowPunct w:val="0"/>
              <w:autoSpaceDE w:val="0"/>
              <w:autoSpaceDN w:val="0"/>
              <w:adjustRightInd w:val="0"/>
              <w:spacing w:line="240" w:lineRule="auto"/>
              <w:textAlignment w:val="baseline"/>
              <w:rPr>
                <w:i/>
              </w:rPr>
            </w:pPr>
            <w:hyperlink w:history="1" r:id="rId21">
              <w:r w:rsidRPr="00A773FA" w:rsidR="00A773FA">
                <w:rPr>
                  <w:i/>
                  <w:color w:val="0000FF"/>
                  <w:u w:val="single"/>
                </w:rPr>
                <w:t>Georgios.Meleas@eesc.europa.eu</w:t>
              </w:r>
            </w:hyperlink>
            <w:r w:rsidRPr="00A773FA" w:rsidR="00A773FA">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2"/>
      <w:bookmarkStart w:name="_Toc162435202" w:id="3"/>
      <w:bookmarkStart w:name="_Toc172289017" w:id="4"/>
      <w:bookmarkEnd w:id="2"/>
      <w:bookmarkEnd w:id="3"/>
      <w:r w:rsidRPr="00EE2FBD">
        <w:rPr>
          <w:b/>
          <w:bCs/>
        </w:rPr>
        <w:t>ECONOMIC AND MONETARY UNION, ECONOMIC AND SOCIAL COHESION</w:t>
      </w:r>
      <w:bookmarkEnd w:id="4"/>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EF3FA9"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2">
        <w:r w:rsidRPr="00A773FA" w:rsidR="00A773FA">
          <w:rPr>
            <w:b/>
            <w:bCs/>
            <w:i/>
            <w:iCs/>
            <w:color w:val="0000FF"/>
            <w:sz w:val="28"/>
            <w:szCs w:val="28"/>
            <w:u w:val="single"/>
          </w:rPr>
          <w:t>Taxation Framework for Social Economy Entities</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sidRPr="00A773FA">
              <w:rPr>
                <w:b/>
              </w:rPr>
              <w:t>Rapporteur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rsidRPr="00A773FA">
              <w:t xml:space="preserve">Giuseppe Guerini (Civil Society Organisations' Group </w:t>
            </w:r>
            <w:r w:rsidR="00E96F39">
              <w:t>-</w:t>
            </w:r>
            <w:r w:rsidRPr="00A773FA">
              <w:t xml:space="preserve">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sidRPr="00A773FA">
              <w:rPr>
                <w:b/>
              </w:rPr>
              <w:t>References</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O</w:t>
            </w:r>
            <w:r w:rsidRPr="002910B2">
              <w:t>wn-initiative opinion</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rsidRPr="00A773FA">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sidRPr="00A773FA">
        <w:rPr>
          <w:b/>
        </w:rPr>
        <w:t>Key points</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rsidRPr="00A773FA">
        <w:rPr>
          <w:bCs/>
          <w:iCs/>
        </w:rPr>
        <w:t>The EESC:</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rsidRPr="00A773FA">
        <w:rPr>
          <w:szCs w:val="20"/>
        </w:rPr>
        <w:t>stresses how imperative it is that the Member States’ tax systems do not hamper the development of the social economy, and welcomes the European Commission’s goal to provide support to the Member States by publishing guidance on relevant taxation frameworks applicable to social economy entities;</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rsidRPr="00A773FA">
        <w:rPr>
          <w:szCs w:val="20"/>
        </w:rPr>
        <w:t>notes that knowledge on the approaches adopted in the different Member States could be a significant starting point to deepen and improve the overall tax framework of social economy entities in the internal market;</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rsidRPr="00A773FA">
        <w:rPr>
          <w:szCs w:val="20"/>
        </w:rPr>
        <w:t>hopes that efforts to harmonise the approaches to taxing social enterprises can be pursued in the future, with a view to consolidating the internal market;</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rsidRPr="00A773FA">
        <w:rPr>
          <w:szCs w:val="20"/>
        </w:rPr>
        <w:t>calls for in-depth consideration of possible ways of harmonising social economy taxation in the EU in the future;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rsidRPr="00A773FA">
        <w:rPr>
          <w:szCs w:val="20"/>
        </w:rPr>
        <w:t>encourages the European Commission and the Member States to also consider extra-favourable VAT rates for public benefit activities carried out by social economy entities and for social services, particularly for the sector of health and social care for older people, as well as the personal services, long-term care and education sectors.</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sidRPr="00A773FA">
              <w:rPr>
                <w:b/>
                <w:i/>
              </w:rPr>
              <w:t>Contact</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sidRPr="00A773FA">
              <w:rPr>
                <w:i/>
              </w:rPr>
              <w:t>Jüri S</w:t>
            </w:r>
            <w:r w:rsidRPr="00A773FA" w:rsidR="00E96F39">
              <w:rPr>
                <w:i/>
              </w:rPr>
              <w:t>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sidRPr="00A773FA">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sidRPr="00A773FA">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sidRPr="00A773FA">
              <w:rPr>
                <w:i/>
              </w:rPr>
              <w:t>Email</w:t>
            </w:r>
          </w:p>
        </w:tc>
        <w:tc>
          <w:tcPr>
            <w:tcW w:w="3444" w:type="pct"/>
          </w:tcPr>
          <w:p w:rsidRPr="00A773FA" w:rsidR="00A773FA" w:rsidP="00A773FA" w:rsidRDefault="00EF3FA9" w14:paraId="7316BD89" w14:textId="77777777">
            <w:pPr>
              <w:overflowPunct w:val="0"/>
              <w:autoSpaceDE w:val="0"/>
              <w:autoSpaceDN w:val="0"/>
              <w:adjustRightInd w:val="0"/>
              <w:spacing w:line="240" w:lineRule="auto"/>
              <w:textAlignment w:val="baseline"/>
              <w:rPr>
                <w:i/>
              </w:rPr>
            </w:pPr>
            <w:hyperlink w:history="1" r:id="rId23">
              <w:r w:rsidRPr="00A773FA" w:rsidR="00A773FA">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rPr>
          <w:color w:val="000000" w:themeColor="text1"/>
        </w:rPr>
        <w:br w:type="page"/>
      </w:r>
    </w:p>
    <w:bookmarkStart w:name="_Toc162435204" w:id="5"/>
    <w:bookmarkEnd w:id="5"/>
    <w:p w:rsidR="00C37F51" w:rsidP="00D92244" w:rsidRDefault="00C34921" w14:paraId="264EB5BB" w14:textId="64EED120">
      <w:pPr>
        <w:pStyle w:val="TOC1"/>
        <w:rPr>
          <w:rStyle w:val="Hyperlink"/>
          <w:b w:val="0"/>
          <w:color w:val="000000" w:themeColor="text1"/>
          <w:sz w:val="22"/>
          <w:szCs w:val="22"/>
          <w:u w:val="none"/>
        </w:rPr>
      </w:pPr>
      <w:r>
        <w:fldChar w:fldCharType="begin"/>
      </w:r>
      <w:r>
        <w:instrText xml:space="preserve"> HYPERLINK \l "_Toc164353188" </w:instrText>
      </w:r>
      <w:r>
        <w:fldChar w:fldCharType="separate"/>
      </w:r>
      <w:bookmarkStart w:name="_Toc172289018" w:id="6"/>
      <w:r w:rsidRPr="00D92244" w:rsidR="00520680">
        <w:rPr>
          <w:rStyle w:val="Hyperlink"/>
          <w:color w:val="000000" w:themeColor="text1"/>
          <w:sz w:val="22"/>
          <w:szCs w:val="22"/>
          <w:u w:val="none"/>
        </w:rPr>
        <w:t>3.</w:t>
      </w:r>
      <w:r w:rsidRPr="00D92244" w:rsidR="00520680">
        <w:rPr>
          <w:rFonts w:asciiTheme="minorHAnsi" w:hAnsiTheme="minorHAnsi" w:eastAsiaTheme="minorEastAsia" w:cstheme="minorBidi"/>
          <w:color w:val="000000" w:themeColor="text1"/>
          <w:lang w:val="fr-BE" w:eastAsia="fr-BE"/>
        </w:rPr>
        <w:tab/>
      </w:r>
      <w:r w:rsidRPr="00D92244" w:rsidR="00D92244">
        <w:rPr>
          <w:rFonts w:eastAsiaTheme="minorEastAsia"/>
          <w:lang w:val="fr-BE" w:eastAsia="fr-BE"/>
        </w:rPr>
        <w:t>EMPLOYMENT, SOCIAL AFFAIRS AND CITIZENSHIP</w:t>
      </w:r>
      <w:bookmarkEnd w:id="6"/>
      <w:r w:rsidRPr="00D92244" w:rsidR="00D92244">
        <w:rPr>
          <w:rStyle w:val="Hyperlink"/>
          <w:rFonts w:asciiTheme="minorHAnsi" w:hAnsiTheme="minorHAnsi" w:eastAsiaTheme="minorEastAsia" w:cstheme="minorBidi"/>
          <w:color w:val="auto"/>
          <w:sz w:val="22"/>
          <w:szCs w:val="22"/>
          <w:u w:val="none"/>
          <w:lang w:val="fr-BE" w:eastAsia="fr-BE"/>
        </w:rPr>
        <w:t xml:space="preserve"> </w:t>
      </w:r>
      <w:r>
        <w:rPr>
          <w:rStyle w:val="Hyperlink"/>
          <w:color w:val="000000" w:themeColor="text1"/>
          <w:sz w:val="22"/>
          <w:szCs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lang w:val="en-US"/>
        </w:rPr>
      </w:pPr>
      <w:r w:rsidRPr="00231B83">
        <w:rPr>
          <w:b/>
          <w:bCs/>
          <w:i/>
          <w:iCs/>
          <w:sz w:val="28"/>
          <w:szCs w:val="28"/>
          <w:lang w:val="en-US"/>
        </w:rPr>
        <w:fldChar w:fldCharType="begin"/>
      </w:r>
      <w:r w:rsidRPr="00231B83">
        <w:rPr>
          <w:b/>
          <w:bCs/>
          <w:i/>
          <w:iCs/>
          <w:sz w:val="28"/>
          <w:szCs w:val="28"/>
          <w:lang w:val="en-US"/>
        </w:rPr>
        <w:instrText>HYPERLINK "https://www.eesc.europa.eu/en/our-work/opinions-information-reports/opinions/combating-sexual-abuse-and-sexual-exploitation-children-and-child-pornography"</w:instrText>
      </w:r>
      <w:r w:rsidRPr="00231B83">
        <w:rPr>
          <w:b/>
          <w:bCs/>
          <w:i/>
          <w:iCs/>
          <w:sz w:val="28"/>
          <w:szCs w:val="28"/>
          <w:lang w:val="en-US"/>
        </w:rPr>
        <w:fldChar w:fldCharType="separate"/>
      </w:r>
      <w:r w:rsidRPr="00231B83">
        <w:rPr>
          <w:b/>
          <w:bCs/>
          <w:i/>
          <w:iCs/>
          <w:color w:val="0000FF"/>
          <w:sz w:val="28"/>
          <w:szCs w:val="28"/>
          <w:u w:val="single"/>
          <w:lang w:val="en-US"/>
        </w:rPr>
        <w:t>Combating the sexual abuse and sexual exploitation of children and child pornography</w:t>
      </w:r>
    </w:p>
    <w:p w:rsidRPr="00231B83" w:rsidR="00231B83" w:rsidP="00231B83" w:rsidRDefault="00231B83" w14:paraId="63D67F76" w14:textId="42A584FD">
      <w:pPr>
        <w:widowControl w:val="0"/>
        <w:overflowPunct w:val="0"/>
        <w:autoSpaceDE w:val="0"/>
        <w:autoSpaceDN w:val="0"/>
        <w:adjustRightInd w:val="0"/>
        <w:ind w:left="567"/>
        <w:textAlignment w:val="baseline"/>
        <w:rPr>
          <w:b/>
          <w:bCs/>
          <w:i/>
          <w:iCs/>
          <w:sz w:val="28"/>
          <w:szCs w:val="28"/>
          <w:lang w:val="en-US"/>
        </w:rPr>
      </w:pPr>
      <w:r w:rsidRPr="00231B83">
        <w:rPr>
          <w:b/>
          <w:bCs/>
          <w:i/>
          <w:iCs/>
          <w:sz w:val="28"/>
          <w:szCs w:val="28"/>
          <w:lang w:val="en-US"/>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sidRPr="00231B83">
              <w:rPr>
                <w:b/>
              </w:rPr>
              <w:t>Rapporteur</w:t>
            </w:r>
          </w:p>
          <w:p w:rsidRPr="00231B83" w:rsidR="00231B83" w:rsidP="00231B83" w:rsidRDefault="00231B83" w14:paraId="020B7D59" w14:textId="77777777">
            <w:pPr>
              <w:overflowPunct w:val="0"/>
              <w:autoSpaceDE w:val="0"/>
              <w:autoSpaceDN w:val="0"/>
              <w:adjustRightInd w:val="0"/>
              <w:ind w:left="-113"/>
              <w:textAlignment w:val="baseline"/>
              <w:rPr>
                <w:b/>
              </w:rPr>
            </w:pPr>
            <w:r w:rsidRPr="00231B83">
              <w:rPr>
                <w:b/>
              </w:rPr>
              <w:t>Co-rapporteur</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rsidRPr="00231B83">
              <w:t>Christian BÄUMLER (Workers' Group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rsidRPr="00231B83">
              <w:t>Diana INDJOVA (Civil Society Organisations' Group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sidRPr="00231B83">
              <w:rPr>
                <w:b/>
              </w:rPr>
              <w:t>References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rsidRPr="002910B2">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rsidRPr="00231B83">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sidRPr="00231B83">
        <w:rPr>
          <w:b/>
        </w:rPr>
        <w:t>Key points</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rsidRPr="00231B83">
        <w:rPr>
          <w:szCs w:val="20"/>
        </w:rPr>
        <w:t>The EESC:</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supports the proposal’s objective to ensure that all forms of sexual abuse and sexual exploitation of children, including those enabled or facilitated by technological developments, are criminalised;</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emphasises a focus on the particularly vulnerable group of children with disabilities, who can become easy victims of sexual abuse and sexual exploitation and cybercrimes;</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is in favour of better coordination in preventing and combating child sexual abuse across Member States and at national level; supports in this connection the proposed obligation on Member States to establish national authorities in charge of such coordination;</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underlines the importance of having common minimum standards for the definition of criminal offences and the severity of related penalties in order to prosecute offenders effectively and to ensure the protection of victims across the EU; endorses the criminalisation of ‘paedophile manuals’;</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calls for the international exchange of data relating to child sexual abuse and exploitation to be specifically regulated and for the possibilities for data retention to be expanded in all Member States with the development of an EU Research Centre;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supports the aim of making improvements to the prevention and assistance to victims of sexual exploitation and abuse; endorses the proposed increase in minimum penalties and in the length of statutes of limitations;</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 xml:space="preserve">underlines the importance of continuous training for law enforcement officers and for anyone in contact with children for the performance of their duties;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31B83">
        <w:rPr>
          <w:lang w:eastAsia="zh-CN"/>
        </w:rPr>
        <w:t>considers the involvement of civil society to be crucial in combating the sexual abuse and sexual exploitation of children, and in prevention and victim support.</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sidRPr="00231B83">
              <w:rPr>
                <w:b/>
                <w:i/>
              </w:rPr>
              <w:t>Contact</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sidRPr="00231B83">
              <w:rPr>
                <w:i/>
              </w:rPr>
              <w:t>Sabrina B</w:t>
            </w:r>
            <w:r w:rsidRPr="00231B83" w:rsidR="0023561C">
              <w:rPr>
                <w:i/>
              </w:rPr>
              <w:t>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sidRPr="00231B83">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sidRPr="00231B83">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sidRPr="00231B83">
              <w:rPr>
                <w:i/>
              </w:rPr>
              <w:t>Email</w:t>
            </w:r>
          </w:p>
        </w:tc>
        <w:tc>
          <w:tcPr>
            <w:tcW w:w="3444" w:type="pct"/>
          </w:tcPr>
          <w:p w:rsidRPr="00231B83" w:rsidR="00231B83" w:rsidP="00231B83" w:rsidRDefault="00EF3FA9" w14:paraId="3099FA9B" w14:textId="77777777">
            <w:pPr>
              <w:overflowPunct w:val="0"/>
              <w:autoSpaceDE w:val="0"/>
              <w:autoSpaceDN w:val="0"/>
              <w:adjustRightInd w:val="0"/>
              <w:spacing w:line="240" w:lineRule="auto"/>
              <w:textAlignment w:val="baseline"/>
              <w:rPr>
                <w:color w:val="0000FF"/>
                <w:u w:val="single"/>
              </w:rPr>
            </w:pPr>
            <w:hyperlink w:history="1" r:id="rId24">
              <w:r w:rsidRPr="00231B83" w:rsidR="00231B83">
                <w:rPr>
                  <w:i/>
                  <w:iCs/>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rPr>
          <w:rFonts w:eastAsiaTheme="minorEastAsia"/>
        </w:rP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lang w:val="en-US"/>
        </w:rPr>
      </w:pPr>
      <w:r w:rsidRPr="00D7590E">
        <w:rPr>
          <w:b/>
          <w:bCs/>
          <w:i/>
          <w:iCs/>
          <w:sz w:val="28"/>
          <w:szCs w:val="28"/>
          <w:lang w:val="en-US"/>
        </w:rPr>
        <w:fldChar w:fldCharType="begin"/>
      </w:r>
      <w:r w:rsidRPr="00D7590E">
        <w:rPr>
          <w:b/>
          <w:bCs/>
          <w:i/>
          <w:iCs/>
          <w:sz w:val="28"/>
          <w:szCs w:val="28"/>
          <w:lang w:val="en-US"/>
        </w:rPr>
        <w:instrText xml:space="preserve"> HYPERLINK "https://www.eesc.europa.eu/en/our-work/opinions-information-reports/opinions/anti-smuggling-package" </w:instrText>
      </w:r>
      <w:r w:rsidRPr="00D7590E">
        <w:rPr>
          <w:b/>
          <w:bCs/>
          <w:i/>
          <w:iCs/>
          <w:sz w:val="28"/>
          <w:szCs w:val="28"/>
          <w:lang w:val="en-US"/>
        </w:rPr>
        <w:fldChar w:fldCharType="separate"/>
      </w:r>
      <w:r w:rsidRPr="00D7590E">
        <w:rPr>
          <w:b/>
          <w:bCs/>
          <w:i/>
          <w:iCs/>
          <w:color w:val="0000FF"/>
          <w:sz w:val="28"/>
          <w:szCs w:val="28"/>
          <w:u w:val="single"/>
          <w:lang w:val="en-US"/>
        </w:rPr>
        <w:t>Anti-smuggling package</w:t>
      </w:r>
    </w:p>
    <w:p w:rsidRPr="00D7590E" w:rsidR="00D7590E" w:rsidP="00D7590E" w:rsidRDefault="00D7590E" w14:paraId="31787A8A" w14:textId="77777777">
      <w:pPr>
        <w:widowControl w:val="0"/>
        <w:overflowPunct w:val="0"/>
        <w:autoSpaceDE w:val="0"/>
        <w:autoSpaceDN w:val="0"/>
        <w:adjustRightInd w:val="0"/>
        <w:ind w:left="567"/>
        <w:textAlignment w:val="baseline"/>
        <w:rPr>
          <w:b/>
          <w:bCs/>
          <w:i/>
          <w:iCs/>
          <w:sz w:val="16"/>
          <w:szCs w:val="16"/>
          <w:lang w:val="en-US"/>
        </w:rPr>
      </w:pPr>
      <w:r w:rsidRPr="00D7590E">
        <w:rPr>
          <w:b/>
          <w:bCs/>
          <w:i/>
          <w:iCs/>
          <w:sz w:val="28"/>
          <w:szCs w:val="28"/>
          <w:lang w:val="en-US"/>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sidRPr="00D7590E">
              <w:rPr>
                <w:b/>
              </w:rPr>
              <w:t>Rapporteur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rsidRPr="00D7590E">
              <w:t>Florin BERCEA (Workers' Group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sidRPr="00D7590E">
              <w:rPr>
                <w:b/>
              </w:rPr>
              <w:t>References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rsidRPr="002910B2">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rsidRPr="002910B2">
              <w:t>COM(2023) 75</w:t>
            </w:r>
            <w:r>
              <w:t>5</w:t>
            </w:r>
            <w:r w:rsidRPr="002910B2">
              <w:t xml:space="preserve">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rsidRPr="00D7590E">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sidRPr="00D7590E">
        <w:rPr>
          <w:b/>
        </w:rPr>
        <w:t>Key points</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rsidRPr="00D7590E">
        <w:rPr>
          <w:szCs w:val="20"/>
        </w:rPr>
        <w:t>The EESC:</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notes that the two legislative proposals and the Global Alliance propose proportional and incremental capacity-building but need more strategic ambition and commitment to deal effectively with the process;</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acknowledges that combating migrant smuggling needs a new impetus and better coordination at all levels. At the same time, the EESC believes that it is essential to open legal migration channels and procedures for those who want to reach the EU safely and legally;</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recognises that for the EU asylum system to function effectively, it is crucial to find ways to solve the problems of the systematic use of pushbacks at the EU’s external border, as this is banned by the Geneva Convention. The absence of safe and legal pathways to enter the EU leaves refugees and migrants in search of safety, with no other option than to use more dangerous routes that put their lives at risk;</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calls on the Commission to develop a more solid approach beyond the Global Alliance to strengthen third countries’ capacities and encourage cooperation with Europol and Member State law enforcement authorities;</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regrets that the package does not cover the persons using the services of migrant smugglers, even though they are recognised as potential victims. The EU must build into its anti-smuggling strategy a fundamental rights dimension for people who are desperate and vulnerable enough to use the services of smugglers. The policy should be also more geared to groups of people who are even more vulnerable, such as people with disabilities;</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calls for more transparency in the preparation of the proposals as there was no ex-ante impact assessment report accompanying the proposals;</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D7590E">
        <w:rPr>
          <w:lang w:eastAsia="zh-CN"/>
        </w:rPr>
        <w:t>welcomes the Directive, but warns that its content could seriously affect the fundamental rights of migrants, and those assisting them on humanitarian grounds. The Committee finds that creating and maintaining such a climate of fear around humanitarian, legal or even administrative assistance is a wrong and unacceptable way to combat smuggling;</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rPr>
          <w:lang w:eastAsia="zh-CN"/>
        </w:rPr>
      </w:pPr>
      <w:r w:rsidRPr="00D7590E">
        <w:rPr>
          <w:lang w:eastAsia="zh-CN"/>
        </w:rPr>
        <w:t>furthermore, finds that humanitarians, family members, and other people providing services to migrants should be excluded from prosecution. Such grounds for prosecution should only be possible when an undue financial benefit is involved.</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sidRPr="00D7590E">
              <w:rPr>
                <w:b/>
                <w:i/>
              </w:rPr>
              <w:t>Contact</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sidRPr="00D7590E">
              <w:rPr>
                <w:i/>
              </w:rPr>
              <w:t>Gemma A</w:t>
            </w:r>
            <w:r w:rsidRPr="00D7590E" w:rsidR="00620F8C">
              <w:rPr>
                <w:i/>
              </w:rPr>
              <w:t>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sidRPr="00D7590E">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sidRPr="00D7590E">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sidRPr="00D7590E">
              <w:rPr>
                <w:i/>
              </w:rPr>
              <w:t>Email</w:t>
            </w:r>
          </w:p>
        </w:tc>
        <w:tc>
          <w:tcPr>
            <w:tcW w:w="3444" w:type="pct"/>
          </w:tcPr>
          <w:p w:rsidRPr="00D7590E" w:rsidR="00D7590E" w:rsidP="00D7590E" w:rsidRDefault="00EF3FA9" w14:paraId="61475911" w14:textId="77777777">
            <w:pPr>
              <w:overflowPunct w:val="0"/>
              <w:autoSpaceDE w:val="0"/>
              <w:autoSpaceDN w:val="0"/>
              <w:adjustRightInd w:val="0"/>
              <w:spacing w:line="240" w:lineRule="auto"/>
              <w:textAlignment w:val="baseline"/>
              <w:rPr>
                <w:color w:val="0000FF"/>
                <w:u w:val="single"/>
              </w:rPr>
            </w:pPr>
            <w:hyperlink w:history="1" r:id="rId25">
              <w:r w:rsidRPr="00D7590E" w:rsidR="00D7590E">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rPr>
          <w:rFonts w:eastAsiaTheme="minorEastAsia"/>
        </w:rPr>
        <w:br w:type="page"/>
      </w:r>
    </w:p>
    <w:p w:rsidRPr="003A3334" w:rsidR="003A3334" w:rsidP="003A3334" w:rsidRDefault="00EF3FA9"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lang w:val="en-US"/>
        </w:rPr>
      </w:pPr>
      <w:hyperlink w:history="1" r:id="rId26">
        <w:r w:rsidRPr="003A3334" w:rsidR="003A3334">
          <w:rPr>
            <w:b/>
            <w:bCs/>
            <w:i/>
            <w:iCs/>
            <w:color w:val="0000FF"/>
            <w:sz w:val="28"/>
            <w:szCs w:val="28"/>
            <w:u w:val="single"/>
          </w:rPr>
          <w:t>Caregivers</w:t>
        </w:r>
      </w:hyperlink>
      <w:r w:rsidRPr="003A3334" w:rsidR="003A3334">
        <w:rPr>
          <w:b/>
          <w:bCs/>
          <w:i/>
          <w:iCs/>
          <w:sz w:val="28"/>
          <w:szCs w:val="28"/>
          <w:lang w:val="en-US"/>
        </w:rPr>
        <w:fldChar w:fldCharType="begin"/>
      </w:r>
      <w:r w:rsidRPr="003A3334" w:rsidR="003A3334">
        <w:rPr>
          <w:b/>
          <w:bCs/>
          <w:i/>
          <w:iCs/>
          <w:sz w:val="28"/>
          <w:szCs w:val="28"/>
          <w:lang w:val="en-US"/>
        </w:rPr>
        <w:instrText xml:space="preserve"> HYPERLINK "https://www.eesc.europa.eu/en/our-work/opinions-information-reports/opinions/anti-smuggling-package" </w:instrText>
      </w:r>
      <w:r w:rsidRPr="003A3334" w:rsidR="003A3334">
        <w:rPr>
          <w:b/>
          <w:bCs/>
          <w:i/>
          <w:iCs/>
          <w:sz w:val="28"/>
          <w:szCs w:val="28"/>
          <w:lang w:val="en-US"/>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bCs/>
          <w:i/>
          <w:iCs/>
          <w:sz w:val="28"/>
          <w:szCs w:val="28"/>
          <w:lang w:val="en-US"/>
        </w:rPr>
      </w:pPr>
      <w:r w:rsidRPr="003A3334">
        <w:rPr>
          <w:b/>
          <w:bCs/>
          <w:i/>
          <w:iCs/>
          <w:sz w:val="28"/>
          <w:szCs w:val="28"/>
          <w:lang w:val="en-US"/>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sidRPr="003A3334">
              <w:rPr>
                <w:b/>
              </w:rPr>
              <w:t>Rapporteur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rsidRPr="003A3334">
              <w:t xml:space="preserve">Pietro Vittorio BARBIERI (Civil Society Organisations </w:t>
            </w:r>
            <w:r w:rsidR="00A200F9">
              <w:t xml:space="preserve">Group </w:t>
            </w:r>
            <w:r w:rsidRPr="003A3334">
              <w:t>-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sidRPr="003A3334">
              <w:rPr>
                <w:b/>
              </w:rPr>
              <w:t>References</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Own-initiative opinion</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rsidRPr="003A3334">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sidRPr="003A3334">
        <w:rPr>
          <w:b/>
        </w:rPr>
        <w:t>Key points</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rsidRPr="003A3334">
        <w:rPr>
          <w:szCs w:val="20"/>
        </w:rPr>
        <w:t>The EESC:</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lang w:eastAsia="zh-CN"/>
        </w:rPr>
      </w:pPr>
      <w:r w:rsidRPr="003A3334">
        <w:rPr>
          <w:color w:val="000000"/>
          <w:lang w:eastAsia="zh-CN"/>
        </w:rPr>
        <w:t>calls on the Commission to put the topic of informal carers high on the political agenda and to establish a Platform for the exchange of best practices among Member States;calls on Member States to adopt policies that encourage the provision and uptake of high quality community-based long-term care services, the availability of respite services for informal carers as well as of preventive medicine to tackle the high risk of burnout and physical and mental overload to which informal carers are exposed;</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lang w:eastAsia="zh-CN"/>
        </w:rPr>
      </w:pPr>
      <w:r w:rsidRPr="003A3334">
        <w:rPr>
          <w:color w:val="000000"/>
          <w:lang w:eastAsia="zh-CN"/>
        </w:rPr>
        <w:t>calls on Member States to take appropriate measures to guarantee that the decision to take on informal care is voluntary, that gender inequalities are tackled, that informal carers can maintain their employment and pay through more flexible working conditions and can easily re-enter the job market if they are forced to leave it ;</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lang w:eastAsia="zh-CN"/>
        </w:rPr>
      </w:pPr>
      <w:r w:rsidRPr="003A3334">
        <w:rPr>
          <w:color w:val="000000"/>
          <w:lang w:eastAsia="zh-CN"/>
        </w:rPr>
        <w:t>calls for family carers to be included in the International Day of Care and Support so that they are recognised in the European care system;</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rPr>
          <w:lang w:eastAsia="zh-CN"/>
        </w:rPr>
      </w:pPr>
      <w:r w:rsidRPr="003A3334">
        <w:rPr>
          <w:color w:val="000000"/>
          <w:lang w:eastAsia="zh-CN"/>
        </w:rPr>
        <w:t>considers it of major importance, to have qualitative and quantitative data available describing the actual living conditions of informal carers and calls for further research strategies to be adopted</w:t>
      </w:r>
      <w:r w:rsidRPr="003A3334">
        <w:rPr>
          <w:lang w:eastAsia="zh-CN"/>
        </w:rPr>
        <w:t>.</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sidRPr="003A3334">
              <w:rPr>
                <w:b/>
                <w:i/>
              </w:rPr>
              <w:t>Contact</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sidRPr="003A3334">
              <w:rPr>
                <w:i/>
              </w:rPr>
              <w:t>Valeria A</w:t>
            </w:r>
            <w:r w:rsidRPr="003A3334" w:rsidR="006E360B">
              <w:rPr>
                <w:i/>
              </w:rPr>
              <w:t>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sidRPr="003A3334">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sidRPr="003A3334">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sidRPr="003A3334">
              <w:rPr>
                <w:i/>
              </w:rPr>
              <w:t>Email</w:t>
            </w:r>
          </w:p>
        </w:tc>
        <w:tc>
          <w:tcPr>
            <w:tcW w:w="3444" w:type="pct"/>
          </w:tcPr>
          <w:p w:rsidRPr="003A3334" w:rsidR="003A3334" w:rsidP="003A3334" w:rsidRDefault="00EF3FA9" w14:paraId="30545BE2" w14:textId="77777777">
            <w:pPr>
              <w:widowControl w:val="0"/>
              <w:overflowPunct w:val="0"/>
              <w:autoSpaceDE w:val="0"/>
              <w:autoSpaceDN w:val="0"/>
              <w:adjustRightInd w:val="0"/>
              <w:textAlignment w:val="baseline"/>
              <w:rPr>
                <w:color w:val="0000FF"/>
                <w:u w:val="single"/>
              </w:rPr>
            </w:pPr>
            <w:hyperlink w:history="1" r:id="rId27">
              <w:r w:rsidRPr="003A3334" w:rsidR="003A3334">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rPr>
          <w:rFonts w:eastAsiaTheme="minorEastAsia"/>
        </w:rP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lang w:val="en-US"/>
        </w:rPr>
      </w:pPr>
      <w:r w:rsidRPr="002646B8">
        <w:rPr>
          <w:b/>
          <w:bCs/>
          <w:i/>
          <w:iCs/>
          <w:sz w:val="28"/>
          <w:szCs w:val="28"/>
          <w:lang w:val="en-US"/>
        </w:rPr>
        <w:fldChar w:fldCharType="begin"/>
      </w:r>
      <w:r w:rsidRPr="002646B8">
        <w:rPr>
          <w:b/>
          <w:bCs/>
          <w:i/>
          <w:iCs/>
          <w:sz w:val="28"/>
          <w:szCs w:val="28"/>
          <w:lang w:val="en-US"/>
        </w:rPr>
        <w:instrText>HYPERLINK "https://www.eesc.europa.eu/en/our-work/opinions-information-reports/opinions/traineeship-directive-and-reinforced-quality-framework-traineeships"</w:instrText>
      </w:r>
      <w:r w:rsidRPr="002646B8">
        <w:rPr>
          <w:b/>
          <w:bCs/>
          <w:i/>
          <w:iCs/>
          <w:sz w:val="28"/>
          <w:szCs w:val="28"/>
          <w:lang w:val="en-US"/>
        </w:rPr>
        <w:fldChar w:fldCharType="separate"/>
      </w:r>
      <w:r w:rsidRPr="002646B8">
        <w:rPr>
          <w:b/>
          <w:bCs/>
          <w:i/>
          <w:iCs/>
          <w:color w:val="0000FF"/>
          <w:sz w:val="28"/>
          <w:szCs w:val="28"/>
          <w:u w:val="single"/>
          <w:lang w:val="en-US"/>
        </w:rPr>
        <w:t>Traineeship Directive and a Reinforced Quality Framework for Traineeships</w:t>
      </w:r>
    </w:p>
    <w:p w:rsidRPr="002646B8" w:rsidR="002646B8" w:rsidP="002646B8" w:rsidRDefault="002646B8" w14:paraId="361E6ADA" w14:textId="77777777">
      <w:pPr>
        <w:widowControl w:val="0"/>
        <w:overflowPunct w:val="0"/>
        <w:autoSpaceDE w:val="0"/>
        <w:autoSpaceDN w:val="0"/>
        <w:adjustRightInd w:val="0"/>
        <w:ind w:left="567"/>
        <w:textAlignment w:val="baseline"/>
        <w:rPr>
          <w:b/>
          <w:bCs/>
          <w:i/>
          <w:iCs/>
          <w:sz w:val="28"/>
          <w:szCs w:val="28"/>
          <w:lang w:val="en-US"/>
        </w:rPr>
      </w:pPr>
      <w:r w:rsidRPr="002646B8">
        <w:rPr>
          <w:b/>
          <w:bCs/>
          <w:i/>
          <w:iCs/>
          <w:sz w:val="28"/>
          <w:szCs w:val="28"/>
          <w:lang w:val="en-US"/>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sidRPr="002646B8">
              <w:rPr>
                <w:b/>
              </w:rPr>
              <w:t>Rapporteur</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rsidRPr="002646B8">
              <w:t>Nicoletta MERLO (Workers' Group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sidRPr="002646B8">
              <w:rPr>
                <w:b/>
              </w:rPr>
              <w:t>References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lang w:val="en-GB" w:eastAsia="fr-BE"/>
              </w:rPr>
            </w:pPr>
            <w:r w:rsidRPr="00A769C2">
              <w:rPr>
                <w:sz w:val="22"/>
                <w:szCs w:val="22"/>
                <w:lang w:val="en-GB" w:eastAsia="fr-BE"/>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sidRPr="00A769C2">
              <w:rPr>
                <w:sz w:val="22"/>
                <w:szCs w:val="22"/>
                <w:lang w:val="en-GB" w:eastAsia="fr-BE"/>
              </w:rPr>
              <w:t>COM(2024) 13</w:t>
            </w:r>
            <w:r>
              <w:rPr>
                <w:sz w:val="22"/>
                <w:szCs w:val="22"/>
                <w:lang w:val="en-GB" w:eastAsia="fr-BE"/>
              </w:rPr>
              <w:t>3</w:t>
            </w:r>
            <w:r w:rsidRPr="00A769C2">
              <w:rPr>
                <w:sz w:val="22"/>
                <w:szCs w:val="22"/>
                <w:lang w:val="en-GB" w:eastAsia="fr-BE"/>
              </w:rPr>
              <w:t xml:space="preserve">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rsidRPr="002646B8">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sidRPr="002646B8">
        <w:rPr>
          <w:b/>
        </w:rPr>
        <w:t>Key points</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rsidRPr="002646B8">
        <w:rPr>
          <w:szCs w:val="20"/>
        </w:rPr>
        <w:t>The EESC:</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underlines that apprenticeships and traineeships</w:t>
      </w:r>
      <w:r w:rsidR="00F649E5">
        <w:rPr>
          <w:lang w:eastAsia="zh-CN"/>
        </w:rPr>
        <w:t xml:space="preserve"> </w:t>
      </w:r>
      <w:r w:rsidRPr="002646B8">
        <w:rPr>
          <w:lang w:eastAsia="zh-CN"/>
        </w:rPr>
        <w:t xml:space="preserve">are two distinct practices with different aims and regulations;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recommends that the definitions laid down in Article 2 not entail any obligation for Member States to classify traineeships as an employment relationship where, according to the regulations in the Member States, this work practice falls outside the definition of ‘trainee’ set by the directive;</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proposes that the directive should include a list of working conditions that should be considered non-derogable, to ensure better protection of trainees’ interests while preserving the autonomy of the social partners when it comes to regulating the conditions of traineeships in the open market;</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underlines the key role played by the competent authorities in combating regular employment relationships disguised as traineeships, and to recognise the important role that social partners can play in these efforts;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calls for provisions that ensure that workers' representatives can always act to safeguard trainees, even if the traineeship does not constitute an employment relationship;</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recommends defining minimum quality criteria for each type of traineeship throughout the EU, to ensure high standards and a common basic framework in all Member States; points at the importance of data collection and of sharing examples of good national practices for each type of traineeship at EU level, as part of the review and implementation process;</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rPr>
          <w:lang w:eastAsia="zh-CN"/>
        </w:rPr>
      </w:pPr>
      <w:r w:rsidRPr="002646B8">
        <w:rPr>
          <w:lang w:eastAsia="zh-CN"/>
        </w:rPr>
        <w:t>emphasises the importance of fair compensation, which considers the possible costs of participating in the training activity and the related living requirements.</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sidRPr="002646B8">
              <w:rPr>
                <w:b/>
                <w:i/>
              </w:rPr>
              <w:t>Contact</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sidRPr="002646B8">
              <w:rPr>
                <w:i/>
              </w:rPr>
              <w:t>Sabrina B</w:t>
            </w:r>
            <w:r w:rsidR="00071BCC">
              <w:rPr>
                <w:i/>
              </w:rPr>
              <w:t>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sidRPr="002646B8">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sidRPr="002646B8">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sidRPr="002646B8">
              <w:rPr>
                <w:i/>
              </w:rPr>
              <w:t>Email</w:t>
            </w:r>
          </w:p>
        </w:tc>
        <w:tc>
          <w:tcPr>
            <w:tcW w:w="3444" w:type="pct"/>
          </w:tcPr>
          <w:p w:rsidRPr="002646B8" w:rsidR="002646B8" w:rsidP="002646B8" w:rsidRDefault="00EF3FA9" w14:paraId="23CAB7B1" w14:textId="77777777">
            <w:pPr>
              <w:overflowPunct w:val="0"/>
              <w:autoSpaceDE w:val="0"/>
              <w:autoSpaceDN w:val="0"/>
              <w:adjustRightInd w:val="0"/>
              <w:spacing w:line="240" w:lineRule="auto"/>
              <w:textAlignment w:val="baseline"/>
              <w:rPr>
                <w:color w:val="0000FF"/>
                <w:u w:val="single"/>
              </w:rPr>
            </w:pPr>
            <w:hyperlink w:history="1" r:id="rId28">
              <w:r w:rsidRPr="002646B8" w:rsidR="002646B8">
                <w:rPr>
                  <w:i/>
                  <w:iCs/>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rPr>
          <w:rFonts w:eastAsiaTheme="minorEastAsia"/>
        </w:rPr>
        <w:br w:type="page"/>
      </w:r>
    </w:p>
    <w:p w:rsidRPr="002F47C0" w:rsidR="00DC26B9" w:rsidRDefault="00EF3FA9" w14:paraId="153FDF23" w14:textId="654546C0">
      <w:pPr>
        <w:pStyle w:val="TOC1"/>
        <w:rPr>
          <w:color w:val="000000" w:themeColor="text1"/>
        </w:rPr>
      </w:pPr>
      <w:hyperlink w:history="1" w:anchor="_Toc164353189">
        <w:bookmarkStart w:name="_Toc172289019" w:id="7"/>
        <w:r w:rsidRPr="0088361D" w:rsidR="00DC26B9">
          <w:t>4.</w:t>
        </w:r>
        <w:r w:rsidRPr="002F47C0" w:rsidR="00DC26B9">
          <w:rPr>
            <w:rFonts w:asciiTheme="minorHAnsi" w:hAnsiTheme="minorHAnsi" w:eastAsiaTheme="minorEastAsia" w:cstheme="minorBidi"/>
            <w:sz w:val="22"/>
            <w:szCs w:val="22"/>
            <w:lang w:val="fr-BE" w:eastAsia="fr-BE"/>
          </w:rPr>
          <w:tab/>
        </w:r>
      </w:hyperlink>
      <w:r w:rsidRPr="0088361D" w:rsidR="00DC26B9">
        <w:t>SINGLE MARKET, PRODUCTION AND CONSUMPTION</w:t>
      </w:r>
      <w:bookmarkEnd w:id="7"/>
    </w:p>
    <w:p w:rsidR="00C34921" w:rsidRDefault="00EF3FA9"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sidRPr="0088361D">
        <w:rPr>
          <w:b/>
          <w:bCs/>
          <w:i/>
          <w:iCs/>
          <w:color w:val="0000FF"/>
          <w:sz w:val="28"/>
          <w:szCs w:val="28"/>
          <w:u w:val="single"/>
        </w:rPr>
        <w:t xml:space="preserve">Proposal for a Council recommendation on </w:t>
      </w:r>
      <w:hyperlink w:history="1" r:id="rId29">
        <w:r w:rsidRPr="00DC054C" w:rsidR="00D92244">
          <w:rPr>
            <w:b/>
            <w:bCs/>
            <w:i/>
            <w:iCs/>
            <w:color w:val="0000FF"/>
            <w:sz w:val="28"/>
            <w:szCs w:val="28"/>
            <w:u w:val="single"/>
          </w:rPr>
          <w:t>Enhancing research security</w:t>
        </w:r>
      </w:hyperlink>
      <w:r w:rsidRPr="0088361D" w:rsidR="00D92244">
        <w:rPr>
          <w:b/>
          <w:bCs/>
          <w:i/>
          <w:iCs/>
          <w:color w:val="0000FF"/>
          <w:sz w:val="28"/>
          <w:szCs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sidRPr="00AD6EAC">
              <w:rPr>
                <w:b/>
              </w:rPr>
              <w:t>Rapporteur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rsidRPr="00AD6EAC">
              <w:rPr>
                <w:bCs/>
                <w:lang w:val="it-IT"/>
              </w:rPr>
              <w:t>Stefano PALMIERI (Workers' Group -</w:t>
            </w:r>
            <w:r w:rsidRPr="00AD6EAC">
              <w:t xml:space="preserve">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sidRPr="00AD6EAC">
              <w:rPr>
                <w:b/>
              </w:rPr>
              <w:t>References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rsidRPr="00AD6EAC">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rsidRPr="00AD6EAC">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sidRPr="00AD6EAC">
        <w:rPr>
          <w:b/>
        </w:rPr>
        <w:t>Key points</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rsidRPr="00AD6EAC">
        <w:rPr>
          <w:bCs/>
          <w:iCs/>
        </w:rPr>
        <w:t>The EESC:</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considers that a fair balance should be struck between the need for security and the need to maintain the international openness of the sector, while understanding the vulnerability of the R&amp;I sector to possible malign interference from state and non-state actors in the context of certain R&amp;I international cooperation activities;</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believes that efforts to bolster the security of R&amp;I should never run counter to asserting the principles of academic freedom and institutional autonomy;</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recommends that the principle of ‘freedom with accountability’ for researchers and innovators is upheld through effective, efficient and transparent self-governance by the actors in the sector;</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considers that the objective of guaranteeing secure international cooperation for R&amp;I should never give rise to discriminatory and/or unfair practices towards R&amp;I actors, nor should it be in conflict with labour rights and the safeguarding of working conditions for those working in the R&amp;I sector in the EU;</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would like to see the full autonomy of R&amp;I develop within a uniform and coherent reference framework for the EU Member States;</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points out the importance to strengthen the protection of the intellectual property of innovations capable of guaranteeing national security and extend the screening of foreign direct investments to companies subject to M&amp;A (mergers and acquisitions) and operating within the ten critical areas and dual-use items sector;</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considers that the lack of detailed guidelines to support the activities of R&amp;I actors in (i) due diligence, (ii) risk profiling, (iii) drawing up memoranda of understanding with R&amp;I international partner organisations in the recommendation could be resolved later through the European Centre of Expertise on Research Security’s future activities;</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rsidRPr="00AD6EAC">
        <w:rPr>
          <w:bCs/>
          <w:iCs/>
        </w:rPr>
        <w:t>hopes that the European Centre of Expertise on Research Security will act as a platform for the collection and sharing of documents in full respect of mutual transparency and organisation of training and further training courses in the field of research security.</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sidRPr="00AD6EAC">
              <w:rPr>
                <w:b/>
                <w:i/>
              </w:rPr>
              <w:t>Contact</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sidRPr="00AD6EAC">
              <w:rPr>
                <w:i/>
              </w:rPr>
              <w:t>Marco M</w:t>
            </w:r>
            <w:r w:rsidRPr="00AD6EAC" w:rsidR="0074506B">
              <w:rPr>
                <w:i/>
              </w:rPr>
              <w:t>anfroni</w:t>
            </w:r>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sidRPr="00AD6EAC">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sidRPr="00AD6EAC">
              <w:rPr>
                <w:bCs/>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sidRPr="00AD6EAC">
              <w:rPr>
                <w:i/>
              </w:rPr>
              <w:t>Email</w:t>
            </w:r>
          </w:p>
        </w:tc>
        <w:tc>
          <w:tcPr>
            <w:tcW w:w="3444" w:type="pct"/>
          </w:tcPr>
          <w:p w:rsidRPr="00AD6EAC" w:rsidR="00D92244" w:rsidP="00D76388" w:rsidRDefault="00EF3FA9" w14:paraId="3D9D06F0" w14:textId="4B9887DC">
            <w:pPr>
              <w:overflowPunct w:val="0"/>
              <w:autoSpaceDE w:val="0"/>
              <w:autoSpaceDN w:val="0"/>
              <w:adjustRightInd w:val="0"/>
              <w:spacing w:line="240" w:lineRule="auto"/>
              <w:textAlignment w:val="baseline"/>
              <w:rPr>
                <w:i/>
              </w:rPr>
            </w:pPr>
            <w:hyperlink w:history="1" r:id="rId30">
              <w:r w:rsidRPr="00AD6EAC" w:rsidR="00D92244">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rPr>
          <w:rFonts w:eastAsiaTheme="minorEastAsia"/>
        </w:rPr>
        <w:br w:type="page"/>
      </w:r>
    </w:p>
    <w:p w:rsidRPr="00C37F51" w:rsidR="00C37F51" w:rsidP="00C37F51" w:rsidRDefault="00C37F51" w14:paraId="1251C006" w14:textId="35A0E647">
      <w:pPr>
        <w:rPr>
          <w:rFonts w:eastAsiaTheme="minorEastAsia"/>
        </w:rPr>
      </w:pPr>
    </w:p>
    <w:p w:rsidR="006A7E31" w:rsidP="006A7E31" w:rsidRDefault="00520680" w14:paraId="295BACE7" w14:textId="7EB5E747">
      <w:pPr>
        <w:pStyle w:val="TOC1"/>
      </w:pPr>
      <w:bookmarkStart w:name="_Toc172289020" w:id="8"/>
      <w:r w:rsidRPr="006A7E31">
        <w:t>5.</w:t>
      </w:r>
      <w:r w:rsidRPr="00C37F51">
        <w:rPr>
          <w:rFonts w:asciiTheme="minorHAnsi" w:hAnsiTheme="minorHAnsi" w:eastAsiaTheme="minorEastAsia" w:cstheme="minorBidi"/>
          <w:sz w:val="22"/>
          <w:szCs w:val="22"/>
          <w:lang w:val="fr-BE" w:eastAsia="fr-BE"/>
        </w:rPr>
        <w:tab/>
      </w:r>
      <w:hyperlink w:history="1" w:anchor="_Toc164353189">
        <w:r w:rsidRPr="006A7E31" w:rsidR="006A7E31">
          <w:t>AGRICULTURE, RURAL DEVELOPMENT AND THE ENVIRONMENT</w:t>
        </w:r>
        <w:bookmarkEnd w:id="8"/>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EF3FA9" w14:paraId="39D83DFD" w14:textId="78AF0616">
      <w:pPr>
        <w:widowControl w:val="0"/>
        <w:numPr>
          <w:ilvl w:val="0"/>
          <w:numId w:val="31"/>
        </w:numPr>
        <w:overflowPunct w:val="0"/>
        <w:autoSpaceDE w:val="0"/>
        <w:autoSpaceDN w:val="0"/>
        <w:adjustRightInd w:val="0"/>
        <w:textAlignment w:val="baseline"/>
        <w:rPr>
          <w:sz w:val="20"/>
          <w:szCs w:val="20"/>
        </w:rPr>
      </w:pPr>
      <w:hyperlink w:history="1" r:id="rId31">
        <w:r w:rsidRPr="0005755A" w:rsidR="006A7E31">
          <w:rPr>
            <w:b/>
            <w:bCs/>
            <w:i/>
            <w:iCs/>
            <w:color w:val="0000FF"/>
            <w:sz w:val="28"/>
            <w:szCs w:val="28"/>
            <w:u w:val="single"/>
          </w:rPr>
          <w:t>General Fisheries Commission for the Mediterranean</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sidRPr="0005755A">
              <w:rPr>
                <w:b/>
              </w:rPr>
              <w:t>References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rsidRPr="0005755A">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rsidRPr="0005755A">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(Category C opinion)</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sidRPr="0005755A">
        <w:rPr>
          <w:b/>
        </w:rPr>
        <w:t>Key points</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rsidRPr="0005755A">
        <w:rPr>
          <w:bCs/>
          <w:iCs/>
        </w:rPr>
        <w:t>The EESC:</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rsidRPr="0005755A">
        <w:rPr>
          <w:bCs/>
          <w:iCs/>
        </w:rPr>
        <w:t>unreservedly endorses the content of the proposal and feels that it requires no comment on its part.</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sidRPr="0005755A">
              <w:rPr>
                <w:b/>
                <w:i/>
              </w:rPr>
              <w:t>Contact</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sidRPr="0005755A">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sidRPr="0005755A">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sidRPr="0005755A">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sidRPr="0005755A">
              <w:rPr>
                <w:i/>
              </w:rPr>
              <w:t>Email</w:t>
            </w:r>
          </w:p>
        </w:tc>
        <w:tc>
          <w:tcPr>
            <w:tcW w:w="3444" w:type="pct"/>
          </w:tcPr>
          <w:p w:rsidRPr="0005755A" w:rsidR="006A7E31" w:rsidP="00D76388" w:rsidRDefault="00EF3FA9" w14:paraId="7E7A15DD" w14:textId="77777777">
            <w:pPr>
              <w:overflowPunct w:val="0"/>
              <w:autoSpaceDE w:val="0"/>
              <w:autoSpaceDN w:val="0"/>
              <w:adjustRightInd w:val="0"/>
              <w:spacing w:line="240" w:lineRule="auto"/>
              <w:textAlignment w:val="baseline"/>
              <w:rPr>
                <w:i/>
              </w:rPr>
            </w:pPr>
            <w:hyperlink w:history="1" r:id="rId32">
              <w:r w:rsidRPr="0005755A" w:rsidR="006A7E31">
                <w:rPr>
                  <w:i/>
                  <w:color w:val="0000FF"/>
                  <w:u w:val="single"/>
                </w:rPr>
                <w:t>Martine.Delanoy@eesc.europa.eu</w:t>
              </w:r>
            </w:hyperlink>
            <w:r w:rsidRPr="0005755A" w:rsidR="006A7E31">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rPr>
          <w:rFonts w:eastAsiaTheme="minorEastAsia"/>
        </w:rPr>
        <w:br w:type="page"/>
      </w:r>
    </w:p>
    <w:p w:rsidRPr="0088361D" w:rsidR="006A7E31" w:rsidP="006A7E31" w:rsidRDefault="006260A5" w14:paraId="246982C8" w14:textId="4346DBF8">
      <w:pPr>
        <w:widowControl w:val="0"/>
        <w:numPr>
          <w:ilvl w:val="0"/>
          <w:numId w:val="27"/>
        </w:numPr>
        <w:overflowPunct w:val="0"/>
        <w:autoSpaceDE w:val="0"/>
        <w:autoSpaceDN w:val="0"/>
        <w:adjustRightInd w:val="0"/>
        <w:ind w:hanging="567"/>
        <w:textAlignment w:val="baseline"/>
        <w:rPr>
          <w:b/>
          <w:bCs/>
          <w:sz w:val="28"/>
          <w:szCs w:val="28"/>
          <w:u w:val="single"/>
        </w:rPr>
      </w:pPr>
      <w:r w:rsidRPr="0088361D">
        <w:rPr>
          <w:b/>
          <w:bCs/>
          <w:i/>
          <w:iCs/>
          <w:color w:val="0000FF"/>
          <w:sz w:val="28"/>
          <w:szCs w:val="28"/>
          <w:u w:val="single"/>
        </w:rPr>
        <w:t xml:space="preserve">How to ensure the social, environmental and economic sustainability of the EU agri-food sector with future </w:t>
      </w:r>
      <w:r w:rsidRPr="00DC054C">
        <w:rPr>
          <w:b/>
          <w:bCs/>
          <w:i/>
          <w:iCs/>
          <w:color w:val="0000FF"/>
          <w:sz w:val="28"/>
          <w:szCs w:val="28"/>
          <w:u w:val="single"/>
        </w:rPr>
        <w:t>e</w:t>
      </w:r>
      <w:r w:rsidRPr="00DC054C" w:rsidR="006A7E31">
        <w:rPr>
          <w:b/>
          <w:bCs/>
          <w:i/>
          <w:iCs/>
          <w:color w:val="0000FF"/>
          <w:sz w:val="28"/>
          <w:szCs w:val="28"/>
          <w:u w:val="single"/>
        </w:rPr>
        <w:t>nlargement</w:t>
      </w:r>
      <w:r w:rsidRPr="00DC054C">
        <w:rPr>
          <w:b/>
          <w:bCs/>
          <w:i/>
          <w:iCs/>
          <w:color w:val="0000FF"/>
          <w:sz w:val="28"/>
          <w:szCs w:val="28"/>
          <w:u w:val="single"/>
        </w:rPr>
        <w:t>?</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sidRPr="005721DA">
              <w:rPr>
                <w:b/>
              </w:rPr>
              <w:t>Rapporteur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rsidRPr="005721DA">
              <w:rPr>
                <w:bCs/>
              </w:rPr>
              <w:t>Stoyan TCHOUKANOV (Civil Society Organisations' Group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sidRPr="005721DA">
              <w:rPr>
                <w:b/>
              </w:rPr>
              <w:t>References</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rsidRPr="0088361D">
              <w:rPr>
                <w:lang w:eastAsia="fr-BE"/>
              </w:rPr>
              <w:t>Exploratory opinion at the request of the European Commission</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rsidRPr="005721DA">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sidRPr="005721DA">
        <w:rPr>
          <w:b/>
        </w:rPr>
        <w:t>Key points</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rsidRPr="005721DA">
        <w:rPr>
          <w:bCs/>
          <w:iCs/>
        </w:rPr>
        <w:t>The EESC:</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highlights that while this enlargement is different from all previous enlargements due to the exceptional current geopolitical circumstances, this should not be a reason to undermine the level of preparedness of the candidate countries, the importance of the needed legislative reforms and the respect of core EU values;</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emphasises the importance of security of supply in EU food production amid geopolitical tensions, and the need to ensure that all EU regions can maintain agricultural production in the future;</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highlights opportunities of this enlargement to better secure the EU’s strategic autonomy and further reduce the environmental footprint of the sector, but at the same time acknowledges the mixed outcomes of the previous enlargement, noting that there were winners and losers, with weak rural areas having benefited far less from the process than agglomerations, and the smaller European farms disappearing; therefore urges the European Commission and candidate Member States to consider and manage the impacts of enlargement specifically on family farms and agri-food small and medium enterprises both in the EU and in the candidate countries;</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 xml:space="preserve">stresses that candidate countries will have to align with the overall CAP objectives and values, while the CAP necessary reforms and the related financial framework will need to be agreed before the enlargement takes place;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recommends a gradual replacement of the present CAP surface-based basic income support with financial incentives for services benefiting the environment and society, degressive payments, mandatory capping or increases for the first hectares for all Member States, and calls for agricultural and rural development policies to become further oriented towards a proximity economy, and for these principles to be transferred to the new candidate countries;</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rsidRPr="005721DA">
        <w:rPr>
          <w:bCs/>
          <w:iCs/>
          <w:spacing w:val="-4"/>
        </w:rPr>
        <w:t xml:space="preserve">calls for an increased CAP budget that must be dedicated to duly compensating for the negative effects on EU farmers, taking into account also potential social costs, meaning that the current net contributors will need to be ready to pay a higher proportion of their GDP to the EU in the new financial period, considering the net benefits for EU exporters of industrial goods and services while the agri-food sector will be undercut by the lower production costs of some of the newcomers;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stresses the need for detailed and reliable data and urges the European Commission to closely monitor the agricultural production and the developments of the processes of reforms, including on land speculation;</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rsidRPr="005721DA">
        <w:rPr>
          <w:bCs/>
          <w:iCs/>
        </w:rPr>
        <w:t>observes that the integration process has somehow already started, with EU markets opening to agricultural products from the candidate countries, creating potential disadvantages for EU countries that must be avoided through clear rules that the candidate countries must adhere to.</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sidRPr="005721DA">
              <w:rPr>
                <w:b/>
                <w:i/>
              </w:rPr>
              <w:t xml:space="preserve">Contact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sidRPr="005721DA">
              <w:rPr>
                <w:i/>
              </w:rPr>
              <w:t>Martine D</w:t>
            </w:r>
            <w:r w:rsidRPr="005721DA" w:rsidR="00675DC1">
              <w:rPr>
                <w:i/>
              </w:rPr>
              <w:t>elanoy</w:t>
            </w:r>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sidRPr="005721DA">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sidRPr="005721DA">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sidRPr="005721DA">
              <w:rPr>
                <w:i/>
              </w:rPr>
              <w:t>Email</w:t>
            </w:r>
          </w:p>
        </w:tc>
        <w:tc>
          <w:tcPr>
            <w:tcW w:w="3444" w:type="pct"/>
          </w:tcPr>
          <w:p w:rsidRPr="005721DA" w:rsidR="006A7E31" w:rsidP="00D76388" w:rsidRDefault="00EF3FA9" w14:paraId="3B090D2B" w14:textId="77777777">
            <w:pPr>
              <w:overflowPunct w:val="0"/>
              <w:autoSpaceDE w:val="0"/>
              <w:autoSpaceDN w:val="0"/>
              <w:adjustRightInd w:val="0"/>
              <w:spacing w:line="240" w:lineRule="auto"/>
              <w:textAlignment w:val="baseline"/>
              <w:rPr>
                <w:i/>
              </w:rPr>
            </w:pPr>
            <w:hyperlink w:history="1" r:id="rId33">
              <w:r w:rsidRPr="005721DA" w:rsidR="006A7E31">
                <w:rPr>
                  <w:i/>
                  <w:color w:val="0000FF"/>
                  <w:u w:val="single"/>
                </w:rPr>
                <w:t>Martine.Delanoy@eesc.europa.eu</w:t>
              </w:r>
            </w:hyperlink>
            <w:r w:rsidRPr="005721DA" w:rsidR="006A7E31">
              <w:rPr>
                <w:i/>
              </w:rPr>
              <w:t xml:space="preserve"> </w:t>
            </w:r>
          </w:p>
        </w:tc>
      </w:tr>
    </w:tbl>
    <w:p w:rsidR="00520680" w:rsidP="00D92244" w:rsidRDefault="006A7E31" w14:paraId="3600B088" w14:textId="12B687D3">
      <w:pPr>
        <w:pStyle w:val="TOC1"/>
      </w:pPr>
      <w:bookmarkStart w:name="_Toc172289021" w:id="9"/>
      <w:r w:rsidRPr="006A7E31">
        <w:t>6.</w:t>
      </w:r>
      <w:r w:rsidRPr="006A7E31">
        <w:tab/>
      </w:r>
      <w:r w:rsidRPr="006A7E31" w:rsidR="00520680">
        <w:t>EXTERNAL RELATIONS</w:t>
      </w:r>
      <w:bookmarkEnd w:id="9"/>
    </w:p>
    <w:p w:rsidRPr="006A7E31" w:rsidR="006A7E31" w:rsidP="006A7E31" w:rsidRDefault="006A7E31" w14:paraId="7F857315" w14:textId="77777777"/>
    <w:p w:rsidRPr="003567CE" w:rsidR="003567CE" w:rsidP="0088361D" w:rsidRDefault="00EF3FA9" w14:paraId="3CDD8FC4" w14:textId="30E1C8D4">
      <w:pPr>
        <w:widowControl w:val="0"/>
        <w:numPr>
          <w:ilvl w:val="0"/>
          <w:numId w:val="32"/>
        </w:numPr>
        <w:overflowPunct w:val="0"/>
        <w:autoSpaceDE w:val="0"/>
        <w:autoSpaceDN w:val="0"/>
        <w:adjustRightInd w:val="0"/>
        <w:ind w:hanging="720"/>
        <w:jc w:val="left"/>
        <w:textAlignment w:val="baseline"/>
        <w:rPr>
          <w:sz w:val="20"/>
          <w:lang w:val="en-US"/>
        </w:rPr>
      </w:pPr>
      <w:hyperlink r:id="rId34">
        <w:r w:rsidRPr="003567CE" w:rsidR="003567CE">
          <w:rPr>
            <w:b/>
            <w:bCs/>
            <w:i/>
            <w:iCs/>
            <w:color w:val="0000FF"/>
            <w:sz w:val="28"/>
            <w:szCs w:val="28"/>
            <w:u w:val="single"/>
            <w:lang w:val="en-US"/>
          </w:rPr>
          <w:t>Screening of foreign investment in the Union</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sidRPr="00F23DC3">
              <w:rPr>
                <w:b/>
              </w:rPr>
              <w:t>Rapporteur</w:t>
            </w:r>
          </w:p>
        </w:tc>
        <w:tc>
          <w:tcPr>
            <w:tcW w:w="5387" w:type="dxa"/>
          </w:tcPr>
          <w:p w:rsidRPr="0088361D" w:rsidR="003567CE" w:rsidP="003567CE" w:rsidRDefault="003567CE" w14:paraId="5C6E2D44" w14:textId="60E22C07">
            <w:pPr>
              <w:tabs>
                <w:tab w:val="center" w:pos="2585"/>
              </w:tabs>
              <w:jc w:val="left"/>
            </w:pPr>
            <w:r w:rsidRPr="00F23DC3">
              <w:t xml:space="preserve">Javier DOZ ORRIT (Workers’ Group </w:t>
            </w:r>
            <w:r w:rsidRPr="00F23DC3" w:rsidR="007F26D0">
              <w:t>-</w:t>
            </w:r>
            <w:r w:rsidRPr="00F23DC3">
              <w:t xml:space="preserve">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sidRPr="00F23DC3">
              <w:rPr>
                <w:b/>
              </w:rPr>
              <w:t>References</w:t>
            </w:r>
          </w:p>
        </w:tc>
        <w:tc>
          <w:tcPr>
            <w:tcW w:w="5387" w:type="dxa"/>
          </w:tcPr>
          <w:p w:rsidRPr="0088361D" w:rsidR="007F26D0" w:rsidP="003567CE" w:rsidRDefault="007F26D0" w14:paraId="5C20CCDF" w14:textId="05E01A5F">
            <w:pPr>
              <w:tabs>
                <w:tab w:val="center" w:pos="284"/>
              </w:tabs>
              <w:ind w:left="266" w:hanging="266"/>
            </w:pPr>
            <w:r w:rsidRPr="00F23DC3">
              <w:t>COM(2024) 23 final</w:t>
            </w:r>
          </w:p>
          <w:p w:rsidRPr="0088361D" w:rsidR="003567CE" w:rsidP="003567CE" w:rsidRDefault="003567CE" w14:paraId="1A4A06B4" w14:textId="5FBFFF87">
            <w:pPr>
              <w:tabs>
                <w:tab w:val="center" w:pos="284"/>
              </w:tabs>
              <w:ind w:left="266" w:hanging="266"/>
            </w:pPr>
            <w:r w:rsidRPr="00F23DC3">
              <w:t>EESC-2024-01434-00-02-AC</w:t>
            </w:r>
          </w:p>
        </w:tc>
      </w:tr>
    </w:tbl>
    <w:p w:rsidRPr="003567CE" w:rsidR="003567CE" w:rsidP="003567CE" w:rsidRDefault="003567CE" w14:paraId="4E9E0FBD" w14:textId="77777777">
      <w:pPr>
        <w:keepNext/>
        <w:keepLines/>
        <w:tabs>
          <w:tab w:val="center" w:pos="284"/>
        </w:tabs>
        <w:ind w:left="266" w:hanging="266"/>
        <w:rPr>
          <w:b/>
          <w:lang w:val="en-US"/>
        </w:rPr>
      </w:pPr>
      <w:r w:rsidRPr="003567CE">
        <w:rPr>
          <w:b/>
          <w:lang w:val="en-US"/>
        </w:rPr>
        <w:t>Key points</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lang w:val="en-US"/>
        </w:rPr>
      </w:pPr>
      <w:r w:rsidRPr="003567CE">
        <w:rPr>
          <w:bCs/>
          <w:iCs/>
          <w:lang w:val="en-US"/>
        </w:rPr>
        <w:t>The EESC:</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rPr>
          <w:lang w:val="en-US"/>
        </w:rPr>
      </w:pPr>
      <w:r w:rsidRPr="003567CE">
        <w:rPr>
          <w:lang w:val="en-US"/>
        </w:rPr>
        <w:t>welcomes the proposed Regulation as a step in the right direction, enhancing the screening mechanisms for foreign direct investments (FDI) in the EU. This Regulation aims to harmonize national procedures and strengthen the EU Cooperation Mechanism, ensuring public control over critical sectors and programmes;</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rPr>
          <w:lang w:val="en-US"/>
        </w:rPr>
      </w:pPr>
      <w:r w:rsidRPr="003567CE">
        <w:rPr>
          <w:lang w:val="en-US"/>
        </w:rPr>
        <w:t>stresses the importance of promoting greater harmonisation of national norms regulating FDI and screening mechanisms. This includes: i) setting consistent thresholds for FDI control and uniform deadlines for responses; ii) establishing coherent definitions of risks to security and public order; iii) bolstering Member States’ capacities for effective implementation of FDI control tasks;</w:t>
      </w:r>
    </w:p>
    <w:p w:rsidRPr="003567CE" w:rsidR="003567CE" w:rsidP="0088361D" w:rsidRDefault="003567CE" w14:paraId="035CA57A" w14:textId="77777777">
      <w:pPr>
        <w:widowControl w:val="0"/>
        <w:numPr>
          <w:ilvl w:val="0"/>
          <w:numId w:val="45"/>
        </w:numPr>
        <w:spacing w:before="10" w:after="10" w:line="276" w:lineRule="auto"/>
        <w:ind w:left="426"/>
        <w:rPr>
          <w:lang w:eastAsia="zh-CN"/>
        </w:rPr>
      </w:pPr>
      <w:r w:rsidRPr="003567CE">
        <w:rPr>
          <w:lang w:eastAsia="zh-CN"/>
        </w:rPr>
        <w:t>calls for establishing exceptional cases where the EU institutions may prohibit, mitigate, or apply conditions to FDI that jeopardize programmes or projects of interest to the Union, ensuring a unified approach to protecting public security and order across Member States. To this purpose, the EU should establish clear procedures and circumstances to exercise control over investments that pose significant risks to EU interests;</w:t>
      </w:r>
    </w:p>
    <w:p w:rsidRPr="003567CE" w:rsidR="003567CE" w:rsidP="0088361D" w:rsidRDefault="003567CE" w14:paraId="1444EF7F" w14:textId="77777777">
      <w:pPr>
        <w:widowControl w:val="0"/>
        <w:numPr>
          <w:ilvl w:val="0"/>
          <w:numId w:val="45"/>
        </w:numPr>
        <w:spacing w:before="10" w:after="10" w:line="276" w:lineRule="auto"/>
        <w:ind w:left="426"/>
        <w:rPr>
          <w:lang w:eastAsia="zh-CN"/>
        </w:rPr>
      </w:pPr>
      <w:r w:rsidRPr="003567CE">
        <w:rPr>
          <w:lang w:eastAsia="zh-CN"/>
        </w:rPr>
        <w:t>proposes to promote the application of the principle of reciprocity in trade, investment, or association agreements with third countries, and monitoring investments from countries that restrict EU investments, to ensure balanced and fair treatment; strict application would be decided on a case-by-case basis. Within the conceptual framework of strategic autonomy and the Economic Security Strategy, FDI should still be promoted to foster sustainable competitiveness.</w:t>
      </w:r>
    </w:p>
    <w:p w:rsidRPr="003567CE" w:rsidR="003567CE" w:rsidP="0088361D" w:rsidRDefault="003567CE" w14:paraId="33A49B20" w14:textId="77777777">
      <w:pPr>
        <w:widowControl w:val="0"/>
        <w:numPr>
          <w:ilvl w:val="0"/>
          <w:numId w:val="45"/>
        </w:numPr>
        <w:spacing w:before="10" w:after="10" w:line="276" w:lineRule="auto"/>
        <w:ind w:left="426"/>
        <w:rPr>
          <w:lang w:eastAsia="zh-CN"/>
        </w:rPr>
      </w:pPr>
      <w:r w:rsidRPr="003567CE">
        <w:rPr>
          <w:lang w:eastAsia="zh-CN"/>
        </w:rPr>
        <w:t>calls for subjecting investments from tax havens to special surveillance, requiring full knowledge of the real owners of the investing companies and examining the legality of the funds deployed. Member States should consider the possibility of abolishing so-called ‘golden visas’ for obtaining residence or nationality in an EU country.</w:t>
      </w:r>
    </w:p>
    <w:p w:rsidRPr="003567CE" w:rsidR="003567CE" w:rsidP="0088361D" w:rsidRDefault="003567CE" w14:paraId="4CDFF91C" w14:textId="77777777">
      <w:pPr>
        <w:widowControl w:val="0"/>
        <w:numPr>
          <w:ilvl w:val="0"/>
          <w:numId w:val="45"/>
        </w:numPr>
        <w:spacing w:before="10" w:after="10" w:line="276" w:lineRule="auto"/>
        <w:ind w:left="426"/>
        <w:rPr>
          <w:lang w:eastAsia="zh-CN"/>
        </w:rPr>
      </w:pPr>
      <w:r w:rsidRPr="003567CE">
        <w:rPr>
          <w:lang w:eastAsia="zh-CN"/>
        </w:rPr>
        <w:t xml:space="preserve">highlights the necessity of mechanisms for the participation of social partners and civil society organizations in FDI policy and control at both EU and national levels, ensuring transparency and inclusiveness in the evaluation process;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sidRPr="003567CE">
              <w:rPr>
                <w:b/>
                <w:i/>
                <w:sz w:val="22"/>
                <w:szCs w:val="22"/>
              </w:rPr>
              <w:t>Contact</w:t>
            </w:r>
          </w:p>
        </w:tc>
        <w:tc>
          <w:tcPr>
            <w:tcW w:w="5670" w:type="dxa"/>
          </w:tcPr>
          <w:p w:rsidRPr="003567CE" w:rsidR="003567CE" w:rsidP="003567CE" w:rsidRDefault="003567CE" w14:paraId="2C1A667F" w14:textId="77777777">
            <w:pPr>
              <w:rPr>
                <w:i/>
                <w:sz w:val="22"/>
                <w:szCs w:val="22"/>
              </w:rPr>
            </w:pPr>
            <w:r w:rsidRPr="003567CE">
              <w:rPr>
                <w:i/>
                <w:sz w:val="22"/>
                <w:szCs w:val="22"/>
              </w:rPr>
              <w:t>Marco Ristori</w:t>
            </w:r>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sidRPr="003567CE">
              <w:rPr>
                <w:i/>
                <w:sz w:val="22"/>
                <w:szCs w:val="22"/>
              </w:rPr>
              <w:t>Tel.</w:t>
            </w:r>
          </w:p>
        </w:tc>
        <w:tc>
          <w:tcPr>
            <w:tcW w:w="5670" w:type="dxa"/>
          </w:tcPr>
          <w:p w:rsidRPr="003567CE" w:rsidR="003567CE" w:rsidP="003567CE" w:rsidRDefault="003567CE" w14:paraId="25B8F53A" w14:textId="77777777">
            <w:pPr>
              <w:rPr>
                <w:i/>
                <w:sz w:val="22"/>
                <w:szCs w:val="22"/>
              </w:rPr>
            </w:pPr>
            <w:r w:rsidRPr="003567CE">
              <w:rPr>
                <w:i/>
                <w:sz w:val="22"/>
                <w:szCs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sidRPr="003567CE">
              <w:rPr>
                <w:i/>
                <w:sz w:val="22"/>
                <w:szCs w:val="22"/>
              </w:rPr>
              <w:t>Email</w:t>
            </w:r>
          </w:p>
        </w:tc>
        <w:tc>
          <w:tcPr>
            <w:tcW w:w="5670" w:type="dxa"/>
          </w:tcPr>
          <w:p w:rsidRPr="003567CE" w:rsidR="003567CE" w:rsidP="003567CE" w:rsidRDefault="00EF3FA9" w14:paraId="4A046612" w14:textId="77777777">
            <w:pPr>
              <w:rPr>
                <w:i/>
                <w:sz w:val="22"/>
                <w:szCs w:val="22"/>
              </w:rPr>
            </w:pPr>
            <w:hyperlink w:history="1" r:id="rId35">
              <w:r w:rsidRPr="003567CE" w:rsidR="003567CE">
                <w:rPr>
                  <w:i/>
                  <w:color w:val="0000FF"/>
                  <w:sz w:val="22"/>
                  <w:szCs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rPr>
          <w:rFonts w:eastAsiaTheme="minorEastAsia"/>
        </w:rP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289022" w:id="10"/>
      <w:r w:rsidRPr="00A72EDD">
        <w:t>7.</w:t>
      </w:r>
      <w:r w:rsidRPr="00A72EDD">
        <w:tab/>
      </w:r>
      <w:r w:rsidRPr="006A7E31" w:rsidR="006A7E31">
        <w:t>TRANSPORT, ENERGY, INFRASTRUCTURE AND THE INFORMATION SOCIETY</w:t>
      </w:r>
      <w:bookmarkEnd w:id="10"/>
    </w:p>
    <w:p w:rsidR="00160A67" w:rsidP="00160A67" w:rsidRDefault="00160A67" w14:paraId="2CBE297E" w14:textId="164A826B">
      <w:pPr>
        <w:rPr>
          <w:rFonts w:eastAsiaTheme="minorEastAsia"/>
        </w:rPr>
      </w:pPr>
    </w:p>
    <w:p w:rsidRPr="00200444" w:rsidR="00200444" w:rsidP="00200444" w:rsidRDefault="00EF3FA9"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6">
        <w:r w:rsidRPr="00200444" w:rsidR="00200444">
          <w:rPr>
            <w:b/>
            <w:bCs/>
            <w:i/>
            <w:iCs/>
            <w:color w:val="0000FF"/>
            <w:sz w:val="28"/>
            <w:szCs w:val="28"/>
            <w:u w:val="single"/>
          </w:rPr>
          <w:t>Energy Digitalisation: Balancing Opportunities and Risks for European Consumers</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sidRPr="00200444">
              <w:rPr>
                <w:b/>
              </w:rPr>
              <w:t>Rapporteurs</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rsidRPr="00200444">
              <w:t>Kęstutis KUPŠYS (Civil Society Organisations' Group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sidRPr="00200444">
              <w:rPr>
                <w:b/>
              </w:rPr>
              <w:t>References</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rsidRPr="00200444">
              <w:t>Own-initiative opinion</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rsidRPr="00200444">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sidRPr="00200444">
        <w:rPr>
          <w:b/>
        </w:rPr>
        <w:t>Key points</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rsidRPr="00200444">
        <w:rPr>
          <w:bCs/>
          <w:iCs/>
        </w:rPr>
        <w:t>The EESC:</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rPr>
          <w:lang w:eastAsia="zh-CN"/>
        </w:rPr>
      </w:pPr>
      <w:r w:rsidRPr="00200444">
        <w:rPr>
          <w:lang w:eastAsia="zh-CN"/>
        </w:rPr>
        <w:t>stresses that digitalisation is becoming ever more important in light of the green transition. Energy, however, should remain affordable, adjustable and easy to use for consumers. This entails developing user-friendly digital tools that accommodate diverse needs and promote equal access to digital energy services. Consumers should still be able to choose prices, contracts, and customer services in a ‘pre-digital’ way.</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rPr>
          <w:lang w:eastAsia="zh-CN"/>
        </w:rPr>
      </w:pPr>
      <w:r w:rsidRPr="00200444">
        <w:rPr>
          <w:lang w:eastAsia="zh-CN"/>
        </w:rPr>
        <w:t>underlines the priority of user data cybersecurity. Digitalisation amplifies the need to create dynamic consumer protection regulations adapted to the novel contexts and participants in the sector.</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rPr>
          <w:lang w:eastAsia="zh-CN"/>
        </w:rPr>
      </w:pPr>
      <w:r w:rsidRPr="00200444">
        <w:rPr>
          <w:lang w:eastAsia="zh-CN"/>
        </w:rPr>
        <w:t>points out that the digital divide between consumers who can afford more expensive digital tools and those who cannot leads to higher energy poverty.</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rPr>
          <w:lang w:eastAsia="zh-CN"/>
        </w:rPr>
      </w:pPr>
      <w:r w:rsidRPr="00200444">
        <w:rPr>
          <w:lang w:eastAsia="zh-CN"/>
        </w:rPr>
        <w:t>recommends that the training be provided for workers. Net-Zero Academies should be promoted to all interested parties, with an emphasis on energy efficiency skills.</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sidRPr="00200444">
              <w:rPr>
                <w:b/>
                <w:i/>
              </w:rPr>
              <w:t>Contact</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sidRPr="00200444">
              <w:rPr>
                <w:i/>
                <w:iCs/>
              </w:rPr>
              <w:t>Aleksandra S</w:t>
            </w:r>
            <w:r w:rsidRPr="00200444" w:rsidR="00D77C31">
              <w:rPr>
                <w:i/>
                <w:iCs/>
              </w:rPr>
              <w:t>arman</w:t>
            </w:r>
            <w:r w:rsidRPr="00200444">
              <w:rPr>
                <w:i/>
                <w:iCs/>
              </w:rPr>
              <w:t xml:space="preserve"> G</w:t>
            </w:r>
            <w:r w:rsidRPr="00200444" w:rsidR="00D77C31">
              <w:rPr>
                <w:i/>
                <w:iCs/>
              </w:rPr>
              <w:t>rilc</w:t>
            </w:r>
            <w:r w:rsidRPr="00200444">
              <w:rPr>
                <w:i/>
                <w:iCs/>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sidRPr="00200444">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sidRPr="00200444">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w:t>
            </w:r>
            <w:r w:rsidRPr="00200444" w:rsidR="00200444">
              <w:rPr>
                <w:i/>
              </w:rPr>
              <w:t>mail</w:t>
            </w:r>
          </w:p>
        </w:tc>
        <w:tc>
          <w:tcPr>
            <w:tcW w:w="5670" w:type="dxa"/>
          </w:tcPr>
          <w:p w:rsidRPr="00200444" w:rsidR="00200444" w:rsidP="00200444" w:rsidRDefault="00EF3FA9" w14:paraId="0B137F65" w14:textId="77777777">
            <w:pPr>
              <w:overflowPunct w:val="0"/>
              <w:autoSpaceDE w:val="0"/>
              <w:autoSpaceDN w:val="0"/>
              <w:adjustRightInd w:val="0"/>
              <w:spacing w:line="240" w:lineRule="auto"/>
              <w:textAlignment w:val="baseline"/>
              <w:rPr>
                <w:i/>
                <w:iCs/>
              </w:rPr>
            </w:pPr>
            <w:hyperlink w:history="1" r:id="rId37">
              <w:r w:rsidRPr="00200444" w:rsidR="00200444">
                <w:rPr>
                  <w:i/>
                  <w:iCs/>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1"/>
      <w:bookmarkStart w:name="_Toc153547136" w:id="12"/>
      <w:r>
        <w:rPr>
          <w:bCs/>
        </w:rPr>
        <w:br w:type="page"/>
      </w:r>
    </w:p>
    <w:p w:rsidR="00FE2F95" w:rsidP="00FE2F95" w:rsidRDefault="00FE2F95" w14:paraId="526905B5" w14:textId="77777777">
      <w:pPr>
        <w:pStyle w:val="TOC1"/>
        <w:rPr>
          <w:bCs/>
          <w:noProof w:val="0"/>
          <w:sz w:val="22"/>
          <w:szCs w:val="22"/>
        </w:rPr>
      </w:pPr>
    </w:p>
    <w:p w:rsidRPr="00160A67" w:rsidR="00160A67" w:rsidP="00FE2F95" w:rsidRDefault="003D6811" w14:paraId="5D209F0E" w14:textId="4471A438">
      <w:pPr>
        <w:pStyle w:val="TOC1"/>
        <w:rPr>
          <w:rFonts w:eastAsiaTheme="minorEastAsia"/>
        </w:rPr>
      </w:pPr>
      <w:bookmarkStart w:name="_Toc172289023" w:id="13"/>
      <w:r>
        <w:rPr>
          <w:bCs/>
          <w:noProof w:val="0"/>
          <w:sz w:val="22"/>
          <w:szCs w:val="22"/>
        </w:rPr>
        <w:t xml:space="preserve">8. </w:t>
      </w:r>
      <w:r>
        <w:rPr>
          <w:bCs/>
          <w:noProof w:val="0"/>
          <w:sz w:val="22"/>
          <w:szCs w:val="22"/>
        </w:rPr>
        <w:tab/>
      </w:r>
      <w:r w:rsidRPr="00FE2F95" w:rsidR="00FE2F95">
        <w:rPr>
          <w:bCs/>
          <w:noProof w:val="0"/>
          <w:sz w:val="22"/>
          <w:szCs w:val="22"/>
        </w:rPr>
        <w:t>CONSULTATIVE COMMISSION ON INDUSTRIAL CHANGE</w:t>
      </w:r>
      <w:bookmarkEnd w:id="11"/>
      <w:bookmarkEnd w:id="12"/>
      <w:bookmarkEnd w:id="13"/>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EF3FA9"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8">
        <w:r w:rsidRPr="00CE7004" w:rsidR="00CE7004">
          <w:rPr>
            <w:b/>
            <w:bCs/>
            <w:i/>
            <w:iCs/>
            <w:color w:val="0000FF"/>
            <w:sz w:val="28"/>
            <w:szCs w:val="28"/>
            <w:u w:val="single"/>
          </w:rPr>
          <w:t>Building the future with nature: Boosting Biotechnology and Biomanufacturing in the EU</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sidRPr="00CE7004">
              <w:rPr>
                <w:b/>
              </w:rPr>
              <w:t>Rapporteur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rsidRPr="0088361D">
              <w:t xml:space="preserve">Florian Marin (Workers’ Group </w:t>
            </w:r>
            <w:r w:rsidRPr="0088361D" w:rsidR="00DF63B1">
              <w:t>-</w:t>
            </w:r>
            <w:r w:rsidRPr="0088361D">
              <w:t xml:space="preserve">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sidRPr="00CE7004">
              <w:rPr>
                <w:b/>
                <w:lang w:val="fr-FR"/>
              </w:rPr>
              <w:t>Co-rapporteur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rsidRPr="0088361D">
              <w:t xml:space="preserve">Antonello Pezzini (Cat. 1 </w:t>
            </w:r>
            <w:r w:rsidRPr="0088361D" w:rsidR="00DF63B1">
              <w:t>-</w:t>
            </w:r>
            <w:r w:rsidRPr="0088361D">
              <w:t xml:space="preserve">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sidRPr="00CE7004">
              <w:rPr>
                <w:b/>
              </w:rPr>
              <w:t>References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sidRPr="00DF63B1">
              <w:rPr>
                <w:sz w:val="22"/>
                <w:szCs w:val="22"/>
                <w:lang w:val="en-GB" w:eastAsia="fr-BE"/>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rsidRPr="00CE7004">
              <w:t>EESC-2024-00997-00-00-A</w:t>
            </w:r>
            <w:r w:rsidR="00DF63B1">
              <w:t>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sidRPr="00CE7004">
        <w:rPr>
          <w:b/>
        </w:rPr>
        <w:t>Key points</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rsidRPr="00CE7004">
        <w:rPr>
          <w:bCs/>
          <w:iCs/>
        </w:rPr>
        <w:t>The EESC:</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rsidRPr="00CE7004">
        <w:rPr>
          <w:szCs w:val="20"/>
        </w:rPr>
        <w:t>is disappointed that the EU does not yet have a</w:t>
      </w:r>
      <w:r w:rsidRPr="00CE7004">
        <w:rPr>
          <w:b/>
          <w:bCs/>
          <w:szCs w:val="20"/>
        </w:rPr>
        <w:t xml:space="preserve"> bioeconomy strategy </w:t>
      </w:r>
      <w:r w:rsidRPr="00CE7004">
        <w:rPr>
          <w:szCs w:val="20"/>
        </w:rPr>
        <w:t>or a</w:t>
      </w:r>
      <w:r w:rsidRPr="00CE7004">
        <w:rPr>
          <w:b/>
          <w:bCs/>
          <w:szCs w:val="20"/>
        </w:rPr>
        <w:t xml:space="preserve"> biotechnology act</w:t>
      </w:r>
      <w:r w:rsidRPr="00CE7004">
        <w:rPr>
          <w:szCs w:val="20"/>
        </w:rPr>
        <w:t>, deeming that there is an urgent need for such legislation given the global situation;</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rsidRPr="00CE7004">
        <w:rPr>
          <w:szCs w:val="20"/>
        </w:rPr>
        <w:t>proposes that the</w:t>
      </w:r>
      <w:r w:rsidRPr="00CE7004">
        <w:rPr>
          <w:b/>
          <w:bCs/>
          <w:szCs w:val="20"/>
        </w:rPr>
        <w:t xml:space="preserve"> EU bioeconomy strategy </w:t>
      </w:r>
      <w:r w:rsidRPr="00CE7004">
        <w:rPr>
          <w:szCs w:val="20"/>
        </w:rPr>
        <w:t>should be</w:t>
      </w:r>
      <w:r w:rsidRPr="00CE7004">
        <w:rPr>
          <w:b/>
          <w:bCs/>
          <w:szCs w:val="20"/>
        </w:rPr>
        <w:t xml:space="preserve"> based on an integrated sectoral approach </w:t>
      </w:r>
      <w:r w:rsidRPr="00CE7004">
        <w:rPr>
          <w:szCs w:val="20"/>
        </w:rPr>
        <w:t>with specific targets, including a research agenda for the next ten years, a list of skills and a clear role for civil society;</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rsidRPr="00CE7004">
        <w:rPr>
          <w:szCs w:val="20"/>
        </w:rPr>
        <w:t xml:space="preserve">is of the opinion that an </w:t>
      </w:r>
      <w:r w:rsidRPr="00CE7004">
        <w:rPr>
          <w:b/>
          <w:bCs/>
          <w:szCs w:val="20"/>
        </w:rPr>
        <w:t>ethical code for EU companies and products placed on the EU market</w:t>
      </w:r>
      <w:r w:rsidRPr="00CE7004">
        <w:rPr>
          <w:szCs w:val="20"/>
        </w:rPr>
        <w:t xml:space="preserve"> should be considered and promoted globally;</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rsidRPr="00CE7004">
        <w:rPr>
          <w:szCs w:val="20"/>
        </w:rPr>
        <w:t xml:space="preserve">argues that </w:t>
      </w:r>
      <w:r w:rsidRPr="00CE7004">
        <w:rPr>
          <w:b/>
          <w:bCs/>
          <w:szCs w:val="20"/>
        </w:rPr>
        <w:t>dedicated measures</w:t>
      </w:r>
      <w:r w:rsidRPr="00CE7004">
        <w:rPr>
          <w:szCs w:val="20"/>
        </w:rPr>
        <w:t xml:space="preserve"> are needed to </w:t>
      </w:r>
      <w:r w:rsidRPr="00CE7004">
        <w:rPr>
          <w:b/>
          <w:bCs/>
          <w:szCs w:val="20"/>
        </w:rPr>
        <w:t>develop competencies</w:t>
      </w:r>
      <w:r w:rsidRPr="00CE7004">
        <w:rPr>
          <w:szCs w:val="20"/>
        </w:rPr>
        <w:t xml:space="preserve"> and </w:t>
      </w:r>
      <w:r w:rsidRPr="00CE7004">
        <w:rPr>
          <w:b/>
          <w:bCs/>
          <w:szCs w:val="20"/>
        </w:rPr>
        <w:t>consolidate synergies</w:t>
      </w:r>
      <w:r w:rsidRPr="00CE7004">
        <w:rPr>
          <w:szCs w:val="20"/>
        </w:rPr>
        <w:t xml:space="preserve"> between biotechnology skills requirements and biomanufacturing needs;</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rsidRPr="00CE7004">
        <w:rPr>
          <w:szCs w:val="20"/>
        </w:rPr>
        <w:t xml:space="preserve">suggests that the development of biotechnology and biomanufacturing in the EU should include </w:t>
      </w:r>
      <w:r w:rsidRPr="00CE7004">
        <w:rPr>
          <w:b/>
          <w:bCs/>
          <w:szCs w:val="20"/>
        </w:rPr>
        <w:t>sectoral indicators, public-private partnerships</w:t>
      </w:r>
      <w:r w:rsidRPr="00CE7004">
        <w:rPr>
          <w:szCs w:val="20"/>
        </w:rPr>
        <w:t xml:space="preserve">, a </w:t>
      </w:r>
      <w:r w:rsidRPr="00CE7004">
        <w:rPr>
          <w:b/>
          <w:bCs/>
          <w:szCs w:val="20"/>
        </w:rPr>
        <w:t>cross-sectoral research system</w:t>
      </w:r>
      <w:r w:rsidRPr="00CE7004">
        <w:rPr>
          <w:szCs w:val="20"/>
        </w:rPr>
        <w:t xml:space="preserve">, a </w:t>
      </w:r>
      <w:r w:rsidRPr="00CE7004">
        <w:rPr>
          <w:b/>
          <w:bCs/>
          <w:szCs w:val="20"/>
        </w:rPr>
        <w:t>database listing potential investors</w:t>
      </w:r>
      <w:r w:rsidRPr="00CE7004">
        <w:rPr>
          <w:szCs w:val="20"/>
        </w:rPr>
        <w:t xml:space="preserve">, </w:t>
      </w:r>
      <w:r w:rsidRPr="00CE7004">
        <w:rPr>
          <w:b/>
          <w:bCs/>
          <w:szCs w:val="20"/>
        </w:rPr>
        <w:t>faster and less bureaucratic authorisation processes</w:t>
      </w:r>
      <w:r w:rsidRPr="00CE7004">
        <w:rPr>
          <w:szCs w:val="20"/>
        </w:rPr>
        <w:t xml:space="preserve">, a </w:t>
      </w:r>
      <w:r w:rsidRPr="00CE7004">
        <w:rPr>
          <w:b/>
          <w:bCs/>
          <w:szCs w:val="20"/>
        </w:rPr>
        <w:t>perfect synergy with the SDGs and the proposed Blue Deal</w:t>
      </w:r>
      <w:r w:rsidRPr="00CE7004">
        <w:rPr>
          <w:szCs w:val="20"/>
        </w:rPr>
        <w:t xml:space="preserve">, dedicated and harmonised </w:t>
      </w:r>
      <w:r w:rsidRPr="00CE7004">
        <w:rPr>
          <w:b/>
          <w:bCs/>
          <w:szCs w:val="20"/>
        </w:rPr>
        <w:t>European and global standards</w:t>
      </w:r>
      <w:r w:rsidRPr="00CE7004">
        <w:rPr>
          <w:szCs w:val="20"/>
        </w:rPr>
        <w:t xml:space="preserve">, measures to increase </w:t>
      </w:r>
      <w:r w:rsidRPr="00CE7004">
        <w:rPr>
          <w:b/>
          <w:bCs/>
          <w:szCs w:val="20"/>
        </w:rPr>
        <w:t>public support, trust and education</w:t>
      </w:r>
      <w:r w:rsidRPr="00CE7004">
        <w:rPr>
          <w:szCs w:val="20"/>
        </w:rPr>
        <w:t xml:space="preserve">, and </w:t>
      </w:r>
      <w:r w:rsidRPr="00CE7004">
        <w:rPr>
          <w:b/>
          <w:bCs/>
          <w:szCs w:val="20"/>
        </w:rPr>
        <w:t>more clarity between national and shared competencies</w:t>
      </w:r>
      <w:r w:rsidRPr="00CE7004">
        <w:rPr>
          <w:szCs w:val="20"/>
        </w:rP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rsidRPr="00CE7004">
        <w:rPr>
          <w:szCs w:val="20"/>
        </w:rPr>
        <w:t xml:space="preserve">suggests that </w:t>
      </w:r>
      <w:r w:rsidRPr="00CE7004">
        <w:rPr>
          <w:b/>
          <w:bCs/>
          <w:szCs w:val="20"/>
        </w:rPr>
        <w:t>biotechnology and biomanufacturing in the EU should be financed</w:t>
      </w:r>
      <w:r w:rsidRPr="00CE7004">
        <w:rPr>
          <w:szCs w:val="20"/>
        </w:rPr>
        <w:t xml:space="preserve"> with due regard for a </w:t>
      </w:r>
      <w:r w:rsidRPr="00CE7004">
        <w:rPr>
          <w:b/>
          <w:bCs/>
          <w:szCs w:val="20"/>
        </w:rPr>
        <w:t xml:space="preserve">synergies-based approach to the Recovery and Resilience Facility (RRF), Strategic Technologies for Europe Platform (STEP) and the European Investment Bank (EIB) and cohesion policy; </w:t>
      </w:r>
      <w:r w:rsidRPr="00CE7004">
        <w:rPr>
          <w:szCs w:val="20"/>
        </w:rPr>
        <w:t>considers that</w:t>
      </w:r>
      <w:r w:rsidRPr="00CE7004">
        <w:rPr>
          <w:b/>
          <w:bCs/>
          <w:szCs w:val="20"/>
        </w:rPr>
        <w:t xml:space="preserve"> </w:t>
      </w:r>
      <w:r w:rsidRPr="00CE7004">
        <w:rPr>
          <w:szCs w:val="20"/>
        </w:rPr>
        <w:t xml:space="preserve">part of the money yielded by </w:t>
      </w:r>
      <w:r w:rsidRPr="00CE7004">
        <w:rPr>
          <w:b/>
          <w:bCs/>
          <w:szCs w:val="20"/>
        </w:rPr>
        <w:t>environmental taxes</w:t>
      </w:r>
      <w:r w:rsidRPr="00CE7004">
        <w:rPr>
          <w:szCs w:val="20"/>
        </w:rPr>
        <w:t xml:space="preserve"> should be </w:t>
      </w:r>
      <w:r w:rsidRPr="00CE7004">
        <w:rPr>
          <w:b/>
          <w:bCs/>
          <w:szCs w:val="20"/>
        </w:rPr>
        <w:t>redirected to financing green biotechnology products</w:t>
      </w:r>
      <w:r w:rsidRPr="00CE7004">
        <w:rPr>
          <w:szCs w:val="20"/>
        </w:rPr>
        <w:t xml:space="preserve">, and that a </w:t>
      </w:r>
      <w:r w:rsidRPr="00CE7004">
        <w:rPr>
          <w:b/>
          <w:bCs/>
          <w:szCs w:val="20"/>
        </w:rPr>
        <w:t>variety and combination of financial sources and funds</w:t>
      </w:r>
      <w:r w:rsidRPr="00CE7004">
        <w:rPr>
          <w:szCs w:val="20"/>
        </w:rPr>
        <w:t xml:space="preserve"> should be used such as loans, venture capital and public funds.</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sidRPr="00CE7004">
              <w:rPr>
                <w:b/>
                <w:i/>
              </w:rPr>
              <w:t>Contact</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sidRPr="00CE7004">
              <w:rPr>
                <w:b/>
                <w:bCs/>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sidRPr="00CE7004">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sidRPr="00CE7004">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sidRPr="00CE7004">
              <w:rPr>
                <w:i/>
              </w:rPr>
              <w:t>Email</w:t>
            </w:r>
          </w:p>
        </w:tc>
        <w:tc>
          <w:tcPr>
            <w:tcW w:w="3444" w:type="pct"/>
          </w:tcPr>
          <w:p w:rsidRPr="00CE7004" w:rsidR="00CE7004" w:rsidP="00CE7004" w:rsidRDefault="00EF3FA9" w14:paraId="5FD55C98" w14:textId="77777777">
            <w:pPr>
              <w:overflowPunct w:val="0"/>
              <w:autoSpaceDE w:val="0"/>
              <w:autoSpaceDN w:val="0"/>
              <w:adjustRightInd w:val="0"/>
              <w:spacing w:line="240" w:lineRule="auto"/>
              <w:textAlignment w:val="baseline"/>
              <w:rPr>
                <w:i/>
              </w:rPr>
            </w:pPr>
            <w:hyperlink w:history="1" r:id="rId39">
              <w:r w:rsidRPr="00CE7004" w:rsidR="00CE7004">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lang w:val="en-US"/>
        </w:rPr>
      </w:pPr>
      <w:r>
        <w:rPr>
          <w:rFonts w:eastAsiaTheme="minorHAnsi"/>
          <w:b/>
          <w:bCs/>
          <w:i/>
          <w:iCs/>
          <w:sz w:val="28"/>
          <w:szCs w:val="28"/>
          <w:lang w:val="en-US"/>
        </w:rP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lang w:val="en-US"/>
        </w:rPr>
      </w:pPr>
      <w:r>
        <w:rPr>
          <w:rFonts w:eastAsiaTheme="minorHAnsi"/>
          <w:b/>
          <w:bCs/>
          <w:i/>
          <w:iCs/>
          <w:sz w:val="28"/>
          <w:szCs w:val="28"/>
          <w:lang w:val="en-US"/>
        </w:rPr>
        <w:tab/>
      </w:r>
      <w:hyperlink w:history="1" r:id="rId40">
        <w:r w:rsidRPr="00D742A4" w:rsidR="00D742A4">
          <w:rPr>
            <w:rFonts w:eastAsiaTheme="minorHAnsi"/>
            <w:b/>
            <w:bCs/>
            <w:i/>
            <w:iCs/>
            <w:color w:val="0000FF"/>
            <w:sz w:val="28"/>
            <w:szCs w:val="28"/>
            <w:u w:val="single"/>
          </w:rPr>
          <w:t>Low-carbon and renewable fuels</w:t>
        </w:r>
      </w:hyperlink>
      <w:r w:rsidRPr="009A6A17" w:rsidR="009A6A17">
        <w:rPr>
          <w:rFonts w:eastAsiaTheme="minorHAnsi"/>
          <w:b/>
          <w:bCs/>
          <w:i/>
          <w:iCs/>
          <w:color w:val="0000FF"/>
          <w:sz w:val="28"/>
          <w:szCs w:val="28"/>
          <w:u w:val="single"/>
        </w:rPr>
        <w:t>: building the capacity of European industry to decarbonise the aviation and maritime sectors in a spirit of European autonomy</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r w:rsidRPr="0088361D">
        <w:rPr>
          <w:rFonts w:eastAsiaTheme="minorHAnsi"/>
          <w:b/>
          <w:sz w:val="20"/>
          <w:szCs w:val="20"/>
          <w:lang w:val="fr-FR"/>
        </w:rPr>
        <w:t xml:space="preserve">Rapporteur </w:t>
      </w:r>
      <w:r w:rsidRPr="0088361D">
        <w:rPr>
          <w:rFonts w:eastAsiaTheme="minorHAnsi"/>
          <w:b/>
          <w:sz w:val="20"/>
          <w:szCs w:val="20"/>
          <w:lang w:val="fr-FR"/>
        </w:rPr>
        <w:tab/>
      </w:r>
      <w:r w:rsidRPr="0088361D">
        <w:rPr>
          <w:rFonts w:eastAsiaTheme="minorHAnsi"/>
          <w:sz w:val="20"/>
          <w:szCs w:val="20"/>
          <w:lang w:val="fr-FR"/>
        </w:rPr>
        <w:t>Anastasis YIAPANIS (Civil Society Organisations' Group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lang w:val="fr-FR"/>
        </w:rPr>
      </w:pPr>
      <w:r w:rsidRPr="0088361D">
        <w:rPr>
          <w:rFonts w:eastAsiaTheme="minorHAnsi"/>
          <w:b/>
          <w:bCs/>
          <w:sz w:val="20"/>
          <w:szCs w:val="20"/>
          <w:lang w:val="fr-FR"/>
        </w:rPr>
        <w:t>Co-rapporteur</w:t>
      </w:r>
      <w:r w:rsidRPr="0088361D">
        <w:rPr>
          <w:rFonts w:eastAsiaTheme="minorHAnsi"/>
          <w:b/>
          <w:bCs/>
          <w:sz w:val="20"/>
          <w:szCs w:val="20"/>
          <w:lang w:val="fr-FR"/>
        </w:rPr>
        <w:tab/>
      </w:r>
      <w:r w:rsidRPr="0088361D">
        <w:rPr>
          <w:rFonts w:eastAsiaTheme="minorHAnsi"/>
          <w:sz w:val="20"/>
          <w:szCs w:val="20"/>
          <w:lang w:val="fr-FR"/>
        </w:rPr>
        <w:t>Franck UHLIG (Cat.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sidRPr="0088361D">
        <w:rPr>
          <w:rFonts w:eastAsiaTheme="minorHAnsi"/>
          <w:b/>
          <w:bCs/>
          <w:sz w:val="20"/>
          <w:szCs w:val="20"/>
        </w:rPr>
        <w:t>References</w:t>
      </w:r>
      <w:r w:rsidRPr="0088361D">
        <w:rPr>
          <w:rFonts w:eastAsiaTheme="minorHAnsi"/>
          <w:b/>
          <w:bCs/>
          <w:sz w:val="20"/>
          <w:szCs w:val="20"/>
        </w:rPr>
        <w:tab/>
      </w:r>
      <w:r w:rsidRPr="0088361D">
        <w:rPr>
          <w:rFonts w:eastAsiaTheme="minorHAnsi"/>
          <w:sz w:val="20"/>
          <w:szCs w:val="20"/>
        </w:rPr>
        <w:t>Own-initiative opinion</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lang w:val="en-US"/>
        </w:rPr>
      </w:pPr>
      <w:r w:rsidRPr="0088361D">
        <w:rPr>
          <w:rFonts w:eastAsiaTheme="minorHAnsi"/>
          <w:b/>
          <w:bCs/>
          <w:sz w:val="20"/>
          <w:szCs w:val="20"/>
        </w:rPr>
        <w:tab/>
      </w:r>
      <w:r w:rsidRPr="0088361D">
        <w:rPr>
          <w:rFonts w:eastAsiaTheme="minorHAnsi"/>
          <w:sz w:val="20"/>
          <w:szCs w:val="20"/>
          <w:lang w:val="en-US"/>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lang w:val="en-US"/>
        </w:rPr>
      </w:pPr>
      <w:r w:rsidRPr="00D742A4">
        <w:rPr>
          <w:rFonts w:eastAsiaTheme="minorHAnsi"/>
          <w:b/>
          <w:lang w:val="en-US"/>
        </w:rPr>
        <w:t>Key points</w:t>
      </w:r>
    </w:p>
    <w:p w:rsidRPr="00D742A4" w:rsidR="00D742A4" w:rsidP="00D742A4" w:rsidRDefault="00D742A4" w14:paraId="696A7DF5" w14:textId="77777777">
      <w:pPr>
        <w:spacing w:after="160" w:line="259" w:lineRule="auto"/>
        <w:jc w:val="left"/>
        <w:rPr>
          <w:rFonts w:eastAsiaTheme="minorHAnsi"/>
        </w:rPr>
      </w:pPr>
      <w:r w:rsidRPr="00D742A4">
        <w:rPr>
          <w:rFonts w:eastAsiaTheme="minorHAnsi"/>
          <w:lang w:val="fr-FR"/>
        </w:rPr>
        <w:t xml:space="preserve">The </w:t>
      </w:r>
      <w:r w:rsidRPr="00D742A4">
        <w:rPr>
          <w:rFonts w:eastAsiaTheme="minorHAnsi"/>
        </w:rPr>
        <w:t>EESC:</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notes </w:t>
      </w:r>
      <w:r w:rsidRPr="00D742A4">
        <w:rPr>
          <w:rFonts w:eastAsiaTheme="minorHAnsi"/>
          <w:b/>
          <w:bCs/>
        </w:rPr>
        <w:t>absence of incentives</w:t>
      </w:r>
      <w:r w:rsidRPr="00D742A4">
        <w:rPr>
          <w:rFonts w:eastAsiaTheme="minorHAnsi"/>
        </w:rPr>
        <w:t xml:space="preserve"> for developing t</w:t>
      </w:r>
      <w:r w:rsidRPr="00D742A4">
        <w:t xml:space="preserve">he </w:t>
      </w:r>
      <w:r w:rsidRPr="00D742A4">
        <w:rPr>
          <w:rFonts w:eastAsiaTheme="minorHAnsi"/>
        </w:rPr>
        <w:t xml:space="preserve">sustainable and low-carbon fuel production projects; mentions </w:t>
      </w:r>
      <w:r w:rsidRPr="00D742A4">
        <w:rPr>
          <w:rFonts w:eastAsiaTheme="minorHAnsi"/>
          <w:b/>
          <w:bCs/>
        </w:rPr>
        <w:t>high production costs and uncertainty regarding the availability of sustainable fuels</w:t>
      </w:r>
      <w:r w:rsidRPr="00D742A4">
        <w:rPr>
          <w:rFonts w:eastAsiaTheme="minorHAnsi"/>
        </w:rPr>
        <w:t xml:space="preserve"> as significant barriers for their widespread uptake;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is of the opinion that </w:t>
      </w:r>
      <w:r w:rsidRPr="00D742A4">
        <w:rPr>
          <w:rFonts w:eastAsiaTheme="minorHAnsi"/>
          <w:b/>
          <w:bCs/>
        </w:rPr>
        <w:t>a lack of sustainable fuel production in the EU would negatively impact the EU’s strategic autonomy</w:t>
      </w:r>
      <w:r w:rsidRPr="00D742A4">
        <w:rPr>
          <w:rFonts w:eastAsiaTheme="minorHAnsi"/>
        </w:rP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emphasises the need to </w:t>
      </w:r>
      <w:r w:rsidRPr="00D742A4">
        <w:rPr>
          <w:rFonts w:eastAsiaTheme="minorHAnsi"/>
          <w:b/>
          <w:bCs/>
        </w:rPr>
        <w:t>preserve and enhance the EU industry’s competitiveness</w:t>
      </w:r>
      <w:r w:rsidRPr="00D742A4">
        <w:rPr>
          <w:rFonts w:eastAsiaTheme="minorHAnsi"/>
        </w:rPr>
        <w:t xml:space="preserve"> in the face of intense global competition;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rsidRPr="00D742A4">
        <w:rPr>
          <w:rFonts w:eastAsiaTheme="minorHAnsi"/>
        </w:rPr>
        <w:t xml:space="preserve">advocates for </w:t>
      </w:r>
      <w:r w:rsidRPr="00D742A4">
        <w:rPr>
          <w:rFonts w:eastAsiaTheme="minorHAnsi"/>
          <w:b/>
          <w:bCs/>
        </w:rPr>
        <w:t>a comprehensive roadmap to increase the use of sustainable aviation fuels (SAF)</w:t>
      </w:r>
      <w:r w:rsidRPr="00D742A4">
        <w:rPr>
          <w:rFonts w:eastAsiaTheme="minorHAnsi"/>
        </w:rP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rsidRPr="00D742A4">
        <w:rPr>
          <w:rFonts w:eastAsiaTheme="minorHAnsi"/>
        </w:rPr>
        <w:t xml:space="preserve">considers that </w:t>
      </w:r>
      <w:r w:rsidRPr="00D742A4">
        <w:rPr>
          <w:rFonts w:eastAsiaTheme="minorHAnsi"/>
          <w:b/>
          <w:bCs/>
        </w:rPr>
        <w:t xml:space="preserve">for the maritime industry </w:t>
      </w:r>
      <w:r w:rsidRPr="00D742A4">
        <w:rPr>
          <w:rFonts w:eastAsiaTheme="minorHAnsi"/>
        </w:rPr>
        <w:t>a challenge is</w:t>
      </w:r>
      <w:r w:rsidRPr="00D742A4">
        <w:rPr>
          <w:rFonts w:eastAsiaTheme="minorHAnsi"/>
          <w:b/>
          <w:bCs/>
        </w:rPr>
        <w:t xml:space="preserve"> in establishing the bunkering infrastructure in ports worldwide to supply ships with alternative fuels;</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highlights the risk of </w:t>
      </w:r>
      <w:r w:rsidRPr="00D742A4">
        <w:rPr>
          <w:rFonts w:eastAsiaTheme="minorHAnsi"/>
          <w:b/>
          <w:bCs/>
        </w:rPr>
        <w:t>a possible shortage of available feedstock resources and volumes of decarbonised energy</w:t>
      </w:r>
      <w:r w:rsidRPr="00D742A4">
        <w:rPr>
          <w:rFonts w:eastAsiaTheme="minorHAnsi"/>
        </w:rPr>
        <w:t xml:space="preserve"> required for transition to sustainable fuel manufacturing;</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urges to </w:t>
      </w:r>
      <w:r w:rsidRPr="00D742A4">
        <w:rPr>
          <w:rFonts w:eastAsiaTheme="minorHAnsi"/>
          <w:b/>
          <w:bCs/>
        </w:rPr>
        <w:t>establish coherent regulatory conditions unlocking investments</w:t>
      </w:r>
      <w:r w:rsidRPr="00D742A4">
        <w:rPr>
          <w:rFonts w:eastAsiaTheme="minorHAnsi"/>
        </w:rPr>
        <w:t xml:space="preserve">, </w:t>
      </w:r>
      <w:r w:rsidRPr="00D742A4">
        <w:rPr>
          <w:rFonts w:eastAsiaTheme="minorHAnsi"/>
          <w:b/>
          <w:bCs/>
        </w:rPr>
        <w:t>with incentives stimulating immediate production and cultivating a market for fuels with reduced carbon footprints;</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proposes </w:t>
      </w:r>
      <w:r w:rsidRPr="00D742A4">
        <w:rPr>
          <w:rFonts w:eastAsiaTheme="minorHAnsi"/>
          <w:b/>
          <w:bCs/>
        </w:rPr>
        <w:t>aligning taxation with the climate impact of each fuel</w:t>
      </w:r>
      <w:r w:rsidRPr="00D742A4">
        <w:rPr>
          <w:rFonts w:eastAsiaTheme="minorHAnsi"/>
        </w:rP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lang w:val="fr-FR"/>
        </w:rPr>
      </w:pPr>
      <w:r w:rsidRPr="00D742A4">
        <w:rPr>
          <w:rFonts w:eastAsiaTheme="minorHAnsi"/>
        </w:rPr>
        <w:t xml:space="preserve">is disappointed that </w:t>
      </w:r>
      <w:r w:rsidRPr="00D742A4">
        <w:rPr>
          <w:rFonts w:eastAsiaTheme="minorHAnsi"/>
          <w:b/>
          <w:bCs/>
        </w:rPr>
        <w:t>EU grants and subsidies do not sufficiently prioritise the low-carbon and renewable fuels production infrastructure for the aviation and maritime sectors</w:t>
      </w:r>
      <w:r w:rsidRPr="00D742A4">
        <w:rPr>
          <w:rFonts w:eastAsiaTheme="minorHAnsi"/>
        </w:rP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rsidRPr="00D742A4">
        <w:rPr>
          <w:rFonts w:eastAsiaTheme="minorHAnsi"/>
        </w:rPr>
        <w:t xml:space="preserve">suggests </w:t>
      </w:r>
      <w:r w:rsidRPr="00D742A4">
        <w:rPr>
          <w:rFonts w:eastAsiaTheme="minorHAnsi"/>
          <w:b/>
          <w:bCs/>
        </w:rPr>
        <w:t>R&amp;D as essential for reducing the costs</w:t>
      </w:r>
      <w:r w:rsidRPr="00D742A4">
        <w:rPr>
          <w:rFonts w:eastAsiaTheme="minorHAnsi"/>
        </w:rPr>
        <w:t xml:space="preserve"> of advanced, low-carbon technologies;</w:t>
      </w:r>
      <w:r w:rsidRPr="00D742A4">
        <w:rPr>
          <w:rFonts w:eastAsiaTheme="minorHAnsi"/>
          <w:b/>
          <w:bCs/>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rsidRPr="00D742A4">
        <w:rPr>
          <w:rFonts w:eastAsiaTheme="minorHAnsi"/>
        </w:rPr>
        <w:t>calls for</w:t>
      </w:r>
      <w:r w:rsidRPr="00D742A4">
        <w:rPr>
          <w:rFonts w:eastAsiaTheme="minorHAnsi"/>
          <w:b/>
          <w:bCs/>
        </w:rPr>
        <w:t xml:space="preserve"> a holistic strategy for a clean transition of entire industrial value chains, incorporating hydrogen, scaling up biofuel, expanding synthetic fuel and continuing existing sectoral partnerships under the successor of Horizon Europe;</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rsidRPr="00D742A4">
        <w:rPr>
          <w:rFonts w:eastAsiaTheme="minorHAnsi"/>
        </w:rPr>
        <w:t xml:space="preserve">ensures that </w:t>
      </w:r>
      <w:r w:rsidRPr="00D742A4">
        <w:rPr>
          <w:rFonts w:eastAsiaTheme="minorHAnsi"/>
          <w:b/>
          <w:bCs/>
        </w:rPr>
        <w:t xml:space="preserve">skills development programmes, </w:t>
      </w:r>
      <w:r w:rsidRPr="00D742A4">
        <w:rPr>
          <w:rFonts w:eastAsiaTheme="minorHAnsi"/>
        </w:rPr>
        <w:t>including vocational training and support for job transitions are necessary;</w:t>
      </w:r>
      <w:r w:rsidRPr="00D742A4">
        <w:rPr>
          <w:rFonts w:eastAsiaTheme="minorHAnsi"/>
          <w:b/>
          <w:bCs/>
        </w:rPr>
        <w:t xml:space="preserve"> </w:t>
      </w:r>
      <w:r w:rsidRPr="00D742A4">
        <w:rPr>
          <w:rFonts w:eastAsiaTheme="minorHAnsi"/>
        </w:rPr>
        <w:t xml:space="preserve">reiterates the </w:t>
      </w:r>
      <w:r w:rsidRPr="00D742A4">
        <w:rPr>
          <w:rFonts w:eastAsiaTheme="minorHAnsi"/>
          <w:b/>
          <w:bCs/>
        </w:rPr>
        <w:t>priority of ensuring high health and safety standards</w:t>
      </w:r>
      <w:r w:rsidRPr="00D742A4">
        <w:rPr>
          <w:rFonts w:eastAsiaTheme="minorHAnsi"/>
        </w:rP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sidRPr="0088361D">
              <w:rPr>
                <w:rFonts w:eastAsiaTheme="minorHAnsi"/>
                <w:b/>
                <w:i/>
              </w:rPr>
              <w:t>Contact</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sidRPr="0088361D">
              <w:rPr>
                <w:rFonts w:eastAsiaTheme="minorHAnsi"/>
                <w:bCs/>
                <w:i/>
              </w:rPr>
              <w:t>Adam D</w:t>
            </w:r>
            <w:r w:rsidRPr="0088361D" w:rsidR="00105345">
              <w:rPr>
                <w:rFonts w:eastAsiaTheme="minorHAnsi"/>
                <w:bCs/>
                <w:i/>
              </w:rPr>
              <w:t>orywalski</w:t>
            </w:r>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sidRPr="0088361D">
              <w:rPr>
                <w:rFonts w:eastAsiaTheme="minorHAnsi"/>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sidRPr="0088361D">
              <w:rPr>
                <w:rFonts w:eastAsiaTheme="minorHAnsi"/>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lang w:val="fr-FR"/>
              </w:rPr>
            </w:pPr>
            <w:r w:rsidRPr="0088361D">
              <w:rPr>
                <w:rFonts w:eastAsiaTheme="minorHAnsi"/>
                <w:i/>
                <w:lang w:val="fr-FR"/>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lang w:val="fr-FR"/>
              </w:rPr>
            </w:pPr>
            <w:r w:rsidRPr="0088361D">
              <w:rPr>
                <w:rFonts w:eastAsiaTheme="minorHAnsi"/>
                <w:i/>
                <w:iCs/>
                <w:color w:val="0000FF"/>
                <w:u w:val="single"/>
                <w:lang w:val="fr-FR"/>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00747EBB" w:rsidRDefault="00747EBB" w14:paraId="01E63EDD" w14:textId="77777777">
      <w:pPr>
        <w:spacing w:after="160" w:line="259" w:lineRule="auto"/>
        <w:jc w:val="left"/>
        <w:rPr>
          <w:rFonts w:eastAsiaTheme="minorHAnsi"/>
          <w:b/>
          <w:bCs/>
          <w:i/>
          <w:iCs/>
          <w:sz w:val="28"/>
          <w:szCs w:val="28"/>
          <w:lang w:val="en-US"/>
        </w:rPr>
      </w:pPr>
      <w:r>
        <w:rPr>
          <w:rFonts w:eastAsiaTheme="minorHAnsi"/>
          <w:b/>
          <w:bCs/>
          <w:i/>
          <w:iCs/>
          <w:sz w:val="28"/>
          <w:szCs w:val="28"/>
          <w:lang w:val="en-US"/>
        </w:rPr>
        <w:br w:type="page"/>
      </w:r>
    </w:p>
    <w:p w:rsidRPr="00747EBB" w:rsidR="00495F59" w:rsidP="00EB34B3" w:rsidRDefault="005A112C" w14:paraId="5F905652" w14:textId="51D48D34">
      <w:pPr>
        <w:widowControl w:val="0"/>
        <w:numPr>
          <w:ilvl w:val="0"/>
          <w:numId w:val="27"/>
        </w:numPr>
        <w:overflowPunct w:val="0"/>
        <w:autoSpaceDE w:val="0"/>
        <w:autoSpaceDN w:val="0"/>
        <w:adjustRightInd w:val="0"/>
        <w:ind w:left="266" w:hanging="266"/>
        <w:textAlignment w:val="baseline"/>
        <w:rPr>
          <w:sz w:val="20"/>
          <w:szCs w:val="20"/>
        </w:rPr>
      </w:pPr>
      <w:r>
        <w:tab/>
      </w:r>
      <w:hyperlink w:history="1" r:id="rId41">
        <w:r w:rsidRPr="00C13172" w:rsidR="00747EBB">
          <w:rPr>
            <w:b/>
            <w:bCs/>
            <w:i/>
            <w:iCs/>
            <w:color w:val="0000FF"/>
            <w:sz w:val="28"/>
            <w:szCs w:val="28"/>
            <w:u w:val="single"/>
          </w:rPr>
          <w:t>Advanced materials for industrial leadership</w:t>
        </w:r>
      </w:hyperlink>
      <w:r w:rsidRPr="00C13172" w:rsidR="00750766">
        <w:rPr>
          <w:b/>
          <w:bCs/>
          <w:i/>
          <w:iCs/>
          <w:color w:val="0000FF"/>
          <w:sz w:val="28"/>
          <w:szCs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EB34B3"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sidRPr="00747EBB">
              <w:rPr>
                <w:b/>
              </w:rPr>
              <w:t>Rapporteur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rsidRPr="0088361D">
              <w:t xml:space="preserve">Anastasis YIAPANIS (Civil Society Organisations' Group </w:t>
            </w:r>
            <w:r w:rsidRPr="0088361D" w:rsidR="00750766">
              <w:t>-</w:t>
            </w:r>
            <w:r w:rsidRPr="0088361D">
              <w:t xml:space="preserve">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sidRPr="00747EBB">
              <w:rPr>
                <w:b/>
                <w:lang w:val="fr-FR"/>
              </w:rPr>
              <w:t>Co-rapporteur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rsidRPr="0088361D">
              <w:t xml:space="preserve">Gerardo Luís ARROYO HERRANZ (Cat.1 </w:t>
            </w:r>
            <w:r w:rsidR="00750766">
              <w:t>-</w:t>
            </w:r>
            <w:r w:rsidRPr="0088361D">
              <w:t xml:space="preserve">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sidRPr="00747EBB">
              <w:rPr>
                <w:b/>
              </w:rPr>
              <w:t>References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rsidRPr="00747EBB">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rsidRPr="00747EBB">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sidRPr="00747EBB">
        <w:rPr>
          <w:b/>
        </w:rPr>
        <w:t>Key points</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rsidRPr="00747EBB">
        <w:rPr>
          <w:bCs/>
          <w:iCs/>
        </w:rPr>
        <w:t>The EESC:</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considers that the European Commission's Communication on Advanced Materials cannot be viewed as a strategy per se, as it lacks quantifiable targets, deadlines and specific key performance indicators (KPIs) to support its implementation;</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is convinced that the EU needs a holistic approach to decrease material consumption, promote circularity and facilitate the transition to sustainable business models and consumption behaviours;</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notes that a complex advanced materials ecosystem demands a comprehensive strategy, substantial funding and incentives, the availability of the right skills as well as high-level political backing;</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lang w:eastAsia="zh-CN"/>
        </w:rPr>
        <w:t>welcomes the EU-Japan enhanced dialogue on advanced materials and believes that such initiatives should be extended to other leading countries;</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finds it crucial to foster competitiveness in R&amp;D&amp;I by engaging industrial players, public authorities, social partners and academia, and by creating a network of cross-border research infrastructures;</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proposes including healthcare as an additional initial strategic area, as it represents one of Europe’s largest industries, with healthcare-related advanced materials often intersecting with sectors like electronics and energy;</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rPr>
          <w:bCs/>
          <w:iCs/>
        </w:rPr>
        <w:t>highlights the importance of integrating digital technologies and innovations into materials development processes;</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747EBB">
        <w:t xml:space="preserve">supports the introduction of digital product passports, which include information standards and details from production to recycling, but cautions against introducing additional bureaucracy or costs for businesses or consumers.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rsidRPr="00747EBB">
        <w:rPr>
          <w:bCs/>
          <w:iCs/>
        </w:rPr>
        <w:t>deems it necessary to strengthen European production, support commercialisation, streamline market access and improve market surveillance in this area.</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rsidRPr="0088361D">
              <w:rPr>
                <w:bCs/>
                <w:iCs/>
              </w:rPr>
              <w:t>Contact</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sidRPr="00570D62">
              <w:rPr>
                <w:i/>
              </w:rPr>
              <w:t>Heli Niemelä-Farrer</w:t>
            </w:r>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sidRPr="00A773FA">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sidRPr="00747EBB">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sidRPr="00A773FA">
              <w:rPr>
                <w:i/>
              </w:rPr>
              <w:t>Email</w:t>
            </w:r>
          </w:p>
        </w:tc>
        <w:tc>
          <w:tcPr>
            <w:tcW w:w="3444" w:type="pct"/>
          </w:tcPr>
          <w:p w:rsidRPr="00A773FA" w:rsidR="00570D62" w:rsidP="00D76388" w:rsidRDefault="00EF3FA9" w14:paraId="75D67AD3" w14:textId="63F44F21">
            <w:pPr>
              <w:overflowPunct w:val="0"/>
              <w:autoSpaceDE w:val="0"/>
              <w:autoSpaceDN w:val="0"/>
              <w:adjustRightInd w:val="0"/>
              <w:spacing w:line="240" w:lineRule="auto"/>
              <w:textAlignment w:val="baseline"/>
              <w:rPr>
                <w:i/>
              </w:rPr>
            </w:pPr>
            <w:hyperlink w:history="1" r:id="rId42">
              <w:r w:rsidRPr="00643366" w:rsidR="00570D62">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rPr>
          <w:lang w:val="nl-BE"/>
        </w:rPr>
      </w:pPr>
      <w:r>
        <w:rPr>
          <w:lang w:val="nl-BE"/>
        </w:rPr>
        <w:t>_____________</w:t>
      </w:r>
    </w:p>
    <w:sectPr w:rsidRPr="006C7863" w:rsidR="0092772D" w:rsidSect="0071141F">
      <w:headerReference w:type="even" r:id="rId43"/>
      <w:headerReference w:type="default" r:id="rId44"/>
      <w:footerReference w:type="even" r:id="rId45"/>
      <w:footerReference w:type="default" r:id="rId46"/>
      <w:headerReference w:type="first" r:id="rId47"/>
      <w:footerReference w:type="first" r:id="rId4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10" w:rsidP="003B0516" w:rsidRDefault="002B5510" w14:paraId="526138C1" w14:textId="77777777">
      <w:pPr>
        <w:spacing w:line="240" w:lineRule="auto"/>
      </w:pPr>
      <w:r>
        <w:separator/>
      </w:r>
    </w:p>
  </w:endnote>
  <w:endnote w:type="continuationSeparator" w:id="0">
    <w:p w:rsidR="002B5510" w:rsidP="003B0516" w:rsidRDefault="002B5510" w14:paraId="6C59A80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1141F" w:rsidP="0071141F" w:rsidRDefault="0071141F" w14:paraId="5295E4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65C4F" w:rsidP="0071141F" w:rsidRDefault="0071141F" w14:paraId="02F89D38" w14:textId="534D3C8C">
    <w:pPr>
      <w:pStyle w:val="Footer"/>
    </w:pPr>
    <w:r>
      <w:t xml:space="preserve">EESC-2024-02113-00-01-TCD-TRA (EN) </w:t>
    </w:r>
    <w:r>
      <w:fldChar w:fldCharType="begin"/>
    </w:r>
    <w:r>
      <w:instrText xml:space="preserve"> PAGE  \* Arabic  \* MERGEFORMAT </w:instrText>
    </w:r>
    <w:r>
      <w:fldChar w:fldCharType="separate"/>
    </w:r>
    <w:r w:rsidR="00A30D59">
      <w:rPr>
        <w:noProof/>
      </w:rPr>
      <w:t>1</w:t>
    </w:r>
    <w:r>
      <w:fldChar w:fldCharType="end"/>
    </w:r>
    <w:r>
      <w:t>/</w:t>
    </w:r>
    <w:r w:rsidR="00052D14">
      <w:fldChar w:fldCharType="begin"/>
    </w:r>
    <w:r w:rsidR="00052D14">
      <w:instrText xml:space="preserve"> NUMPAGES </w:instrText>
    </w:r>
    <w:r w:rsidR="00052D14">
      <w:fldChar w:fldCharType="separate"/>
    </w:r>
    <w:r w:rsidR="00A30D59">
      <w:rPr>
        <w:noProof/>
      </w:rPr>
      <w:t>1</w:t>
    </w:r>
    <w:r w:rsidR="00052D1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1141F" w:rsidP="0071141F" w:rsidRDefault="0071141F" w14:paraId="4C9DA48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71141F" w14:paraId="7CB2C8A9" w14:textId="760E267B">
    <w:pPr>
      <w:pStyle w:val="Footer"/>
    </w:pPr>
    <w:r>
      <w:t xml:space="preserve">EESC-2024-02113-00-01-TCD-TRA (EN) </w:t>
    </w:r>
    <w:r>
      <w:fldChar w:fldCharType="begin"/>
    </w:r>
    <w:r>
      <w:instrText xml:space="preserve"> PAGE  \* Arabic  \* MERGEFORMAT </w:instrText>
    </w:r>
    <w:r>
      <w:fldChar w:fldCharType="separate"/>
    </w:r>
    <w:r>
      <w:rPr>
        <w:noProof/>
      </w:rPr>
      <w:t>2</w:t>
    </w:r>
    <w:r>
      <w:fldChar w:fldCharType="end"/>
    </w:r>
    <w:r>
      <w:t>/</w:t>
    </w:r>
    <w:r w:rsidR="00052D14">
      <w:fldChar w:fldCharType="begin"/>
    </w:r>
    <w:r w:rsidR="00052D14">
      <w:instrText xml:space="preserve"> NUMPAGES </w:instrText>
    </w:r>
    <w:r w:rsidR="00052D14">
      <w:fldChar w:fldCharType="separate"/>
    </w:r>
    <w:r>
      <w:rPr>
        <w:noProof/>
      </w:rPr>
      <w:t>16</w:t>
    </w:r>
    <w:r w:rsidR="00052D1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10" w:rsidP="003B0516" w:rsidRDefault="002B5510" w14:paraId="1499324F" w14:textId="77777777">
      <w:pPr>
        <w:spacing w:line="240" w:lineRule="auto"/>
      </w:pPr>
      <w:r>
        <w:separator/>
      </w:r>
    </w:p>
  </w:footnote>
  <w:footnote w:type="continuationSeparator" w:id="0">
    <w:p w:rsidR="002B5510" w:rsidP="003B0516" w:rsidRDefault="002B5510" w14:paraId="2F3B2B0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1141F" w:rsidP="0071141F" w:rsidRDefault="0071141F" w14:paraId="57893A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1141F" w:rsidP="0071141F" w:rsidRDefault="0071141F" w14:paraId="19CB837B" w14:textId="21BD1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71141F" w:rsidP="0071141F" w:rsidRDefault="0071141F" w14:paraId="54690D2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E4258F" w14:paraId="6A3A0FFF" w14:textId="68247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1141F" w:rsidR="00E4258F" w:rsidP="0071141F"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0D59"/>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4B3"/>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n/our-work/opinions-information-reports/opinions/caregivers" TargetMode="External"/><Relationship Id="rId39" Type="http://schemas.openxmlformats.org/officeDocument/2006/relationships/hyperlink" Target="mailto:Marie-Laurence.Drillon@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n/our-work/opinions-information-reports/opinions/screening-foreign-investments-union" TargetMode="External"/><Relationship Id="rId42" Type="http://schemas.openxmlformats.org/officeDocument/2006/relationships/hyperlink" Target="mailto:Heli.Niemela-Farrer@eesc.europa.eu"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proposal-council-recommendation-enhancing-research-security" TargetMode="External"/><Relationship Id="rId11" Type="http://schemas.openxmlformats.org/officeDocument/2006/relationships/image" Target="media/image1.jpeg"/><Relationship Id="rId24" Type="http://schemas.openxmlformats.org/officeDocument/2006/relationships/hyperlink" Target="mailto:Sabrina.Borg@eesc.europa.eu" TargetMode="External"/><Relationship Id="rId32" Type="http://schemas.openxmlformats.org/officeDocument/2006/relationships/hyperlink" Target="mailto:Martine.Delanoy@eesc.europa.eu" TargetMode="External"/><Relationship Id="rId37" Type="http://schemas.openxmlformats.org/officeDocument/2006/relationships/hyperlink" Target="mailto:Aleksandra.SarmanGrilc@eesc.europa.eu" TargetMode="External"/><Relationship Id="rId40" Type="http://schemas.openxmlformats.org/officeDocument/2006/relationships/hyperlink" Target="https://www.eesc.europa.eu/en/our-work/opinions-information-reports/opinions/low-carbon-and-renewable-fuels-building-capacity-european-industry-decarbonise-aviation-and-maritime-sectors-spirit" TargetMode="External"/><Relationship Id="rId45" Type="http://schemas.openxmlformats.org/officeDocument/2006/relationships/footer" Target="footer4.xml"/><Relationship Id="rId53"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mailto:Sabrina.Borg@eesc.europa.eu" TargetMode="External"/><Relationship Id="rId36" Type="http://schemas.openxmlformats.org/officeDocument/2006/relationships/hyperlink" Target="https://www.eesc.europa.eu/en/our-work/opinions-information-reports/opinions/energy-digitalisation-balancing-opportunities-and-risks-european-consumer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n/our-work/opinions-information-reports/opinions/general-fisheries-commission-mediterranean" TargetMode="External"/><Relationship Id="rId44" Type="http://schemas.openxmlformats.org/officeDocument/2006/relationships/header" Target="header5.xml"/><Relationship Id="rId52"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taxation-framework-social-economy-entities" TargetMode="External"/><Relationship Id="rId27" Type="http://schemas.openxmlformats.org/officeDocument/2006/relationships/hyperlink" Target="mailto:Valeria.Atzori@eesc.europa.eu" TargetMode="External"/><Relationship Id="rId30" Type="http://schemas.openxmlformats.org/officeDocument/2006/relationships/hyperlink" Target="mailto:Marco.Manfroni@eesc.europa.eu" TargetMode="External"/><Relationship Id="rId35" Type="http://schemas.openxmlformats.org/officeDocument/2006/relationships/hyperlink" Target="mailto:Marco.Ristori@eesc.europa.eu" TargetMode="Externa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customXml" Target="../customXml/item1.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mma.Amran@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https://www.eesc.europa.eu/en/our-work/opinions-information-reports/opinions/eu-biotech-and-biomanufacturing-initiative" TargetMode="External"/><Relationship Id="rId46" Type="http://schemas.openxmlformats.org/officeDocument/2006/relationships/footer" Target="footer5.xml"/><Relationship Id="rId20" Type="http://schemas.openxmlformats.org/officeDocument/2006/relationships/hyperlink" Target="https://www.eesc.europa.eu/en/our-work/opinions-information-reports/opinions/no-one-should-be-left-behind-inclusive-and-participatory-cohesion-policy-support-social-economic-and-territorial" TargetMode="External"/><Relationship Id="rId41" Type="http://schemas.openxmlformats.org/officeDocument/2006/relationships/hyperlink" Target="https://www.eesc.europa.eu/en/our-work/opinions-information-reports/opinions/advanced-materials-industrial-leadership-coordinated-plan-member-states" TargetMode="External"/><Relationship Id="rId54" Type="http://schemas.openxmlformats.org/officeDocument/2006/relationships/customXml" Target="../customXml/item4.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F7M6YNZUATRX-789077548-3226</_dlc_DocId>
    <_dlc_DocIdUrl xmlns="59ace41b-6786-4ce3-be71-52c27066c6ef">
      <Url>http://dm/eesc/2024/_layouts/15/DocIdRedir.aspx?ID=F7M6YNZUATRX-789077548-3226</Url>
      <Description>F7M6YNZUATRX-789077548-3226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FicheYear xmlns="59ace41b-6786-4ce3-be71-52c27066c6ef" xsi:nil="true"/>
    <DocumentNumber xmlns="36007a90-28ab-40da-967b-595e4ec83007">2113</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61E5D-68D8-4660-AE7C-D9024CD9E0A9}"/>
</file>

<file path=customXml/itemProps2.xml><?xml version="1.0" encoding="utf-8"?>
<ds:datastoreItem xmlns:ds="http://schemas.openxmlformats.org/officeDocument/2006/customXml" ds:itemID="{31A3A945-5F05-40F8-8AE5-8C904098305B}"/>
</file>

<file path=customXml/itemProps3.xml><?xml version="1.0" encoding="utf-8"?>
<ds:datastoreItem xmlns:ds="http://schemas.openxmlformats.org/officeDocument/2006/customXml" ds:itemID="{8E2F751F-502E-456D-9FB7-C31AE560F3D5}"/>
</file>

<file path=customXml/itemProps4.xml><?xml version="1.0" encoding="utf-8"?>
<ds:datastoreItem xmlns:ds="http://schemas.openxmlformats.org/officeDocument/2006/customXml" ds:itemID="{66CF6855-CA67-4347-8FA3-3E525E24959E}"/>
</file>

<file path=docProps/app.xml><?xml version="1.0" encoding="utf-8"?>
<Properties xmlns="http://schemas.openxmlformats.org/officeDocument/2006/extended-properties" xmlns:vt="http://schemas.openxmlformats.org/officeDocument/2006/docPropsVTypes">
  <Template>Normal</Template>
  <TotalTime>0</TotalTime>
  <Pages>2</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- 589th plenary session - July 2024  </dc:title>
  <dc:subject>Consultative work, various</dc:subject>
  <dc:creator>Nieddu Emma</dc:creator>
  <cp:keywords>EESC-2024-02113-00-01-TCD-TRA-EN</cp:keywords>
  <dc:description>Rapporteur: -  Original language: - EN Date of document: - 19/07/2024 Date of meeting: - 18/09/2024 External documents: -  Administrator responsible: - MME TAMASAUSKIENE Julija</dc:description>
  <cp:lastModifiedBy>TDriveSVCUserProd</cp:lastModifiedBy>
  <cp:revision>6</cp:revision>
  <cp:lastPrinted>2023-06-15T08:00:00Z</cp:lastPrinted>
  <dcterms:created xsi:type="dcterms:W3CDTF">2024-07-19T11:45:00Z</dcterms:created>
  <dcterms:modified xsi:type="dcterms:W3CDTF">2024-07-19T11:47:00Z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3c37e3cf-a8e2-4b2d-ba13-86a484be1c99</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FicheYear">
    <vt:i4>2024</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2024-09-18T12:00:00Z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7682</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