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D449CF" w14:paraId="785AE44C" w14:textId="737CD528">
      <w:pPr>
        <w:jc w:val="center"/>
      </w:pPr>
      <w:r>
        <w:rPr>
          <w:noProof/>
        </w:rPr>
        <w:drawing>
          <wp:inline distT="0" distB="0" distL="0" distR="0" wp14:anchorId="0FC46366" wp14:editId="35C2211B">
            <wp:extent cx="1792605" cy="1239520"/>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Picture 2"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170A634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8182825">
      <w:pPr>
        <w:jc w:val="right"/>
      </w:pPr>
      <w:r>
        <w:t>Brüssel, den 16. September 2024</w:t>
      </w:r>
    </w:p>
    <w:p w:rsidRPr="00094B6B" w:rsidR="004D7AC0" w:rsidP="00775FC4" w:rsidRDefault="004D7AC0" w14:paraId="6B250092"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11C8DC33">
            <w:pPr>
              <w:snapToGrid w:val="0"/>
              <w:jc w:val="center"/>
              <w:rPr>
                <w:b/>
                <w:sz w:val="32"/>
              </w:rPr>
            </w:pPr>
            <w:r>
              <w:rPr>
                <w:b/>
                <w:sz w:val="32"/>
              </w:rPr>
              <w:t>589. PLENARTAGUNG</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767CE9FD">
            <w:pPr>
              <w:snapToGrid w:val="0"/>
              <w:jc w:val="center"/>
              <w:rPr>
                <w:b/>
                <w:sz w:val="32"/>
              </w:rPr>
            </w:pPr>
            <w:r>
              <w:rPr>
                <w:b/>
                <w:sz w:val="32"/>
              </w:rPr>
              <w:t>10./11. Juli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ZUSAMMENFASSUNG DER VERABSCHIEDETEN STELLUNGNAHMEN, ENTSCHLIEẞUNGEN UND INFORMATIONS-/BEWERTUNGSBERICHTE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Dieses Dokument kann in allen Amtssprachen der Europäischen Union auf dem EWSA-Internetportal abgerufen werden:</w:t>
            </w:r>
          </w:p>
          <w:p w:rsidRPr="00094B6B" w:rsidR="00B16284" w:rsidP="00775FC4" w:rsidRDefault="00B16284" w14:paraId="4F26A4CE" w14:textId="77777777">
            <w:pPr>
              <w:snapToGrid w:val="0"/>
              <w:jc w:val="center"/>
            </w:pPr>
          </w:p>
          <w:p w:rsidRPr="00094B6B" w:rsidR="004D7AC0" w:rsidP="00775FC4" w:rsidRDefault="003C01AD" w14:paraId="2A9352A2" w14:textId="0680ADB6">
            <w:pPr>
              <w:snapToGrid w:val="0"/>
              <w:jc w:val="center"/>
            </w:pPr>
            <w:hyperlink w:history="1" r:id="rId12">
              <w:r w:rsidR="00D449CF">
                <w:rPr>
                  <w:rStyle w:val="Hyperlink"/>
                  <w:highlight w:val="yellow"/>
                </w:rPr>
                <w:t>https://www.eesc.europa.eu/de/our-work/opinions-information-reports/plenary-session-summaries</w:t>
              </w:r>
            </w:hyperlink>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Die aufgeführten Stellungnahmen können online über die Suchmaschine des EWSA abgerufen werden:</w:t>
            </w:r>
          </w:p>
          <w:p w:rsidRPr="00094B6B" w:rsidR="00B16284" w:rsidP="00775FC4" w:rsidRDefault="00B16284" w14:paraId="7A5411A5" w14:textId="77777777">
            <w:pPr>
              <w:snapToGrid w:val="0"/>
              <w:jc w:val="center"/>
            </w:pPr>
          </w:p>
          <w:p w:rsidRPr="00094B6B" w:rsidR="004D7AC0" w:rsidP="00775FC4" w:rsidRDefault="003C01AD" w14:paraId="441AC4DD" w14:textId="1194D751">
            <w:pPr>
              <w:snapToGrid w:val="0"/>
              <w:jc w:val="center"/>
            </w:pPr>
            <w:hyperlink w:history="1" r:id="rId13">
              <w:r w:rsidR="00D449CF">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DC26B9">
          <w:footerReference w:type="default" r:id="rId14"/>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Inhalt</w:t>
      </w:r>
    </w:p>
    <w:p w:rsidR="00DE1B66" w:rsidRDefault="0014322B" w14:paraId="5BF10631" w14:textId="01D626FC">
      <w:pPr>
        <w:pStyle w:val="TOC1"/>
        <w:rPr>
          <w:rFonts w:asciiTheme="minorHAnsi" w:hAnsiTheme="minorHAnsi" w:eastAsiaTheme="minorEastAsia" w:cstheme="minorBidi"/>
          <w:b w:val="0"/>
          <w:sz w:val="22"/>
          <w:szCs w:val="22"/>
          <w:lang w:val="en-US"/>
        </w:rPr>
      </w:pPr>
      <w:r>
        <w:fldChar w:fldCharType="begin"/>
      </w:r>
      <w:r>
        <w:instrText xml:space="preserve"> TOC \o "1-1" \h \z \u </w:instrText>
      </w:r>
      <w:r>
        <w:fldChar w:fldCharType="separate"/>
      </w:r>
      <w:hyperlink w:history="1" w:anchor="_Toc172124197">
        <w:r w:rsidRPr="00080343" w:rsidR="00DE1B66">
          <w:rPr>
            <w:rStyle w:val="Hyperlink"/>
          </w:rPr>
          <w:t>1.</w:t>
        </w:r>
        <w:r w:rsidR="00DE1B66">
          <w:rPr>
            <w:rFonts w:asciiTheme="minorHAnsi" w:hAnsiTheme="minorHAnsi" w:eastAsiaTheme="minorEastAsia" w:cstheme="minorBidi"/>
            <w:b w:val="0"/>
            <w:sz w:val="22"/>
            <w:szCs w:val="22"/>
            <w:lang w:val="en-US"/>
          </w:rPr>
          <w:tab/>
        </w:r>
        <w:r w:rsidRPr="00080343" w:rsidR="00DE1B66">
          <w:rPr>
            <w:rStyle w:val="Hyperlink"/>
          </w:rPr>
          <w:t>ENTSCHLIEẞUNG</w:t>
        </w:r>
        <w:r w:rsidR="00DE1B66">
          <w:rPr>
            <w:webHidden/>
          </w:rPr>
          <w:tab/>
        </w:r>
        <w:r w:rsidR="00DE1B66">
          <w:rPr>
            <w:webHidden/>
          </w:rPr>
          <w:fldChar w:fldCharType="begin"/>
        </w:r>
        <w:r w:rsidR="00DE1B66">
          <w:rPr>
            <w:webHidden/>
          </w:rPr>
          <w:instrText xml:space="preserve"> PAGEREF _Toc172124197 \h </w:instrText>
        </w:r>
        <w:r w:rsidR="00DE1B66">
          <w:rPr>
            <w:webHidden/>
          </w:rPr>
        </w:r>
        <w:r w:rsidR="00DE1B66">
          <w:rPr>
            <w:webHidden/>
          </w:rPr>
          <w:fldChar w:fldCharType="separate"/>
        </w:r>
        <w:r w:rsidR="00DE1B66">
          <w:rPr>
            <w:webHidden/>
          </w:rPr>
          <w:t>3</w:t>
        </w:r>
        <w:r w:rsidR="00DE1B66">
          <w:rPr>
            <w:webHidden/>
          </w:rPr>
          <w:fldChar w:fldCharType="end"/>
        </w:r>
      </w:hyperlink>
    </w:p>
    <w:p w:rsidR="00DE1B66" w:rsidRDefault="003C01AD" w14:paraId="48875AFE" w14:textId="6D3F2377">
      <w:pPr>
        <w:pStyle w:val="TOC1"/>
        <w:rPr>
          <w:rFonts w:asciiTheme="minorHAnsi" w:hAnsiTheme="minorHAnsi" w:eastAsiaTheme="minorEastAsia" w:cstheme="minorBidi"/>
          <w:b w:val="0"/>
          <w:sz w:val="22"/>
          <w:szCs w:val="22"/>
          <w:lang w:val="en-US"/>
        </w:rPr>
      </w:pPr>
      <w:hyperlink w:history="1" w:anchor="_Toc172124198">
        <w:r w:rsidRPr="00080343" w:rsidR="00DE1B66">
          <w:rPr>
            <w:rStyle w:val="Hyperlink"/>
          </w:rPr>
          <w:t>2.</w:t>
        </w:r>
        <w:r w:rsidR="00DE1B66">
          <w:rPr>
            <w:rFonts w:asciiTheme="minorHAnsi" w:hAnsiTheme="minorHAnsi" w:eastAsiaTheme="minorEastAsia" w:cstheme="minorBidi"/>
            <w:b w:val="0"/>
            <w:sz w:val="22"/>
            <w:szCs w:val="22"/>
            <w:lang w:val="en-US"/>
          </w:rPr>
          <w:tab/>
        </w:r>
        <w:r w:rsidRPr="00080343" w:rsidR="00DE1B66">
          <w:rPr>
            <w:rStyle w:val="Hyperlink"/>
          </w:rPr>
          <w:t>WIRTSCHAFTS- UND WÄHRUNGSUNION, WIRTSCHAFTLICHER UND SOZIALER ZUSAMMENHALT</w:t>
        </w:r>
        <w:r w:rsidR="00DE1B66">
          <w:rPr>
            <w:webHidden/>
          </w:rPr>
          <w:tab/>
        </w:r>
        <w:r w:rsidR="00DE1B66">
          <w:rPr>
            <w:webHidden/>
          </w:rPr>
          <w:fldChar w:fldCharType="begin"/>
        </w:r>
        <w:r w:rsidR="00DE1B66">
          <w:rPr>
            <w:webHidden/>
          </w:rPr>
          <w:instrText xml:space="preserve"> PAGEREF _Toc172124198 \h </w:instrText>
        </w:r>
        <w:r w:rsidR="00DE1B66">
          <w:rPr>
            <w:webHidden/>
          </w:rPr>
        </w:r>
        <w:r w:rsidR="00DE1B66">
          <w:rPr>
            <w:webHidden/>
          </w:rPr>
          <w:fldChar w:fldCharType="separate"/>
        </w:r>
        <w:r w:rsidR="00DE1B66">
          <w:rPr>
            <w:webHidden/>
          </w:rPr>
          <w:t>4</w:t>
        </w:r>
        <w:r w:rsidR="00DE1B66">
          <w:rPr>
            <w:webHidden/>
          </w:rPr>
          <w:fldChar w:fldCharType="end"/>
        </w:r>
      </w:hyperlink>
    </w:p>
    <w:p w:rsidR="00DE1B66" w:rsidRDefault="003C01AD" w14:paraId="0BBAB046" w14:textId="206EE24F">
      <w:pPr>
        <w:pStyle w:val="TOC1"/>
        <w:rPr>
          <w:rFonts w:asciiTheme="minorHAnsi" w:hAnsiTheme="minorHAnsi" w:eastAsiaTheme="minorEastAsia" w:cstheme="minorBidi"/>
          <w:b w:val="0"/>
          <w:sz w:val="22"/>
          <w:szCs w:val="22"/>
          <w:lang w:val="en-US"/>
        </w:rPr>
      </w:pPr>
      <w:hyperlink w:history="1" w:anchor="_Toc172124199">
        <w:r w:rsidRPr="00080343" w:rsidR="00DE1B66">
          <w:rPr>
            <w:rStyle w:val="Hyperlink"/>
          </w:rPr>
          <w:t>3.</w:t>
        </w:r>
        <w:r w:rsidR="00DE1B66">
          <w:rPr>
            <w:rFonts w:asciiTheme="minorHAnsi" w:hAnsiTheme="minorHAnsi" w:eastAsiaTheme="minorEastAsia" w:cstheme="minorBidi"/>
            <w:b w:val="0"/>
            <w:sz w:val="22"/>
            <w:szCs w:val="22"/>
            <w:lang w:val="en-US"/>
          </w:rPr>
          <w:tab/>
        </w:r>
        <w:r w:rsidRPr="00080343" w:rsidR="00DE1B66">
          <w:rPr>
            <w:rStyle w:val="Hyperlink"/>
          </w:rPr>
          <w:t>BESCHÄFTIGUNG, SOZIALFRAGEN, UNIONSBÜRGERSCHAFT</w:t>
        </w:r>
        <w:r w:rsidR="00DE1B66">
          <w:rPr>
            <w:webHidden/>
          </w:rPr>
          <w:tab/>
        </w:r>
        <w:r w:rsidR="00DE1B66">
          <w:rPr>
            <w:webHidden/>
          </w:rPr>
          <w:fldChar w:fldCharType="begin"/>
        </w:r>
        <w:r w:rsidR="00DE1B66">
          <w:rPr>
            <w:webHidden/>
          </w:rPr>
          <w:instrText xml:space="preserve"> PAGEREF _Toc172124199 \h </w:instrText>
        </w:r>
        <w:r w:rsidR="00DE1B66">
          <w:rPr>
            <w:webHidden/>
          </w:rPr>
        </w:r>
        <w:r w:rsidR="00DE1B66">
          <w:rPr>
            <w:webHidden/>
          </w:rPr>
          <w:fldChar w:fldCharType="separate"/>
        </w:r>
        <w:r w:rsidR="00DE1B66">
          <w:rPr>
            <w:webHidden/>
          </w:rPr>
          <w:t>5</w:t>
        </w:r>
        <w:r w:rsidR="00DE1B66">
          <w:rPr>
            <w:webHidden/>
          </w:rPr>
          <w:fldChar w:fldCharType="end"/>
        </w:r>
      </w:hyperlink>
    </w:p>
    <w:p w:rsidR="00DE1B66" w:rsidRDefault="003C01AD" w14:paraId="1409136C" w14:textId="773FE9F8">
      <w:pPr>
        <w:pStyle w:val="TOC1"/>
        <w:rPr>
          <w:rFonts w:asciiTheme="minorHAnsi" w:hAnsiTheme="minorHAnsi" w:eastAsiaTheme="minorEastAsia" w:cstheme="minorBidi"/>
          <w:b w:val="0"/>
          <w:sz w:val="22"/>
          <w:szCs w:val="22"/>
          <w:lang w:val="en-US"/>
        </w:rPr>
      </w:pPr>
      <w:hyperlink w:history="1" w:anchor="_Toc172124200">
        <w:r w:rsidRPr="00080343" w:rsidR="00DE1B66">
          <w:rPr>
            <w:rStyle w:val="Hyperlink"/>
          </w:rPr>
          <w:t>4.</w:t>
        </w:r>
        <w:r w:rsidR="00DE1B66">
          <w:rPr>
            <w:rFonts w:asciiTheme="minorHAnsi" w:hAnsiTheme="minorHAnsi" w:eastAsiaTheme="minorEastAsia" w:cstheme="minorBidi"/>
            <w:b w:val="0"/>
            <w:sz w:val="22"/>
            <w:szCs w:val="22"/>
            <w:lang w:val="en-US"/>
          </w:rPr>
          <w:tab/>
        </w:r>
        <w:r w:rsidRPr="00080343" w:rsidR="00DE1B66">
          <w:rPr>
            <w:rStyle w:val="Hyperlink"/>
          </w:rPr>
          <w:t>BINNENMARKT, PRODUKTION, VERBRAUCH</w:t>
        </w:r>
        <w:r w:rsidR="00DE1B66">
          <w:rPr>
            <w:webHidden/>
          </w:rPr>
          <w:tab/>
        </w:r>
        <w:r w:rsidR="00DE1B66">
          <w:rPr>
            <w:webHidden/>
          </w:rPr>
          <w:fldChar w:fldCharType="begin"/>
        </w:r>
        <w:r w:rsidR="00DE1B66">
          <w:rPr>
            <w:webHidden/>
          </w:rPr>
          <w:instrText xml:space="preserve"> PAGEREF _Toc172124200 \h </w:instrText>
        </w:r>
        <w:r w:rsidR="00DE1B66">
          <w:rPr>
            <w:webHidden/>
          </w:rPr>
        </w:r>
        <w:r w:rsidR="00DE1B66">
          <w:rPr>
            <w:webHidden/>
          </w:rPr>
          <w:fldChar w:fldCharType="separate"/>
        </w:r>
        <w:r w:rsidR="00DE1B66">
          <w:rPr>
            <w:webHidden/>
          </w:rPr>
          <w:t>9</w:t>
        </w:r>
        <w:r w:rsidR="00DE1B66">
          <w:rPr>
            <w:webHidden/>
          </w:rPr>
          <w:fldChar w:fldCharType="end"/>
        </w:r>
      </w:hyperlink>
    </w:p>
    <w:p w:rsidR="00DE1B66" w:rsidRDefault="003C01AD" w14:paraId="3B3ACD3B" w14:textId="1AD6976C">
      <w:pPr>
        <w:pStyle w:val="TOC1"/>
        <w:rPr>
          <w:rFonts w:asciiTheme="minorHAnsi" w:hAnsiTheme="minorHAnsi" w:eastAsiaTheme="minorEastAsia" w:cstheme="minorBidi"/>
          <w:b w:val="0"/>
          <w:sz w:val="22"/>
          <w:szCs w:val="22"/>
          <w:lang w:val="en-US"/>
        </w:rPr>
      </w:pPr>
      <w:hyperlink w:history="1" w:anchor="_Toc172124201">
        <w:r w:rsidRPr="00080343" w:rsidR="00DE1B66">
          <w:rPr>
            <w:rStyle w:val="Hyperlink"/>
          </w:rPr>
          <w:t>5.</w:t>
        </w:r>
        <w:r w:rsidR="00DE1B66">
          <w:rPr>
            <w:rFonts w:asciiTheme="minorHAnsi" w:hAnsiTheme="minorHAnsi" w:eastAsiaTheme="minorEastAsia" w:cstheme="minorBidi"/>
            <w:b w:val="0"/>
            <w:sz w:val="22"/>
            <w:szCs w:val="22"/>
            <w:lang w:val="en-US"/>
          </w:rPr>
          <w:tab/>
        </w:r>
        <w:r w:rsidRPr="00080343" w:rsidR="00DE1B66">
          <w:rPr>
            <w:rStyle w:val="Hyperlink"/>
          </w:rPr>
          <w:t>LANDWIRTSCHAFT, LÄNDLICHE ENTWICKLUNG, UMWELT</w:t>
        </w:r>
        <w:r w:rsidR="00DE1B66">
          <w:rPr>
            <w:webHidden/>
          </w:rPr>
          <w:tab/>
        </w:r>
        <w:r w:rsidR="00DE1B66">
          <w:rPr>
            <w:webHidden/>
          </w:rPr>
          <w:fldChar w:fldCharType="begin"/>
        </w:r>
        <w:r w:rsidR="00DE1B66">
          <w:rPr>
            <w:webHidden/>
          </w:rPr>
          <w:instrText xml:space="preserve"> PAGEREF _Toc172124201 \h </w:instrText>
        </w:r>
        <w:r w:rsidR="00DE1B66">
          <w:rPr>
            <w:webHidden/>
          </w:rPr>
        </w:r>
        <w:r w:rsidR="00DE1B66">
          <w:rPr>
            <w:webHidden/>
          </w:rPr>
          <w:fldChar w:fldCharType="separate"/>
        </w:r>
        <w:r w:rsidR="00DE1B66">
          <w:rPr>
            <w:webHidden/>
          </w:rPr>
          <w:t>10</w:t>
        </w:r>
        <w:r w:rsidR="00DE1B66">
          <w:rPr>
            <w:webHidden/>
          </w:rPr>
          <w:fldChar w:fldCharType="end"/>
        </w:r>
      </w:hyperlink>
    </w:p>
    <w:p w:rsidR="00DE1B66" w:rsidRDefault="003C01AD" w14:paraId="59E036B6" w14:textId="3DD26F43">
      <w:pPr>
        <w:pStyle w:val="TOC1"/>
        <w:rPr>
          <w:rFonts w:asciiTheme="minorHAnsi" w:hAnsiTheme="minorHAnsi" w:eastAsiaTheme="minorEastAsia" w:cstheme="minorBidi"/>
          <w:b w:val="0"/>
          <w:sz w:val="22"/>
          <w:szCs w:val="22"/>
          <w:lang w:val="en-US"/>
        </w:rPr>
      </w:pPr>
      <w:hyperlink w:history="1" w:anchor="_Toc172124202">
        <w:r w:rsidRPr="00080343" w:rsidR="00DE1B66">
          <w:rPr>
            <w:rStyle w:val="Hyperlink"/>
          </w:rPr>
          <w:t>6.</w:t>
        </w:r>
        <w:r w:rsidR="00DE1B66">
          <w:rPr>
            <w:rFonts w:asciiTheme="minorHAnsi" w:hAnsiTheme="minorHAnsi" w:eastAsiaTheme="minorEastAsia" w:cstheme="minorBidi"/>
            <w:b w:val="0"/>
            <w:sz w:val="22"/>
            <w:szCs w:val="22"/>
            <w:lang w:val="en-US"/>
          </w:rPr>
          <w:tab/>
        </w:r>
        <w:r w:rsidRPr="00080343" w:rsidR="00DE1B66">
          <w:rPr>
            <w:rStyle w:val="Hyperlink"/>
          </w:rPr>
          <w:t>AUẞENBEZIEHUNGEN</w:t>
        </w:r>
        <w:r w:rsidR="00DE1B66">
          <w:rPr>
            <w:webHidden/>
          </w:rPr>
          <w:tab/>
        </w:r>
        <w:r w:rsidR="00DE1B66">
          <w:rPr>
            <w:webHidden/>
          </w:rPr>
          <w:fldChar w:fldCharType="begin"/>
        </w:r>
        <w:r w:rsidR="00DE1B66">
          <w:rPr>
            <w:webHidden/>
          </w:rPr>
          <w:instrText xml:space="preserve"> PAGEREF _Toc172124202 \h </w:instrText>
        </w:r>
        <w:r w:rsidR="00DE1B66">
          <w:rPr>
            <w:webHidden/>
          </w:rPr>
        </w:r>
        <w:r w:rsidR="00DE1B66">
          <w:rPr>
            <w:webHidden/>
          </w:rPr>
          <w:fldChar w:fldCharType="separate"/>
        </w:r>
        <w:r w:rsidR="00DE1B66">
          <w:rPr>
            <w:webHidden/>
          </w:rPr>
          <w:t>12</w:t>
        </w:r>
        <w:r w:rsidR="00DE1B66">
          <w:rPr>
            <w:webHidden/>
          </w:rPr>
          <w:fldChar w:fldCharType="end"/>
        </w:r>
      </w:hyperlink>
    </w:p>
    <w:p w:rsidR="00DE1B66" w:rsidRDefault="003C01AD" w14:paraId="099FBBA3" w14:textId="5C8D2150">
      <w:pPr>
        <w:pStyle w:val="TOC1"/>
        <w:rPr>
          <w:rFonts w:asciiTheme="minorHAnsi" w:hAnsiTheme="minorHAnsi" w:eastAsiaTheme="minorEastAsia" w:cstheme="minorBidi"/>
          <w:b w:val="0"/>
          <w:sz w:val="22"/>
          <w:szCs w:val="22"/>
          <w:lang w:val="en-US"/>
        </w:rPr>
      </w:pPr>
      <w:hyperlink w:history="1" w:anchor="_Toc172124203">
        <w:r w:rsidRPr="00080343" w:rsidR="00DE1B66">
          <w:rPr>
            <w:rStyle w:val="Hyperlink"/>
          </w:rPr>
          <w:t>7.</w:t>
        </w:r>
        <w:r w:rsidR="00DE1B66">
          <w:rPr>
            <w:rFonts w:asciiTheme="minorHAnsi" w:hAnsiTheme="minorHAnsi" w:eastAsiaTheme="minorEastAsia" w:cstheme="minorBidi"/>
            <w:b w:val="0"/>
            <w:sz w:val="22"/>
            <w:szCs w:val="22"/>
            <w:lang w:val="en-US"/>
          </w:rPr>
          <w:tab/>
        </w:r>
        <w:r w:rsidRPr="00080343" w:rsidR="00DE1B66">
          <w:rPr>
            <w:rStyle w:val="Hyperlink"/>
          </w:rPr>
          <w:t>VERKEHR, ENERGIE, INFRASTRUKTUREN, INFORMATIONSGESELLSCHAFT</w:t>
        </w:r>
        <w:r w:rsidR="00DE1B66">
          <w:rPr>
            <w:webHidden/>
          </w:rPr>
          <w:tab/>
        </w:r>
        <w:r w:rsidR="00DE1B66">
          <w:rPr>
            <w:webHidden/>
          </w:rPr>
          <w:fldChar w:fldCharType="begin"/>
        </w:r>
        <w:r w:rsidR="00DE1B66">
          <w:rPr>
            <w:webHidden/>
          </w:rPr>
          <w:instrText xml:space="preserve"> PAGEREF _Toc172124203 \h </w:instrText>
        </w:r>
        <w:r w:rsidR="00DE1B66">
          <w:rPr>
            <w:webHidden/>
          </w:rPr>
        </w:r>
        <w:r w:rsidR="00DE1B66">
          <w:rPr>
            <w:webHidden/>
          </w:rPr>
          <w:fldChar w:fldCharType="separate"/>
        </w:r>
        <w:r w:rsidR="00DE1B66">
          <w:rPr>
            <w:webHidden/>
          </w:rPr>
          <w:t>14</w:t>
        </w:r>
        <w:r w:rsidR="00DE1B66">
          <w:rPr>
            <w:webHidden/>
          </w:rPr>
          <w:fldChar w:fldCharType="end"/>
        </w:r>
      </w:hyperlink>
    </w:p>
    <w:p w:rsidR="00DE1B66" w:rsidRDefault="003C01AD" w14:paraId="4FEE15AF" w14:textId="45B1EA88">
      <w:pPr>
        <w:pStyle w:val="TOC1"/>
        <w:rPr>
          <w:rFonts w:asciiTheme="minorHAnsi" w:hAnsiTheme="minorHAnsi" w:eastAsiaTheme="minorEastAsia" w:cstheme="minorBidi"/>
          <w:b w:val="0"/>
          <w:sz w:val="22"/>
          <w:szCs w:val="22"/>
          <w:lang w:val="en-US"/>
        </w:rPr>
      </w:pPr>
      <w:hyperlink w:history="1" w:anchor="_Toc172124204">
        <w:r w:rsidRPr="00080343" w:rsidR="00DE1B66">
          <w:rPr>
            <w:rStyle w:val="Hyperlink"/>
          </w:rPr>
          <w:t xml:space="preserve">8. </w:t>
        </w:r>
        <w:r w:rsidR="00DE1B66">
          <w:rPr>
            <w:rFonts w:asciiTheme="minorHAnsi" w:hAnsiTheme="minorHAnsi" w:eastAsiaTheme="minorEastAsia" w:cstheme="minorBidi"/>
            <w:b w:val="0"/>
            <w:sz w:val="22"/>
            <w:szCs w:val="22"/>
            <w:lang w:val="en-US"/>
          </w:rPr>
          <w:tab/>
        </w:r>
        <w:r w:rsidRPr="00080343" w:rsidR="00DE1B66">
          <w:rPr>
            <w:rStyle w:val="Hyperlink"/>
          </w:rPr>
          <w:t>BERATENDE KOMMISSION FÜR DEN INDUSTRIELLEN WANDEL</w:t>
        </w:r>
        <w:r w:rsidR="00DE1B66">
          <w:rPr>
            <w:webHidden/>
          </w:rPr>
          <w:tab/>
        </w:r>
        <w:r w:rsidR="00DE1B66">
          <w:rPr>
            <w:webHidden/>
          </w:rPr>
          <w:fldChar w:fldCharType="begin"/>
        </w:r>
        <w:r w:rsidR="00DE1B66">
          <w:rPr>
            <w:webHidden/>
          </w:rPr>
          <w:instrText xml:space="preserve"> PAGEREF _Toc172124204 \h </w:instrText>
        </w:r>
        <w:r w:rsidR="00DE1B66">
          <w:rPr>
            <w:webHidden/>
          </w:rPr>
        </w:r>
        <w:r w:rsidR="00DE1B66">
          <w:rPr>
            <w:webHidden/>
          </w:rPr>
          <w:fldChar w:fldCharType="separate"/>
        </w:r>
        <w:r w:rsidR="00DE1B66">
          <w:rPr>
            <w:webHidden/>
          </w:rPr>
          <w:t>15</w:t>
        </w:r>
        <w:r w:rsidR="00DE1B66">
          <w:rPr>
            <w:webHidden/>
          </w:rPr>
          <w:fldChar w:fldCharType="end"/>
        </w:r>
      </w:hyperlink>
    </w:p>
    <w:p w:rsidR="00C86ABD" w:rsidRDefault="0014322B" w14:paraId="4EDE006A" w14:textId="7BC2C0A0">
      <w:pPr>
        <w:jc w:val="left"/>
      </w:pPr>
      <w:r>
        <w:fldChar w:fldCharType="end"/>
      </w:r>
      <w:r>
        <w:br w:type="page"/>
      </w:r>
    </w:p>
    <w:p w:rsidR="00C86ABD" w:rsidP="004F610C" w:rsidRDefault="00C86ABD" w14:paraId="6C806385" w14:textId="0970C9A4">
      <w:pPr>
        <w:pStyle w:val="Heading1"/>
        <w:spacing w:before="0" w:line="264" w:lineRule="auto"/>
        <w:ind w:left="709" w:hanging="720"/>
        <w:rPr>
          <w:b/>
          <w:bCs/>
        </w:rPr>
      </w:pPr>
      <w:bookmarkStart w:name="_Toc172124197" w:id="0"/>
      <w:r>
        <w:rPr>
          <w:b/>
        </w:rPr>
        <w:lastRenderedPageBreak/>
        <w:t>ENTSCHLIEẞUNG</w:t>
      </w:r>
      <w:bookmarkEnd w:id="0"/>
      <w:r>
        <w:rPr>
          <w:b/>
        </w:rPr>
        <w:t xml:space="preserve"> </w:t>
      </w:r>
    </w:p>
    <w:p w:rsidRPr="004516BD" w:rsidR="004516BD" w:rsidP="004F610C" w:rsidRDefault="004516BD" w14:paraId="46F44DDA" w14:textId="77777777">
      <w:pPr>
        <w:spacing w:line="264" w:lineRule="auto"/>
      </w:pPr>
    </w:p>
    <w:p w:rsidRPr="00A773FA" w:rsidR="00A773FA" w:rsidP="004F610C" w:rsidRDefault="003C01AD" w14:paraId="53AAF1F5" w14:textId="69A861C9">
      <w:pPr>
        <w:numPr>
          <w:ilvl w:val="0"/>
          <w:numId w:val="26"/>
        </w:numPr>
        <w:overflowPunct w:val="0"/>
        <w:autoSpaceDE w:val="0"/>
        <w:autoSpaceDN w:val="0"/>
        <w:adjustRightInd w:val="0"/>
        <w:spacing w:line="264" w:lineRule="auto"/>
        <w:ind w:left="567" w:right="-285" w:hanging="567"/>
        <w:contextualSpacing/>
        <w:jc w:val="left"/>
        <w:textAlignment w:val="baseline"/>
        <w:rPr>
          <w:b/>
          <w:bCs/>
          <w:i/>
          <w:iCs/>
          <w:sz w:val="28"/>
          <w:szCs w:val="28"/>
        </w:rPr>
      </w:pPr>
      <w:hyperlink w:history="1" r:id="rId15">
        <w:r w:rsidR="00DC054C">
          <w:rPr>
            <w:b/>
            <w:i/>
            <w:color w:val="0000FF"/>
            <w:sz w:val="28"/>
            <w:u w:val="single"/>
          </w:rPr>
          <w:t>Niemand darf zurückgelassen werden!</w:t>
        </w:r>
      </w:hyperlink>
      <w:hyperlink w:history="1" r:id="rId16">
        <w:r w:rsidR="00DC054C">
          <w:rPr>
            <w:b/>
            <w:i/>
            <w:color w:val="0000FF"/>
            <w:sz w:val="28"/>
            <w:u w:val="single"/>
          </w:rPr>
          <w:t xml:space="preserve"> Für eine inklusive und partizipative Kohäsionspolitik zur Förderung des sozialen, wirtschaftlichen und territorialen Zusammenhalts</w:t>
        </w:r>
      </w:hyperlink>
    </w:p>
    <w:p w:rsidRPr="00A773FA" w:rsidR="00A773FA" w:rsidP="004F610C" w:rsidRDefault="00A773FA" w14:paraId="60111A05" w14:textId="77777777">
      <w:pPr>
        <w:overflowPunct w:val="0"/>
        <w:autoSpaceDE w:val="0"/>
        <w:autoSpaceDN w:val="0"/>
        <w:adjustRightInd w:val="0"/>
        <w:spacing w:line="264" w:lineRule="auto"/>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7"/>
        <w:gridCol w:w="6703"/>
      </w:tblGrid>
      <w:tr w:rsidRPr="00A773FA" w:rsidR="00A773FA" w:rsidTr="001F4854" w14:paraId="26A7967B" w14:textId="77777777">
        <w:tc>
          <w:tcPr>
            <w:tcW w:w="1143" w:type="pct"/>
          </w:tcPr>
          <w:p w:rsidRPr="00A773FA" w:rsidR="00A773FA" w:rsidP="004F610C" w:rsidRDefault="00A773FA" w14:paraId="0B201FBD" w14:textId="77777777">
            <w:pPr>
              <w:tabs>
                <w:tab w:val="center" w:pos="284"/>
              </w:tabs>
              <w:overflowPunct w:val="0"/>
              <w:autoSpaceDE w:val="0"/>
              <w:autoSpaceDN w:val="0"/>
              <w:adjustRightInd w:val="0"/>
              <w:spacing w:line="264" w:lineRule="auto"/>
              <w:ind w:left="266" w:hanging="266"/>
              <w:textAlignment w:val="baseline"/>
              <w:rPr>
                <w:b/>
              </w:rPr>
            </w:pPr>
            <w:r>
              <w:rPr>
                <w:b/>
              </w:rPr>
              <w:t>Berichterstatter</w:t>
            </w:r>
          </w:p>
        </w:tc>
        <w:tc>
          <w:tcPr>
            <w:tcW w:w="3857" w:type="pct"/>
          </w:tcPr>
          <w:p w:rsidRPr="00A773FA" w:rsidR="00A773FA" w:rsidP="004F610C" w:rsidRDefault="00A773FA" w14:paraId="6A6E5B0B" w14:textId="77777777">
            <w:pPr>
              <w:overflowPunct w:val="0"/>
              <w:autoSpaceDE w:val="0"/>
              <w:autoSpaceDN w:val="0"/>
              <w:adjustRightInd w:val="0"/>
              <w:spacing w:line="264" w:lineRule="auto"/>
              <w:textAlignment w:val="baseline"/>
            </w:pPr>
            <w:r>
              <w:t>Ioannis VARDAKASTANIS (Gruppe Organisationen der Zivilgesellschaft – EL)</w:t>
            </w:r>
          </w:p>
        </w:tc>
      </w:tr>
      <w:tr w:rsidRPr="00A773FA" w:rsidR="00A773FA" w:rsidTr="001F4854" w14:paraId="138FE1BF" w14:textId="77777777">
        <w:tc>
          <w:tcPr>
            <w:tcW w:w="5000" w:type="pct"/>
            <w:gridSpan w:val="2"/>
          </w:tcPr>
          <w:p w:rsidRPr="00A773FA" w:rsidR="00A773FA" w:rsidP="004F610C" w:rsidRDefault="00A773FA" w14:paraId="0644AC3A" w14:textId="77777777">
            <w:pPr>
              <w:tabs>
                <w:tab w:val="center" w:pos="284"/>
              </w:tabs>
              <w:overflowPunct w:val="0"/>
              <w:autoSpaceDE w:val="0"/>
              <w:autoSpaceDN w:val="0"/>
              <w:adjustRightInd w:val="0"/>
              <w:spacing w:line="264" w:lineRule="auto"/>
              <w:ind w:left="266" w:hanging="266"/>
              <w:textAlignment w:val="baseline"/>
            </w:pPr>
          </w:p>
        </w:tc>
      </w:tr>
      <w:tr w:rsidRPr="00A773FA" w:rsidR="00A773FA" w:rsidTr="001F4854" w14:paraId="77930193" w14:textId="77777777">
        <w:tc>
          <w:tcPr>
            <w:tcW w:w="1143" w:type="pct"/>
          </w:tcPr>
          <w:p w:rsidRPr="00A773FA" w:rsidR="00A773FA" w:rsidP="004F610C" w:rsidRDefault="00A773FA" w14:paraId="11D42A77" w14:textId="77777777">
            <w:pPr>
              <w:tabs>
                <w:tab w:val="center" w:pos="284"/>
              </w:tabs>
              <w:overflowPunct w:val="0"/>
              <w:autoSpaceDE w:val="0"/>
              <w:autoSpaceDN w:val="0"/>
              <w:adjustRightInd w:val="0"/>
              <w:spacing w:line="264" w:lineRule="auto"/>
              <w:ind w:left="266" w:hanging="266"/>
              <w:textAlignment w:val="baseline"/>
              <w:rPr>
                <w:b/>
              </w:rPr>
            </w:pPr>
            <w:r>
              <w:rPr>
                <w:b/>
              </w:rPr>
              <w:t>Referenzdokument</w:t>
            </w:r>
          </w:p>
        </w:tc>
        <w:tc>
          <w:tcPr>
            <w:tcW w:w="3857" w:type="pct"/>
          </w:tcPr>
          <w:p w:rsidRPr="00A773FA" w:rsidR="00A773FA" w:rsidP="004F610C" w:rsidRDefault="00A773FA" w14:paraId="136DD50D" w14:textId="77777777">
            <w:pPr>
              <w:tabs>
                <w:tab w:val="center" w:pos="284"/>
              </w:tabs>
              <w:overflowPunct w:val="0"/>
              <w:autoSpaceDE w:val="0"/>
              <w:autoSpaceDN w:val="0"/>
              <w:adjustRightInd w:val="0"/>
              <w:spacing w:line="264" w:lineRule="auto"/>
              <w:ind w:left="266" w:hanging="266"/>
              <w:textAlignment w:val="baseline"/>
            </w:pPr>
            <w:r>
              <w:t>EESC-2024-02528-00-00-RES</w:t>
            </w:r>
          </w:p>
        </w:tc>
      </w:tr>
    </w:tbl>
    <w:p w:rsidRPr="00A773FA" w:rsidR="00A773FA" w:rsidP="004F610C" w:rsidRDefault="00A773FA" w14:paraId="5DB06AE6" w14:textId="77777777">
      <w:pPr>
        <w:overflowPunct w:val="0"/>
        <w:autoSpaceDE w:val="0"/>
        <w:autoSpaceDN w:val="0"/>
        <w:adjustRightInd w:val="0"/>
        <w:spacing w:line="264" w:lineRule="auto"/>
        <w:textAlignment w:val="baseline"/>
        <w:rPr>
          <w:b/>
          <w:iCs/>
        </w:rPr>
      </w:pPr>
    </w:p>
    <w:p w:rsidR="00A773FA" w:rsidP="004F610C" w:rsidRDefault="00A773FA" w14:paraId="5401D531" w14:textId="25CF0778">
      <w:pPr>
        <w:overflowPunct w:val="0"/>
        <w:autoSpaceDE w:val="0"/>
        <w:autoSpaceDN w:val="0"/>
        <w:adjustRightInd w:val="0"/>
        <w:spacing w:line="264" w:lineRule="auto"/>
        <w:textAlignment w:val="baseline"/>
        <w:rPr>
          <w:bCs/>
          <w:iCs/>
        </w:rPr>
      </w:pPr>
      <w:r>
        <w:t>Der EWSA</w:t>
      </w:r>
    </w:p>
    <w:p w:rsidRPr="00A773FA" w:rsidR="00A773FA" w:rsidP="004F610C" w:rsidRDefault="00A773FA" w14:paraId="655C9842" w14:textId="04A13596">
      <w:pPr>
        <w:numPr>
          <w:ilvl w:val="0"/>
          <w:numId w:val="34"/>
        </w:numPr>
        <w:overflowPunct w:val="0"/>
        <w:autoSpaceDE w:val="0"/>
        <w:autoSpaceDN w:val="0"/>
        <w:adjustRightInd w:val="0"/>
        <w:spacing w:line="264" w:lineRule="auto"/>
        <w:ind w:left="284" w:hanging="284"/>
        <w:contextualSpacing/>
        <w:textAlignment w:val="baseline"/>
        <w:rPr>
          <w:bCs/>
        </w:rPr>
      </w:pPr>
      <w:r>
        <w:t>fordert die Mitgliedstaaten der Europäischen Union und ihre politischen Führungsspitzen, die EU</w:t>
      </w:r>
      <w:r w:rsidR="004F610C">
        <w:noBreakHyphen/>
      </w:r>
      <w:r>
        <w:t>Organe und die Bürgerinnen und Bürger auf, den wirtschaftlichen, sozialen und territorialen Zusammenhalt der EU gemäß Artikel 174 AEUV zu wahren und zu schützen;</w:t>
      </w:r>
    </w:p>
    <w:p w:rsidRPr="00A773FA" w:rsidR="00A773FA" w:rsidP="004F610C" w:rsidRDefault="00A773FA" w14:paraId="2C4A058D" w14:textId="77777777">
      <w:pPr>
        <w:numPr>
          <w:ilvl w:val="0"/>
          <w:numId w:val="34"/>
        </w:numPr>
        <w:overflowPunct w:val="0"/>
        <w:autoSpaceDE w:val="0"/>
        <w:autoSpaceDN w:val="0"/>
        <w:adjustRightInd w:val="0"/>
        <w:spacing w:line="264" w:lineRule="auto"/>
        <w:ind w:left="284" w:hanging="284"/>
        <w:contextualSpacing/>
        <w:textAlignment w:val="baseline"/>
        <w:rPr>
          <w:bCs/>
        </w:rPr>
      </w:pPr>
      <w:r>
        <w:t xml:space="preserve">betont, dass das Grundprinzip, niemanden zurückzulassen, in der Kohäsionspolitik nach wie vor uneingeschränkte Gültigkeit hat und die zivilgesellschaftlichen Partner bereit sind, ihre Arbeit im Sinne dieses Grundsatzes durch eine starke Investitionspolitik der EU fortzusetzen; </w:t>
      </w:r>
    </w:p>
    <w:p w:rsidRPr="00A773FA" w:rsidR="00A773FA" w:rsidP="004F610C" w:rsidRDefault="00A773FA" w14:paraId="2EC3C971" w14:textId="77777777">
      <w:pPr>
        <w:numPr>
          <w:ilvl w:val="0"/>
          <w:numId w:val="34"/>
        </w:numPr>
        <w:overflowPunct w:val="0"/>
        <w:autoSpaceDE w:val="0"/>
        <w:autoSpaceDN w:val="0"/>
        <w:adjustRightInd w:val="0"/>
        <w:spacing w:line="264" w:lineRule="auto"/>
        <w:ind w:left="284" w:hanging="284"/>
        <w:contextualSpacing/>
        <w:textAlignment w:val="baseline"/>
        <w:rPr>
          <w:bCs/>
        </w:rPr>
      </w:pPr>
      <w:r>
        <w:t>unterstreicht, dass sich ungleiche Chancen langfristig nachteilig auf das Wachstum und die Wettbewerbsfähigkeit auf regionaler, nationaler und EU-Ebene auswirken können. Die Kohäsionspolitik muss daher stärker diversifiziert und flexibler gestaltet werden, gleichzeitig aber auch glaubwürdig, verlässlich, stabil und klar sein, damit den Menschen, insbesondere den schutzbedürftigsten, mehr Aufmerksamkeit geschenkt und die Chancenungleichheit, der viele ausgesetzt sind, besser bekämpft werden kann;</w:t>
      </w:r>
    </w:p>
    <w:p w:rsidRPr="00A773FA" w:rsidR="00A773FA" w:rsidP="004F610C" w:rsidRDefault="00A773FA" w14:paraId="2813B803" w14:textId="77777777">
      <w:pPr>
        <w:numPr>
          <w:ilvl w:val="0"/>
          <w:numId w:val="34"/>
        </w:numPr>
        <w:overflowPunct w:val="0"/>
        <w:autoSpaceDE w:val="0"/>
        <w:autoSpaceDN w:val="0"/>
        <w:adjustRightInd w:val="0"/>
        <w:spacing w:line="264" w:lineRule="auto"/>
        <w:ind w:left="284" w:hanging="284"/>
        <w:contextualSpacing/>
        <w:textAlignment w:val="baseline"/>
        <w:rPr>
          <w:bCs/>
        </w:rPr>
      </w:pPr>
      <w:r>
        <w:t xml:space="preserve">sieht die Abschaffung des Amtes eines speziell für die Kohäsionspolitik zuständigen Kommissionsmitglieds kritisch; </w:t>
      </w:r>
    </w:p>
    <w:p w:rsidRPr="00A773FA" w:rsidR="00A773FA" w:rsidP="004F610C" w:rsidRDefault="00A773FA" w14:paraId="17871B44" w14:textId="77777777">
      <w:pPr>
        <w:numPr>
          <w:ilvl w:val="0"/>
          <w:numId w:val="34"/>
        </w:numPr>
        <w:overflowPunct w:val="0"/>
        <w:autoSpaceDE w:val="0"/>
        <w:autoSpaceDN w:val="0"/>
        <w:adjustRightInd w:val="0"/>
        <w:spacing w:line="264" w:lineRule="auto"/>
        <w:ind w:left="284" w:hanging="284"/>
        <w:contextualSpacing/>
        <w:textAlignment w:val="baseline"/>
        <w:rPr>
          <w:bCs/>
        </w:rPr>
      </w:pPr>
      <w:r>
        <w:t>ist gegen Kürzungen bei der Kohäsionspolitik und ihre Umgestaltung in ein Instrument zur Bewältigung von Krisen- und Notfällen;</w:t>
      </w:r>
    </w:p>
    <w:p w:rsidRPr="00A773FA" w:rsidR="00A773FA" w:rsidP="004F610C" w:rsidRDefault="00A773FA" w14:paraId="352DC0D1" w14:textId="77777777">
      <w:pPr>
        <w:numPr>
          <w:ilvl w:val="0"/>
          <w:numId w:val="34"/>
        </w:numPr>
        <w:overflowPunct w:val="0"/>
        <w:autoSpaceDE w:val="0"/>
        <w:autoSpaceDN w:val="0"/>
        <w:adjustRightInd w:val="0"/>
        <w:spacing w:line="264" w:lineRule="auto"/>
        <w:ind w:left="284" w:hanging="284"/>
        <w:contextualSpacing/>
        <w:textAlignment w:val="baseline"/>
        <w:rPr>
          <w:bCs/>
        </w:rPr>
      </w:pPr>
      <w:r>
        <w:t xml:space="preserve">lehnt den Vorschlag ab, die Kohäsionspolitik in ein der Aufbau- und </w:t>
      </w:r>
      <w:proofErr w:type="spellStart"/>
      <w:r>
        <w:t>Resilienzfazilität</w:t>
      </w:r>
      <w:proofErr w:type="spellEnd"/>
      <w:r>
        <w:t xml:space="preserve"> vergleichbares Instrument umzuwandeln, bei dem die Interessenträger, die geteilte Mittelverwaltung und die Multi-Level-</w:t>
      </w:r>
      <w:proofErr w:type="spellStart"/>
      <w:r>
        <w:t>Governance</w:t>
      </w:r>
      <w:proofErr w:type="spellEnd"/>
      <w:r>
        <w:t xml:space="preserve"> kaum eine bzw. gar keine Rolle spielen; </w:t>
      </w:r>
    </w:p>
    <w:p w:rsidRPr="00A773FA" w:rsidR="00A773FA" w:rsidP="004F610C" w:rsidRDefault="00A773FA" w14:paraId="374AE5D9" w14:textId="77777777">
      <w:pPr>
        <w:numPr>
          <w:ilvl w:val="0"/>
          <w:numId w:val="34"/>
        </w:numPr>
        <w:overflowPunct w:val="0"/>
        <w:autoSpaceDE w:val="0"/>
        <w:autoSpaceDN w:val="0"/>
        <w:adjustRightInd w:val="0"/>
        <w:spacing w:line="264" w:lineRule="auto"/>
        <w:ind w:left="284" w:hanging="284"/>
        <w:contextualSpacing/>
        <w:textAlignment w:val="baseline"/>
        <w:rPr>
          <w:bCs/>
        </w:rPr>
      </w:pPr>
      <w:r>
        <w:t>spricht sich für das Partnerschaftsprinzip und klare Regeln für die Einbeziehung der Zivilgesellschaft in die Auswahl, Steuerung und Überwachung EU-finanzierter Maßnahmen aus;</w:t>
      </w:r>
    </w:p>
    <w:p w:rsidRPr="00A773FA" w:rsidR="00A773FA" w:rsidP="004F610C" w:rsidRDefault="00A773FA" w14:paraId="4F607A17" w14:textId="77777777">
      <w:pPr>
        <w:numPr>
          <w:ilvl w:val="0"/>
          <w:numId w:val="34"/>
        </w:numPr>
        <w:overflowPunct w:val="0"/>
        <w:autoSpaceDE w:val="0"/>
        <w:autoSpaceDN w:val="0"/>
        <w:adjustRightInd w:val="0"/>
        <w:spacing w:line="264" w:lineRule="auto"/>
        <w:ind w:left="284" w:hanging="284"/>
        <w:contextualSpacing/>
        <w:textAlignment w:val="baseline"/>
        <w:rPr>
          <w:bCs/>
        </w:rPr>
      </w:pPr>
      <w:r>
        <w:t>fordert entschieden formulierte Bestimmungen über die Einbeziehung der Zivilgesellschaft in der nächsten Dachverordnung zur Regelung der Verwendung von Kohäsionsfondsmitteln und anderen EU-Fördermitteln nach 2027, wie dies auch im Zeitraum 2021–2027 der Fall war;</w:t>
      </w:r>
    </w:p>
    <w:p w:rsidRPr="00A773FA" w:rsidR="00A773FA" w:rsidP="004F610C" w:rsidRDefault="00A773FA" w14:paraId="4338B067" w14:textId="77777777">
      <w:pPr>
        <w:numPr>
          <w:ilvl w:val="0"/>
          <w:numId w:val="34"/>
        </w:numPr>
        <w:overflowPunct w:val="0"/>
        <w:autoSpaceDE w:val="0"/>
        <w:autoSpaceDN w:val="0"/>
        <w:adjustRightInd w:val="0"/>
        <w:spacing w:line="264" w:lineRule="auto"/>
        <w:ind w:left="284" w:hanging="284"/>
        <w:contextualSpacing/>
        <w:textAlignment w:val="baseline"/>
        <w:rPr>
          <w:bCs/>
        </w:rPr>
      </w:pPr>
      <w:r>
        <w:t>fordert eine Kohäsionspolitik, die ortsbezogen und menschenorientiert ist;</w:t>
      </w:r>
    </w:p>
    <w:p w:rsidRPr="00A773FA" w:rsidR="00A773FA" w:rsidP="004F610C" w:rsidRDefault="00A773FA" w14:paraId="70D43668" w14:textId="77777777">
      <w:pPr>
        <w:numPr>
          <w:ilvl w:val="0"/>
          <w:numId w:val="34"/>
        </w:numPr>
        <w:overflowPunct w:val="0"/>
        <w:autoSpaceDE w:val="0"/>
        <w:autoSpaceDN w:val="0"/>
        <w:adjustRightInd w:val="0"/>
        <w:spacing w:line="264" w:lineRule="auto"/>
        <w:ind w:left="284" w:hanging="284"/>
        <w:contextualSpacing/>
        <w:textAlignment w:val="baseline"/>
        <w:rPr>
          <w:bCs/>
        </w:rPr>
      </w:pPr>
      <w:r>
        <w:t>fordert neue Impulse für die Kohäsionspolitik; ist der Ansicht, dass das Spektrum an Instrumenten und Ansätzen zur Entwicklung einer starken, wirkungsvollen, flexiblen und erneuerten Kohäsionspolitik erweitert, modernisiert oder überarbeitet werden sollte. Der Schwerpunkt sollte dabei – über eine reine Investitionstätigkeit hinaus – deutlicher auf Kapazitäten, Beziehungen zwischen den Regionen, Wirksamkeit der Ergebnisse und Chancen für die Begünstigten liegen;</w:t>
      </w:r>
    </w:p>
    <w:p w:rsidR="00A773FA" w:rsidP="004F610C" w:rsidRDefault="00A773FA" w14:paraId="18382F91" w14:textId="00985E44">
      <w:pPr>
        <w:numPr>
          <w:ilvl w:val="0"/>
          <w:numId w:val="34"/>
        </w:numPr>
        <w:overflowPunct w:val="0"/>
        <w:autoSpaceDE w:val="0"/>
        <w:autoSpaceDN w:val="0"/>
        <w:adjustRightInd w:val="0"/>
        <w:spacing w:line="264" w:lineRule="auto"/>
        <w:ind w:left="284" w:hanging="284"/>
        <w:contextualSpacing/>
        <w:textAlignment w:val="baseline"/>
        <w:rPr>
          <w:bCs/>
        </w:rPr>
      </w:pPr>
      <w:r>
        <w:t>wird alles Erforderliche tun, um die Grundprinzipien der Kohäsionspolitik zu wahren und dafür zu sorgen, dass die Kohäsionspolitik das bleibt, was Europa zusammenhält.</w:t>
      </w:r>
    </w:p>
    <w:p w:rsidR="001711D7" w:rsidP="004F610C" w:rsidRDefault="001711D7" w14:paraId="7064FBCA" w14:textId="77777777">
      <w:pPr>
        <w:overflowPunct w:val="0"/>
        <w:autoSpaceDE w:val="0"/>
        <w:autoSpaceDN w:val="0"/>
        <w:adjustRightInd w:val="0"/>
        <w:spacing w:line="264"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773FA" w:rsidR="00A773FA" w:rsidTr="001F4854" w14:paraId="1E00A390" w14:textId="77777777">
        <w:tc>
          <w:tcPr>
            <w:tcW w:w="1418" w:type="dxa"/>
          </w:tcPr>
          <w:p w:rsidRPr="00A773FA" w:rsidR="00A773FA" w:rsidP="004F610C" w:rsidRDefault="00A773FA" w14:paraId="3E8583D9" w14:textId="77777777">
            <w:pPr>
              <w:keepNext/>
              <w:keepLines/>
              <w:overflowPunct w:val="0"/>
              <w:autoSpaceDE w:val="0"/>
              <w:autoSpaceDN w:val="0"/>
              <w:adjustRightInd w:val="0"/>
              <w:spacing w:line="264" w:lineRule="auto"/>
              <w:textAlignment w:val="baseline"/>
              <w:rPr>
                <w:i/>
              </w:rPr>
            </w:pPr>
            <w:r>
              <w:rPr>
                <w:b/>
                <w:i/>
              </w:rPr>
              <w:t>Kontakt</w:t>
            </w:r>
          </w:p>
        </w:tc>
        <w:tc>
          <w:tcPr>
            <w:tcW w:w="5670" w:type="dxa"/>
          </w:tcPr>
          <w:p w:rsidRPr="00A773FA" w:rsidR="00A773FA" w:rsidP="004F610C" w:rsidRDefault="00A773FA" w14:paraId="23200230" w14:textId="77777777">
            <w:pPr>
              <w:keepNext/>
              <w:keepLines/>
              <w:overflowPunct w:val="0"/>
              <w:autoSpaceDE w:val="0"/>
              <w:autoSpaceDN w:val="0"/>
              <w:adjustRightInd w:val="0"/>
              <w:spacing w:line="264" w:lineRule="auto"/>
              <w:textAlignment w:val="baseline"/>
              <w:rPr>
                <w:i/>
              </w:rPr>
            </w:pPr>
            <w:r>
              <w:rPr>
                <w:i/>
              </w:rPr>
              <w:t xml:space="preserve">Georgios </w:t>
            </w:r>
            <w:proofErr w:type="spellStart"/>
            <w:r>
              <w:rPr>
                <w:i/>
              </w:rPr>
              <w:t>Meleas</w:t>
            </w:r>
            <w:proofErr w:type="spellEnd"/>
          </w:p>
        </w:tc>
      </w:tr>
      <w:tr w:rsidRPr="00A773FA" w:rsidR="00A773FA" w:rsidTr="001F4854" w14:paraId="27B092BE" w14:textId="77777777">
        <w:tc>
          <w:tcPr>
            <w:tcW w:w="1418" w:type="dxa"/>
          </w:tcPr>
          <w:p w:rsidRPr="00A773FA" w:rsidR="00A773FA" w:rsidP="004F610C" w:rsidRDefault="00A773FA" w14:paraId="198F80AA" w14:textId="77777777">
            <w:pPr>
              <w:keepNext/>
              <w:keepLines/>
              <w:overflowPunct w:val="0"/>
              <w:autoSpaceDE w:val="0"/>
              <w:autoSpaceDN w:val="0"/>
              <w:adjustRightInd w:val="0"/>
              <w:spacing w:line="264" w:lineRule="auto"/>
              <w:textAlignment w:val="baseline"/>
              <w:rPr>
                <w:i/>
              </w:rPr>
            </w:pPr>
            <w:r>
              <w:rPr>
                <w:i/>
              </w:rPr>
              <w:t>Tel.</w:t>
            </w:r>
          </w:p>
        </w:tc>
        <w:tc>
          <w:tcPr>
            <w:tcW w:w="5670" w:type="dxa"/>
          </w:tcPr>
          <w:p w:rsidRPr="00A773FA" w:rsidR="00A773FA" w:rsidP="004F610C" w:rsidRDefault="00A773FA" w14:paraId="3147B9D3" w14:textId="77777777">
            <w:pPr>
              <w:keepNext/>
              <w:keepLines/>
              <w:overflowPunct w:val="0"/>
              <w:autoSpaceDE w:val="0"/>
              <w:autoSpaceDN w:val="0"/>
              <w:adjustRightInd w:val="0"/>
              <w:spacing w:line="264" w:lineRule="auto"/>
              <w:textAlignment w:val="baseline"/>
              <w:rPr>
                <w:i/>
              </w:rPr>
            </w:pPr>
            <w:r>
              <w:rPr>
                <w:i/>
              </w:rPr>
              <w:t>+32 25469795</w:t>
            </w:r>
          </w:p>
        </w:tc>
      </w:tr>
      <w:tr w:rsidRPr="00A773FA" w:rsidR="00A773FA" w:rsidTr="001F4854" w14:paraId="719936AC" w14:textId="77777777">
        <w:tc>
          <w:tcPr>
            <w:tcW w:w="1418" w:type="dxa"/>
          </w:tcPr>
          <w:p w:rsidRPr="00A773FA" w:rsidR="00A773FA" w:rsidP="004F610C" w:rsidRDefault="00A773FA" w14:paraId="3BFA5A9D" w14:textId="77777777">
            <w:pPr>
              <w:keepNext/>
              <w:keepLines/>
              <w:overflowPunct w:val="0"/>
              <w:autoSpaceDE w:val="0"/>
              <w:autoSpaceDN w:val="0"/>
              <w:adjustRightInd w:val="0"/>
              <w:spacing w:line="264" w:lineRule="auto"/>
              <w:textAlignment w:val="baseline"/>
              <w:rPr>
                <w:i/>
              </w:rPr>
            </w:pPr>
            <w:r>
              <w:rPr>
                <w:i/>
              </w:rPr>
              <w:t>E-Mail</w:t>
            </w:r>
          </w:p>
        </w:tc>
        <w:tc>
          <w:tcPr>
            <w:tcW w:w="5670" w:type="dxa"/>
          </w:tcPr>
          <w:p w:rsidRPr="00A773FA" w:rsidR="00A773FA" w:rsidP="004F610C" w:rsidRDefault="003C01AD" w14:paraId="0E731FD7" w14:textId="77777777">
            <w:pPr>
              <w:keepNext/>
              <w:keepLines/>
              <w:overflowPunct w:val="0"/>
              <w:autoSpaceDE w:val="0"/>
              <w:autoSpaceDN w:val="0"/>
              <w:adjustRightInd w:val="0"/>
              <w:spacing w:line="264" w:lineRule="auto"/>
              <w:textAlignment w:val="baseline"/>
              <w:rPr>
                <w:i/>
              </w:rPr>
            </w:pPr>
            <w:hyperlink w:history="1" r:id="rId17">
              <w:r w:rsidR="00D449CF">
                <w:rPr>
                  <w:i/>
                  <w:color w:val="0000FF"/>
                  <w:u w:val="single"/>
                </w:rPr>
                <w:t>Georgios.Meleas@eesc.europa.eu</w:t>
              </w:r>
            </w:hyperlink>
            <w:r w:rsidR="00D449CF">
              <w:rPr>
                <w:i/>
              </w:rPr>
              <w:t xml:space="preserve"> </w:t>
            </w:r>
          </w:p>
        </w:tc>
      </w:tr>
    </w:tbl>
    <w:p w:rsidRPr="008469D4" w:rsidR="001711D7" w:rsidP="004F610C" w:rsidRDefault="001711D7" w14:paraId="77302185" w14:textId="77777777">
      <w:pPr>
        <w:spacing w:line="264" w:lineRule="auto"/>
        <w:ind w:left="142"/>
      </w:pPr>
    </w:p>
    <w:p w:rsidR="0038273B" w:rsidP="009C57DA" w:rsidRDefault="0038273B" w14:paraId="62CE6920" w14:textId="7B44A416">
      <w:pPr>
        <w:pStyle w:val="Heading1"/>
        <w:ind w:left="426" w:hanging="426"/>
        <w:rPr>
          <w:b/>
        </w:rPr>
      </w:pPr>
      <w:bookmarkStart w:name="_Toc162435201" w:id="1"/>
      <w:bookmarkStart w:name="_Toc162435202" w:id="2"/>
      <w:bookmarkStart w:name="_Toc172124198" w:id="3"/>
      <w:bookmarkEnd w:id="1"/>
      <w:bookmarkEnd w:id="2"/>
      <w:r>
        <w:rPr>
          <w:b/>
        </w:rPr>
        <w:lastRenderedPageBreak/>
        <w:t>WIRTSCHAFTS- UND WÄHRUNGSUNION, WIRTSCHAFTLICHER UND SOZIALER ZUSAMMENHALT</w:t>
      </w:r>
      <w:bookmarkEnd w:id="3"/>
    </w:p>
    <w:p w:rsidRPr="004F610C" w:rsidR="004F610C" w:rsidP="004F610C" w:rsidRDefault="004F610C" w14:paraId="1357DB54" w14:textId="77777777"/>
    <w:p w:rsidRPr="00A773FA" w:rsidR="00A773FA" w:rsidP="00A773FA" w:rsidRDefault="003C01AD" w14:paraId="18865835" w14:textId="405A04BE">
      <w:pPr>
        <w:widowControl w:val="0"/>
        <w:numPr>
          <w:ilvl w:val="0"/>
          <w:numId w:val="27"/>
        </w:numPr>
        <w:overflowPunct w:val="0"/>
        <w:autoSpaceDE w:val="0"/>
        <w:autoSpaceDN w:val="0"/>
        <w:adjustRightInd w:val="0"/>
        <w:ind w:hanging="567"/>
        <w:textAlignment w:val="baseline"/>
        <w:rPr>
          <w:sz w:val="20"/>
          <w:szCs w:val="20"/>
        </w:rPr>
      </w:pPr>
      <w:hyperlink w:history="1" r:id="rId18">
        <w:r w:rsidR="00D449CF">
          <w:rPr>
            <w:b/>
            <w:i/>
            <w:color w:val="0000FF"/>
            <w:sz w:val="28"/>
            <w:u w:val="single"/>
          </w:rPr>
          <w:t>Steuerliche Rahmenbedingungen für sozialwirtschaftliche Einrichtungen</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Berichterstatter</w:t>
            </w:r>
          </w:p>
        </w:tc>
        <w:tc>
          <w:tcPr>
            <w:tcW w:w="3833" w:type="pct"/>
          </w:tcPr>
          <w:p w:rsidRPr="00A773FA" w:rsidR="00A773FA" w:rsidP="00A773FA" w:rsidRDefault="00A773FA" w14:paraId="4E81BF9C" w14:textId="5874BE52">
            <w:pPr>
              <w:tabs>
                <w:tab w:val="center" w:pos="284"/>
              </w:tabs>
              <w:overflowPunct w:val="0"/>
              <w:autoSpaceDE w:val="0"/>
              <w:autoSpaceDN w:val="0"/>
              <w:adjustRightInd w:val="0"/>
              <w:ind w:left="266" w:hanging="266"/>
              <w:textAlignment w:val="baseline"/>
            </w:pPr>
            <w:r>
              <w:t>Giuseppe GUERINI (Gruppe Organisationen der Zivilgesellschaft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Referenzdokument</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Initiativstellungnahme</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Der EWSA</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4C40FF"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betont, dass die Steuersysteme der Mitgliedstaaten die Entwicklung der Sozialwirtschaft nicht behindern dürfen, und begrüßt das Ziel der Europäischen Kommission, die Mitgliedstaaten durch die Veröffentlichung von Leitlinien zu den einschlägigen, für sozialwirtschaftliche Einrichtungen geltenden steuerlichen Rahmenbedingungen zu unterstützen;</w:t>
      </w:r>
    </w:p>
    <w:p w:rsidRPr="00A773FA" w:rsidR="00A773FA" w:rsidP="004C40FF"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stellt fest, dass die Kenntnis der in den verschiedenen Mitgliedstaaten verfolgten Ansätze ein wichtiger Ausgangspunkt sein kann, um den Gesamtüberblick über die Steuervorschriften für sozialwirtschaftliche Einrichtungen im Binnenmarkt zu vertiefen und zu verbessern;</w:t>
      </w:r>
    </w:p>
    <w:p w:rsidRPr="00A773FA" w:rsidR="00A773FA" w:rsidP="004C40FF"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hofft für die Zukunft, dass die Harmonisierung des Ansatzes für die Besteuerung sozialwirtschaftlicher Einrichtungen im Hinblick auf die Konsolidierung des Binnenmarktes weitere Fortschritte machen wird;</w:t>
      </w:r>
    </w:p>
    <w:p w:rsidRPr="00A773FA" w:rsidR="00A773FA" w:rsidP="004C40FF"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fordert weitere Überlegungen darüber, wie die Besteuerung der Sozialwirtschaft in der EU künftig harmonisiert werden kann;</w:t>
      </w:r>
    </w:p>
    <w:p w:rsidRPr="00A773FA" w:rsidR="00A773FA" w:rsidP="004C40FF"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fordert die Europäische Kommission und die Mitgliedstaaten auf, auch für gemeinnützige Tätigkeiten, die von sozialwirtschaftlichen Einrichtungen geleistet werden, sowie für soziale Dienstleistungen, insbesondere in Bereichen wie Gesundheits- und Sozialfürsorge für ältere Menschen, persönliche Dienstleistungen, Langzeitpflege und Bildung ermäßigte Mehrwertsteuersätze in Betracht zu ziehen.</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bookmarkStart w:name="_Hlk171955882" w:id="4"/>
            <w:r>
              <w:rPr>
                <w:b/>
                <w:i/>
              </w:rPr>
              <w:t>Kontakt</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+32 2 546 96 28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A773FA" w:rsidP="00A773FA" w:rsidRDefault="003C01AD" w14:paraId="7316BD89" w14:textId="77777777">
            <w:pPr>
              <w:overflowPunct w:val="0"/>
              <w:autoSpaceDE w:val="0"/>
              <w:autoSpaceDN w:val="0"/>
              <w:adjustRightInd w:val="0"/>
              <w:spacing w:line="240" w:lineRule="auto"/>
              <w:textAlignment w:val="baseline"/>
              <w:rPr>
                <w:i/>
              </w:rPr>
            </w:pPr>
            <w:hyperlink w:history="1" r:id="rId19">
              <w:r w:rsidR="00D449CF">
                <w:rPr>
                  <w:i/>
                  <w:color w:val="0000FF"/>
                  <w:u w:val="single"/>
                </w:rPr>
                <w:t>Juri.Soosaar@eesc.europa.eu</w:t>
              </w:r>
            </w:hyperlink>
          </w:p>
        </w:tc>
      </w:tr>
      <w:bookmarkEnd w:id="4"/>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5"/>
    <w:bookmarkStart w:name="_Hlk171935721" w:id="6"/>
    <w:bookmarkEnd w:id="5"/>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124199" w:id="7"/>
      <w:r>
        <w:rPr>
          <w:rStyle w:val="Hyperlink"/>
          <w:color w:val="000000" w:themeColor="text1"/>
          <w:sz w:val="22"/>
          <w:u w:val="none"/>
        </w:rPr>
        <w:t>3.</w:t>
      </w:r>
      <w:r>
        <w:rPr>
          <w:rFonts w:asciiTheme="minorHAnsi" w:hAnsiTheme="minorHAnsi"/>
          <w:color w:val="000000" w:themeColor="text1"/>
        </w:rPr>
        <w:tab/>
      </w:r>
      <w:r>
        <w:t>BESCHÄFTIGUNG, SOZIALFRAGEN, UNIONSBÜRGERSCHAFT</w:t>
      </w:r>
      <w:bookmarkEnd w:id="7"/>
      <w:r>
        <w:rPr>
          <w:rStyle w:val="Hyperlink"/>
          <w:rFonts w:asciiTheme="minorHAnsi" w:hAnsiTheme="minorHAnsi"/>
          <w:color w:val="auto"/>
          <w:sz w:val="22"/>
          <w:u w:val="none"/>
        </w:rPr>
        <w:t xml:space="preserve"> </w:t>
      </w:r>
      <w:r>
        <w:rPr>
          <w:rStyle w:val="Hyperlink"/>
          <w:color w:val="000000" w:themeColor="text1"/>
          <w:sz w:val="22"/>
          <w:u w:val="none"/>
        </w:rPr>
        <w:fldChar w:fldCharType="end"/>
      </w:r>
    </w:p>
    <w:bookmarkEnd w:id="6"/>
    <w:p w:rsidRPr="00D92244" w:rsidR="00D92244" w:rsidP="00D92244" w:rsidRDefault="00D92244" w14:paraId="38D997EF" w14:textId="77777777">
      <w:pPr>
        <w:rPr>
          <w:rFonts w:eastAsiaTheme="minorEastAsia"/>
        </w:rPr>
      </w:pPr>
    </w:p>
    <w:p w:rsidRPr="00231B83" w:rsidR="00231B83" w:rsidP="00231B83" w:rsidRDefault="00231B83" w14:paraId="15471AA9" w14:textId="622DAC0E">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"https://www.eesc.europa.eu/de/our-work/opinions-information-reports/opinions/combating-sexual-abuse-and-sexual-exploitation-children-and-child-pornography"</w:instrText>
      </w:r>
      <w:r w:rsidRPr="00231B83">
        <w:rPr>
          <w:b/>
          <w:i/>
          <w:sz w:val="28"/>
        </w:rPr>
        <w:fldChar w:fldCharType="separate"/>
      </w:r>
      <w:r>
        <w:rPr>
          <w:b/>
          <w:i/>
          <w:color w:val="0000FF"/>
          <w:sz w:val="28"/>
          <w:u w:val="single"/>
        </w:rPr>
        <w:t>Bekämpfung des sexuellen Missbrauchs und der sexuellen Ausbeutung von Kindern sowie von Darstellungen sexuellen Missbrauchs von Kindern</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8"/>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Berichterstatter</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Ko-Berichterstatterin</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(Gruppe Arbeitnehmer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INDJOVA (Gruppe Organisationen der Zivilgesellschaft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Referenzdokument</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Der EWSA</w:t>
      </w:r>
    </w:p>
    <w:p w:rsidRPr="004F610C"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lang w:eastAsia="zh-CN"/>
        </w:rPr>
      </w:pPr>
    </w:p>
    <w:p w:rsidRPr="00231B83" w:rsidR="00231B83" w:rsidP="004C40FF"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unterstützt das Ziel des Vorschlags sicherzustellen, dass alle Formen des sexuellen Missbrauchs und der sexuellen Ausbeutung von Kindern, einschließlich solcher, die durch technologische Entwicklungen ermöglicht oder erleichtert werden, unter Strafe gestellt werden;</w:t>
      </w:r>
    </w:p>
    <w:p w:rsidRPr="00231B83" w:rsidR="00231B83" w:rsidP="004C40FF"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begrüßt, dass ein Schwerpunkt auf die besonders schutzbedürftige Gruppe von Kindern mit Behinderungen gelegt wird, die leicht Opfer von sexuellem Missbrauch, sexueller Ausbeutung und Cyberkriminalität werden können;</w:t>
      </w:r>
    </w:p>
    <w:p w:rsidRPr="00231B83" w:rsidR="00231B83" w:rsidP="004C40FF"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begrüßt die bessere Koordinierung der Prävention und Bekämpfung des sexuellen Missbrauchs von Kindern in den Mitgliedstaaten und auf nationaler Ebene; befürwortet in diesem Zusammenhang die vorgeschlagene Verpflichtung der Mitgliedstaaten zur Einrichtung von nationalen Behörden, die für die Koordinierung verantwortlich sind;</w:t>
      </w:r>
    </w:p>
    <w:p w:rsidRPr="00231B83" w:rsidR="00231B83" w:rsidP="004C40FF"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unterstreicht die Bedeutung gemeinsamer Mindeststandards für die Definitionen von Straftaten und für die Höhe der Sanktionen für die wirksame strafrechtliche Verfolgung von Straftätern wie auch für die Gewährleistung des Opferschutzes überall in der EU; befürwortet, dass „</w:t>
      </w:r>
      <w:proofErr w:type="spellStart"/>
      <w:r>
        <w:t>Pädophilenhandbücher</w:t>
      </w:r>
      <w:proofErr w:type="spellEnd"/>
      <w:r>
        <w:t>“ unter Strafe gestellt werden;</w:t>
      </w:r>
    </w:p>
    <w:p w:rsidRPr="00231B83" w:rsidR="00231B83" w:rsidP="004C40FF"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fordert, dass der internationale Austausch von Daten, die den sexuellen Missbrauch und die sexuelle Ausbeutung von Kindern betreffen, konkret geregelt und die Möglichkeiten der Datenvorratsspeicherung in allen Mitgliedstaaten durch die Einrichtung eines EU-Forschungszentrums erweitert werden;</w:t>
      </w:r>
    </w:p>
    <w:p w:rsidRPr="00231B83" w:rsidR="00231B83" w:rsidP="004C40FF"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befürwortet die Verbesserungen der Prävention und der Opferhilfe in Fällen sexueller Ausbeutung und sexuellem Missbrauch; befürwortet die vorgeschlagene Erhöhung der Mindeststrafen und die Verlängerung der Verjährungsfristen;</w:t>
      </w:r>
    </w:p>
    <w:p w:rsidRPr="00231B83" w:rsidR="00231B83" w:rsidP="004C40FF"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unterstreicht die Bedeutung kontinuierlicher Schulungen sowohl der Strafverfolger als auch aller Personen, die mit Kindern zu tun haben, für die Wahrnehmung ihrer Aufgaben; </w:t>
      </w:r>
    </w:p>
    <w:p w:rsidRPr="00231B83" w:rsidR="00231B83" w:rsidP="004C40FF"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hält die Einbeziehung der Zivilgesellschaft bei der Bekämpfung des sexuellen Missbrauchs und der sexuellen Ausbeutung von Kindern sowie bei Prävention und Opferhilfe für wesentlich.</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Kontakt</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E-Mail</w:t>
            </w:r>
          </w:p>
        </w:tc>
        <w:tc>
          <w:tcPr>
            <w:tcW w:w="3444" w:type="pct"/>
          </w:tcPr>
          <w:p w:rsidRPr="00231B83" w:rsidR="00231B83" w:rsidP="00231B83" w:rsidRDefault="003C01AD" w14:paraId="3099FA9B" w14:textId="77777777">
            <w:pPr>
              <w:overflowPunct w:val="0"/>
              <w:autoSpaceDE w:val="0"/>
              <w:autoSpaceDN w:val="0"/>
              <w:adjustRightInd w:val="0"/>
              <w:spacing w:line="240" w:lineRule="auto"/>
              <w:textAlignment w:val="baseline"/>
              <w:rPr>
                <w:color w:val="0000FF"/>
                <w:u w:val="single"/>
              </w:rPr>
            </w:pPr>
            <w:hyperlink w:history="1" r:id="rId20">
              <w:r w:rsidR="00D449CF">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D2E9045">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"https://www.eesc.europa.eu/en/our-work/opinions-information-reports/opinions/anti-smuggling-package" </w:instrText>
      </w:r>
      <w:r w:rsidRPr="00D7590E">
        <w:rPr>
          <w:b/>
          <w:i/>
          <w:sz w:val="28"/>
        </w:rPr>
        <w:fldChar w:fldCharType="separate"/>
      </w:r>
      <w:r>
        <w:rPr>
          <w:b/>
          <w:i/>
          <w:color w:val="0000FF"/>
          <w:sz w:val="28"/>
          <w:u w:val="single"/>
        </w:rPr>
        <w:t>Paket zur Bekämpfung der Schleuserkriminalität</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Berichterstatter</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t>Florian BERCEA (Gruppe Arbeitnehmer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Referenzdokumente</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4F610C"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Der EWSA</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4C40FF"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stellt fest, dass im Rahmen der beiden Legislativvorschläge und der Globalen Allianz ein verhältnismäßiger, schrittweiser Kapazitätsaufbau vorgeschlagen wird. Dieser gelingt jedoch nur mit stärkeren strategischen Ambitionen und mehr Engagement;</w:t>
      </w:r>
    </w:p>
    <w:p w:rsidRPr="00D7590E" w:rsidR="00D7590E" w:rsidP="004C40FF" w:rsidRDefault="00D7590E" w14:paraId="250CEFF6" w14:textId="116F741D">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betont, dass die Bekämpfung der Migrantenschleusung mit neuem Schwung und einer besseren Koordinierung auf allen Ebenen angegangen werden muss. Zugleich müssen nach Ansicht des EWSA Personen, die sicher und legal in die EU gelangen wollen, legale Migrationswege und </w:t>
      </w:r>
      <w:r w:rsidR="004F610C">
        <w:noBreakHyphen/>
      </w:r>
      <w:r>
        <w:t>verfahren offenstehen;</w:t>
      </w:r>
    </w:p>
    <w:p w:rsidRPr="00D7590E" w:rsidR="00D7590E" w:rsidP="004C40FF"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erkennt an, dass das Asylsystem der EU nur dann effektiv funktioniert, wenn Lösungen für die Probleme des systematischen Einsatzes von Push-back-Aktionen an ihren Außengrenzen gefunden werden, die nach der Genfer Flüchtlingskonvention verboten sind. Aufgrund fehlender sicherer und legaler Wege für die Einreise in die EU haben Sicherheit suchende Flüchtlinge und Migranten keine andere Wahl als ihr Leben auf gefährlichen Routen zu riskieren;</w:t>
      </w:r>
    </w:p>
    <w:p w:rsidRPr="00D7590E" w:rsidR="00D7590E" w:rsidP="004C40FF"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fordert die Kommission auf, über die Globale Allianz hinaus ein tragfähiges Konzept zu entwickeln, um die Kapazitäten von Drittländern zu stärken und die Zusammenarbeit mit Europol und den Strafverfolgungsbehörden der Mitgliedstaaten zu fördern;</w:t>
      </w:r>
    </w:p>
    <w:p w:rsidRPr="00D7590E" w:rsidR="00D7590E" w:rsidP="004C40FF"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bedauert, dass Personen, die Schleuserdienste in Anspruch nehmen, nicht von dem Paket erfasst werden, obwohl es sich bei ihnen um anerkannte potenzielle Opfer handelt. Die EU muss ihre Strategie zur Bekämpfung der Schleuserkriminalität um einen Grundrechtsaspekt für die Menschen ergänzen, die aus reiner Verzweiflung und Not die Dienste von Schleusern in Anspruch nehmen. Zudem sollten dabei noch stärker schutzbedürftige Personengruppen wie etwa Menschen mit Behinderungen in den Blick genommen werden;</w:t>
      </w:r>
    </w:p>
    <w:p w:rsidRPr="00D7590E" w:rsidR="00D7590E" w:rsidP="004C40FF"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fordert mehr Transparenz bei der Ausarbeitung der Vorschläge, da diesen keine Ex-ante-Folgenabschätzung beigefügt ist;</w:t>
      </w:r>
    </w:p>
    <w:p w:rsidRPr="00D7590E" w:rsidR="00D7590E" w:rsidP="004C40FF"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begrüßt die Richtlinie, warnt jedoch davor, dass ihr Inhalt die Grundrechte der Migranten und der Personen, die diese aus humanitären Gründen unterstützen, ernsthaft beeinträchtigen könnte. Der EWSA hält es für falsch und inakzeptabel, dass Schleuserkriminalität durch ein ständiges Klima der Angst, humanitäre, rechtliche oder gar administrative Hilfe zu leisten, bekämpft wird;</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ist darüber hinaus der Ansicht, dass humanitäre Helfer, Familienangehörige und andere Personen, die Dienste für Migranten erbringen, nicht strafrechtlich verfolgt werden sollten. Eine Strafverfolgung aus derartigen Gründen sollte nur im Falle eines unrechtmäßigen finanziellen Vorteils möglich sein.</w:t>
      </w:r>
    </w:p>
    <w:p w:rsidRPr="00D7590E" w:rsidR="00620F8C" w:rsidP="004C40FF"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Kontakt</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 xml:space="preserve">Gemma </w:t>
            </w:r>
            <w:proofErr w:type="spellStart"/>
            <w:r>
              <w:rPr>
                <w:i/>
              </w:rPr>
              <w:t>Amran</w:t>
            </w:r>
            <w:proofErr w:type="spellEnd"/>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E-Mail</w:t>
            </w:r>
          </w:p>
        </w:tc>
        <w:tc>
          <w:tcPr>
            <w:tcW w:w="3444" w:type="pct"/>
          </w:tcPr>
          <w:p w:rsidRPr="00D7590E" w:rsidR="00D7590E" w:rsidP="00D7590E" w:rsidRDefault="003C01AD" w14:paraId="61475911" w14:textId="77777777">
            <w:pPr>
              <w:overflowPunct w:val="0"/>
              <w:autoSpaceDE w:val="0"/>
              <w:autoSpaceDN w:val="0"/>
              <w:adjustRightInd w:val="0"/>
              <w:spacing w:line="240" w:lineRule="auto"/>
              <w:textAlignment w:val="baseline"/>
              <w:rPr>
                <w:color w:val="0000FF"/>
                <w:u w:val="single"/>
              </w:rPr>
            </w:pPr>
            <w:hyperlink w:history="1" r:id="rId21">
              <w:r w:rsidR="00D449CF">
                <w:rPr>
                  <w:i/>
                  <w:color w:val="0000FF"/>
                  <w:u w:val="single"/>
                </w:rPr>
                <w:t>Gemma.Amran@eesc.europa.eu</w:t>
              </w:r>
            </w:hyperlink>
          </w:p>
        </w:tc>
      </w:tr>
    </w:tbl>
    <w:p w:rsidRPr="003A3334" w:rsidR="003A3334" w:rsidP="003A3334" w:rsidRDefault="003C01AD" w14:paraId="16AA32C0" w14:textId="4E617238">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2">
        <w:r w:rsidR="00D449CF">
          <w:rPr>
            <w:b/>
            <w:i/>
            <w:color w:val="0000FF"/>
            <w:sz w:val="28"/>
            <w:u w:val="single"/>
          </w:rPr>
          <w:t>Pflegende Angehörige</w:t>
        </w:r>
      </w:hyperlink>
      <w:r w:rsidRPr="003A3334" w:rsidR="003A3334">
        <w:rPr>
          <w:b/>
          <w:i/>
          <w:sz w:val="28"/>
        </w:rPr>
        <w:fldChar w:fldCharType="begin"/>
      </w:r>
      <w:r w:rsidRPr="003A3334" w:rsidR="003A3334">
        <w:rPr>
          <w:b/>
          <w:i/>
          <w:sz w:val="28"/>
        </w:rPr>
        <w:instrText xml:space="preserve"> HYPERLINK "https://www.eesc.europa.eu/en/our-work/opinions-information-reports/opinions/anti-smuggling-package"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6"/>
        <w:gridCol w:w="1133"/>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Berichterstatter</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Pietro Vittorio BARBIERI (Gruppe Organisationen der Zivilgesellschaft –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Referenzdokument</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Initiativstellungnahme</w:t>
            </w:r>
          </w:p>
          <w:p w:rsidRPr="003A3334" w:rsidR="003A3334" w:rsidP="003A3334" w:rsidRDefault="003A3334" w14:paraId="413F17D3" w14:textId="0B67AF4E">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Kernaussagen</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Der EWSA</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4C40FF"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fordert die Kommission auf, das Thema pflegende Angehörige weit oben auf die politische Agenda setzen und eine Plattform für den Austausch bewährter Verfahren zwischen den Mitgliedstaaten einzurichten; fordert die Mitgliedstaaten auf, durch Anreize für die Bereitstellung und Inanspruchnahme eines umfangreichen, hochwertigen kommunalen Langzeitpflegeangebots sowie die Verfügbarkeit von Auffangdiensten und Präventivmedizin für pflegende Angehörige zu sorgen, um die große Gefahr von Burnout und physischer und psychischer Überlastung, denen diese ausgesetzt sind, zu bekämpfen;</w:t>
      </w:r>
    </w:p>
    <w:p w:rsidRPr="003A3334" w:rsidR="003A3334" w:rsidP="004C40FF"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ersucht die Mitgliedstaaten, durch geeignete Maßnahmen sicherzustellen, dass die Entscheidung, informelle Pflege und Betreuung in Anspruch zu nehmen, freiwillig ist, geschlechtsspezifische Ungleichheiten abgebaut werden, pflegende Angehörige durch flexiblere Arbeitsbedingungen weiterhin arbeiten und Geld verdienen sowie problemlos auf den Arbeitsmarkt zurückkehren können, wenn sie diesen verlassen mussten;</w:t>
      </w:r>
    </w:p>
    <w:p w:rsidRPr="003A3334" w:rsidR="003A3334" w:rsidP="004C40FF"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ist der Auffassung, dass anlässlich des Internationalen Tages der Pflege und Betreuung auch die Arbeit pflegender Angehöriger gewürdigt werden sollte, um einen Anstoß für ihre Anerkennung als Teil des europäischen Pflegesystems zu geben;</w:t>
      </w:r>
    </w:p>
    <w:p w:rsidRPr="003A3334" w:rsidR="003A3334" w:rsidP="004C40FF"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vertritt die Ansicht, dass qualitative und quantitative Daten zu den Lebensbedingungen pflegender Angehöriger erforderlich sind, und fordert, dass weitere Forschungsstrategien auf den Weg gebracht werden.</w:t>
      </w: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Kontakt</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+32 2 546 8774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E-Mail</w:t>
            </w:r>
          </w:p>
        </w:tc>
        <w:tc>
          <w:tcPr>
            <w:tcW w:w="3444" w:type="pct"/>
          </w:tcPr>
          <w:p w:rsidRPr="003A3334" w:rsidR="003A3334" w:rsidP="003A3334" w:rsidRDefault="003C01AD" w14:paraId="2F55AE11" w14:textId="7C32A002">
            <w:pPr>
              <w:widowControl w:val="0"/>
              <w:overflowPunct w:val="0"/>
              <w:autoSpaceDE w:val="0"/>
              <w:autoSpaceDN w:val="0"/>
              <w:adjustRightInd w:val="0"/>
              <w:textAlignment w:val="baseline"/>
              <w:rPr>
                <w:color w:val="0000FF"/>
                <w:u w:val="single"/>
              </w:rPr>
            </w:pPr>
            <w:hyperlink w:history="1" r:id="rId23">
              <w:r w:rsidR="00D449CF">
                <w:rPr>
                  <w:i/>
                  <w:color w:val="0000FF"/>
                  <w:u w:val="single"/>
                </w:rPr>
                <w:t>Valeria.Atzori@eesc.europa.eu</w:t>
              </w:r>
            </w:hyperlink>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23BCF876">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"https://www.eesc.europa.eu/en/our-work/opinions-information-reports/opinions/traineeship-directive-and-reinforced-quality-framework-traineeships"</w:instrText>
      </w:r>
      <w:r w:rsidRPr="002646B8">
        <w:rPr>
          <w:b/>
          <w:i/>
          <w:sz w:val="28"/>
        </w:rPr>
        <w:fldChar w:fldCharType="separate"/>
      </w:r>
      <w:r>
        <w:rPr>
          <w:b/>
          <w:i/>
          <w:color w:val="0000FF"/>
          <w:sz w:val="28"/>
          <w:u w:val="single"/>
        </w:rPr>
        <w:t>Praktikumsrichtlinie/verstärkter Qualitätsrahmen für Praktika</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Berichterstatterin</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t>Nicoletta MERLO (Gruppe Arbeitnehmer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Referenzdokumente</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Der EWSA</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4C40FF" w:rsidRDefault="002646B8" w14:paraId="5010A18C" w14:textId="23949864">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betont, dass es sich bei Lehrlingsausbildungen und Praktika um zwei verschiedene Arten von Ausbildungsmaßnahmen mit unterschiedlichen Zielen und Bestimmungen handelt; </w:t>
      </w:r>
    </w:p>
    <w:p w:rsidRPr="002646B8" w:rsidR="002646B8" w:rsidP="004C40FF"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empfiehlt, dass die Begriffsbestimmungen in Artikel 2 keine Verpflichtung für die Mitgliedstaaten mit sich bringen, Praktika als Beschäftigungsverhältnis einzustufen, wenn diese Arbeitspraxis nach den Rechtsvorschriften der Mitgliedstaaten nicht unter die in der Richtlinie enthaltene Definition des Begriffs „Praktikant“ fällt;</w:t>
      </w:r>
    </w:p>
    <w:p w:rsidRPr="002646B8" w:rsidR="002646B8" w:rsidP="004C40FF"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schlägt vor, dass die Richtlinie auch eine Liste der Arbeitsbedingungen umfasst, bezüglich derer keine Ausnahmeregelung möglich ist, um einen besseren Schutz der Interessen der Praktikanten zu gewährleisten und zugleich die Autonomie der Sozialpartner bei der Regulierung der Bedingungen für Praktika auf dem freien Markt, z. B. durch Tarifverträge, zu wahren;</w:t>
      </w:r>
    </w:p>
    <w:p w:rsidRPr="002646B8" w:rsidR="002646B8" w:rsidP="004C40FF"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unterstreicht den maßgeblichen Beitrag der zuständigen Behörden, wenn es darum geht, die Tarnung regulärer Arbeitsverhältnisse als Praktika zu bekämpfen und die wichtige Funktion der Sozialpartner bei diesen Bemühungen anzuerkennen;</w:t>
      </w:r>
    </w:p>
    <w:p w:rsidRPr="002646B8" w:rsidR="002646B8" w:rsidP="004C40FF"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fordert Bestimmungen, die gewährleisten, dass Arbeitnehmervertreter stets zum Schutz der Praktikanten tätig werden können, selbst wenn das Praktikum kein Arbeitsverhältnis darstellt;</w:t>
      </w:r>
    </w:p>
    <w:p w:rsidRPr="002646B8" w:rsidR="002646B8" w:rsidP="004C40FF"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empfiehlt, Mindestqualitätskriterien für jede Art von Praktika in ganz Europa festzulegen, um hohe Standards und einen gemeinsamen grundlegenden Rahmen in allen Mitgliedstaaten zu gewährleisten; unterstreicht, wie wichtig es ist, im Rahmen des Überprüfungs- und Umsetzungsverfahrens Daten zu erheben und Beispiele für bewährte nationale Verfahren für jede Art von Praktika auf EU-Ebene auszutauschen;</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betont die Bedeutung einer angemessenen Aufwandsentschädigung, im Rahmen derer die möglichen Kosten der Teilnahme an der Ausbildungsmaßnahme und die entsprechenden Lebensbedürfnisse berücksichtigt werden.</w:t>
      </w:r>
    </w:p>
    <w:p w:rsidRPr="002646B8" w:rsidR="00071BCC" w:rsidP="004C40FF"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Kontakt</w:t>
            </w:r>
          </w:p>
        </w:tc>
        <w:tc>
          <w:tcPr>
            <w:tcW w:w="3444" w:type="pct"/>
          </w:tcPr>
          <w:p w:rsidRPr="002646B8" w:rsidR="002646B8" w:rsidP="002646B8" w:rsidRDefault="002646B8" w14:paraId="2CB9E1CA" w14:textId="16A6FFC9">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E-Mail</w:t>
            </w:r>
          </w:p>
        </w:tc>
        <w:tc>
          <w:tcPr>
            <w:tcW w:w="3444" w:type="pct"/>
          </w:tcPr>
          <w:p w:rsidRPr="002646B8" w:rsidR="002646B8" w:rsidP="002646B8" w:rsidRDefault="003C01AD" w14:paraId="23CAB7B1" w14:textId="77777777">
            <w:pPr>
              <w:overflowPunct w:val="0"/>
              <w:autoSpaceDE w:val="0"/>
              <w:autoSpaceDN w:val="0"/>
              <w:adjustRightInd w:val="0"/>
              <w:spacing w:line="240" w:lineRule="auto"/>
              <w:textAlignment w:val="baseline"/>
              <w:rPr>
                <w:color w:val="0000FF"/>
                <w:u w:val="single"/>
              </w:rPr>
            </w:pPr>
            <w:hyperlink w:history="1" r:id="rId24">
              <w:r w:rsidR="00D449CF">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4F610C" w:rsidR="00DC26B9" w:rsidRDefault="004F610C" w14:paraId="153FDF23" w14:textId="4C3A9EDF">
      <w:pPr>
        <w:pStyle w:val="TOC1"/>
        <w:rPr>
          <w:rStyle w:val="Hyperlink"/>
          <w:color w:val="000000" w:themeColor="text1"/>
          <w:sz w:val="22"/>
          <w:u w:val="none"/>
        </w:rPr>
      </w:pPr>
      <w:bookmarkStart w:name="_Toc172124200" w:id="8"/>
      <w:bookmarkStart w:name="_Hlk171938252" w:id="9"/>
      <w:r>
        <w:rPr>
          <w:rStyle w:val="Hyperlink"/>
          <w:color w:val="000000" w:themeColor="text1"/>
          <w:sz w:val="22"/>
          <w:u w:val="none"/>
        </w:rPr>
        <w:lastRenderedPageBreak/>
        <w:t>4.</w:t>
      </w:r>
      <w:r w:rsidR="00DE1B66">
        <w:rPr>
          <w:rStyle w:val="Hyperlink"/>
          <w:color w:val="000000" w:themeColor="text1"/>
          <w:sz w:val="22"/>
          <w:u w:val="none"/>
        </w:rPr>
        <w:tab/>
      </w:r>
      <w:r w:rsidRPr="004F610C" w:rsidR="00DC26B9">
        <w:rPr>
          <w:rStyle w:val="Hyperlink"/>
          <w:color w:val="000000" w:themeColor="text1"/>
          <w:sz w:val="22"/>
          <w:u w:val="none"/>
        </w:rPr>
        <w:t>BINNENMARKT, PRODUKTION, VERBRAUCH</w:t>
      </w:r>
      <w:bookmarkEnd w:id="8"/>
    </w:p>
    <w:bookmarkEnd w:id="9"/>
    <w:p w:rsidRPr="004F610C" w:rsidR="004F610C" w:rsidP="004F610C" w:rsidRDefault="004F610C" w14:paraId="2E1B21F7" w14:textId="77777777">
      <w:pPr>
        <w:widowControl w:val="0"/>
        <w:overflowPunct w:val="0"/>
        <w:autoSpaceDE w:val="0"/>
        <w:autoSpaceDN w:val="0"/>
        <w:adjustRightInd w:val="0"/>
        <w:ind w:left="567"/>
        <w:textAlignment w:val="baseline"/>
        <w:rPr>
          <w:color w:val="0000FF"/>
          <w:sz w:val="20"/>
          <w:szCs w:val="20"/>
          <w:u w:val="single"/>
        </w:rPr>
      </w:pPr>
    </w:p>
    <w:p w:rsidRPr="004C40FF" w:rsidR="00D92244" w:rsidP="004C40FF" w:rsidRDefault="003C01AD" w14:paraId="1848A26A" w14:textId="3D3179D1">
      <w:pPr>
        <w:widowControl w:val="0"/>
        <w:numPr>
          <w:ilvl w:val="0"/>
          <w:numId w:val="27"/>
        </w:numPr>
        <w:overflowPunct w:val="0"/>
        <w:autoSpaceDE w:val="0"/>
        <w:autoSpaceDN w:val="0"/>
        <w:adjustRightInd w:val="0"/>
        <w:ind w:hanging="567"/>
        <w:textAlignment w:val="baseline"/>
        <w:rPr>
          <w:color w:val="0000FF"/>
          <w:sz w:val="20"/>
          <w:szCs w:val="20"/>
          <w:u w:val="single"/>
        </w:rPr>
      </w:pPr>
      <w:hyperlink w:history="1" r:id="rId25">
        <w:r w:rsidR="0074506B">
          <w:rPr>
            <w:b/>
            <w:i/>
            <w:color w:val="0000FF"/>
            <w:sz w:val="28"/>
            <w:u w:val="single"/>
          </w:rPr>
          <w:t>Vorschlag für eine Empfehlung des Rates zur Stärkung der Forschungssicherheit</w:t>
        </w:r>
      </w:hyperlink>
      <w:r w:rsidR="0074506B">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Berichterstatter</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t>Stefano PALMIERI (Gruppe Arbeitnehmer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Referenzdokumente</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Der EWSA</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4C40FF"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empfiehlt, dass für ein angemessenes Gleichgewicht zwischen Sicherheitsanforderungen und der notwendigen internationalen Offenheit von Forschung und Innovation gesorgt wird. Gleichzeitig gilt es, ein Verständnis dafür zu entwickeln, dass bestimmte Aktivitäten der internationalen Zusammenarbeit im Bereich der Forschung und Innovation (</w:t>
      </w:r>
      <w:proofErr w:type="spellStart"/>
      <w:r>
        <w:t>FuI</w:t>
      </w:r>
      <w:proofErr w:type="spellEnd"/>
      <w:r>
        <w:t>) leicht Gegenstand böswilliger Einflussnahme durch staatliche und nichtstaatliche Akteure werden können;</w:t>
      </w:r>
    </w:p>
    <w:p w:rsidRPr="00AD6EAC" w:rsidR="00D92244" w:rsidP="004C40FF"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 xml:space="preserve">vertritt die Ansicht, dass Maßnahmen zur Sicherheit von </w:t>
      </w:r>
      <w:proofErr w:type="spellStart"/>
      <w:r>
        <w:t>FuI</w:t>
      </w:r>
      <w:proofErr w:type="spellEnd"/>
      <w:r>
        <w:t xml:space="preserve"> keinesfalls die uneingeschränkte akademische Freiheit und die institutionelle Autonomie gefährden dürfen;</w:t>
      </w:r>
    </w:p>
    <w:p w:rsidRPr="00AD6EAC" w:rsidR="00D92244" w:rsidP="004C40FF"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 xml:space="preserve">empfiehlt, dass der Grundsatz der verantwortungsvollen Freiheit der </w:t>
      </w:r>
      <w:proofErr w:type="spellStart"/>
      <w:r>
        <w:t>FuI</w:t>
      </w:r>
      <w:proofErr w:type="spellEnd"/>
      <w:r>
        <w:t>-Akteure mittels wirksamer, effizienter und transparenter Selbstverwaltung der Akteure des Sektors gewahrt wird;</w:t>
      </w:r>
    </w:p>
    <w:p w:rsidRPr="00AD6EAC" w:rsidR="00D92244" w:rsidP="004C40FF"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 xml:space="preserve">vertritt die Ansicht, dass das Ziel einer sicheren internationalen Zusammenarbeit im Bereich der </w:t>
      </w:r>
      <w:proofErr w:type="spellStart"/>
      <w:r>
        <w:t>FuI</w:t>
      </w:r>
      <w:proofErr w:type="spellEnd"/>
      <w:r>
        <w:t xml:space="preserve"> niemals zu diskriminierenden und/oder schikanösen Praktiken gegen </w:t>
      </w:r>
      <w:proofErr w:type="spellStart"/>
      <w:r>
        <w:t>FuI</w:t>
      </w:r>
      <w:proofErr w:type="spellEnd"/>
      <w:r>
        <w:t xml:space="preserve">-Akteure führen darf. Ebenso wenig dürfen die Arbeitnehmerrechte oder der Schutz der Arbeitsbedingungen der Beschäftigten des europäischen </w:t>
      </w:r>
      <w:proofErr w:type="spellStart"/>
      <w:r>
        <w:t>FuI</w:t>
      </w:r>
      <w:proofErr w:type="spellEnd"/>
      <w:r>
        <w:t>-Sektors beeinträchtigt werden;</w:t>
      </w:r>
    </w:p>
    <w:p w:rsidRPr="00AD6EAC" w:rsidR="00D92244" w:rsidP="004C40FF"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hofft, dass sich Forschung und Innovation in voller Autonomie in allen Mitgliedstaaten der EU in einem einheitlichen und kohärenten Rahmen entfalten können;</w:t>
      </w:r>
    </w:p>
    <w:p w:rsidRPr="00AD6EAC" w:rsidR="00D92244" w:rsidP="004C40FF"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fordert, den Schutz der Rechte am geistigen Eigentum in Bezug auf Innovationen, die die nationale Sicherheit gewährleisten können, zu verbessern; ausländische Direktinvestitionen in die Unternehmen der zehn kritischen Sektoren, die von Fusionen und Unternehmenskäufen betroffen sind und Güter mit doppeltem Verwendungszweck herstellen, müssen geprüft werden;</w:t>
      </w:r>
    </w:p>
    <w:p w:rsidRPr="00AD6EAC" w:rsidR="00D92244" w:rsidP="004C40FF"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 xml:space="preserve">vermisst genauere Vorgaben zur Unterstützung der </w:t>
      </w:r>
      <w:proofErr w:type="spellStart"/>
      <w:r>
        <w:t>FuI</w:t>
      </w:r>
      <w:proofErr w:type="spellEnd"/>
      <w:r>
        <w:t xml:space="preserve">-Akteure in folgenden Bereichen: i) gebotene Sorgfalt, ii) </w:t>
      </w:r>
      <w:proofErr w:type="spellStart"/>
      <w:r>
        <w:t>Risikoprofiling</w:t>
      </w:r>
      <w:proofErr w:type="spellEnd"/>
      <w:r>
        <w:t xml:space="preserve">, iii) Vereinbarungen mit internationalen </w:t>
      </w:r>
      <w:proofErr w:type="spellStart"/>
      <w:r>
        <w:t>FuI</w:t>
      </w:r>
      <w:proofErr w:type="spellEnd"/>
      <w:r>
        <w:t>-Partnerorganisationen. Er geht allerdings davon aus, dass dieser Mangel zu einem späteren Zeitpunkt durch die künftige Arbeit des Europäischen Kompetenzzentrums für Forschungssicherheit behoben werden kann;</w:t>
      </w:r>
    </w:p>
    <w:p w:rsidRPr="00AD6EAC" w:rsidR="00D92244" w:rsidP="004C40FF"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hofft, dass das Europäische Kompetenzzentrum für Forschungssicherheit als Plattform für die Sammlung und den Austausch der Dokumentation dienen wird, wobei die gegenseitige Transparenz voll und ganz gewahrt werden muss. Das Zentrum sollte außerdem Aus- und Weiterbildungsmaßnahmen zur Forschungssicherheit organisieren.</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Kontakt</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E-Mail</w:t>
            </w:r>
          </w:p>
        </w:tc>
        <w:tc>
          <w:tcPr>
            <w:tcW w:w="3444" w:type="pct"/>
          </w:tcPr>
          <w:p w:rsidRPr="00AD6EAC" w:rsidR="00D92244" w:rsidP="00D76388" w:rsidRDefault="003C01AD" w14:paraId="3D9D06F0" w14:textId="54B85A05">
            <w:pPr>
              <w:overflowPunct w:val="0"/>
              <w:autoSpaceDE w:val="0"/>
              <w:autoSpaceDN w:val="0"/>
              <w:adjustRightInd w:val="0"/>
              <w:spacing w:line="240" w:lineRule="auto"/>
              <w:textAlignment w:val="baseline"/>
              <w:rPr>
                <w:i/>
              </w:rPr>
            </w:pPr>
            <w:hyperlink w:history="1" r:id="rId26">
              <w:r w:rsidR="00D449CF">
                <w:rPr>
                  <w:i/>
                  <w:color w:val="0000FF"/>
                  <w:u w:val="single"/>
                </w:rPr>
                <w:t>Marco.Manfroni@eesc.europa.eu</w:t>
              </w:r>
            </w:hyperlink>
          </w:p>
        </w:tc>
      </w:tr>
    </w:tbl>
    <w:p w:rsidR="006A7E31" w:rsidP="006A7E31" w:rsidRDefault="00520680" w14:paraId="295BACE7" w14:textId="7EB5E747">
      <w:pPr>
        <w:pStyle w:val="TOC1"/>
      </w:pPr>
      <w:bookmarkStart w:name="_Toc172124201" w:id="10"/>
      <w:bookmarkStart w:name="_Hlk171938165" w:id="11"/>
      <w:r>
        <w:t>5.</w:t>
      </w:r>
      <w:r>
        <w:rPr>
          <w:rFonts w:asciiTheme="minorHAnsi" w:hAnsiTheme="minorHAnsi"/>
          <w:sz w:val="22"/>
        </w:rPr>
        <w:tab/>
      </w:r>
      <w:r>
        <w:t>LANDWIRTSCHAFT, LÄNDLICHE ENTWICKLUNG, UMWELT</w:t>
      </w:r>
      <w:bookmarkEnd w:id="10"/>
    </w:p>
    <w:p w:rsidR="006A7E31" w:rsidP="006A7E31" w:rsidRDefault="006A7E31" w14:paraId="3D04EFC9" w14:textId="77777777">
      <w:pPr>
        <w:rPr>
          <w:rFonts w:eastAsiaTheme="minorEastAsia"/>
        </w:rPr>
      </w:pPr>
    </w:p>
    <w:p w:rsidRPr="0005755A" w:rsidR="006A7E31" w:rsidP="006A7E31" w:rsidRDefault="003C01AD" w14:paraId="39D83DFD" w14:textId="3AC08966">
      <w:pPr>
        <w:widowControl w:val="0"/>
        <w:numPr>
          <w:ilvl w:val="0"/>
          <w:numId w:val="31"/>
        </w:numPr>
        <w:overflowPunct w:val="0"/>
        <w:autoSpaceDE w:val="0"/>
        <w:autoSpaceDN w:val="0"/>
        <w:adjustRightInd w:val="0"/>
        <w:textAlignment w:val="baseline"/>
        <w:rPr>
          <w:sz w:val="20"/>
          <w:szCs w:val="20"/>
        </w:rPr>
      </w:pPr>
      <w:hyperlink w:history="1" r:id="rId27">
        <w:r w:rsidR="00D449CF">
          <w:rPr>
            <w:b/>
            <w:i/>
            <w:color w:val="0000FF"/>
            <w:sz w:val="28"/>
            <w:u w:val="single"/>
          </w:rPr>
          <w:t>Allgemeine Kommission für die Fischerei im Mittelmeer</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Referenzdokumente</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(Stellungnahme der Kategorie C)</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Der EWSA</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4C40FF" w:rsidRDefault="006A7E31" w14:paraId="7FA337A0" w14:textId="77777777">
      <w:pPr>
        <w:widowControl w:val="0"/>
        <w:numPr>
          <w:ilvl w:val="0"/>
          <w:numId w:val="42"/>
        </w:numPr>
        <w:overflowPunct w:val="0"/>
        <w:autoSpaceDE w:val="0"/>
        <w:autoSpaceDN w:val="0"/>
        <w:adjustRightInd w:val="0"/>
        <w:textAlignment w:val="baseline"/>
        <w:rPr>
          <w:bCs/>
          <w:iCs/>
        </w:rPr>
      </w:pPr>
      <w:r>
        <w:t>stimmt dem Inhalt des Vorschlags vorbehaltlos zu und hat keine Bemerkungen dazu vorzubringen.</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Kontakt</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+32 2 546 9802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05755A" w:rsidR="006A7E31" w:rsidP="00D76388" w:rsidRDefault="003C01AD" w14:paraId="7E7A15DD" w14:textId="77777777">
            <w:pPr>
              <w:overflowPunct w:val="0"/>
              <w:autoSpaceDE w:val="0"/>
              <w:autoSpaceDN w:val="0"/>
              <w:adjustRightInd w:val="0"/>
              <w:spacing w:line="240" w:lineRule="auto"/>
              <w:textAlignment w:val="baseline"/>
              <w:rPr>
                <w:i/>
              </w:rPr>
            </w:pPr>
            <w:hyperlink w:history="1" r:id="rId28">
              <w:r w:rsidR="00D449CF">
                <w:rPr>
                  <w:i/>
                  <w:color w:val="0000FF"/>
                  <w:u w:val="single"/>
                </w:rPr>
                <w:t>Martine.Delanoy@eesc.europa.eu</w:t>
              </w:r>
            </w:hyperlink>
            <w:r w:rsidR="00D449CF">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4C40FF" w:rsidR="006A7E31" w:rsidP="006A7E31" w:rsidRDefault="003C01AD" w14:paraId="246982C8" w14:textId="05A8BFCA">
      <w:pPr>
        <w:widowControl w:val="0"/>
        <w:numPr>
          <w:ilvl w:val="0"/>
          <w:numId w:val="27"/>
        </w:numPr>
        <w:overflowPunct w:val="0"/>
        <w:autoSpaceDE w:val="0"/>
        <w:autoSpaceDN w:val="0"/>
        <w:adjustRightInd w:val="0"/>
        <w:ind w:hanging="567"/>
        <w:textAlignment w:val="baseline"/>
        <w:rPr>
          <w:b/>
          <w:bCs/>
          <w:sz w:val="28"/>
          <w:szCs w:val="28"/>
          <w:u w:val="single"/>
        </w:rPr>
      </w:pPr>
      <w:hyperlink w:history="1" r:id="rId29">
        <w:r w:rsidR="006260A5">
          <w:rPr>
            <w:b/>
            <w:i/>
            <w:color w:val="0000FF"/>
            <w:sz w:val="28"/>
            <w:u w:val="single"/>
          </w:rPr>
          <w:t>Soziale, ökologische und wirtschaftliche Nachhaltigkeit der Agrar- und Ernährungsindustrie der EU im Hinblick auf eine künftige Erweiterung</w:t>
        </w:r>
      </w:hyperlink>
      <w:r w:rsidR="006260A5">
        <w:rPr>
          <w:b/>
          <w:i/>
          <w:color w:val="0000FF"/>
          <w:sz w:val="28"/>
          <w:u w:val="single"/>
        </w:rPr>
        <w:t xml:space="preserve"> </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Berichterstatter</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r>
              <w:t>Stoyan TCHOUKANOV (Gruppe Organisationen der Zivilgesellschaft –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Referenzdokument</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Sondierungsstellungnahme auf Ersuchen der Europäischen Kommission</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Der EWSA</w:t>
      </w:r>
    </w:p>
    <w:p w:rsidRPr="005721DA" w:rsidR="006A7E31" w:rsidP="004C40FF"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unterstreicht, dass sich die nächste Erweiterungsrunde von allen früheren Erweiterungen aufgrund der außergewöhnlichen aktuellen geopolitischen Lage unterscheidet, was jedoch kein Grund sein darf, bei der Vorbereitung der Kandidatenländer, den erforderlichen Gesetzesreformen und der Achtung der Grundwerte der EU Abstriche zu machen;</w:t>
      </w:r>
    </w:p>
    <w:p w:rsidRPr="005721DA" w:rsidR="006A7E31" w:rsidP="004C40FF"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betont, wie wichtig die Versorgungssicherheit bei der Lebensmittelerzeugung in der EU angesichts geopolitischer Spannungen ist und dass sichergestellt werden muss, dass alle Regionen der EU die landwirtschaftliche Erzeugung auch in Zukunft aufrechterhalten können;</w:t>
      </w:r>
    </w:p>
    <w:p w:rsidRPr="005721DA" w:rsidR="006A7E31" w:rsidP="004C40FF"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sieht darin auch die Chance auf eine bessere strategische Autonomie der EU und die weitere Verringerung der Umweltfolgen der Landwirtschaft; er räumt ein, dass vorausgegangene Erweiterungen durchwachsene Ergebnisse geliefert haben und es Gewinner und Verlierer gegeben hat. Strukturschwache ländliche Gebiete konnten von diesem Prozess weitaus weniger profitieren als die Ballungsräume, und viele kleinere europäische Landwirtschaftsbetriebe müssen aufgeben. Er fordert daher die Europäische Kommission und die Kandidatenländer auf, die Auswirkungen der Erweiterung zu bedenken und einzudämmen und dabei insbesondere landwirtschaftliche Familienbetriebe und die kleinen und mittleren Unternehmen der Agrar- und Ernährungswirtschaft sowohl in der EU als auch in den Kandidatenländern zu berücksichtigen;</w:t>
      </w:r>
    </w:p>
    <w:p w:rsidRPr="005721DA" w:rsidR="006A7E31" w:rsidP="004C40FF"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betont, dass sich die Kandidatenländer an den allgemeinen Zielen und Werten der GAP orientieren müssen – notwendige Reformen der GAP sowie der dazugehörige finanzielle Rahmen müssen vor der Erweiterung vereinbart werden; </w:t>
      </w:r>
    </w:p>
    <w:p w:rsidRPr="005721DA" w:rsidR="006A7E31" w:rsidP="004C40FF"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empfiehlt, die aktuelle flächenbezogene Einkommensgrundstützung schrittweise durch finanzielle Anreize für Dienstleistungen zum Nutzen von Umwelt und Gesellschaft sowie durch degressive Zahlungen oder eine obligatorische Deckelung bzw. Erhöhung für die ersten Hektare in alle Mitgliedstaaten zu ersetzen, und fordert, die Agrarpolitik und die Politik zur Entwicklung des ländlichen Raums stärker lokalwirtschaftlich auszurichten und diese Grundsätze auch auf die neuen Kandidatenländer anzuwenden;</w:t>
      </w:r>
    </w:p>
    <w:p w:rsidRPr="005721DA" w:rsidR="006A7E31" w:rsidP="004C40FF"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 xml:space="preserve">fordert eine Aufstockung des GAP-Haushalts, um die negativen Auswirkungen auf die Landwirte in der EU angemessen auszugleichen, wobei auch die potenziellen sozialen Kosten zu berücksichtigen sind. Dies bedeutet, dass die derzeitigen Nettozahler sich darauf einstellen müssen, im neuen Finanzzeitraum einen höheren Anteil ihres BIP für die EU bereitzustellen. EU-Exporteure von Industriegütern und Dienstleistungen werden einen Nettonutzen realisieren können, während die Agrar- und Ernährungsindustrie die niedrigeren Produktionskosten in einigen neuen Mitgliedstaaten zu spüren bekommen wird; </w:t>
      </w:r>
    </w:p>
    <w:p w:rsidRPr="005721DA" w:rsidR="006A7E31" w:rsidP="004C40FF"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hält detaillierte und zuverlässige Daten für besonders wichtig und fordert die Europäische Kommission nachdrücklich auf, die landwirtschaftliche Produktion, die Entwicklung der Reformprozesse und die Bodenspekulation genau zu überwachen;</w:t>
      </w:r>
    </w:p>
    <w:p w:rsidRPr="005721DA" w:rsidR="006A7E31" w:rsidP="004C40FF"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lastRenderedPageBreak/>
        <w:t>stellt fest, dass der Integrationsprozess mit der Öffnung der EU-Märkte für landwirtschaftliche Erzeugnisse aus den Kandidatenländern praktisch bereits begonnen hat. Dies birgt für die Mitgliedstaaten der EU potenzielle Risiken, die durch klare Vorgaben für die Kandidatenländer vermieden werden müssen.</w:t>
      </w:r>
    </w:p>
    <w:p w:rsidRPr="009C57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Kontakt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+32 2 546 9802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E-Mail</w:t>
            </w:r>
          </w:p>
        </w:tc>
        <w:tc>
          <w:tcPr>
            <w:tcW w:w="3444" w:type="pct"/>
          </w:tcPr>
          <w:p w:rsidRPr="005721DA" w:rsidR="006A7E31" w:rsidP="00D76388" w:rsidRDefault="003C01AD" w14:paraId="3B090D2B" w14:textId="77777777">
            <w:pPr>
              <w:overflowPunct w:val="0"/>
              <w:autoSpaceDE w:val="0"/>
              <w:autoSpaceDN w:val="0"/>
              <w:adjustRightInd w:val="0"/>
              <w:spacing w:line="240" w:lineRule="auto"/>
              <w:textAlignment w:val="baseline"/>
              <w:rPr>
                <w:i/>
              </w:rPr>
            </w:pPr>
            <w:hyperlink w:history="1" r:id="rId30">
              <w:r w:rsidR="00D449CF">
                <w:rPr>
                  <w:i/>
                  <w:color w:val="0000FF"/>
                  <w:u w:val="single"/>
                </w:rPr>
                <w:t>Martine.Delanoy@eesc.europa.eu</w:t>
              </w:r>
            </w:hyperlink>
            <w:r w:rsidR="00D449CF">
              <w:rPr>
                <w:i/>
              </w:rPr>
              <w:t xml:space="preserve"> </w:t>
            </w:r>
          </w:p>
        </w:tc>
      </w:tr>
    </w:tbl>
    <w:p w:rsidR="009C57DA" w:rsidP="00D92244" w:rsidRDefault="009C57DA" w14:paraId="7EC5C229" w14:textId="1F793085">
      <w:pPr>
        <w:pStyle w:val="TOC1"/>
      </w:pPr>
      <w:bookmarkStart w:name="_Hlk171938874" w:id="12"/>
      <w:bookmarkStart w:name="_Toc172124202" w:id="13"/>
    </w:p>
    <w:p w:rsidR="009C57DA" w:rsidRDefault="009C57DA" w14:paraId="07472D5F" w14:textId="77777777">
      <w:pPr>
        <w:spacing w:after="160" w:line="259" w:lineRule="auto"/>
        <w:jc w:val="left"/>
        <w:rPr>
          <w:b/>
          <w:noProof/>
          <w:sz w:val="20"/>
          <w:szCs w:val="20"/>
          <w14:scene3d>
            <w14:camera w14:prst="orthographicFront"/>
            <w14:lightRig w14:rig="threePt" w14:dir="t">
              <w14:rot w14:lat="0" w14:lon="0" w14:rev="0"/>
            </w14:lightRig>
          </w14:scene3d>
        </w:rPr>
      </w:pPr>
      <w:r>
        <w:br w:type="page"/>
      </w:r>
    </w:p>
    <w:p w:rsidR="00520680" w:rsidP="00D92244" w:rsidRDefault="006A7E31" w14:paraId="3600B088" w14:textId="4129E1BC">
      <w:pPr>
        <w:pStyle w:val="TOC1"/>
      </w:pPr>
      <w:r>
        <w:lastRenderedPageBreak/>
        <w:t>6.</w:t>
      </w:r>
      <w:r>
        <w:tab/>
        <w:t>AUẞENBEZIEHUNGEN</w:t>
      </w:r>
      <w:bookmarkEnd w:id="11"/>
      <w:bookmarkEnd w:id="12"/>
      <w:bookmarkEnd w:id="13"/>
    </w:p>
    <w:p w:rsidRPr="006A7E31" w:rsidR="006A7E31" w:rsidP="006A7E31" w:rsidRDefault="006A7E31" w14:paraId="7F857315" w14:textId="77777777"/>
    <w:p w:rsidRPr="003567CE" w:rsidR="003567CE" w:rsidP="004C40FF" w:rsidRDefault="003C01AD" w14:paraId="3CDD8FC4" w14:textId="4E44D971">
      <w:pPr>
        <w:widowControl w:val="0"/>
        <w:numPr>
          <w:ilvl w:val="0"/>
          <w:numId w:val="32"/>
        </w:numPr>
        <w:overflowPunct w:val="0"/>
        <w:autoSpaceDE w:val="0"/>
        <w:autoSpaceDN w:val="0"/>
        <w:adjustRightInd w:val="0"/>
        <w:ind w:hanging="720"/>
        <w:jc w:val="left"/>
        <w:textAlignment w:val="baseline"/>
        <w:rPr>
          <w:sz w:val="20"/>
        </w:rPr>
      </w:pPr>
      <w:hyperlink r:id="rId31">
        <w:r w:rsidR="00DC054C">
          <w:rPr>
            <w:b/>
            <w:i/>
            <w:color w:val="0000FF"/>
            <w:sz w:val="28"/>
            <w:u w:val="single"/>
          </w:rPr>
          <w:t>Überprüfung ausländischer Investitionen in der Union</w:t>
        </w:r>
      </w:hyperlink>
    </w:p>
    <w:p w:rsidRPr="009C57DA" w:rsidR="003567CE" w:rsidP="003567CE" w:rsidRDefault="003567CE" w14:paraId="1AE1253A" w14:textId="0E5062DE">
      <w:pPr>
        <w:widowControl w:val="0"/>
        <w:jc w:val="left"/>
        <w:rPr>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5387"/>
      </w:tblGrid>
      <w:tr w:rsidRPr="003567CE" w:rsidR="003567CE" w:rsidTr="009C57DA" w14:paraId="6BEC2D5C" w14:textId="77777777">
        <w:trPr>
          <w:trHeight w:val="330"/>
        </w:trPr>
        <w:tc>
          <w:tcPr>
            <w:tcW w:w="1938" w:type="dxa"/>
          </w:tcPr>
          <w:p w:rsidRPr="004C40FF" w:rsidR="003567CE" w:rsidP="003567CE" w:rsidRDefault="003567CE" w14:paraId="4A5DDF70" w14:textId="77777777">
            <w:pPr>
              <w:tabs>
                <w:tab w:val="center" w:pos="284"/>
              </w:tabs>
              <w:ind w:left="266" w:hanging="266"/>
              <w:rPr>
                <w:b/>
              </w:rPr>
            </w:pPr>
            <w:r>
              <w:rPr>
                <w:b/>
              </w:rPr>
              <w:t>Berichterstatter</w:t>
            </w:r>
          </w:p>
        </w:tc>
        <w:tc>
          <w:tcPr>
            <w:tcW w:w="5387" w:type="dxa"/>
          </w:tcPr>
          <w:p w:rsidRPr="004C40FF" w:rsidR="003567CE" w:rsidP="003567CE" w:rsidRDefault="003567CE" w14:paraId="5C6E2D44" w14:textId="4256AE26">
            <w:pPr>
              <w:tabs>
                <w:tab w:val="center" w:pos="2585"/>
              </w:tabs>
              <w:jc w:val="left"/>
            </w:pPr>
            <w:r>
              <w:t>Javier DOZ ORRIT (Gruppe Arbeitnehmer – ES)</w:t>
            </w:r>
          </w:p>
          <w:p w:rsidRPr="004C40FF" w:rsidR="007F26D0" w:rsidP="003567CE" w:rsidRDefault="007F26D0" w14:paraId="0E519C77" w14:textId="08771BB2">
            <w:pPr>
              <w:tabs>
                <w:tab w:val="center" w:pos="2585"/>
              </w:tabs>
              <w:jc w:val="left"/>
            </w:pPr>
          </w:p>
        </w:tc>
      </w:tr>
      <w:tr w:rsidRPr="003567CE" w:rsidR="003567CE" w:rsidTr="009C57DA" w14:paraId="24EFF744" w14:textId="77777777">
        <w:tc>
          <w:tcPr>
            <w:tcW w:w="1938" w:type="dxa"/>
          </w:tcPr>
          <w:p w:rsidRPr="004C40FF" w:rsidR="003567CE" w:rsidP="003567CE" w:rsidRDefault="003567CE" w14:paraId="5E952219" w14:textId="77777777">
            <w:pPr>
              <w:tabs>
                <w:tab w:val="center" w:pos="284"/>
              </w:tabs>
              <w:ind w:left="266" w:hanging="266"/>
              <w:rPr>
                <w:b/>
              </w:rPr>
            </w:pPr>
            <w:r>
              <w:rPr>
                <w:b/>
              </w:rPr>
              <w:t>Referenzdokumente</w:t>
            </w:r>
          </w:p>
        </w:tc>
        <w:tc>
          <w:tcPr>
            <w:tcW w:w="5387" w:type="dxa"/>
          </w:tcPr>
          <w:p w:rsidRPr="004C40FF" w:rsidR="007F26D0" w:rsidP="003567CE" w:rsidRDefault="007F26D0" w14:paraId="5C20CCDF" w14:textId="05E01A5F">
            <w:pPr>
              <w:tabs>
                <w:tab w:val="center" w:pos="284"/>
              </w:tabs>
              <w:ind w:left="266" w:hanging="266"/>
            </w:pPr>
            <w:r>
              <w:t>COM(2024) 23 final</w:t>
            </w:r>
          </w:p>
          <w:p w:rsidRPr="004C40FF" w:rsidR="003567CE" w:rsidP="003567CE" w:rsidRDefault="003567CE" w14:paraId="1A4A06B4" w14:textId="1263C970">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Kernaussagen</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Der EWSA</w:t>
      </w:r>
    </w:p>
    <w:p w:rsidRPr="003567CE" w:rsidR="00BC28F5" w:rsidP="003567CE" w:rsidRDefault="00BC28F5" w14:paraId="14C2E21C" w14:textId="77777777">
      <w:pPr>
        <w:rPr>
          <w:bCs/>
          <w:iCs/>
          <w:lang w:val="en-US"/>
        </w:rPr>
      </w:pPr>
    </w:p>
    <w:p w:rsidRPr="003567CE" w:rsidR="003567CE" w:rsidP="004C40FF"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begrüßt die vorgeschlagene Verordnung als einen Schritt in die richtige Richtung, um die Überprüfungsmechanismen für ausländische Direktinvestitionen (ADI) in der EU zu verbessern. Mit dieser Verordnung sollen die nationalen Verfahren harmonisiert und der EU-Kooperationsmechanismus gestärkt werden, um die öffentliche Kontrolle über kritische Sektoren und Programme sicherzustellen;</w:t>
      </w:r>
    </w:p>
    <w:p w:rsidRPr="003567CE" w:rsidR="003567CE" w:rsidP="004C40FF"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betont, dass eine stärkere Harmonisierung der nationalen Rechtsvorschriften zur Regulierung von ADI und der Überprüfungsmechanismen gefördert werden muss. Dies umfasst: a) einheitliche Schwellenwerte für die ADI-Kontrolle und einheitliche Antwortfristen; b) kohärente Definitionen der Risiken für die Sicherheit und die öffentliche Ordnung; c) Stärkung der Kapazitäten der Mitgliedstaaten für die wirksame Ausführung der ADI-Kontrolle;</w:t>
      </w:r>
    </w:p>
    <w:p w:rsidRPr="003567CE" w:rsidR="003567CE" w:rsidP="004C40FF" w:rsidRDefault="003567CE" w14:paraId="035CA57A" w14:textId="77777777">
      <w:pPr>
        <w:widowControl w:val="0"/>
        <w:numPr>
          <w:ilvl w:val="0"/>
          <w:numId w:val="45"/>
        </w:numPr>
        <w:spacing w:before="10" w:after="10" w:line="276" w:lineRule="auto"/>
        <w:ind w:left="426"/>
      </w:pPr>
      <w:r>
        <w:t>fordert, Ausnahmefälle festzulegen, in denen die EU-Organe ADI verbieten, abschwächen oder Auflagen unterwerfen können, wenn sie Programme oder Projekte von Interesse für die Union gefährden. Dadurch wird ein einheitlicher Ansatz für den Schutz der öffentlichen Sicherheit und Ordnung in allen Mitgliedstaaten gewährleistet. Zu diesem Zweck sollte die EU klare Verfahren und Umstände festlegen, um die Kontrolle über Investitionen auszuüben, die ein ernsthaftes Risiko für die Interessen der EU darstellen;</w:t>
      </w:r>
    </w:p>
    <w:p w:rsidRPr="003567CE" w:rsidR="003567CE" w:rsidP="004C40FF" w:rsidRDefault="003567CE" w14:paraId="1444EF7F" w14:textId="77777777">
      <w:pPr>
        <w:widowControl w:val="0"/>
        <w:numPr>
          <w:ilvl w:val="0"/>
          <w:numId w:val="45"/>
        </w:numPr>
        <w:spacing w:before="10" w:after="10" w:line="276" w:lineRule="auto"/>
        <w:ind w:left="426"/>
      </w:pPr>
      <w:r>
        <w:t>schlägt vor, den Grundsatz der Gegenseitigkeit in Handels-, Investitions- oder Assoziierungsabkommen mit Drittstaaten zu wahren und Investitionen aus Ländern, die EU-Investitionen einschränken, zu überwachen. Es gilt, eine ausgewogene und faire Behandlung sicherzustellen, über deren strikte Anwendung von Fall zu Fall entschieden wird. ADI sollten im konzeptionellen Rahmen der strategischen Autonomie und der Strategie für wirtschaftliche Sicherheit weiterhin zur Unterstützung der nachhaltigen Wettbewerbsfähigkeit gefördert werden;</w:t>
      </w:r>
    </w:p>
    <w:p w:rsidRPr="003567CE" w:rsidR="003567CE" w:rsidP="004C40FF" w:rsidRDefault="003567CE" w14:paraId="33A49B20" w14:textId="77777777">
      <w:pPr>
        <w:widowControl w:val="0"/>
        <w:numPr>
          <w:ilvl w:val="0"/>
          <w:numId w:val="45"/>
        </w:numPr>
        <w:spacing w:before="10" w:after="10" w:line="276" w:lineRule="auto"/>
        <w:ind w:left="426"/>
      </w:pPr>
      <w:r>
        <w:t>fordert, Investitionen aus Steueroasen einer besonderen Überwachung zu unterwerfen, die eine umfassende Kenntnis der tatsächlichen Eigentümer der investierenden Unternehmen und die Prüfung der Rechtmäßigkeit der eingesetzten Mittel erfordert. Die Mitgliedstaaten sollten aufgefordert werden, die Abschaffung sogenannter „goldener Visa“ für die Erlangung des Wohnsitzes oder der Staatsangehörigkeit in einem EU-Land zu erwägen;</w:t>
      </w:r>
    </w:p>
    <w:p w:rsidRPr="003567CE" w:rsidR="003567CE" w:rsidP="004C40FF" w:rsidRDefault="003567CE" w14:paraId="4CDFF91C" w14:textId="77777777">
      <w:pPr>
        <w:widowControl w:val="0"/>
        <w:numPr>
          <w:ilvl w:val="0"/>
          <w:numId w:val="45"/>
        </w:numPr>
        <w:spacing w:before="10" w:after="10" w:line="276" w:lineRule="auto"/>
        <w:ind w:left="426"/>
      </w:pPr>
      <w:r>
        <w:t xml:space="preserve">betont, dass Verfahren für die Beteiligung der Sozialpartner und der zivilgesellschaftlichen Organisationen an der Politik für ADI und deren Kontrolle sowohl auf EU-Ebene als auch auf nationaler Ebene erforderlich sind, um Transparenz und </w:t>
      </w:r>
      <w:proofErr w:type="spellStart"/>
      <w:r>
        <w:t>Inklusivität</w:t>
      </w:r>
      <w:proofErr w:type="spellEnd"/>
      <w:r>
        <w:t xml:space="preserve"> des Bewertungsprozesses sicherzustellen.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C57DA" w:rsidR="003567CE" w:rsidTr="00D76388" w14:paraId="0BDAEDE2" w14:textId="77777777">
        <w:tc>
          <w:tcPr>
            <w:tcW w:w="1418" w:type="dxa"/>
          </w:tcPr>
          <w:p w:rsidRPr="009C57DA" w:rsidR="003567CE" w:rsidP="003567CE" w:rsidRDefault="003567CE" w14:paraId="75FDFE87" w14:textId="77777777">
            <w:pPr>
              <w:rPr>
                <w:i/>
              </w:rPr>
            </w:pPr>
            <w:r w:rsidRPr="009C57DA">
              <w:rPr>
                <w:b/>
                <w:i/>
              </w:rPr>
              <w:t>Kontakt</w:t>
            </w:r>
          </w:p>
        </w:tc>
        <w:tc>
          <w:tcPr>
            <w:tcW w:w="5670" w:type="dxa"/>
          </w:tcPr>
          <w:p w:rsidRPr="009C57DA" w:rsidR="003567CE" w:rsidP="003567CE" w:rsidRDefault="003567CE" w14:paraId="2C1A667F" w14:textId="77777777">
            <w:pPr>
              <w:rPr>
                <w:i/>
              </w:rPr>
            </w:pPr>
            <w:r w:rsidRPr="009C57DA">
              <w:rPr>
                <w:i/>
              </w:rPr>
              <w:t xml:space="preserve">Marco </w:t>
            </w:r>
            <w:proofErr w:type="spellStart"/>
            <w:r w:rsidRPr="009C57DA">
              <w:rPr>
                <w:i/>
              </w:rPr>
              <w:t>Ristori</w:t>
            </w:r>
            <w:proofErr w:type="spellEnd"/>
          </w:p>
        </w:tc>
      </w:tr>
      <w:tr w:rsidRPr="009C57DA" w:rsidR="003567CE" w:rsidTr="00D76388" w14:paraId="43A475CE" w14:textId="77777777">
        <w:tc>
          <w:tcPr>
            <w:tcW w:w="1418" w:type="dxa"/>
          </w:tcPr>
          <w:p w:rsidRPr="009C57DA" w:rsidR="003567CE" w:rsidP="003567CE" w:rsidRDefault="003567CE" w14:paraId="68E49F1C" w14:textId="77777777">
            <w:pPr>
              <w:rPr>
                <w:i/>
              </w:rPr>
            </w:pPr>
            <w:r w:rsidRPr="009C57DA">
              <w:rPr>
                <w:i/>
              </w:rPr>
              <w:t>Tel.</w:t>
            </w:r>
          </w:p>
        </w:tc>
        <w:tc>
          <w:tcPr>
            <w:tcW w:w="5670" w:type="dxa"/>
          </w:tcPr>
          <w:p w:rsidRPr="009C57DA" w:rsidR="003567CE" w:rsidP="003567CE" w:rsidRDefault="003567CE" w14:paraId="25B8F53A" w14:textId="77777777">
            <w:pPr>
              <w:rPr>
                <w:i/>
              </w:rPr>
            </w:pPr>
            <w:r w:rsidRPr="009C57DA">
              <w:rPr>
                <w:i/>
              </w:rPr>
              <w:t>+32 25469969</w:t>
            </w:r>
          </w:p>
        </w:tc>
      </w:tr>
      <w:tr w:rsidRPr="009C57DA" w:rsidR="003567CE" w:rsidTr="00D76388" w14:paraId="25CC9356" w14:textId="77777777">
        <w:tc>
          <w:tcPr>
            <w:tcW w:w="1418" w:type="dxa"/>
          </w:tcPr>
          <w:p w:rsidRPr="009C57DA" w:rsidR="003567CE" w:rsidP="003567CE" w:rsidRDefault="003567CE" w14:paraId="17484178" w14:textId="77777777">
            <w:pPr>
              <w:rPr>
                <w:i/>
              </w:rPr>
            </w:pPr>
            <w:r w:rsidRPr="009C57DA">
              <w:rPr>
                <w:i/>
              </w:rPr>
              <w:t>E-Mail</w:t>
            </w:r>
          </w:p>
        </w:tc>
        <w:tc>
          <w:tcPr>
            <w:tcW w:w="5670" w:type="dxa"/>
          </w:tcPr>
          <w:p w:rsidRPr="009C57DA" w:rsidR="003567CE" w:rsidP="003567CE" w:rsidRDefault="003C01AD" w14:paraId="4A046612" w14:textId="77777777">
            <w:pPr>
              <w:rPr>
                <w:i/>
              </w:rPr>
            </w:pPr>
            <w:hyperlink w:history="1" r:id="rId32">
              <w:r w:rsidRPr="009C57DA" w:rsidR="00D449CF">
                <w:rPr>
                  <w:i/>
                  <w:color w:val="0000FF"/>
                  <w:u w:val="single"/>
                </w:rPr>
                <w:t>Marco.Ristori@eesc.europa.eu</w:t>
              </w:r>
            </w:hyperlink>
          </w:p>
        </w:tc>
      </w:tr>
    </w:tbl>
    <w:p w:rsidR="006A7E31" w:rsidP="00D92244" w:rsidRDefault="00A72EDD" w14:paraId="07F93DE3" w14:textId="5E2145AE">
      <w:pPr>
        <w:pStyle w:val="TOC1"/>
      </w:pPr>
      <w:bookmarkStart w:name="_Hlk171939398" w:id="14"/>
      <w:bookmarkStart w:name="_Toc172124203" w:id="15"/>
      <w:bookmarkStart w:name="_Hlk171940016" w:id="16"/>
      <w:r>
        <w:lastRenderedPageBreak/>
        <w:t>7.</w:t>
      </w:r>
      <w:r>
        <w:tab/>
      </w:r>
      <w:bookmarkEnd w:id="14"/>
      <w:r>
        <w:t>VERKEHR, ENERGIE, INFRASTRUKTUREN, INFORMATIONSGESELLSCHAFT</w:t>
      </w:r>
      <w:bookmarkEnd w:id="15"/>
    </w:p>
    <w:bookmarkEnd w:id="16"/>
    <w:p w:rsidR="00160A67" w:rsidP="00160A67" w:rsidRDefault="00160A67" w14:paraId="2CBE297E" w14:textId="164A826B">
      <w:pPr>
        <w:rPr>
          <w:rFonts w:eastAsiaTheme="minorEastAsia"/>
        </w:rPr>
      </w:pPr>
    </w:p>
    <w:p w:rsidRPr="00200444" w:rsidR="00200444" w:rsidP="00200444" w:rsidRDefault="003C01AD" w14:paraId="58676F78" w14:textId="19339B2B">
      <w:pPr>
        <w:widowControl w:val="0"/>
        <w:numPr>
          <w:ilvl w:val="0"/>
          <w:numId w:val="27"/>
        </w:numPr>
        <w:overflowPunct w:val="0"/>
        <w:autoSpaceDE w:val="0"/>
        <w:autoSpaceDN w:val="0"/>
        <w:adjustRightInd w:val="0"/>
        <w:ind w:hanging="567"/>
        <w:textAlignment w:val="baseline"/>
        <w:rPr>
          <w:sz w:val="20"/>
          <w:szCs w:val="20"/>
        </w:rPr>
      </w:pPr>
      <w:hyperlink w:history="1" r:id="rId33">
        <w:r w:rsidR="00D449CF">
          <w:rPr>
            <w:b/>
            <w:i/>
            <w:color w:val="0000FF"/>
            <w:sz w:val="28"/>
            <w:u w:val="single"/>
          </w:rPr>
          <w:t>Digitalisierung im Energiebereich: Chancen und Risiken für die europäischen Verbraucher</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Berichterstatter</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proofErr w:type="spellStart"/>
            <w:r>
              <w:t>Kęstutis</w:t>
            </w:r>
            <w:proofErr w:type="spellEnd"/>
            <w:r>
              <w:t xml:space="preserve"> KUPŠYS (Gruppe Organisationen der Zivilgesellschaft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Referenzdokument</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Initiativstellungnahme</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Der EWSA</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4C40FF" w:rsidRDefault="00200444" w14:paraId="206F1777" w14:textId="77777777">
      <w:pPr>
        <w:numPr>
          <w:ilvl w:val="0"/>
          <w:numId w:val="46"/>
        </w:numPr>
        <w:overflowPunct w:val="0"/>
        <w:autoSpaceDE w:val="0"/>
        <w:autoSpaceDN w:val="0"/>
        <w:adjustRightInd w:val="0"/>
        <w:ind w:left="284" w:hanging="284"/>
        <w:contextualSpacing/>
        <w:textAlignment w:val="baseline"/>
      </w:pPr>
      <w:r>
        <w:t>betont, dass die Digitalisierung angesichts des grünen Wandels immer mehr an Bedeutung gewinnt. Energie sollte für die Verbraucher jedoch erschwinglich, regulierbar und nutzerfreundlich bleiben. Dazu gehört die Entwicklung benutzerfreundlicher digitaler Instrumente, die unterschiedlichen Bedürfnissen gerecht werden und einen gleichberechtigten Zugang zu digitalen Energiedienstleistungen fördern. Die Verbraucherinnen und Verbraucher sollten auch weiterhin Preise, Verträge und Kundendienstleistungen nicht nur digital wählen können;</w:t>
      </w:r>
    </w:p>
    <w:p w:rsidRPr="00200444" w:rsidR="00200444" w:rsidP="004C40FF" w:rsidRDefault="00200444" w14:paraId="60E3E940" w14:textId="77777777">
      <w:pPr>
        <w:numPr>
          <w:ilvl w:val="0"/>
          <w:numId w:val="46"/>
        </w:numPr>
        <w:overflowPunct w:val="0"/>
        <w:autoSpaceDE w:val="0"/>
        <w:autoSpaceDN w:val="0"/>
        <w:adjustRightInd w:val="0"/>
        <w:ind w:left="284" w:hanging="284"/>
        <w:contextualSpacing/>
        <w:textAlignment w:val="baseline"/>
      </w:pPr>
      <w:r>
        <w:t>unterstreicht die Priorität der Cybersicherheit. Die Digitalisierung macht dynamische Verbraucherschutzvorschriften noch dringender erforderlich, die auf die neuen Gegebenheiten und Akteure des Sektors zugeschnitten sind;</w:t>
      </w:r>
    </w:p>
    <w:p w:rsidRPr="00200444" w:rsidR="00200444" w:rsidP="004C40FF" w:rsidRDefault="00200444" w14:paraId="22781EDC" w14:textId="77777777">
      <w:pPr>
        <w:numPr>
          <w:ilvl w:val="0"/>
          <w:numId w:val="46"/>
        </w:numPr>
        <w:overflowPunct w:val="0"/>
        <w:autoSpaceDE w:val="0"/>
        <w:autoSpaceDN w:val="0"/>
        <w:adjustRightInd w:val="0"/>
        <w:ind w:left="284" w:hanging="284"/>
        <w:contextualSpacing/>
        <w:textAlignment w:val="baseline"/>
      </w:pPr>
      <w:r>
        <w:t>weist darauf hin, dass die digitale Kluft zwischen Verbrauchern, die sich teurere digitale Instrumente leisten können, und solchen, die dies nicht können, zu einer Verschärfung der Energiearmut führt;</w:t>
      </w:r>
    </w:p>
    <w:p w:rsidRPr="00200444" w:rsidR="00200444" w:rsidP="004C40FF" w:rsidRDefault="00200444" w14:paraId="754492E5" w14:textId="77777777">
      <w:pPr>
        <w:numPr>
          <w:ilvl w:val="0"/>
          <w:numId w:val="46"/>
        </w:numPr>
        <w:overflowPunct w:val="0"/>
        <w:autoSpaceDE w:val="0"/>
        <w:autoSpaceDN w:val="0"/>
        <w:adjustRightInd w:val="0"/>
        <w:ind w:left="284" w:hanging="284"/>
        <w:contextualSpacing/>
        <w:textAlignment w:val="baseline"/>
      </w:pPr>
      <w:r>
        <w:t>empfiehlt, die Arbeitnehmerinnen und Arbeitnehmer entsprechend zu schulen. „Net-Zero-Industry“-Akademien sollten unter allen Interessenträgern bekannt gemacht werden, mit Schwerpunkt auf Kompetenzen im Bereich der Energieeffizienz.</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Kontakt</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r>
              <w:rPr>
                <w:i/>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D76388" w14:paraId="060AFC65" w14:textId="77777777">
        <w:tc>
          <w:tcPr>
            <w:tcW w:w="1418" w:type="dxa"/>
          </w:tcPr>
          <w:p w:rsidRPr="00200444" w:rsidR="00200444" w:rsidP="00200444" w:rsidRDefault="00BC3933" w14:paraId="0C1B36D7" w14:textId="6BD46D0D">
            <w:pPr>
              <w:overflowPunct w:val="0"/>
              <w:autoSpaceDE w:val="0"/>
              <w:autoSpaceDN w:val="0"/>
              <w:adjustRightInd w:val="0"/>
              <w:spacing w:line="240" w:lineRule="auto"/>
              <w:textAlignment w:val="baseline"/>
              <w:rPr>
                <w:i/>
              </w:rPr>
            </w:pPr>
            <w:r>
              <w:rPr>
                <w:i/>
              </w:rPr>
              <w:t>E-Mail</w:t>
            </w:r>
          </w:p>
        </w:tc>
        <w:tc>
          <w:tcPr>
            <w:tcW w:w="5670" w:type="dxa"/>
          </w:tcPr>
          <w:p w:rsidRPr="00200444" w:rsidR="00200444" w:rsidP="00200444" w:rsidRDefault="003C01AD" w14:paraId="0B137F65" w14:textId="77777777">
            <w:pPr>
              <w:overflowPunct w:val="0"/>
              <w:autoSpaceDE w:val="0"/>
              <w:autoSpaceDN w:val="0"/>
              <w:adjustRightInd w:val="0"/>
              <w:spacing w:line="240" w:lineRule="auto"/>
              <w:textAlignment w:val="baseline"/>
              <w:rPr>
                <w:i/>
                <w:iCs/>
              </w:rPr>
            </w:pPr>
            <w:hyperlink w:history="1" r:id="rId34">
              <w:r w:rsidR="00D449CF">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7"/>
      <w:bookmarkStart w:name="_Toc153547136" w:id="18"/>
      <w:r>
        <w:br w:type="page"/>
      </w:r>
    </w:p>
    <w:p w:rsidRPr="00160A67" w:rsidR="00160A67" w:rsidP="00FE2F95" w:rsidRDefault="003D6811" w14:paraId="5D209F0E" w14:textId="4471A438">
      <w:pPr>
        <w:pStyle w:val="TOC1"/>
        <w:rPr>
          <w:rFonts w:eastAsiaTheme="minorEastAsia"/>
        </w:rPr>
      </w:pPr>
      <w:bookmarkStart w:name="_Toc172124204" w:id="19"/>
      <w:r>
        <w:rPr>
          <w:sz w:val="22"/>
        </w:rPr>
        <w:lastRenderedPageBreak/>
        <w:t xml:space="preserve">8. </w:t>
      </w:r>
      <w:r>
        <w:rPr>
          <w:sz w:val="22"/>
        </w:rPr>
        <w:tab/>
        <w:t>BERATENDE KOMMISSION FÜR DEN INDUSTRIELLEN WANDEL</w:t>
      </w:r>
      <w:bookmarkEnd w:id="17"/>
      <w:bookmarkEnd w:id="18"/>
      <w:bookmarkEnd w:id="19"/>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3C01AD" w14:paraId="005DB8F3" w14:textId="4F6880E9">
      <w:pPr>
        <w:widowControl w:val="0"/>
        <w:numPr>
          <w:ilvl w:val="0"/>
          <w:numId w:val="27"/>
        </w:numPr>
        <w:overflowPunct w:val="0"/>
        <w:autoSpaceDE w:val="0"/>
        <w:autoSpaceDN w:val="0"/>
        <w:adjustRightInd w:val="0"/>
        <w:ind w:hanging="567"/>
        <w:textAlignment w:val="baseline"/>
        <w:rPr>
          <w:i/>
          <w:iCs/>
          <w:sz w:val="28"/>
          <w:szCs w:val="28"/>
        </w:rPr>
      </w:pPr>
      <w:hyperlink w:history="1" r:id="rId35">
        <w:r w:rsidR="00D449CF">
          <w:rPr>
            <w:b/>
            <w:i/>
            <w:color w:val="0000FF"/>
            <w:sz w:val="28"/>
            <w:u w:val="single"/>
          </w:rPr>
          <w:t>Die Natur als Fundament der Zukunft: Förderung der Biotechnologie und der Bioproduktion in der EU</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Berichterstatter</w:t>
            </w:r>
          </w:p>
        </w:tc>
        <w:tc>
          <w:tcPr>
            <w:tcW w:w="3409" w:type="pct"/>
          </w:tcPr>
          <w:p w:rsidRPr="004C40FF" w:rsidR="00CE7004" w:rsidP="00CE7004" w:rsidRDefault="00CE7004" w14:paraId="45443A3B" w14:textId="772647C7">
            <w:pPr>
              <w:tabs>
                <w:tab w:val="center" w:pos="284"/>
              </w:tabs>
              <w:overflowPunct w:val="0"/>
              <w:autoSpaceDE w:val="0"/>
              <w:autoSpaceDN w:val="0"/>
              <w:adjustRightInd w:val="0"/>
              <w:ind w:left="266" w:hanging="266"/>
              <w:textAlignment w:val="baseline"/>
            </w:pPr>
            <w:r>
              <w:t>Florian MARIN (Gruppe Arbeitnehmer –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Ko-Berichterstatter</w:t>
            </w:r>
          </w:p>
        </w:tc>
        <w:tc>
          <w:tcPr>
            <w:tcW w:w="3409" w:type="pct"/>
          </w:tcPr>
          <w:p w:rsidRPr="004C40FF" w:rsidR="00CE7004" w:rsidP="00CE7004" w:rsidRDefault="00CE7004" w14:paraId="2D00FC95" w14:textId="129C9508">
            <w:pPr>
              <w:tabs>
                <w:tab w:val="center" w:pos="284"/>
              </w:tabs>
              <w:overflowPunct w:val="0"/>
              <w:autoSpaceDE w:val="0"/>
              <w:autoSpaceDN w:val="0"/>
              <w:adjustRightInd w:val="0"/>
              <w:ind w:left="266" w:hanging="266"/>
              <w:textAlignment w:val="baseline"/>
            </w:pPr>
            <w:r>
              <w:t>Antonello PEZZINI (Kat. 1 –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Referenzdokumente</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1C0E1193">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Der EWSA</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4C40FF"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bedauert, dass es in der EU noch keine </w:t>
      </w:r>
      <w:r>
        <w:rPr>
          <w:b/>
        </w:rPr>
        <w:t>Bioökonomie-Strategie</w:t>
      </w:r>
      <w:r>
        <w:t xml:space="preserve"> oder ein </w:t>
      </w:r>
      <w:r>
        <w:rPr>
          <w:b/>
        </w:rPr>
        <w:t>Biotechnologiegesetz</w:t>
      </w:r>
      <w:r>
        <w:t xml:space="preserve"> gibt, da er der Ansicht ist, dass solche Rechtsvorschriften angesichts der weltweiten Situation dringend erforderlich sind;</w:t>
      </w:r>
    </w:p>
    <w:p w:rsidRPr="00CE7004" w:rsidR="00CE7004" w:rsidP="004C40FF"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schlägt vor, dass die </w:t>
      </w:r>
      <w:r>
        <w:rPr>
          <w:b/>
        </w:rPr>
        <w:t>Bioökonomie-Strategie der EU auf einem integrierten sektoralen Ansatz mit spezifischen Zielen beruhen</w:t>
      </w:r>
      <w:r>
        <w:t xml:space="preserve"> sollte, einschließlich einer Forschungsagenda für die nächsten zehn Jahre, einer Liste von Kompetenzen und einer klaren Rolle für die Zivilgesellschaft;</w:t>
      </w:r>
    </w:p>
    <w:p w:rsidRPr="00CE7004" w:rsidR="00CE7004" w:rsidP="004C40FF"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ist der Ansicht, dass ein </w:t>
      </w:r>
      <w:r>
        <w:rPr>
          <w:b/>
        </w:rPr>
        <w:t>Verhaltenskodex für EU-Unternehmen und Produkte, die in der EU in Verkehr gebracht werden</w:t>
      </w:r>
      <w:r>
        <w:t>, in Betracht gezogen und dieser weltweit gefördert werden sollte;</w:t>
      </w:r>
    </w:p>
    <w:p w:rsidRPr="00CE7004" w:rsidR="00CE7004" w:rsidP="004C40FF"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vertritt die Auffassung, dass </w:t>
      </w:r>
      <w:r>
        <w:rPr>
          <w:b/>
        </w:rPr>
        <w:t>gezielte Maßnahmen</w:t>
      </w:r>
      <w:r>
        <w:t xml:space="preserve"> erforderlich sind, um </w:t>
      </w:r>
      <w:r>
        <w:rPr>
          <w:b/>
        </w:rPr>
        <w:t>Kompetenzen zu entwickeln</w:t>
      </w:r>
      <w:r>
        <w:t xml:space="preserve"> und </w:t>
      </w:r>
      <w:r>
        <w:rPr>
          <w:b/>
        </w:rPr>
        <w:t>Synergien</w:t>
      </w:r>
      <w:r>
        <w:t xml:space="preserve"> zwischen den Qualifikationsanforderungen im Bereich Biotechnologie und den Erfordernissen der Bioproduktion zu </w:t>
      </w:r>
      <w:r>
        <w:rPr>
          <w:b/>
        </w:rPr>
        <w:t>konsolidieren</w:t>
      </w:r>
      <w:r>
        <w:t>;</w:t>
      </w:r>
    </w:p>
    <w:p w:rsidRPr="00CE7004" w:rsidR="00CE7004" w:rsidP="004C40FF"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ist der Ansicht, dass die Entwicklung der Biotechnologie und der Bioproduktion in der EU </w:t>
      </w:r>
      <w:r>
        <w:rPr>
          <w:b/>
        </w:rPr>
        <w:t>branchenspezifische Indikatoren</w:t>
      </w:r>
      <w:r>
        <w:t xml:space="preserve">, </w:t>
      </w:r>
      <w:r>
        <w:rPr>
          <w:b/>
        </w:rPr>
        <w:t>öffentlich-private Partnerschaften</w:t>
      </w:r>
      <w:r>
        <w:t xml:space="preserve">, ein </w:t>
      </w:r>
      <w:r>
        <w:rPr>
          <w:b/>
        </w:rPr>
        <w:t>sektorübergreifendes Forschungssystem</w:t>
      </w:r>
      <w:r>
        <w:t xml:space="preserve">, eine </w:t>
      </w:r>
      <w:r>
        <w:rPr>
          <w:b/>
        </w:rPr>
        <w:t>Datenbank mit potenziellen Investoren</w:t>
      </w:r>
      <w:r>
        <w:t xml:space="preserve">, </w:t>
      </w:r>
      <w:r>
        <w:rPr>
          <w:b/>
        </w:rPr>
        <w:t>schnellere und unbürokratischere Zulassungsverfahren</w:t>
      </w:r>
      <w:r>
        <w:t xml:space="preserve">, eine </w:t>
      </w:r>
      <w:r>
        <w:rPr>
          <w:b/>
        </w:rPr>
        <w:t>perfekte Synergie mit den Nachhaltigkeitszielen und dem vorgeschlagenen Blauen Deal</w:t>
      </w:r>
      <w:r>
        <w:t xml:space="preserve">, spezifische und harmonisierte </w:t>
      </w:r>
      <w:r>
        <w:rPr>
          <w:b/>
        </w:rPr>
        <w:t>europäische und globale Normen</w:t>
      </w:r>
      <w:r>
        <w:t xml:space="preserve">, Maßnahmen zur Stärkung der </w:t>
      </w:r>
      <w:r>
        <w:rPr>
          <w:b/>
        </w:rPr>
        <w:t>öffentlichen Unterstützung, des Vertrauens und der Aufklärung</w:t>
      </w:r>
      <w:r>
        <w:t xml:space="preserve"> sowie </w:t>
      </w:r>
      <w:r>
        <w:rPr>
          <w:b/>
        </w:rPr>
        <w:t>mehr Klarheit bezüglich nationaler und geteilter Zuständigkeiten</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schlägt vor, bei der </w:t>
      </w:r>
      <w:r>
        <w:rPr>
          <w:b/>
        </w:rPr>
        <w:t>Finanzierung der Biotechnologie und der Bioproduktion in der EU</w:t>
      </w:r>
      <w:r>
        <w:t xml:space="preserve"> einen </w:t>
      </w:r>
      <w:r>
        <w:rPr>
          <w:b/>
        </w:rPr>
        <w:t xml:space="preserve">auf Synergien fußenden Ansatz für die Aufbau- und </w:t>
      </w:r>
      <w:proofErr w:type="spellStart"/>
      <w:r>
        <w:rPr>
          <w:b/>
        </w:rPr>
        <w:t>Resilienzfazilität</w:t>
      </w:r>
      <w:proofErr w:type="spellEnd"/>
      <w:r>
        <w:rPr>
          <w:b/>
        </w:rPr>
        <w:t>, die Plattform für strategische Technologien für Europa (STEP) und die Europäische Investitionsbank (EIB) sowie die Kohäsionspolitik</w:t>
      </w:r>
      <w:r>
        <w:t xml:space="preserve"> zu berücksichtigen; vertritt die Auffassung, dass ein Teil der durch </w:t>
      </w:r>
      <w:r>
        <w:rPr>
          <w:b/>
        </w:rPr>
        <w:t>Umweltsteuern</w:t>
      </w:r>
      <w:r>
        <w:t xml:space="preserve"> eingenommenen Gelder </w:t>
      </w:r>
      <w:r>
        <w:rPr>
          <w:b/>
        </w:rPr>
        <w:t>zur Finanzierung grüner Biotechnologieprodukte vorgesehen</w:t>
      </w:r>
      <w:r>
        <w:t xml:space="preserve"> und </w:t>
      </w:r>
      <w:r>
        <w:rPr>
          <w:b/>
        </w:rPr>
        <w:t>vielfältige und kombinierte Finanzierungsquellen und Mittel</w:t>
      </w:r>
      <w:r>
        <w:t xml:space="preserve"> wie Darlehen, Risikokapital und öffentliche Mittel genutzt werden sollten.</w:t>
      </w:r>
    </w:p>
    <w:p w:rsidRPr="00CE7004" w:rsidR="00DF63B1" w:rsidP="004C40FF"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Kontakt</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 xml:space="preserve">Marie-Laurence </w:t>
            </w:r>
            <w:proofErr w:type="spellStart"/>
            <w:r>
              <w:rPr>
                <w:b/>
                <w:i/>
              </w:rPr>
              <w:t>Drillon</w:t>
            </w:r>
            <w:proofErr w:type="spellEnd"/>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E-Mail</w:t>
            </w:r>
          </w:p>
        </w:tc>
        <w:tc>
          <w:tcPr>
            <w:tcW w:w="3444" w:type="pct"/>
          </w:tcPr>
          <w:p w:rsidRPr="00CE7004" w:rsidR="00CE7004" w:rsidP="00CE7004" w:rsidRDefault="003C01AD" w14:paraId="5FD55C98" w14:textId="77777777">
            <w:pPr>
              <w:overflowPunct w:val="0"/>
              <w:autoSpaceDE w:val="0"/>
              <w:autoSpaceDN w:val="0"/>
              <w:adjustRightInd w:val="0"/>
              <w:spacing w:line="240" w:lineRule="auto"/>
              <w:textAlignment w:val="baseline"/>
              <w:rPr>
                <w:i/>
              </w:rPr>
            </w:pPr>
            <w:hyperlink w:history="1" r:id="rId36">
              <w:r w:rsidR="00D449CF">
                <w:rPr>
                  <w:i/>
                  <w:color w:val="0000FF"/>
                  <w:u w:val="single"/>
                </w:rPr>
                <w:t>Marie-Laurence.Drillon@eesc.europa.eu</w:t>
              </w:r>
            </w:hyperlink>
          </w:p>
        </w:tc>
      </w:tr>
    </w:tbl>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4F610C" w:rsidRDefault="00FF64D0" w14:paraId="729EE277" w14:textId="39D1F3F3">
      <w:pPr>
        <w:pStyle w:val="ListParagraph"/>
        <w:widowControl w:val="0"/>
        <w:numPr>
          <w:ilvl w:val="0"/>
          <w:numId w:val="13"/>
        </w:numPr>
        <w:tabs>
          <w:tab w:val="center" w:pos="284"/>
        </w:tabs>
        <w:overflowPunct w:val="0"/>
        <w:autoSpaceDE w:val="0"/>
        <w:autoSpaceDN w:val="0"/>
        <w:adjustRightInd w:val="0"/>
        <w:spacing w:line="257" w:lineRule="auto"/>
        <w:ind w:left="266" w:hanging="408"/>
        <w:textAlignment w:val="baseline"/>
        <w:rPr>
          <w:rFonts w:eastAsiaTheme="minorHAnsi"/>
          <w:b/>
          <w:i/>
          <w:iCs/>
          <w:sz w:val="28"/>
          <w:szCs w:val="28"/>
        </w:rPr>
      </w:pPr>
      <w:r>
        <w:rPr>
          <w:b/>
          <w:i/>
          <w:sz w:val="28"/>
        </w:rPr>
        <w:lastRenderedPageBreak/>
        <w:tab/>
      </w:r>
      <w:hyperlink w:history="1" r:id="rId37">
        <w:r>
          <w:rPr>
            <w:b/>
            <w:i/>
            <w:color w:val="0000FF"/>
            <w:sz w:val="28"/>
            <w:u w:val="single"/>
          </w:rPr>
          <w:t>Emissionsarme und erneuerbare Kraftstoffe – Stärkung der Fähigkeit der europäischen Industrie zur Dekarbonisierung der Luftfahrt und des Seeverkehrs im Interesse der europäischen Autonomie</w:t>
        </w:r>
      </w:hyperlink>
    </w:p>
    <w:p w:rsidRPr="004F610C"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sz w:val="16"/>
          <w:szCs w:val="16"/>
          <w:lang w:val="en-US"/>
        </w:rPr>
      </w:pPr>
    </w:p>
    <w:p w:rsidRPr="004C40FF"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Berichterstatter </w:t>
      </w:r>
      <w:r>
        <w:rPr>
          <w:b/>
          <w:sz w:val="20"/>
        </w:rPr>
        <w:tab/>
      </w:r>
      <w:r>
        <w:rPr>
          <w:sz w:val="20"/>
        </w:rPr>
        <w:t>Anastasis YIAPANIS (Gruppe Organisationen der Zivilgesellschaft – CY)</w:t>
      </w:r>
    </w:p>
    <w:p w:rsidRPr="004C40FF"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Ko-Berichterstatter</w:t>
      </w:r>
      <w:r>
        <w:rPr>
          <w:b/>
          <w:sz w:val="20"/>
        </w:rPr>
        <w:tab/>
      </w:r>
      <w:r>
        <w:rPr>
          <w:sz w:val="20"/>
        </w:rPr>
        <w:t>Franck UHLIG (Kat. 2 – FR)</w:t>
      </w:r>
    </w:p>
    <w:p w:rsidRPr="004C40FF"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4C40FF"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Referenzdokument</w:t>
      </w:r>
      <w:r>
        <w:rPr>
          <w:b/>
          <w:sz w:val="20"/>
        </w:rPr>
        <w:tab/>
      </w:r>
      <w:r>
        <w:rPr>
          <w:sz w:val="20"/>
        </w:rPr>
        <w:t>Initiativstellungnahme</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4F610C"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sz w:val="16"/>
          <w:szCs w:val="16"/>
          <w:lang w:val="en-US"/>
        </w:rPr>
      </w:pPr>
    </w:p>
    <w:p w:rsidRPr="00D742A4" w:rsidR="00D742A4" w:rsidP="004F610C" w:rsidRDefault="00D742A4" w14:paraId="37B30242" w14:textId="77777777">
      <w:pPr>
        <w:keepNext/>
        <w:keepLines/>
        <w:spacing w:line="264" w:lineRule="auto"/>
        <w:ind w:left="142" w:hanging="142"/>
        <w:jc w:val="left"/>
        <w:rPr>
          <w:rFonts w:eastAsiaTheme="minorHAnsi"/>
          <w:b/>
        </w:rPr>
      </w:pPr>
      <w:r>
        <w:rPr>
          <w:b/>
        </w:rPr>
        <w:t>Kernaussagen</w:t>
      </w:r>
    </w:p>
    <w:p w:rsidRPr="00D742A4" w:rsidR="00D742A4" w:rsidP="004F610C" w:rsidRDefault="00D742A4" w14:paraId="696A7DF5" w14:textId="77777777">
      <w:pPr>
        <w:spacing w:line="264" w:lineRule="auto"/>
        <w:jc w:val="left"/>
        <w:rPr>
          <w:rFonts w:eastAsiaTheme="minorHAnsi"/>
        </w:rPr>
      </w:pPr>
      <w:r>
        <w:t>Der EWSA</w:t>
      </w:r>
    </w:p>
    <w:p w:rsidRPr="00D742A4" w:rsidR="00D742A4" w:rsidP="004F610C" w:rsidRDefault="00D742A4" w14:paraId="356F13FE" w14:textId="77777777">
      <w:pPr>
        <w:numPr>
          <w:ilvl w:val="0"/>
          <w:numId w:val="48"/>
        </w:numPr>
        <w:spacing w:line="264" w:lineRule="auto"/>
        <w:ind w:left="426" w:hanging="426"/>
        <w:contextualSpacing/>
        <w:rPr>
          <w:rFonts w:eastAsiaTheme="minorHAnsi"/>
        </w:rPr>
      </w:pPr>
      <w:r>
        <w:t xml:space="preserve">stellt fest, dass es </w:t>
      </w:r>
      <w:r>
        <w:rPr>
          <w:b/>
        </w:rPr>
        <w:t>keine Anreize</w:t>
      </w:r>
      <w:r>
        <w:t xml:space="preserve"> für die Entwicklung von Projekten zur Herstellung nachhaltiger und emissionsarmer Kraftstoffe gibt; weist darauf hin, dass </w:t>
      </w:r>
      <w:r>
        <w:rPr>
          <w:b/>
        </w:rPr>
        <w:t>hohe Produktionskosten und Ungewissheiten bei der Verfügbarkeit nachhaltiger Kraftstoffe</w:t>
      </w:r>
      <w:r>
        <w:t xml:space="preserve"> eine große Hürde für ihre breite Nutzung sind; </w:t>
      </w:r>
    </w:p>
    <w:p w:rsidRPr="00D742A4" w:rsidR="00D742A4" w:rsidP="004F610C" w:rsidRDefault="00D742A4" w14:paraId="015ED803" w14:textId="77777777">
      <w:pPr>
        <w:numPr>
          <w:ilvl w:val="0"/>
          <w:numId w:val="48"/>
        </w:numPr>
        <w:spacing w:line="264" w:lineRule="auto"/>
        <w:ind w:left="426" w:hanging="426"/>
        <w:contextualSpacing/>
        <w:rPr>
          <w:rFonts w:eastAsiaTheme="minorHAnsi"/>
        </w:rPr>
      </w:pPr>
      <w:r>
        <w:t xml:space="preserve">ist der Ansicht, dass eine </w:t>
      </w:r>
      <w:r>
        <w:rPr>
          <w:b/>
        </w:rPr>
        <w:t>unzureichende EU-interne Produktion nachhaltiger Kraftstoffe die strategische Autonomie der EU beeinträchtigen würde</w:t>
      </w:r>
      <w:r>
        <w:t>;</w:t>
      </w:r>
    </w:p>
    <w:p w:rsidRPr="00D742A4" w:rsidR="00D742A4" w:rsidP="004F610C" w:rsidRDefault="00D742A4" w14:paraId="2E918B4F" w14:textId="77777777">
      <w:pPr>
        <w:numPr>
          <w:ilvl w:val="0"/>
          <w:numId w:val="48"/>
        </w:numPr>
        <w:spacing w:line="264" w:lineRule="auto"/>
        <w:ind w:left="426" w:hanging="426"/>
        <w:contextualSpacing/>
        <w:rPr>
          <w:rFonts w:eastAsiaTheme="minorHAnsi"/>
        </w:rPr>
      </w:pPr>
      <w:r>
        <w:t xml:space="preserve">betont, dass angesichts des großen weltweiten Konkurrenzdrucks </w:t>
      </w:r>
      <w:r>
        <w:rPr>
          <w:b/>
        </w:rPr>
        <w:t>die Wettbewerbsfähigkeit der EU-Industrie gewahrt und verbessert werden muss</w:t>
      </w:r>
      <w:r>
        <w:t xml:space="preserve">; </w:t>
      </w:r>
    </w:p>
    <w:p w:rsidRPr="00D742A4" w:rsidR="00D742A4" w:rsidP="004F610C" w:rsidRDefault="00D742A4" w14:paraId="209A3396" w14:textId="77777777">
      <w:pPr>
        <w:numPr>
          <w:ilvl w:val="0"/>
          <w:numId w:val="48"/>
        </w:numPr>
        <w:spacing w:line="264" w:lineRule="auto"/>
        <w:ind w:left="426" w:hanging="426"/>
        <w:contextualSpacing/>
        <w:rPr>
          <w:rFonts w:eastAsiaTheme="minorHAnsi"/>
          <w:b/>
          <w:bCs/>
        </w:rPr>
      </w:pPr>
      <w:r>
        <w:t xml:space="preserve">spricht sich für </w:t>
      </w:r>
      <w:r>
        <w:rPr>
          <w:b/>
        </w:rPr>
        <w:t>einen umfassenden Fahrplan zur Steigerung der Verwendung nachhaltiger Flugkraftstoffe</w:t>
      </w:r>
      <w:r>
        <w:t xml:space="preserve"> aus;</w:t>
      </w:r>
    </w:p>
    <w:p w:rsidRPr="00D742A4" w:rsidR="00D742A4" w:rsidP="004F610C" w:rsidRDefault="00D742A4" w14:paraId="56B9D752" w14:textId="77777777">
      <w:pPr>
        <w:numPr>
          <w:ilvl w:val="0"/>
          <w:numId w:val="48"/>
        </w:numPr>
        <w:spacing w:line="264" w:lineRule="auto"/>
        <w:ind w:left="426" w:hanging="426"/>
        <w:contextualSpacing/>
        <w:rPr>
          <w:rFonts w:eastAsiaTheme="minorHAnsi"/>
          <w:b/>
          <w:bCs/>
        </w:rPr>
      </w:pPr>
      <w:r>
        <w:t xml:space="preserve">ist der Ansicht, dass eine Herausforderung </w:t>
      </w:r>
      <w:r>
        <w:rPr>
          <w:b/>
        </w:rPr>
        <w:t>für den maritimen Sektor</w:t>
      </w:r>
      <w:r>
        <w:t xml:space="preserve"> beim </w:t>
      </w:r>
      <w:r>
        <w:rPr>
          <w:b/>
        </w:rPr>
        <w:t>weltweiten Aufbau der notwendigen Bunkerinfrastruktur in Häfen zur Versorgung der Schiffe mit alternativen Kraftstoffen besteht</w:t>
      </w:r>
      <w:r>
        <w:t>;</w:t>
      </w:r>
    </w:p>
    <w:p w:rsidRPr="00D742A4" w:rsidR="00D742A4" w:rsidP="004F610C" w:rsidRDefault="00D742A4" w14:paraId="32865479" w14:textId="77777777">
      <w:pPr>
        <w:numPr>
          <w:ilvl w:val="0"/>
          <w:numId w:val="48"/>
        </w:numPr>
        <w:spacing w:line="264" w:lineRule="auto"/>
        <w:ind w:left="426" w:hanging="426"/>
        <w:contextualSpacing/>
        <w:rPr>
          <w:rFonts w:eastAsiaTheme="minorHAnsi"/>
        </w:rPr>
      </w:pPr>
      <w:r>
        <w:t xml:space="preserve">weist auf das Risiko </w:t>
      </w:r>
      <w:r>
        <w:rPr>
          <w:b/>
        </w:rPr>
        <w:t xml:space="preserve">eines möglichen Mangels an verfügbaren Rohstoffen und die großen Mengen an </w:t>
      </w:r>
      <w:proofErr w:type="spellStart"/>
      <w:r>
        <w:rPr>
          <w:b/>
        </w:rPr>
        <w:t>dekarbonisierter</w:t>
      </w:r>
      <w:proofErr w:type="spellEnd"/>
      <w:r>
        <w:rPr>
          <w:b/>
        </w:rPr>
        <w:t xml:space="preserve"> Energie</w:t>
      </w:r>
      <w:r>
        <w:t xml:space="preserve"> hin, die für die Umstellung auf eine nachhaltige Kraftstoffherstellung erforderlich sind;</w:t>
      </w:r>
    </w:p>
    <w:p w:rsidRPr="00D742A4" w:rsidR="00D742A4" w:rsidP="004F610C" w:rsidRDefault="00D742A4" w14:paraId="6663627F" w14:textId="77777777">
      <w:pPr>
        <w:numPr>
          <w:ilvl w:val="0"/>
          <w:numId w:val="48"/>
        </w:numPr>
        <w:spacing w:line="264" w:lineRule="auto"/>
        <w:ind w:left="426" w:hanging="426"/>
        <w:contextualSpacing/>
        <w:rPr>
          <w:rFonts w:eastAsiaTheme="minorHAnsi"/>
        </w:rPr>
      </w:pPr>
      <w:r>
        <w:t xml:space="preserve">fordert nachdrücklich </w:t>
      </w:r>
      <w:r>
        <w:rPr>
          <w:b/>
        </w:rPr>
        <w:t>kohärente rechtliche Rahmenbedingungen für die Mobilisierung von Investitionen und Anreize für eine unverzügliche Produktion von Kraftstoffen mit geringerem CO</w:t>
      </w:r>
      <w:r>
        <w:rPr>
          <w:b/>
          <w:vertAlign w:val="subscript"/>
        </w:rPr>
        <w:t>2</w:t>
      </w:r>
      <w:r>
        <w:rPr>
          <w:b/>
        </w:rPr>
        <w:t>-Fußabdruck und die Schaffung eines Markts für solche Kraftstoffe</w:t>
      </w:r>
      <w:r>
        <w:t>;</w:t>
      </w:r>
    </w:p>
    <w:p w:rsidRPr="00D742A4" w:rsidR="00D742A4" w:rsidP="004F610C" w:rsidRDefault="00D742A4" w14:paraId="0DC6995A" w14:textId="77777777">
      <w:pPr>
        <w:numPr>
          <w:ilvl w:val="0"/>
          <w:numId w:val="48"/>
        </w:numPr>
        <w:spacing w:line="264" w:lineRule="auto"/>
        <w:ind w:left="426" w:hanging="426"/>
        <w:contextualSpacing/>
        <w:rPr>
          <w:rFonts w:eastAsiaTheme="minorHAnsi"/>
        </w:rPr>
      </w:pPr>
      <w:r>
        <w:t xml:space="preserve">schlägt vor, </w:t>
      </w:r>
      <w:r>
        <w:rPr>
          <w:b/>
        </w:rPr>
        <w:t>die einzelnen Kraftstoffe je nach ihrer Klimawirkung zu besteuern</w:t>
      </w:r>
      <w:r>
        <w:t>;</w:t>
      </w:r>
    </w:p>
    <w:p w:rsidRPr="00D742A4" w:rsidR="00D742A4" w:rsidP="004F610C" w:rsidRDefault="00D742A4" w14:paraId="16F5C4CD" w14:textId="77777777">
      <w:pPr>
        <w:numPr>
          <w:ilvl w:val="0"/>
          <w:numId w:val="48"/>
        </w:numPr>
        <w:spacing w:line="264" w:lineRule="auto"/>
        <w:ind w:left="426" w:hanging="426"/>
        <w:contextualSpacing/>
        <w:rPr>
          <w:rFonts w:asciiTheme="minorHAnsi" w:hAnsiTheme="minorHAnsi" w:eastAsiaTheme="minorHAnsi" w:cstheme="minorBidi"/>
        </w:rPr>
      </w:pPr>
      <w:r>
        <w:t xml:space="preserve">bedauert, dass bei </w:t>
      </w:r>
      <w:r>
        <w:rPr>
          <w:b/>
        </w:rPr>
        <w:t>EU-Zuschüssen und -Subventionen nicht genug Gewicht auf die Infrastruktur für die Erzeugung emissionsarmer und erneuerbarer Kraftstoffe für die Luftfahrt und den Seeverkehr gelegt wird</w:t>
      </w:r>
      <w:r>
        <w:t xml:space="preserve">; </w:t>
      </w:r>
    </w:p>
    <w:p w:rsidRPr="00D742A4" w:rsidR="00D742A4" w:rsidP="004F610C" w:rsidRDefault="00D742A4" w14:paraId="6D8B9B4D" w14:textId="77777777">
      <w:pPr>
        <w:numPr>
          <w:ilvl w:val="0"/>
          <w:numId w:val="48"/>
        </w:numPr>
        <w:spacing w:line="264" w:lineRule="auto"/>
        <w:ind w:left="426" w:hanging="426"/>
        <w:contextualSpacing/>
        <w:rPr>
          <w:rFonts w:eastAsiaTheme="minorHAnsi"/>
        </w:rPr>
      </w:pPr>
      <w:r>
        <w:t xml:space="preserve">hält </w:t>
      </w:r>
      <w:r>
        <w:rPr>
          <w:b/>
        </w:rPr>
        <w:t>Forschung und Entwicklung für wesentlich, um die Kosten</w:t>
      </w:r>
      <w:r>
        <w:t xml:space="preserve"> moderner, CO</w:t>
      </w:r>
      <w:r>
        <w:rPr>
          <w:vertAlign w:val="subscript"/>
        </w:rPr>
        <w:t>2</w:t>
      </w:r>
      <w:r>
        <w:t xml:space="preserve">-armer Technologien </w:t>
      </w:r>
      <w:r>
        <w:rPr>
          <w:b/>
        </w:rPr>
        <w:t>zu senken</w:t>
      </w:r>
      <w:r>
        <w:t>;</w:t>
      </w:r>
      <w:r>
        <w:rPr>
          <w:b/>
        </w:rPr>
        <w:t xml:space="preserve"> </w:t>
      </w:r>
    </w:p>
    <w:p w:rsidRPr="00D742A4" w:rsidR="00D742A4" w:rsidP="004F610C" w:rsidRDefault="00D742A4" w14:paraId="1FD1C6F8" w14:textId="77777777">
      <w:pPr>
        <w:numPr>
          <w:ilvl w:val="0"/>
          <w:numId w:val="48"/>
        </w:numPr>
        <w:spacing w:line="264" w:lineRule="auto"/>
        <w:ind w:left="426" w:hanging="426"/>
        <w:contextualSpacing/>
        <w:rPr>
          <w:rFonts w:eastAsiaTheme="minorHAnsi"/>
        </w:rPr>
      </w:pPr>
      <w:r>
        <w:t xml:space="preserve">fordert </w:t>
      </w:r>
      <w:r>
        <w:rPr>
          <w:b/>
        </w:rPr>
        <w:t>eine ganzheitliche Strategie für eine Umstellung ganzer industrieller Wertschöpfungsketten auf saubere Energie, die die Integration von Wasserstoff, die Erhöhung der Biokraftstoffproduktion, den Ausbau der Produktion synthetischer Kraftstoffe und die Fortführung bestehender sektoraler Partnerschaften im Rahmen des Nachfolgeprogramms von Horizont Europa umfasst</w:t>
      </w:r>
      <w:r>
        <w:t>;</w:t>
      </w:r>
    </w:p>
    <w:p w:rsidR="00D742A4" w:rsidP="004F610C" w:rsidRDefault="00D742A4" w14:paraId="4DCAE472" w14:textId="38E5A284">
      <w:pPr>
        <w:numPr>
          <w:ilvl w:val="0"/>
          <w:numId w:val="48"/>
        </w:numPr>
        <w:spacing w:line="264" w:lineRule="auto"/>
        <w:ind w:left="426" w:hanging="426"/>
        <w:contextualSpacing/>
        <w:rPr>
          <w:rFonts w:eastAsiaTheme="minorHAnsi"/>
        </w:rPr>
      </w:pPr>
      <w:r>
        <w:t xml:space="preserve">hält </w:t>
      </w:r>
      <w:r>
        <w:rPr>
          <w:b/>
        </w:rPr>
        <w:t>Programme zur Kompetenzentwicklung</w:t>
      </w:r>
      <w:r>
        <w:t xml:space="preserve">, darunter auch Berufsbildung und Unterstützung beim Arbeitsplatzwechsel, für notwendig, und bekräftigt, dass er </w:t>
      </w:r>
      <w:r>
        <w:rPr>
          <w:b/>
        </w:rPr>
        <w:t>hohe Gesundheits- und Sicherheitsstandards als vorrangig erachtet</w:t>
      </w:r>
      <w:r>
        <w:t xml:space="preserve">. </w:t>
      </w:r>
    </w:p>
    <w:p w:rsidRPr="00D742A4" w:rsidR="005864FB" w:rsidP="004F610C" w:rsidRDefault="005864FB" w14:paraId="5C987679" w14:textId="77777777">
      <w:pPr>
        <w:spacing w:line="264"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0"/>
        <w:gridCol w:w="3039"/>
      </w:tblGrid>
      <w:tr w:rsidRPr="00D742A4" w:rsidR="00D742A4" w:rsidTr="00D76388" w14:paraId="327B48D9" w14:textId="77777777">
        <w:tc>
          <w:tcPr>
            <w:tcW w:w="3998" w:type="pct"/>
          </w:tcPr>
          <w:p w:rsidRPr="004C40FF" w:rsidR="00D742A4" w:rsidP="004F610C" w:rsidRDefault="00D742A4" w14:paraId="7BAAC6C5" w14:textId="77777777">
            <w:pPr>
              <w:spacing w:line="264" w:lineRule="auto"/>
              <w:jc w:val="left"/>
              <w:rPr>
                <w:rFonts w:eastAsiaTheme="minorHAnsi"/>
                <w:i/>
              </w:rPr>
            </w:pPr>
            <w:r>
              <w:rPr>
                <w:b/>
                <w:i/>
              </w:rPr>
              <w:t>Kontakt</w:t>
            </w:r>
          </w:p>
        </w:tc>
        <w:tc>
          <w:tcPr>
            <w:tcW w:w="1002" w:type="pct"/>
            <w:tcBorders>
              <w:left w:val="nil"/>
            </w:tcBorders>
          </w:tcPr>
          <w:p w:rsidRPr="004C40FF" w:rsidR="00D742A4" w:rsidP="004F610C" w:rsidRDefault="00D742A4" w14:paraId="61988035" w14:textId="0600FF56">
            <w:pPr>
              <w:spacing w:line="264" w:lineRule="auto"/>
              <w:jc w:val="left"/>
              <w:rPr>
                <w:rFonts w:eastAsiaTheme="minorHAnsi"/>
                <w:i/>
              </w:rPr>
            </w:pPr>
            <w:r>
              <w:rPr>
                <w:i/>
              </w:rPr>
              <w:t xml:space="preserve">Adam </w:t>
            </w:r>
            <w:proofErr w:type="spellStart"/>
            <w:r>
              <w:rPr>
                <w:i/>
              </w:rPr>
              <w:t>Dorywalski</w:t>
            </w:r>
            <w:proofErr w:type="spellEnd"/>
          </w:p>
        </w:tc>
      </w:tr>
      <w:tr w:rsidRPr="00D742A4" w:rsidR="00D742A4" w:rsidTr="00D76388" w14:paraId="47170CFC" w14:textId="77777777">
        <w:tc>
          <w:tcPr>
            <w:tcW w:w="3998" w:type="pct"/>
          </w:tcPr>
          <w:p w:rsidRPr="004C40FF" w:rsidR="00D742A4" w:rsidP="004F610C" w:rsidRDefault="00D742A4" w14:paraId="3EA66D45" w14:textId="77777777">
            <w:pPr>
              <w:spacing w:line="264" w:lineRule="auto"/>
              <w:jc w:val="left"/>
              <w:rPr>
                <w:rFonts w:eastAsiaTheme="minorHAnsi"/>
                <w:i/>
              </w:rPr>
            </w:pPr>
            <w:r>
              <w:rPr>
                <w:i/>
              </w:rPr>
              <w:t xml:space="preserve">Tel. </w:t>
            </w:r>
          </w:p>
        </w:tc>
        <w:tc>
          <w:tcPr>
            <w:tcW w:w="1002" w:type="pct"/>
            <w:tcBorders>
              <w:left w:val="nil"/>
            </w:tcBorders>
          </w:tcPr>
          <w:p w:rsidRPr="004C40FF" w:rsidR="00D742A4" w:rsidP="004F610C" w:rsidRDefault="00D742A4" w14:paraId="11BAD200" w14:textId="77777777">
            <w:pPr>
              <w:spacing w:line="264" w:lineRule="auto"/>
              <w:jc w:val="left"/>
              <w:rPr>
                <w:rFonts w:eastAsiaTheme="minorHAnsi"/>
                <w:i/>
              </w:rPr>
            </w:pPr>
            <w:r>
              <w:rPr>
                <w:i/>
              </w:rPr>
              <w:t>+32 25469397</w:t>
            </w:r>
          </w:p>
        </w:tc>
      </w:tr>
      <w:tr w:rsidRPr="00D742A4" w:rsidR="00D742A4" w:rsidTr="00D76388" w14:paraId="7DEA58F4" w14:textId="77777777">
        <w:tc>
          <w:tcPr>
            <w:tcW w:w="3998" w:type="pct"/>
          </w:tcPr>
          <w:p w:rsidRPr="004C40FF" w:rsidR="00D742A4" w:rsidP="004F610C" w:rsidRDefault="00D742A4" w14:paraId="5A5A0838" w14:textId="77777777">
            <w:pPr>
              <w:spacing w:line="264" w:lineRule="auto"/>
              <w:jc w:val="left"/>
              <w:rPr>
                <w:rFonts w:eastAsiaTheme="minorHAnsi"/>
                <w:i/>
                <w:iCs/>
              </w:rPr>
            </w:pPr>
            <w:r>
              <w:rPr>
                <w:i/>
              </w:rPr>
              <w:t>E-Mail</w:t>
            </w:r>
          </w:p>
        </w:tc>
        <w:tc>
          <w:tcPr>
            <w:tcW w:w="1002" w:type="pct"/>
            <w:tcBorders>
              <w:left w:val="nil"/>
            </w:tcBorders>
          </w:tcPr>
          <w:p w:rsidRPr="004C40FF" w:rsidR="00D742A4" w:rsidP="004F610C" w:rsidRDefault="00D742A4" w14:paraId="4AFA4308" w14:textId="77777777">
            <w:pPr>
              <w:spacing w:line="264" w:lineRule="auto"/>
              <w:jc w:val="left"/>
              <w:rPr>
                <w:rFonts w:eastAsiaTheme="minorHAnsi"/>
                <w:i/>
                <w:iCs/>
              </w:rPr>
            </w:pPr>
            <w:r>
              <w:rPr>
                <w:i/>
                <w:color w:val="0000FF"/>
                <w:u w:val="single"/>
              </w:rPr>
              <w:t>Adam.Dorywalski@eesc.europa.eu</w:t>
            </w:r>
          </w:p>
        </w:tc>
      </w:tr>
    </w:tbl>
    <w:p w:rsidRPr="004F610C" w:rsidR="004F610C" w:rsidP="004F610C" w:rsidRDefault="004F610C" w14:paraId="7B4F2C5F" w14:textId="77777777">
      <w:pPr>
        <w:widowControl w:val="0"/>
        <w:overflowPunct w:val="0"/>
        <w:autoSpaceDE w:val="0"/>
        <w:autoSpaceDN w:val="0"/>
        <w:adjustRightInd w:val="0"/>
        <w:ind w:left="567"/>
        <w:textAlignment w:val="baseline"/>
        <w:rPr>
          <w:sz w:val="20"/>
          <w:szCs w:val="20"/>
        </w:rPr>
      </w:pPr>
    </w:p>
    <w:p w:rsidRPr="00747EBB" w:rsidR="00747EBB" w:rsidP="00747EBB" w:rsidRDefault="003C01AD" w14:paraId="58022942" w14:textId="4E02EDEE">
      <w:pPr>
        <w:widowControl w:val="0"/>
        <w:numPr>
          <w:ilvl w:val="0"/>
          <w:numId w:val="27"/>
        </w:numPr>
        <w:overflowPunct w:val="0"/>
        <w:autoSpaceDE w:val="0"/>
        <w:autoSpaceDN w:val="0"/>
        <w:adjustRightInd w:val="0"/>
        <w:ind w:hanging="567"/>
        <w:textAlignment w:val="baseline"/>
        <w:rPr>
          <w:sz w:val="20"/>
          <w:szCs w:val="20"/>
        </w:rPr>
      </w:pPr>
      <w:hyperlink w:history="1" r:id="rId38">
        <w:r w:rsidR="00D449CF">
          <w:rPr>
            <w:b/>
            <w:i/>
            <w:color w:val="0000FF"/>
            <w:sz w:val="28"/>
            <w:u w:val="single"/>
          </w:rPr>
          <w:t>Fortgeschrittene Werkstoffe für eine industrielle Führungsrolle</w:t>
        </w:r>
        <w:r w:rsidR="00D449CF">
          <w:rPr>
            <w:b/>
            <w:i/>
            <w:color w:val="0000FF"/>
            <w:sz w:val="28"/>
            <w:u w:val="single"/>
          </w:rPr>
          <w:cr/>
        </w:r>
      </w:hyperlink>
    </w:p>
    <w:p w:rsidRPr="00747EBB" w:rsidR="00747EBB" w:rsidP="00747EBB" w:rsidRDefault="00747EBB" w14:paraId="65F5A8CF" w14:textId="77777777">
      <w:pPr>
        <w:tabs>
          <w:tab w:val="center" w:pos="284"/>
        </w:tabs>
        <w:overflowPunct w:val="0"/>
        <w:autoSpaceDE w:val="0"/>
        <w:autoSpaceDN w:val="0"/>
        <w:adjustRightInd w:val="0"/>
        <w:ind w:left="266" w:hanging="266"/>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Berichterstatter</w:t>
            </w:r>
          </w:p>
        </w:tc>
        <w:tc>
          <w:tcPr>
            <w:tcW w:w="3833" w:type="pct"/>
          </w:tcPr>
          <w:p w:rsidRPr="00750766" w:rsidR="00747EBB" w:rsidP="00747EBB" w:rsidRDefault="00747EBB" w14:paraId="41D5C73A" w14:textId="7F732DE3">
            <w:pPr>
              <w:tabs>
                <w:tab w:val="center" w:pos="284"/>
              </w:tabs>
              <w:overflowPunct w:val="0"/>
              <w:autoSpaceDE w:val="0"/>
              <w:autoSpaceDN w:val="0"/>
              <w:adjustRightInd w:val="0"/>
              <w:ind w:left="266" w:right="-812" w:hanging="266"/>
              <w:textAlignment w:val="baseline"/>
            </w:pPr>
            <w:r>
              <w:t>Anastasis YIAPANIS (Gruppe Organisationen der Zivilgesellschaft –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Ko-Berichterstatter</w:t>
            </w:r>
          </w:p>
        </w:tc>
        <w:tc>
          <w:tcPr>
            <w:tcW w:w="3833" w:type="pct"/>
          </w:tcPr>
          <w:p w:rsidRPr="00750766" w:rsidR="00747EBB" w:rsidP="00747EBB" w:rsidRDefault="00747EBB" w14:paraId="00581503" w14:textId="00B44E03">
            <w:pPr>
              <w:tabs>
                <w:tab w:val="center" w:pos="284"/>
              </w:tabs>
              <w:overflowPunct w:val="0"/>
              <w:autoSpaceDE w:val="0"/>
              <w:autoSpaceDN w:val="0"/>
              <w:adjustRightInd w:val="0"/>
              <w:ind w:left="266" w:right="-1383" w:hanging="266"/>
              <w:textAlignment w:val="baseline"/>
            </w:pPr>
            <w:r>
              <w:t>Gerardo Luís ARROYO HERRANZ (ES–Kat. 1)</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Referenzdokumente</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202175F9">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Der EWSA</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4C40FF"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vertritt die Auffassung, dass es sich bei der Mitteilung der Europäischen Kommission über fortgeschrittene Werkstoffe nicht um eine vollwertige Strategie handelt, da quantifizierbare Ziele, Fristen und spezifische wesentliche Leistungsindikatoren (KPI) zur Unterstützung ihrer Umsetzung fehlen;</w:t>
      </w:r>
    </w:p>
    <w:p w:rsidRPr="00747EBB" w:rsidR="00747EBB" w:rsidP="004C40FF"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ist davon überzeugt, dass die EU einen ganzheitlichen Ansatz braucht, um den Materialverbrauch zu senken, die Kreislaufwirtschaft zu fördern und den Übergang zu nachhaltigen Geschäftsmodellen und nachhaltigem Konsumverhalten zu unterstützen;</w:t>
      </w:r>
    </w:p>
    <w:p w:rsidRPr="00747EBB" w:rsidR="00747EBB" w:rsidP="004C40FF"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stellt fest, dass ein komplexes Ökosystem fortgeschrittener Werkstoffe eine umfassende Strategie, umfangreiche Mittel und Anreize, die Verfügbarkeit der richtigen Qualifikationen sowie eine hochrangige politische Unterstützung erfordert;</w:t>
      </w:r>
    </w:p>
    <w:p w:rsidRPr="00747EBB" w:rsidR="00747EBB" w:rsidP="004C40FF"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begrüßt den verstärkten Dialog zwischen der EU und Japan über fortgeschrittene Werkstoffe und ist der Ansicht, dass derartige Initiativen auch auf andere führende Länder ausgeweitet werden sollten;</w:t>
      </w:r>
    </w:p>
    <w:p w:rsidRPr="00747EBB" w:rsidR="00747EBB" w:rsidP="004C40FF"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hält es für entscheidend, die Wettbewerbsfähigkeit bei Forschung, Entwicklung und Innovation zu fördern, indem Wirtschaftsakteure, Behörden, Sozialpartner und Hochschulen einbezogen werden und ein Netz grenzübergreifender Forschungsinfrastrukturen geschaffen wird;</w:t>
      </w:r>
    </w:p>
    <w:p w:rsidRPr="00747EBB" w:rsidR="00747EBB" w:rsidP="004C40FF"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schlägt vor, die Gesundheitsversorgung als weiteren strategischen Bereich vorzusehen, da sie einer der größten Wirtschaftszweige Europas ist und dort eingesetzte fortgeschrittene Werkstoffe häufig auch in Branchen wie dem Elektronik- und Energiesektor verwendet werden;</w:t>
      </w:r>
    </w:p>
    <w:p w:rsidRPr="00747EBB" w:rsidR="00747EBB" w:rsidP="004C40FF"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betont, wie wichtig es ist, digitale Technologien und Innovationen in Werkstoffentwicklungsprozesse einzubeziehen;</w:t>
      </w:r>
    </w:p>
    <w:p w:rsidRPr="00747EBB" w:rsidR="00747EBB" w:rsidP="004C40FF"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unterstützt die Einführung digitaler Produktpässe, die Informationsstandards und Details von der Produktion bis zum Recycling enthalten, warnt jedoch vor der Entstehung zusätzlichen Verwaltungsaufwands oder zusätzlicher Kosten für Unternehmen oder Verbraucher;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hält es für notwendig, die europäische Produktion zu stärken, die Vermarktung zu unterstützen, den Marktzugang zu straffen und die Marktüberwachung in diesem Bereich zu verbessern.</w:t>
      </w:r>
    </w:p>
    <w:p w:rsidRPr="00747EBB" w:rsidR="00BC4CB8" w:rsidP="004C40FF" w:rsidRDefault="00BC4CB8" w14:paraId="71E292A0" w14:textId="77777777">
      <w:pPr>
        <w:overflowPunct w:val="0"/>
        <w:autoSpaceDE w:val="0"/>
        <w:autoSpaceDN w:val="0"/>
        <w:adjustRightInd w:val="0"/>
        <w:spacing w:line="276" w:lineRule="auto"/>
        <w:ind w:left="284"/>
        <w:contextualSpacing/>
        <w:textAlignment w:val="baseline"/>
        <w:rPr>
          <w:bCs/>
          <w:iCs/>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773FA" w:rsidR="00624933" w:rsidTr="00D76388" w14:paraId="241DA007" w14:textId="77777777">
        <w:tc>
          <w:tcPr>
            <w:tcW w:w="1556" w:type="pct"/>
          </w:tcPr>
          <w:p w:rsidRPr="004C40FF" w:rsidR="00624933" w:rsidP="00D76388" w:rsidRDefault="00624933" w14:paraId="5B374FDA" w14:textId="77777777">
            <w:pPr>
              <w:overflowPunct w:val="0"/>
              <w:autoSpaceDE w:val="0"/>
              <w:autoSpaceDN w:val="0"/>
              <w:adjustRightInd w:val="0"/>
              <w:spacing w:line="240" w:lineRule="auto"/>
              <w:textAlignment w:val="baseline"/>
              <w:rPr>
                <w:bCs/>
                <w:iCs/>
              </w:rPr>
            </w:pPr>
            <w:r>
              <w:t>Kontakt</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 xml:space="preserve">Heli </w:t>
            </w:r>
            <w:proofErr w:type="spellStart"/>
            <w:r>
              <w:rPr>
                <w:i/>
              </w:rPr>
              <w:t>Niemelä-Farrer</w:t>
            </w:r>
            <w:proofErr w:type="spellEnd"/>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570D62" w:rsidP="00D76388" w:rsidRDefault="003C01AD" w14:paraId="75D67AD3" w14:textId="3EB7A3BB">
            <w:pPr>
              <w:overflowPunct w:val="0"/>
              <w:autoSpaceDE w:val="0"/>
              <w:autoSpaceDN w:val="0"/>
              <w:adjustRightInd w:val="0"/>
              <w:spacing w:line="240" w:lineRule="auto"/>
              <w:textAlignment w:val="baseline"/>
              <w:rPr>
                <w:i/>
              </w:rPr>
            </w:pPr>
            <w:hyperlink w:history="1" r:id="rId39">
              <w:r w:rsidR="00570D62">
                <w:rPr>
                  <w:rStyle w:val="Hyperlink"/>
                  <w:i/>
                </w:rPr>
                <w:t>Heli.Niemela-Farrer@eesc.europa.eu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DC26B9">
      <w:headerReference w:type="even" r:id="rId40"/>
      <w:headerReference w:type="default" r:id="rId41"/>
      <w:footerReference w:type="even" r:id="rId42"/>
      <w:footerReference w:type="default" r:id="rId43"/>
      <w:headerReference w:type="first" r:id="rId44"/>
      <w:footerReference w:type="first" r:id="rId4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1C4FB3EF" w:rsidR="00765C4F" w:rsidRPr="00DC26B9" w:rsidRDefault="00DC26B9" w:rsidP="00DC26B9">
    <w:pPr>
      <w:pStyle w:val="Footer"/>
    </w:pPr>
    <w:r>
      <w:t xml:space="preserve">EESC-2024-02113-00-00-TCD-TRA (EN) </w:t>
    </w:r>
    <w:r>
      <w:fldChar w:fldCharType="begin"/>
    </w:r>
    <w:r>
      <w:instrText xml:space="preserve"> PAGE  \* Arabic  \* MERGEFORMAT </w:instrText>
    </w:r>
    <w:r>
      <w:fldChar w:fldCharType="separate"/>
    </w:r>
    <w:r w:rsidR="004C40FF">
      <w:t>1</w:t>
    </w:r>
    <w:r>
      <w:fldChar w:fldCharType="end"/>
    </w:r>
    <w:r>
      <w:t>/</w:t>
    </w:r>
    <w:fldSimple w:instr=" NUMPAGES ">
      <w:r w:rsidR="004C40FF">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DC26B9" w:rsidRDefault="00E4258F" w:rsidP="00DC2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4D0558" w:rsidR="00E4258F" w:rsidRPr="00DC26B9" w:rsidRDefault="00DC26B9" w:rsidP="00DC26B9">
    <w:pPr>
      <w:pStyle w:val="Footer"/>
    </w:pPr>
    <w:r>
      <w:t>EESC-2024-02113-00-0</w:t>
    </w:r>
    <w:r w:rsidR="003B6472">
      <w:t>1</w:t>
    </w:r>
    <w:r>
      <w:t xml:space="preserve">-TCD-TRA (EN) </w:t>
    </w:r>
    <w:r>
      <w:fldChar w:fldCharType="begin"/>
    </w:r>
    <w:r>
      <w:instrText xml:space="preserve"> PAGE  \* Arabic  \* MERGEFORMAT </w:instrText>
    </w:r>
    <w:r>
      <w:fldChar w:fldCharType="separate"/>
    </w:r>
    <w:r>
      <w:t>2</w:t>
    </w:r>
    <w:r>
      <w:fldChar w:fldCharType="end"/>
    </w:r>
    <w:r>
      <w:t>/</w:t>
    </w:r>
    <w:fldSimple w:instr=" NUMPAGES ">
      <w:r>
        <w:t>16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DC26B9" w:rsidRDefault="00E4258F" w:rsidP="00DC2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DC26B9" w:rsidRDefault="00E4258F" w:rsidP="00DC2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FFB5680" w:rsidR="00E4258F" w:rsidRPr="00DC26B9" w:rsidRDefault="00E4258F" w:rsidP="00DC2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DC26B9" w:rsidRDefault="00E4258F" w:rsidP="00DC2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8FF"/>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0D5A"/>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7A1"/>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472"/>
    <w:rsid w:val="003B6653"/>
    <w:rsid w:val="003B6760"/>
    <w:rsid w:val="003B6EB5"/>
    <w:rsid w:val="003C01AD"/>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0FF"/>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10C"/>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3D6"/>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33BD"/>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57DA"/>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49CF"/>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1B66"/>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D9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de-D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de/our-work/opinions-information-reports/opinions/taxation-framework-social-economy-entities" TargetMode="External"/><Relationship Id="rId26" Type="http://schemas.openxmlformats.org/officeDocument/2006/relationships/hyperlink" Target="mailto:Marco.Manfroni@eesc.europa.eu" TargetMode="External"/><Relationship Id="rId39" Type="http://schemas.openxmlformats.org/officeDocument/2006/relationships/hyperlink" Target="mailto:Heli.Niemela-Farrer@eesc.europa.eu" TargetMode="External"/><Relationship Id="rId21" Type="http://schemas.openxmlformats.org/officeDocument/2006/relationships/hyperlink" Target="mailto:Gemma.Amran@eesc.europa.eu" TargetMode="External"/><Relationship Id="rId34" Type="http://schemas.openxmlformats.org/officeDocument/2006/relationships/hyperlink" Target="mailto:Aleksandra.SarmanGrilc@eesc.europa.eu" TargetMode="External"/><Relationship Id="rId42" Type="http://schemas.openxmlformats.org/officeDocument/2006/relationships/footer" Target="footer2.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hyperlink" Target="https://www.eesc.europa.eu/de/our-work/opinions-information-reports/opinions/no-one-should-be-left-behind-inclusive-and-participatory-cohesion-policy-support-social-economic-and-territorial" TargetMode="External"/><Relationship Id="rId29" Type="http://schemas.openxmlformats.org/officeDocument/2006/relationships/hyperlink" Target="https://www.eesc.europa.eu/de/our-work/opinions-information-reports/opinions/how-ensure-social-environmental-and-economic-sustainability-eu-agri-food-sector-future-enlargement"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brina.Borg@eesc.europa.eu" TargetMode="External"/><Relationship Id="rId32" Type="http://schemas.openxmlformats.org/officeDocument/2006/relationships/hyperlink" Target="mailto:Marco.Ristori@eesc.europa.eu" TargetMode="External"/><Relationship Id="rId37" Type="http://schemas.openxmlformats.org/officeDocument/2006/relationships/hyperlink" Target="https://www.eesc.europa.eu/de/our-work/opinions-information-reports/opinions/low-carbon-and-renewable-fuels-building-capacity-european-industry-decarbonise-aviation-and-maritime-sectors-spirit"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esc.europa.eu/de/our-work/opinions-information-reports/opinions/no-one-should-be-left-behind-inclusive-and-participatory-cohesion-policy-support-social-economic-and-territorial" TargetMode="External"/><Relationship Id="rId23" Type="http://schemas.openxmlformats.org/officeDocument/2006/relationships/hyperlink" Target="mailto:Valeria.Atzori@eesc.europa.eu" TargetMode="External"/><Relationship Id="rId28" Type="http://schemas.openxmlformats.org/officeDocument/2006/relationships/hyperlink" Target="mailto:Martine.Delanoy@eesc.europa.eu" TargetMode="External"/><Relationship Id="rId36" Type="http://schemas.openxmlformats.org/officeDocument/2006/relationships/hyperlink" Target="mailto:Marie-Laurence.Drillon@eesc.europa.eu"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yperlink" Target="mailto:Juri.Soosaar@eesc.europa.eu" TargetMode="External"/><Relationship Id="rId31" Type="http://schemas.openxmlformats.org/officeDocument/2006/relationships/hyperlink" Target="https://www.eesc.europa.eu/de/our-work/opinions-information-reports/opinions/screening-foreign-investments-union" TargetMode="External"/><Relationship Id="rId44"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en/our-work/opinions-information-reports/opinions/caregivers" TargetMode="External"/><Relationship Id="rId27" Type="http://schemas.openxmlformats.org/officeDocument/2006/relationships/hyperlink" Target="https://www.eesc.europa.eu/de/our-work/opinions-information-reports/opinions/general-fisheries-commission-mediterranean" TargetMode="External"/><Relationship Id="rId30" Type="http://schemas.openxmlformats.org/officeDocument/2006/relationships/hyperlink" Target="mailto:Martine.Delanoy@eesc.europa.eu" TargetMode="External"/><Relationship Id="rId35" Type="http://schemas.openxmlformats.org/officeDocument/2006/relationships/hyperlink" Target="https://www.eesc.europa.eu/de/our-work/opinions-information-reports/opinions/eu-biotech-and-biomanufacturing-initiative" TargetMode="External"/><Relationship Id="rId43" Type="http://schemas.openxmlformats.org/officeDocument/2006/relationships/footer" Target="footer3.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hyperlink" Target="mailto:Georgios.Meleas@eesc.europa.eu" TargetMode="External"/><Relationship Id="rId25" Type="http://schemas.openxmlformats.org/officeDocument/2006/relationships/hyperlink" Target="https://www.eesc.europa.eu/de/our-work/opinions-information-reports/opinions/proposal-council-recommendation-enhancing-research-security" TargetMode="External"/><Relationship Id="rId33" Type="http://schemas.openxmlformats.org/officeDocument/2006/relationships/hyperlink" Target="https://www.eesc.europa.eu/de/our-work/opinions-information-reports/opinions/energy-digitalisation-balancing-opportunities-and-risks-european-consumers" TargetMode="External"/><Relationship Id="rId38" Type="http://schemas.openxmlformats.org/officeDocument/2006/relationships/hyperlink" Target="https://www.eesc.europa.eu/de/our-work/opinions-information-reports/opinions/advanced-materials-industrial-leadership-coordinated-plan-member-states" TargetMode="External"/><Relationship Id="rId46" Type="http://schemas.openxmlformats.org/officeDocument/2006/relationships/fontTable" Target="fontTable.xml"/><Relationship Id="rId20" Type="http://schemas.openxmlformats.org/officeDocument/2006/relationships/hyperlink" Target="mailto:Sabrina.Borg@eesc.europa.eu"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F7M6YNZUATRX-789077548-3312</_dlc_DocId>
    <_dlc_DocIdUrl xmlns="59ace41b-6786-4ce3-be71-52c27066c6ef">
      <Url>http://dm/eesc/2024/_layouts/15/DocIdRedir.aspx?ID=F7M6YNZUATRX-789077548-3312</Url>
      <Description>F7M6YNZUATRX-789077548-3312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2024-07-23T12:00:00+00:00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Nebert Susanne</DisplayName>
        <AccountId>1552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5B1BB-41EE-4EC9-8CC8-E9105B4EA178}"/>
</file>

<file path=customXml/itemProps2.xml><?xml version="1.0" encoding="utf-8"?>
<ds:datastoreItem xmlns:ds="http://schemas.openxmlformats.org/officeDocument/2006/customXml" ds:itemID="{05F51416-5FDA-481D-BF12-4C05D8936DAA}"/>
</file>

<file path=customXml/itemProps3.xml><?xml version="1.0" encoding="utf-8"?>
<ds:datastoreItem xmlns:ds="http://schemas.openxmlformats.org/officeDocument/2006/customXml" ds:itemID="{97CB9E26-72AE-4035-98FA-3E4CE013887F}"/>
</file>

<file path=customXml/itemProps4.xml><?xml version="1.0" encoding="utf-8"?>
<ds:datastoreItem xmlns:ds="http://schemas.openxmlformats.org/officeDocument/2006/customXml" ds:itemID="{EEC87027-6A6D-4C9C-A798-411BCD391FCC}"/>
</file>

<file path=docProps/app.xml><?xml version="1.0" encoding="utf-8"?>
<Properties xmlns="http://schemas.openxmlformats.org/officeDocument/2006/extended-properties" xmlns:vt="http://schemas.openxmlformats.org/officeDocument/2006/docPropsVTypes">
  <Template>Normal.dotm</Template>
  <TotalTime>0</TotalTime>
  <Pages>17</Pages>
  <Words>5709</Words>
  <Characters>32543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von Stellungnahmen - 589. Plenartagung - Juli 2024  </dc:title>
  <dc:subject>TCD</dc:subject>
  <dc:creator>Nieddu Emma</dc:creator>
  <cp:keywords>EESC-2024-02113-00-01-TCD-TRA-EN</cp:keywords>
  <dc:description>Rapporteur:  - Original language: EN - Date of document: 23/07/2024 - Date of meeting: 30/18/2024 14:30 - External documents:  - Administrator: MME TAMASAUSKIENE Julija</dc:description>
  <cp:lastModifiedBy>Nebert Susanne</cp:lastModifiedBy>
  <cp:revision>8</cp:revision>
  <cp:lastPrinted>2023-06-15T08:00:00Z</cp:lastPrinted>
  <dcterms:created xsi:type="dcterms:W3CDTF">2024-07-23T07:58:00Z</dcterms:created>
  <dcterms:modified xsi:type="dcterms:W3CDTF">2024-07-23T08:00:00Z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17/07/2024, 09/04/2024, 27/03/2024, 03/01/2024, 13/11/2023, 25/09/2023, 25/07/2023, 30/06/2023, 23/06/2023, 26/05/2023, 07/03/2023, 11/01/2023, 10/01/2023, 29/03/2022, 04/03/2022, 15/12/2021, 13/09/2021, 03/09/2021, 28/06/2021</vt:lpwstr>
  </property>
  <property fmtid="{D5CDD505-2E9C-101B-9397-08002B2CF9AE}" pid="4" name="Pref_Time">
    <vt:lpwstr>10:55:58,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eesc-2024-02113-00-00-tcd-ori.docx,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0x010100EA97B91038054C99906057A708A1480A00C9C698F2971CE54890F427AFE3EB568F</vt:lpwstr>
  </property>
  <property fmtid="{D5CDD505-2E9C-101B-9397-08002B2CF9AE}" pid="8" name="_dlc_DocIdItemGuid">
    <vt:lpwstr>8ea6e2e5-7c0f-47b8-abca-99a61d110db2</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NL|55c6556c-b4f4-441d-9acf-c498d4f838bd;SV|c2ed69e7-a339-43d7-8f22-d93680a92aa0;LT|a7ff5ce7-6123-4f68-865a-a57c31810414;IT|0774613c-01ed-4e5d-a25d-11d2388de825;DA|5d49c027-8956-412b-aa16-e85a0f96ad0e;BG|1a1b3951-7821-4e6a-85f5-5673fc08bd2c;HU|6b229040-c589-4408-b4c1-4285663d20a8;PT|50ccc04a-eadd-42ae-a0cb-acaf45f812ba;ES|e7a6b05b-ae16-40c8-add9-68b64b03aeba;EN|f2175f21-25d7-44a3-96da-d6a61b075e1b;SL|98a412ae-eb01-49e9-ae3d-585a81724cfc;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43;#CS|72f9705b-0217-4fd3-bea2-cbc7ed80e26e;#27;#SL|98a412ae-eb01-49e9-ae3d-585a81724cfc;#24;#ES|e7a6b05b-ae16-40c8-add9-68b64b03aeba;#22;#BG|1a1b3951-7821-4e6a-85f5-5673fc08bd2c;#21;#SV|c2ed69e7-a339-43d7-8f22-d93680a92aa0;#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25;#DE|f6b31e5a-26fa-4935-b661-318e46daf27e</vt:lpwstr>
  </property>
</Properties>
</file>