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25879" w14:paraId="785AE44C" w14:textId="6FD27929">
      <w:pPr>
        <w:jc w:val="center"/>
      </w:pPr>
      <w:r>
        <w:rPr>
          <w:noProof/>
        </w:rPr>
        <w:drawing>
          <wp:inline distT="0" distB="0" distL="0" distR="0" wp14:anchorId="77B25DD0" wp14:editId="5DCBD5B5">
            <wp:extent cx="1792605" cy="1239520"/>
            <wp:effectExtent l="0" t="0" r="0" b="0"/>
            <wp:docPr id="2" name="Picture 2" title="EESCLogo_DA"/>
            <wp:cNvGraphicFramePr/>
            <a:graphic xmlns:a="http://schemas.openxmlformats.org/drawingml/2006/main">
              <a:graphicData uri="http://schemas.openxmlformats.org/drawingml/2006/picture">
                <pic:pic xmlns:pic="http://schemas.openxmlformats.org/drawingml/2006/picture">
                  <pic:nvPicPr>
                    <pic:cNvPr id="2" name="Picture 2" title="EESCLogo_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787F161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Bruxelles den 16. september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 PLENARFORSAMLING</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10.-11. juli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SAMMENDRAG AF VEDTAGNE UDTALELSER, RESOLUTIONER OG INFORMATIONS- OG EVALUERINGSRAPPORTER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Dette dokument findes på alle de officielle EU-sprog på </w:t>
            </w:r>
            <w:proofErr w:type="spellStart"/>
            <w:r>
              <w:t>EØSU's</w:t>
            </w:r>
            <w:proofErr w:type="spellEnd"/>
            <w:r>
              <w:t xml:space="preserve"> hjemmeside:</w:t>
            </w:r>
          </w:p>
          <w:p w:rsidRPr="00094B6B" w:rsidR="00B16284" w:rsidP="00775FC4" w:rsidRDefault="00B16284" w14:paraId="4F26A4CE" w14:textId="77777777">
            <w:pPr>
              <w:snapToGrid w:val="0"/>
              <w:jc w:val="center"/>
            </w:pPr>
          </w:p>
          <w:p w:rsidRPr="00094B6B" w:rsidR="004D7AC0" w:rsidP="00775FC4" w:rsidRDefault="00DF5812" w14:paraId="2A9352A2" w14:textId="0680ADB6">
            <w:pPr>
              <w:snapToGrid w:val="0"/>
              <w:jc w:val="center"/>
            </w:pPr>
            <w:hyperlink w:history="1" r:id="rId12">
              <w:r w:rsidR="000B64C3">
                <w:rPr>
                  <w:rStyle w:val="Hyperlink"/>
                  <w:highlight w:val="yellow"/>
                </w:rPr>
                <w:t>https://www.eesc.europa.eu/da/our-work/opinions-information-reports/plenary-session-summaries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omtalte udtalelser kan konsulteres online via </w:t>
            </w:r>
            <w:proofErr w:type="spellStart"/>
            <w:r>
              <w:t>EØSU's</w:t>
            </w:r>
            <w:proofErr w:type="spellEnd"/>
            <w:r>
              <w:t xml:space="preserve"> database:</w:t>
            </w:r>
          </w:p>
          <w:p w:rsidRPr="00094B6B" w:rsidR="00B16284" w:rsidP="00775FC4" w:rsidRDefault="00B16284" w14:paraId="7A5411A5" w14:textId="77777777">
            <w:pPr>
              <w:snapToGrid w:val="0"/>
              <w:jc w:val="center"/>
            </w:pPr>
          </w:p>
          <w:p w:rsidRPr="00094B6B" w:rsidR="004D7AC0" w:rsidP="00775FC4" w:rsidRDefault="00DF5812"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Indholdsfortegnelse:</w:t>
      </w:r>
    </w:p>
    <w:p w:rsidR="008A2F27" w:rsidRDefault="0014322B" w14:paraId="6A340B0F" w14:textId="01A5F402">
      <w:pPr>
        <w:pStyle w:val="TOC1"/>
        <w:rPr>
          <w:rFonts w:asciiTheme="minorHAnsi" w:hAnsiTheme="minorHAnsi" w:eastAsiaTheme="minorEastAsia" w:cstheme="minorBidi"/>
          <w:b w:val="0"/>
          <w:sz w:val="22"/>
          <w:szCs w:val="22"/>
          <w:lang w:eastAsia="da-DK"/>
        </w:rPr>
      </w:pPr>
      <w:r>
        <w:fldChar w:fldCharType="begin"/>
      </w:r>
      <w:r>
        <w:instrText xml:space="preserve"> TOC \o "1-1" \h \z \u </w:instrText>
      </w:r>
      <w:r>
        <w:fldChar w:fldCharType="separate"/>
      </w:r>
      <w:hyperlink w:history="1" w:anchor="_Toc172548236">
        <w:r w:rsidRPr="003D17C1" w:rsidR="008A2F27">
          <w:rPr>
            <w:rStyle w:val="Hyperlink"/>
          </w:rPr>
          <w:t>1.</w:t>
        </w:r>
        <w:r w:rsidR="008A2F27">
          <w:rPr>
            <w:rFonts w:asciiTheme="minorHAnsi" w:hAnsiTheme="minorHAnsi" w:eastAsiaTheme="minorEastAsia" w:cstheme="minorBidi"/>
            <w:b w:val="0"/>
            <w:sz w:val="22"/>
            <w:szCs w:val="22"/>
            <w:lang w:eastAsia="da-DK"/>
          </w:rPr>
          <w:tab/>
        </w:r>
        <w:r w:rsidRPr="003D17C1" w:rsidR="008A2F27">
          <w:rPr>
            <w:rStyle w:val="Hyperlink"/>
          </w:rPr>
          <w:t>RESOLUTION</w:t>
        </w:r>
        <w:r w:rsidR="008A2F27">
          <w:rPr>
            <w:webHidden/>
          </w:rPr>
          <w:tab/>
        </w:r>
        <w:r w:rsidR="008A2F27">
          <w:rPr>
            <w:webHidden/>
          </w:rPr>
          <w:fldChar w:fldCharType="begin"/>
        </w:r>
        <w:r w:rsidR="008A2F27">
          <w:rPr>
            <w:webHidden/>
          </w:rPr>
          <w:instrText xml:space="preserve"> PAGEREF _Toc172548236 \h </w:instrText>
        </w:r>
        <w:r w:rsidR="008A2F27">
          <w:rPr>
            <w:webHidden/>
          </w:rPr>
        </w:r>
        <w:r w:rsidR="008A2F27">
          <w:rPr>
            <w:webHidden/>
          </w:rPr>
          <w:fldChar w:fldCharType="separate"/>
        </w:r>
        <w:r w:rsidR="008A2F27">
          <w:rPr>
            <w:webHidden/>
          </w:rPr>
          <w:t>3</w:t>
        </w:r>
        <w:r w:rsidR="008A2F27">
          <w:rPr>
            <w:webHidden/>
          </w:rPr>
          <w:fldChar w:fldCharType="end"/>
        </w:r>
      </w:hyperlink>
    </w:p>
    <w:p w:rsidR="008A2F27" w:rsidRDefault="00DF5812" w14:paraId="69993775" w14:textId="6BFA49A1">
      <w:pPr>
        <w:pStyle w:val="TOC1"/>
        <w:rPr>
          <w:rFonts w:asciiTheme="minorHAnsi" w:hAnsiTheme="minorHAnsi" w:eastAsiaTheme="minorEastAsia" w:cstheme="minorBidi"/>
          <w:b w:val="0"/>
          <w:sz w:val="22"/>
          <w:szCs w:val="22"/>
          <w:lang w:eastAsia="da-DK"/>
        </w:rPr>
      </w:pPr>
      <w:hyperlink w:history="1" w:anchor="_Toc172548237">
        <w:r w:rsidRPr="003D17C1" w:rsidR="008A2F27">
          <w:rPr>
            <w:rStyle w:val="Hyperlink"/>
          </w:rPr>
          <w:t>2.</w:t>
        </w:r>
        <w:r w:rsidR="008A2F27">
          <w:rPr>
            <w:rFonts w:asciiTheme="minorHAnsi" w:hAnsiTheme="minorHAnsi" w:eastAsiaTheme="minorEastAsia" w:cstheme="minorBidi"/>
            <w:b w:val="0"/>
            <w:sz w:val="22"/>
            <w:szCs w:val="22"/>
            <w:lang w:eastAsia="da-DK"/>
          </w:rPr>
          <w:tab/>
        </w:r>
        <w:r w:rsidRPr="003D17C1" w:rsidR="008A2F27">
          <w:rPr>
            <w:rStyle w:val="Hyperlink"/>
          </w:rPr>
          <w:t>DEN ØKONOMISKE OG MONETÆRE UNION OG ØKONOMISK OG SOCIAL SAMHØRIGHED</w:t>
        </w:r>
        <w:r w:rsidR="008A2F27">
          <w:rPr>
            <w:webHidden/>
          </w:rPr>
          <w:tab/>
        </w:r>
        <w:r w:rsidR="008A2F27">
          <w:rPr>
            <w:webHidden/>
          </w:rPr>
          <w:fldChar w:fldCharType="begin"/>
        </w:r>
        <w:r w:rsidR="008A2F27">
          <w:rPr>
            <w:webHidden/>
          </w:rPr>
          <w:instrText xml:space="preserve"> PAGEREF _Toc172548237 \h </w:instrText>
        </w:r>
        <w:r w:rsidR="008A2F27">
          <w:rPr>
            <w:webHidden/>
          </w:rPr>
        </w:r>
        <w:r w:rsidR="008A2F27">
          <w:rPr>
            <w:webHidden/>
          </w:rPr>
          <w:fldChar w:fldCharType="separate"/>
        </w:r>
        <w:r w:rsidR="008A2F27">
          <w:rPr>
            <w:webHidden/>
          </w:rPr>
          <w:t>4</w:t>
        </w:r>
        <w:r w:rsidR="008A2F27">
          <w:rPr>
            <w:webHidden/>
          </w:rPr>
          <w:fldChar w:fldCharType="end"/>
        </w:r>
      </w:hyperlink>
    </w:p>
    <w:p w:rsidR="008A2F27" w:rsidRDefault="00DF5812" w14:paraId="35F16AC2" w14:textId="55B9380D">
      <w:pPr>
        <w:pStyle w:val="TOC1"/>
        <w:rPr>
          <w:rFonts w:asciiTheme="minorHAnsi" w:hAnsiTheme="minorHAnsi" w:eastAsiaTheme="minorEastAsia" w:cstheme="minorBidi"/>
          <w:b w:val="0"/>
          <w:sz w:val="22"/>
          <w:szCs w:val="22"/>
          <w:lang w:eastAsia="da-DK"/>
        </w:rPr>
      </w:pPr>
      <w:hyperlink w:history="1" w:anchor="_Toc172548238">
        <w:r w:rsidRPr="003D17C1" w:rsidR="008A2F27">
          <w:rPr>
            <w:rStyle w:val="Hyperlink"/>
          </w:rPr>
          <w:t>3.</w:t>
        </w:r>
        <w:r w:rsidR="008A2F27">
          <w:rPr>
            <w:rFonts w:asciiTheme="minorHAnsi" w:hAnsiTheme="minorHAnsi" w:eastAsiaTheme="minorEastAsia" w:cstheme="minorBidi"/>
            <w:b w:val="0"/>
            <w:sz w:val="22"/>
            <w:szCs w:val="22"/>
            <w:lang w:eastAsia="da-DK"/>
          </w:rPr>
          <w:tab/>
        </w:r>
        <w:r w:rsidRPr="003D17C1" w:rsidR="008A2F27">
          <w:rPr>
            <w:rStyle w:val="Hyperlink"/>
          </w:rPr>
          <w:t>BESKÆFTIGELSE, SOCIALE SPØRGSMÅL OG UNIONSBORGERSKAB</w:t>
        </w:r>
        <w:r w:rsidR="008A2F27">
          <w:rPr>
            <w:webHidden/>
          </w:rPr>
          <w:tab/>
        </w:r>
        <w:r w:rsidR="008A2F27">
          <w:rPr>
            <w:webHidden/>
          </w:rPr>
          <w:fldChar w:fldCharType="begin"/>
        </w:r>
        <w:r w:rsidR="008A2F27">
          <w:rPr>
            <w:webHidden/>
          </w:rPr>
          <w:instrText xml:space="preserve"> PAGEREF _Toc172548238 \h </w:instrText>
        </w:r>
        <w:r w:rsidR="008A2F27">
          <w:rPr>
            <w:webHidden/>
          </w:rPr>
        </w:r>
        <w:r w:rsidR="008A2F27">
          <w:rPr>
            <w:webHidden/>
          </w:rPr>
          <w:fldChar w:fldCharType="separate"/>
        </w:r>
        <w:r w:rsidR="008A2F27">
          <w:rPr>
            <w:webHidden/>
          </w:rPr>
          <w:t>5</w:t>
        </w:r>
        <w:r w:rsidR="008A2F27">
          <w:rPr>
            <w:webHidden/>
          </w:rPr>
          <w:fldChar w:fldCharType="end"/>
        </w:r>
      </w:hyperlink>
    </w:p>
    <w:p w:rsidR="008A2F27" w:rsidRDefault="00DF5812" w14:paraId="0999537F" w14:textId="0A77DC75">
      <w:pPr>
        <w:pStyle w:val="TOC1"/>
        <w:rPr>
          <w:rFonts w:asciiTheme="minorHAnsi" w:hAnsiTheme="minorHAnsi" w:eastAsiaTheme="minorEastAsia" w:cstheme="minorBidi"/>
          <w:b w:val="0"/>
          <w:sz w:val="22"/>
          <w:szCs w:val="22"/>
          <w:lang w:eastAsia="da-DK"/>
        </w:rPr>
      </w:pPr>
      <w:hyperlink w:history="1" w:anchor="_Toc172548239">
        <w:r w:rsidRPr="003D17C1" w:rsidR="008A2F27">
          <w:rPr>
            <w:rStyle w:val="Hyperlink"/>
          </w:rPr>
          <w:t>4.</w:t>
        </w:r>
        <w:r w:rsidR="008A2F27">
          <w:rPr>
            <w:rFonts w:asciiTheme="minorHAnsi" w:hAnsiTheme="minorHAnsi" w:eastAsiaTheme="minorEastAsia" w:cstheme="minorBidi"/>
            <w:b w:val="0"/>
            <w:sz w:val="22"/>
            <w:szCs w:val="22"/>
            <w:lang w:eastAsia="da-DK"/>
          </w:rPr>
          <w:tab/>
        </w:r>
        <w:r w:rsidRPr="003D17C1" w:rsidR="008A2F27">
          <w:rPr>
            <w:rStyle w:val="Hyperlink"/>
          </w:rPr>
          <w:t>DET INDRE MARKED, PRODUKTION OG FORBRUG</w:t>
        </w:r>
        <w:r w:rsidR="008A2F27">
          <w:rPr>
            <w:webHidden/>
          </w:rPr>
          <w:tab/>
        </w:r>
        <w:r w:rsidR="008A2F27">
          <w:rPr>
            <w:webHidden/>
          </w:rPr>
          <w:fldChar w:fldCharType="begin"/>
        </w:r>
        <w:r w:rsidR="008A2F27">
          <w:rPr>
            <w:webHidden/>
          </w:rPr>
          <w:instrText xml:space="preserve"> PAGEREF _Toc172548239 \h </w:instrText>
        </w:r>
        <w:r w:rsidR="008A2F27">
          <w:rPr>
            <w:webHidden/>
          </w:rPr>
        </w:r>
        <w:r w:rsidR="008A2F27">
          <w:rPr>
            <w:webHidden/>
          </w:rPr>
          <w:fldChar w:fldCharType="separate"/>
        </w:r>
        <w:r w:rsidR="008A2F27">
          <w:rPr>
            <w:webHidden/>
          </w:rPr>
          <w:t>9</w:t>
        </w:r>
        <w:r w:rsidR="008A2F27">
          <w:rPr>
            <w:webHidden/>
          </w:rPr>
          <w:fldChar w:fldCharType="end"/>
        </w:r>
      </w:hyperlink>
    </w:p>
    <w:p w:rsidR="008A2F27" w:rsidRDefault="00DF5812" w14:paraId="5A24D965" w14:textId="1C7AFC53">
      <w:pPr>
        <w:pStyle w:val="TOC1"/>
        <w:rPr>
          <w:rFonts w:asciiTheme="minorHAnsi" w:hAnsiTheme="minorHAnsi" w:eastAsiaTheme="minorEastAsia" w:cstheme="minorBidi"/>
          <w:b w:val="0"/>
          <w:sz w:val="22"/>
          <w:szCs w:val="22"/>
          <w:lang w:eastAsia="da-DK"/>
        </w:rPr>
      </w:pPr>
      <w:hyperlink w:history="1" w:anchor="_Toc172548240">
        <w:r w:rsidRPr="003D17C1" w:rsidR="008A2F27">
          <w:rPr>
            <w:rStyle w:val="Hyperlink"/>
          </w:rPr>
          <w:t>5.</w:t>
        </w:r>
        <w:r w:rsidR="008A2F27">
          <w:rPr>
            <w:rFonts w:asciiTheme="minorHAnsi" w:hAnsiTheme="minorHAnsi" w:eastAsiaTheme="minorEastAsia" w:cstheme="minorBidi"/>
            <w:b w:val="0"/>
            <w:sz w:val="22"/>
            <w:szCs w:val="22"/>
            <w:lang w:eastAsia="da-DK"/>
          </w:rPr>
          <w:tab/>
        </w:r>
        <w:r w:rsidRPr="003D17C1" w:rsidR="008A2F27">
          <w:rPr>
            <w:rStyle w:val="Hyperlink"/>
          </w:rPr>
          <w:t>LANDBRUG, UDVIKLING AF LANDDISTRIKTERNE OG MILJØ</w:t>
        </w:r>
        <w:r w:rsidR="008A2F27">
          <w:rPr>
            <w:webHidden/>
          </w:rPr>
          <w:tab/>
        </w:r>
        <w:r w:rsidR="008A2F27">
          <w:rPr>
            <w:webHidden/>
          </w:rPr>
          <w:fldChar w:fldCharType="begin"/>
        </w:r>
        <w:r w:rsidR="008A2F27">
          <w:rPr>
            <w:webHidden/>
          </w:rPr>
          <w:instrText xml:space="preserve"> PAGEREF _Toc172548240 \h </w:instrText>
        </w:r>
        <w:r w:rsidR="008A2F27">
          <w:rPr>
            <w:webHidden/>
          </w:rPr>
        </w:r>
        <w:r w:rsidR="008A2F27">
          <w:rPr>
            <w:webHidden/>
          </w:rPr>
          <w:fldChar w:fldCharType="separate"/>
        </w:r>
        <w:r w:rsidR="008A2F27">
          <w:rPr>
            <w:webHidden/>
          </w:rPr>
          <w:t>10</w:t>
        </w:r>
        <w:r w:rsidR="008A2F27">
          <w:rPr>
            <w:webHidden/>
          </w:rPr>
          <w:fldChar w:fldCharType="end"/>
        </w:r>
      </w:hyperlink>
    </w:p>
    <w:p w:rsidR="008A2F27" w:rsidRDefault="00DF5812" w14:paraId="52B4E29D" w14:textId="00DA5111">
      <w:pPr>
        <w:pStyle w:val="TOC1"/>
        <w:rPr>
          <w:rFonts w:asciiTheme="minorHAnsi" w:hAnsiTheme="minorHAnsi" w:eastAsiaTheme="minorEastAsia" w:cstheme="minorBidi"/>
          <w:b w:val="0"/>
          <w:sz w:val="22"/>
          <w:szCs w:val="22"/>
          <w:lang w:eastAsia="da-DK"/>
        </w:rPr>
      </w:pPr>
      <w:hyperlink w:history="1" w:anchor="_Toc172548241">
        <w:r w:rsidRPr="003D17C1" w:rsidR="008A2F27">
          <w:rPr>
            <w:rStyle w:val="Hyperlink"/>
          </w:rPr>
          <w:t>6.</w:t>
        </w:r>
        <w:r w:rsidR="008A2F27">
          <w:rPr>
            <w:rFonts w:asciiTheme="minorHAnsi" w:hAnsiTheme="minorHAnsi" w:eastAsiaTheme="minorEastAsia" w:cstheme="minorBidi"/>
            <w:b w:val="0"/>
            <w:sz w:val="22"/>
            <w:szCs w:val="22"/>
            <w:lang w:eastAsia="da-DK"/>
          </w:rPr>
          <w:tab/>
        </w:r>
        <w:r w:rsidRPr="003D17C1" w:rsidR="008A2F27">
          <w:rPr>
            <w:rStyle w:val="Hyperlink"/>
          </w:rPr>
          <w:t>EKSTERNE FORBINDELSER</w:t>
        </w:r>
        <w:r w:rsidR="008A2F27">
          <w:rPr>
            <w:webHidden/>
          </w:rPr>
          <w:tab/>
        </w:r>
        <w:r w:rsidR="008A2F27">
          <w:rPr>
            <w:webHidden/>
          </w:rPr>
          <w:fldChar w:fldCharType="begin"/>
        </w:r>
        <w:r w:rsidR="008A2F27">
          <w:rPr>
            <w:webHidden/>
          </w:rPr>
          <w:instrText xml:space="preserve"> PAGEREF _Toc172548241 \h </w:instrText>
        </w:r>
        <w:r w:rsidR="008A2F27">
          <w:rPr>
            <w:webHidden/>
          </w:rPr>
        </w:r>
        <w:r w:rsidR="008A2F27">
          <w:rPr>
            <w:webHidden/>
          </w:rPr>
          <w:fldChar w:fldCharType="separate"/>
        </w:r>
        <w:r w:rsidR="008A2F27">
          <w:rPr>
            <w:webHidden/>
          </w:rPr>
          <w:t>12</w:t>
        </w:r>
        <w:r w:rsidR="008A2F27">
          <w:rPr>
            <w:webHidden/>
          </w:rPr>
          <w:fldChar w:fldCharType="end"/>
        </w:r>
      </w:hyperlink>
    </w:p>
    <w:p w:rsidR="008A2F27" w:rsidRDefault="00DF5812" w14:paraId="00668299" w14:textId="42C2D285">
      <w:pPr>
        <w:pStyle w:val="TOC1"/>
        <w:rPr>
          <w:rFonts w:asciiTheme="minorHAnsi" w:hAnsiTheme="minorHAnsi" w:eastAsiaTheme="minorEastAsia" w:cstheme="minorBidi"/>
          <w:b w:val="0"/>
          <w:sz w:val="22"/>
          <w:szCs w:val="22"/>
          <w:lang w:eastAsia="da-DK"/>
        </w:rPr>
      </w:pPr>
      <w:hyperlink w:history="1" w:anchor="_Toc172548242">
        <w:r w:rsidRPr="003D17C1" w:rsidR="008A2F27">
          <w:rPr>
            <w:rStyle w:val="Hyperlink"/>
          </w:rPr>
          <w:t>7.</w:t>
        </w:r>
        <w:r w:rsidR="008A2F27">
          <w:rPr>
            <w:rFonts w:asciiTheme="minorHAnsi" w:hAnsiTheme="minorHAnsi" w:eastAsiaTheme="minorEastAsia" w:cstheme="minorBidi"/>
            <w:b w:val="0"/>
            <w:sz w:val="22"/>
            <w:szCs w:val="22"/>
            <w:lang w:eastAsia="da-DK"/>
          </w:rPr>
          <w:tab/>
        </w:r>
        <w:r w:rsidRPr="003D17C1" w:rsidR="008A2F27">
          <w:rPr>
            <w:rStyle w:val="Hyperlink"/>
          </w:rPr>
          <w:t>TRANSPORT, ENERGI, INFRASTRUKTUR OG INFORMATIONSSAMFUNDET</w:t>
        </w:r>
        <w:r w:rsidR="008A2F27">
          <w:rPr>
            <w:webHidden/>
          </w:rPr>
          <w:tab/>
        </w:r>
        <w:r w:rsidR="008A2F27">
          <w:rPr>
            <w:webHidden/>
          </w:rPr>
          <w:fldChar w:fldCharType="begin"/>
        </w:r>
        <w:r w:rsidR="008A2F27">
          <w:rPr>
            <w:webHidden/>
          </w:rPr>
          <w:instrText xml:space="preserve"> PAGEREF _Toc172548242 \h </w:instrText>
        </w:r>
        <w:r w:rsidR="008A2F27">
          <w:rPr>
            <w:webHidden/>
          </w:rPr>
        </w:r>
        <w:r w:rsidR="008A2F27">
          <w:rPr>
            <w:webHidden/>
          </w:rPr>
          <w:fldChar w:fldCharType="separate"/>
        </w:r>
        <w:r w:rsidR="008A2F27">
          <w:rPr>
            <w:webHidden/>
          </w:rPr>
          <w:t>14</w:t>
        </w:r>
        <w:r w:rsidR="008A2F27">
          <w:rPr>
            <w:webHidden/>
          </w:rPr>
          <w:fldChar w:fldCharType="end"/>
        </w:r>
      </w:hyperlink>
    </w:p>
    <w:p w:rsidR="008A2F27" w:rsidRDefault="00DF5812" w14:paraId="77ACC7B9" w14:textId="782385E2">
      <w:pPr>
        <w:pStyle w:val="TOC1"/>
        <w:rPr>
          <w:rFonts w:asciiTheme="minorHAnsi" w:hAnsiTheme="minorHAnsi" w:eastAsiaTheme="minorEastAsia" w:cstheme="minorBidi"/>
          <w:b w:val="0"/>
          <w:sz w:val="22"/>
          <w:szCs w:val="22"/>
          <w:lang w:eastAsia="da-DK"/>
        </w:rPr>
      </w:pPr>
      <w:hyperlink w:history="1" w:anchor="_Toc172548243">
        <w:r w:rsidRPr="003D17C1" w:rsidR="008A2F27">
          <w:rPr>
            <w:rStyle w:val="Hyperlink"/>
          </w:rPr>
          <w:t xml:space="preserve">8. </w:t>
        </w:r>
        <w:r w:rsidR="008A2F27">
          <w:rPr>
            <w:rFonts w:asciiTheme="minorHAnsi" w:hAnsiTheme="minorHAnsi" w:eastAsiaTheme="minorEastAsia" w:cstheme="minorBidi"/>
            <w:b w:val="0"/>
            <w:sz w:val="22"/>
            <w:szCs w:val="22"/>
            <w:lang w:eastAsia="da-DK"/>
          </w:rPr>
          <w:tab/>
        </w:r>
        <w:r w:rsidRPr="003D17C1" w:rsidR="008A2F27">
          <w:rPr>
            <w:rStyle w:val="Hyperlink"/>
          </w:rPr>
          <w:t>DEN RÅDGIVENDE KOMMISSION FOR INDUSTRIELLE ÆNDRINGER</w:t>
        </w:r>
        <w:r w:rsidR="008A2F27">
          <w:rPr>
            <w:webHidden/>
          </w:rPr>
          <w:tab/>
        </w:r>
        <w:r w:rsidR="008A2F27">
          <w:rPr>
            <w:webHidden/>
          </w:rPr>
          <w:fldChar w:fldCharType="begin"/>
        </w:r>
        <w:r w:rsidR="008A2F27">
          <w:rPr>
            <w:webHidden/>
          </w:rPr>
          <w:instrText xml:space="preserve"> PAGEREF _Toc172548243 \h </w:instrText>
        </w:r>
        <w:r w:rsidR="008A2F27">
          <w:rPr>
            <w:webHidden/>
          </w:rPr>
        </w:r>
        <w:r w:rsidR="008A2F27">
          <w:rPr>
            <w:webHidden/>
          </w:rPr>
          <w:fldChar w:fldCharType="separate"/>
        </w:r>
        <w:r w:rsidR="008A2F27">
          <w:rPr>
            <w:webHidden/>
          </w:rPr>
          <w:t>15</w:t>
        </w:r>
        <w:r w:rsidR="008A2F27">
          <w:rPr>
            <w:webHidden/>
          </w:rPr>
          <w:fldChar w:fldCharType="end"/>
        </w:r>
      </w:hyperlink>
    </w:p>
    <w:p w:rsidR="00C86ABD" w:rsidRDefault="0014322B" w14:paraId="4EDE006A" w14:textId="3A77017D">
      <w:pPr>
        <w:jc w:val="left"/>
      </w:pPr>
      <w:r>
        <w:fldChar w:fldCharType="end"/>
      </w:r>
      <w:r>
        <w:br w:type="page"/>
      </w:r>
    </w:p>
    <w:p w:rsidR="00C86ABD" w:rsidP="00810736" w:rsidRDefault="00C86ABD" w14:paraId="6C806385" w14:textId="0970C9A4">
      <w:pPr>
        <w:pStyle w:val="Heading1"/>
        <w:ind w:left="709" w:hanging="720"/>
        <w:rPr>
          <w:b/>
          <w:bCs/>
        </w:rPr>
      </w:pPr>
      <w:bookmarkStart w:name="_Toc172548236" w:id="0"/>
      <w:r>
        <w:rPr>
          <w:b/>
        </w:rPr>
        <w:lastRenderedPageBreak/>
        <w:t>RESOLUTION</w:t>
      </w:r>
      <w:bookmarkEnd w:id="0"/>
      <w:r>
        <w:rPr>
          <w:b/>
        </w:rPr>
        <w:t xml:space="preserve"> </w:t>
      </w:r>
    </w:p>
    <w:p w:rsidRPr="004516BD" w:rsidR="004516BD" w:rsidP="004516BD" w:rsidRDefault="004516BD" w14:paraId="46F44DDA" w14:textId="77777777"/>
    <w:p w:rsidRPr="00A773FA" w:rsidR="00A773FA" w:rsidP="0088361D" w:rsidRDefault="00DF5812"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000B64C3">
          <w:rPr>
            <w:b/>
            <w:i/>
            <w:color w:val="0000FF"/>
            <w:sz w:val="28"/>
            <w:u w:val="single"/>
          </w:rPr>
          <w:t>Ingen må lades i stikken!</w:t>
        </w:r>
      </w:hyperlink>
      <w:hyperlink w:history="1" r:id="rId21">
        <w:r w:rsidR="000B64C3">
          <w:rPr>
            <w:b/>
            <w:i/>
            <w:color w:val="0000FF"/>
            <w:sz w:val="28"/>
            <w:u w:val="single"/>
          </w:rPr>
          <w:t xml:space="preserve"> For en inklusiv og deltagerorienteret samhørighedspolitik til støtte for social, økonomisk og territorial samhørighed</w:t>
        </w:r>
      </w:hyperlink>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6863"/>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Ordfører</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r>
              <w:t xml:space="preserve">Ioannis </w:t>
            </w:r>
            <w:proofErr w:type="spellStart"/>
            <w:r>
              <w:t>Vardakastanis</w:t>
            </w:r>
            <w:proofErr w:type="spellEnd"/>
            <w:r>
              <w:t xml:space="preserve"> (Gruppen af civilsamfundsorganisationer – 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Ref.</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t>EØSU:</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opfordrer Den Europæiske Unions medlemsstater og ledere samt EU-institutionerne og EU's borgere til at sikre og beskytte EU's økonomiske, sociale og territoriale samhørighed i henhold til artikel 174 i TEUF</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understreger, at samhørighedspolitikkens grundlæggende princip om, at ingen må lades i stikken, fortsat er stærkt og gyldigt, og at civilsamfundets aktører er parate til at blive ved med at arbejde for dette princip gennem en stærk EU-investeringspolitik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påpeger, at chanceulighed kan være til skade for den langsigtede vækst og konkurrenceevne på regionalt og nationalt plan og på EU-plan. Der er derfor behov for en mere alsidig og fleksibel, men samtidig troværdig, stabil og klar samhørighedspolitik, hvor der i højere grad tages hensyn til det enkelte menneske, navnlig de mest sårbare befolkningsgrupper, og hvor der bedre kan sættes ind over for den chanceulighed, som mange oplever</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er kritiske over for, at der ikke længere skal være en kommissær med ansvar for navnlig samhørighedspolitik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er modstandere af, at samhørighedspolitikken beskæres og omdannes til et instrument til håndtering af akutte kriser</w:t>
      </w:r>
    </w:p>
    <w:p w:rsidRPr="00A773FA" w:rsidR="00A773FA" w:rsidP="0088361D" w:rsidRDefault="00A773FA" w14:paraId="352DC0D1" w14:textId="166D375D">
      <w:pPr>
        <w:numPr>
          <w:ilvl w:val="0"/>
          <w:numId w:val="34"/>
        </w:numPr>
        <w:overflowPunct w:val="0"/>
        <w:autoSpaceDE w:val="0"/>
        <w:autoSpaceDN w:val="0"/>
        <w:adjustRightInd w:val="0"/>
        <w:spacing w:after="200" w:line="276" w:lineRule="auto"/>
        <w:ind w:left="284" w:hanging="284"/>
        <w:contextualSpacing/>
        <w:textAlignment w:val="baseline"/>
        <w:rPr>
          <w:bCs/>
        </w:rPr>
      </w:pPr>
      <w:r>
        <w:t>afviser idéen om at omdanne samhørighedspolitikken til et instrument svarende til genopretnings</w:t>
      </w:r>
      <w:r w:rsidR="008A2F27">
        <w:noBreakHyphen/>
      </w:r>
      <w:r>
        <w:t xml:space="preserve"> og resiliensfaciliteten, hvor strukturel inddragelse af interessenter, delt forvaltning og flerniveaustyring kun i begrænset omfang eller slet ikke forekommer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går ind for partnerskabsprincippet og klare regler for at inddrage civilsamfundet i udvælgelsen, forvaltningen og overvågningen af EU-finansierede tiltag</w:t>
      </w:r>
    </w:p>
    <w:p w:rsidRPr="00A773FA" w:rsidR="00A773FA" w:rsidP="0088361D" w:rsidRDefault="00A773FA" w14:paraId="4F607A17" w14:textId="2F7674D2">
      <w:pPr>
        <w:numPr>
          <w:ilvl w:val="0"/>
          <w:numId w:val="34"/>
        </w:numPr>
        <w:overflowPunct w:val="0"/>
        <w:autoSpaceDE w:val="0"/>
        <w:autoSpaceDN w:val="0"/>
        <w:adjustRightInd w:val="0"/>
        <w:spacing w:after="200" w:line="276" w:lineRule="auto"/>
        <w:ind w:left="284" w:hanging="284"/>
        <w:contextualSpacing/>
        <w:textAlignment w:val="baseline"/>
        <w:rPr>
          <w:bCs/>
        </w:rPr>
      </w:pPr>
      <w:r>
        <w:t>efterspørger en stærk ordlyd, når det kommer til at inddrage civilsamfundet, i den næste forordning om fælles bestemmelser, som regulerer anvendelsen af Samhørighedsfonden og anden EU</w:t>
      </w:r>
      <w:r w:rsidR="008A2F27">
        <w:noBreakHyphen/>
      </w:r>
      <w:r>
        <w:t>finansiering efter 2027 på samme måde som i perioden 2021-2027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efterlyser en stedbaseret og menneskecentreret samhørighedspolitik</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opfordrer til at sætte fornyet skub i samhørighedspolitikken og mener, at det er nødvendigt at udvide, modernisere og revidere samhørighedspolitikkens vifte af instrumenter og tilgange for at opbygge en stærk, effektiv, fleksibel og fornyet politik, der i højere grad har fokus på kapacitet, interregionale forbindelser, effektive resultater og muligheder for støttemodtagerne ud over blot investeringer</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vil gøre alt, hvad der står i vores magt, for at værne om samhørighedspolitikkens centrale principper og sikre, at samhørighedspolitikken også fremover vil være den lim, som holder Europa sammen.</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773FA" w:rsidR="00A773FA" w:rsidTr="001F4854" w14:paraId="1E00A390" w14:textId="77777777">
        <w:tc>
          <w:tcPr>
            <w:tcW w:w="1418"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t>Kontakt</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Pr>
                <w:i/>
              </w:rPr>
              <w:t>Georgios Meleas</w:t>
            </w:r>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Tlf.</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00 32 2 546 9795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E-mail</w:t>
            </w:r>
          </w:p>
        </w:tc>
        <w:tc>
          <w:tcPr>
            <w:tcW w:w="5670" w:type="dxa"/>
          </w:tcPr>
          <w:p w:rsidRPr="00A773FA" w:rsidR="00A773FA" w:rsidP="00A773FA" w:rsidRDefault="00DF5812"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548237" w:id="3"/>
      <w:bookmarkEnd w:id="1"/>
      <w:bookmarkEnd w:id="2"/>
      <w:r>
        <w:rPr>
          <w:b/>
        </w:rPr>
        <w:lastRenderedPageBreak/>
        <w:t>DEN ØKONOMISKE OG MONETÆRE UNION OG ØKONOMISK OG SOCIAL SAMHØRIGHED</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DF5812"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000B64C3">
          <w:rPr>
            <w:b/>
            <w:i/>
            <w:color w:val="0000FF"/>
            <w:sz w:val="28"/>
            <w:u w:val="single"/>
          </w:rPr>
          <w:t>Beskatningsramme for socialøkonomiske enheder</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Ordfører</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 xml:space="preserve">Giuseppe </w:t>
            </w:r>
            <w:proofErr w:type="spellStart"/>
            <w:r>
              <w:t>Guerini</w:t>
            </w:r>
            <w:proofErr w:type="spellEnd"/>
            <w:r>
              <w:t xml:space="preserve"> (Gruppen af civilsamfundsorganisationer –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Ref.</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Initiativudtalelse</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EØSU:</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understreger, at medlemsstaternes skattesystemer ikke må hindre udviklingen af socialøkonomien, og glæder sig over, at det er Kommissionens hensigt at yde støtte til medlemsstaterne ved at offentliggøre retningslinjer vedrørende de relevante beskatningsrammer for socialøkonomiske enheder</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bemærker, at viden om tilgangene i de forskellige medlemsstater kan være et vigtigt udgangspunkt for at uddybe og forbedre de overordnede beskatningsrammer for socialøkonomiske enheder på det indre marked</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håber, at man fremover vil fortsætte med at harmonisere tilgangen til beskatning af socialøkonomiske enheder med henblik på at styrke det indre marked</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opfordrer til grundige overvejelser om, hvordan beskatningen af socialøkonomien vil kunne harmoniseres i EU i fremtiden</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 xml:space="preserve">opfordrer Kommissionen og medlemsstaterne til også at overveje endnu mere favorable momssatser for socialøkonomiske enheders almennyttige aktiviteter og for sociale tjenester, især for sundheds- og socialydelser for ældre, personrelaterede tjenesteydelser, </w:t>
      </w:r>
      <w:proofErr w:type="spellStart"/>
      <w:r>
        <w:t>langtidspleje</w:t>
      </w:r>
      <w:proofErr w:type="spellEnd"/>
      <w:r>
        <w:t xml:space="preserve"> og uddannelse.</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Kontakt</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Tlf.</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00 32 2 546 9628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A773FA" w:rsidP="00A773FA" w:rsidRDefault="00DF5812"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548238" w:id="5"/>
      <w:r>
        <w:rPr>
          <w:rStyle w:val="Hyperlink"/>
          <w:color w:val="000000" w:themeColor="text1"/>
          <w:sz w:val="22"/>
          <w:u w:val="none"/>
        </w:rPr>
        <w:t>3.</w:t>
      </w:r>
      <w:r>
        <w:rPr>
          <w:rFonts w:asciiTheme="minorHAnsi" w:hAnsiTheme="minorHAnsi"/>
          <w:color w:val="000000" w:themeColor="text1"/>
        </w:rPr>
        <w:tab/>
      </w:r>
      <w:r>
        <w:t>BESKÆFTIGELSE, SOCIALE SPØRGSMÅL OG UNIONSBORGERSKAB</w:t>
      </w:r>
      <w:bookmarkEnd w:id="5"/>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"https://www.eesc.europa.eu/da/our-work/opinions-information-reports/opinions/combating-sexual-abuse-and-sexual-exploitation-children-and-child-pornography"</w:instrText>
      </w:r>
      <w:r w:rsidRPr="00231B83">
        <w:rPr>
          <w:b/>
          <w:i/>
          <w:sz w:val="28"/>
        </w:rPr>
        <w:fldChar w:fldCharType="separate"/>
      </w:r>
      <w:r>
        <w:rPr>
          <w:b/>
          <w:i/>
          <w:color w:val="0000FF"/>
          <w:sz w:val="28"/>
          <w:u w:val="single"/>
        </w:rPr>
        <w:t>Bekæmpelse af seksuelt misbrug og seksuel udnyttelse af børn og børnepornografi</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Ordfører</w:t>
            </w:r>
          </w:p>
          <w:p w:rsidRPr="00231B83" w:rsidR="00231B83" w:rsidP="00231B83" w:rsidRDefault="00231B83" w14:paraId="020B7D59" w14:textId="77777777">
            <w:pPr>
              <w:overflowPunct w:val="0"/>
              <w:autoSpaceDE w:val="0"/>
              <w:autoSpaceDN w:val="0"/>
              <w:adjustRightInd w:val="0"/>
              <w:ind w:left="-113"/>
              <w:textAlignment w:val="baseline"/>
              <w:rPr>
                <w:b/>
              </w:rPr>
            </w:pPr>
            <w:r>
              <w:rPr>
                <w:b/>
              </w:rPr>
              <w:t>Medordfører:</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 xml:space="preserve">Christian </w:t>
            </w:r>
            <w:proofErr w:type="spellStart"/>
            <w:r>
              <w:t>Bäumler</w:t>
            </w:r>
            <w:proofErr w:type="spellEnd"/>
            <w:r>
              <w:t xml:space="preserve"> (Arbejdstagergruppen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 xml:space="preserve">Diana </w:t>
            </w:r>
            <w:proofErr w:type="spellStart"/>
            <w:r>
              <w:t>Indjova</w:t>
            </w:r>
            <w:proofErr w:type="spellEnd"/>
            <w:r>
              <w:t xml:space="preserve"> (Gruppen af civilsamfundsorganisationer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Ref.</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EØSU:</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støtter forslagets mål om at sikre, at alle former for seksuelt misbrug og seksuel udnyttelse af børn, herunder dem, der muliggøres eller fremmes af den teknologiske udvikling, gøres strafbare</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glæder sig over, at der er fokus på en særligt sårbar gruppe, nemlig børn med handicap, som let kan blive ofre for seksuelt misbrug, seksuel udnyttelse og cyberkriminalitet</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går ind for bedre koordinering i forbindelse med forebyggelse og bekæmpelse af seksuelt misbrug af børn på tværs af medlemsstaterne og på nationalt plan. Udvalget støtter i denne forbindelse den foreslåede forpligtelse for medlemsstaterne til at oprette nationale myndigheder med ansvar for en sådan koordinering</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understreger betydningen af at have fælles minimumsstandarder for definitionen af forbrydelser og omfanget af de dertil knyttede sanktioner for en effektiv retsforfølgelse af gerningsmænd og sikring af beskyttelse af ofre i hele EU. Udvalget støtter, at "pædofilimanualer" gøres strafbare</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opfordrer til, at den internationale udveksling af data om seksuelt misbrug og seksuel udnyttelse af børn reguleres specifikt, og at mulighederne for lagring af data udvides i alle medlemsstater med udviklingen af et EU-forskningscenter</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støtter målet om at forbedre forebyggelsen af og bistanden til ofre for seksuel udnyttelse og seksuelt misbrug. Udvalget støtter den foreslåede forhøjelse af minimumsstraffene og varigheden af forældelsesfrister</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understreger betydningen af løbende uddannelse af både retshåndhævelsespersonale og alle, der beskæftiger sig med børn, for udøvelsen af deres hverv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mener, at civilsamfundets inddragelse er af afgørende betydning såvel for bekæmpelse af seksuelt misbrug og seksuel udnyttelse af børn som for forebyggelse og støtte til ofre.</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Kontakt</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Tlf.</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00 32 2 546 97 27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E-mail</w:t>
            </w:r>
          </w:p>
        </w:tc>
        <w:tc>
          <w:tcPr>
            <w:tcW w:w="3444" w:type="pct"/>
          </w:tcPr>
          <w:p w:rsidRPr="00231B83" w:rsidR="00231B83" w:rsidP="00231B83" w:rsidRDefault="00DF5812"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"https://www.eesc.europa.eu/da/our-work/opinions-information-reports/opinions/anti-smuggling-package" </w:instrText>
      </w:r>
      <w:r w:rsidRPr="00D7590E">
        <w:rPr>
          <w:b/>
          <w:i/>
          <w:sz w:val="28"/>
        </w:rPr>
        <w:fldChar w:fldCharType="separate"/>
      </w:r>
      <w:r>
        <w:rPr>
          <w:b/>
          <w:i/>
          <w:color w:val="0000FF"/>
          <w:sz w:val="28"/>
          <w:u w:val="single"/>
        </w:rPr>
        <w:t>Pakken om bekæmpelse af smugling</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Ordfører</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t xml:space="preserve">Florin </w:t>
            </w:r>
            <w:proofErr w:type="spellStart"/>
            <w:r>
              <w:t>Bercea</w:t>
            </w:r>
            <w:proofErr w:type="spellEnd"/>
            <w:r>
              <w:t xml:space="preserve"> (Arbejdstagergruppen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Ref.</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t>COM(2023) 755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EØSU:</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bemærker, at de to lovgivningsforslag og den globale alliance foreslår forholdsmæssig og trinvis kapacitetsopbygning, men at der er behov for mere strategiske ambitioner og et mere strategisk engagement for at kunne håndtere processen på en effektiv måde</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anerkender, at bekæmpelse af migrantsmugling kræver ny fremdrift og bedre koordinering på alle niveauer. Samtidig er det vigtigt at åbne lovlige migrationskanaler og -procedurer for dem, der ønsker at rejse sikkert og lovligt til EU</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erkender, at det, for at EU's asylsystem kan fungere effektivt, er afgørende at finde metoder til at løse problemerne med systematisk brug af </w:t>
      </w:r>
      <w:proofErr w:type="spellStart"/>
      <w:r>
        <w:t>tilbagedrivelser</w:t>
      </w:r>
      <w:proofErr w:type="spellEnd"/>
      <w:r>
        <w:t xml:space="preserve"> ved EU's ydre grænser, da dette er forbudt i henhold til Genèvekonventionen. Manglen på sikre og lovlige adgangsveje til EU betyder, at flygtninge og migranter, der søger sikkerhed, ikke har andre muligheder end at benytte farligere ruter, der bringer deres liv i fare</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opfordrer Kommissionen til at udvikle en mere solid tilgang ud over den globale alliance for at styrke tredjelandes kapacitet og tilskynde til samarbejde med Europol og medlemsstaternes retshåndhævende myndigheder</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beklager, at pakken ikke omfatter de personer, der benytter sig af migrantsmugleres tjenester, selv om de anerkendes som potentielle ofre. EU skal i sin strategi for bekæmpelse af smugling indarbejde en dimension vedrørende grundlæggende rettigheder for mennesker, der er desperate og sårbare nok til at benytte sig af smuglernes tjenester. Politikken bør også i højere grad rettes mod grupper af mennesker, der er endnu mere sårbare, såsom personer med handicap</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opfordrer til større gennemsigtighed i udarbejdelsen af forslagene, da de ikke blev ledsaget af en forudgående konsekvensanalyserapport</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glæder sig over direktivet, men advarer om, at dets indhold i alvorlig grad kan påvirke de grundlæggende rettigheder for migranter og for dem, der bistår dem af humanitære årsager mener, at skabelsen og opretholdelsen af en sådan frygt omkring humanitær, juridisk og endda også administrativ bistand er en forkert og uacceptabel måde at bekæmpe smugling på</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mener desuden, at humanitære hjælpearbejdere, familiemedlemmer og andre personer, der yder tjenester til migranter, bør udelukkes fra retsforfølgning. Retsforfølgning bør kun være mulig, hvis der er tale om en uretmæssig økonomisk fordel.</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Kontakt</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Gemma Amran</w:t>
            </w:r>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Tlf.</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00 32 2 546 94 15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E-mail</w:t>
            </w:r>
          </w:p>
        </w:tc>
        <w:tc>
          <w:tcPr>
            <w:tcW w:w="3444" w:type="pct"/>
          </w:tcPr>
          <w:p w:rsidRPr="00D7590E" w:rsidR="00D7590E" w:rsidP="00D7590E" w:rsidRDefault="00DF5812"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3A3334" w:rsidR="003A3334" w:rsidP="003A3334" w:rsidRDefault="00DF5812"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000B64C3">
          <w:rPr>
            <w:b/>
            <w:i/>
            <w:color w:val="0000FF"/>
            <w:sz w:val="28"/>
            <w:u w:val="single"/>
          </w:rPr>
          <w:t>Omsorgspersoner</w:t>
        </w:r>
      </w:hyperlink>
      <w:r w:rsidRPr="003A3334" w:rsidR="003A3334">
        <w:rPr>
          <w:b/>
          <w:i/>
          <w:sz w:val="28"/>
        </w:rPr>
        <w:fldChar w:fldCharType="begin"/>
      </w:r>
      <w:r w:rsidRPr="003A3334" w:rsidR="003A3334">
        <w:rPr>
          <w:b/>
          <w:i/>
          <w:sz w:val="28"/>
        </w:rPr>
        <w:instrText xml:space="preserve"> HYPERLINK "https://www.eesc.europa.eu/da/our-work/opinions-information-reports/opinions/anti-smuggling-package"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4"/>
        <w:gridCol w:w="1160"/>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Ordfører</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 xml:space="preserve">Pietro Vittorio </w:t>
            </w:r>
            <w:proofErr w:type="spellStart"/>
            <w:r>
              <w:t>Barbieri</w:t>
            </w:r>
            <w:proofErr w:type="spellEnd"/>
            <w:r>
              <w:t xml:space="preserve"> (Gruppen af civilsamfundsorganisationer –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Ref.</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Initiativudtalelse</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Hovedpunkter</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EØSU:</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opfordrer Kommissionen til at sætte spørgsmålet om uformelle omsorgspersoner højt på den politiske dagsorden og til at oprette en platform for udveksling af bedste praksis mellem medlemsstaterne. Opfordrer medlemsstaterne til at vedtage politikker, der tilskynder til levering og udbredelse af lokalsamfundsbaserede langtidsplejetjenester af høj kvalitet, tilgængeligheden af aflastningstjenester for uformelle omsorgspersoner samt forebyggende medicin for at tackle den høje risiko for udbrændthed og fysisk og psykisk overbelastning, som uformelle omsorgspersoner udsættes for</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opfordrer medlemsstaterne til at træffe passende foranstaltninger til at sikre, at beslutningen om at påtage sig uformel pleje er frivillig, at uligheder mellem kønnene tackles, at uformelle omsorgspersoner kan bevare deres beskæftigelse og løn gennem mere fleksible arbejdsvilkår, og at det bliver lettere for dem at vende tilbage til arbejdsmarkedet, hvis de er nødt til at forlade det</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opfordrer til, at omsorgspersoner i familien bliver omfattet af den internationale dag for pleje og støtte, således at de anerkendes i det europæiske plejesystem</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rPr>
          <w:color w:val="000000"/>
        </w:rPr>
        <w:t>mener, at det har stor betydning at råde over kvalitative og kvantitative data, der beskriver uformelle omsorgspersoners faktiske levevilkår, og opfordrer til, at der vedtages yderligere forskningsstrategier</w:t>
      </w:r>
      <w:r>
        <w:t>.</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Kontakt</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Tlf.</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00 32 2 546 8774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E-mail</w:t>
            </w:r>
          </w:p>
        </w:tc>
        <w:tc>
          <w:tcPr>
            <w:tcW w:w="3444" w:type="pct"/>
          </w:tcPr>
          <w:p w:rsidRPr="003A3334" w:rsidR="003A3334" w:rsidP="003A3334" w:rsidRDefault="00DF5812"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"https://www.eesc.europa.eu/da/our-work/opinions-information-reports/opinions/traineeship-directive-and-reinforced-quality-framework-traineeships"</w:instrText>
      </w:r>
      <w:r w:rsidRPr="002646B8">
        <w:rPr>
          <w:b/>
          <w:i/>
          <w:sz w:val="28"/>
        </w:rPr>
        <w:fldChar w:fldCharType="separate"/>
      </w:r>
      <w:r>
        <w:rPr>
          <w:b/>
          <w:i/>
          <w:color w:val="0000FF"/>
          <w:sz w:val="28"/>
          <w:u w:val="single"/>
        </w:rPr>
        <w:t>Praktikdirektivet og en styrket kvalitetsramme for praktikophold</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Ordfører</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t xml:space="preserve">Nicoletta </w:t>
            </w:r>
            <w:proofErr w:type="spellStart"/>
            <w:r>
              <w:t>Merlo</w:t>
            </w:r>
            <w:proofErr w:type="spellEnd"/>
            <w:r>
              <w:t xml:space="preserve"> (Arbejdstagergruppen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Ref.</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COM(2024) 132 final</w:t>
            </w:r>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COM(2024) 133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EØSU:</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understreger, at lærlingeuddannelser og praktikophold er to forskellige former for jobtræning med forskellige mål og forskellige regler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anbefaler, at definitionerne i artikel 2 ikke indebærer nogen forpligtelse for medlemsstaterne til at klassificere praktikophold som et ansættelsesforhold, når denne praksis i henhold til medlemsstaternes lovgivning falder uden for direktivets definition af "praktikant"</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foreslår, at der i direktivet medtages en liste over arbejdsvilkår, der bør betragtes som ufravigelige, for at sikre bedre beskyttelse af praktikanternes interesser og samtidig bevare arbejdsmarkedsparternes autonomi ved regulering af vilkårene for praktikophold på det åbne marked</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understreger den centrale rolle, som de kompetente myndigheder spiller, når det gælder om at bekæmpe almindelige ansættelsesforhold camoufleret som praktikophold samt anerkende den vigtige rolle, som arbejdsmarkedets parter kan spille i denne indsats</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efterlyser bestemmelser, som sikrer, at arbejdstagerrepræsentanter altid kan agere med henblik på at beskytte praktikanter, selv om praktikopholdet ikke udgør et ansættelsesforhold</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anbefaler, at der fastlægges minimumskvalitetskriterier for hver type praktikophold i hele EU for at sikre høje standarder og en fælles grundlæggende ramme i alle medlemsstater. Udvalget påpeger, at det som led i revisions- og gennemførelsesprocessen er vigtigt at indsamle data og udveksle eksempler på god national praksis for hver type praktikophold på EU-plan</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lægger vægt på betydningen af en rimelig kompensation, hvor der tages hensyn til de mulige omkostninger ved at deltage i uddannelsesaktiviteten og de dermed forbundne livsfornødenheder.</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Kontakt</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Tlf.</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00 32 2 546 97 27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E-mail</w:t>
            </w:r>
          </w:p>
        </w:tc>
        <w:tc>
          <w:tcPr>
            <w:tcW w:w="3444" w:type="pct"/>
          </w:tcPr>
          <w:p w:rsidRPr="002646B8" w:rsidR="002646B8" w:rsidP="002646B8" w:rsidRDefault="00DF5812"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RDefault="00DF5812" w14:paraId="153FDF23" w14:textId="654546C0">
      <w:pPr>
        <w:pStyle w:val="TOC1"/>
        <w:rPr>
          <w:color w:val="000000" w:themeColor="text1"/>
        </w:rPr>
      </w:pPr>
      <w:hyperlink w:history="1" w:anchor="_Toc164353189">
        <w:bookmarkStart w:name="_Toc172548239" w:id="6"/>
        <w:r w:rsidR="000B64C3">
          <w:t>4.</w:t>
        </w:r>
        <w:r w:rsidR="000B64C3">
          <w:rPr>
            <w:rFonts w:asciiTheme="minorHAnsi" w:hAnsiTheme="minorHAnsi"/>
            <w:sz w:val="22"/>
          </w:rPr>
          <w:tab/>
        </w:r>
      </w:hyperlink>
      <w:r w:rsidR="000B64C3">
        <w:t>DET INDRE MARKED, PRODUKTION OG FORBRUG</w:t>
      </w:r>
      <w:bookmarkEnd w:id="6"/>
    </w:p>
    <w:p w:rsidR="00C34921" w:rsidRDefault="00DF5812"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DF5812"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hyperlink w:history="1" r:id="rId30">
        <w:r w:rsidR="0074506B">
          <w:rPr>
            <w:b/>
            <w:i/>
            <w:color w:val="0000FF"/>
            <w:sz w:val="28"/>
            <w:u w:val="single"/>
          </w:rPr>
          <w:t>Forslag til Rådets henstilling om styrkelse af forskningssikkerheden</w:t>
        </w:r>
      </w:hyperlink>
      <w:r w:rsidR="0074506B">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Ordfører</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t xml:space="preserve">Stefano </w:t>
            </w:r>
            <w:proofErr w:type="spellStart"/>
            <w:r>
              <w:t>Palmieri</w:t>
            </w:r>
            <w:proofErr w:type="spellEnd"/>
            <w:r>
              <w:t xml:space="preserve"> (Arbejdstagergruppen –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Ref.</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EØSU:</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 xml:space="preserve">mener, at der under hensyntagen til </w:t>
      </w:r>
      <w:proofErr w:type="spellStart"/>
      <w:r>
        <w:t>FoI</w:t>
      </w:r>
      <w:proofErr w:type="spellEnd"/>
      <w:r>
        <w:t xml:space="preserve">-sektorens sårbarhed over for mulig ondsindet indflydelse fra statslige og </w:t>
      </w:r>
      <w:proofErr w:type="spellStart"/>
      <w:r>
        <w:t>ikkestatslige</w:t>
      </w:r>
      <w:proofErr w:type="spellEnd"/>
      <w:r>
        <w:t xml:space="preserve"> aktørers side i forbindelse med visse internationale samarbejdsaktiviteter inden for forskning og innovation bør findes en rimelig balance mellem behovet for sikkerhed og behovet for at opretholde en international åbenhed i sektoren</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mener, at tiltag for at garantere sikkerheden inden for rammerne af forskning og innovation aldrig må være i strid med opretholdelsen af fuld autonomi og forskningsfrihed</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anbefaler, at princippet om frihed under ansvar for aktørerne inden for forskning og innovation overholdes gennem en effektiv, virkningsfuld og gennemsigtig selvforvaltning i sektoren</w:t>
      </w:r>
    </w:p>
    <w:p w:rsidRPr="00AD6EAC"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t xml:space="preserve">mener, at målet om at garantere internationalt samarbejde om sikker </w:t>
      </w:r>
      <w:proofErr w:type="spellStart"/>
      <w:r>
        <w:t>FoI</w:t>
      </w:r>
      <w:proofErr w:type="spellEnd"/>
      <w:r>
        <w:t xml:space="preserve"> aldrig må føre til diskriminerende og/eller begrænsende praksis over for </w:t>
      </w:r>
      <w:proofErr w:type="spellStart"/>
      <w:r>
        <w:t>FoI</w:t>
      </w:r>
      <w:proofErr w:type="spellEnd"/>
      <w:r>
        <w:t xml:space="preserve">-aktører eller være i strid med arbejdstagernes rettigheder og beskyttelsen af vilkårene for arbejdstagere, der er beskæftiget i EU's </w:t>
      </w:r>
      <w:proofErr w:type="spellStart"/>
      <w:r>
        <w:t>FoI</w:t>
      </w:r>
      <w:proofErr w:type="spellEnd"/>
      <w:r>
        <w:t>-sektor</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ser gerne, at der udvikles fuld autonomi for forskning og innovation inden for en ensartet og sammenhængende ramme i alle EU's medlemsstater</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påpeger betydningen af at beskytte den intellektuelle ejendomsret til innovationer, som er i stand til at garantere den nationale sikkerhed, og udvide screeningen af de direkte udenlandske investeringer til virksomheder, der er omfattet af fusioner og overtagelser, inden for de ti områder af kritisk betydning og produkter med dobbelt anvendelse</w:t>
      </w:r>
    </w:p>
    <w:p w:rsidRPr="00AD6EAC"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t xml:space="preserve">mener, at manglen i henstillingen på specifik vejledning vedrørende støtte af </w:t>
      </w:r>
      <w:proofErr w:type="spellStart"/>
      <w:r>
        <w:t>FoI</w:t>
      </w:r>
      <w:proofErr w:type="spellEnd"/>
      <w:r>
        <w:t xml:space="preserve">-aktørernes aktiviteter inden for i) passende omhu, ii) risikoprofilering, iii) udarbejdelse af aftalememoranda med internationale </w:t>
      </w:r>
      <w:proofErr w:type="spellStart"/>
      <w:r>
        <w:t>FoI</w:t>
      </w:r>
      <w:proofErr w:type="spellEnd"/>
      <w:r>
        <w:t>-partnerorganisationer kan udbedres senere gennem det fremtidige arbejde i Det Europæiske Ekspertisecenter for Forskningssikkerhed</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håber, at Det Europæiske Ekspertisecenter for Forskningssikkerhed vil varetage funktionen som platform for indsamling og udveksling af dokumentation under fuld respekt for gensidig gennemsigtighed og tilrettelægge uddannelses- og opfriskningskurser inden for forskningssikkerhed.</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Kontakt</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Tlf.</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00 32 2 546 9140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E-mail</w:t>
            </w:r>
          </w:p>
        </w:tc>
        <w:tc>
          <w:tcPr>
            <w:tcW w:w="3444" w:type="pct"/>
          </w:tcPr>
          <w:p w:rsidRPr="00AD6EAC" w:rsidR="00D92244" w:rsidP="00D76388" w:rsidRDefault="00DF5812"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00DC26B9" w:rsidP="00C37F51" w:rsidRDefault="00DC26B9" w14:paraId="13ABEB8E" w14:textId="77777777">
      <w:pPr>
        <w:rPr>
          <w:rFonts w:eastAsiaTheme="minorEastAsia"/>
        </w:rPr>
      </w:pPr>
    </w:p>
    <w:p w:rsidR="00DC26B9" w:rsidRDefault="00DC26B9" w14:paraId="3806A840" w14:textId="77777777">
      <w:pPr>
        <w:spacing w:after="160" w:line="259" w:lineRule="auto"/>
        <w:jc w:val="left"/>
        <w:rPr>
          <w:rFonts w:eastAsiaTheme="minorEastAsia"/>
        </w:rPr>
      </w:pPr>
      <w:r>
        <w:br w:type="page"/>
      </w:r>
    </w:p>
    <w:p w:rsidRPr="00C37F51" w:rsidR="00C37F51" w:rsidP="00C37F51" w:rsidRDefault="00C37F51" w14:paraId="1251C006" w14:textId="35A0E647">
      <w:pPr>
        <w:rPr>
          <w:rFonts w:eastAsiaTheme="minorEastAsia"/>
        </w:rPr>
      </w:pPr>
    </w:p>
    <w:p w:rsidR="006A7E31" w:rsidP="006A7E31" w:rsidRDefault="00520680" w14:paraId="295BACE7" w14:textId="7EB5E747">
      <w:pPr>
        <w:pStyle w:val="TOC1"/>
      </w:pPr>
      <w:bookmarkStart w:name="_Toc172548240" w:id="7"/>
      <w:r>
        <w:t>5.</w:t>
      </w:r>
      <w:r>
        <w:rPr>
          <w:rFonts w:asciiTheme="minorHAnsi" w:hAnsiTheme="minorHAnsi"/>
          <w:sz w:val="22"/>
        </w:rPr>
        <w:tab/>
      </w:r>
      <w:hyperlink w:history="1" w:anchor="_Toc164353189">
        <w:r>
          <w:t>LANDBRUG, UDVIKLING AF LANDDISTRIKTERNE OG MILJØ</w:t>
        </w:r>
        <w:bookmarkEnd w:id="7"/>
      </w:hyperlink>
    </w:p>
    <w:p w:rsidR="006A7E31" w:rsidP="006A7E31" w:rsidRDefault="006A7E31" w14:paraId="3D04EFC9" w14:textId="77777777">
      <w:pPr>
        <w:rPr>
          <w:rFonts w:eastAsiaTheme="minorEastAsia"/>
        </w:rPr>
      </w:pPr>
    </w:p>
    <w:p w:rsidRPr="0005755A" w:rsidR="006A7E31" w:rsidP="006A7E31" w:rsidRDefault="00DF5812"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000B64C3">
          <w:rPr>
            <w:b/>
            <w:i/>
            <w:color w:val="0000FF"/>
            <w:sz w:val="28"/>
            <w:u w:val="single"/>
          </w:rPr>
          <w:t>Den Almindelige Kommission for Fiskeri i Middelhavet</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Ref.:</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(Kategori C-udtalelse)</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EØSU:</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går fuldt ud ind for forslagets indhold og har ikke nogen bemærkninger.</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Kontakt</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Tlf.</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00 32 2 546 9802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05755A" w:rsidR="006A7E31" w:rsidP="00D76388" w:rsidRDefault="00DF5812"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lastRenderedPageBreak/>
        <w:t>Hvordan sikres den sociale, miljømæssige og økonomiske bæredygtighed i EU's landbrugsfødevaresektor i forbindelse med en fremtidig udvidelse?</w:t>
      </w: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Ordfører</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w:t>
            </w:r>
            <w:proofErr w:type="spellStart"/>
            <w:r>
              <w:t>Tchoukanov</w:t>
            </w:r>
            <w:proofErr w:type="spellEnd"/>
            <w:r>
              <w:t xml:space="preserve"> (Gruppen af civilsamfundsorganisationer – 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Ref.</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Sonderende udtalelse på anmodning af Kommissionen</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8A2F27" w:rsidRDefault="006A7E31" w14:paraId="5E8E748A"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Hovedpunkter</w:t>
      </w:r>
    </w:p>
    <w:p w:rsidRPr="005721DA" w:rsidR="006A7E31" w:rsidP="008A2F27" w:rsidRDefault="006A7E31" w14:paraId="66855A04" w14:textId="0858B1A9">
      <w:pPr>
        <w:overflowPunct w:val="0"/>
        <w:autoSpaceDE w:val="0"/>
        <w:autoSpaceDN w:val="0"/>
        <w:adjustRightInd w:val="0"/>
        <w:spacing w:line="240" w:lineRule="auto"/>
        <w:textAlignment w:val="baseline"/>
        <w:rPr>
          <w:bCs/>
          <w:iCs/>
        </w:rPr>
      </w:pPr>
      <w:r>
        <w:t>EØSU:</w:t>
      </w:r>
    </w:p>
    <w:p w:rsidRPr="005721DA" w:rsidR="006A7E31" w:rsidP="008A2F27" w:rsidRDefault="006A7E31" w14:paraId="06A85A9F" w14:textId="77777777">
      <w:pPr>
        <w:widowControl w:val="0"/>
        <w:numPr>
          <w:ilvl w:val="0"/>
          <w:numId w:val="43"/>
        </w:numPr>
        <w:overflowPunct w:val="0"/>
        <w:autoSpaceDE w:val="0"/>
        <w:autoSpaceDN w:val="0"/>
        <w:adjustRightInd w:val="0"/>
        <w:spacing w:line="240" w:lineRule="auto"/>
        <w:ind w:left="284" w:hanging="284"/>
        <w:textAlignment w:val="baseline"/>
        <w:rPr>
          <w:bCs/>
          <w:iCs/>
        </w:rPr>
      </w:pPr>
      <w:r>
        <w:t>fremhæver, at selv om den kommende udvidelse i lyset af de ekstraordinære aktuelle geopolitiske omstændigheder er anderledes end alle tidligere udvidelser, bør dette ikke være en grund til at slække på kravene til kandidatlandenes parathed til medlemskab, vigtigheden af de nødvendige lovgivningsmæssige reformer og respekten for EU's kerneværdier</w:t>
      </w:r>
    </w:p>
    <w:p w:rsidRPr="005721DA" w:rsidR="006A7E31" w:rsidP="008A2F27" w:rsidRDefault="006A7E31" w14:paraId="03A92948" w14:textId="77777777">
      <w:pPr>
        <w:widowControl w:val="0"/>
        <w:numPr>
          <w:ilvl w:val="0"/>
          <w:numId w:val="43"/>
        </w:numPr>
        <w:overflowPunct w:val="0"/>
        <w:autoSpaceDE w:val="0"/>
        <w:autoSpaceDN w:val="0"/>
        <w:adjustRightInd w:val="0"/>
        <w:spacing w:line="240" w:lineRule="auto"/>
        <w:ind w:left="284" w:hanging="284"/>
        <w:textAlignment w:val="baseline"/>
        <w:rPr>
          <w:bCs/>
          <w:iCs/>
        </w:rPr>
      </w:pPr>
      <w:r>
        <w:t>understreger, hvor vigtig forsyningssikkerheden i EU's fødevareproduktion er på grund af de geopolitiske spændinger, og at det er nødvendigt at sikre, at alle regioner i EU kan opretholde landbrugsproduktionen også i fremtiden</w:t>
      </w:r>
    </w:p>
    <w:p w:rsidRPr="005721DA" w:rsidR="006A7E31" w:rsidP="008A2F27" w:rsidRDefault="006A7E31" w14:paraId="0BA16662" w14:textId="77777777">
      <w:pPr>
        <w:widowControl w:val="0"/>
        <w:numPr>
          <w:ilvl w:val="0"/>
          <w:numId w:val="43"/>
        </w:numPr>
        <w:overflowPunct w:val="0"/>
        <w:autoSpaceDE w:val="0"/>
        <w:autoSpaceDN w:val="0"/>
        <w:adjustRightInd w:val="0"/>
        <w:spacing w:line="240" w:lineRule="auto"/>
        <w:ind w:left="284" w:hanging="284"/>
        <w:textAlignment w:val="baseline"/>
        <w:rPr>
          <w:bCs/>
          <w:iCs/>
        </w:rPr>
      </w:pPr>
      <w:r>
        <w:t>fremhæver mulighederne for bedre at sikre EU's strategiske autonomi og nedbringe sektorens miljøaftryk endnu mere, men anerkender samtidig de blandede resultater af den seneste udvidelse, idet der har været vindere og tabere. Svage landdistrikter har mærket langt mindre til fordelene end byområder, og de mindre europæiske landbrug er ved at forsvinde. Udvalget opfordrer derfor Kommissionen og kandidatlandene til at tage højde for og håndtere konsekvenserne af udvidelse for især familiebedrifter og små og mellemstore landbrugsfødevarevirksomheder både i EU og kandidatlandene</w:t>
      </w:r>
    </w:p>
    <w:p w:rsidRPr="005721DA" w:rsidR="006A7E31" w:rsidP="008A2F27" w:rsidRDefault="006A7E31" w14:paraId="49E16C0F" w14:textId="77777777">
      <w:pPr>
        <w:widowControl w:val="0"/>
        <w:numPr>
          <w:ilvl w:val="0"/>
          <w:numId w:val="43"/>
        </w:numPr>
        <w:overflowPunct w:val="0"/>
        <w:autoSpaceDE w:val="0"/>
        <w:autoSpaceDN w:val="0"/>
        <w:adjustRightInd w:val="0"/>
        <w:spacing w:line="240" w:lineRule="auto"/>
        <w:ind w:left="284" w:hanging="284"/>
        <w:textAlignment w:val="baseline"/>
        <w:rPr>
          <w:bCs/>
          <w:iCs/>
        </w:rPr>
      </w:pPr>
      <w:r>
        <w:t xml:space="preserve">understreger, at kandidatlandene vil skulle rette ind efter den fælles landbrugspolitiks overordnede mål og værdier, mens de nødvendige reformer af landbrugspolitikken og den finansielle ramme derfor skal være på plads, inden udvidelsen finder sted </w:t>
      </w:r>
    </w:p>
    <w:p w:rsidRPr="005721DA" w:rsidR="006A7E31" w:rsidP="008A2F27" w:rsidRDefault="006A7E31" w14:paraId="67FB469A" w14:textId="77777777">
      <w:pPr>
        <w:widowControl w:val="0"/>
        <w:numPr>
          <w:ilvl w:val="0"/>
          <w:numId w:val="43"/>
        </w:numPr>
        <w:overflowPunct w:val="0"/>
        <w:autoSpaceDE w:val="0"/>
        <w:autoSpaceDN w:val="0"/>
        <w:adjustRightInd w:val="0"/>
        <w:spacing w:line="240" w:lineRule="auto"/>
        <w:ind w:left="284" w:hanging="284"/>
        <w:textAlignment w:val="baseline"/>
        <w:rPr>
          <w:bCs/>
          <w:iCs/>
        </w:rPr>
      </w:pPr>
      <w:r>
        <w:t>anbefaler, at den nuværende grundlæggende arealbaserede indkomststøtte gradvist erstattes af økonomiske incitamenter til tjenester, der gavner miljøet og samfundet, og en gradvis nedsættelse af betalinger, obligatoriske lofter eller forhøjelser for de første hektar for alle medlemsstater, og opfordrer til, at landbrugspolitikken og politikken for udvikling af landdistrikterne i højere grad orienteres mod en nærøkonomi, og at disse principper overføres til de nye kandidatlande</w:t>
      </w:r>
    </w:p>
    <w:p w:rsidRPr="005721DA" w:rsidR="006A7E31" w:rsidP="008A2F27" w:rsidRDefault="006A7E31" w14:paraId="2DD062E7" w14:textId="77777777">
      <w:pPr>
        <w:widowControl w:val="0"/>
        <w:numPr>
          <w:ilvl w:val="0"/>
          <w:numId w:val="43"/>
        </w:numPr>
        <w:overflowPunct w:val="0"/>
        <w:autoSpaceDE w:val="0"/>
        <w:autoSpaceDN w:val="0"/>
        <w:adjustRightInd w:val="0"/>
        <w:spacing w:line="240" w:lineRule="auto"/>
        <w:ind w:left="284" w:hanging="284"/>
        <w:textAlignment w:val="baseline"/>
        <w:rPr>
          <w:bCs/>
          <w:iCs/>
          <w:spacing w:val="-4"/>
        </w:rPr>
      </w:pPr>
      <w:r>
        <w:t xml:space="preserve">opfordrer til, at flere midler fra den fælles landbrugspolitik øremærkes til, at landbrugerne i EU kompenseres behørigt for de negative virkninger, og at der i den forbindelse også medregnes eventuelle sociale omkostninger. Det betyder, at de nuværende nettobidragydere skal være parate til at betale en større andel af deres BNP til EU i den nye finansieringsperiode, i betragtning af at der vil være nettofordele for EU's eksportører af industrivarer og tjenesteydelser, mens landbrugsfødevaresektoren vil blive underbudt, fordi produktionsomkostningerne i nogle af de nytilkomne lande er lavere </w:t>
      </w:r>
    </w:p>
    <w:p w:rsidRPr="005721DA" w:rsidR="006A7E31" w:rsidP="008A2F27" w:rsidRDefault="006A7E31" w14:paraId="2E6F1368" w14:textId="77777777">
      <w:pPr>
        <w:widowControl w:val="0"/>
        <w:numPr>
          <w:ilvl w:val="0"/>
          <w:numId w:val="43"/>
        </w:numPr>
        <w:overflowPunct w:val="0"/>
        <w:autoSpaceDE w:val="0"/>
        <w:autoSpaceDN w:val="0"/>
        <w:adjustRightInd w:val="0"/>
        <w:spacing w:line="240" w:lineRule="auto"/>
        <w:ind w:left="284" w:hanging="284"/>
        <w:textAlignment w:val="baseline"/>
        <w:rPr>
          <w:bCs/>
          <w:iCs/>
        </w:rPr>
      </w:pPr>
      <w:r>
        <w:t>understreger, at der er behov for udførlige og pålidelige data, og anbefaler, at Kommissionen nøje overvåger landbrugsproduktionen og udviklingen i reformprocesserne, herunder inden for jordspekulation</w:t>
      </w:r>
    </w:p>
    <w:p w:rsidRPr="005721DA" w:rsidR="006A7E31" w:rsidP="008A2F27" w:rsidRDefault="006A7E31" w14:paraId="76484E4D" w14:textId="522A9F97">
      <w:pPr>
        <w:widowControl w:val="0"/>
        <w:numPr>
          <w:ilvl w:val="0"/>
          <w:numId w:val="43"/>
        </w:numPr>
        <w:overflowPunct w:val="0"/>
        <w:autoSpaceDE w:val="0"/>
        <w:autoSpaceDN w:val="0"/>
        <w:adjustRightInd w:val="0"/>
        <w:spacing w:line="240" w:lineRule="auto"/>
        <w:ind w:left="284" w:hanging="284"/>
        <w:textAlignment w:val="baseline"/>
        <w:rPr>
          <w:bCs/>
          <w:iCs/>
        </w:rPr>
      </w:pPr>
      <w:r>
        <w:t>bemærker, at integrationsprocessen på sin vis allerede er begyndt, idet EU's markeder er blevet åbnet for landbrugsprodukter fra kandidatlandene. Dette kan potentielt være til ulempe for EU</w:t>
      </w:r>
      <w:r w:rsidR="008A2F27">
        <w:noBreakHyphen/>
      </w:r>
      <w:r>
        <w:t>landene, hvilket skal undgås ved hjælp af klare regler, som kandidatlandene skal overholde.</w:t>
      </w:r>
    </w:p>
    <w:p w:rsidRPr="005721DA" w:rsidR="006A7E31" w:rsidP="008A2F27" w:rsidRDefault="006A7E31" w14:paraId="07AD08EE" w14:textId="77777777">
      <w:pPr>
        <w:widowControl w:val="0"/>
        <w:overflowPunct w:val="0"/>
        <w:autoSpaceDE w:val="0"/>
        <w:autoSpaceDN w:val="0"/>
        <w:adjustRightInd w:val="0"/>
        <w:spacing w:line="240" w:lineRule="auto"/>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8A2F27" w:rsidRDefault="006A7E31" w14:paraId="143C3E12" w14:textId="77777777">
            <w:pPr>
              <w:overflowPunct w:val="0"/>
              <w:autoSpaceDE w:val="0"/>
              <w:autoSpaceDN w:val="0"/>
              <w:adjustRightInd w:val="0"/>
              <w:spacing w:line="240" w:lineRule="auto"/>
              <w:textAlignment w:val="baseline"/>
              <w:rPr>
                <w:i/>
              </w:rPr>
            </w:pPr>
            <w:r>
              <w:rPr>
                <w:b/>
                <w:i/>
              </w:rPr>
              <w:t xml:space="preserve">Kontakt </w:t>
            </w:r>
          </w:p>
        </w:tc>
        <w:tc>
          <w:tcPr>
            <w:tcW w:w="3444" w:type="pct"/>
          </w:tcPr>
          <w:p w:rsidRPr="005721DA" w:rsidR="006A7E31" w:rsidP="008A2F27" w:rsidRDefault="006A7E31" w14:paraId="66260770" w14:textId="51A2E154">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5721DA" w:rsidR="006A7E31" w:rsidTr="00D76388" w14:paraId="23B38305" w14:textId="77777777">
        <w:tc>
          <w:tcPr>
            <w:tcW w:w="1556" w:type="pct"/>
          </w:tcPr>
          <w:p w:rsidRPr="005721DA" w:rsidR="006A7E31" w:rsidP="008A2F27" w:rsidRDefault="006A7E31" w14:paraId="5C8133FF" w14:textId="77777777">
            <w:pPr>
              <w:overflowPunct w:val="0"/>
              <w:autoSpaceDE w:val="0"/>
              <w:autoSpaceDN w:val="0"/>
              <w:adjustRightInd w:val="0"/>
              <w:spacing w:line="240" w:lineRule="auto"/>
              <w:textAlignment w:val="baseline"/>
              <w:rPr>
                <w:i/>
              </w:rPr>
            </w:pPr>
            <w:r>
              <w:rPr>
                <w:i/>
              </w:rPr>
              <w:t>Tlf.</w:t>
            </w:r>
          </w:p>
        </w:tc>
        <w:tc>
          <w:tcPr>
            <w:tcW w:w="3444" w:type="pct"/>
          </w:tcPr>
          <w:p w:rsidRPr="005721DA" w:rsidR="006A7E31" w:rsidP="008A2F27" w:rsidRDefault="006A7E31" w14:paraId="63B4A1E4" w14:textId="77777777">
            <w:pPr>
              <w:overflowPunct w:val="0"/>
              <w:autoSpaceDE w:val="0"/>
              <w:autoSpaceDN w:val="0"/>
              <w:adjustRightInd w:val="0"/>
              <w:spacing w:line="240" w:lineRule="auto"/>
              <w:textAlignment w:val="baseline"/>
              <w:rPr>
                <w:i/>
              </w:rPr>
            </w:pPr>
            <w:r>
              <w:rPr>
                <w:i/>
              </w:rPr>
              <w:t>00 32 2 546 9802</w:t>
            </w:r>
          </w:p>
        </w:tc>
      </w:tr>
      <w:tr w:rsidRPr="005721DA" w:rsidR="006A7E31" w:rsidTr="00D76388" w14:paraId="654AFF96" w14:textId="77777777">
        <w:tc>
          <w:tcPr>
            <w:tcW w:w="1556" w:type="pct"/>
          </w:tcPr>
          <w:p w:rsidRPr="005721DA" w:rsidR="006A7E31" w:rsidP="008A2F27" w:rsidRDefault="006A7E31" w14:paraId="38B60C77" w14:textId="77777777">
            <w:pPr>
              <w:overflowPunct w:val="0"/>
              <w:autoSpaceDE w:val="0"/>
              <w:autoSpaceDN w:val="0"/>
              <w:adjustRightInd w:val="0"/>
              <w:spacing w:line="240" w:lineRule="auto"/>
              <w:textAlignment w:val="baseline"/>
              <w:rPr>
                <w:i/>
              </w:rPr>
            </w:pPr>
            <w:r>
              <w:rPr>
                <w:i/>
              </w:rPr>
              <w:t>E-mail</w:t>
            </w:r>
          </w:p>
        </w:tc>
        <w:tc>
          <w:tcPr>
            <w:tcW w:w="3444" w:type="pct"/>
          </w:tcPr>
          <w:p w:rsidRPr="005721DA" w:rsidR="006A7E31" w:rsidP="008A2F27" w:rsidRDefault="00DF5812" w14:paraId="3B090D2B"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008A2F27" w:rsidP="00D92244" w:rsidRDefault="008A2F27" w14:paraId="7C9161C4" w14:textId="77777777">
      <w:pPr>
        <w:pStyle w:val="TOC1"/>
      </w:pPr>
      <w:bookmarkStart w:name="_Toc172548241" w:id="8"/>
    </w:p>
    <w:p w:rsidR="008A2F27" w:rsidP="00D92244" w:rsidRDefault="008A2F27" w14:paraId="46880614" w14:textId="77777777">
      <w:pPr>
        <w:pStyle w:val="TOC1"/>
      </w:pPr>
    </w:p>
    <w:p w:rsidR="008A2F27" w:rsidP="00D92244" w:rsidRDefault="008A2F27" w14:paraId="1143687C" w14:textId="77777777">
      <w:pPr>
        <w:pStyle w:val="TOC1"/>
      </w:pPr>
    </w:p>
    <w:p w:rsidR="00520680" w:rsidP="00D92244" w:rsidRDefault="006A7E31" w14:paraId="3600B088" w14:textId="6B5E071A">
      <w:pPr>
        <w:pStyle w:val="TOC1"/>
      </w:pPr>
      <w:r>
        <w:lastRenderedPageBreak/>
        <w:t>6.</w:t>
      </w:r>
      <w:r>
        <w:tab/>
        <w:t>EKSTERNE FORBINDELSER</w:t>
      </w:r>
      <w:bookmarkEnd w:id="8"/>
    </w:p>
    <w:p w:rsidRPr="003567CE" w:rsidR="003567CE" w:rsidP="0088361D" w:rsidRDefault="00DF5812"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000B64C3">
          <w:rPr>
            <w:b/>
            <w:i/>
            <w:color w:val="0000FF"/>
            <w:sz w:val="28"/>
            <w:u w:val="single"/>
          </w:rPr>
          <w:t>Screening af udenlandske investeringer i Unionen</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Ordfører</w:t>
            </w:r>
          </w:p>
        </w:tc>
        <w:tc>
          <w:tcPr>
            <w:tcW w:w="5387" w:type="dxa"/>
          </w:tcPr>
          <w:p w:rsidRPr="0088361D" w:rsidR="003567CE" w:rsidP="003567CE" w:rsidRDefault="003567CE" w14:paraId="5C6E2D44" w14:textId="60E22C07">
            <w:pPr>
              <w:tabs>
                <w:tab w:val="center" w:pos="2585"/>
              </w:tabs>
              <w:jc w:val="left"/>
            </w:pPr>
            <w:r>
              <w:t xml:space="preserve">Javier </w:t>
            </w:r>
            <w:proofErr w:type="spellStart"/>
            <w:r>
              <w:t>Doz</w:t>
            </w:r>
            <w:proofErr w:type="spellEnd"/>
            <w:r>
              <w:t xml:space="preserve"> </w:t>
            </w:r>
            <w:proofErr w:type="spellStart"/>
            <w:r>
              <w:t>Orrit</w:t>
            </w:r>
            <w:proofErr w:type="spellEnd"/>
            <w:r>
              <w:t xml:space="preserve"> (Arbejdstagergruppen – 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rPr>
              <w:t>Ref.</w:t>
            </w:r>
          </w:p>
        </w:tc>
        <w:tc>
          <w:tcPr>
            <w:tcW w:w="5387" w:type="dxa"/>
          </w:tcPr>
          <w:p w:rsidRPr="0088361D" w:rsidR="007F26D0" w:rsidP="003567CE" w:rsidRDefault="007F26D0" w14:paraId="5C20CCDF" w14:textId="05E01A5F">
            <w:pPr>
              <w:tabs>
                <w:tab w:val="center" w:pos="284"/>
              </w:tabs>
              <w:ind w:left="266" w:hanging="266"/>
            </w:pPr>
            <w:r>
              <w:t>COM(2024) 23 final</w:t>
            </w:r>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Hovedpunkter</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EØSU:</w:t>
      </w:r>
    </w:p>
    <w:p w:rsidRPr="003567CE"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hilser den foreslåede forordning velkommen som et skridt i den rigtige retning ved at styrke screeningmekanismerne for udenlandske direkte investeringer i EU. Denne forordning har til formål at harmonisere de nationale procedurer og styrke EU-samarbejdsmekanismen og sikre offentlig kontrol med kritiske sektorer og programmer</w:t>
      </w:r>
    </w:p>
    <w:p w:rsidRPr="003567CE"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t>understreger betydningen af at fremme større harmonisering af de nationale retlige regler, der regulerer udenlandske direkte investeringer og screeningmekanismer. Dette omfatter at: i) fastsætte ensartede tærskler for kontrol af udenlandske direkte investeringer samt identiske svarfrister, ii) fastlægge sammenhængende definitioner af risici for sikkerheden og den offentlige orden, iii) styrke medlemsstaternes kapacitet til effektivt at kunne varetage opgaver vedrørende kontrol af udenlandske direkte investeringer</w:t>
      </w:r>
    </w:p>
    <w:p w:rsidRPr="003567CE" w:rsidR="003567CE" w:rsidP="0088361D" w:rsidRDefault="003567CE" w14:paraId="035CA57A" w14:textId="77777777">
      <w:pPr>
        <w:widowControl w:val="0"/>
        <w:numPr>
          <w:ilvl w:val="0"/>
          <w:numId w:val="45"/>
        </w:numPr>
        <w:spacing w:before="10" w:after="10" w:line="276" w:lineRule="auto"/>
        <w:ind w:left="426"/>
      </w:pPr>
      <w:r>
        <w:t>opfordrer til, at man fastlægger de ekstraordinære tilfælde, hvor EU-institutionerne kan forbyde, afbøde virkningerne af eller pålægge betingelser for udenlandske direkte investeringer, som udgør en trussel mod programmer eller projekter af interesse for Unionen, med det formål at sikre en samlet tilgang, når det gælder om at garantere den offentlige sikkerhed og orden på tværs af medlemsstaterne. Med henblik herpå bør EU fastlægge klare procedurer og præcisere de omstændigheder, hvorunder udenlandske investeringer, som udgør en væsentlig risiko for EU's interesser, skal kontrolleres</w:t>
      </w:r>
    </w:p>
    <w:p w:rsidRPr="003567CE" w:rsidR="003567CE" w:rsidP="0088361D" w:rsidRDefault="003567CE" w14:paraId="1444EF7F" w14:textId="03D736DF">
      <w:pPr>
        <w:widowControl w:val="0"/>
        <w:numPr>
          <w:ilvl w:val="0"/>
          <w:numId w:val="45"/>
        </w:numPr>
        <w:spacing w:before="10" w:after="10" w:line="276" w:lineRule="auto"/>
        <w:ind w:left="426"/>
      </w:pPr>
      <w:r>
        <w:t>foreslår, at man i højere grad anvender princippet om gensidighed i handels- investerings- eller associeringsaftaler med tredjelande og altid overvåger investeringer fra lande, der begrænser EU</w:t>
      </w:r>
      <w:r w:rsidR="008A2F27">
        <w:noBreakHyphen/>
      </w:r>
      <w:r>
        <w:t>investeringer, for at sikre afbalanceret og lige behandling. Der vil i hver enkelt sag blive taget stilling til, hvorvidt en streng anvendelse er nødvendig. Udenlandske direkte investeringer bør fortsat fremmes inden for de begrebsmæssige rammer for strategisk autonomi og strategien for økonomisk sikkerhed med henblik på at skabe en bæredygtig konkurrenceevne</w:t>
      </w:r>
    </w:p>
    <w:p w:rsidRPr="003567CE" w:rsidR="003567CE" w:rsidP="0088361D" w:rsidRDefault="003567CE" w14:paraId="33A49B20" w14:textId="77777777">
      <w:pPr>
        <w:widowControl w:val="0"/>
        <w:numPr>
          <w:ilvl w:val="0"/>
          <w:numId w:val="45"/>
        </w:numPr>
        <w:spacing w:before="10" w:after="10" w:line="276" w:lineRule="auto"/>
        <w:ind w:left="426"/>
      </w:pPr>
      <w:r>
        <w:t>opfordrer til, at investeringer fra skattely underkastes særlig overvågning med krav om fuldt kendskab til investeringsselskabernes reelle ejere og en undersøgelse af, om de anvendte midler er lovlige. Medlemsstaterne bør overveje eventuel afskaffelse af såkaldte "gyldne visa" for at opnå bopæl eller statsborgerskab i et EU-land</w:t>
      </w:r>
    </w:p>
    <w:p w:rsidRPr="003567CE" w:rsidR="003567CE" w:rsidP="0088361D" w:rsidRDefault="003567CE" w14:paraId="4CDFF91C" w14:textId="77777777">
      <w:pPr>
        <w:widowControl w:val="0"/>
        <w:numPr>
          <w:ilvl w:val="0"/>
          <w:numId w:val="45"/>
        </w:numPr>
        <w:spacing w:before="10" w:after="10" w:line="276" w:lineRule="auto"/>
        <w:ind w:left="426"/>
      </w:pPr>
      <w:r>
        <w:t xml:space="preserve">fremhæver, at der såvel på EU-plan som på nationalt plan er behov for mekanismer, der gør det muligt for arbejdsmarkedsparter og civilsamfundsorganisationer at deltage i udarbejdelsen af politikker vedrørende udenlandske investeringer og i kontrollen med disse, for at sikre gennemsigtighed og </w:t>
      </w:r>
      <w:proofErr w:type="spellStart"/>
      <w:r>
        <w:t>inklusivitet</w:t>
      </w:r>
      <w:proofErr w:type="spellEnd"/>
      <w:r>
        <w:t xml:space="preserve"> i evalueringsprocessen.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Pr>
                <w:b/>
                <w:i/>
                <w:sz w:val="22"/>
              </w:rPr>
              <w:t>Kontakt</w:t>
            </w:r>
          </w:p>
        </w:tc>
        <w:tc>
          <w:tcPr>
            <w:tcW w:w="5670" w:type="dxa"/>
          </w:tcPr>
          <w:p w:rsidRPr="003567CE" w:rsidR="003567CE" w:rsidP="003567CE" w:rsidRDefault="003567CE" w14:paraId="2C1A667F" w14:textId="77777777">
            <w:pPr>
              <w:rPr>
                <w:i/>
                <w:sz w:val="22"/>
                <w:szCs w:val="22"/>
              </w:rPr>
            </w:pPr>
            <w:r>
              <w:rPr>
                <w:i/>
                <w:sz w:val="22"/>
              </w:rPr>
              <w:t xml:space="preserve">Marco </w:t>
            </w:r>
            <w:proofErr w:type="spellStart"/>
            <w:r>
              <w:rPr>
                <w:i/>
                <w:sz w:val="22"/>
              </w:rPr>
              <w:t>Ristori</w:t>
            </w:r>
            <w:proofErr w:type="spellEnd"/>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Pr>
                <w:i/>
                <w:sz w:val="22"/>
              </w:rPr>
              <w:t>Tlf.</w:t>
            </w:r>
          </w:p>
        </w:tc>
        <w:tc>
          <w:tcPr>
            <w:tcW w:w="5670" w:type="dxa"/>
          </w:tcPr>
          <w:p w:rsidRPr="003567CE" w:rsidR="003567CE" w:rsidP="003567CE" w:rsidRDefault="003567CE" w14:paraId="25B8F53A" w14:textId="77777777">
            <w:pPr>
              <w:rPr>
                <w:i/>
                <w:sz w:val="22"/>
                <w:szCs w:val="22"/>
              </w:rPr>
            </w:pPr>
            <w:r>
              <w:rPr>
                <w:i/>
                <w:sz w:val="22"/>
              </w:rPr>
              <w:t>00 32 2 546 99 69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Pr>
                <w:i/>
                <w:sz w:val="22"/>
              </w:rPr>
              <w:t>E-mail</w:t>
            </w:r>
          </w:p>
        </w:tc>
        <w:tc>
          <w:tcPr>
            <w:tcW w:w="5670" w:type="dxa"/>
          </w:tcPr>
          <w:p w:rsidRPr="003567CE" w:rsidR="003567CE" w:rsidP="003567CE" w:rsidRDefault="00DF5812" w14:paraId="4A046612" w14:textId="77777777">
            <w:pPr>
              <w:rPr>
                <w:i/>
                <w:sz w:val="22"/>
                <w:szCs w:val="22"/>
              </w:rPr>
            </w:pPr>
            <w:hyperlink w:history="1" r:id="rId36">
              <w:r w:rsidR="000B64C3">
                <w:rPr>
                  <w:i/>
                  <w:color w:val="0000FF"/>
                  <w:sz w:val="22"/>
                  <w:u w:val="single"/>
                </w:rPr>
                <w:t>Marco.Ristori@eesc.europa.eu</w:t>
              </w:r>
            </w:hyperlink>
          </w:p>
        </w:tc>
      </w:tr>
    </w:tbl>
    <w:p w:rsidR="006A7E31" w:rsidP="00D92244" w:rsidRDefault="00A72EDD" w14:paraId="07F93DE3" w14:textId="5E2145AE">
      <w:pPr>
        <w:pStyle w:val="TOC1"/>
      </w:pPr>
      <w:bookmarkStart w:name="_Toc172548242" w:id="9"/>
      <w:r>
        <w:lastRenderedPageBreak/>
        <w:t>7.</w:t>
      </w:r>
      <w:r>
        <w:tab/>
        <w:t>TRANSPORT, ENERGI, INFRASTRUKTUR OG INFORMATIONSSAMFUNDET</w:t>
      </w:r>
      <w:bookmarkEnd w:id="9"/>
    </w:p>
    <w:p w:rsidR="00160A67" w:rsidP="00160A67" w:rsidRDefault="00160A67" w14:paraId="2CBE297E" w14:textId="164A826B">
      <w:pPr>
        <w:rPr>
          <w:rFonts w:eastAsiaTheme="minorEastAsia"/>
        </w:rPr>
      </w:pPr>
    </w:p>
    <w:p w:rsidRPr="00200444" w:rsidR="00200444" w:rsidP="00200444" w:rsidRDefault="00DF5812"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Energidigitalisering: En afvejning af muligheder og risici for de europæiske forbrugere</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Ordfører</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proofErr w:type="spellStart"/>
            <w:r>
              <w:t>Kęstutis</w:t>
            </w:r>
            <w:proofErr w:type="spellEnd"/>
            <w:r>
              <w:t xml:space="preserve"> </w:t>
            </w:r>
            <w:proofErr w:type="spellStart"/>
            <w:r>
              <w:t>Kupšys</w:t>
            </w:r>
            <w:proofErr w:type="spellEnd"/>
            <w:r>
              <w:t xml:space="preserve"> (Gruppen af civilsamfundsorganisationer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Ref.</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Initiativudtalelse</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EØSU:</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understreger, at digitalisering bliver stadig vigtigere i lyset af den grønne omstilling. Energi bør imidlertid forblive økonomisk overkommelig, justerbar og let at anvende for forbrugerne. Dette indebærer udvikling af brugervenlige digitale værktøjer, der imødekommer forskellige behov og fremmer lige adgang til digitale energitjenester. Forbrugerne bør stadig kunne vælge priser, aftaler og kundetjenester på samme måde som før digitaliseringen</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 xml:space="preserve">understreger, at </w:t>
      </w:r>
      <w:proofErr w:type="spellStart"/>
      <w:r>
        <w:t>cybersikkerhed</w:t>
      </w:r>
      <w:proofErr w:type="spellEnd"/>
      <w:r>
        <w:t xml:space="preserve"> for brugerdata skal være en prioritet. Digitaliseringen forstærker behovet for at skabe dynamiske forbrugerbeskyttelsesregler, der er tilpasset de nye sammenhænge og deltagere i sektoren</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fremhæver, at den digitale kløft mellem de forbrugere, der har råd til dyrere digitale værktøjer, og dem der ikke har, fører til større energifattigdom.</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 xml:space="preserve">anbefaler, at der sørges for uddannelse af arbejdstagerne. Akademier for </w:t>
      </w:r>
      <w:proofErr w:type="spellStart"/>
      <w:r>
        <w:t>nettonulteknologi</w:t>
      </w:r>
      <w:proofErr w:type="spellEnd"/>
      <w:r>
        <w:t xml:space="preserve"> bør fremmes for alle interesserede parter med vægt på færdigheder inden for energieffektivitet.</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Kontakt</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r>
              <w:rPr>
                <w:i/>
              </w:rPr>
              <w:t xml:space="preserve">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Tlf.</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00 32 2 546 83 33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E-mail</w:t>
            </w:r>
          </w:p>
        </w:tc>
        <w:tc>
          <w:tcPr>
            <w:tcW w:w="5670" w:type="dxa"/>
          </w:tcPr>
          <w:p w:rsidRPr="00200444" w:rsidR="00200444" w:rsidP="00200444" w:rsidRDefault="00DF5812"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Pr="00160A67" w:rsidR="00160A67" w:rsidP="00FE2F95" w:rsidRDefault="003D6811" w14:paraId="5D209F0E" w14:textId="4471A438">
      <w:pPr>
        <w:pStyle w:val="TOC1"/>
        <w:rPr>
          <w:rFonts w:eastAsiaTheme="minorEastAsia"/>
        </w:rPr>
      </w:pPr>
      <w:bookmarkStart w:name="_Toc172548243" w:id="12"/>
      <w:r>
        <w:rPr>
          <w:sz w:val="22"/>
        </w:rPr>
        <w:lastRenderedPageBreak/>
        <w:t xml:space="preserve">8. </w:t>
      </w:r>
      <w:r>
        <w:rPr>
          <w:sz w:val="22"/>
        </w:rPr>
        <w:tab/>
        <w:t>DEN RÅDGIVENDE KOMMISSION FOR INDUSTRIELLE ÆNDRINGER</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DF5812"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 xml:space="preserve">Fremtiden bygges på naturen: Fremme af bioteknologi og </w:t>
        </w:r>
        <w:proofErr w:type="spellStart"/>
        <w:r w:rsidR="000B64C3">
          <w:rPr>
            <w:b/>
            <w:i/>
            <w:color w:val="0000FF"/>
            <w:sz w:val="28"/>
            <w:u w:val="single"/>
          </w:rPr>
          <w:t>bioproduktion</w:t>
        </w:r>
        <w:proofErr w:type="spellEnd"/>
        <w:r w:rsidR="000B64C3">
          <w:rPr>
            <w:b/>
            <w:i/>
            <w:color w:val="0000FF"/>
            <w:sz w:val="28"/>
            <w:u w:val="single"/>
          </w:rPr>
          <w:t xml:space="preserve"> i EU</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Ordfører</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r>
              <w:t>Florian Marin (Arbejdstagergruppen –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Medordfører:</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proofErr w:type="spellStart"/>
            <w:r>
              <w:t>Antonello</w:t>
            </w:r>
            <w:proofErr w:type="spellEnd"/>
            <w:r>
              <w:t xml:space="preserve"> </w:t>
            </w:r>
            <w:proofErr w:type="spellStart"/>
            <w:r>
              <w:t>Pezzini</w:t>
            </w:r>
            <w:proofErr w:type="spellEnd"/>
            <w:r>
              <w:t xml:space="preserve"> (IT-Kat. 1)</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Ref.</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COM(2024) 137 final</w:t>
            </w:r>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EØSU:</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er skuffet over, at EU endnu ikke har en </w:t>
      </w:r>
      <w:r>
        <w:rPr>
          <w:b/>
        </w:rPr>
        <w:t>bioøkonomisk strategi</w:t>
      </w:r>
      <w:r>
        <w:t xml:space="preserve"> eller en </w:t>
      </w:r>
      <w:r>
        <w:rPr>
          <w:b/>
        </w:rPr>
        <w:t>retsakt om bioteknologi</w:t>
      </w:r>
      <w:r>
        <w:t>, og mener, at der i lyset af den globale situation er et presserende behov for en sådan lovgivning</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foreslår, at </w:t>
      </w:r>
      <w:r>
        <w:rPr>
          <w:b/>
        </w:rPr>
        <w:t>EU's bioøkonomiske strategi baseres på en integreret sektortilgang</w:t>
      </w:r>
      <w:r>
        <w:t xml:space="preserve"> med specifikke mål, herunder en forskningsdagsorden for de næste ti år, en liste over færdigheder og en tydelig rolle for civilsamfundet</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mener, at et </w:t>
      </w:r>
      <w:r>
        <w:rPr>
          <w:b/>
        </w:rPr>
        <w:t>etisk kodeks for virksomheder i EU og produkter, der markedsføres i EU</w:t>
      </w:r>
      <w:r>
        <w:t>, bør overvejes og fremmes globalt</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hævder, at der er behov for </w:t>
      </w:r>
      <w:r>
        <w:rPr>
          <w:b/>
        </w:rPr>
        <w:t>særlige foranstaltninger</w:t>
      </w:r>
      <w:r>
        <w:t xml:space="preserve"> for at </w:t>
      </w:r>
      <w:r>
        <w:rPr>
          <w:b/>
        </w:rPr>
        <w:t>udvikle kompetencer</w:t>
      </w:r>
      <w:r>
        <w:t xml:space="preserve"> og </w:t>
      </w:r>
      <w:r>
        <w:rPr>
          <w:b/>
        </w:rPr>
        <w:t>forankre samspillet</w:t>
      </w:r>
      <w:r>
        <w:t xml:space="preserve"> mellem kravene til bioteknologiske færdigheder og behovet for </w:t>
      </w:r>
      <w:proofErr w:type="spellStart"/>
      <w:r>
        <w:t>bioproduktion</w:t>
      </w:r>
      <w:proofErr w:type="spellEnd"/>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foreslår, at udviklingen af bioteknologi og </w:t>
      </w:r>
      <w:proofErr w:type="spellStart"/>
      <w:r>
        <w:t>bioproduktion</w:t>
      </w:r>
      <w:proofErr w:type="spellEnd"/>
      <w:r>
        <w:t xml:space="preserve"> i EU omfatter </w:t>
      </w:r>
      <w:r>
        <w:rPr>
          <w:b/>
        </w:rPr>
        <w:t>sektorspecifikke indikatorer, offentlig-private partnerskaber</w:t>
      </w:r>
      <w:r>
        <w:t xml:space="preserve">, et </w:t>
      </w:r>
      <w:r>
        <w:rPr>
          <w:b/>
        </w:rPr>
        <w:t>tværsektorielt forskningssystem</w:t>
      </w:r>
      <w:r>
        <w:t xml:space="preserve">, en </w:t>
      </w:r>
      <w:r>
        <w:rPr>
          <w:b/>
        </w:rPr>
        <w:t>database over potentielle investorer</w:t>
      </w:r>
      <w:r>
        <w:t xml:space="preserve">, </w:t>
      </w:r>
      <w:r>
        <w:rPr>
          <w:b/>
        </w:rPr>
        <w:t>hurtigere og mindre bureaukratiske godkendelsesprocesser</w:t>
      </w:r>
      <w:r>
        <w:t xml:space="preserve">, en </w:t>
      </w:r>
      <w:r>
        <w:rPr>
          <w:b/>
        </w:rPr>
        <w:t>perfekt synergi med verdensmålene for bæredygtig udvikling og den foreslåede blå pagt</w:t>
      </w:r>
      <w:r>
        <w:t xml:space="preserve">, målrettede og harmoniserede </w:t>
      </w:r>
      <w:r>
        <w:rPr>
          <w:b/>
        </w:rPr>
        <w:t>europæiske og globale standarder</w:t>
      </w:r>
      <w:r>
        <w:t xml:space="preserve">, foranstaltninger, der øger </w:t>
      </w:r>
      <w:r>
        <w:rPr>
          <w:b/>
        </w:rPr>
        <w:t>offentlighedens støtte-, tillids- og oplysningsniveau</w:t>
      </w:r>
      <w:r>
        <w:t xml:space="preserve">, samt </w:t>
      </w:r>
      <w:r>
        <w:rPr>
          <w:b/>
        </w:rPr>
        <w:t>større klarhed mellem nationale og delte kompetencer</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foreslår, at </w:t>
      </w:r>
      <w:r>
        <w:rPr>
          <w:b/>
        </w:rPr>
        <w:t xml:space="preserve">bioteknologi og </w:t>
      </w:r>
      <w:proofErr w:type="spellStart"/>
      <w:r>
        <w:rPr>
          <w:b/>
        </w:rPr>
        <w:t>bioproduktion</w:t>
      </w:r>
      <w:proofErr w:type="spellEnd"/>
      <w:r>
        <w:rPr>
          <w:b/>
        </w:rPr>
        <w:t xml:space="preserve"> i EU finansieres</w:t>
      </w:r>
      <w:r>
        <w:t xml:space="preserve"> under behørig hensyntagen til en </w:t>
      </w:r>
      <w:r>
        <w:rPr>
          <w:b/>
        </w:rPr>
        <w:t>synergibaseret tilgang til genopretnings- og resiliensfaciliteten, platformen for strategiske teknologier for Europa (STEP), Den Europæiske Investeringsbank (EIB) og samhørighedspolitikken</w:t>
      </w:r>
      <w:r>
        <w:t xml:space="preserve">. Udvalget mener, at en del af indtægterne fra </w:t>
      </w:r>
      <w:r>
        <w:rPr>
          <w:b/>
        </w:rPr>
        <w:t>miljøafgifter</w:t>
      </w:r>
      <w:r>
        <w:t xml:space="preserve"> bør </w:t>
      </w:r>
      <w:r>
        <w:rPr>
          <w:b/>
        </w:rPr>
        <w:t>omfordeles til finansiering af grønne bioteknologiprodukter</w:t>
      </w:r>
      <w:r>
        <w:t xml:space="preserve">, og at der bør anvendes </w:t>
      </w:r>
      <w:r>
        <w:rPr>
          <w:b/>
        </w:rPr>
        <w:t>en bred vifte og kombination af finansielle kilder og fonde</w:t>
      </w:r>
      <w:r>
        <w:t xml:space="preserve"> såsom lån, venturekapital og offentlige midler.</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Kontakt</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 xml:space="preserve">Marie-Laurence </w:t>
            </w:r>
            <w:proofErr w:type="spellStart"/>
            <w:r>
              <w:rPr>
                <w:b/>
                <w:i/>
              </w:rPr>
              <w:t>Drillon</w:t>
            </w:r>
            <w:proofErr w:type="spellEnd"/>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Tlf.</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00 32 2 546 8320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E-mail</w:t>
            </w:r>
          </w:p>
        </w:tc>
        <w:tc>
          <w:tcPr>
            <w:tcW w:w="3444" w:type="pct"/>
          </w:tcPr>
          <w:p w:rsidRPr="00CE7004" w:rsidR="00CE7004" w:rsidP="00CE7004" w:rsidRDefault="00DF5812"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41">
        <w:r>
          <w:rPr>
            <w:b/>
            <w:i/>
            <w:color w:val="0000FF"/>
            <w:sz w:val="28"/>
            <w:u w:val="single"/>
          </w:rPr>
          <w:t xml:space="preserve">Kulstoffattige og vedvarende brændstoffer: opbygning af den europæiske industris kapacitet til at </w:t>
        </w:r>
        <w:proofErr w:type="spellStart"/>
        <w:r>
          <w:rPr>
            <w:b/>
            <w:i/>
            <w:color w:val="0000FF"/>
            <w:sz w:val="28"/>
            <w:u w:val="single"/>
          </w:rPr>
          <w:t>dekarbonisere</w:t>
        </w:r>
        <w:proofErr w:type="spellEnd"/>
        <w:r>
          <w:rPr>
            <w:b/>
            <w:i/>
            <w:color w:val="0000FF"/>
            <w:sz w:val="28"/>
            <w:u w:val="single"/>
          </w:rPr>
          <w:t xml:space="preserve"> luftfartssektoren og den maritime sektor med henblik på europæisk autonomi</w:t>
        </w:r>
      </w:hyperlink>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Ordfører </w:t>
      </w:r>
      <w:r>
        <w:rPr>
          <w:b/>
          <w:sz w:val="20"/>
        </w:rPr>
        <w:tab/>
      </w:r>
      <w:proofErr w:type="spellStart"/>
      <w:r>
        <w:rPr>
          <w:sz w:val="20"/>
        </w:rPr>
        <w:t>Anastasis</w:t>
      </w:r>
      <w:proofErr w:type="spellEnd"/>
      <w:r>
        <w:rPr>
          <w:sz w:val="20"/>
        </w:rPr>
        <w:t xml:space="preserve"> </w:t>
      </w:r>
      <w:proofErr w:type="spellStart"/>
      <w:r>
        <w:rPr>
          <w:sz w:val="20"/>
        </w:rPr>
        <w:t>Yiapanis</w:t>
      </w:r>
      <w:proofErr w:type="spellEnd"/>
      <w:r>
        <w:rPr>
          <w:sz w:val="20"/>
        </w:rPr>
        <w:t xml:space="preserve"> (Gruppen af civilsamfundsorganisationer –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Medordfører:</w:t>
      </w:r>
      <w:r>
        <w:rPr>
          <w:b/>
          <w:sz w:val="20"/>
        </w:rPr>
        <w:tab/>
      </w:r>
      <w:r>
        <w:rPr>
          <w:sz w:val="20"/>
        </w:rPr>
        <w:t xml:space="preserve">Franck </w:t>
      </w:r>
      <w:proofErr w:type="spellStart"/>
      <w:r>
        <w:rPr>
          <w:sz w:val="20"/>
        </w:rPr>
        <w:t>Uhlig</w:t>
      </w:r>
      <w:proofErr w:type="spellEnd"/>
      <w:r>
        <w:rPr>
          <w:sz w:val="20"/>
        </w:rPr>
        <w:t xml:space="preserve"> (Kat. 2 – 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Ref.</w:t>
      </w:r>
      <w:r>
        <w:rPr>
          <w:b/>
          <w:sz w:val="20"/>
        </w:rPr>
        <w:tab/>
      </w:r>
      <w:r>
        <w:rPr>
          <w:sz w:val="20"/>
        </w:rPr>
        <w:t>Initiativudtalelse</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Hovedpunkter</w:t>
      </w:r>
    </w:p>
    <w:p w:rsidRPr="00D742A4" w:rsidR="00D742A4" w:rsidP="00D742A4" w:rsidRDefault="00D742A4" w14:paraId="696A7DF5" w14:textId="77777777">
      <w:pPr>
        <w:spacing w:after="160" w:line="259" w:lineRule="auto"/>
        <w:jc w:val="left"/>
        <w:rPr>
          <w:rFonts w:eastAsiaTheme="minorHAnsi"/>
        </w:rPr>
      </w:pPr>
      <w:r>
        <w:t>EØSU:</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bemærker, at der </w:t>
      </w:r>
      <w:r>
        <w:rPr>
          <w:b/>
        </w:rPr>
        <w:t>mangler incitamenter</w:t>
      </w:r>
      <w:r>
        <w:t xml:space="preserve"> til udvikling af projekter til produktion af bæredygtige og kulstoffattige brændstoffer. Udvalget nævner</w:t>
      </w:r>
      <w:r>
        <w:rPr>
          <w:b/>
        </w:rPr>
        <w:t xml:space="preserve"> høje produktionsomkostninger og usikkerhed omkring tilgængeligheden af bæredygtige brændstoffer</w:t>
      </w:r>
      <w:r>
        <w:t xml:space="preserve"> som væsentlige hindringer for udbredt anvendelse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mener, at </w:t>
      </w:r>
      <w:r>
        <w:rPr>
          <w:b/>
        </w:rPr>
        <w:t>manglende produktion af bæredygtige brændstoffer i EU vil påvirke EU's strategiske autonomi negativt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understreger behovet for at </w:t>
      </w:r>
      <w:r>
        <w:rPr>
          <w:b/>
        </w:rPr>
        <w:t>fastholde og øge europæisk industris konkurrenceevne</w:t>
      </w:r>
      <w:r>
        <w:t xml:space="preserve"> i lyset af den intense globale konkurrence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slår til lyd for </w:t>
      </w:r>
      <w:r>
        <w:rPr>
          <w:b/>
        </w:rPr>
        <w:t>en samlet køreplan med henblik på at øge anvendelsen af bæredygtige flybrændstoffer</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mener, at det for </w:t>
      </w:r>
      <w:r>
        <w:rPr>
          <w:b/>
        </w:rPr>
        <w:t>søfartssektoren</w:t>
      </w:r>
      <w:r>
        <w:t xml:space="preserve"> er en udfordring </w:t>
      </w:r>
      <w:r>
        <w:rPr>
          <w:b/>
        </w:rPr>
        <w:t>at etablere infrastruktur til bunkring i havne verden over for at kunne forsyne skibe med alternative brændstoffer</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understreger, at der er en risiko for </w:t>
      </w:r>
      <w:r>
        <w:rPr>
          <w:b/>
        </w:rPr>
        <w:t xml:space="preserve">eventuel mangel på råstofressourcer og de mængder </w:t>
      </w:r>
      <w:proofErr w:type="spellStart"/>
      <w:r>
        <w:rPr>
          <w:b/>
        </w:rPr>
        <w:t>dekarboniseret</w:t>
      </w:r>
      <w:proofErr w:type="spellEnd"/>
      <w:r>
        <w:rPr>
          <w:b/>
        </w:rPr>
        <w:t xml:space="preserve"> energi</w:t>
      </w:r>
      <w:r>
        <w:t>, der er nødvendige for at sikre omstillingen til bæredygtig produktion af brændstoffer</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opfordrer til at </w:t>
      </w:r>
      <w:r>
        <w:rPr>
          <w:b/>
        </w:rPr>
        <w:t>fastlægge sammenhængende reguleringsmæssige vilkår, der kan frigøre investeringer, herunder ved at skabe øgede incitamenter til at stimulere øjeblikkelig produktion og udvikle et marked for brændstoffer med et reduceret CO</w:t>
      </w:r>
      <w:r>
        <w:rPr>
          <w:b/>
          <w:vertAlign w:val="subscript"/>
        </w:rPr>
        <w:t>2</w:t>
      </w:r>
      <w:r>
        <w:rPr>
          <w:b/>
        </w:rPr>
        <w:t>-fodaftryk</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foreslår at </w:t>
      </w:r>
      <w:r>
        <w:rPr>
          <w:b/>
        </w:rPr>
        <w:t>tilpasse afgifterne til klimapåvirkningen fra hvert enkelt brændstof</w:t>
      </w:r>
    </w:p>
    <w:p w:rsidRPr="00D742A4" w:rsidR="00D742A4" w:rsidP="0088361D" w:rsidRDefault="00D742A4" w14:paraId="16F5C4CD" w14:textId="5010589F">
      <w:pPr>
        <w:numPr>
          <w:ilvl w:val="0"/>
          <w:numId w:val="48"/>
        </w:numPr>
        <w:spacing w:after="160" w:line="259" w:lineRule="auto"/>
        <w:ind w:left="426" w:hanging="426"/>
        <w:contextualSpacing/>
        <w:rPr>
          <w:rFonts w:asciiTheme="minorHAnsi" w:hAnsiTheme="minorHAnsi" w:eastAsiaTheme="minorHAnsi" w:cstheme="minorBidi"/>
        </w:rPr>
      </w:pPr>
      <w:r>
        <w:t xml:space="preserve">er skuffet over, at </w:t>
      </w:r>
      <w:r>
        <w:rPr>
          <w:b/>
        </w:rPr>
        <w:t>infrastruktur til produktion af kulstoffattige og vedvarende brændstoffer til luftfarts- og søfartssektoren ikke i tilstrækkelig grad prioriteres i forbindelse med EU</w:t>
      </w:r>
      <w:r w:rsidR="008A2F27">
        <w:rPr>
          <w:b/>
        </w:rPr>
        <w:noBreakHyphen/>
      </w:r>
      <w:r>
        <w:rPr>
          <w:b/>
        </w:rPr>
        <w:t>tilskud og -subsidier</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opfatter </w:t>
      </w:r>
      <w:proofErr w:type="spellStart"/>
      <w:r>
        <w:rPr>
          <w:b/>
        </w:rPr>
        <w:t>FoU</w:t>
      </w:r>
      <w:proofErr w:type="spellEnd"/>
      <w:r>
        <w:rPr>
          <w:b/>
        </w:rPr>
        <w:t xml:space="preserve"> som afgørende for at reducere omkostningerne </w:t>
      </w:r>
      <w:r>
        <w:t>ved avancerede lavemissionsteknologier</w:t>
      </w:r>
      <w:r>
        <w:rPr>
          <w:b/>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t xml:space="preserve">efterlyser </w:t>
      </w:r>
      <w:r>
        <w:rPr>
          <w:b/>
        </w:rPr>
        <w:t xml:space="preserve">en helhedsorienteret strategi for en ren omstilling af hele industrielle værdikæder, der omfatter integration af brint, </w:t>
      </w:r>
      <w:proofErr w:type="spellStart"/>
      <w:r>
        <w:rPr>
          <w:b/>
        </w:rPr>
        <w:t>opskalering</w:t>
      </w:r>
      <w:proofErr w:type="spellEnd"/>
      <w:r>
        <w:rPr>
          <w:b/>
        </w:rPr>
        <w:t xml:space="preserve"> af produktionen af biobrændstoffer, udvidelse af produktionen af syntetiske brændstoffer og videreførelse af eksisterende sektorpartnerskaber under efterfølgeren til Horisont Europa</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t xml:space="preserve">forsikrer, at programmer for udvikling af færdigheder, herunder erhvervsuddannelse og støtte til jobskifte, er nødvendige. Udvalget gentager, </w:t>
      </w:r>
      <w:r>
        <w:rPr>
          <w:b/>
        </w:rPr>
        <w:t>at det er en prioritet at sikre høje sundheds- og sikkerhedsstandarder</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Kontakt</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Pr>
                <w:i/>
              </w:rPr>
              <w:t xml:space="preserve">Adam </w:t>
            </w:r>
            <w:proofErr w:type="spellStart"/>
            <w:r>
              <w:rPr>
                <w:i/>
              </w:rPr>
              <w:t>Dorywalski</w:t>
            </w:r>
            <w:proofErr w:type="spellEnd"/>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Tlf.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00 32 2 546 93 97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E-mail</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00747EBB" w:rsidP="00AA63E5" w:rsidRDefault="00747EBB" w14:paraId="425E1CA4" w14:textId="77777777">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28"/>
          <w:szCs w:val="28"/>
          <w:lang w:val="en-US"/>
        </w:rPr>
      </w:pP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lastRenderedPageBreak/>
        <w:tab/>
      </w:r>
      <w:hyperlink w:history="1" r:id="rId42">
        <w:r>
          <w:rPr>
            <w:b/>
            <w:i/>
            <w:color w:val="0000FF"/>
            <w:sz w:val="28"/>
            <w:u w:val="single"/>
          </w:rPr>
          <w:t>Avancerede materialer til industrielt lederskab</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Ordfører</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proofErr w:type="spellStart"/>
            <w:r>
              <w:t>Anastasis</w:t>
            </w:r>
            <w:proofErr w:type="spellEnd"/>
            <w:r>
              <w:t xml:space="preserve"> </w:t>
            </w:r>
            <w:proofErr w:type="spellStart"/>
            <w:r>
              <w:t>Yiapanis</w:t>
            </w:r>
            <w:proofErr w:type="spellEnd"/>
            <w:r>
              <w:t xml:space="preserve"> (Gruppen af civilsamfundsorganisationer –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Medordfører:</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proofErr w:type="spellStart"/>
            <w:r>
              <w:t>Gerardo</w:t>
            </w:r>
            <w:proofErr w:type="spellEnd"/>
            <w:r>
              <w:t xml:space="preserve"> Luis </w:t>
            </w:r>
            <w:proofErr w:type="spellStart"/>
            <w:r>
              <w:t>Arroyo</w:t>
            </w:r>
            <w:proofErr w:type="spellEnd"/>
            <w:r>
              <w:t xml:space="preserve"> </w:t>
            </w:r>
            <w:proofErr w:type="spellStart"/>
            <w:r>
              <w:t>Herranz</w:t>
            </w:r>
            <w:proofErr w:type="spellEnd"/>
            <w:r>
              <w:t xml:space="preserve"> (ES-Kat. 1)</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Ref.</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COM(2024) 98 final</w:t>
            </w:r>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EØSU:</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mener, at Kommissionens meddelelse om avancerede materialer ikke i sig selv kan betragtes som en strategi, da den mangler kvantificerbare mål, frister og specifikke centrale præstationsindikatorer (</w:t>
      </w:r>
      <w:proofErr w:type="spellStart"/>
      <w:r>
        <w:t>KPI'er</w:t>
      </w:r>
      <w:proofErr w:type="spellEnd"/>
      <w:r>
        <w:t>) til støtte for dens gennemførelse</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er overbevist om, at EU har brug for en helhedsorienteret tilgang til at reducere materialeforbruget, fremme cirkularitet og lette omstillingen til bæredygtige forretningsmodeller og forbrugsmønstre</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bemærker, at et komplekst økosystem for avancerede materialer kræver en omfattende strategi, betydelig finansiering og incitamenter, adgang til de rette færdigheder samt politisk opbakning på højt plan</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glæder sig over den styrkede dialog mellem EU og Japan om avancerede materialer og mener, at sådanne initiativer bør udvides til at omfatte andre førende lande</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finder det afgørende at fremme konkurrenceevnen inden for forskning, udvikling og innovation ved at inddrage industrielle aktører, offentlige myndigheder, arbejdsmarkedets parter og den akademiske verden og ved at skabe et netværk af grænseoverskridende forskningsinfrastrukturer</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foreslår at tilføje sundhedsvæsenet som et yderligere første strategisk område, eftersom det udgør en af Europas største industrier, da sundhedsrelaterede avancerede materialer ofte hænger sammen med sektorer såsom elektronik- og energisektorerne</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fremhæver betydningen af at integrere digitale teknologier og innovationer i materialeudviklingsprocesser</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støtter indførelsen af digitale produktpas, som omfatter informationsstandarder og detaljer fra produktion til genanvendelse, men advarer mod at pålægge yderligere bureaukrati eller yderligere omkostninger for virksomheder eller forbrugere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anser det for nødvendigt at styrke den europæiske produktion, støtte afsætningen, strømline markedsadgangen og forbedre markedsovervågningen på dette område.</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Kontakt</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 xml:space="preserve">Heli </w:t>
            </w:r>
            <w:proofErr w:type="spellStart"/>
            <w:r>
              <w:rPr>
                <w:i/>
              </w:rPr>
              <w:t>Niemelä-Farrer</w:t>
            </w:r>
            <w:proofErr w:type="spellEnd"/>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Tlf.</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00 32 2 282 24 64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570D62" w:rsidP="00D76388" w:rsidRDefault="00DF5812"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fldSimple w:instr=" NUMPAGES ">
      <w:r w:rsidR="000B64C3">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fldSimple w:instr=" NUMPAGES ">
      <w:r>
        <w:t>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5879"/>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4BE"/>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AF7"/>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2F27"/>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03D3"/>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812"/>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a-DK"/>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da/our-work/opinions-information-reports/opinions/eu-biotech-and-biomanufacturing-initiative" TargetMode="External"/><Relationship Id="rId21" Type="http://schemas.openxmlformats.org/officeDocument/2006/relationships/hyperlink" Target="https://www.eesc.europa.eu/da/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da/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da/our-work/opinions-information-reports/opinions/eu-biotech-and-biomanufacturing-initiative" TargetMode="External"/><Relationship Id="rId37" Type="http://schemas.openxmlformats.org/officeDocument/2006/relationships/hyperlink" Target="https://www.eesc.europa.eu/da/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da/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da/our-work/opinions-information-reports/opinions/caregivers" TargetMode="External"/><Relationship Id="rId30" Type="http://schemas.openxmlformats.org/officeDocument/2006/relationships/hyperlink" Target="https://www.eesc.europa.eu/da/our-work/opinions-information-reports/opinions/proposal-council-recommendation-enhancing-research-security" TargetMode="External"/><Relationship Id="rId35" Type="http://schemas.openxmlformats.org/officeDocument/2006/relationships/hyperlink" Target="https://www.eesc.europa.eu/da/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bg/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da/our-work/opinions-information-reports/opinions/no-one-should-be-left-behind-inclusive-and-participatory-cohesion-policy-support-social-economic-and-territorial" TargetMode="External"/><Relationship Id="rId41" Type="http://schemas.openxmlformats.org/officeDocument/2006/relationships/hyperlink" Target="https://www.eesc.europa.eu/da/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F7M6YNZUATRX-789077548-3296</_dlc_DocId>
    <_dlc_DocIdUrl xmlns="59ace41b-6786-4ce3-be71-52c27066c6ef">
      <Url>http://dm/eesc/2024/_layouts/15/DocIdRedir.aspx?ID=F7M6YNZUATRX-789077548-3296</Url>
      <Description>F7M6YNZUATRX-789077548-3296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2024-07-22T12:00:00+00:00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Sehic Jasmina</DisplayName>
        <AccountId>1542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C5558A8F-9AD5-47AB-9F5A-D081A1354AA9}"/>
</file>

<file path=customXml/itemProps2.xml><?xml version="1.0" encoding="utf-8"?>
<ds:datastoreItem xmlns:ds="http://schemas.openxmlformats.org/officeDocument/2006/customXml" ds:itemID="{E4AFEAED-C274-477E-9F97-D93B5FBA9CFC}"/>
</file>

<file path=customXml/itemProps3.xml><?xml version="1.0" encoding="utf-8"?>
<ds:datastoreItem xmlns:ds="http://schemas.openxmlformats.org/officeDocument/2006/customXml" ds:itemID="{5A28CDC1-5A45-49D4-AB1C-26AEB5B33F68}"/>
</file>

<file path=customXml/itemProps4.xml><?xml version="1.0" encoding="utf-8"?>
<ds:datastoreItem xmlns:ds="http://schemas.openxmlformats.org/officeDocument/2006/customXml" ds:itemID="{FE57AB85-9C52-444B-8299-01DF5786092B}"/>
</file>

<file path=docProps/app.xml><?xml version="1.0" encoding="utf-8"?>
<Properties xmlns="http://schemas.openxmlformats.org/officeDocument/2006/extended-properties" xmlns:vt="http://schemas.openxmlformats.org/officeDocument/2006/docPropsVTypes">
  <Template>Normal</Template>
  <TotalTime>0</TotalTime>
  <Pages>16</Pages>
  <Words>4916</Words>
  <Characters>29994</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vedtagne udtalelser - 589. plenarforsamling - juli 2024  </dc:title>
  <dc:subject>TCD</dc:subject>
  <dc:creator>Nieddu Emma</dc:creator>
  <cp:keywords>EESC-2024-02113-00-01-TCD-TRA-EN</cp:keywords>
  <dc:description>Rapporteur:  - Original language: EN - Date of document: 22-07-2024 - Date of meeting: 30-18-2024 14:30 - External documents:  - Administrator: MME TAMASAUSKIENE Julija</dc:description>
  <cp:lastModifiedBy>Sehic Jasmina</cp:lastModifiedBy>
  <cp:revision>11</cp:revision>
  <cp:lastPrinted>2023-06-15T08:00:00Z</cp:lastPrinted>
  <dcterms:created xsi:type="dcterms:W3CDTF">2024-07-19T11:45:00Z</dcterms:created>
  <dcterms:modified xsi:type="dcterms:W3CDTF">2024-07-22T13:21:00Z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064ae433-37ed-4544-9fa7-4731b84154ea</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FI|87606a43-d45f-42d6-b8c9-e1a3457db5b7;NL|55c6556c-b4f4-441d-9acf-c498d4f838bd;SV|c2ed69e7-a339-43d7-8f22-d93680a92aa0;LT|a7ff5ce7-6123-4f68-865a-a57c31810414;IT|0774613c-01ed-4e5d-a25d-11d2388de825;BG|1a1b3951-7821-4e6a-85f5-5673fc08bd2c;HU|6b229040-c589-4408-b4c1-4285663d20a8;PT|50ccc04a-eadd-42ae-a0cb-acaf45f812ba;ES|e7a6b05b-ae16-40c8-add9-68b64b03aeba;EN|f2175f21-25d7-44a3-96da-d6a61b075e1b;SL|98a412ae-eb01-49e9-ae3d-585a81724cfc;CS|72f9705b-0217-4fd3-bea2-cbc7ed80e26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31;#NL|55c6556c-b4f4-441d-9acf-c498d4f838bd;#43;#CS|72f9705b-0217-4fd3-bea2-cbc7ed80e26e;#27;#SL|98a412ae-eb01-49e9-ae3d-585a81724cfc;#24;#ES|e7a6b05b-ae16-40c8-add9-68b64b03aeba;#22;#BG|1a1b3951-7821-4e6a-85f5-5673fc08bd2c;#21;#SV|c2ed69e7-a339-43d7-8f22-d93680a92aa0;#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16;#DA|5d49c027-8956-412b-aa16-e85a0f96ad0e</vt:lpwstr>
  </property>
</Properties>
</file>