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269F" w:rsidR="004D7AC0" w:rsidP="009B269F" w:rsidRDefault="00A73B8A" w14:paraId="785AE44C" w14:textId="03D077DB">
      <w:pPr>
        <w:jc w:val="center"/>
      </w:pPr>
      <w:r w:rsidRPr="009B269F">
        <w:rPr>
          <w:noProof/>
        </w:rPr>
        <w:drawing>
          <wp:inline distT="0" distB="0" distL="0" distR="0" wp14:anchorId="7DC9979C" wp14:editId="182FFB82">
            <wp:extent cx="1792605" cy="1239520"/>
            <wp:effectExtent l="0" t="0" r="0" b="0"/>
            <wp:docPr id="2" name="Picture 2" title="EESCLogo_CS"/>
            <wp:cNvGraphicFramePr/>
            <a:graphic xmlns:a="http://schemas.openxmlformats.org/drawingml/2006/main">
              <a:graphicData uri="http://schemas.openxmlformats.org/drawingml/2006/picture">
                <pic:pic xmlns:pic="http://schemas.openxmlformats.org/drawingml/2006/picture">
                  <pic:nvPicPr>
                    <pic:cNvPr id="2" name="Picture 2" title="EESCLogo_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9B269F" w:rsidR="00721342">
        <w:rPr>
          <w:noProof/>
          <w:sz w:val="20"/>
        </w:rPr>
        <mc:AlternateContent>
          <mc:Choice Requires="wps">
            <w:drawing>
              <wp:anchor distT="0" distB="0" distL="114300" distR="114300" simplePos="0" relativeHeight="251657216" behindDoc="1" locked="0" layoutInCell="0" allowOverlap="1" wp14:editId="6F92C6ED"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9B269F" w:rsidR="004D7AC0" w:rsidP="009B269F" w:rsidRDefault="004D7AC0" w14:paraId="51F52D79" w14:textId="77777777"/>
    <w:p w:rsidRPr="009B269F" w:rsidR="004D7AC0" w:rsidP="009B269F" w:rsidRDefault="00014C93" w14:paraId="45DE4A28" w14:textId="38182825">
      <w:pPr>
        <w:jc w:val="right"/>
      </w:pPr>
      <w:r w:rsidRPr="009B269F">
        <w:t>V Bruselu dne 16. září 2024</w:t>
      </w:r>
    </w:p>
    <w:p w:rsidRPr="009B269F" w:rsidR="004D7AC0" w:rsidP="009B269F" w:rsidRDefault="004D7AC0" w14:paraId="6B250092" w14:textId="77777777"/>
    <w:p w:rsidR="004D7AC0" w:rsidP="009B269F" w:rsidRDefault="004D7AC0" w14:paraId="0593C6DF" w14:textId="2462746A"/>
    <w:p w:rsidRPr="009B269F" w:rsidR="00D847D8" w:rsidP="009B269F" w:rsidRDefault="00D847D8" w14:paraId="7018DAF3" w14:textId="77777777"/>
    <w:tbl>
      <w:tblPr>
        <w:tblW w:w="0" w:type="auto"/>
        <w:tblLook w:val="04A0" w:firstRow="1" w:lastRow="0" w:firstColumn="1" w:lastColumn="0" w:noHBand="0" w:noVBand="1"/>
      </w:tblPr>
      <w:tblGrid>
        <w:gridCol w:w="9289"/>
      </w:tblGrid>
      <w:tr w:rsidRPr="009B269F" w:rsidR="004D7AC0" w:rsidTr="00662436" w14:paraId="6D7B3453" w14:textId="77777777">
        <w:tc>
          <w:tcPr>
            <w:tcW w:w="9289" w:type="dxa"/>
            <w:tcBorders>
              <w:bottom w:val="double" w:color="auto" w:sz="4" w:space="0"/>
            </w:tcBorders>
          </w:tcPr>
          <w:p w:rsidRPr="009B269F" w:rsidR="001760E9" w:rsidP="009B269F" w:rsidRDefault="00DA2D88" w14:paraId="3B286D4E" w14:textId="11C8DC33">
            <w:pPr>
              <w:snapToGrid w:val="0"/>
              <w:jc w:val="center"/>
              <w:rPr>
                <w:b/>
                <w:sz w:val="32"/>
              </w:rPr>
            </w:pPr>
            <w:r w:rsidRPr="009B269F">
              <w:rPr>
                <w:b/>
                <w:sz w:val="32"/>
              </w:rPr>
              <w:t>588. PLENÁRNÍ ZASEDÁNÍ</w:t>
            </w:r>
          </w:p>
          <w:p w:rsidRPr="009B269F" w:rsidR="001760E9" w:rsidP="009B269F" w:rsidRDefault="001760E9" w14:paraId="6C87A626" w14:textId="0AE2882C">
            <w:pPr>
              <w:snapToGrid w:val="0"/>
              <w:jc w:val="center"/>
              <w:rPr>
                <w:b/>
                <w:sz w:val="32"/>
              </w:rPr>
            </w:pPr>
          </w:p>
          <w:p w:rsidRPr="009B269F" w:rsidR="001760E9" w:rsidP="009B269F" w:rsidRDefault="00026AF7" w14:paraId="6CF7229C" w14:textId="767CE9FD">
            <w:pPr>
              <w:snapToGrid w:val="0"/>
              <w:jc w:val="center"/>
              <w:rPr>
                <w:b/>
                <w:sz w:val="32"/>
              </w:rPr>
            </w:pPr>
            <w:r w:rsidRPr="009B269F">
              <w:rPr>
                <w:b/>
                <w:sz w:val="32"/>
              </w:rPr>
              <w:t>10. a 11. července 2024</w:t>
            </w:r>
          </w:p>
          <w:p w:rsidRPr="009B269F" w:rsidR="001760E9" w:rsidP="009B269F" w:rsidRDefault="001760E9" w14:paraId="0C44BD01" w14:textId="2F8EBB07">
            <w:pPr>
              <w:snapToGrid w:val="0"/>
              <w:jc w:val="center"/>
              <w:rPr>
                <w:b/>
                <w:sz w:val="32"/>
              </w:rPr>
            </w:pPr>
          </w:p>
          <w:p w:rsidRPr="009B269F" w:rsidR="004D7AC0" w:rsidP="009B269F" w:rsidRDefault="00CF2F88" w14:paraId="114106CC" w14:textId="11A29F2C">
            <w:pPr>
              <w:snapToGrid w:val="0"/>
              <w:jc w:val="center"/>
              <w:rPr>
                <w:rFonts w:eastAsia="MS Mincho"/>
                <w:b/>
                <w:sz w:val="32"/>
                <w:szCs w:val="32"/>
              </w:rPr>
            </w:pPr>
            <w:r w:rsidRPr="009B269F">
              <w:rPr>
                <w:b/>
                <w:sz w:val="32"/>
              </w:rPr>
              <w:t xml:space="preserve">SOUHRN PŘIJATÝCH STANOVISEK, USNESENÍ </w:t>
            </w:r>
            <w:r w:rsidR="009B269F">
              <w:rPr>
                <w:b/>
                <w:sz w:val="32"/>
              </w:rPr>
              <w:t>A </w:t>
            </w:r>
            <w:r w:rsidRPr="009B269F">
              <w:rPr>
                <w:b/>
                <w:sz w:val="32"/>
              </w:rPr>
              <w:t>INFORMAČNÍCH / HODNOTÍCÍCH ZPRÁV</w:t>
            </w:r>
          </w:p>
          <w:p w:rsidRPr="009B269F" w:rsidR="004D7AC0" w:rsidP="009B269F" w:rsidRDefault="004D7AC0" w14:paraId="06AE72EA" w14:textId="77777777">
            <w:pPr>
              <w:snapToGrid w:val="0"/>
            </w:pPr>
          </w:p>
        </w:tc>
      </w:tr>
      <w:tr w:rsidRPr="009B269F"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269F" w:rsidR="00B16284" w:rsidP="009B269F" w:rsidRDefault="001054A9" w14:paraId="0A87E35B" w14:textId="27E0DCDF">
            <w:pPr>
              <w:snapToGrid w:val="0"/>
              <w:jc w:val="center"/>
            </w:pPr>
            <w:r w:rsidRPr="009B269F">
              <w:t>Tento dokument je k dispozici ve všech úředních jazycích Evropské unie na internetových stránkách EHSV na adrese:</w:t>
            </w:r>
          </w:p>
          <w:p w:rsidRPr="009B269F" w:rsidR="00B16284" w:rsidP="009B269F" w:rsidRDefault="00B16284" w14:paraId="4F26A4CE" w14:textId="77777777">
            <w:pPr>
              <w:snapToGrid w:val="0"/>
              <w:jc w:val="center"/>
            </w:pPr>
          </w:p>
          <w:p w:rsidRPr="009B269F" w:rsidR="004D7AC0" w:rsidP="009B269F" w:rsidRDefault="000029F8" w14:paraId="2A9352A2" w14:textId="0680ADB6">
            <w:pPr>
              <w:snapToGrid w:val="0"/>
              <w:jc w:val="center"/>
            </w:pPr>
            <w:hyperlink w:history="1" r:id="rId13">
              <w:r w:rsidRPr="009B269F" w:rsidR="00A73B8A">
                <w:rPr>
                  <w:rStyle w:val="Hyperlink"/>
                  <w:highlight w:val="yellow"/>
                </w:rPr>
                <w:t>https://www.eesc.europa.eu/cs/our-work/opinions-information-reports/plenary-session-summaries</w:t>
              </w:r>
            </w:hyperlink>
          </w:p>
          <w:p w:rsidRPr="009B269F" w:rsidR="004D7AC0" w:rsidP="009B269F" w:rsidRDefault="004D7AC0" w14:paraId="70D5DBB4" w14:textId="77777777">
            <w:pPr>
              <w:snapToGrid w:val="0"/>
              <w:jc w:val="center"/>
            </w:pPr>
          </w:p>
          <w:p w:rsidRPr="009B269F" w:rsidR="004D7AC0" w:rsidP="009B269F" w:rsidRDefault="004D7AC0" w14:paraId="575A73D6" w14:textId="77777777">
            <w:pPr>
              <w:snapToGrid w:val="0"/>
              <w:jc w:val="center"/>
              <w:rPr>
                <w:rFonts w:eastAsia="SimSun"/>
              </w:rPr>
            </w:pPr>
          </w:p>
          <w:p w:rsidRPr="009B269F" w:rsidR="00B16284" w:rsidP="009B269F" w:rsidRDefault="004D7AC0" w14:paraId="1C64BC20" w14:textId="77777777">
            <w:pPr>
              <w:snapToGrid w:val="0"/>
              <w:jc w:val="center"/>
            </w:pPr>
            <w:r w:rsidRPr="009B269F">
              <w:t>Uvedená stanoviska jsou k dispozici on-line prostřednictvím vyhledávače EHSV:</w:t>
            </w:r>
          </w:p>
          <w:p w:rsidRPr="009B269F" w:rsidR="00B16284" w:rsidP="009B269F" w:rsidRDefault="00B16284" w14:paraId="7A5411A5" w14:textId="77777777">
            <w:pPr>
              <w:snapToGrid w:val="0"/>
              <w:jc w:val="center"/>
            </w:pPr>
          </w:p>
          <w:p w:rsidRPr="009B269F" w:rsidR="004D7AC0" w:rsidP="009B269F" w:rsidRDefault="000029F8" w14:paraId="441AC4DD" w14:textId="1194D751">
            <w:pPr>
              <w:snapToGrid w:val="0"/>
              <w:jc w:val="center"/>
            </w:pPr>
            <w:hyperlink w:history="1" r:id="rId14">
              <w:r w:rsidRPr="009B269F" w:rsidR="00A73B8A">
                <w:rPr>
                  <w:rStyle w:val="Hyperlink"/>
                </w:rPr>
                <w:t>https://dmsearch.eesc.europa.eu/search/opinion</w:t>
              </w:r>
            </w:hyperlink>
          </w:p>
          <w:p w:rsidRPr="009B269F" w:rsidR="004D7AC0" w:rsidP="009B269F" w:rsidRDefault="004D7AC0" w14:paraId="51FF303F" w14:textId="77777777">
            <w:pPr>
              <w:snapToGrid w:val="0"/>
              <w:jc w:val="center"/>
            </w:pPr>
          </w:p>
        </w:tc>
      </w:tr>
    </w:tbl>
    <w:p w:rsidRPr="009B269F" w:rsidR="004D7AC0" w:rsidP="009B269F" w:rsidRDefault="004D7AC0" w14:paraId="57C291FC" w14:textId="77777777"/>
    <w:p w:rsidRPr="009B269F" w:rsidR="004D7AC0" w:rsidP="009B269F" w:rsidRDefault="004D7AC0" w14:paraId="5E675360" w14:textId="77777777"/>
    <w:p w:rsidRPr="009B269F" w:rsidR="005A29D5" w:rsidP="009B269F" w:rsidRDefault="005A29D5" w14:paraId="3CF67A1E" w14:textId="77777777">
      <w:pPr>
        <w:sectPr w:rsidRPr="009B269F" w:rsidR="005A29D5" w:rsidSect="0099448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D847D8" w:rsidR="00E31152" w:rsidP="009B269F" w:rsidRDefault="00D847D8" w14:paraId="0D3450B1" w14:textId="34D431FC">
      <w:pPr>
        <w:keepNext/>
        <w:keepLines/>
        <w:ind w:hanging="284"/>
        <w:jc w:val="left"/>
        <w:rPr>
          <w:b/>
        </w:rPr>
      </w:pPr>
      <w:r>
        <w:rPr>
          <w:b/>
        </w:rPr>
        <w:lastRenderedPageBreak/>
        <w:t>Obsah:</w:t>
      </w:r>
    </w:p>
    <w:p w:rsidRPr="00D847D8" w:rsidR="008B421D" w:rsidP="009B269F" w:rsidRDefault="008B421D" w14:paraId="3D4A8637" w14:textId="77777777">
      <w:pPr>
        <w:keepNext/>
        <w:keepLines/>
        <w:ind w:hanging="284"/>
        <w:jc w:val="left"/>
        <w:rPr>
          <w:b/>
        </w:rPr>
      </w:pPr>
    </w:p>
    <w:p w:rsidRPr="00D847D8" w:rsidR="00815AF5" w:rsidP="002B61B2" w:rsidRDefault="00815AF5" w14:paraId="797AA6F9" w14:textId="0C1EC438">
      <w:pPr>
        <w:pStyle w:val="TOC1"/>
        <w:rPr>
          <w:rFonts w:eastAsiaTheme="minorEastAsia"/>
          <w:b w:val="0"/>
          <w:sz w:val="22"/>
          <w:szCs w:val="22"/>
          <w:lang w:val="en-US"/>
        </w:rPr>
      </w:pPr>
      <w:r w:rsidRPr="009B269F">
        <w:rPr>
          <w:b w:val="0"/>
        </w:rPr>
        <w:fldChar w:fldCharType="begin"/>
      </w:r>
      <w:r w:rsidRPr="009B269F">
        <w:rPr>
          <w:b w:val="0"/>
        </w:rPr>
        <w:instrText xml:space="preserve"> TOC \o "1-3" \h \z \u </w:instrText>
      </w:r>
      <w:r w:rsidRPr="009B269F">
        <w:rPr>
          <w:b w:val="0"/>
        </w:rPr>
        <w:fldChar w:fldCharType="separate"/>
      </w:r>
      <w:hyperlink w:history="1" w:anchor="_Toc172192934">
        <w:r w:rsidRPr="00D847D8">
          <w:rPr>
            <w:rStyle w:val="Hyperlink"/>
            <w:sz w:val="22"/>
            <w:szCs w:val="22"/>
          </w:rPr>
          <w:t>1.</w:t>
        </w:r>
        <w:r w:rsidRPr="00D847D8">
          <w:rPr>
            <w:rFonts w:eastAsiaTheme="minorEastAsia"/>
            <w:b w:val="0"/>
            <w:sz w:val="22"/>
            <w:szCs w:val="22"/>
            <w:lang w:val="en-US"/>
          </w:rPr>
          <w:tab/>
        </w:r>
        <w:r w:rsidRPr="00D847D8">
          <w:rPr>
            <w:rStyle w:val="Hyperlink"/>
            <w:sz w:val="22"/>
            <w:szCs w:val="22"/>
          </w:rPr>
          <w:t>USNESENÍ</w:t>
        </w:r>
        <w:r w:rsidRPr="00D847D8">
          <w:rPr>
            <w:webHidden/>
            <w:sz w:val="22"/>
            <w:szCs w:val="22"/>
          </w:rPr>
          <w:tab/>
        </w:r>
        <w:r w:rsidRPr="00D847D8">
          <w:rPr>
            <w:webHidden/>
            <w:sz w:val="22"/>
            <w:szCs w:val="22"/>
          </w:rPr>
          <w:fldChar w:fldCharType="begin"/>
        </w:r>
        <w:r w:rsidRPr="00D847D8">
          <w:rPr>
            <w:webHidden/>
            <w:sz w:val="22"/>
            <w:szCs w:val="22"/>
          </w:rPr>
          <w:instrText xml:space="preserve"> PAGEREF _Toc172192934 \h </w:instrText>
        </w:r>
        <w:r w:rsidRPr="00D847D8">
          <w:rPr>
            <w:webHidden/>
            <w:sz w:val="22"/>
            <w:szCs w:val="22"/>
          </w:rPr>
        </w:r>
        <w:r w:rsidRPr="00D847D8">
          <w:rPr>
            <w:webHidden/>
            <w:sz w:val="22"/>
            <w:szCs w:val="22"/>
          </w:rPr>
          <w:fldChar w:fldCharType="separate"/>
        </w:r>
        <w:r w:rsidR="00D847D8">
          <w:rPr>
            <w:webHidden/>
            <w:sz w:val="22"/>
            <w:szCs w:val="22"/>
          </w:rPr>
          <w:t>3</w:t>
        </w:r>
        <w:r w:rsidRPr="00D847D8">
          <w:rPr>
            <w:webHidden/>
            <w:sz w:val="22"/>
            <w:szCs w:val="22"/>
          </w:rPr>
          <w:fldChar w:fldCharType="end"/>
        </w:r>
      </w:hyperlink>
    </w:p>
    <w:p w:rsidRPr="00D847D8" w:rsidR="00815AF5" w:rsidP="002B61B2" w:rsidRDefault="000029F8" w14:paraId="71648CAD" w14:textId="0CAAEB7A">
      <w:pPr>
        <w:pStyle w:val="TOC1"/>
        <w:rPr>
          <w:rFonts w:eastAsiaTheme="minorEastAsia"/>
          <w:b w:val="0"/>
          <w:sz w:val="22"/>
          <w:szCs w:val="22"/>
          <w:lang w:val="en-US"/>
        </w:rPr>
      </w:pPr>
      <w:hyperlink w:history="1" w:anchor="_Toc172192935">
        <w:r w:rsidRPr="00D847D8" w:rsidR="00815AF5">
          <w:rPr>
            <w:rStyle w:val="Hyperlink"/>
            <w:sz w:val="22"/>
            <w:szCs w:val="22"/>
          </w:rPr>
          <w:t>2.</w:t>
        </w:r>
        <w:r w:rsidRPr="00D847D8" w:rsidR="00815AF5">
          <w:rPr>
            <w:rFonts w:eastAsiaTheme="minorEastAsia"/>
            <w:b w:val="0"/>
            <w:sz w:val="22"/>
            <w:szCs w:val="22"/>
            <w:lang w:val="en-US"/>
          </w:rPr>
          <w:tab/>
        </w:r>
        <w:r w:rsidRPr="00D847D8" w:rsidR="00815AF5">
          <w:rPr>
            <w:rStyle w:val="Hyperlink"/>
            <w:sz w:val="22"/>
            <w:szCs w:val="22"/>
          </w:rPr>
          <w:t>HOSPODÁŘSKÁ A MĚNOVÁ UNIE, HOSPODÁŘSKÁ A SOCIÁLNÍ SOUDRŽNOST</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_Toc172192935 \h </w:instrText>
        </w:r>
        <w:r w:rsidRPr="00D847D8" w:rsidR="00815AF5">
          <w:rPr>
            <w:webHidden/>
            <w:sz w:val="22"/>
            <w:szCs w:val="22"/>
          </w:rPr>
        </w:r>
        <w:r w:rsidRPr="00D847D8" w:rsidR="00815AF5">
          <w:rPr>
            <w:webHidden/>
            <w:sz w:val="22"/>
            <w:szCs w:val="22"/>
          </w:rPr>
          <w:fldChar w:fldCharType="separate"/>
        </w:r>
        <w:r w:rsidR="00D847D8">
          <w:rPr>
            <w:webHidden/>
            <w:sz w:val="22"/>
            <w:szCs w:val="22"/>
          </w:rPr>
          <w:t>5</w:t>
        </w:r>
        <w:r w:rsidRPr="00D847D8" w:rsidR="00815AF5">
          <w:rPr>
            <w:webHidden/>
            <w:sz w:val="22"/>
            <w:szCs w:val="22"/>
          </w:rPr>
          <w:fldChar w:fldCharType="end"/>
        </w:r>
      </w:hyperlink>
    </w:p>
    <w:p w:rsidRPr="00D847D8" w:rsidR="00815AF5" w:rsidP="002B61B2" w:rsidRDefault="000029F8" w14:paraId="3975AA2E" w14:textId="083A34F0">
      <w:pPr>
        <w:pStyle w:val="TOC1"/>
        <w:rPr>
          <w:rFonts w:eastAsiaTheme="minorEastAsia"/>
          <w:b w:val="0"/>
          <w:sz w:val="22"/>
          <w:szCs w:val="22"/>
          <w:lang w:val="en-US"/>
        </w:rPr>
      </w:pPr>
      <w:hyperlink w:history="1" w:anchor="_Toc172192936">
        <w:r w:rsidRPr="00D847D8" w:rsidR="00815AF5">
          <w:rPr>
            <w:rStyle w:val="Hyperlink"/>
            <w:sz w:val="22"/>
            <w:szCs w:val="22"/>
          </w:rPr>
          <w:t>3.</w:t>
        </w:r>
        <w:r w:rsidRPr="00D847D8" w:rsidR="00815AF5">
          <w:rPr>
            <w:rFonts w:eastAsiaTheme="minorEastAsia"/>
            <w:b w:val="0"/>
            <w:sz w:val="22"/>
            <w:szCs w:val="22"/>
            <w:lang w:val="en-US"/>
          </w:rPr>
          <w:tab/>
        </w:r>
        <w:r w:rsidRPr="00D847D8" w:rsidR="00815AF5">
          <w:rPr>
            <w:rStyle w:val="Hyperlink"/>
            <w:bCs/>
            <w:sz w:val="22"/>
            <w:szCs w:val="22"/>
          </w:rPr>
          <w:t>ZAMĚSTNANOST, SOCIÁLNÍ VĚCI, OBČANSTVÍ</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_Toc172192936 \h </w:instrText>
        </w:r>
        <w:r w:rsidRPr="00D847D8" w:rsidR="00815AF5">
          <w:rPr>
            <w:webHidden/>
            <w:sz w:val="22"/>
            <w:szCs w:val="22"/>
          </w:rPr>
        </w:r>
        <w:r w:rsidRPr="00D847D8" w:rsidR="00815AF5">
          <w:rPr>
            <w:webHidden/>
            <w:sz w:val="22"/>
            <w:szCs w:val="22"/>
          </w:rPr>
          <w:fldChar w:fldCharType="separate"/>
        </w:r>
        <w:r w:rsidR="00D847D8">
          <w:rPr>
            <w:webHidden/>
            <w:sz w:val="22"/>
            <w:szCs w:val="22"/>
          </w:rPr>
          <w:t>6</w:t>
        </w:r>
        <w:r w:rsidRPr="00D847D8" w:rsidR="00815AF5">
          <w:rPr>
            <w:webHidden/>
            <w:sz w:val="22"/>
            <w:szCs w:val="22"/>
          </w:rPr>
          <w:fldChar w:fldCharType="end"/>
        </w:r>
      </w:hyperlink>
    </w:p>
    <w:p w:rsidRPr="00D847D8" w:rsidR="00815AF5" w:rsidP="002B61B2" w:rsidRDefault="000029F8" w14:paraId="720E7EC0" w14:textId="6D71F516">
      <w:pPr>
        <w:pStyle w:val="TOC1"/>
        <w:rPr>
          <w:rFonts w:eastAsiaTheme="minorEastAsia"/>
          <w:b w:val="0"/>
          <w:sz w:val="22"/>
          <w:szCs w:val="22"/>
          <w:lang w:val="en-US"/>
        </w:rPr>
      </w:pPr>
      <w:hyperlink w:history="1" w:anchor="_Toc172192937">
        <w:r w:rsidRPr="00D847D8" w:rsidR="00815AF5">
          <w:rPr>
            <w:rStyle w:val="Hyperlink"/>
            <w:sz w:val="22"/>
            <w:szCs w:val="22"/>
          </w:rPr>
          <w:t>4.</w:t>
        </w:r>
        <w:r w:rsidRPr="00D847D8" w:rsidR="00815AF5">
          <w:rPr>
            <w:rFonts w:eastAsiaTheme="minorEastAsia"/>
            <w:b w:val="0"/>
            <w:sz w:val="22"/>
            <w:szCs w:val="22"/>
            <w:lang w:val="en-US"/>
          </w:rPr>
          <w:tab/>
        </w:r>
        <w:r w:rsidRPr="00D847D8" w:rsidR="00815AF5">
          <w:rPr>
            <w:rStyle w:val="Hyperlink"/>
            <w:sz w:val="22"/>
            <w:szCs w:val="22"/>
          </w:rPr>
          <w:t>JEDNOTNÝ TRH, VÝROBA A SPOTŘEBA</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_Toc172192937 \h </w:instrText>
        </w:r>
        <w:r w:rsidRPr="00D847D8" w:rsidR="00815AF5">
          <w:rPr>
            <w:webHidden/>
            <w:sz w:val="22"/>
            <w:szCs w:val="22"/>
          </w:rPr>
        </w:r>
        <w:r w:rsidRPr="00D847D8" w:rsidR="00815AF5">
          <w:rPr>
            <w:webHidden/>
            <w:sz w:val="22"/>
            <w:szCs w:val="22"/>
          </w:rPr>
          <w:fldChar w:fldCharType="separate"/>
        </w:r>
        <w:r w:rsidR="00D847D8">
          <w:rPr>
            <w:webHidden/>
            <w:sz w:val="22"/>
            <w:szCs w:val="22"/>
          </w:rPr>
          <w:t>10</w:t>
        </w:r>
        <w:r w:rsidRPr="00D847D8" w:rsidR="00815AF5">
          <w:rPr>
            <w:webHidden/>
            <w:sz w:val="22"/>
            <w:szCs w:val="22"/>
          </w:rPr>
          <w:fldChar w:fldCharType="end"/>
        </w:r>
      </w:hyperlink>
    </w:p>
    <w:p w:rsidRPr="00D847D8" w:rsidR="00815AF5" w:rsidP="002B61B2" w:rsidRDefault="000029F8" w14:paraId="31217600" w14:textId="32B4362D">
      <w:pPr>
        <w:pStyle w:val="TOC1"/>
        <w:rPr>
          <w:rFonts w:eastAsiaTheme="minorEastAsia"/>
          <w:b w:val="0"/>
          <w:sz w:val="22"/>
          <w:szCs w:val="22"/>
          <w:lang w:val="en-US"/>
        </w:rPr>
      </w:pPr>
      <w:hyperlink w:history="1" w:anchor="_Toc172192938">
        <w:r w:rsidRPr="00D847D8" w:rsidR="00815AF5">
          <w:rPr>
            <w:rStyle w:val="Hyperlink"/>
            <w:sz w:val="22"/>
            <w:szCs w:val="22"/>
          </w:rPr>
          <w:t>5.</w:t>
        </w:r>
        <w:r w:rsidRPr="00D847D8" w:rsidR="00815AF5">
          <w:rPr>
            <w:rFonts w:eastAsiaTheme="minorEastAsia"/>
            <w:b w:val="0"/>
            <w:sz w:val="22"/>
            <w:szCs w:val="22"/>
            <w:lang w:val="en-US"/>
          </w:rPr>
          <w:tab/>
        </w:r>
        <w:r w:rsidRPr="00D847D8" w:rsidR="00815AF5">
          <w:rPr>
            <w:rStyle w:val="Hyperlink"/>
            <w:sz w:val="22"/>
            <w:szCs w:val="22"/>
          </w:rPr>
          <w:t>ZEMĚDĚLSTVÍ, ROZVOJ VENKOVA, ŽIVOTNÍ PROSTŘEDÍ</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_Toc172192938 \h </w:instrText>
        </w:r>
        <w:r w:rsidRPr="00D847D8" w:rsidR="00815AF5">
          <w:rPr>
            <w:webHidden/>
            <w:sz w:val="22"/>
            <w:szCs w:val="22"/>
          </w:rPr>
        </w:r>
        <w:r w:rsidRPr="00D847D8" w:rsidR="00815AF5">
          <w:rPr>
            <w:webHidden/>
            <w:sz w:val="22"/>
            <w:szCs w:val="22"/>
          </w:rPr>
          <w:fldChar w:fldCharType="separate"/>
        </w:r>
        <w:r w:rsidR="00D847D8">
          <w:rPr>
            <w:webHidden/>
            <w:sz w:val="22"/>
            <w:szCs w:val="22"/>
          </w:rPr>
          <w:t>11</w:t>
        </w:r>
        <w:r w:rsidRPr="00D847D8" w:rsidR="00815AF5">
          <w:rPr>
            <w:webHidden/>
            <w:sz w:val="22"/>
            <w:szCs w:val="22"/>
          </w:rPr>
          <w:fldChar w:fldCharType="end"/>
        </w:r>
      </w:hyperlink>
    </w:p>
    <w:p w:rsidRPr="00D847D8" w:rsidR="00815AF5" w:rsidP="002B61B2" w:rsidRDefault="000029F8" w14:paraId="6BB8A75A" w14:textId="7DC8907F">
      <w:pPr>
        <w:pStyle w:val="TOC1"/>
        <w:rPr>
          <w:rFonts w:eastAsiaTheme="minorEastAsia"/>
          <w:b w:val="0"/>
          <w:sz w:val="22"/>
          <w:szCs w:val="22"/>
          <w:lang w:val="en-US"/>
        </w:rPr>
      </w:pPr>
      <w:hyperlink w:history="1" w:anchor="_Toc172192939">
        <w:r w:rsidRPr="00D847D8" w:rsidR="00815AF5">
          <w:rPr>
            <w:rStyle w:val="Hyperlink"/>
            <w:sz w:val="22"/>
            <w:szCs w:val="22"/>
          </w:rPr>
          <w:t>6.</w:t>
        </w:r>
        <w:r w:rsidRPr="00D847D8" w:rsidR="00815AF5">
          <w:rPr>
            <w:rFonts w:eastAsiaTheme="minorEastAsia"/>
            <w:b w:val="0"/>
            <w:sz w:val="22"/>
            <w:szCs w:val="22"/>
            <w:lang w:val="en-US"/>
          </w:rPr>
          <w:tab/>
        </w:r>
        <w:r w:rsidRPr="00D847D8" w:rsidR="00815AF5">
          <w:rPr>
            <w:rStyle w:val="Hyperlink"/>
            <w:sz w:val="22"/>
            <w:szCs w:val="22"/>
          </w:rPr>
          <w:t>VNĚJŠÍ VZTAHY</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_Toc172192939 \h </w:instrText>
        </w:r>
        <w:r w:rsidRPr="00D847D8" w:rsidR="00815AF5">
          <w:rPr>
            <w:webHidden/>
            <w:sz w:val="22"/>
            <w:szCs w:val="22"/>
          </w:rPr>
        </w:r>
        <w:r w:rsidRPr="00D847D8" w:rsidR="00815AF5">
          <w:rPr>
            <w:webHidden/>
            <w:sz w:val="22"/>
            <w:szCs w:val="22"/>
          </w:rPr>
          <w:fldChar w:fldCharType="separate"/>
        </w:r>
        <w:r w:rsidR="00D847D8">
          <w:rPr>
            <w:webHidden/>
            <w:sz w:val="22"/>
            <w:szCs w:val="22"/>
          </w:rPr>
          <w:t>14</w:t>
        </w:r>
        <w:r w:rsidRPr="00D847D8" w:rsidR="00815AF5">
          <w:rPr>
            <w:webHidden/>
            <w:sz w:val="22"/>
            <w:szCs w:val="22"/>
          </w:rPr>
          <w:fldChar w:fldCharType="end"/>
        </w:r>
      </w:hyperlink>
    </w:p>
    <w:p w:rsidRPr="00D847D8" w:rsidR="00815AF5" w:rsidP="002B61B2" w:rsidRDefault="000029F8" w14:paraId="25F9213B" w14:textId="7A65828E">
      <w:pPr>
        <w:pStyle w:val="TOC1"/>
        <w:rPr>
          <w:rFonts w:eastAsiaTheme="minorEastAsia"/>
          <w:b w:val="0"/>
          <w:sz w:val="22"/>
          <w:szCs w:val="22"/>
          <w:lang w:val="en-US"/>
        </w:rPr>
      </w:pPr>
      <w:hyperlink w:history="1" w:anchor="_Toc172192940">
        <w:r w:rsidRPr="00D847D8" w:rsidR="00815AF5">
          <w:rPr>
            <w:rStyle w:val="Hyperlink"/>
            <w:sz w:val="22"/>
            <w:szCs w:val="22"/>
            <w:lang w:val="nl-BE"/>
          </w:rPr>
          <w:t>7.</w:t>
        </w:r>
        <w:r w:rsidRPr="00D847D8" w:rsidR="00815AF5">
          <w:rPr>
            <w:rFonts w:eastAsiaTheme="minorEastAsia"/>
            <w:b w:val="0"/>
            <w:sz w:val="22"/>
            <w:szCs w:val="22"/>
            <w:lang w:val="en-US"/>
          </w:rPr>
          <w:tab/>
        </w:r>
        <w:r w:rsidRPr="00D847D8" w:rsidR="00815AF5">
          <w:rPr>
            <w:rStyle w:val="Hyperlink"/>
            <w:sz w:val="22"/>
            <w:szCs w:val="22"/>
          </w:rPr>
          <w:t>DOPRAVA, ENERGETIKA, INFRASTRUKTURA A INFORMAČNÍ SPOLEČNOST</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_Toc172192940 \h </w:instrText>
        </w:r>
        <w:r w:rsidRPr="00D847D8" w:rsidR="00815AF5">
          <w:rPr>
            <w:webHidden/>
            <w:sz w:val="22"/>
            <w:szCs w:val="22"/>
          </w:rPr>
        </w:r>
        <w:r w:rsidRPr="00D847D8" w:rsidR="00815AF5">
          <w:rPr>
            <w:webHidden/>
            <w:sz w:val="22"/>
            <w:szCs w:val="22"/>
          </w:rPr>
          <w:fldChar w:fldCharType="separate"/>
        </w:r>
        <w:r w:rsidR="00D847D8">
          <w:rPr>
            <w:webHidden/>
            <w:sz w:val="22"/>
            <w:szCs w:val="22"/>
          </w:rPr>
          <w:t>16</w:t>
        </w:r>
        <w:r w:rsidRPr="00D847D8" w:rsidR="00815AF5">
          <w:rPr>
            <w:webHidden/>
            <w:sz w:val="22"/>
            <w:szCs w:val="22"/>
          </w:rPr>
          <w:fldChar w:fldCharType="end"/>
        </w:r>
      </w:hyperlink>
    </w:p>
    <w:p w:rsidRPr="00D847D8" w:rsidR="00815AF5" w:rsidP="002B61B2" w:rsidRDefault="000029F8" w14:paraId="617C9FE2" w14:textId="15601983">
      <w:pPr>
        <w:pStyle w:val="TOC1"/>
        <w:rPr>
          <w:rFonts w:eastAsiaTheme="minorEastAsia"/>
          <w:b w:val="0"/>
          <w:sz w:val="22"/>
          <w:szCs w:val="22"/>
          <w:lang w:val="en-US"/>
        </w:rPr>
      </w:pPr>
      <w:hyperlink w:history="1" w:anchor="_Toc172192941">
        <w:r w:rsidRPr="00D847D8" w:rsidR="00815AF5">
          <w:rPr>
            <w:rStyle w:val="Hyperlink"/>
            <w:sz w:val="22"/>
            <w:szCs w:val="22"/>
          </w:rPr>
          <w:t>8.</w:t>
        </w:r>
        <w:r w:rsidRPr="00D847D8" w:rsidR="00815AF5">
          <w:rPr>
            <w:rFonts w:eastAsiaTheme="minorEastAsia"/>
            <w:b w:val="0"/>
            <w:sz w:val="22"/>
            <w:szCs w:val="22"/>
            <w:lang w:val="en-US"/>
          </w:rPr>
          <w:tab/>
        </w:r>
        <w:r w:rsidRPr="00D847D8" w:rsidR="00815AF5">
          <w:rPr>
            <w:rStyle w:val="Hyperlink"/>
            <w:sz w:val="22"/>
            <w:szCs w:val="22"/>
          </w:rPr>
          <w:t>PORADNÍ KOMISE PRO PRŮMYSLOVÉ ZMĚNY</w:t>
        </w:r>
        <w:r w:rsidRPr="00D847D8" w:rsidR="00815AF5">
          <w:rPr>
            <w:webHidden/>
            <w:sz w:val="22"/>
            <w:szCs w:val="22"/>
          </w:rPr>
          <w:tab/>
        </w:r>
        <w:r w:rsidRPr="00D847D8" w:rsidR="00815AF5">
          <w:rPr>
            <w:webHidden/>
            <w:sz w:val="22"/>
            <w:szCs w:val="22"/>
          </w:rPr>
          <w:fldChar w:fldCharType="begin"/>
        </w:r>
        <w:r w:rsidRPr="00D847D8" w:rsidR="00815AF5">
          <w:rPr>
            <w:webHidden/>
            <w:sz w:val="22"/>
            <w:szCs w:val="22"/>
          </w:rPr>
          <w:instrText xml:space="preserve"> PAGEREF _Toc172192941 \h </w:instrText>
        </w:r>
        <w:r w:rsidRPr="00D847D8" w:rsidR="00815AF5">
          <w:rPr>
            <w:webHidden/>
            <w:sz w:val="22"/>
            <w:szCs w:val="22"/>
          </w:rPr>
        </w:r>
        <w:r w:rsidRPr="00D847D8" w:rsidR="00815AF5">
          <w:rPr>
            <w:webHidden/>
            <w:sz w:val="22"/>
            <w:szCs w:val="22"/>
          </w:rPr>
          <w:fldChar w:fldCharType="separate"/>
        </w:r>
        <w:r w:rsidR="00D847D8">
          <w:rPr>
            <w:webHidden/>
            <w:sz w:val="22"/>
            <w:szCs w:val="22"/>
          </w:rPr>
          <w:t>17</w:t>
        </w:r>
        <w:r w:rsidRPr="00D847D8" w:rsidR="00815AF5">
          <w:rPr>
            <w:webHidden/>
            <w:sz w:val="22"/>
            <w:szCs w:val="22"/>
          </w:rPr>
          <w:fldChar w:fldCharType="end"/>
        </w:r>
      </w:hyperlink>
    </w:p>
    <w:p w:rsidRPr="009B269F" w:rsidR="00DB6EA4" w:rsidP="009B269F" w:rsidRDefault="00815AF5" w14:paraId="73754E4B" w14:textId="050E9DF0">
      <w:pPr>
        <w:jc w:val="left"/>
      </w:pPr>
      <w:r w:rsidRPr="009B269F">
        <w:rPr>
          <w:b/>
          <w:noProof/>
          <w:sz w:val="20"/>
          <w:szCs w:val="20"/>
          <w14:scene3d>
            <w14:camera w14:prst="orthographicFront"/>
            <w14:lightRig w14:rig="threePt" w14:dir="t">
              <w14:rot w14:lat="0" w14:lon="0" w14:rev="0"/>
            </w14:lightRig>
          </w14:scene3d>
        </w:rPr>
        <w:fldChar w:fldCharType="end"/>
      </w:r>
    </w:p>
    <w:p w:rsidRPr="009B269F" w:rsidR="00DB6EA4" w:rsidP="009B269F" w:rsidRDefault="00DB6EA4" w14:paraId="7E62C344" w14:textId="77777777">
      <w:pPr>
        <w:jc w:val="left"/>
      </w:pPr>
    </w:p>
    <w:p w:rsidRPr="009B269F" w:rsidR="00DB6EA4" w:rsidP="009B269F" w:rsidRDefault="00DB6EA4" w14:paraId="02E58792" w14:textId="77777777">
      <w:pPr>
        <w:jc w:val="left"/>
      </w:pPr>
    </w:p>
    <w:p w:rsidRPr="009B269F" w:rsidR="00C86ABD" w:rsidP="009B269F" w:rsidRDefault="0014322B" w14:paraId="4EDE006A" w14:textId="2DE9F194">
      <w:pPr>
        <w:jc w:val="left"/>
      </w:pPr>
      <w:r w:rsidRPr="009B269F">
        <w:br w:type="page"/>
      </w:r>
    </w:p>
    <w:p w:rsidRPr="009B269F" w:rsidR="00DB6EA4" w:rsidP="007473B9" w:rsidRDefault="000F7CD9" w14:paraId="16848536" w14:textId="13FFCE39">
      <w:pPr>
        <w:pStyle w:val="Heading1"/>
        <w:keepNext/>
        <w:keepLines/>
        <w:tabs>
          <w:tab w:val="clear" w:pos="440"/>
        </w:tabs>
        <w:spacing w:before="0"/>
        <w:ind w:left="567" w:hanging="567"/>
        <w:rPr>
          <w:b/>
          <w:bCs/>
          <w:i/>
          <w:sz w:val="28"/>
        </w:rPr>
      </w:pPr>
      <w:bookmarkStart w:name="_Toc171941584" w:id="0"/>
      <w:bookmarkStart w:name="_Toc172192738" w:id="1"/>
      <w:bookmarkStart w:name="_Toc172192934" w:id="2"/>
      <w:r w:rsidRPr="009B269F">
        <w:rPr>
          <w:b/>
          <w:bCs/>
        </w:rPr>
        <w:lastRenderedPageBreak/>
        <w:t>USNESENÍ</w:t>
      </w:r>
      <w:bookmarkEnd w:id="0"/>
      <w:bookmarkEnd w:id="1"/>
      <w:bookmarkEnd w:id="2"/>
    </w:p>
    <w:p w:rsidRPr="008B421D" w:rsidR="00DB6EA4" w:rsidP="009B269F" w:rsidRDefault="00DB6EA4" w14:paraId="4A47D07F" w14:textId="77777777">
      <w:pPr>
        <w:ind w:left="360"/>
        <w:rPr>
          <w:bCs/>
          <w:iCs/>
        </w:rPr>
      </w:pPr>
    </w:p>
    <w:p w:rsidRPr="009B269F" w:rsidR="0032234B" w:rsidP="009B269F" w:rsidRDefault="000029F8" w14:paraId="4547E50B" w14:textId="2B05F84E">
      <w:pPr>
        <w:pStyle w:val="ListParagraph"/>
        <w:numPr>
          <w:ilvl w:val="0"/>
          <w:numId w:val="20"/>
        </w:numPr>
        <w:ind w:left="567" w:hanging="567"/>
        <w:rPr>
          <w:b/>
          <w:bCs/>
          <w:i/>
          <w:iCs/>
          <w:sz w:val="28"/>
          <w:szCs w:val="28"/>
        </w:rPr>
      </w:pPr>
      <w:hyperlink w:history="1" r:id="rId21">
        <w:r w:rsidRPr="009B269F" w:rsidR="0032234B">
          <w:rPr>
            <w:rStyle w:val="Hyperlink"/>
            <w:b/>
            <w:i/>
            <w:sz w:val="28"/>
          </w:rPr>
          <w:t>Nikdo by neměl být opomenut!</w:t>
        </w:r>
      </w:hyperlink>
      <w:hyperlink w:history="1" r:id="rId22">
        <w:r w:rsidRPr="009B269F" w:rsidR="0032234B">
          <w:rPr>
            <w:rStyle w:val="Hyperlink"/>
            <w:b/>
            <w:i/>
            <w:sz w:val="28"/>
          </w:rPr>
          <w:t xml:space="preserve"> Za inkluzivní a participativní politiku soudržnosti na podporu sociální, hospodářské a územní soudržnosti</w:t>
        </w:r>
      </w:hyperlink>
    </w:p>
    <w:p w:rsidRPr="009B269F" w:rsidR="0032234B" w:rsidP="009B269F" w:rsidRDefault="0032234B" w14:paraId="722AA8AA" w14:textId="77777777">
      <w:pPr>
        <w:rPr>
          <w:bCs/>
          <w:iCs/>
        </w:rPr>
      </w:pPr>
    </w:p>
    <w:tbl>
      <w:tblPr>
        <w:tblStyle w:val="TableGrid"/>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9B269F" w:rsidR="0032234B" w:rsidTr="008C66FD" w14:paraId="4C10998C" w14:textId="77777777">
        <w:tc>
          <w:tcPr>
            <w:tcW w:w="1143" w:type="pct"/>
          </w:tcPr>
          <w:p w:rsidRPr="009B269F" w:rsidR="0032234B" w:rsidP="009B269F" w:rsidRDefault="0032234B" w14:paraId="69958182" w14:textId="77777777">
            <w:pPr>
              <w:tabs>
                <w:tab w:val="center" w:pos="284"/>
              </w:tabs>
              <w:ind w:left="266" w:hanging="266"/>
              <w:rPr>
                <w:b/>
              </w:rPr>
            </w:pPr>
            <w:r w:rsidRPr="009B269F">
              <w:rPr>
                <w:b/>
              </w:rPr>
              <w:t>Zpravodaj</w:t>
            </w:r>
          </w:p>
        </w:tc>
        <w:tc>
          <w:tcPr>
            <w:tcW w:w="3857" w:type="pct"/>
          </w:tcPr>
          <w:p w:rsidRPr="009B269F" w:rsidR="0032234B" w:rsidP="009B269F" w:rsidRDefault="0032234B" w14:paraId="27964CE4" w14:textId="77777777">
            <w:r w:rsidRPr="009B269F">
              <w:t>Ioannis VARDAKASTANIS (Organizace občanské společnosti – EL)</w:t>
            </w:r>
          </w:p>
        </w:tc>
      </w:tr>
      <w:tr w:rsidRPr="009B269F" w:rsidR="0032234B" w:rsidTr="008C66FD" w14:paraId="1FF4A686" w14:textId="77777777">
        <w:tc>
          <w:tcPr>
            <w:tcW w:w="5000" w:type="pct"/>
            <w:gridSpan w:val="2"/>
          </w:tcPr>
          <w:p w:rsidRPr="008B421D" w:rsidR="0032234B" w:rsidP="009B269F" w:rsidRDefault="0032234B" w14:paraId="33DF7E14" w14:textId="77777777">
            <w:pPr>
              <w:tabs>
                <w:tab w:val="center" w:pos="284"/>
              </w:tabs>
              <w:ind w:left="266" w:hanging="266"/>
              <w:rPr>
                <w:lang w:val="en-US"/>
              </w:rPr>
            </w:pPr>
          </w:p>
        </w:tc>
      </w:tr>
      <w:tr w:rsidRPr="009B269F" w:rsidR="0032234B" w:rsidTr="008C66FD" w14:paraId="40057334" w14:textId="77777777">
        <w:tc>
          <w:tcPr>
            <w:tcW w:w="1143" w:type="pct"/>
          </w:tcPr>
          <w:p w:rsidRPr="009B269F" w:rsidR="0032234B" w:rsidP="009B269F" w:rsidRDefault="0032234B" w14:paraId="07A533AE" w14:textId="77777777">
            <w:pPr>
              <w:tabs>
                <w:tab w:val="center" w:pos="284"/>
              </w:tabs>
              <w:ind w:left="266" w:hanging="266"/>
              <w:rPr>
                <w:b/>
              </w:rPr>
            </w:pPr>
            <w:r w:rsidRPr="009B269F">
              <w:rPr>
                <w:b/>
              </w:rPr>
              <w:t>Odkazy</w:t>
            </w:r>
          </w:p>
        </w:tc>
        <w:tc>
          <w:tcPr>
            <w:tcW w:w="3857" w:type="pct"/>
          </w:tcPr>
          <w:p w:rsidRPr="009B269F" w:rsidR="00BD0A41" w:rsidP="00BD0A41" w:rsidRDefault="0032234B" w14:paraId="67BC5B3F" w14:textId="71D97EB9">
            <w:pPr>
              <w:tabs>
                <w:tab w:val="center" w:pos="284"/>
              </w:tabs>
              <w:ind w:left="266" w:hanging="266"/>
            </w:pPr>
            <w:r w:rsidRPr="009B269F">
              <w:t>EESC-2024-02528-00-00-RES</w:t>
            </w:r>
          </w:p>
        </w:tc>
      </w:tr>
    </w:tbl>
    <w:p w:rsidRPr="009B269F" w:rsidR="0032234B" w:rsidP="009B269F" w:rsidRDefault="0032234B" w14:paraId="2C215A46" w14:textId="77777777">
      <w:pPr>
        <w:rPr>
          <w:b/>
          <w:iCs/>
        </w:rPr>
      </w:pPr>
    </w:p>
    <w:p w:rsidRPr="009B269F" w:rsidR="0032234B" w:rsidP="009B269F" w:rsidRDefault="0032234B" w14:paraId="1690F4BE" w14:textId="73547500">
      <w:r w:rsidRPr="009B269F">
        <w:t>EHSV:</w:t>
      </w:r>
    </w:p>
    <w:p w:rsidRPr="009B269F" w:rsidR="009066BB" w:rsidP="009B269F" w:rsidRDefault="009066BB" w14:paraId="0A198673" w14:textId="77777777">
      <w:pPr>
        <w:rPr>
          <w:bCs/>
          <w:iCs/>
        </w:rPr>
      </w:pPr>
    </w:p>
    <w:p w:rsidRPr="009B269F" w:rsidR="0032234B" w:rsidP="009B269F" w:rsidRDefault="0032234B" w14:paraId="5209D12C" w14:textId="77777777">
      <w:pPr>
        <w:pStyle w:val="ListParagraph"/>
        <w:numPr>
          <w:ilvl w:val="0"/>
          <w:numId w:val="21"/>
        </w:numPr>
        <w:ind w:left="567" w:hanging="567"/>
        <w:rPr>
          <w:bCs/>
        </w:rPr>
      </w:pPr>
      <w:r w:rsidRPr="009B269F">
        <w:t>vyzývá členské státy Evropské unie a její vedoucí představitele, evropské orgány a občany EU, aby zaručili a chránili hospodářskou, sociální a územní soudržnost EU v souladu s článkem 174 SFEU;</w:t>
      </w:r>
    </w:p>
    <w:p w:rsidRPr="009B269F" w:rsidR="0032234B" w:rsidP="009B269F" w:rsidRDefault="0032234B" w14:paraId="5DAA6F02" w14:textId="77777777">
      <w:pPr>
        <w:pStyle w:val="ListParagraph"/>
        <w:numPr>
          <w:ilvl w:val="0"/>
          <w:numId w:val="21"/>
        </w:numPr>
        <w:ind w:left="567" w:hanging="567"/>
        <w:rPr>
          <w:bCs/>
        </w:rPr>
      </w:pPr>
      <w:r w:rsidRPr="009B269F">
        <w:t xml:space="preserve">klade mimořádný důraz na to, že základní zásada politiky soudržnosti, podle níž „by nikdo neměl být opomenut“, je i nadále správná a platná a že partneři z řad občanské společnosti jsou připraveni pokračovat v úsilí o její prosazování prostřednictvím silné investiční politiky na úrovni EU; </w:t>
      </w:r>
    </w:p>
    <w:p w:rsidRPr="009B269F" w:rsidR="0032234B" w:rsidP="009B269F" w:rsidRDefault="0032234B" w14:paraId="6E717A63" w14:textId="77777777">
      <w:pPr>
        <w:pStyle w:val="ListParagraph"/>
        <w:numPr>
          <w:ilvl w:val="0"/>
          <w:numId w:val="21"/>
        </w:numPr>
        <w:ind w:left="567" w:hanging="567"/>
        <w:rPr>
          <w:bCs/>
        </w:rPr>
      </w:pPr>
      <w:r w:rsidRPr="009B269F">
        <w:t>zdůrazňuje, že nerovnost příležitostí může mít škodlivý dopad na dlouhodobý růst a konkurenceschopnost na regionální, celostátní a unijní úrovni. Proto je třeba politiku soudržnosti diverzifikovat a učinit ji flexibilnější, ale současně i věrohodnou, stabilní a jasnou, aby bylo možné věnovat více pozornosti lidem, zejména těm nejzranitelnějším, a lépe řešit nerovnost příležitostí, které mnozí čelí;</w:t>
      </w:r>
    </w:p>
    <w:p w:rsidRPr="009B269F" w:rsidR="0032234B" w:rsidP="009B269F" w:rsidRDefault="0032234B" w14:paraId="12711FEE" w14:textId="77777777">
      <w:pPr>
        <w:pStyle w:val="ListParagraph"/>
        <w:numPr>
          <w:ilvl w:val="0"/>
          <w:numId w:val="21"/>
        </w:numPr>
        <w:ind w:left="567" w:hanging="567"/>
        <w:rPr>
          <w:bCs/>
        </w:rPr>
      </w:pPr>
      <w:r w:rsidRPr="009B269F">
        <w:t xml:space="preserve">staví se kriticky ke zrušení role komisaře, jehož hlavní odpovědností je portfolio politiky soudržnosti; </w:t>
      </w:r>
    </w:p>
    <w:p w:rsidRPr="009B269F" w:rsidR="0032234B" w:rsidP="009B269F" w:rsidRDefault="0032234B" w14:paraId="18E29999" w14:textId="77777777">
      <w:pPr>
        <w:pStyle w:val="ListParagraph"/>
        <w:numPr>
          <w:ilvl w:val="0"/>
          <w:numId w:val="21"/>
        </w:numPr>
        <w:ind w:left="567" w:hanging="567"/>
        <w:rPr>
          <w:bCs/>
        </w:rPr>
      </w:pPr>
      <w:r w:rsidRPr="009B269F">
        <w:t>je proti omezení politiky soudržnosti a její transformaci v nástroj pro řešení mimořádných krizových situací;</w:t>
      </w:r>
    </w:p>
    <w:p w:rsidRPr="009B269F" w:rsidR="0032234B" w:rsidP="009B269F" w:rsidRDefault="0032234B" w14:paraId="482B3588" w14:textId="77777777">
      <w:pPr>
        <w:pStyle w:val="ListParagraph"/>
        <w:numPr>
          <w:ilvl w:val="0"/>
          <w:numId w:val="21"/>
        </w:numPr>
        <w:ind w:left="567" w:hanging="567"/>
        <w:rPr>
          <w:bCs/>
        </w:rPr>
      </w:pPr>
      <w:r w:rsidRPr="009B269F">
        <w:t xml:space="preserve">odmítá myšlenku, že by politika soudržnosti měla být přeměněna v nástroj podobný Nástroji pro oživení a odolnost (RRF), v němž bude jen omezený, nebo dokonce žádný prostor pro strukturální zapojení zúčastněných stran, sdílené řízení a víceúrovňovou správu; </w:t>
      </w:r>
    </w:p>
    <w:p w:rsidRPr="009B269F" w:rsidR="0032234B" w:rsidP="009B269F" w:rsidRDefault="0032234B" w14:paraId="3CB19007" w14:textId="77777777">
      <w:pPr>
        <w:pStyle w:val="ListParagraph"/>
        <w:numPr>
          <w:ilvl w:val="0"/>
          <w:numId w:val="21"/>
        </w:numPr>
        <w:ind w:left="567" w:hanging="567"/>
        <w:rPr>
          <w:bCs/>
        </w:rPr>
      </w:pPr>
      <w:r w:rsidRPr="009B269F">
        <w:t>je pro zásadu partnerství a jasná pravidla pro zapojení občanské společnosti do výběru, řízení a monitorování operací financovaných z prostředků EU;</w:t>
      </w:r>
    </w:p>
    <w:p w:rsidRPr="009B269F" w:rsidR="0032234B" w:rsidP="009B269F" w:rsidRDefault="0032234B" w14:paraId="02EF2C6C" w14:textId="77777777">
      <w:pPr>
        <w:pStyle w:val="ListParagraph"/>
        <w:numPr>
          <w:ilvl w:val="0"/>
          <w:numId w:val="21"/>
        </w:numPr>
        <w:ind w:left="567" w:hanging="567"/>
        <w:rPr>
          <w:bCs/>
        </w:rPr>
      </w:pPr>
      <w:r w:rsidRPr="009B269F">
        <w:t>požaduje důraznou formulaci, pokud jde o zapojení občanské společnosti do příštího nařízení o společných ustanoveních, které bude upravovat využívání Fondu soudržnosti i dalších finančních prostředků EU po roce 2027, stejně jako tomu bylo v období 2021–2027;</w:t>
      </w:r>
    </w:p>
    <w:p w:rsidRPr="009B269F" w:rsidR="0032234B" w:rsidP="009B269F" w:rsidRDefault="0032234B" w14:paraId="2C87D07A" w14:textId="77777777">
      <w:pPr>
        <w:pStyle w:val="ListParagraph"/>
        <w:numPr>
          <w:ilvl w:val="0"/>
          <w:numId w:val="21"/>
        </w:numPr>
        <w:ind w:left="567" w:hanging="567"/>
        <w:rPr>
          <w:bCs/>
        </w:rPr>
      </w:pPr>
      <w:r w:rsidRPr="009B269F">
        <w:t>požaduje politiku soudržnosti, která bude vycházet z místních podmínek a jejímž středobodem budou lidé;</w:t>
      </w:r>
    </w:p>
    <w:p w:rsidRPr="009B269F" w:rsidR="0032234B" w:rsidP="009B269F" w:rsidRDefault="0032234B" w14:paraId="7155965C" w14:textId="77777777">
      <w:pPr>
        <w:pStyle w:val="ListParagraph"/>
        <w:numPr>
          <w:ilvl w:val="0"/>
          <w:numId w:val="21"/>
        </w:numPr>
        <w:ind w:left="567" w:hanging="567"/>
        <w:rPr>
          <w:bCs/>
        </w:rPr>
      </w:pPr>
      <w:r w:rsidRPr="009B269F">
        <w:t>požaduje, aby byl politice soudržnosti dodán nový impuls. Domnívá se, že by měla být rozšířena, zmodernizována nebo zrevidována paleta nástrojů a přístupů s cílem vytvořit silnou, účinnou, flexibilní a obnovenou politiku soudržnosti, jež se bude více zaměřovat na kapacitu, meziregionální vazby, efektivitu výsledků a příležitosti pro příjemce, nad rámec pouhých investic;</w:t>
      </w:r>
    </w:p>
    <w:p w:rsidRPr="009B269F" w:rsidR="0032234B" w:rsidP="009B269F" w:rsidRDefault="0032234B" w14:paraId="7B76478C" w14:textId="77777777">
      <w:pPr>
        <w:pStyle w:val="ListParagraph"/>
        <w:numPr>
          <w:ilvl w:val="0"/>
          <w:numId w:val="21"/>
        </w:numPr>
        <w:ind w:left="567" w:hanging="567"/>
        <w:rPr>
          <w:bCs/>
        </w:rPr>
      </w:pPr>
      <w:r w:rsidRPr="009B269F">
        <w:t>učiní vše, co je v jeho silách, aby ochránil hlavní zásady politiky soudržnosti a zajistil, že tato politika bude i nadále pojivem, které drží Evropu pohromadě.</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269F" w:rsidR="00D110D7" w:rsidTr="00C26FF6" w14:paraId="0995052E" w14:textId="77777777">
        <w:tc>
          <w:tcPr>
            <w:tcW w:w="1418" w:type="dxa"/>
          </w:tcPr>
          <w:p w:rsidRPr="009B269F" w:rsidR="00D110D7" w:rsidP="00D110D7" w:rsidRDefault="00D110D7" w14:paraId="713F9DA3" w14:textId="30C9E556">
            <w:pPr>
              <w:keepNext/>
              <w:keepLines/>
              <w:rPr>
                <w:b/>
                <w:i/>
              </w:rPr>
            </w:pPr>
            <w:r>
              <w:rPr>
                <w:b/>
                <w:i/>
              </w:rPr>
              <w:lastRenderedPageBreak/>
              <w:t>Kontakt:</w:t>
            </w:r>
          </w:p>
        </w:tc>
        <w:tc>
          <w:tcPr>
            <w:tcW w:w="5670" w:type="dxa"/>
          </w:tcPr>
          <w:p w:rsidRPr="009B269F" w:rsidR="00D110D7" w:rsidP="00D110D7" w:rsidRDefault="00D110D7" w14:paraId="3AB33F6D" w14:textId="540CFF9A">
            <w:pPr>
              <w:keepNext/>
              <w:keepLines/>
              <w:rPr>
                <w:i/>
              </w:rPr>
            </w:pPr>
            <w:r w:rsidRPr="009B269F">
              <w:rPr>
                <w:i/>
              </w:rPr>
              <w:t xml:space="preserve">Georgios </w:t>
            </w:r>
            <w:r w:rsidRPr="009B269F" w:rsidR="009F3680">
              <w:rPr>
                <w:i/>
              </w:rPr>
              <w:t>MELEAS</w:t>
            </w:r>
          </w:p>
        </w:tc>
      </w:tr>
      <w:tr w:rsidRPr="009B269F" w:rsidR="00D110D7" w:rsidTr="00C26FF6" w14:paraId="270AA3E6" w14:textId="77777777">
        <w:tc>
          <w:tcPr>
            <w:tcW w:w="1418" w:type="dxa"/>
          </w:tcPr>
          <w:p w:rsidRPr="009B269F" w:rsidR="00D110D7" w:rsidP="00D110D7" w:rsidRDefault="00D110D7" w14:paraId="0934EA6A" w14:textId="4C6FED42">
            <w:pPr>
              <w:keepNext/>
              <w:keepLines/>
              <w:jc w:val="right"/>
              <w:rPr>
                <w:i/>
              </w:rPr>
            </w:pPr>
            <w:r>
              <w:rPr>
                <w:i/>
              </w:rPr>
              <w:t>Tel.:</w:t>
            </w:r>
          </w:p>
        </w:tc>
        <w:tc>
          <w:tcPr>
            <w:tcW w:w="5670" w:type="dxa"/>
          </w:tcPr>
          <w:p w:rsidRPr="009B269F" w:rsidR="00D110D7" w:rsidP="00D110D7" w:rsidRDefault="00D110D7" w14:paraId="1D5D802B" w14:textId="77777777">
            <w:pPr>
              <w:keepNext/>
              <w:keepLines/>
              <w:rPr>
                <w:i/>
              </w:rPr>
            </w:pPr>
            <w:r w:rsidRPr="009B269F">
              <w:rPr>
                <w:i/>
              </w:rPr>
              <w:t>+32 25469795</w:t>
            </w:r>
          </w:p>
        </w:tc>
      </w:tr>
      <w:tr w:rsidRPr="009B269F" w:rsidR="00D110D7" w:rsidTr="00C26FF6" w14:paraId="7533F9D7" w14:textId="77777777">
        <w:tc>
          <w:tcPr>
            <w:tcW w:w="1418" w:type="dxa"/>
          </w:tcPr>
          <w:p w:rsidRPr="009B269F" w:rsidR="00D110D7" w:rsidP="00D110D7" w:rsidRDefault="00D110D7" w14:paraId="14650BB2" w14:textId="7CEDCEB8">
            <w:pPr>
              <w:keepNext/>
              <w:keepLines/>
              <w:jc w:val="right"/>
              <w:rPr>
                <w:i/>
              </w:rPr>
            </w:pPr>
            <w:r>
              <w:rPr>
                <w:i/>
              </w:rPr>
              <w:t>E-mail:</w:t>
            </w:r>
          </w:p>
        </w:tc>
        <w:tc>
          <w:tcPr>
            <w:tcW w:w="5670" w:type="dxa"/>
          </w:tcPr>
          <w:p w:rsidRPr="009B269F" w:rsidR="00D110D7" w:rsidP="00D110D7" w:rsidRDefault="000029F8" w14:paraId="1F540441" w14:textId="77777777">
            <w:pPr>
              <w:keepNext/>
              <w:keepLines/>
              <w:rPr>
                <w:i/>
              </w:rPr>
            </w:pPr>
            <w:hyperlink w:history="1" r:id="rId23">
              <w:r w:rsidRPr="009B269F" w:rsidR="00D110D7">
                <w:rPr>
                  <w:rStyle w:val="Hyperlink"/>
                  <w:i/>
                </w:rPr>
                <w:t>Georgios.Meleas@eesc.europa.eu</w:t>
              </w:r>
            </w:hyperlink>
            <w:r w:rsidRPr="009B269F" w:rsidR="00D110D7">
              <w:rPr>
                <w:i/>
              </w:rPr>
              <w:t xml:space="preserve"> </w:t>
            </w:r>
          </w:p>
        </w:tc>
      </w:tr>
    </w:tbl>
    <w:p w:rsidRPr="009B269F" w:rsidR="000F7CD9" w:rsidP="009B269F" w:rsidRDefault="000F7CD9" w14:paraId="4BB23304" w14:textId="0E5BFBDE">
      <w:pPr>
        <w:overflowPunct w:val="0"/>
        <w:autoSpaceDE w:val="0"/>
        <w:autoSpaceDN w:val="0"/>
        <w:adjustRightInd w:val="0"/>
        <w:jc w:val="center"/>
        <w:textAlignment w:val="baseline"/>
      </w:pPr>
    </w:p>
    <w:p w:rsidRPr="009B269F" w:rsidR="000F7CD9" w:rsidP="009B269F" w:rsidRDefault="000F7CD9" w14:paraId="79DA3E33" w14:textId="44912077">
      <w:pPr>
        <w:jc w:val="left"/>
      </w:pPr>
      <w:r w:rsidRPr="009B269F">
        <w:br w:type="page"/>
      </w:r>
    </w:p>
    <w:p w:rsidRPr="009B269F" w:rsidR="000F7CD9" w:rsidP="009B269F" w:rsidRDefault="000F7CD9" w14:paraId="47C3B8AE" w14:textId="5FC19872">
      <w:pPr>
        <w:pStyle w:val="Heading1"/>
        <w:tabs>
          <w:tab w:val="clear" w:pos="440"/>
        </w:tabs>
        <w:spacing w:before="0"/>
        <w:ind w:left="567" w:hanging="567"/>
        <w:rPr>
          <w:b/>
          <w:bCs/>
        </w:rPr>
      </w:pPr>
      <w:bookmarkStart w:name="_Toc171941585" w:id="3"/>
      <w:bookmarkStart w:name="_Toc172192739" w:id="4"/>
      <w:bookmarkStart w:name="_Toc172192935" w:id="5"/>
      <w:r w:rsidRPr="009B269F">
        <w:rPr>
          <w:b/>
          <w:bCs/>
        </w:rPr>
        <w:lastRenderedPageBreak/>
        <w:t>HOSPODÁŘSKÁ A MĚNOVÁ UNIE, HOSPODÁŘSKÁ A SOCIÁLNÍ SOUDRŽNOST</w:t>
      </w:r>
      <w:bookmarkEnd w:id="3"/>
      <w:bookmarkEnd w:id="4"/>
      <w:bookmarkEnd w:id="5"/>
    </w:p>
    <w:p w:rsidRPr="009B269F" w:rsidR="000F7CD9" w:rsidP="009B269F" w:rsidRDefault="000F7CD9" w14:paraId="210249A6" w14:textId="77777777">
      <w:pPr>
        <w:overflowPunct w:val="0"/>
        <w:autoSpaceDE w:val="0"/>
        <w:autoSpaceDN w:val="0"/>
        <w:adjustRightInd w:val="0"/>
        <w:jc w:val="center"/>
        <w:textAlignment w:val="baseline"/>
      </w:pPr>
    </w:p>
    <w:p w:rsidRPr="009B269F" w:rsidR="0032234B" w:rsidP="009B269F" w:rsidRDefault="000029F8" w14:paraId="3181F5F1" w14:textId="76384225">
      <w:pPr>
        <w:widowControl w:val="0"/>
        <w:numPr>
          <w:ilvl w:val="0"/>
          <w:numId w:val="2"/>
        </w:numPr>
        <w:overflowPunct w:val="0"/>
        <w:autoSpaceDE w:val="0"/>
        <w:autoSpaceDN w:val="0"/>
        <w:adjustRightInd w:val="0"/>
        <w:ind w:hanging="567"/>
        <w:textAlignment w:val="baseline"/>
        <w:rPr>
          <w:sz w:val="20"/>
        </w:rPr>
      </w:pPr>
      <w:hyperlink w:history="1" r:id="rId24">
        <w:r w:rsidRPr="009B269F" w:rsidR="0032234B">
          <w:rPr>
            <w:rStyle w:val="Hyperlink"/>
            <w:b/>
            <w:i/>
            <w:sz w:val="28"/>
          </w:rPr>
          <w:t>Daňový rámec pro subjekty sociální ekonomiky</w:t>
        </w:r>
      </w:hyperlink>
    </w:p>
    <w:p w:rsidRPr="009B269F" w:rsidR="0032234B" w:rsidP="009B269F" w:rsidRDefault="0032234B" w14:paraId="61C4F7F0" w14:textId="77777777">
      <w:pPr>
        <w:tabs>
          <w:tab w:val="center" w:pos="284"/>
        </w:tabs>
        <w:ind w:left="266" w:hanging="266"/>
        <w:rPr>
          <w:b/>
        </w:rPr>
      </w:pPr>
    </w:p>
    <w:tbl>
      <w:tblPr>
        <w:tblStyle w:val="TableGrid"/>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9B269F" w:rsidR="0032234B" w:rsidTr="008C66FD" w14:paraId="77B65455" w14:textId="77777777">
        <w:tc>
          <w:tcPr>
            <w:tcW w:w="1167" w:type="pct"/>
          </w:tcPr>
          <w:p w:rsidRPr="009B269F" w:rsidR="0032234B" w:rsidP="009B269F" w:rsidRDefault="0032234B" w14:paraId="5C68A6C6" w14:textId="77777777">
            <w:pPr>
              <w:tabs>
                <w:tab w:val="center" w:pos="284"/>
              </w:tabs>
              <w:ind w:left="266" w:hanging="266"/>
              <w:rPr>
                <w:b/>
              </w:rPr>
            </w:pPr>
            <w:r w:rsidRPr="009B269F">
              <w:rPr>
                <w:b/>
              </w:rPr>
              <w:t>Zpravodaj</w:t>
            </w:r>
          </w:p>
        </w:tc>
        <w:tc>
          <w:tcPr>
            <w:tcW w:w="3833" w:type="pct"/>
          </w:tcPr>
          <w:p w:rsidRPr="009B269F" w:rsidR="0032234B" w:rsidP="009B269F" w:rsidRDefault="0032234B" w14:paraId="35D2EC0C" w14:textId="77777777">
            <w:pPr>
              <w:tabs>
                <w:tab w:val="center" w:pos="284"/>
              </w:tabs>
              <w:ind w:left="266" w:hanging="266"/>
            </w:pPr>
            <w:r w:rsidRPr="009B269F">
              <w:t>Giuseppe GUERINI (skupina Organizace občanské společnosti – IT)</w:t>
            </w:r>
          </w:p>
        </w:tc>
      </w:tr>
      <w:tr w:rsidRPr="009B269F" w:rsidR="0032234B" w:rsidTr="008C66FD" w14:paraId="0CB1C839" w14:textId="77777777">
        <w:tc>
          <w:tcPr>
            <w:tcW w:w="5000" w:type="pct"/>
            <w:gridSpan w:val="2"/>
          </w:tcPr>
          <w:p w:rsidRPr="009B269F" w:rsidR="0032234B" w:rsidP="009B269F" w:rsidRDefault="0032234B" w14:paraId="28CE4820" w14:textId="77777777">
            <w:pPr>
              <w:tabs>
                <w:tab w:val="center" w:pos="284"/>
              </w:tabs>
              <w:ind w:left="266" w:hanging="266"/>
              <w:rPr>
                <w:lang w:val="en-US"/>
              </w:rPr>
            </w:pPr>
          </w:p>
        </w:tc>
      </w:tr>
      <w:tr w:rsidRPr="009B269F" w:rsidR="0032234B" w:rsidTr="008C66FD" w14:paraId="046248BC" w14:textId="77777777">
        <w:tc>
          <w:tcPr>
            <w:tcW w:w="1167" w:type="pct"/>
          </w:tcPr>
          <w:p w:rsidRPr="009B269F" w:rsidR="0032234B" w:rsidP="009B269F" w:rsidRDefault="0032234B" w14:paraId="1B5AE8F5" w14:textId="77777777">
            <w:pPr>
              <w:tabs>
                <w:tab w:val="center" w:pos="284"/>
              </w:tabs>
              <w:ind w:left="266" w:hanging="266"/>
              <w:rPr>
                <w:b/>
              </w:rPr>
            </w:pPr>
            <w:r w:rsidRPr="009B269F">
              <w:rPr>
                <w:b/>
              </w:rPr>
              <w:t>Odkaz</w:t>
            </w:r>
          </w:p>
        </w:tc>
        <w:tc>
          <w:tcPr>
            <w:tcW w:w="3833" w:type="pct"/>
          </w:tcPr>
          <w:p w:rsidR="000669F4" w:rsidP="009B269F" w:rsidRDefault="000669F4" w14:paraId="1A239C00" w14:textId="01709D39">
            <w:pPr>
              <w:tabs>
                <w:tab w:val="center" w:pos="284"/>
              </w:tabs>
              <w:ind w:left="266" w:hanging="266"/>
            </w:pPr>
            <w:r>
              <w:t>stanovisko z vlastní iniciativy</w:t>
            </w:r>
          </w:p>
          <w:p w:rsidRPr="009B269F" w:rsidR="0032234B" w:rsidP="009B269F" w:rsidRDefault="0032234B" w14:paraId="09A7C5F7" w14:textId="0BF3918E">
            <w:pPr>
              <w:tabs>
                <w:tab w:val="center" w:pos="284"/>
              </w:tabs>
              <w:ind w:left="266" w:hanging="266"/>
            </w:pPr>
            <w:r w:rsidRPr="009B269F">
              <w:t>EESC-2024-00699-00-00-AC</w:t>
            </w:r>
          </w:p>
        </w:tc>
      </w:tr>
    </w:tbl>
    <w:p w:rsidRPr="009B269F" w:rsidR="0032234B" w:rsidP="009B269F" w:rsidRDefault="0032234B" w14:paraId="498D0A05" w14:textId="77777777">
      <w:pPr>
        <w:tabs>
          <w:tab w:val="center" w:pos="284"/>
        </w:tabs>
        <w:ind w:left="266" w:hanging="266"/>
      </w:pPr>
    </w:p>
    <w:p w:rsidRPr="009B269F" w:rsidR="0032234B" w:rsidP="009B269F" w:rsidRDefault="0032234B" w14:paraId="42C644B9" w14:textId="77777777">
      <w:pPr>
        <w:keepNext/>
        <w:keepLines/>
        <w:tabs>
          <w:tab w:val="center" w:pos="284"/>
        </w:tabs>
        <w:ind w:left="266" w:hanging="266"/>
        <w:rPr>
          <w:b/>
        </w:rPr>
      </w:pPr>
      <w:r w:rsidRPr="009B269F">
        <w:rPr>
          <w:b/>
        </w:rPr>
        <w:t>Hlavní body</w:t>
      </w:r>
    </w:p>
    <w:p w:rsidRPr="009B269F" w:rsidR="0032234B" w:rsidP="009B269F" w:rsidRDefault="0032234B" w14:paraId="4B473E0E" w14:textId="77777777">
      <w:pPr>
        <w:keepNext/>
        <w:keepLines/>
        <w:tabs>
          <w:tab w:val="center" w:pos="284"/>
        </w:tabs>
        <w:ind w:left="266" w:hanging="266"/>
        <w:rPr>
          <w:b/>
        </w:rPr>
      </w:pPr>
    </w:p>
    <w:p w:rsidRPr="009B269F" w:rsidR="0032234B" w:rsidP="009B269F" w:rsidRDefault="0032234B" w14:paraId="0724788E" w14:textId="77777777">
      <w:pPr>
        <w:rPr>
          <w:bCs/>
          <w:iCs/>
        </w:rPr>
      </w:pPr>
      <w:r w:rsidRPr="009B269F">
        <w:t>EHSV:</w:t>
      </w:r>
    </w:p>
    <w:p w:rsidRPr="009B269F" w:rsidR="0032234B" w:rsidP="009B269F" w:rsidRDefault="0032234B" w14:paraId="1D318E6B" w14:textId="77777777">
      <w:pPr>
        <w:rPr>
          <w:bCs/>
          <w:iCs/>
        </w:rPr>
      </w:pPr>
    </w:p>
    <w:p w:rsidRPr="009B269F" w:rsidR="0032234B" w:rsidP="009B269F" w:rsidRDefault="0032234B" w14:paraId="11316681" w14:textId="77777777">
      <w:pPr>
        <w:widowControl w:val="0"/>
        <w:numPr>
          <w:ilvl w:val="0"/>
          <w:numId w:val="8"/>
        </w:numPr>
        <w:overflowPunct w:val="0"/>
        <w:autoSpaceDE w:val="0"/>
        <w:autoSpaceDN w:val="0"/>
        <w:adjustRightInd w:val="0"/>
        <w:ind w:left="567" w:hanging="567"/>
      </w:pPr>
      <w:r w:rsidRPr="009B269F">
        <w:t>zdůrazňuje, že daňové systémy členských států nesmí bránit rozvoji sociální ekonomiky, a vítá skutečnost, že má Evropská komise v úmyslu zveřejnit na pomoc členským státům pokyny týkající se příslušných použitelných rámců pro zdanění subjektů sociální ekonomiky;</w:t>
      </w:r>
    </w:p>
    <w:p w:rsidRPr="009B269F" w:rsidR="0032234B" w:rsidP="009B269F" w:rsidRDefault="0032234B" w14:paraId="2F362F37" w14:textId="77777777">
      <w:pPr>
        <w:widowControl w:val="0"/>
        <w:numPr>
          <w:ilvl w:val="0"/>
          <w:numId w:val="8"/>
        </w:numPr>
        <w:overflowPunct w:val="0"/>
        <w:autoSpaceDE w:val="0"/>
        <w:autoSpaceDN w:val="0"/>
        <w:adjustRightInd w:val="0"/>
        <w:ind w:left="567" w:hanging="567"/>
      </w:pPr>
      <w:r w:rsidRPr="009B269F">
        <w:t>konstatuje, že obeznámení se s přístupy, které uplatňují jednotlivé členské státy, by mohlo být prvním důležitým krokem směrem k propracování a vylepšení celkového rámce pro zdanění subjektů sociální ekonomiky na vnitřním trhu;</w:t>
      </w:r>
    </w:p>
    <w:p w:rsidRPr="009B269F" w:rsidR="0032234B" w:rsidP="009B269F" w:rsidRDefault="0032234B" w14:paraId="4CBE2E57" w14:textId="77777777">
      <w:pPr>
        <w:widowControl w:val="0"/>
        <w:numPr>
          <w:ilvl w:val="0"/>
          <w:numId w:val="8"/>
        </w:numPr>
        <w:overflowPunct w:val="0"/>
        <w:autoSpaceDE w:val="0"/>
        <w:autoSpaceDN w:val="0"/>
        <w:adjustRightInd w:val="0"/>
        <w:ind w:left="567" w:hanging="567"/>
      </w:pPr>
      <w:r w:rsidRPr="009B269F">
        <w:t>doufá, že se v budoucnu půjde cestou harmonizace přístupu ke zdanění subjektů sociální ekonomiky, a to v zájmu upevnění vnitřního trhu;</w:t>
      </w:r>
    </w:p>
    <w:p w:rsidRPr="009B269F" w:rsidR="0032234B" w:rsidP="009B269F" w:rsidRDefault="0032234B" w14:paraId="3704A5E2" w14:textId="77777777">
      <w:pPr>
        <w:widowControl w:val="0"/>
        <w:numPr>
          <w:ilvl w:val="0"/>
          <w:numId w:val="8"/>
        </w:numPr>
        <w:overflowPunct w:val="0"/>
        <w:autoSpaceDE w:val="0"/>
        <w:autoSpaceDN w:val="0"/>
        <w:adjustRightInd w:val="0"/>
        <w:ind w:left="567" w:hanging="567"/>
      </w:pPr>
      <w:r w:rsidRPr="009B269F">
        <w:t>žádá, aby bylo podrobněji prozkoumáno, jakou formou by mohla být tato budoucí harmonizace zdanění sociální ekonomiky v EU provedena;</w:t>
      </w:r>
    </w:p>
    <w:p w:rsidRPr="009B269F" w:rsidR="0032234B" w:rsidP="009B269F" w:rsidRDefault="0032234B" w14:paraId="485CA69E" w14:textId="77777777">
      <w:pPr>
        <w:widowControl w:val="0"/>
        <w:numPr>
          <w:ilvl w:val="0"/>
          <w:numId w:val="8"/>
        </w:numPr>
        <w:overflowPunct w:val="0"/>
        <w:autoSpaceDE w:val="0"/>
        <w:autoSpaceDN w:val="0"/>
        <w:adjustRightInd w:val="0"/>
        <w:ind w:left="567" w:hanging="567"/>
      </w:pPr>
      <w:r w:rsidRPr="009B269F">
        <w:t>vyzývá Evropskou komisi a členské státy, aby rovněž zvážily zavedení mimořádně příznivých sazeb DPH, které by se vztahovaly na veřejně prospěšnou činnost subjektů sociální ekonomiky a na sociální služby, zejména v odvětví zdravotní a sociální péče o starší lidi, ale také v odvětví osobních služeb, dlouhodobé péče a vzdělávání.</w:t>
      </w:r>
    </w:p>
    <w:p w:rsidRPr="009B269F" w:rsidR="0032234B" w:rsidP="009B269F" w:rsidRDefault="0032234B" w14:paraId="2570DB3C" w14:textId="77777777">
      <w:pPr>
        <w:pStyle w:val="ListParagraph"/>
        <w:ind w:left="714"/>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32234B" w:rsidTr="008C66FD" w14:paraId="5D191E16" w14:textId="77777777">
        <w:tc>
          <w:tcPr>
            <w:tcW w:w="1556" w:type="pct"/>
          </w:tcPr>
          <w:p w:rsidRPr="009B269F" w:rsidR="0032234B" w:rsidP="009B269F" w:rsidRDefault="0032234B" w14:paraId="75974C7C" w14:textId="77777777">
            <w:pPr>
              <w:rPr>
                <w:i/>
              </w:rPr>
            </w:pPr>
            <w:r w:rsidRPr="009B269F">
              <w:rPr>
                <w:b/>
                <w:i/>
              </w:rPr>
              <w:t>Kontakt:</w:t>
            </w:r>
          </w:p>
        </w:tc>
        <w:tc>
          <w:tcPr>
            <w:tcW w:w="3444" w:type="pct"/>
          </w:tcPr>
          <w:p w:rsidRPr="009B269F" w:rsidR="0032234B" w:rsidP="009B269F" w:rsidRDefault="0032234B" w14:paraId="485E1A05" w14:textId="0B45E173">
            <w:pPr>
              <w:rPr>
                <w:i/>
              </w:rPr>
            </w:pPr>
            <w:r w:rsidRPr="009B269F">
              <w:rPr>
                <w:i/>
              </w:rPr>
              <w:t xml:space="preserve">Jüri </w:t>
            </w:r>
            <w:r w:rsidR="009F3680">
              <w:rPr>
                <w:i/>
              </w:rPr>
              <w:t>S</w:t>
            </w:r>
            <w:r w:rsidRPr="009B269F" w:rsidR="009F3680">
              <w:rPr>
                <w:i/>
              </w:rPr>
              <w:t>OOSAAR</w:t>
            </w:r>
          </w:p>
        </w:tc>
      </w:tr>
      <w:tr w:rsidRPr="009B269F" w:rsidR="0032234B" w:rsidTr="008C66FD" w14:paraId="5F92C7C3" w14:textId="77777777">
        <w:tc>
          <w:tcPr>
            <w:tcW w:w="1556" w:type="pct"/>
          </w:tcPr>
          <w:p w:rsidRPr="009B269F" w:rsidR="0032234B" w:rsidP="009B269F" w:rsidRDefault="0032234B" w14:paraId="27A41DE4" w14:textId="77777777">
            <w:pPr>
              <w:jc w:val="right"/>
              <w:rPr>
                <w:i/>
              </w:rPr>
            </w:pPr>
            <w:r w:rsidRPr="009B269F">
              <w:rPr>
                <w:i/>
              </w:rPr>
              <w:t>Tel.:</w:t>
            </w:r>
          </w:p>
        </w:tc>
        <w:tc>
          <w:tcPr>
            <w:tcW w:w="3444" w:type="pct"/>
          </w:tcPr>
          <w:p w:rsidRPr="009B269F" w:rsidR="0032234B" w:rsidP="009B269F" w:rsidRDefault="0032234B" w14:paraId="5E1B7CE2" w14:textId="77777777">
            <w:pPr>
              <w:rPr>
                <w:i/>
              </w:rPr>
            </w:pPr>
            <w:r w:rsidRPr="009B269F">
              <w:rPr>
                <w:i/>
              </w:rPr>
              <w:t>+32 25469628</w:t>
            </w:r>
          </w:p>
        </w:tc>
      </w:tr>
      <w:tr w:rsidRPr="009B269F" w:rsidR="0032234B" w:rsidTr="008C66FD" w14:paraId="50F651A6" w14:textId="77777777">
        <w:tc>
          <w:tcPr>
            <w:tcW w:w="1556" w:type="pct"/>
          </w:tcPr>
          <w:p w:rsidRPr="009B269F" w:rsidR="0032234B" w:rsidP="009B269F" w:rsidRDefault="0032234B" w14:paraId="1D065FA1" w14:textId="77777777">
            <w:pPr>
              <w:jc w:val="right"/>
              <w:rPr>
                <w:i/>
              </w:rPr>
            </w:pPr>
            <w:r w:rsidRPr="009B269F">
              <w:rPr>
                <w:i/>
              </w:rPr>
              <w:t>E-mail:</w:t>
            </w:r>
          </w:p>
        </w:tc>
        <w:tc>
          <w:tcPr>
            <w:tcW w:w="3444" w:type="pct"/>
          </w:tcPr>
          <w:p w:rsidRPr="009B269F" w:rsidR="0032234B" w:rsidP="009B269F" w:rsidRDefault="000029F8" w14:paraId="188F6A86" w14:textId="77777777">
            <w:pPr>
              <w:rPr>
                <w:i/>
              </w:rPr>
            </w:pPr>
            <w:hyperlink w:history="1" r:id="rId25">
              <w:r w:rsidRPr="009B269F" w:rsidR="0032234B">
                <w:rPr>
                  <w:rStyle w:val="Hyperlink"/>
                  <w:i/>
                </w:rPr>
                <w:t>Juri.Soosaar@eesc.europa.eu</w:t>
              </w:r>
            </w:hyperlink>
          </w:p>
        </w:tc>
      </w:tr>
    </w:tbl>
    <w:p w:rsidRPr="009B269F" w:rsidR="0032234B" w:rsidP="009B269F" w:rsidRDefault="0032234B" w14:paraId="14A72546" w14:textId="77777777">
      <w:pPr>
        <w:jc w:val="center"/>
        <w:rPr>
          <w:lang w:val="nl-BE"/>
        </w:rPr>
      </w:pPr>
    </w:p>
    <w:p w:rsidRPr="009B269F" w:rsidR="0032234B" w:rsidP="009B269F" w:rsidRDefault="0032234B" w14:paraId="5E104708" w14:textId="76F11E75">
      <w:pPr>
        <w:overflowPunct w:val="0"/>
        <w:autoSpaceDE w:val="0"/>
        <w:autoSpaceDN w:val="0"/>
        <w:adjustRightInd w:val="0"/>
        <w:jc w:val="center"/>
        <w:textAlignment w:val="baseline"/>
      </w:pPr>
    </w:p>
    <w:p w:rsidRPr="009B269F" w:rsidR="000F7CD9" w:rsidP="009B269F" w:rsidRDefault="000F7CD9" w14:paraId="1B2A5AB4" w14:textId="42E669F5">
      <w:pPr>
        <w:jc w:val="left"/>
      </w:pPr>
      <w:r w:rsidRPr="009B269F">
        <w:br w:type="page"/>
      </w:r>
    </w:p>
    <w:p w:rsidRPr="009B269F" w:rsidR="000F7CD9" w:rsidP="009B269F" w:rsidRDefault="000029F8" w14:paraId="1C7BA92F" w14:textId="5D884468">
      <w:pPr>
        <w:pStyle w:val="Heading1"/>
        <w:tabs>
          <w:tab w:val="clear" w:pos="440"/>
        </w:tabs>
        <w:spacing w:before="0"/>
        <w:ind w:left="567" w:hanging="567"/>
      </w:pPr>
      <w:hyperlink w:history="1" w:anchor="_Toc164353188">
        <w:bookmarkStart w:name="_Toc171941586" w:id="6"/>
        <w:bookmarkStart w:name="_Toc172192740" w:id="7"/>
        <w:bookmarkStart w:name="_Toc172192936" w:id="8"/>
        <w:r w:rsidRPr="009B269F" w:rsidR="00581905">
          <w:rPr>
            <w:b/>
            <w:bCs/>
          </w:rPr>
          <w:t>ZAMĚSTNANOST, SOCIÁLNÍ VĚCI, OBČANSTVÍ</w:t>
        </w:r>
        <w:bookmarkEnd w:id="6"/>
        <w:bookmarkEnd w:id="7"/>
        <w:bookmarkEnd w:id="8"/>
        <w:r w:rsidRPr="009B269F" w:rsidR="00581905">
          <w:rPr>
            <w:rStyle w:val="Hyperlink"/>
            <w:b/>
            <w:bCs/>
            <w:color w:val="auto"/>
            <w:u w:val="none"/>
          </w:rPr>
          <w:t xml:space="preserve"> </w:t>
        </w:r>
      </w:hyperlink>
    </w:p>
    <w:p w:rsidRPr="009B269F" w:rsidR="0032234B" w:rsidP="009B269F" w:rsidRDefault="0032234B" w14:paraId="30F0AC95" w14:textId="2E53BD0C">
      <w:pPr>
        <w:overflowPunct w:val="0"/>
        <w:autoSpaceDE w:val="0"/>
        <w:autoSpaceDN w:val="0"/>
        <w:adjustRightInd w:val="0"/>
        <w:jc w:val="left"/>
        <w:textAlignment w:val="baseline"/>
      </w:pPr>
    </w:p>
    <w:p w:rsidRPr="009B269F" w:rsidR="0032234B" w:rsidP="009B269F" w:rsidRDefault="0032234B" w14:paraId="37F0164E" w14:textId="7631F92E">
      <w:pPr>
        <w:widowControl w:val="0"/>
        <w:numPr>
          <w:ilvl w:val="0"/>
          <w:numId w:val="6"/>
        </w:numPr>
        <w:overflowPunct w:val="0"/>
        <w:autoSpaceDE w:val="0"/>
        <w:autoSpaceDN w:val="0"/>
        <w:adjustRightInd w:val="0"/>
        <w:ind w:hanging="567"/>
        <w:textAlignment w:val="baseline"/>
        <w:rPr>
          <w:rStyle w:val="Hyperlink"/>
          <w:b/>
          <w:bCs/>
          <w:i/>
          <w:iCs/>
          <w:sz w:val="28"/>
          <w:szCs w:val="28"/>
        </w:rPr>
      </w:pPr>
      <w:r w:rsidRPr="009B269F">
        <w:rPr>
          <w:b/>
          <w:i/>
          <w:sz w:val="28"/>
        </w:rPr>
        <w:fldChar w:fldCharType="begin"/>
      </w:r>
      <w:r w:rsidR="0053120D">
        <w:rPr>
          <w:b/>
          <w:i/>
          <w:sz w:val="28"/>
        </w:rPr>
        <w:instrText>HYPERLINK "https://www.eesc.europa.eu/cs/our-work/opinions-information-reports/opinions/combating-sexual-abuse-and-sexual-exploitation-children-and-child-pornography"</w:instrText>
      </w:r>
      <w:r w:rsidRPr="009B269F">
        <w:rPr>
          <w:b/>
          <w:i/>
          <w:sz w:val="28"/>
        </w:rPr>
        <w:fldChar w:fldCharType="separate"/>
      </w:r>
      <w:r w:rsidRPr="0053120D" w:rsidR="0053120D">
        <w:rPr>
          <w:rStyle w:val="Hyperlink"/>
          <w:b/>
          <w:i/>
          <w:sz w:val="28"/>
        </w:rPr>
        <w:t>Boj proti pohlavnímu zneužívání a pohlavnímu vykořisťování dětí a proti materiálům pohlavního zneužívání dětí</w:t>
      </w:r>
    </w:p>
    <w:p w:rsidRPr="009B269F" w:rsidR="0032234B" w:rsidP="009B269F" w:rsidRDefault="0032234B" w14:paraId="10948C99" w14:textId="77777777">
      <w:pPr>
        <w:widowControl w:val="0"/>
        <w:ind w:left="567"/>
        <w:rPr>
          <w:b/>
          <w:i/>
        </w:rPr>
      </w:pPr>
      <w:r w:rsidRPr="009B269F">
        <w:rPr>
          <w:b/>
          <w:i/>
          <w:sz w:val="28"/>
        </w:rPr>
        <w:fldChar w:fldCharType="end"/>
      </w: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2"/>
        <w:gridCol w:w="5599"/>
      </w:tblGrid>
      <w:tr w:rsidRPr="009B269F" w:rsidR="0032234B" w:rsidTr="008C66FD" w14:paraId="72222DC0" w14:textId="77777777">
        <w:tc>
          <w:tcPr>
            <w:tcW w:w="1360" w:type="pct"/>
          </w:tcPr>
          <w:p w:rsidRPr="009B269F" w:rsidR="0032234B" w:rsidP="009B269F" w:rsidRDefault="0032234B" w14:paraId="2DE29064" w14:textId="77777777">
            <w:pPr>
              <w:rPr>
                <w:b/>
              </w:rPr>
            </w:pPr>
            <w:r w:rsidRPr="009B269F">
              <w:rPr>
                <w:b/>
              </w:rPr>
              <w:t>Zpravodaj</w:t>
            </w:r>
          </w:p>
          <w:p w:rsidRPr="009B269F" w:rsidR="0032234B" w:rsidP="009B269F" w:rsidRDefault="0032234B" w14:paraId="67CA18C1" w14:textId="77777777">
            <w:pPr>
              <w:rPr>
                <w:b/>
              </w:rPr>
            </w:pPr>
            <w:r w:rsidRPr="009B269F">
              <w:rPr>
                <w:b/>
              </w:rPr>
              <w:t>Spoluzpravodajka</w:t>
            </w:r>
          </w:p>
        </w:tc>
        <w:tc>
          <w:tcPr>
            <w:tcW w:w="3640" w:type="pct"/>
          </w:tcPr>
          <w:p w:rsidRPr="009B269F" w:rsidR="0032234B" w:rsidP="009B269F" w:rsidRDefault="0032234B" w14:paraId="4F248871" w14:textId="77777777">
            <w:pPr>
              <w:tabs>
                <w:tab w:val="left" w:pos="4572"/>
              </w:tabs>
              <w:ind w:left="-113" w:right="-823"/>
            </w:pPr>
            <w:r w:rsidRPr="009B269F">
              <w:t>Christian BÄUMLER (Zaměstnanci – DE)</w:t>
            </w:r>
          </w:p>
          <w:p w:rsidRPr="009B269F" w:rsidR="0032234B" w:rsidP="009B269F" w:rsidRDefault="0032234B" w14:paraId="47933935" w14:textId="77777777">
            <w:pPr>
              <w:tabs>
                <w:tab w:val="left" w:pos="4572"/>
              </w:tabs>
              <w:ind w:left="-113" w:right="-823"/>
            </w:pPr>
            <w:r w:rsidRPr="009B269F">
              <w:t>Diana INDJOVA (Organizace občanské společnosti – BG)</w:t>
            </w:r>
          </w:p>
          <w:p w:rsidRPr="00D110D7" w:rsidR="0032234B" w:rsidP="009B269F" w:rsidRDefault="0032234B" w14:paraId="76067E24" w14:textId="77777777">
            <w:pPr>
              <w:tabs>
                <w:tab w:val="left" w:pos="4572"/>
              </w:tabs>
              <w:ind w:left="-113" w:right="-823"/>
            </w:pPr>
          </w:p>
        </w:tc>
      </w:tr>
      <w:tr w:rsidRPr="009B269F" w:rsidR="0032234B" w:rsidTr="008C66FD" w14:paraId="3BD98A92" w14:textId="77777777">
        <w:tc>
          <w:tcPr>
            <w:tcW w:w="1360" w:type="pct"/>
          </w:tcPr>
          <w:p w:rsidRPr="009B269F" w:rsidR="0032234B" w:rsidP="009B269F" w:rsidRDefault="0032234B" w14:paraId="24421690" w14:textId="77777777">
            <w:pPr>
              <w:rPr>
                <w:b/>
              </w:rPr>
            </w:pPr>
            <w:r w:rsidRPr="009B269F">
              <w:rPr>
                <w:b/>
              </w:rPr>
              <w:t>Odkaz</w:t>
            </w:r>
          </w:p>
        </w:tc>
        <w:tc>
          <w:tcPr>
            <w:tcW w:w="3640" w:type="pct"/>
          </w:tcPr>
          <w:p w:rsidR="000669F4" w:rsidP="009B269F" w:rsidRDefault="000669F4" w14:paraId="0CFB668D" w14:textId="68B22CA7">
            <w:pPr>
              <w:tabs>
                <w:tab w:val="left" w:pos="4430"/>
              </w:tabs>
              <w:ind w:left="-113" w:right="-823"/>
            </w:pPr>
            <w:r>
              <w:t>COM(2024) 60 final</w:t>
            </w:r>
          </w:p>
          <w:p w:rsidRPr="009B269F" w:rsidR="0032234B" w:rsidP="009B269F" w:rsidRDefault="0032234B" w14:paraId="166856E0" w14:textId="0F3C0794">
            <w:pPr>
              <w:tabs>
                <w:tab w:val="left" w:pos="4430"/>
              </w:tabs>
              <w:ind w:left="-113" w:right="-823"/>
            </w:pPr>
            <w:r w:rsidRPr="009B269F">
              <w:t>EESC-2024-00873-00-00-AC</w:t>
            </w:r>
          </w:p>
        </w:tc>
      </w:tr>
    </w:tbl>
    <w:p w:rsidR="000669F4" w:rsidP="009B269F" w:rsidRDefault="000669F4" w14:paraId="35799027" w14:textId="4FCF8C56">
      <w:pPr>
        <w:keepNext/>
        <w:keepLines/>
        <w:tabs>
          <w:tab w:val="center" w:pos="284"/>
        </w:tabs>
        <w:ind w:left="266" w:hanging="266"/>
        <w:rPr>
          <w:b/>
        </w:rPr>
      </w:pPr>
    </w:p>
    <w:p w:rsidRPr="009B269F" w:rsidR="0032234B" w:rsidP="009B269F" w:rsidRDefault="0032234B" w14:paraId="63847FAE" w14:textId="6F3E0547">
      <w:pPr>
        <w:keepNext/>
        <w:keepLines/>
        <w:tabs>
          <w:tab w:val="center" w:pos="284"/>
        </w:tabs>
        <w:ind w:left="266" w:hanging="266"/>
        <w:rPr>
          <w:b/>
        </w:rPr>
      </w:pPr>
      <w:r w:rsidRPr="009B269F">
        <w:rPr>
          <w:b/>
        </w:rPr>
        <w:t>Hlavní body</w:t>
      </w:r>
    </w:p>
    <w:p w:rsidRPr="009B269F" w:rsidR="0032234B" w:rsidP="009B269F" w:rsidRDefault="0032234B" w14:paraId="6D231C30" w14:textId="77777777">
      <w:pPr>
        <w:keepNext/>
        <w:keepLines/>
        <w:tabs>
          <w:tab w:val="center" w:pos="284"/>
        </w:tabs>
        <w:ind w:left="266" w:hanging="266"/>
        <w:rPr>
          <w:b/>
        </w:rPr>
      </w:pPr>
    </w:p>
    <w:p w:rsidRPr="009B269F" w:rsidR="0032234B" w:rsidP="009B269F" w:rsidRDefault="0032234B" w14:paraId="76FD3F71" w14:textId="77777777">
      <w:pPr>
        <w:keepNext/>
        <w:keepLines/>
        <w:tabs>
          <w:tab w:val="center" w:pos="284"/>
        </w:tabs>
        <w:ind w:left="266" w:hanging="266"/>
      </w:pPr>
      <w:r w:rsidRPr="009B269F">
        <w:t>EHSV:</w:t>
      </w:r>
    </w:p>
    <w:p w:rsidRPr="009B269F" w:rsidR="0032234B" w:rsidP="009B269F" w:rsidRDefault="0032234B" w14:paraId="6C77C25E" w14:textId="77777777">
      <w:pPr>
        <w:pStyle w:val="ListParagraph"/>
        <w:keepNext/>
        <w:keepLines/>
        <w:tabs>
          <w:tab w:val="center" w:pos="284"/>
        </w:tabs>
        <w:rPr>
          <w:sz w:val="16"/>
          <w:szCs w:val="16"/>
        </w:rPr>
      </w:pPr>
    </w:p>
    <w:p w:rsidRPr="009B269F" w:rsidR="0032234B" w:rsidP="009B269F" w:rsidRDefault="0032234B" w14:paraId="496874C7" w14:textId="77777777">
      <w:pPr>
        <w:pStyle w:val="ListParagraph"/>
        <w:keepNext/>
        <w:keepLines/>
        <w:numPr>
          <w:ilvl w:val="0"/>
          <w:numId w:val="22"/>
        </w:numPr>
        <w:ind w:left="567" w:hanging="567"/>
      </w:pPr>
      <w:r w:rsidRPr="009B269F">
        <w:t>podporuje cíl návrhu zajistit kriminalizaci všech forem pohlavního zneužívání a vykořisťování dětí, včetně těch, které jsou umožněny nebo usnadněny technologickým vývojem;</w:t>
      </w:r>
    </w:p>
    <w:p w:rsidRPr="009B269F" w:rsidR="0032234B" w:rsidP="009B269F" w:rsidRDefault="0032234B" w14:paraId="4754CE09" w14:textId="77777777">
      <w:pPr>
        <w:pStyle w:val="ListParagraph"/>
        <w:keepNext/>
        <w:keepLines/>
        <w:numPr>
          <w:ilvl w:val="0"/>
          <w:numId w:val="22"/>
        </w:numPr>
        <w:ind w:left="567" w:hanging="567"/>
      </w:pPr>
      <w:r w:rsidRPr="009B269F">
        <w:t>zdůrazňuje, že je třeba se zaměřit na obzvláště zranitelnou skupinu dětí se zdravotním postižením, které se mohou snadno stát oběťmi pohlavního zneužívání a vykořisťování a kybernetické kriminality;</w:t>
      </w:r>
    </w:p>
    <w:p w:rsidRPr="009B269F" w:rsidR="0032234B" w:rsidP="009B269F" w:rsidRDefault="0032234B" w14:paraId="1B70FDA6" w14:textId="77777777">
      <w:pPr>
        <w:pStyle w:val="ListParagraph"/>
        <w:keepNext/>
        <w:keepLines/>
        <w:numPr>
          <w:ilvl w:val="0"/>
          <w:numId w:val="22"/>
        </w:numPr>
        <w:ind w:left="567" w:hanging="567"/>
      </w:pPr>
      <w:r w:rsidRPr="009B269F">
        <w:t>podporuje lepší koordinaci předcházení pohlavnímu zneužívání dětí a boje proti němu ve všech členských státech a na vnitrostátní úrovni. V této souvislosti podporuje také navrhovanou povinnost členských států zřídit vnitrostátní orgány odpovědné za tuto koordinaci;</w:t>
      </w:r>
    </w:p>
    <w:p w:rsidRPr="009B269F" w:rsidR="0032234B" w:rsidP="009B269F" w:rsidRDefault="0032234B" w14:paraId="58BF7CA1" w14:textId="77777777">
      <w:pPr>
        <w:pStyle w:val="ListParagraph"/>
        <w:keepNext/>
        <w:keepLines/>
        <w:numPr>
          <w:ilvl w:val="0"/>
          <w:numId w:val="22"/>
        </w:numPr>
        <w:ind w:left="567" w:hanging="567"/>
      </w:pPr>
      <w:r w:rsidRPr="009B269F">
        <w:t>zdůrazňuje, že účinné stíhání pachatelů a zaručení ochrany obětí po celé EU vyžaduje společné minimální normy pro vymezení trestných činů a přísnost souvisejících trestů. Schvaluje kriminalizaci tzv. „návodů pro pedofily“;</w:t>
      </w:r>
    </w:p>
    <w:p w:rsidRPr="009B269F" w:rsidR="0032234B" w:rsidP="009B269F" w:rsidRDefault="0032234B" w14:paraId="451D1696" w14:textId="77777777">
      <w:pPr>
        <w:pStyle w:val="ListParagraph"/>
        <w:keepNext/>
        <w:keepLines/>
        <w:numPr>
          <w:ilvl w:val="0"/>
          <w:numId w:val="22"/>
        </w:numPr>
        <w:ind w:left="567" w:hanging="567"/>
      </w:pPr>
      <w:r w:rsidRPr="009B269F">
        <w:t>požaduje konkrétní úpravu mezinárodní výměny údajů o pohlavním zneužívání a vykořisťování dětí, rozšíření možností uchovávání dat ve všech členských státech a zřízení výzkumného střediska EU;</w:t>
      </w:r>
    </w:p>
    <w:p w:rsidRPr="009B269F" w:rsidR="0032234B" w:rsidP="009B269F" w:rsidRDefault="0032234B" w14:paraId="07F85A21" w14:textId="77777777">
      <w:pPr>
        <w:pStyle w:val="ListParagraph"/>
        <w:keepNext/>
        <w:keepLines/>
        <w:numPr>
          <w:ilvl w:val="0"/>
          <w:numId w:val="22"/>
        </w:numPr>
        <w:ind w:left="567" w:hanging="567"/>
      </w:pPr>
      <w:r w:rsidRPr="009B269F">
        <w:t>podporuje cíl ohledně zlepšení v oblasti prevence a pomoci obětem pohlavního vykořisťování a zneužívání. Podporuje navrhované zvýšení minimálních trestních sazeb a prodloužení promlčecích lhůt;</w:t>
      </w:r>
    </w:p>
    <w:p w:rsidRPr="009B269F" w:rsidR="0032234B" w:rsidP="009B269F" w:rsidRDefault="0032234B" w14:paraId="5DA64B19" w14:textId="77777777">
      <w:pPr>
        <w:pStyle w:val="ListParagraph"/>
        <w:keepNext/>
        <w:keepLines/>
        <w:numPr>
          <w:ilvl w:val="0"/>
          <w:numId w:val="22"/>
        </w:numPr>
        <w:ind w:left="567" w:hanging="567"/>
      </w:pPr>
      <w:r w:rsidRPr="009B269F">
        <w:t xml:space="preserve">upozorňuje na nutnost průběžného školení pracovníků orgánů činných v trestním řízení i všech dalších osob, které přicházejí do styku s dětmi, aby mohli plnit své povinnosti; </w:t>
      </w:r>
    </w:p>
    <w:p w:rsidRPr="009B269F" w:rsidR="0032234B" w:rsidP="009B269F" w:rsidRDefault="0032234B" w14:paraId="4F9BF73E" w14:textId="77777777">
      <w:pPr>
        <w:pStyle w:val="ListParagraph"/>
        <w:keepNext/>
        <w:keepLines/>
        <w:numPr>
          <w:ilvl w:val="0"/>
          <w:numId w:val="22"/>
        </w:numPr>
        <w:ind w:left="567" w:hanging="567"/>
      </w:pPr>
      <w:r w:rsidRPr="009B269F">
        <w:t>domnívá se, že zapojení občanské společnosti má rozhodující význam pro boj proti pohlavnímu zneužívání a vykořisťování dětí a pro prevenci a pomoc obětem.</w:t>
      </w:r>
    </w:p>
    <w:p w:rsidRPr="009B269F" w:rsidR="0032234B" w:rsidP="009B269F" w:rsidRDefault="0032234B" w14:paraId="2D68D459" w14:textId="77777777">
      <w:pPr>
        <w:pStyle w:val="ListParagraph"/>
        <w:keepNext/>
        <w:keepLines/>
        <w:tabs>
          <w:tab w:val="center" w:pos="284"/>
        </w:tabs>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32234B" w:rsidTr="008C66FD" w14:paraId="388F329C" w14:textId="77777777">
        <w:tc>
          <w:tcPr>
            <w:tcW w:w="1556" w:type="pct"/>
          </w:tcPr>
          <w:p w:rsidRPr="009B269F" w:rsidR="0032234B" w:rsidP="009B269F" w:rsidRDefault="0032234B" w14:paraId="29A73778" w14:textId="77777777">
            <w:pPr>
              <w:rPr>
                <w:i/>
              </w:rPr>
            </w:pPr>
            <w:r w:rsidRPr="009B269F">
              <w:rPr>
                <w:b/>
                <w:i/>
              </w:rPr>
              <w:t>Kontakt:</w:t>
            </w:r>
          </w:p>
        </w:tc>
        <w:tc>
          <w:tcPr>
            <w:tcW w:w="3444" w:type="pct"/>
          </w:tcPr>
          <w:p w:rsidRPr="009B269F" w:rsidR="0032234B" w:rsidP="009B269F" w:rsidRDefault="0032234B" w14:paraId="0F07C7F8" w14:textId="49B546B8">
            <w:pPr>
              <w:rPr>
                <w:i/>
              </w:rPr>
            </w:pPr>
            <w:r w:rsidRPr="009B269F">
              <w:rPr>
                <w:i/>
              </w:rPr>
              <w:t xml:space="preserve">Sabrina </w:t>
            </w:r>
            <w:r w:rsidR="009F3680">
              <w:rPr>
                <w:i/>
              </w:rPr>
              <w:t>B</w:t>
            </w:r>
            <w:r w:rsidRPr="009B269F" w:rsidR="009F3680">
              <w:rPr>
                <w:i/>
              </w:rPr>
              <w:t>ORG</w:t>
            </w:r>
          </w:p>
        </w:tc>
      </w:tr>
      <w:tr w:rsidRPr="009B269F" w:rsidR="0032234B" w:rsidTr="008C66FD" w14:paraId="4AF3119F" w14:textId="77777777">
        <w:tc>
          <w:tcPr>
            <w:tcW w:w="1556" w:type="pct"/>
          </w:tcPr>
          <w:p w:rsidRPr="009B269F" w:rsidR="0032234B" w:rsidP="00D110D7" w:rsidRDefault="0032234B" w14:paraId="68956961" w14:textId="77777777">
            <w:pPr>
              <w:jc w:val="right"/>
              <w:rPr>
                <w:i/>
              </w:rPr>
            </w:pPr>
            <w:r w:rsidRPr="009B269F">
              <w:rPr>
                <w:i/>
              </w:rPr>
              <w:t>Tel.:</w:t>
            </w:r>
          </w:p>
        </w:tc>
        <w:tc>
          <w:tcPr>
            <w:tcW w:w="3444" w:type="pct"/>
          </w:tcPr>
          <w:p w:rsidRPr="009B269F" w:rsidR="0032234B" w:rsidP="009B269F" w:rsidRDefault="0032234B" w14:paraId="46F89EDB" w14:textId="77777777">
            <w:pPr>
              <w:rPr>
                <w:i/>
              </w:rPr>
            </w:pPr>
            <w:r w:rsidRPr="009B269F">
              <w:rPr>
                <w:i/>
              </w:rPr>
              <w:t>+32 25469727</w:t>
            </w:r>
          </w:p>
        </w:tc>
      </w:tr>
      <w:tr w:rsidRPr="009B269F" w:rsidR="0032234B" w:rsidTr="008C66FD" w14:paraId="5B7B3333" w14:textId="77777777">
        <w:tc>
          <w:tcPr>
            <w:tcW w:w="1556" w:type="pct"/>
          </w:tcPr>
          <w:p w:rsidRPr="009B269F" w:rsidR="0032234B" w:rsidP="00D110D7" w:rsidRDefault="0032234B" w14:paraId="69F7E756" w14:textId="77777777">
            <w:pPr>
              <w:jc w:val="right"/>
              <w:rPr>
                <w:i/>
              </w:rPr>
            </w:pPr>
            <w:r w:rsidRPr="009B269F">
              <w:rPr>
                <w:i/>
              </w:rPr>
              <w:t>E-mail:</w:t>
            </w:r>
          </w:p>
        </w:tc>
        <w:tc>
          <w:tcPr>
            <w:tcW w:w="3444" w:type="pct"/>
          </w:tcPr>
          <w:p w:rsidRPr="009B269F" w:rsidR="0032234B" w:rsidP="009B269F" w:rsidRDefault="000029F8" w14:paraId="6672C1A1" w14:textId="77777777">
            <w:pPr>
              <w:rPr>
                <w:rStyle w:val="Hyperlink"/>
              </w:rPr>
            </w:pPr>
            <w:hyperlink w:history="1" r:id="rId26">
              <w:r w:rsidRPr="009B269F" w:rsidR="0032234B">
                <w:rPr>
                  <w:rStyle w:val="Hyperlink"/>
                  <w:i/>
                </w:rPr>
                <w:t>Sabrina.Borg@eesc.europa.eu</w:t>
              </w:r>
            </w:hyperlink>
          </w:p>
        </w:tc>
      </w:tr>
    </w:tbl>
    <w:p w:rsidRPr="009B269F" w:rsidR="0032234B" w:rsidP="009B269F" w:rsidRDefault="0032234B" w14:paraId="20681315" w14:textId="77777777">
      <w:pPr>
        <w:jc w:val="center"/>
      </w:pPr>
    </w:p>
    <w:p w:rsidRPr="009B269F" w:rsidR="0032234B" w:rsidP="009B269F" w:rsidRDefault="0032234B" w14:paraId="1DC8B5B8" w14:textId="77374527">
      <w:pPr>
        <w:overflowPunct w:val="0"/>
        <w:autoSpaceDE w:val="0"/>
        <w:autoSpaceDN w:val="0"/>
        <w:adjustRightInd w:val="0"/>
        <w:jc w:val="center"/>
        <w:textAlignment w:val="baseline"/>
        <w:rPr>
          <w:lang w:val="nl-BE"/>
        </w:rPr>
      </w:pPr>
    </w:p>
    <w:p w:rsidRPr="009B269F" w:rsidR="009066BB" w:rsidP="009B269F" w:rsidRDefault="009066BB" w14:paraId="1E64CDF3" w14:textId="1C3DA298">
      <w:pPr>
        <w:jc w:val="left"/>
        <w:rPr>
          <w:lang w:val="nl-BE"/>
        </w:rPr>
      </w:pPr>
      <w:r w:rsidRPr="009B269F">
        <w:rPr>
          <w:lang w:val="nl-BE"/>
        </w:rPr>
        <w:br w:type="page"/>
      </w:r>
    </w:p>
    <w:p w:rsidRPr="009B269F" w:rsidR="0032234B" w:rsidP="009B269F" w:rsidRDefault="0032234B" w14:paraId="7F56EFEF" w14:textId="7A52F16D">
      <w:pPr>
        <w:widowControl w:val="0"/>
        <w:numPr>
          <w:ilvl w:val="0"/>
          <w:numId w:val="6"/>
        </w:numPr>
        <w:overflowPunct w:val="0"/>
        <w:autoSpaceDE w:val="0"/>
        <w:autoSpaceDN w:val="0"/>
        <w:adjustRightInd w:val="0"/>
        <w:ind w:hanging="567"/>
        <w:textAlignment w:val="baseline"/>
        <w:rPr>
          <w:rStyle w:val="Hyperlink"/>
          <w:b/>
          <w:bCs/>
          <w:i/>
          <w:iCs/>
          <w:sz w:val="28"/>
          <w:szCs w:val="28"/>
        </w:rPr>
      </w:pPr>
      <w:r w:rsidRPr="009B269F">
        <w:rPr>
          <w:b/>
          <w:i/>
          <w:sz w:val="28"/>
        </w:rPr>
        <w:lastRenderedPageBreak/>
        <w:fldChar w:fldCharType="begin"/>
      </w:r>
      <w:r w:rsidRPr="009B269F">
        <w:rPr>
          <w:b/>
          <w:i/>
          <w:sz w:val="28"/>
        </w:rPr>
        <w:instrText xml:space="preserve"> HYPERLINK "https://www.eesc.europa.eu/cs/our-work/opinions-information-reports/opinions/anti-smuggling-package" </w:instrText>
      </w:r>
      <w:r w:rsidRPr="009B269F">
        <w:rPr>
          <w:b/>
          <w:i/>
          <w:sz w:val="28"/>
        </w:rPr>
        <w:fldChar w:fldCharType="separate"/>
      </w:r>
      <w:r w:rsidRPr="009B269F">
        <w:rPr>
          <w:rStyle w:val="Hyperlink"/>
          <w:b/>
          <w:i/>
          <w:sz w:val="28"/>
        </w:rPr>
        <w:t>Balíček opatření týkajících se boje proti převaděčství</w:t>
      </w:r>
    </w:p>
    <w:p w:rsidRPr="009B269F" w:rsidR="0032234B" w:rsidP="009B269F" w:rsidRDefault="0032234B" w14:paraId="453F8D40" w14:textId="77777777">
      <w:pPr>
        <w:widowControl w:val="0"/>
        <w:ind w:left="567"/>
        <w:rPr>
          <w:b/>
          <w:i/>
          <w:sz w:val="16"/>
        </w:rPr>
      </w:pPr>
      <w:r w:rsidRPr="009B269F">
        <w:rPr>
          <w:b/>
          <w:i/>
          <w:sz w:val="28"/>
        </w:rPr>
        <w:fldChar w:fldCharType="end"/>
      </w:r>
    </w:p>
    <w:tbl>
      <w:tblPr>
        <w:tblStyle w:val="TableGrid"/>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9B269F" w:rsidR="0032234B" w:rsidTr="008C66FD" w14:paraId="71FD13FC" w14:textId="77777777">
        <w:tc>
          <w:tcPr>
            <w:tcW w:w="1522" w:type="pct"/>
          </w:tcPr>
          <w:p w:rsidRPr="009B269F" w:rsidR="0032234B" w:rsidP="009B269F" w:rsidRDefault="0032234B" w14:paraId="321A999B" w14:textId="77777777">
            <w:pPr>
              <w:ind w:left="-113"/>
              <w:rPr>
                <w:b/>
              </w:rPr>
            </w:pPr>
            <w:r w:rsidRPr="009B269F">
              <w:rPr>
                <w:b/>
              </w:rPr>
              <w:t>Zpravodaj</w:t>
            </w:r>
          </w:p>
        </w:tc>
        <w:tc>
          <w:tcPr>
            <w:tcW w:w="3478" w:type="pct"/>
          </w:tcPr>
          <w:p w:rsidR="0032234B" w:rsidP="009B269F" w:rsidRDefault="0032234B" w14:paraId="0DEB4A38" w14:textId="77777777">
            <w:pPr>
              <w:tabs>
                <w:tab w:val="left" w:pos="4572"/>
              </w:tabs>
              <w:ind w:left="-113" w:right="-823"/>
            </w:pPr>
            <w:r w:rsidRPr="009B269F">
              <w:t>Florin BERCEA (Zaměstnanci – RO)</w:t>
            </w:r>
          </w:p>
          <w:p w:rsidRPr="009B269F" w:rsidR="000F05D5" w:rsidP="009B269F" w:rsidRDefault="000F05D5" w14:paraId="4183A27B" w14:textId="344D20AD">
            <w:pPr>
              <w:tabs>
                <w:tab w:val="left" w:pos="4572"/>
              </w:tabs>
              <w:ind w:left="-113" w:right="-823"/>
            </w:pPr>
          </w:p>
        </w:tc>
      </w:tr>
      <w:tr w:rsidRPr="009B269F" w:rsidR="0032234B" w:rsidTr="008C66FD" w14:paraId="0FB4D0E2" w14:textId="77777777">
        <w:tc>
          <w:tcPr>
            <w:tcW w:w="1522" w:type="pct"/>
          </w:tcPr>
          <w:p w:rsidRPr="009B269F" w:rsidR="0032234B" w:rsidP="009B269F" w:rsidRDefault="0032234B" w14:paraId="14F49972" w14:textId="77777777">
            <w:pPr>
              <w:ind w:left="-113"/>
              <w:rPr>
                <w:b/>
              </w:rPr>
            </w:pPr>
            <w:r w:rsidRPr="009B269F">
              <w:rPr>
                <w:b/>
              </w:rPr>
              <w:t>Odkaz</w:t>
            </w:r>
          </w:p>
        </w:tc>
        <w:tc>
          <w:tcPr>
            <w:tcW w:w="3478" w:type="pct"/>
          </w:tcPr>
          <w:p w:rsidR="000F05D5" w:rsidP="000F05D5" w:rsidRDefault="000F05D5" w14:paraId="217325D9" w14:textId="77777777">
            <w:pPr>
              <w:tabs>
                <w:tab w:val="left" w:pos="4430"/>
              </w:tabs>
              <w:overflowPunct w:val="0"/>
              <w:autoSpaceDE w:val="0"/>
              <w:autoSpaceDN w:val="0"/>
              <w:adjustRightInd w:val="0"/>
              <w:ind w:left="-113" w:right="-823"/>
              <w:textAlignment w:val="baseline"/>
            </w:pPr>
            <w:r w:rsidRPr="002910B2">
              <w:t>COM(2023) 754 final</w:t>
            </w:r>
          </w:p>
          <w:p w:rsidR="000F05D5" w:rsidP="000F05D5" w:rsidRDefault="000F05D5" w14:paraId="597FC1BC" w14:textId="77777777">
            <w:pPr>
              <w:tabs>
                <w:tab w:val="left" w:pos="4430"/>
              </w:tabs>
              <w:overflowPunct w:val="0"/>
              <w:autoSpaceDE w:val="0"/>
              <w:autoSpaceDN w:val="0"/>
              <w:adjustRightInd w:val="0"/>
              <w:ind w:left="-113" w:right="-823"/>
              <w:textAlignment w:val="baseline"/>
            </w:pPr>
            <w:r w:rsidRPr="002910B2">
              <w:t>COM(2023) 75</w:t>
            </w:r>
            <w:r>
              <w:t>5</w:t>
            </w:r>
            <w:r w:rsidRPr="002910B2">
              <w:t xml:space="preserve"> final</w:t>
            </w:r>
          </w:p>
          <w:p w:rsidRPr="009B269F" w:rsidR="0032234B" w:rsidP="009B269F" w:rsidRDefault="0032234B" w14:paraId="06AF574D" w14:textId="2F6E6528">
            <w:pPr>
              <w:tabs>
                <w:tab w:val="left" w:pos="4430"/>
              </w:tabs>
              <w:ind w:left="-113" w:right="-823"/>
            </w:pPr>
            <w:r w:rsidRPr="009B269F">
              <w:t>EESC-2024-00141-00-00-AC</w:t>
            </w:r>
          </w:p>
        </w:tc>
      </w:tr>
    </w:tbl>
    <w:p w:rsidRPr="009B269F" w:rsidR="009066BB" w:rsidP="009B269F" w:rsidRDefault="009066BB" w14:paraId="57547568" w14:textId="77777777">
      <w:pPr>
        <w:keepNext/>
        <w:keepLines/>
        <w:tabs>
          <w:tab w:val="center" w:pos="284"/>
        </w:tabs>
        <w:ind w:left="266" w:hanging="266"/>
        <w:rPr>
          <w:b/>
        </w:rPr>
      </w:pPr>
    </w:p>
    <w:p w:rsidRPr="009B269F" w:rsidR="0032234B" w:rsidP="009B269F" w:rsidRDefault="0032234B" w14:paraId="6B7CA95D" w14:textId="48F0C222">
      <w:pPr>
        <w:keepNext/>
        <w:keepLines/>
        <w:tabs>
          <w:tab w:val="center" w:pos="284"/>
        </w:tabs>
        <w:ind w:left="266" w:hanging="266"/>
        <w:rPr>
          <w:b/>
        </w:rPr>
      </w:pPr>
      <w:r w:rsidRPr="009B269F">
        <w:rPr>
          <w:b/>
        </w:rPr>
        <w:t>Hlavní body</w:t>
      </w:r>
    </w:p>
    <w:p w:rsidRPr="009B269F" w:rsidR="0032234B" w:rsidP="009B269F" w:rsidRDefault="0032234B" w14:paraId="287A5151" w14:textId="77777777">
      <w:pPr>
        <w:keepNext/>
        <w:keepLines/>
        <w:tabs>
          <w:tab w:val="center" w:pos="284"/>
        </w:tabs>
        <w:ind w:left="266" w:hanging="266"/>
        <w:rPr>
          <w:b/>
          <w:sz w:val="16"/>
          <w:szCs w:val="16"/>
        </w:rPr>
      </w:pPr>
    </w:p>
    <w:p w:rsidRPr="009B269F" w:rsidR="0032234B" w:rsidP="009B269F" w:rsidRDefault="0032234B" w14:paraId="778E6611" w14:textId="77777777">
      <w:pPr>
        <w:keepNext/>
        <w:keepLines/>
        <w:tabs>
          <w:tab w:val="center" w:pos="284"/>
        </w:tabs>
        <w:ind w:left="266" w:hanging="266"/>
      </w:pPr>
      <w:r w:rsidRPr="009B269F">
        <w:t>EHSV:</w:t>
      </w:r>
    </w:p>
    <w:p w:rsidRPr="009B269F" w:rsidR="0032234B" w:rsidP="009B269F" w:rsidRDefault="0032234B" w14:paraId="2CEE8B9E" w14:textId="77777777">
      <w:pPr>
        <w:keepNext/>
        <w:keepLines/>
        <w:tabs>
          <w:tab w:val="center" w:pos="284"/>
        </w:tabs>
        <w:ind w:left="266" w:hanging="266"/>
        <w:rPr>
          <w:b/>
          <w:sz w:val="16"/>
          <w:szCs w:val="16"/>
        </w:rPr>
      </w:pPr>
    </w:p>
    <w:p w:rsidRPr="009B269F" w:rsidR="0032234B" w:rsidP="009B269F" w:rsidRDefault="0032234B" w14:paraId="566F0689" w14:textId="77777777">
      <w:pPr>
        <w:pStyle w:val="ListParagraph"/>
        <w:keepNext/>
        <w:keepLines/>
        <w:numPr>
          <w:ilvl w:val="0"/>
          <w:numId w:val="23"/>
        </w:numPr>
        <w:ind w:left="567" w:hanging="567"/>
      </w:pPr>
      <w:r w:rsidRPr="009B269F">
        <w:t>konstatuje, že oba legislativní návrhy a globální aliance navrhují přiměřené a postupné budování kapacit, ale potřebují větší strategické ambice a odhodlání, aby se mohly s tímto procesem účinně vypořádat;</w:t>
      </w:r>
    </w:p>
    <w:p w:rsidRPr="009B269F" w:rsidR="0032234B" w:rsidP="009B269F" w:rsidRDefault="0032234B" w14:paraId="7C5AA350" w14:textId="77777777">
      <w:pPr>
        <w:pStyle w:val="ListParagraph"/>
        <w:keepNext/>
        <w:keepLines/>
        <w:numPr>
          <w:ilvl w:val="0"/>
          <w:numId w:val="23"/>
        </w:numPr>
        <w:ind w:left="567" w:hanging="567"/>
      </w:pPr>
      <w:r w:rsidRPr="009B269F">
        <w:t>uznává, že boj proti převaděčství migrantů potřebuje nový impuls a lepší koordinaci na všech úrovních. Zároveň se domnívá, že je nezbytné otevřít legální migrační cesty a postupy pro ty, kteří se chtějí do EU dostat bezpečně a legálně;</w:t>
      </w:r>
    </w:p>
    <w:p w:rsidRPr="009B269F" w:rsidR="0032234B" w:rsidP="009B269F" w:rsidRDefault="0032234B" w14:paraId="3C382355" w14:textId="77777777">
      <w:pPr>
        <w:pStyle w:val="ListParagraph"/>
        <w:keepNext/>
        <w:keepLines/>
        <w:numPr>
          <w:ilvl w:val="0"/>
          <w:numId w:val="23"/>
        </w:numPr>
        <w:ind w:left="567" w:hanging="567"/>
      </w:pPr>
      <w:r w:rsidRPr="009B269F">
        <w:t>uznává, že má-li azylový systém EU fungovat efektivně, je nezbytné nalézt způsob, jak vyřešit problémy se systematickým využíváním nuceného navracení na vnějších hranicích EU, které je zakázáno Ženevskou úmluvou. Neexistence bezpečných a legálních cest do EU způsobuje, že uprchlíci a migranti hledající bezpečí nemají jinou možnost než využít nebezpečnější trasy, které ohrožují jejich život;</w:t>
      </w:r>
    </w:p>
    <w:p w:rsidRPr="009B269F" w:rsidR="0032234B" w:rsidP="009B269F" w:rsidRDefault="0032234B" w14:paraId="50B043AD" w14:textId="77777777">
      <w:pPr>
        <w:pStyle w:val="ListParagraph"/>
        <w:keepNext/>
        <w:keepLines/>
        <w:numPr>
          <w:ilvl w:val="0"/>
          <w:numId w:val="23"/>
        </w:numPr>
        <w:ind w:left="567" w:hanging="567"/>
      </w:pPr>
      <w:r w:rsidRPr="009B269F">
        <w:t>vyzývá Komisi, aby vyvinula stabilnější přístup nad rámec globální aliance, který by zvýšil kapacity třetích zemí a podpořil spolupráci s Europolem a donucovacími orgány členských států;</w:t>
      </w:r>
    </w:p>
    <w:p w:rsidRPr="009B269F" w:rsidR="0032234B" w:rsidP="009B269F" w:rsidRDefault="0032234B" w14:paraId="15212ED9" w14:textId="77777777">
      <w:pPr>
        <w:pStyle w:val="ListParagraph"/>
        <w:keepNext/>
        <w:keepLines/>
        <w:numPr>
          <w:ilvl w:val="0"/>
          <w:numId w:val="23"/>
        </w:numPr>
        <w:ind w:left="567" w:hanging="567"/>
      </w:pPr>
      <w:r w:rsidRPr="009B269F">
        <w:t>vyjadřuje politování nad tím, že se balíček nevztahuje na osoby využívající služeb převaděčů migrantů, přestože jsou považovány za potenciální oběti. EU musí do své strategie boje proti převaděčství zahrnout problematiku základních práv osob, které jsou natolik zoufalé a zranitelné, že využívají služeb převaděčů. Politika by rovněž měla být více zaměřena na skupiny osob, které jsou ještě zranitelnější, jako například osoby se zdravotním postižením;</w:t>
      </w:r>
    </w:p>
    <w:p w:rsidRPr="009B269F" w:rsidR="0032234B" w:rsidP="009B269F" w:rsidRDefault="0032234B" w14:paraId="350EFCFF" w14:textId="77777777">
      <w:pPr>
        <w:pStyle w:val="ListParagraph"/>
        <w:keepNext/>
        <w:keepLines/>
        <w:numPr>
          <w:ilvl w:val="0"/>
          <w:numId w:val="23"/>
        </w:numPr>
        <w:ind w:left="567" w:hanging="567"/>
      </w:pPr>
      <w:r w:rsidRPr="009B269F">
        <w:t>požaduje větší transparentnost při přípravě těchto návrhů, neboť k návrhům bohužel nebyla přiložena žádná zpráva o předběžném posouzení dopadů;</w:t>
      </w:r>
    </w:p>
    <w:p w:rsidRPr="009B269F" w:rsidR="0032234B" w:rsidP="009B269F" w:rsidRDefault="0032234B" w14:paraId="1B0C8507" w14:textId="77777777">
      <w:pPr>
        <w:pStyle w:val="ListParagraph"/>
        <w:keepNext/>
        <w:keepLines/>
        <w:numPr>
          <w:ilvl w:val="0"/>
          <w:numId w:val="23"/>
        </w:numPr>
        <w:ind w:left="567" w:hanging="567"/>
      </w:pPr>
      <w:r w:rsidRPr="009B269F">
        <w:t>vítá směrnici, ale varuje, že by její obsah mohl vážně zasáhnout do základních práv migrantů a mohl mít závažné dopady na ty, kteří jim pomáhají z humanitárních důvodů. Výbor se domnívá, že vytváření a udržování atmosféry strachu v souvislosti s humanitární, právní nebo dokonce správní pomocí je špatný a nepřijatelný způsob boje proti převaděčství;</w:t>
      </w:r>
    </w:p>
    <w:p w:rsidRPr="009B269F" w:rsidR="0032234B" w:rsidP="009B269F" w:rsidRDefault="0032234B" w14:paraId="4A580E79" w14:textId="61E32F3C">
      <w:pPr>
        <w:pStyle w:val="ListParagraph"/>
        <w:keepNext/>
        <w:keepLines/>
        <w:numPr>
          <w:ilvl w:val="0"/>
          <w:numId w:val="23"/>
        </w:numPr>
        <w:ind w:left="567" w:hanging="567"/>
      </w:pPr>
      <w:r w:rsidRPr="009B269F">
        <w:t>dále má za to, že by humanitární pracovníci, rodinní příslušníci a další osoby poskytující služby migrantům měli být vyloučeni z trestního stíhání. Trestní stíhání těchto osob by mělo být možné pouze v případě, že se jednalo o neoprávněný finanční prospěch.</w:t>
      </w:r>
    </w:p>
    <w:p w:rsidRPr="009B269F" w:rsidR="0032234B" w:rsidP="009B269F" w:rsidRDefault="0032234B" w14:paraId="6397F520" w14:textId="77777777">
      <w:pPr>
        <w:pStyle w:val="ListParagraph"/>
        <w:keepNext/>
        <w:keepLines/>
        <w:ind w:left="567"/>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32234B" w:rsidTr="008C66FD" w14:paraId="6A2DD1CD" w14:textId="77777777">
        <w:tc>
          <w:tcPr>
            <w:tcW w:w="1556" w:type="pct"/>
          </w:tcPr>
          <w:p w:rsidRPr="009B269F" w:rsidR="0032234B" w:rsidP="009B269F" w:rsidRDefault="0032234B" w14:paraId="2F3002E3" w14:textId="031417AB">
            <w:pPr>
              <w:rPr>
                <w:i/>
              </w:rPr>
            </w:pPr>
            <w:r w:rsidRPr="009B269F">
              <w:rPr>
                <w:b/>
                <w:i/>
              </w:rPr>
              <w:t>Kontakt:</w:t>
            </w:r>
          </w:p>
        </w:tc>
        <w:tc>
          <w:tcPr>
            <w:tcW w:w="3444" w:type="pct"/>
          </w:tcPr>
          <w:p w:rsidRPr="009B269F" w:rsidR="0032234B" w:rsidP="009B269F" w:rsidRDefault="0032234B" w14:paraId="5FEB8A84" w14:textId="014DB531">
            <w:pPr>
              <w:rPr>
                <w:i/>
              </w:rPr>
            </w:pPr>
            <w:r w:rsidRPr="009B269F">
              <w:rPr>
                <w:i/>
              </w:rPr>
              <w:t xml:space="preserve">Gemma </w:t>
            </w:r>
            <w:r w:rsidR="009F3680">
              <w:rPr>
                <w:i/>
              </w:rPr>
              <w:t>A</w:t>
            </w:r>
            <w:r w:rsidRPr="009B269F" w:rsidR="009F3680">
              <w:rPr>
                <w:i/>
              </w:rPr>
              <w:t>MRAN</w:t>
            </w:r>
          </w:p>
        </w:tc>
      </w:tr>
      <w:tr w:rsidRPr="009B269F" w:rsidR="0032234B" w:rsidTr="008C66FD" w14:paraId="77183C7B" w14:textId="77777777">
        <w:tc>
          <w:tcPr>
            <w:tcW w:w="1556" w:type="pct"/>
          </w:tcPr>
          <w:p w:rsidRPr="009B269F" w:rsidR="0032234B" w:rsidP="00D110D7" w:rsidRDefault="0032234B" w14:paraId="7AD69C3B" w14:textId="77777777">
            <w:pPr>
              <w:jc w:val="right"/>
              <w:rPr>
                <w:i/>
              </w:rPr>
            </w:pPr>
            <w:r w:rsidRPr="009B269F">
              <w:rPr>
                <w:i/>
              </w:rPr>
              <w:t>Tel.:</w:t>
            </w:r>
          </w:p>
        </w:tc>
        <w:tc>
          <w:tcPr>
            <w:tcW w:w="3444" w:type="pct"/>
          </w:tcPr>
          <w:p w:rsidRPr="009B269F" w:rsidR="0032234B" w:rsidP="009B269F" w:rsidRDefault="0032234B" w14:paraId="16347FD1" w14:textId="77777777">
            <w:pPr>
              <w:rPr>
                <w:i/>
              </w:rPr>
            </w:pPr>
            <w:r w:rsidRPr="009B269F">
              <w:rPr>
                <w:i/>
              </w:rPr>
              <w:t>+32 25469415</w:t>
            </w:r>
          </w:p>
        </w:tc>
      </w:tr>
      <w:tr w:rsidRPr="009B269F" w:rsidR="0032234B" w:rsidTr="008C66FD" w14:paraId="1E0533C6" w14:textId="77777777">
        <w:tc>
          <w:tcPr>
            <w:tcW w:w="1556" w:type="pct"/>
          </w:tcPr>
          <w:p w:rsidRPr="009B269F" w:rsidR="0032234B" w:rsidP="00D110D7" w:rsidRDefault="0032234B" w14:paraId="77D5266D" w14:textId="77777777">
            <w:pPr>
              <w:jc w:val="right"/>
              <w:rPr>
                <w:i/>
              </w:rPr>
            </w:pPr>
            <w:r w:rsidRPr="009B269F">
              <w:rPr>
                <w:i/>
              </w:rPr>
              <w:t>E-mail:</w:t>
            </w:r>
          </w:p>
        </w:tc>
        <w:tc>
          <w:tcPr>
            <w:tcW w:w="3444" w:type="pct"/>
          </w:tcPr>
          <w:p w:rsidRPr="009B269F" w:rsidR="0032234B" w:rsidP="009B269F" w:rsidRDefault="000029F8" w14:paraId="47302B98" w14:textId="77777777">
            <w:pPr>
              <w:rPr>
                <w:rStyle w:val="Hyperlink"/>
              </w:rPr>
            </w:pPr>
            <w:hyperlink w:history="1" r:id="rId27">
              <w:r w:rsidRPr="009B269F" w:rsidR="0032234B">
                <w:rPr>
                  <w:rStyle w:val="Hyperlink"/>
                  <w:i/>
                </w:rPr>
                <w:t>Gemma.Amran@eesc.europa.eu</w:t>
              </w:r>
            </w:hyperlink>
          </w:p>
        </w:tc>
      </w:tr>
    </w:tbl>
    <w:p w:rsidRPr="009B269F" w:rsidR="0032234B" w:rsidP="009B269F" w:rsidRDefault="0032234B" w14:paraId="2E0134E5" w14:textId="61547031">
      <w:pPr>
        <w:overflowPunct w:val="0"/>
        <w:autoSpaceDE w:val="0"/>
        <w:autoSpaceDN w:val="0"/>
        <w:adjustRightInd w:val="0"/>
        <w:jc w:val="center"/>
        <w:textAlignment w:val="baseline"/>
      </w:pPr>
    </w:p>
    <w:p w:rsidRPr="009B269F" w:rsidR="009066BB" w:rsidP="009B269F" w:rsidRDefault="009066BB" w14:paraId="7F60DFB0" w14:textId="4272659D">
      <w:pPr>
        <w:jc w:val="left"/>
      </w:pPr>
      <w:r w:rsidRPr="009B269F">
        <w:br w:type="page"/>
      </w:r>
    </w:p>
    <w:p w:rsidRPr="009B269F" w:rsidR="0032234B" w:rsidP="009B269F" w:rsidRDefault="000029F8" w14:paraId="3A8B5ADA" w14:textId="356175C1">
      <w:pPr>
        <w:widowControl w:val="0"/>
        <w:numPr>
          <w:ilvl w:val="0"/>
          <w:numId w:val="6"/>
        </w:numPr>
        <w:overflowPunct w:val="0"/>
        <w:autoSpaceDE w:val="0"/>
        <w:autoSpaceDN w:val="0"/>
        <w:adjustRightInd w:val="0"/>
        <w:ind w:hanging="567"/>
        <w:textAlignment w:val="baseline"/>
        <w:rPr>
          <w:rStyle w:val="Hyperlink"/>
          <w:b/>
          <w:bCs/>
          <w:i/>
          <w:iCs/>
          <w:sz w:val="28"/>
          <w:szCs w:val="28"/>
        </w:rPr>
      </w:pPr>
      <w:hyperlink w:history="1" r:id="rId28">
        <w:r w:rsidRPr="009B269F" w:rsidR="0032234B">
          <w:rPr>
            <w:rStyle w:val="Hyperlink"/>
            <w:b/>
            <w:i/>
            <w:sz w:val="28"/>
          </w:rPr>
          <w:t>Pečující osoby</w:t>
        </w:r>
      </w:hyperlink>
      <w:r w:rsidRPr="009B269F" w:rsidR="0032234B">
        <w:rPr>
          <w:b/>
          <w:i/>
          <w:sz w:val="28"/>
        </w:rPr>
        <w:fldChar w:fldCharType="begin"/>
      </w:r>
      <w:r w:rsidRPr="009B269F" w:rsidR="0032234B">
        <w:rPr>
          <w:b/>
          <w:i/>
          <w:sz w:val="28"/>
        </w:rPr>
        <w:instrText xml:space="preserve"> HYPERLINK "https://www.eesc.europa.eu/cs/our-work/opinions-information-reports/opinions/anti-smuggling-package" </w:instrText>
      </w:r>
      <w:r w:rsidRPr="009B269F" w:rsidR="0032234B">
        <w:rPr>
          <w:b/>
          <w:i/>
          <w:sz w:val="28"/>
        </w:rPr>
        <w:fldChar w:fldCharType="separate"/>
      </w:r>
    </w:p>
    <w:p w:rsidRPr="009B269F" w:rsidR="0032234B" w:rsidP="009B269F" w:rsidRDefault="0032234B" w14:paraId="0F2920B6" w14:textId="77777777">
      <w:pPr>
        <w:widowControl w:val="0"/>
        <w:ind w:left="567" w:hanging="567"/>
        <w:rPr>
          <w:b/>
          <w:i/>
          <w:sz w:val="28"/>
        </w:rPr>
      </w:pPr>
      <w:r w:rsidRPr="009B269F">
        <w:rPr>
          <w:b/>
          <w:i/>
          <w:sz w:val="28"/>
        </w:rPr>
        <w:fldChar w:fldCharType="end"/>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7626"/>
      </w:tblGrid>
      <w:tr w:rsidRPr="009B269F" w:rsidR="0032234B" w:rsidTr="008C66FD" w14:paraId="1C842816" w14:textId="77777777">
        <w:tc>
          <w:tcPr>
            <w:tcW w:w="894" w:type="pct"/>
          </w:tcPr>
          <w:p w:rsidRPr="009B269F" w:rsidR="0032234B" w:rsidP="009B269F" w:rsidRDefault="0032234B" w14:paraId="37D88C7B" w14:textId="77777777">
            <w:pPr>
              <w:widowControl w:val="0"/>
              <w:ind w:left="567" w:hanging="567"/>
              <w:rPr>
                <w:b/>
              </w:rPr>
            </w:pPr>
            <w:r w:rsidRPr="009B269F">
              <w:rPr>
                <w:b/>
              </w:rPr>
              <w:t>Zpravodaj</w:t>
            </w:r>
          </w:p>
          <w:p w:rsidRPr="009B269F" w:rsidR="0032234B" w:rsidP="009B269F" w:rsidRDefault="0032234B" w14:paraId="09922487" w14:textId="77777777">
            <w:pPr>
              <w:widowControl w:val="0"/>
              <w:ind w:left="567" w:hanging="567"/>
              <w:rPr>
                <w:b/>
                <w:lang w:val="en-US"/>
              </w:rPr>
            </w:pPr>
          </w:p>
        </w:tc>
        <w:tc>
          <w:tcPr>
            <w:tcW w:w="4106" w:type="pct"/>
          </w:tcPr>
          <w:p w:rsidRPr="009B269F" w:rsidR="0032234B" w:rsidP="009B269F" w:rsidRDefault="0032234B" w14:paraId="468FFA5A" w14:textId="63387477">
            <w:pPr>
              <w:widowControl w:val="0"/>
              <w:tabs>
                <w:tab w:val="left" w:pos="4572"/>
              </w:tabs>
              <w:ind w:left="567" w:right="-823" w:hanging="567"/>
            </w:pPr>
            <w:r w:rsidRPr="009B269F">
              <w:t xml:space="preserve">Pietro Vittorio </w:t>
            </w:r>
            <w:r w:rsidRPr="00F8520A">
              <w:t>BARBIERI (Organizace občanské společnosti – IT)</w:t>
            </w:r>
          </w:p>
        </w:tc>
      </w:tr>
      <w:tr w:rsidRPr="009B269F" w:rsidR="0032234B" w:rsidTr="008C66FD" w14:paraId="658E2D0F" w14:textId="77777777">
        <w:tc>
          <w:tcPr>
            <w:tcW w:w="894" w:type="pct"/>
          </w:tcPr>
          <w:p w:rsidRPr="009B269F" w:rsidR="0032234B" w:rsidP="009B269F" w:rsidRDefault="0032234B" w14:paraId="1502A238" w14:textId="77777777">
            <w:pPr>
              <w:widowControl w:val="0"/>
              <w:ind w:left="567" w:hanging="567"/>
              <w:rPr>
                <w:b/>
              </w:rPr>
            </w:pPr>
            <w:r w:rsidRPr="009B269F">
              <w:rPr>
                <w:b/>
              </w:rPr>
              <w:t>Odkaz</w:t>
            </w:r>
          </w:p>
        </w:tc>
        <w:tc>
          <w:tcPr>
            <w:tcW w:w="4106" w:type="pct"/>
          </w:tcPr>
          <w:p w:rsidR="000F05D5" w:rsidP="009B269F" w:rsidRDefault="000F05D5" w14:paraId="17BCDDB5" w14:textId="18782F1A">
            <w:pPr>
              <w:widowControl w:val="0"/>
              <w:tabs>
                <w:tab w:val="left" w:pos="4430"/>
              </w:tabs>
              <w:ind w:left="567" w:right="-823" w:hanging="567"/>
            </w:pPr>
            <w:r>
              <w:t>stanovisko z vlastní iniciativy</w:t>
            </w:r>
          </w:p>
          <w:p w:rsidRPr="009B269F" w:rsidR="0032234B" w:rsidP="009B269F" w:rsidRDefault="0032234B" w14:paraId="21160A19" w14:textId="6B6EE10F">
            <w:pPr>
              <w:widowControl w:val="0"/>
              <w:tabs>
                <w:tab w:val="left" w:pos="4430"/>
              </w:tabs>
              <w:ind w:left="567" w:right="-823" w:hanging="567"/>
            </w:pPr>
            <w:r w:rsidRPr="009B269F">
              <w:t>EESC-2024-00018-00-00-AC</w:t>
            </w:r>
          </w:p>
        </w:tc>
      </w:tr>
    </w:tbl>
    <w:p w:rsidRPr="009B269F" w:rsidR="0032234B" w:rsidP="009B269F" w:rsidRDefault="0032234B" w14:paraId="6C6BBA2E" w14:textId="77777777">
      <w:pPr>
        <w:widowControl w:val="0"/>
        <w:tabs>
          <w:tab w:val="center" w:pos="284"/>
        </w:tabs>
        <w:ind w:left="567" w:hanging="567"/>
        <w:rPr>
          <w:b/>
        </w:rPr>
      </w:pPr>
    </w:p>
    <w:p w:rsidRPr="009B269F" w:rsidR="0032234B" w:rsidP="009B269F" w:rsidRDefault="0032234B" w14:paraId="7BD257AA" w14:textId="77777777">
      <w:pPr>
        <w:widowControl w:val="0"/>
        <w:tabs>
          <w:tab w:val="center" w:pos="284"/>
        </w:tabs>
        <w:ind w:left="567" w:hanging="567"/>
        <w:rPr>
          <w:b/>
        </w:rPr>
      </w:pPr>
      <w:r w:rsidRPr="009B269F">
        <w:rPr>
          <w:b/>
        </w:rPr>
        <w:t>Hlavní body</w:t>
      </w:r>
    </w:p>
    <w:p w:rsidRPr="009B269F" w:rsidR="0032234B" w:rsidP="009B269F" w:rsidRDefault="0032234B" w14:paraId="4F7A16C2" w14:textId="77777777">
      <w:pPr>
        <w:widowControl w:val="0"/>
        <w:tabs>
          <w:tab w:val="center" w:pos="284"/>
        </w:tabs>
        <w:ind w:left="567" w:hanging="567"/>
        <w:rPr>
          <w:b/>
        </w:rPr>
      </w:pPr>
    </w:p>
    <w:p w:rsidRPr="009B269F" w:rsidR="0032234B" w:rsidP="009B269F" w:rsidRDefault="0032234B" w14:paraId="19C7F003" w14:textId="77777777">
      <w:pPr>
        <w:widowControl w:val="0"/>
        <w:tabs>
          <w:tab w:val="center" w:pos="284"/>
        </w:tabs>
        <w:ind w:left="567" w:hanging="567"/>
      </w:pPr>
      <w:r w:rsidRPr="009B269F">
        <w:t>EHSV:</w:t>
      </w:r>
    </w:p>
    <w:p w:rsidRPr="009B269F" w:rsidR="0032234B" w:rsidP="009B269F" w:rsidRDefault="0032234B" w14:paraId="264F6D45" w14:textId="77777777">
      <w:pPr>
        <w:widowControl w:val="0"/>
        <w:tabs>
          <w:tab w:val="center" w:pos="284"/>
        </w:tabs>
        <w:ind w:left="567" w:hanging="567"/>
      </w:pPr>
    </w:p>
    <w:p w:rsidRPr="009B269F" w:rsidR="0032234B" w:rsidP="009B269F" w:rsidRDefault="0032234B" w14:paraId="501FC329" w14:textId="77777777">
      <w:pPr>
        <w:pStyle w:val="ListParagraph"/>
        <w:numPr>
          <w:ilvl w:val="0"/>
          <w:numId w:val="24"/>
        </w:numPr>
        <w:ind w:left="567" w:hanging="567"/>
        <w:rPr>
          <w:color w:val="000000"/>
        </w:rPr>
      </w:pPr>
      <w:r w:rsidRPr="009B269F">
        <w:rPr>
          <w:color w:val="000000"/>
        </w:rPr>
        <w:t>vyzývá Komisi, aby zařadila téma neformálních pečujících mezi hlavní priority politického programu a vytvořila platformu pro výměnu osvědčených postupů mezi členskými státy. Vyzývá členské státy, aby přijaly politiky, které podpoří poskytování a využívání kvalitních komunitních služeb dlouhodobé péče, dostupnost odlehčovacích služeb pro neformální pečující a také preventivní medicínu s cílem řešit velké riziko vyhoření a psychického i fyzického přetížení, jemuž jsou neformální pečující vystaveni;</w:t>
      </w:r>
    </w:p>
    <w:p w:rsidRPr="009B269F" w:rsidR="0032234B" w:rsidP="009B269F" w:rsidRDefault="0032234B" w14:paraId="6D8EE697" w14:textId="561E2481">
      <w:pPr>
        <w:pStyle w:val="ListParagraph"/>
        <w:numPr>
          <w:ilvl w:val="0"/>
          <w:numId w:val="24"/>
        </w:numPr>
        <w:ind w:left="567" w:hanging="567"/>
        <w:rPr>
          <w:color w:val="000000"/>
        </w:rPr>
      </w:pPr>
      <w:r w:rsidRPr="009B269F">
        <w:rPr>
          <w:color w:val="000000"/>
        </w:rPr>
        <w:t xml:space="preserve">vyzývá členské státy, aby přijaly vhodná opatření k zaručení toho, že rozhodnutí o poskytování neformální péče budou činěna dobrovolně, že budou řešeny genderové nerovnosti a že si neformální pečující budou moci díky flexibilnějším pracovním podmínkám udržet svou práci </w:t>
      </w:r>
      <w:r w:rsidR="009B269F">
        <w:rPr>
          <w:color w:val="000000"/>
        </w:rPr>
        <w:t>a </w:t>
      </w:r>
      <w:r w:rsidRPr="009B269F">
        <w:rPr>
          <w:color w:val="000000"/>
        </w:rPr>
        <w:t>plat a budou se moci snadno vrátit zpět na trh práce, pokud byli nuceni ho opustit;</w:t>
      </w:r>
    </w:p>
    <w:p w:rsidRPr="009B269F" w:rsidR="0032234B" w:rsidP="009B269F" w:rsidRDefault="0032234B" w14:paraId="1E3121DF" w14:textId="77777777">
      <w:pPr>
        <w:pStyle w:val="ListParagraph"/>
        <w:numPr>
          <w:ilvl w:val="0"/>
          <w:numId w:val="24"/>
        </w:numPr>
        <w:ind w:left="567" w:hanging="567"/>
        <w:rPr>
          <w:color w:val="000000"/>
        </w:rPr>
      </w:pPr>
      <w:r w:rsidRPr="009B269F">
        <w:rPr>
          <w:color w:val="000000"/>
        </w:rPr>
        <w:t>požaduje zahrnutí osob pečujících o své rodinné příslušníky do oslav Mezinárodního dne pečujících, aby byly uznány v rámci evropského systému péče;</w:t>
      </w:r>
    </w:p>
    <w:p w:rsidRPr="009B269F" w:rsidR="0032234B" w:rsidP="009B269F" w:rsidRDefault="0032234B" w14:paraId="5DED3AF5" w14:textId="77777777">
      <w:pPr>
        <w:pStyle w:val="ListParagraph"/>
        <w:widowControl w:val="0"/>
        <w:numPr>
          <w:ilvl w:val="0"/>
          <w:numId w:val="24"/>
        </w:numPr>
        <w:tabs>
          <w:tab w:val="center" w:pos="284"/>
        </w:tabs>
        <w:ind w:left="567" w:hanging="567"/>
      </w:pPr>
      <w:r w:rsidRPr="009B269F">
        <w:t>považuje za velmi důležité, aby byly k dispozici kvalitativní a kvantitativní údaje popisující skutečné životní podmínky neformálních pečujících, a vyzývá k přijetí dalších výzkumných strategií.</w:t>
      </w:r>
    </w:p>
    <w:p w:rsidRPr="009B269F" w:rsidR="0032234B" w:rsidP="009B269F" w:rsidRDefault="0032234B" w14:paraId="70FBA5C3" w14:textId="77777777">
      <w:pPr>
        <w:widowControl w:val="0"/>
        <w:tabs>
          <w:tab w:val="center" w:pos="284"/>
        </w:tabs>
        <w:ind w:left="567" w:hanging="567"/>
        <w:rPr>
          <w: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32234B" w:rsidTr="008C66FD" w14:paraId="7AFB4198" w14:textId="77777777">
        <w:tc>
          <w:tcPr>
            <w:tcW w:w="1556" w:type="pct"/>
          </w:tcPr>
          <w:p w:rsidRPr="009B269F" w:rsidR="0032234B" w:rsidP="009B269F" w:rsidRDefault="0032234B" w14:paraId="0113251A" w14:textId="77777777">
            <w:pPr>
              <w:widowControl w:val="0"/>
              <w:ind w:left="567" w:hanging="567"/>
              <w:rPr>
                <w:i/>
              </w:rPr>
            </w:pPr>
            <w:r w:rsidRPr="009B269F">
              <w:rPr>
                <w:b/>
                <w:i/>
              </w:rPr>
              <w:t>Kontakt:</w:t>
            </w:r>
          </w:p>
        </w:tc>
        <w:tc>
          <w:tcPr>
            <w:tcW w:w="3444" w:type="pct"/>
          </w:tcPr>
          <w:p w:rsidRPr="009B269F" w:rsidR="0032234B" w:rsidP="009B269F" w:rsidRDefault="0032234B" w14:paraId="56830247" w14:textId="3E321A20">
            <w:pPr>
              <w:widowControl w:val="0"/>
              <w:ind w:left="567" w:hanging="567"/>
              <w:rPr>
                <w:i/>
              </w:rPr>
            </w:pPr>
            <w:r w:rsidRPr="009B269F">
              <w:rPr>
                <w:i/>
              </w:rPr>
              <w:t xml:space="preserve">Valeria </w:t>
            </w:r>
            <w:r w:rsidR="009F3680">
              <w:rPr>
                <w:i/>
              </w:rPr>
              <w:t>A</w:t>
            </w:r>
            <w:r w:rsidRPr="009B269F" w:rsidR="009F3680">
              <w:rPr>
                <w:i/>
              </w:rPr>
              <w:t>TZORI</w:t>
            </w:r>
          </w:p>
        </w:tc>
      </w:tr>
      <w:tr w:rsidRPr="009B269F" w:rsidR="0032234B" w:rsidTr="008C66FD" w14:paraId="11CCD602" w14:textId="77777777">
        <w:tc>
          <w:tcPr>
            <w:tcW w:w="1556" w:type="pct"/>
          </w:tcPr>
          <w:p w:rsidRPr="009B269F" w:rsidR="0032234B" w:rsidP="009B269F" w:rsidRDefault="0032234B" w14:paraId="14106DCA" w14:textId="77777777">
            <w:pPr>
              <w:widowControl w:val="0"/>
              <w:ind w:left="567" w:hanging="567"/>
              <w:jc w:val="right"/>
              <w:rPr>
                <w:i/>
              </w:rPr>
            </w:pPr>
            <w:r w:rsidRPr="009B269F">
              <w:rPr>
                <w:i/>
              </w:rPr>
              <w:t>Tel.:</w:t>
            </w:r>
          </w:p>
        </w:tc>
        <w:tc>
          <w:tcPr>
            <w:tcW w:w="3444" w:type="pct"/>
          </w:tcPr>
          <w:p w:rsidRPr="009B269F" w:rsidR="0032234B" w:rsidP="009B269F" w:rsidRDefault="0032234B" w14:paraId="5550A4BD" w14:textId="77777777">
            <w:pPr>
              <w:widowControl w:val="0"/>
              <w:ind w:left="567" w:hanging="567"/>
              <w:rPr>
                <w:i/>
              </w:rPr>
            </w:pPr>
            <w:r w:rsidRPr="009B269F">
              <w:rPr>
                <w:i/>
              </w:rPr>
              <w:t>+32 25468774</w:t>
            </w:r>
          </w:p>
        </w:tc>
      </w:tr>
      <w:tr w:rsidRPr="009B269F" w:rsidR="0032234B" w:rsidTr="008C66FD" w14:paraId="019EE84C" w14:textId="77777777">
        <w:tc>
          <w:tcPr>
            <w:tcW w:w="1556" w:type="pct"/>
          </w:tcPr>
          <w:p w:rsidRPr="009B269F" w:rsidR="0032234B" w:rsidP="009B269F" w:rsidRDefault="0032234B" w14:paraId="7A3ABB0D" w14:textId="77777777">
            <w:pPr>
              <w:widowControl w:val="0"/>
              <w:ind w:left="567" w:hanging="567"/>
              <w:jc w:val="right"/>
              <w:rPr>
                <w:i/>
              </w:rPr>
            </w:pPr>
            <w:r w:rsidRPr="009B269F">
              <w:rPr>
                <w:i/>
              </w:rPr>
              <w:t>E-mail:</w:t>
            </w:r>
          </w:p>
        </w:tc>
        <w:tc>
          <w:tcPr>
            <w:tcW w:w="3444" w:type="pct"/>
          </w:tcPr>
          <w:p w:rsidRPr="009B269F" w:rsidR="0032234B" w:rsidP="009B269F" w:rsidRDefault="000029F8" w14:paraId="3A26E7FF" w14:textId="77777777">
            <w:pPr>
              <w:widowControl w:val="0"/>
              <w:ind w:left="567" w:hanging="567"/>
              <w:rPr>
                <w:rStyle w:val="Hyperlink"/>
              </w:rPr>
            </w:pPr>
            <w:hyperlink w:history="1" r:id="rId29">
              <w:r w:rsidRPr="009B269F" w:rsidR="0032234B">
                <w:rPr>
                  <w:rStyle w:val="Hyperlink"/>
                  <w:i/>
                </w:rPr>
                <w:t>Valeria.Atzori@eesc.europa.eu</w:t>
              </w:r>
            </w:hyperlink>
          </w:p>
        </w:tc>
      </w:tr>
    </w:tbl>
    <w:p w:rsidRPr="009B269F" w:rsidR="0032234B" w:rsidP="009B269F" w:rsidRDefault="0032234B" w14:paraId="14D13FDA" w14:textId="13FE9A34">
      <w:pPr>
        <w:overflowPunct w:val="0"/>
        <w:autoSpaceDE w:val="0"/>
        <w:autoSpaceDN w:val="0"/>
        <w:adjustRightInd w:val="0"/>
        <w:jc w:val="center"/>
        <w:textAlignment w:val="baseline"/>
      </w:pPr>
    </w:p>
    <w:p w:rsidRPr="009B269F" w:rsidR="00854E51" w:rsidP="009B269F" w:rsidRDefault="00854E51" w14:paraId="397B2AB2" w14:textId="612CDE43">
      <w:pPr>
        <w:jc w:val="left"/>
      </w:pPr>
      <w:r w:rsidRPr="009B269F">
        <w:br w:type="page"/>
      </w:r>
    </w:p>
    <w:p w:rsidRPr="009B269F" w:rsidR="00366D9C" w:rsidP="009B269F" w:rsidRDefault="00366D9C" w14:paraId="2018C1AC" w14:textId="1163AFEA">
      <w:pPr>
        <w:widowControl w:val="0"/>
        <w:numPr>
          <w:ilvl w:val="0"/>
          <w:numId w:val="6"/>
        </w:numPr>
        <w:overflowPunct w:val="0"/>
        <w:autoSpaceDE w:val="0"/>
        <w:autoSpaceDN w:val="0"/>
        <w:adjustRightInd w:val="0"/>
        <w:ind w:hanging="567"/>
        <w:textAlignment w:val="baseline"/>
        <w:rPr>
          <w:rStyle w:val="Hyperlink"/>
          <w:b/>
          <w:bCs/>
          <w:i/>
          <w:iCs/>
          <w:sz w:val="28"/>
          <w:szCs w:val="28"/>
        </w:rPr>
      </w:pPr>
      <w:r w:rsidRPr="009B269F">
        <w:rPr>
          <w:b/>
          <w:i/>
          <w:sz w:val="28"/>
        </w:rPr>
        <w:lastRenderedPageBreak/>
        <w:fldChar w:fldCharType="begin"/>
      </w:r>
      <w:r w:rsidRPr="009B269F">
        <w:rPr>
          <w:b/>
          <w:i/>
          <w:sz w:val="28"/>
        </w:rPr>
        <w:instrText>HYPERLINK "https://www.eesc.europa.eu/cs/our-work/opinions-information-reports/opinions/traineeship-directive-and-reinforced-quality-framework-traineeships"</w:instrText>
      </w:r>
      <w:r w:rsidRPr="009B269F">
        <w:rPr>
          <w:b/>
          <w:i/>
          <w:sz w:val="28"/>
        </w:rPr>
        <w:fldChar w:fldCharType="separate"/>
      </w:r>
      <w:r w:rsidRPr="009B269F">
        <w:rPr>
          <w:rStyle w:val="Hyperlink"/>
          <w:b/>
          <w:i/>
          <w:sz w:val="28"/>
        </w:rPr>
        <w:t>Směrnice o stážích a posílený rámec kvality stáží</w:t>
      </w:r>
    </w:p>
    <w:p w:rsidRPr="009B269F" w:rsidR="00366D9C" w:rsidP="009B269F" w:rsidRDefault="00366D9C" w14:paraId="70CA9F80" w14:textId="77777777">
      <w:pPr>
        <w:widowControl w:val="0"/>
        <w:ind w:left="567"/>
        <w:rPr>
          <w:b/>
          <w:i/>
        </w:rPr>
      </w:pPr>
      <w:r w:rsidRPr="009B269F">
        <w:rPr>
          <w:b/>
          <w:i/>
          <w:sz w:val="28"/>
        </w:rPr>
        <w:fldChar w:fldCharType="end"/>
      </w:r>
    </w:p>
    <w:tbl>
      <w:tblPr>
        <w:tblStyle w:val="TableGrid"/>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9B269F" w:rsidR="00366D9C" w:rsidTr="008C66FD" w14:paraId="15D66F9A" w14:textId="77777777">
        <w:tc>
          <w:tcPr>
            <w:tcW w:w="1522" w:type="pct"/>
          </w:tcPr>
          <w:p w:rsidRPr="009B269F" w:rsidR="00366D9C" w:rsidP="009B269F" w:rsidRDefault="00366D9C" w14:paraId="2855DE4C" w14:textId="77777777">
            <w:pPr>
              <w:ind w:left="-113"/>
              <w:rPr>
                <w:b/>
              </w:rPr>
            </w:pPr>
            <w:r w:rsidRPr="009B269F">
              <w:rPr>
                <w:b/>
              </w:rPr>
              <w:t>Zpravodajka</w:t>
            </w:r>
          </w:p>
        </w:tc>
        <w:tc>
          <w:tcPr>
            <w:tcW w:w="3478" w:type="pct"/>
          </w:tcPr>
          <w:p w:rsidRPr="009B269F" w:rsidR="00366D9C" w:rsidP="009B269F" w:rsidRDefault="00366D9C" w14:paraId="013DD990" w14:textId="77777777">
            <w:pPr>
              <w:tabs>
                <w:tab w:val="left" w:pos="4572"/>
              </w:tabs>
              <w:ind w:left="-113" w:right="-823"/>
            </w:pPr>
            <w:r w:rsidRPr="009B269F">
              <w:t>Nicoletta MERLO (skupina Zaměstnanci – IT)</w:t>
            </w:r>
          </w:p>
          <w:p w:rsidRPr="009B269F" w:rsidR="00366D9C" w:rsidP="009B269F" w:rsidRDefault="00366D9C" w14:paraId="3CD01585" w14:textId="77777777">
            <w:pPr>
              <w:tabs>
                <w:tab w:val="left" w:pos="4572"/>
              </w:tabs>
              <w:ind w:left="-113" w:right="-823"/>
            </w:pPr>
          </w:p>
        </w:tc>
      </w:tr>
      <w:tr w:rsidRPr="009B269F" w:rsidR="00366D9C" w:rsidTr="008C66FD" w14:paraId="5534C417" w14:textId="77777777">
        <w:tc>
          <w:tcPr>
            <w:tcW w:w="1522" w:type="pct"/>
          </w:tcPr>
          <w:p w:rsidRPr="009B269F" w:rsidR="00366D9C" w:rsidP="009B269F" w:rsidRDefault="00366D9C" w14:paraId="5E84358B" w14:textId="77777777">
            <w:pPr>
              <w:ind w:left="-113"/>
              <w:rPr>
                <w:b/>
              </w:rPr>
            </w:pPr>
            <w:r w:rsidRPr="009B269F">
              <w:rPr>
                <w:b/>
              </w:rPr>
              <w:t>Odkaz</w:t>
            </w:r>
          </w:p>
        </w:tc>
        <w:tc>
          <w:tcPr>
            <w:tcW w:w="3478" w:type="pct"/>
          </w:tcPr>
          <w:p w:rsidR="000F05D5" w:rsidP="000F05D5" w:rsidRDefault="000F05D5" w14:paraId="01E0B300" w14:textId="77777777">
            <w:pPr>
              <w:tabs>
                <w:tab w:val="left" w:pos="4430"/>
              </w:tabs>
              <w:ind w:left="-113" w:right="-823"/>
            </w:pPr>
            <w:r>
              <w:t>COM(2024) 132 final</w:t>
            </w:r>
          </w:p>
          <w:p w:rsidR="000F05D5" w:rsidP="000F05D5" w:rsidRDefault="000F05D5" w14:paraId="66595832" w14:textId="243FBED3">
            <w:pPr>
              <w:tabs>
                <w:tab w:val="left" w:pos="4430"/>
              </w:tabs>
              <w:ind w:left="-113" w:right="-823"/>
            </w:pPr>
            <w:r>
              <w:t>COM(2024) 133 final</w:t>
            </w:r>
          </w:p>
          <w:p w:rsidRPr="009B269F" w:rsidR="00366D9C" w:rsidP="009B269F" w:rsidRDefault="00366D9C" w14:paraId="11070418" w14:textId="2ACBC535">
            <w:pPr>
              <w:tabs>
                <w:tab w:val="left" w:pos="4430"/>
              </w:tabs>
              <w:ind w:left="-113" w:right="-823"/>
            </w:pPr>
            <w:r w:rsidRPr="009B269F">
              <w:t>EESC-2024-01418-00-00-AC</w:t>
            </w:r>
          </w:p>
        </w:tc>
      </w:tr>
    </w:tbl>
    <w:p w:rsidRPr="009B269F" w:rsidR="00366D9C" w:rsidP="009B269F" w:rsidRDefault="00366D9C" w14:paraId="6453891C" w14:textId="77777777">
      <w:pPr>
        <w:keepNext/>
        <w:keepLines/>
        <w:tabs>
          <w:tab w:val="center" w:pos="284"/>
        </w:tabs>
        <w:ind w:left="266" w:hanging="266"/>
        <w:rPr>
          <w:b/>
        </w:rPr>
      </w:pPr>
    </w:p>
    <w:p w:rsidRPr="009B269F" w:rsidR="00366D9C" w:rsidP="009B269F" w:rsidRDefault="00366D9C" w14:paraId="73BFE071" w14:textId="77777777">
      <w:pPr>
        <w:keepNext/>
        <w:keepLines/>
        <w:tabs>
          <w:tab w:val="center" w:pos="284"/>
        </w:tabs>
        <w:ind w:left="266" w:hanging="266"/>
        <w:rPr>
          <w:b/>
        </w:rPr>
      </w:pPr>
      <w:r w:rsidRPr="009B269F">
        <w:rPr>
          <w:b/>
        </w:rPr>
        <w:t>Hlavní body</w:t>
      </w:r>
    </w:p>
    <w:p w:rsidRPr="009B269F" w:rsidR="00366D9C" w:rsidP="009B269F" w:rsidRDefault="00366D9C" w14:paraId="2312571F" w14:textId="77777777">
      <w:pPr>
        <w:keepNext/>
        <w:keepLines/>
        <w:tabs>
          <w:tab w:val="center" w:pos="284"/>
        </w:tabs>
        <w:ind w:left="266" w:hanging="266"/>
        <w:rPr>
          <w:b/>
        </w:rPr>
      </w:pPr>
    </w:p>
    <w:p w:rsidRPr="009B269F" w:rsidR="00366D9C" w:rsidP="009B269F" w:rsidRDefault="00366D9C" w14:paraId="11A514B6" w14:textId="77777777">
      <w:pPr>
        <w:keepNext/>
        <w:keepLines/>
        <w:tabs>
          <w:tab w:val="center" w:pos="284"/>
        </w:tabs>
        <w:ind w:left="266" w:hanging="266"/>
      </w:pPr>
      <w:r w:rsidRPr="009B269F">
        <w:t>EHSV:</w:t>
      </w:r>
    </w:p>
    <w:p w:rsidRPr="009B269F" w:rsidR="00366D9C" w:rsidP="009B269F" w:rsidRDefault="00366D9C" w14:paraId="0518326F" w14:textId="77777777">
      <w:pPr>
        <w:pStyle w:val="ListParagraph"/>
        <w:keepNext/>
        <w:keepLines/>
        <w:tabs>
          <w:tab w:val="center" w:pos="284"/>
        </w:tabs>
      </w:pPr>
    </w:p>
    <w:p w:rsidRPr="009B269F" w:rsidR="00366D9C" w:rsidP="009B269F" w:rsidRDefault="00366D9C" w14:paraId="0C53752A" w14:textId="77777777">
      <w:pPr>
        <w:pStyle w:val="ListParagraph"/>
        <w:keepNext/>
        <w:keepLines/>
        <w:numPr>
          <w:ilvl w:val="0"/>
          <w:numId w:val="10"/>
        </w:numPr>
        <w:ind w:left="567" w:hanging="567"/>
      </w:pPr>
      <w:r w:rsidRPr="009B269F">
        <w:t xml:space="preserve">zdůrazňuje, že učňovská příprava a stáže jsou dvě různé formy pracovní praxe, které sledují odlišný cíl a jsou upraveny samostatnými předpisy; </w:t>
      </w:r>
    </w:p>
    <w:p w:rsidRPr="009B269F" w:rsidR="00366D9C" w:rsidP="009B269F" w:rsidRDefault="00366D9C" w14:paraId="78C27F81" w14:textId="77777777">
      <w:pPr>
        <w:pStyle w:val="ListParagraph"/>
        <w:keepNext/>
        <w:keepLines/>
        <w:numPr>
          <w:ilvl w:val="0"/>
          <w:numId w:val="10"/>
        </w:numPr>
        <w:ind w:left="567" w:hanging="567"/>
      </w:pPr>
      <w:r w:rsidRPr="009B269F">
        <w:t>doporučuje zajistit, aby členské státy nebyly na základě definic stanovených v článku 2 povinny klasifikovat stáž jako pracovní poměr, pokud tato pracovní praxe v souladu s právními předpisy daného členského státu nespadá pod definici „stážisty“ dle této směrnice;</w:t>
      </w:r>
    </w:p>
    <w:p w:rsidRPr="009B269F" w:rsidR="00366D9C" w:rsidP="009B269F" w:rsidRDefault="00366D9C" w14:paraId="58A2815B" w14:textId="77777777">
      <w:pPr>
        <w:pStyle w:val="ListParagraph"/>
        <w:keepNext/>
        <w:keepLines/>
        <w:numPr>
          <w:ilvl w:val="0"/>
          <w:numId w:val="10"/>
        </w:numPr>
        <w:ind w:left="567" w:hanging="567"/>
      </w:pPr>
      <w:r w:rsidRPr="009B269F">
        <w:t>navrhuje zahrnout do směrnice seznam pracovních podmínek, z nichž nelze slevit, aby tak byly lépe chráněny zájmy stážistů. Zároveň však musí být zaručena autonomie sociálních partnerů, co se týče úpravy podmínek stáží na otevřeném trhu;</w:t>
      </w:r>
    </w:p>
    <w:p w:rsidRPr="009B269F" w:rsidR="00366D9C" w:rsidP="009B269F" w:rsidRDefault="00366D9C" w14:paraId="6D4965E2" w14:textId="77777777">
      <w:pPr>
        <w:pStyle w:val="ListParagraph"/>
        <w:keepNext/>
        <w:keepLines/>
        <w:numPr>
          <w:ilvl w:val="0"/>
          <w:numId w:val="10"/>
        </w:numPr>
        <w:ind w:left="567" w:hanging="567"/>
      </w:pPr>
      <w:r w:rsidRPr="009B269F">
        <w:t>upozorňuje, že v rámci boje proti zastírání řádných pracovních poměrů stážemi hrají mimořádně důležitou roli příslušné orgány. Je rovněž nutné uznat, že se na tomto úsilí mohou významně podílet sociální partneři;</w:t>
      </w:r>
    </w:p>
    <w:p w:rsidRPr="009B269F" w:rsidR="00366D9C" w:rsidP="009B269F" w:rsidRDefault="00366D9C" w14:paraId="33D68989" w14:textId="77777777">
      <w:pPr>
        <w:pStyle w:val="ListParagraph"/>
        <w:keepNext/>
        <w:keepLines/>
        <w:numPr>
          <w:ilvl w:val="0"/>
          <w:numId w:val="10"/>
        </w:numPr>
        <w:ind w:left="567" w:hanging="567"/>
      </w:pPr>
      <w:r w:rsidRPr="009B269F">
        <w:t>žádá, aby bylo stanoveno, že zástupci zaměstnanců mohou ve všech případech jednat na ochranu stážistů, i když stáž nepředstavuje pracovní poměr;</w:t>
      </w:r>
    </w:p>
    <w:p w:rsidRPr="009B269F" w:rsidR="00366D9C" w:rsidP="009B269F" w:rsidRDefault="00366D9C" w14:paraId="48671F1E" w14:textId="77777777">
      <w:pPr>
        <w:pStyle w:val="ListParagraph"/>
        <w:keepNext/>
        <w:keepLines/>
        <w:numPr>
          <w:ilvl w:val="0"/>
          <w:numId w:val="10"/>
        </w:numPr>
        <w:ind w:left="567" w:hanging="567"/>
      </w:pPr>
      <w:r w:rsidRPr="009B269F">
        <w:t>doporučuje stanovit pro veškeré druhy stáží minimální kritéria kvality, která budou platit v celé EU, a to s cílem zaručit ve všech členských státech vysoké standardy a společný výchozí rámec. Upozorňuje, že je v rámci přezkumu a provádění nezbytné shromáždit na úrovni EU údaje a příklady osvědčených vnitrostátních postupů v souvislosti s jednotlivými druhy stáží a sdílet tyto příklady;</w:t>
      </w:r>
    </w:p>
    <w:p w:rsidRPr="009B269F" w:rsidR="00366D9C" w:rsidP="009B269F" w:rsidRDefault="00366D9C" w14:paraId="37218D47" w14:textId="77777777">
      <w:pPr>
        <w:pStyle w:val="ListParagraph"/>
        <w:keepNext/>
        <w:keepLines/>
        <w:numPr>
          <w:ilvl w:val="0"/>
          <w:numId w:val="10"/>
        </w:numPr>
        <w:ind w:left="567" w:hanging="567"/>
      </w:pPr>
      <w:r w:rsidRPr="009B269F">
        <w:t>vyzdvihuje význam spravedlivé odměny, v níž budou zohledněny také případné náklady spojené s účastí na odborné přípravě a náklady na pokrytí souvisejících existenčních potřeb.</w:t>
      </w:r>
    </w:p>
    <w:p w:rsidRPr="009B269F" w:rsidR="00366D9C" w:rsidP="009B269F" w:rsidRDefault="00366D9C" w14:paraId="1D35AC4B" w14:textId="77777777">
      <w:pPr>
        <w:pStyle w:val="ListParagraph"/>
        <w:keepNext/>
        <w:keepLines/>
        <w:ind w:left="567"/>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366D9C" w:rsidTr="008C66FD" w14:paraId="374B20C9" w14:textId="77777777">
        <w:tc>
          <w:tcPr>
            <w:tcW w:w="1556" w:type="pct"/>
          </w:tcPr>
          <w:p w:rsidRPr="009B269F" w:rsidR="00366D9C" w:rsidP="009B269F" w:rsidRDefault="00366D9C" w14:paraId="2F1F885F" w14:textId="77777777">
            <w:pPr>
              <w:rPr>
                <w:i/>
              </w:rPr>
            </w:pPr>
            <w:r w:rsidRPr="009B269F">
              <w:rPr>
                <w:b/>
                <w:i/>
              </w:rPr>
              <w:t>Kontakt:</w:t>
            </w:r>
          </w:p>
        </w:tc>
        <w:tc>
          <w:tcPr>
            <w:tcW w:w="3444" w:type="pct"/>
          </w:tcPr>
          <w:p w:rsidRPr="009B269F" w:rsidR="00366D9C" w:rsidP="009B269F" w:rsidRDefault="00366D9C" w14:paraId="67BF7728" w14:textId="77777777">
            <w:pPr>
              <w:rPr>
                <w:i/>
              </w:rPr>
            </w:pPr>
            <w:r w:rsidRPr="009B269F">
              <w:rPr>
                <w:i/>
              </w:rPr>
              <w:t>Sabrina BORG</w:t>
            </w:r>
          </w:p>
        </w:tc>
      </w:tr>
      <w:tr w:rsidRPr="009B269F" w:rsidR="00366D9C" w:rsidTr="008C66FD" w14:paraId="4B6FE8C0" w14:textId="77777777">
        <w:tc>
          <w:tcPr>
            <w:tcW w:w="1556" w:type="pct"/>
          </w:tcPr>
          <w:p w:rsidRPr="009B269F" w:rsidR="00366D9C" w:rsidP="009B269F" w:rsidRDefault="00366D9C" w14:paraId="58357E08" w14:textId="77777777">
            <w:pPr>
              <w:jc w:val="right"/>
              <w:rPr>
                <w:i/>
              </w:rPr>
            </w:pPr>
            <w:r w:rsidRPr="009B269F">
              <w:rPr>
                <w:i/>
              </w:rPr>
              <w:t>Tel.:</w:t>
            </w:r>
          </w:p>
        </w:tc>
        <w:tc>
          <w:tcPr>
            <w:tcW w:w="3444" w:type="pct"/>
          </w:tcPr>
          <w:p w:rsidRPr="009B269F" w:rsidR="00366D9C" w:rsidP="009B269F" w:rsidRDefault="00366D9C" w14:paraId="1730EFE5" w14:textId="77777777">
            <w:pPr>
              <w:rPr>
                <w:i/>
              </w:rPr>
            </w:pPr>
            <w:r w:rsidRPr="009B269F">
              <w:rPr>
                <w:i/>
              </w:rPr>
              <w:t>+32 25469727</w:t>
            </w:r>
          </w:p>
        </w:tc>
      </w:tr>
      <w:tr w:rsidRPr="009B269F" w:rsidR="00366D9C" w:rsidTr="008C66FD" w14:paraId="65C2782B" w14:textId="77777777">
        <w:tc>
          <w:tcPr>
            <w:tcW w:w="1556" w:type="pct"/>
          </w:tcPr>
          <w:p w:rsidRPr="009B269F" w:rsidR="00366D9C" w:rsidP="009B269F" w:rsidRDefault="00366D9C" w14:paraId="1F40EF4F" w14:textId="77777777">
            <w:pPr>
              <w:jc w:val="right"/>
              <w:rPr>
                <w:i/>
              </w:rPr>
            </w:pPr>
            <w:r w:rsidRPr="009B269F">
              <w:rPr>
                <w:i/>
              </w:rPr>
              <w:t>E-mail:</w:t>
            </w:r>
          </w:p>
        </w:tc>
        <w:tc>
          <w:tcPr>
            <w:tcW w:w="3444" w:type="pct"/>
          </w:tcPr>
          <w:p w:rsidRPr="009B269F" w:rsidR="00366D9C" w:rsidP="009B269F" w:rsidRDefault="000029F8" w14:paraId="19297036" w14:textId="77777777">
            <w:pPr>
              <w:rPr>
                <w:rStyle w:val="Hyperlink"/>
              </w:rPr>
            </w:pPr>
            <w:hyperlink w:history="1" r:id="rId30">
              <w:r w:rsidRPr="009B269F" w:rsidR="00366D9C">
                <w:rPr>
                  <w:rStyle w:val="Hyperlink"/>
                  <w:i/>
                </w:rPr>
                <w:t>Sabrina.Borg@eesc.europa.eu</w:t>
              </w:r>
            </w:hyperlink>
          </w:p>
        </w:tc>
      </w:tr>
    </w:tbl>
    <w:p w:rsidRPr="009B269F" w:rsidR="00366D9C" w:rsidP="009B269F" w:rsidRDefault="00366D9C" w14:paraId="7088FE6F" w14:textId="77777777">
      <w:pPr>
        <w:jc w:val="center"/>
      </w:pPr>
    </w:p>
    <w:p w:rsidRPr="009B269F" w:rsidR="00854E51" w:rsidP="009B269F" w:rsidRDefault="00854E51" w14:paraId="36B12DEF" w14:textId="386062CC">
      <w:pPr>
        <w:overflowPunct w:val="0"/>
        <w:autoSpaceDE w:val="0"/>
        <w:autoSpaceDN w:val="0"/>
        <w:adjustRightInd w:val="0"/>
        <w:jc w:val="center"/>
        <w:textAlignment w:val="baseline"/>
      </w:pPr>
    </w:p>
    <w:p w:rsidRPr="009B269F" w:rsidR="000F7CD9" w:rsidP="009B269F" w:rsidRDefault="000F7CD9" w14:paraId="64BB0E30" w14:textId="771C3EB8">
      <w:pPr>
        <w:jc w:val="left"/>
      </w:pPr>
      <w:r w:rsidRPr="009B269F">
        <w:br w:type="page"/>
      </w:r>
    </w:p>
    <w:p w:rsidRPr="009B269F" w:rsidR="000F7CD9" w:rsidP="009B269F" w:rsidRDefault="000F7CD9" w14:paraId="119F1FA5" w14:textId="3F401492">
      <w:pPr>
        <w:overflowPunct w:val="0"/>
        <w:autoSpaceDE w:val="0"/>
        <w:autoSpaceDN w:val="0"/>
        <w:adjustRightInd w:val="0"/>
        <w:jc w:val="center"/>
        <w:textAlignment w:val="baseline"/>
      </w:pPr>
    </w:p>
    <w:p w:rsidRPr="009B269F" w:rsidR="000F7CD9" w:rsidP="009B269F" w:rsidRDefault="000F7CD9" w14:paraId="1861EE3F" w14:textId="227C710F">
      <w:pPr>
        <w:pStyle w:val="Heading1"/>
        <w:tabs>
          <w:tab w:val="clear" w:pos="440"/>
        </w:tabs>
        <w:spacing w:before="0"/>
        <w:ind w:left="567" w:hanging="567"/>
        <w:rPr>
          <w:b/>
          <w:bCs/>
        </w:rPr>
      </w:pPr>
      <w:bookmarkStart w:name="_Toc172192741" w:id="9"/>
      <w:bookmarkStart w:name="_Toc172192937" w:id="10"/>
      <w:r w:rsidRPr="009B269F">
        <w:rPr>
          <w:b/>
          <w:bCs/>
        </w:rPr>
        <w:t>JEDNOTNÝ TRH, VÝROBA A SPOTŘEBA</w:t>
      </w:r>
      <w:bookmarkEnd w:id="9"/>
      <w:bookmarkEnd w:id="10"/>
    </w:p>
    <w:p w:rsidRPr="009B269F" w:rsidR="000F7CD9" w:rsidP="009B269F" w:rsidRDefault="000F7CD9" w14:paraId="41C0F4CF" w14:textId="77777777">
      <w:pPr>
        <w:overflowPunct w:val="0"/>
        <w:autoSpaceDE w:val="0"/>
        <w:autoSpaceDN w:val="0"/>
        <w:adjustRightInd w:val="0"/>
        <w:jc w:val="center"/>
        <w:textAlignment w:val="baseline"/>
      </w:pPr>
    </w:p>
    <w:p w:rsidRPr="009B269F" w:rsidR="00854E51" w:rsidP="009B269F" w:rsidRDefault="000029F8" w14:paraId="2CAD6D17" w14:textId="343E3F04">
      <w:pPr>
        <w:widowControl w:val="0"/>
        <w:numPr>
          <w:ilvl w:val="0"/>
          <w:numId w:val="6"/>
        </w:numPr>
        <w:overflowPunct w:val="0"/>
        <w:autoSpaceDE w:val="0"/>
        <w:autoSpaceDN w:val="0"/>
        <w:adjustRightInd w:val="0"/>
        <w:ind w:hanging="567"/>
        <w:textAlignment w:val="baseline"/>
        <w:rPr>
          <w:sz w:val="20"/>
        </w:rPr>
      </w:pPr>
      <w:hyperlink w:history="1" r:id="rId31">
        <w:r w:rsidR="00F8520A">
          <w:rPr>
            <w:rStyle w:val="Hyperlink"/>
            <w:b/>
            <w:i/>
            <w:sz w:val="28"/>
          </w:rPr>
          <w:t>Návrh doporučení Rady o posílení bezpečnosti výzkumu</w:t>
        </w:r>
      </w:hyperlink>
    </w:p>
    <w:p w:rsidRPr="009B269F" w:rsidR="00854E51" w:rsidP="009B269F" w:rsidRDefault="00854E51" w14:paraId="143EE6C5"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B269F" w:rsidR="00854E51" w:rsidTr="008C66FD" w14:paraId="63EF59D5" w14:textId="77777777">
        <w:tc>
          <w:tcPr>
            <w:tcW w:w="1591" w:type="pct"/>
          </w:tcPr>
          <w:p w:rsidRPr="009B269F" w:rsidR="00854E51" w:rsidP="009B269F" w:rsidRDefault="00854E51" w14:paraId="4C27DE1F" w14:textId="77777777">
            <w:pPr>
              <w:tabs>
                <w:tab w:val="center" w:pos="284"/>
              </w:tabs>
              <w:ind w:left="266" w:hanging="266"/>
              <w:rPr>
                <w:b/>
              </w:rPr>
            </w:pPr>
            <w:r w:rsidRPr="009B269F">
              <w:rPr>
                <w:b/>
              </w:rPr>
              <w:t>Zpravodaj</w:t>
            </w:r>
          </w:p>
        </w:tc>
        <w:tc>
          <w:tcPr>
            <w:tcW w:w="3409" w:type="pct"/>
          </w:tcPr>
          <w:p w:rsidRPr="009B269F" w:rsidR="00854E51" w:rsidP="009B269F" w:rsidRDefault="00854E51" w14:paraId="30811AD6" w14:textId="77777777">
            <w:pPr>
              <w:tabs>
                <w:tab w:val="center" w:pos="284"/>
              </w:tabs>
              <w:ind w:left="266" w:hanging="266"/>
              <w:rPr>
                <w:bCs/>
              </w:rPr>
            </w:pPr>
            <w:r w:rsidRPr="009B269F">
              <w:t>Stefano PALMIERI (Zaměstnanci – IT)</w:t>
            </w:r>
          </w:p>
        </w:tc>
      </w:tr>
      <w:tr w:rsidRPr="009B269F" w:rsidR="00854E51" w:rsidTr="008C66FD" w14:paraId="36465954" w14:textId="77777777">
        <w:tc>
          <w:tcPr>
            <w:tcW w:w="5000" w:type="pct"/>
            <w:gridSpan w:val="2"/>
          </w:tcPr>
          <w:p w:rsidRPr="009B269F" w:rsidR="00854E51" w:rsidP="009B269F" w:rsidRDefault="00854E51" w14:paraId="70563544" w14:textId="77777777">
            <w:pPr>
              <w:tabs>
                <w:tab w:val="center" w:pos="284"/>
              </w:tabs>
              <w:ind w:left="266" w:hanging="266"/>
              <w:rPr>
                <w:lang w:val="en-US"/>
              </w:rPr>
            </w:pPr>
          </w:p>
        </w:tc>
      </w:tr>
      <w:tr w:rsidRPr="009B269F" w:rsidR="00854E51" w:rsidTr="008C66FD" w14:paraId="65425C83" w14:textId="77777777">
        <w:tc>
          <w:tcPr>
            <w:tcW w:w="1591" w:type="pct"/>
            <w:vMerge w:val="restart"/>
          </w:tcPr>
          <w:p w:rsidRPr="009B269F" w:rsidR="00854E51" w:rsidP="009B269F" w:rsidRDefault="00854E51" w14:paraId="43DDCD72" w14:textId="77777777">
            <w:pPr>
              <w:tabs>
                <w:tab w:val="center" w:pos="284"/>
              </w:tabs>
              <w:ind w:left="266" w:hanging="266"/>
              <w:rPr>
                <w:b/>
              </w:rPr>
            </w:pPr>
            <w:r w:rsidRPr="009B269F">
              <w:rPr>
                <w:b/>
              </w:rPr>
              <w:t>Odkazy</w:t>
            </w:r>
          </w:p>
        </w:tc>
        <w:tc>
          <w:tcPr>
            <w:tcW w:w="3409" w:type="pct"/>
          </w:tcPr>
          <w:p w:rsidRPr="009B269F" w:rsidR="00854E51" w:rsidP="009B269F" w:rsidRDefault="00854E51" w14:paraId="2F1F77C4" w14:textId="77777777">
            <w:pPr>
              <w:tabs>
                <w:tab w:val="center" w:pos="284"/>
              </w:tabs>
              <w:ind w:left="266" w:hanging="266"/>
            </w:pPr>
            <w:r w:rsidRPr="009B269F">
              <w:t>COM(2024) 26 final</w:t>
            </w:r>
          </w:p>
        </w:tc>
      </w:tr>
      <w:tr w:rsidRPr="009B269F" w:rsidR="00854E51" w:rsidTr="008C66FD" w14:paraId="5898B825" w14:textId="77777777">
        <w:tc>
          <w:tcPr>
            <w:tcW w:w="1591" w:type="pct"/>
            <w:vMerge/>
          </w:tcPr>
          <w:p w:rsidRPr="009B269F" w:rsidR="00854E51" w:rsidP="009B269F" w:rsidRDefault="00854E51" w14:paraId="3DE40447" w14:textId="77777777">
            <w:pPr>
              <w:tabs>
                <w:tab w:val="center" w:pos="284"/>
              </w:tabs>
              <w:ind w:left="266" w:hanging="266"/>
              <w:rPr>
                <w:b/>
                <w:lang w:val="en-US"/>
              </w:rPr>
            </w:pPr>
          </w:p>
        </w:tc>
        <w:tc>
          <w:tcPr>
            <w:tcW w:w="3409" w:type="pct"/>
          </w:tcPr>
          <w:p w:rsidRPr="009B269F" w:rsidR="00854E51" w:rsidP="009B269F" w:rsidRDefault="00854E51" w14:paraId="6F84E6D7" w14:textId="77777777">
            <w:pPr>
              <w:tabs>
                <w:tab w:val="center" w:pos="284"/>
              </w:tabs>
              <w:ind w:left="266" w:hanging="266"/>
            </w:pPr>
            <w:r w:rsidRPr="009B269F">
              <w:t>EESC-2024-00827-00-00-AC</w:t>
            </w:r>
          </w:p>
        </w:tc>
      </w:tr>
    </w:tbl>
    <w:p w:rsidRPr="009B269F" w:rsidR="00854E51" w:rsidP="009B269F" w:rsidRDefault="00854E51" w14:paraId="75DD4EF6" w14:textId="77777777">
      <w:pPr>
        <w:tabs>
          <w:tab w:val="center" w:pos="284"/>
        </w:tabs>
        <w:ind w:left="266" w:hanging="266"/>
      </w:pPr>
    </w:p>
    <w:p w:rsidRPr="009B269F" w:rsidR="00854E51" w:rsidP="009B269F" w:rsidRDefault="00854E51" w14:paraId="462B264F" w14:textId="77777777">
      <w:pPr>
        <w:keepNext/>
        <w:keepLines/>
        <w:tabs>
          <w:tab w:val="center" w:pos="284"/>
        </w:tabs>
        <w:ind w:left="266" w:hanging="266"/>
        <w:rPr>
          <w:b/>
        </w:rPr>
      </w:pPr>
      <w:r w:rsidRPr="009B269F">
        <w:rPr>
          <w:b/>
        </w:rPr>
        <w:t>Hlavní body</w:t>
      </w:r>
    </w:p>
    <w:p w:rsidRPr="009B269F" w:rsidR="00854E51" w:rsidP="009B269F" w:rsidRDefault="00854E51" w14:paraId="006970C1" w14:textId="77777777">
      <w:pPr>
        <w:keepNext/>
        <w:keepLines/>
        <w:tabs>
          <w:tab w:val="center" w:pos="284"/>
        </w:tabs>
        <w:ind w:left="266" w:hanging="266"/>
        <w:rPr>
          <w:b/>
        </w:rPr>
      </w:pPr>
    </w:p>
    <w:p w:rsidRPr="009B269F" w:rsidR="00854E51" w:rsidP="009B269F" w:rsidRDefault="00854E51" w14:paraId="68175D99" w14:textId="77777777">
      <w:pPr>
        <w:rPr>
          <w:bCs/>
          <w:iCs/>
        </w:rPr>
      </w:pPr>
      <w:r w:rsidRPr="009B269F">
        <w:t>EHSV:</w:t>
      </w:r>
    </w:p>
    <w:p w:rsidRPr="009B269F" w:rsidR="00854E51" w:rsidP="009B269F" w:rsidRDefault="00854E51" w14:paraId="636EAD58" w14:textId="77777777">
      <w:pPr>
        <w:rPr>
          <w:bCs/>
          <w:iCs/>
        </w:rPr>
      </w:pPr>
    </w:p>
    <w:p w:rsidRPr="009B269F" w:rsidR="00854E51" w:rsidP="009B269F" w:rsidRDefault="00854E51" w14:paraId="27FCED60" w14:textId="77777777">
      <w:pPr>
        <w:widowControl w:val="0"/>
        <w:numPr>
          <w:ilvl w:val="0"/>
          <w:numId w:val="25"/>
        </w:numPr>
        <w:overflowPunct w:val="0"/>
        <w:autoSpaceDE w:val="0"/>
        <w:autoSpaceDN w:val="0"/>
        <w:adjustRightInd w:val="0"/>
        <w:ind w:left="567" w:hanging="567"/>
        <w:textAlignment w:val="baseline"/>
        <w:rPr>
          <w:bCs/>
          <w:iCs/>
        </w:rPr>
      </w:pPr>
      <w:r w:rsidRPr="009B269F">
        <w:t>sice chápe, že odvětví výzkumu a inovací je zranitelné vůči možnému zlovolnému vměšování ze strany státních i nestátních subjektů do některých činností mezinárodní spolupráce v oblasti výzkumu a inovací, domnívá se však, že by měla být nalezena přiměřená rovnováha mezi potřebou bezpečnosti a potřebou zachovat mezinárodní otevřenost tohoto odvětví;</w:t>
      </w:r>
    </w:p>
    <w:p w:rsidRPr="009B269F" w:rsidR="00854E51" w:rsidP="009B269F" w:rsidRDefault="00854E51" w14:paraId="2D2B3EA3" w14:textId="77777777">
      <w:pPr>
        <w:widowControl w:val="0"/>
        <w:numPr>
          <w:ilvl w:val="0"/>
          <w:numId w:val="25"/>
        </w:numPr>
        <w:overflowPunct w:val="0"/>
        <w:autoSpaceDE w:val="0"/>
        <w:autoSpaceDN w:val="0"/>
        <w:adjustRightInd w:val="0"/>
        <w:ind w:left="567" w:hanging="567"/>
        <w:textAlignment w:val="baseline"/>
        <w:rPr>
          <w:bCs/>
          <w:iCs/>
        </w:rPr>
      </w:pPr>
      <w:r w:rsidRPr="009B269F">
        <w:t>domnívá se, že opatření k zajištění bezpečnosti výzkumu a inovací nesmí být nikdy v rozporu se zaručením plné autonomie a svobody výzkumu;</w:t>
      </w:r>
    </w:p>
    <w:p w:rsidRPr="009B269F" w:rsidR="00854E51" w:rsidP="009B269F" w:rsidRDefault="00854E51" w14:paraId="6F0EC6FB" w14:textId="77777777">
      <w:pPr>
        <w:widowControl w:val="0"/>
        <w:numPr>
          <w:ilvl w:val="0"/>
          <w:numId w:val="25"/>
        </w:numPr>
        <w:overflowPunct w:val="0"/>
        <w:autoSpaceDE w:val="0"/>
        <w:autoSpaceDN w:val="0"/>
        <w:adjustRightInd w:val="0"/>
        <w:ind w:left="567" w:hanging="567"/>
        <w:textAlignment w:val="baseline"/>
        <w:rPr>
          <w:bCs/>
          <w:iCs/>
        </w:rPr>
      </w:pPr>
      <w:r w:rsidRPr="009B269F">
        <w:t>doporučuje, aby byla subjektům v oblasti výzkumu a inovací zaručena zásada „svobody v rámci odpovědnosti“ formou účinné, efektivní a transparentní autonomie subjektů působících v tomto odvětví;</w:t>
      </w:r>
    </w:p>
    <w:p w:rsidRPr="009B269F" w:rsidR="00854E51" w:rsidP="009B269F" w:rsidRDefault="00854E51" w14:paraId="24F48E3C" w14:textId="77777777">
      <w:pPr>
        <w:widowControl w:val="0"/>
        <w:numPr>
          <w:ilvl w:val="0"/>
          <w:numId w:val="25"/>
        </w:numPr>
        <w:overflowPunct w:val="0"/>
        <w:autoSpaceDE w:val="0"/>
        <w:autoSpaceDN w:val="0"/>
        <w:adjustRightInd w:val="0"/>
        <w:ind w:left="567" w:hanging="567"/>
        <w:textAlignment w:val="baseline"/>
        <w:rPr>
          <w:bCs/>
          <w:iCs/>
        </w:rPr>
      </w:pPr>
      <w:r w:rsidRPr="009B269F">
        <w:t>zastává názor, že cíl zajistit bezpečnou mezinárodní spolupráci v oblasti výzkumu a inovací nesmí nikdy vést k diskriminačním či obtěžujícím praktikám vůči subjektům v oblasti výzkumu a inovací ani nesmí být v rozporu s pracovními právy a ochranou pracovních podmínek pracovníků v oblasti výzkumu a inovací v EU;</w:t>
      </w:r>
    </w:p>
    <w:p w:rsidRPr="009B269F" w:rsidR="00854E51" w:rsidP="009B269F" w:rsidRDefault="00854E51" w14:paraId="550161CC" w14:textId="77777777">
      <w:pPr>
        <w:widowControl w:val="0"/>
        <w:numPr>
          <w:ilvl w:val="0"/>
          <w:numId w:val="25"/>
        </w:numPr>
        <w:overflowPunct w:val="0"/>
        <w:autoSpaceDE w:val="0"/>
        <w:autoSpaceDN w:val="0"/>
        <w:adjustRightInd w:val="0"/>
        <w:ind w:left="567" w:hanging="567"/>
        <w:textAlignment w:val="baseline"/>
        <w:rPr>
          <w:bCs/>
          <w:iCs/>
        </w:rPr>
      </w:pPr>
      <w:r w:rsidRPr="009B269F">
        <w:t>doufá, že výzkum a inovace budou mít plnou autonomii v mezích jednotného a soudržného referenčního rámce ve všech členských státech EU;</w:t>
      </w:r>
    </w:p>
    <w:p w:rsidRPr="009B269F" w:rsidR="00854E51" w:rsidP="009B269F" w:rsidRDefault="00854E51" w14:paraId="3111AC52" w14:textId="77777777">
      <w:pPr>
        <w:widowControl w:val="0"/>
        <w:numPr>
          <w:ilvl w:val="0"/>
          <w:numId w:val="25"/>
        </w:numPr>
        <w:overflowPunct w:val="0"/>
        <w:autoSpaceDE w:val="0"/>
        <w:autoSpaceDN w:val="0"/>
        <w:adjustRightInd w:val="0"/>
        <w:ind w:left="567" w:hanging="567"/>
        <w:textAlignment w:val="baseline"/>
        <w:rPr>
          <w:bCs/>
          <w:iCs/>
        </w:rPr>
      </w:pPr>
      <w:r w:rsidRPr="009B269F">
        <w:t>zdůrazňuje, že je důležité posílit ochranu duševního vlastnictví inovací, které mohou zaručit národní bezpečnost, a provádět prověřování přímých zahraničních investic i v podnicích, v nichž dochází k fúzím a akvizicím a které působí v deseti kritických odvětvích a ve výrobě dvojího užití;</w:t>
      </w:r>
    </w:p>
    <w:p w:rsidRPr="009B269F" w:rsidR="00854E51" w:rsidP="009B269F" w:rsidRDefault="00854E51" w14:paraId="0E0C9E22" w14:textId="77777777">
      <w:pPr>
        <w:widowControl w:val="0"/>
        <w:numPr>
          <w:ilvl w:val="0"/>
          <w:numId w:val="25"/>
        </w:numPr>
        <w:overflowPunct w:val="0"/>
        <w:autoSpaceDE w:val="0"/>
        <w:autoSpaceDN w:val="0"/>
        <w:adjustRightInd w:val="0"/>
        <w:ind w:left="567" w:hanging="567"/>
        <w:textAlignment w:val="baseline"/>
        <w:rPr>
          <w:bCs/>
          <w:iCs/>
        </w:rPr>
      </w:pPr>
      <w:r w:rsidRPr="009B269F">
        <w:t>domnívá se, že neexistenci konkrétních pokynů pro podporu činnosti subjektů zajišťujících výzkum a inovace v oblastech: i) hloubkových kontrol; ii) profilování rizik; iii) a vypracování memorand o porozumění s mezinárodními partnerskými organizacemi v oblasti výzkumu a inovací lze napravit v pozdější fázi prostřednictvím budoucí činnosti Evropského odborného centra pro bezpečnost výzkumu;</w:t>
      </w:r>
    </w:p>
    <w:p w:rsidRPr="009B269F" w:rsidR="00854E51" w:rsidP="009B269F" w:rsidRDefault="00854E51" w14:paraId="151B37C0" w14:textId="77777777">
      <w:pPr>
        <w:widowControl w:val="0"/>
        <w:numPr>
          <w:ilvl w:val="0"/>
          <w:numId w:val="25"/>
        </w:numPr>
        <w:overflowPunct w:val="0"/>
        <w:autoSpaceDE w:val="0"/>
        <w:autoSpaceDN w:val="0"/>
        <w:adjustRightInd w:val="0"/>
        <w:ind w:left="567" w:hanging="567"/>
        <w:textAlignment w:val="baseline"/>
        <w:rPr>
          <w:bCs/>
          <w:iCs/>
        </w:rPr>
      </w:pPr>
      <w:r w:rsidRPr="009B269F">
        <w:t>doufá, že Evropské odborné centrum pro bezpečnost výzkumu bude platformou pro shromažďování a sdílení dokumentace, přičemž bude plně respektována vzájemná transparentnost, a pro pořádání kurzů v oblasti bezpečnosti výzkumu.</w:t>
      </w:r>
    </w:p>
    <w:p w:rsidRPr="009B269F" w:rsidR="00854E51" w:rsidP="009B269F" w:rsidRDefault="00854E51" w14:paraId="50367978"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854E51" w:rsidTr="008C66FD" w14:paraId="5CB6BEED" w14:textId="77777777">
        <w:tc>
          <w:tcPr>
            <w:tcW w:w="1556" w:type="pct"/>
          </w:tcPr>
          <w:p w:rsidRPr="009B269F" w:rsidR="00854E51" w:rsidP="009B269F" w:rsidRDefault="00854E51" w14:paraId="54DEDDB0" w14:textId="27FC54C8">
            <w:pPr>
              <w:rPr>
                <w:i/>
              </w:rPr>
            </w:pPr>
            <w:r w:rsidRPr="009B269F">
              <w:rPr>
                <w:b/>
                <w:i/>
              </w:rPr>
              <w:t>Kontakt:</w:t>
            </w:r>
          </w:p>
        </w:tc>
        <w:tc>
          <w:tcPr>
            <w:tcW w:w="3444" w:type="pct"/>
          </w:tcPr>
          <w:p w:rsidRPr="009B269F" w:rsidR="00854E51" w:rsidP="009B269F" w:rsidRDefault="00854E51" w14:paraId="04EB94C3" w14:textId="77777777">
            <w:pPr>
              <w:rPr>
                <w:i/>
              </w:rPr>
            </w:pPr>
            <w:r w:rsidRPr="009B269F">
              <w:rPr>
                <w:i/>
              </w:rPr>
              <w:t>Marco MANFRONI</w:t>
            </w:r>
          </w:p>
        </w:tc>
      </w:tr>
      <w:tr w:rsidRPr="009B269F" w:rsidR="00854E51" w:rsidTr="008C66FD" w14:paraId="01620CBA" w14:textId="77777777">
        <w:tc>
          <w:tcPr>
            <w:tcW w:w="1556" w:type="pct"/>
          </w:tcPr>
          <w:p w:rsidRPr="009B269F" w:rsidR="00854E51" w:rsidP="001A0C10" w:rsidRDefault="00854E51" w14:paraId="69C76BE0" w14:textId="77777777">
            <w:pPr>
              <w:jc w:val="right"/>
              <w:rPr>
                <w:i/>
              </w:rPr>
            </w:pPr>
            <w:r w:rsidRPr="009B269F">
              <w:rPr>
                <w:i/>
              </w:rPr>
              <w:t>Tel.:</w:t>
            </w:r>
          </w:p>
        </w:tc>
        <w:tc>
          <w:tcPr>
            <w:tcW w:w="3444" w:type="pct"/>
          </w:tcPr>
          <w:p w:rsidRPr="009B269F" w:rsidR="00854E51" w:rsidP="009B269F" w:rsidRDefault="00854E51" w14:paraId="22827227" w14:textId="77777777">
            <w:pPr>
              <w:rPr>
                <w:bCs/>
                <w:i/>
              </w:rPr>
            </w:pPr>
            <w:r w:rsidRPr="009B269F">
              <w:rPr>
                <w:i/>
              </w:rPr>
              <w:t>+32 25469140</w:t>
            </w:r>
          </w:p>
        </w:tc>
      </w:tr>
      <w:tr w:rsidRPr="009B269F" w:rsidR="00854E51" w:rsidTr="008C66FD" w14:paraId="0FCF79C8" w14:textId="77777777">
        <w:tc>
          <w:tcPr>
            <w:tcW w:w="1556" w:type="pct"/>
          </w:tcPr>
          <w:p w:rsidRPr="009B269F" w:rsidR="00854E51" w:rsidP="001A0C10" w:rsidRDefault="00854E51" w14:paraId="298EE4C8" w14:textId="77777777">
            <w:pPr>
              <w:jc w:val="right"/>
              <w:rPr>
                <w:i/>
              </w:rPr>
            </w:pPr>
            <w:r w:rsidRPr="009B269F">
              <w:rPr>
                <w:i/>
              </w:rPr>
              <w:t>E-mail:</w:t>
            </w:r>
          </w:p>
        </w:tc>
        <w:tc>
          <w:tcPr>
            <w:tcW w:w="3444" w:type="pct"/>
          </w:tcPr>
          <w:p w:rsidRPr="009B269F" w:rsidR="00854E51" w:rsidP="009B269F" w:rsidRDefault="000029F8" w14:paraId="69EBA2BF" w14:textId="77777777">
            <w:pPr>
              <w:rPr>
                <w:i/>
              </w:rPr>
            </w:pPr>
            <w:hyperlink w:history="1" r:id="rId32">
              <w:r w:rsidRPr="009B269F" w:rsidR="00854E51">
                <w:rPr>
                  <w:rStyle w:val="Hyperlink"/>
                  <w:i/>
                </w:rPr>
                <w:t>Marco.Manfroni@eesc.europa.eu</w:t>
              </w:r>
            </w:hyperlink>
          </w:p>
        </w:tc>
      </w:tr>
    </w:tbl>
    <w:p w:rsidRPr="009B269F" w:rsidR="000F7CD9" w:rsidP="009B269F" w:rsidRDefault="000F7CD9" w14:paraId="4E37CDD8" w14:textId="01FADD04">
      <w:pPr>
        <w:pStyle w:val="Heading1"/>
        <w:tabs>
          <w:tab w:val="clear" w:pos="440"/>
        </w:tabs>
        <w:spacing w:before="0"/>
        <w:ind w:left="567" w:hanging="567"/>
        <w:rPr>
          <w:b/>
          <w:bCs/>
        </w:rPr>
      </w:pPr>
      <w:bookmarkStart w:name="_Toc172192938" w:id="11"/>
      <w:r w:rsidRPr="009B269F">
        <w:rPr>
          <w:rStyle w:val="Heading1Char"/>
          <w:b/>
          <w:bCs/>
        </w:rPr>
        <w:lastRenderedPageBreak/>
        <w:t>ZEMĚDĚLSTVÍ, ROZVOJ VENKOVA, ŽIVOTNÍ PROSTŘEDÍ</w:t>
      </w:r>
      <w:bookmarkEnd w:id="11"/>
    </w:p>
    <w:p w:rsidRPr="009B269F" w:rsidR="000F7CD9" w:rsidP="009B269F" w:rsidRDefault="000F7CD9" w14:paraId="3F9D39C5" w14:textId="77777777">
      <w:pPr>
        <w:overflowPunct w:val="0"/>
        <w:autoSpaceDE w:val="0"/>
        <w:autoSpaceDN w:val="0"/>
        <w:adjustRightInd w:val="0"/>
        <w:jc w:val="center"/>
        <w:textAlignment w:val="baseline"/>
      </w:pPr>
    </w:p>
    <w:p w:rsidRPr="009B269F" w:rsidR="00854E51" w:rsidP="009B269F" w:rsidRDefault="000029F8" w14:paraId="436031A9" w14:textId="2156CE19">
      <w:pPr>
        <w:pStyle w:val="ListParagraph"/>
        <w:widowControl w:val="0"/>
        <w:numPr>
          <w:ilvl w:val="0"/>
          <w:numId w:val="20"/>
        </w:numPr>
        <w:overflowPunct w:val="0"/>
        <w:autoSpaceDE w:val="0"/>
        <w:autoSpaceDN w:val="0"/>
        <w:adjustRightInd w:val="0"/>
        <w:ind w:left="567" w:hanging="567"/>
        <w:textAlignment w:val="baseline"/>
        <w:rPr>
          <w:sz w:val="20"/>
        </w:rPr>
      </w:pPr>
      <w:hyperlink w:history="1" r:id="rId33">
        <w:r w:rsidRPr="009B269F" w:rsidR="00854E51">
          <w:rPr>
            <w:rStyle w:val="Hyperlink"/>
            <w:b/>
            <w:i/>
            <w:sz w:val="28"/>
          </w:rPr>
          <w:t>Generální komise pro rybolov ve Středozemním moři</w:t>
        </w:r>
      </w:hyperlink>
    </w:p>
    <w:p w:rsidRPr="009B269F" w:rsidR="00854E51" w:rsidP="009B269F" w:rsidRDefault="00854E51" w14:paraId="5C5DFF54"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B269F" w:rsidR="00854E51" w:rsidTr="008C66FD" w14:paraId="66D4728C" w14:textId="77777777">
        <w:tc>
          <w:tcPr>
            <w:tcW w:w="5000" w:type="pct"/>
            <w:gridSpan w:val="2"/>
          </w:tcPr>
          <w:p w:rsidRPr="009B269F" w:rsidR="00854E51" w:rsidP="009B269F" w:rsidRDefault="00854E51" w14:paraId="1D1918AD" w14:textId="77777777">
            <w:pPr>
              <w:tabs>
                <w:tab w:val="center" w:pos="284"/>
              </w:tabs>
              <w:ind w:left="266" w:hanging="266"/>
              <w:rPr>
                <w:lang w:val="en-US"/>
              </w:rPr>
            </w:pPr>
          </w:p>
        </w:tc>
      </w:tr>
      <w:tr w:rsidRPr="009B269F" w:rsidR="00854E51" w:rsidTr="008C66FD" w14:paraId="70127443" w14:textId="77777777">
        <w:tc>
          <w:tcPr>
            <w:tcW w:w="1591" w:type="pct"/>
            <w:vMerge w:val="restart"/>
          </w:tcPr>
          <w:p w:rsidRPr="009B269F" w:rsidR="00854E51" w:rsidP="009B269F" w:rsidRDefault="00854E51" w14:paraId="7F3B4C8E" w14:textId="77777777">
            <w:pPr>
              <w:tabs>
                <w:tab w:val="center" w:pos="284"/>
              </w:tabs>
              <w:ind w:left="266" w:hanging="266"/>
              <w:rPr>
                <w:b/>
              </w:rPr>
            </w:pPr>
            <w:r w:rsidRPr="009B269F">
              <w:rPr>
                <w:b/>
              </w:rPr>
              <w:t>Odkazy</w:t>
            </w:r>
          </w:p>
        </w:tc>
        <w:tc>
          <w:tcPr>
            <w:tcW w:w="3409" w:type="pct"/>
          </w:tcPr>
          <w:p w:rsidRPr="009B269F" w:rsidR="00854E51" w:rsidP="009B269F" w:rsidRDefault="00854E51" w14:paraId="20F4F2C7" w14:textId="77777777">
            <w:pPr>
              <w:tabs>
                <w:tab w:val="center" w:pos="284"/>
              </w:tabs>
              <w:ind w:left="266" w:hanging="266"/>
            </w:pPr>
            <w:r w:rsidRPr="009B269F">
              <w:t>COM(2024) 183 final</w:t>
            </w:r>
          </w:p>
        </w:tc>
      </w:tr>
      <w:tr w:rsidRPr="009B269F" w:rsidR="00854E51" w:rsidTr="008C66FD" w14:paraId="0F22DE5C" w14:textId="77777777">
        <w:tc>
          <w:tcPr>
            <w:tcW w:w="1591" w:type="pct"/>
            <w:vMerge/>
          </w:tcPr>
          <w:p w:rsidRPr="009B269F" w:rsidR="00854E51" w:rsidP="009B269F" w:rsidRDefault="00854E51" w14:paraId="0F03227B" w14:textId="77777777">
            <w:pPr>
              <w:tabs>
                <w:tab w:val="center" w:pos="284"/>
              </w:tabs>
              <w:ind w:left="266" w:hanging="266"/>
              <w:rPr>
                <w:b/>
                <w:lang w:val="en-US"/>
              </w:rPr>
            </w:pPr>
          </w:p>
        </w:tc>
        <w:tc>
          <w:tcPr>
            <w:tcW w:w="3409" w:type="pct"/>
          </w:tcPr>
          <w:p w:rsidR="00854E51" w:rsidP="009B269F" w:rsidRDefault="00854E51" w14:paraId="00C20154" w14:textId="77777777">
            <w:pPr>
              <w:tabs>
                <w:tab w:val="center" w:pos="284"/>
              </w:tabs>
              <w:ind w:left="266" w:hanging="266"/>
            </w:pPr>
            <w:r w:rsidRPr="009B269F">
              <w:t>EESC-2024-02260-00-00-AC</w:t>
            </w:r>
          </w:p>
          <w:p w:rsidRPr="009B269F" w:rsidR="000F05D5" w:rsidP="009B269F" w:rsidRDefault="009512D6" w14:paraId="064E9125" w14:textId="68CDA794">
            <w:pPr>
              <w:tabs>
                <w:tab w:val="center" w:pos="284"/>
              </w:tabs>
              <w:ind w:left="266" w:hanging="266"/>
            </w:pPr>
            <w:r w:rsidRPr="009512D6">
              <w:t>stanovisko kategorie C</w:t>
            </w:r>
          </w:p>
        </w:tc>
      </w:tr>
    </w:tbl>
    <w:p w:rsidRPr="009B269F" w:rsidR="00854E51" w:rsidP="009B269F" w:rsidRDefault="00854E51" w14:paraId="47B91F73" w14:textId="77777777">
      <w:pPr>
        <w:tabs>
          <w:tab w:val="center" w:pos="284"/>
        </w:tabs>
        <w:ind w:left="266" w:hanging="266"/>
      </w:pPr>
    </w:p>
    <w:p w:rsidRPr="009B269F" w:rsidR="00854E51" w:rsidP="009B269F" w:rsidRDefault="00854E51" w14:paraId="23F8692D" w14:textId="77777777">
      <w:pPr>
        <w:keepNext/>
        <w:keepLines/>
        <w:tabs>
          <w:tab w:val="center" w:pos="284"/>
        </w:tabs>
        <w:ind w:left="266" w:hanging="266"/>
        <w:rPr>
          <w:b/>
        </w:rPr>
      </w:pPr>
      <w:r w:rsidRPr="009B269F">
        <w:rPr>
          <w:b/>
        </w:rPr>
        <w:t>Hlavní body</w:t>
      </w:r>
    </w:p>
    <w:p w:rsidRPr="009B269F" w:rsidR="00854E51" w:rsidP="009B269F" w:rsidRDefault="00854E51" w14:paraId="0BE7BA7E" w14:textId="77777777">
      <w:pPr>
        <w:keepNext/>
        <w:keepLines/>
        <w:tabs>
          <w:tab w:val="center" w:pos="284"/>
        </w:tabs>
        <w:ind w:left="266" w:hanging="266"/>
        <w:rPr>
          <w:b/>
        </w:rPr>
      </w:pPr>
    </w:p>
    <w:p w:rsidRPr="009B269F" w:rsidR="00854E51" w:rsidP="009B269F" w:rsidRDefault="00854E51" w14:paraId="53EA30C4" w14:textId="77777777">
      <w:pPr>
        <w:rPr>
          <w:bCs/>
          <w:iCs/>
        </w:rPr>
      </w:pPr>
      <w:r w:rsidRPr="009B269F">
        <w:t>EHSV:</w:t>
      </w:r>
    </w:p>
    <w:p w:rsidRPr="009B269F" w:rsidR="00854E51" w:rsidP="009B269F" w:rsidRDefault="00854E51" w14:paraId="5A5DA37F" w14:textId="77777777">
      <w:pPr>
        <w:rPr>
          <w:bCs/>
          <w:iCs/>
        </w:rPr>
      </w:pPr>
    </w:p>
    <w:p w:rsidRPr="009B269F" w:rsidR="00854E51" w:rsidP="009B269F" w:rsidRDefault="00854E51" w14:paraId="5556263D" w14:textId="77777777">
      <w:pPr>
        <w:pStyle w:val="ListParagraph"/>
        <w:widowControl w:val="0"/>
        <w:numPr>
          <w:ilvl w:val="0"/>
          <w:numId w:val="26"/>
        </w:numPr>
        <w:overflowPunct w:val="0"/>
        <w:autoSpaceDE w:val="0"/>
        <w:autoSpaceDN w:val="0"/>
        <w:adjustRightInd w:val="0"/>
        <w:ind w:left="567" w:hanging="567"/>
        <w:textAlignment w:val="baseline"/>
        <w:rPr>
          <w:bCs/>
          <w:iCs/>
        </w:rPr>
      </w:pPr>
      <w:r w:rsidRPr="009B269F">
        <w:t>považuje obsah návrhu za zcela uspokojivý a nemá k němu žádné připomínky.</w:t>
      </w:r>
    </w:p>
    <w:p w:rsidRPr="009B269F" w:rsidR="00854E51" w:rsidP="009B269F" w:rsidRDefault="00854E51" w14:paraId="6505C999"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1A0C10" w:rsidTr="008C66FD" w14:paraId="1120311D" w14:textId="77777777">
        <w:tc>
          <w:tcPr>
            <w:tcW w:w="1556" w:type="pct"/>
          </w:tcPr>
          <w:p w:rsidRPr="009B269F" w:rsidR="001A0C10" w:rsidP="001A0C10" w:rsidRDefault="001A0C10" w14:paraId="2A13F1D0" w14:textId="37B876EA">
            <w:pPr>
              <w:ind w:hanging="110"/>
              <w:rPr>
                <w:i/>
              </w:rPr>
            </w:pPr>
            <w:r>
              <w:rPr>
                <w:b/>
                <w:i/>
              </w:rPr>
              <w:t>Kontakt:</w:t>
            </w:r>
          </w:p>
        </w:tc>
        <w:tc>
          <w:tcPr>
            <w:tcW w:w="3444" w:type="pct"/>
          </w:tcPr>
          <w:p w:rsidRPr="009B269F" w:rsidR="001A0C10" w:rsidP="001A0C10" w:rsidRDefault="001A0C10" w14:paraId="5A307C5F" w14:textId="6C023E48">
            <w:pPr>
              <w:rPr>
                <w:i/>
              </w:rPr>
            </w:pPr>
            <w:r w:rsidRPr="009B269F">
              <w:rPr>
                <w:i/>
              </w:rPr>
              <w:t>Martine DELANOY</w:t>
            </w:r>
          </w:p>
        </w:tc>
      </w:tr>
      <w:tr w:rsidRPr="009B269F" w:rsidR="001A0C10" w:rsidTr="008C66FD" w14:paraId="588BEF4D" w14:textId="77777777">
        <w:tc>
          <w:tcPr>
            <w:tcW w:w="1556" w:type="pct"/>
          </w:tcPr>
          <w:p w:rsidRPr="009B269F" w:rsidR="001A0C10" w:rsidP="001A0C10" w:rsidRDefault="001A0C10" w14:paraId="1B08EEE4" w14:textId="12E1EBE2">
            <w:pPr>
              <w:ind w:left="-110"/>
              <w:jc w:val="right"/>
              <w:rPr>
                <w:i/>
              </w:rPr>
            </w:pPr>
            <w:r>
              <w:rPr>
                <w:i/>
              </w:rPr>
              <w:t>Tel.:</w:t>
            </w:r>
          </w:p>
        </w:tc>
        <w:tc>
          <w:tcPr>
            <w:tcW w:w="3444" w:type="pct"/>
          </w:tcPr>
          <w:p w:rsidRPr="009B269F" w:rsidR="001A0C10" w:rsidP="001A0C10" w:rsidRDefault="001A0C10" w14:paraId="40C17400" w14:textId="77777777">
            <w:pPr>
              <w:rPr>
                <w:i/>
              </w:rPr>
            </w:pPr>
            <w:r w:rsidRPr="009B269F">
              <w:rPr>
                <w:i/>
              </w:rPr>
              <w:t>+32 25469802</w:t>
            </w:r>
          </w:p>
        </w:tc>
      </w:tr>
      <w:tr w:rsidRPr="009B269F" w:rsidR="001A0C10" w:rsidTr="008C66FD" w14:paraId="3B996177" w14:textId="77777777">
        <w:tc>
          <w:tcPr>
            <w:tcW w:w="1556" w:type="pct"/>
          </w:tcPr>
          <w:p w:rsidRPr="009B269F" w:rsidR="001A0C10" w:rsidP="001A0C10" w:rsidRDefault="001A0C10" w14:paraId="0B684BDF" w14:textId="5A70CD09">
            <w:pPr>
              <w:ind w:hanging="110"/>
              <w:jc w:val="right"/>
              <w:rPr>
                <w:i/>
              </w:rPr>
            </w:pPr>
            <w:r>
              <w:rPr>
                <w:i/>
              </w:rPr>
              <w:t>E-mail:</w:t>
            </w:r>
          </w:p>
        </w:tc>
        <w:tc>
          <w:tcPr>
            <w:tcW w:w="3444" w:type="pct"/>
          </w:tcPr>
          <w:p w:rsidRPr="009B269F" w:rsidR="001A0C10" w:rsidP="001A0C10" w:rsidRDefault="000029F8" w14:paraId="3B3356E5" w14:textId="77777777">
            <w:pPr>
              <w:rPr>
                <w:i/>
              </w:rPr>
            </w:pPr>
            <w:hyperlink w:history="1" r:id="rId34">
              <w:r w:rsidRPr="009B269F" w:rsidR="001A0C10">
                <w:rPr>
                  <w:rStyle w:val="Hyperlink"/>
                  <w:i/>
                </w:rPr>
                <w:t>Martine.Delanoy@eesc.europa.eu</w:t>
              </w:r>
            </w:hyperlink>
            <w:r w:rsidRPr="009B269F" w:rsidR="001A0C10">
              <w:rPr>
                <w:i/>
              </w:rPr>
              <w:t xml:space="preserve"> </w:t>
            </w:r>
          </w:p>
        </w:tc>
      </w:tr>
    </w:tbl>
    <w:p w:rsidR="001A0C10" w:rsidP="009B269F" w:rsidRDefault="001A0C10" w14:paraId="5D00C60F" w14:textId="5C749585">
      <w:pPr>
        <w:overflowPunct w:val="0"/>
        <w:autoSpaceDE w:val="0"/>
        <w:autoSpaceDN w:val="0"/>
        <w:adjustRightInd w:val="0"/>
        <w:jc w:val="center"/>
        <w:textAlignment w:val="baseline"/>
      </w:pPr>
    </w:p>
    <w:p w:rsidR="001A0C10" w:rsidRDefault="001A0C10" w14:paraId="7F98EDF3" w14:textId="77777777">
      <w:pPr>
        <w:spacing w:after="160" w:line="259" w:lineRule="auto"/>
        <w:jc w:val="left"/>
      </w:pPr>
      <w:r>
        <w:br w:type="page"/>
      </w:r>
    </w:p>
    <w:p w:rsidRPr="009B269F" w:rsidR="00854E51" w:rsidP="009B269F" w:rsidRDefault="00854E51" w14:paraId="4691A505" w14:textId="77777777">
      <w:pPr>
        <w:overflowPunct w:val="0"/>
        <w:autoSpaceDE w:val="0"/>
        <w:autoSpaceDN w:val="0"/>
        <w:adjustRightInd w:val="0"/>
        <w:jc w:val="center"/>
        <w:textAlignment w:val="baseline"/>
      </w:pPr>
    </w:p>
    <w:p w:rsidRPr="009B269F" w:rsidR="00854E51" w:rsidP="009B269F" w:rsidRDefault="000029F8" w14:paraId="2A2BCC0B" w14:textId="0661E293">
      <w:pPr>
        <w:pStyle w:val="ListParagraph"/>
        <w:widowControl w:val="0"/>
        <w:numPr>
          <w:ilvl w:val="0"/>
          <w:numId w:val="27"/>
        </w:numPr>
        <w:overflowPunct w:val="0"/>
        <w:autoSpaceDE w:val="0"/>
        <w:autoSpaceDN w:val="0"/>
        <w:adjustRightInd w:val="0"/>
        <w:ind w:left="567" w:hanging="567"/>
        <w:textAlignment w:val="baseline"/>
        <w:rPr>
          <w:rStyle w:val="Hyperlink"/>
          <w:color w:val="auto"/>
          <w:sz w:val="20"/>
          <w:u w:val="none"/>
        </w:rPr>
      </w:pPr>
      <w:hyperlink w:history="1" r:id="rId35">
        <w:r w:rsidR="00F8520A">
          <w:rPr>
            <w:rStyle w:val="Hyperlink"/>
            <w:b/>
            <w:i/>
            <w:sz w:val="28"/>
          </w:rPr>
          <w:t>Jak zajistit sociální, environmentální a hospodářskou udržitelnost zemědělsko-potravinářského průmyslu v EU v souvislosti s budoucím rozšířením</w:t>
        </w:r>
      </w:hyperlink>
    </w:p>
    <w:p w:rsidRPr="009B269F" w:rsidR="0072076D" w:rsidP="009B269F" w:rsidRDefault="0072076D" w14:paraId="5FED4B91" w14:textId="77777777">
      <w:pPr>
        <w:pStyle w:val="ListParagraph"/>
        <w:widowControl w:val="0"/>
        <w:overflowPunct w:val="0"/>
        <w:autoSpaceDE w:val="0"/>
        <w:autoSpaceDN w:val="0"/>
        <w:adjustRightInd w:val="0"/>
        <w:ind w:left="567"/>
        <w:textAlignment w:val="baseline"/>
        <w:rPr>
          <w:sz w:val="20"/>
        </w:rPr>
      </w:pPr>
    </w:p>
    <w:p w:rsidRPr="009B269F" w:rsidR="00854E51" w:rsidP="009B269F" w:rsidRDefault="00854E51" w14:paraId="6D3F8E58" w14:textId="77777777">
      <w:pPr>
        <w:tabs>
          <w:tab w:val="center" w:pos="284"/>
        </w:tabs>
        <w:ind w:left="266" w:hanging="266"/>
        <w:rPr>
          <w:b/>
          <w:sz w:val="16"/>
          <w:szCs w:val="16"/>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9B269F" w:rsidR="00854E51" w:rsidTr="008C66FD" w14:paraId="51E9D206" w14:textId="77777777">
        <w:tc>
          <w:tcPr>
            <w:tcW w:w="1148" w:type="pct"/>
          </w:tcPr>
          <w:p w:rsidRPr="009B269F" w:rsidR="00854E51" w:rsidP="009B269F" w:rsidRDefault="00854E51" w14:paraId="3A44C9B2" w14:textId="77777777">
            <w:pPr>
              <w:tabs>
                <w:tab w:val="center" w:pos="284"/>
              </w:tabs>
              <w:ind w:left="266" w:hanging="266"/>
              <w:rPr>
                <w:b/>
              </w:rPr>
            </w:pPr>
            <w:r w:rsidRPr="009B269F">
              <w:rPr>
                <w:b/>
              </w:rPr>
              <w:t>Zpravodaj</w:t>
            </w:r>
          </w:p>
        </w:tc>
        <w:tc>
          <w:tcPr>
            <w:tcW w:w="3852" w:type="pct"/>
          </w:tcPr>
          <w:p w:rsidRPr="009B269F" w:rsidR="00854E51" w:rsidP="009B269F" w:rsidRDefault="00854E51" w14:paraId="7BFA71B9" w14:textId="77777777">
            <w:pPr>
              <w:tabs>
                <w:tab w:val="center" w:pos="284"/>
              </w:tabs>
              <w:ind w:left="266" w:hanging="266"/>
              <w:rPr>
                <w:bCs/>
              </w:rPr>
            </w:pPr>
            <w:r w:rsidRPr="009B269F">
              <w:t>Stojan ČUKANOV (Organizace občanské společnosti – BG)</w:t>
            </w:r>
          </w:p>
        </w:tc>
      </w:tr>
      <w:tr w:rsidRPr="009B269F" w:rsidR="00854E51" w:rsidTr="008C66FD" w14:paraId="17DBB71D" w14:textId="77777777">
        <w:tc>
          <w:tcPr>
            <w:tcW w:w="5000" w:type="pct"/>
            <w:gridSpan w:val="2"/>
          </w:tcPr>
          <w:p w:rsidRPr="009B269F" w:rsidR="00854E51" w:rsidP="009B269F" w:rsidRDefault="00854E51" w14:paraId="122B07ED" w14:textId="77777777">
            <w:pPr>
              <w:tabs>
                <w:tab w:val="center" w:pos="284"/>
              </w:tabs>
              <w:ind w:left="266" w:hanging="266"/>
              <w:rPr>
                <w:lang w:val="en-US"/>
              </w:rPr>
            </w:pPr>
          </w:p>
        </w:tc>
      </w:tr>
      <w:tr w:rsidRPr="009B269F" w:rsidR="00854E51" w:rsidTr="008C66FD" w14:paraId="4807F173" w14:textId="77777777">
        <w:tc>
          <w:tcPr>
            <w:tcW w:w="1148" w:type="pct"/>
          </w:tcPr>
          <w:p w:rsidRPr="009B269F" w:rsidR="00854E51" w:rsidP="009B269F" w:rsidRDefault="00854E51" w14:paraId="630C86DC" w14:textId="77777777">
            <w:pPr>
              <w:tabs>
                <w:tab w:val="center" w:pos="284"/>
              </w:tabs>
              <w:ind w:left="266" w:hanging="266"/>
              <w:rPr>
                <w:b/>
              </w:rPr>
            </w:pPr>
            <w:r w:rsidRPr="009B269F">
              <w:rPr>
                <w:b/>
              </w:rPr>
              <w:t>Odkaz</w:t>
            </w:r>
          </w:p>
        </w:tc>
        <w:tc>
          <w:tcPr>
            <w:tcW w:w="3852" w:type="pct"/>
          </w:tcPr>
          <w:p w:rsidRPr="00F8520A" w:rsidR="00F8520A" w:rsidP="009B269F" w:rsidRDefault="00F8520A" w14:paraId="7AF2249F" w14:textId="0D1987A8">
            <w:pPr>
              <w:tabs>
                <w:tab w:val="center" w:pos="284"/>
              </w:tabs>
              <w:ind w:left="266" w:hanging="266"/>
              <w:rPr>
                <w:bCs/>
              </w:rPr>
            </w:pPr>
            <w:r w:rsidRPr="00F8520A">
              <w:rPr>
                <w:bCs/>
              </w:rPr>
              <w:t>průzkumné stanovisko na žádost Evropské komise</w:t>
            </w:r>
          </w:p>
          <w:p w:rsidRPr="00F8520A" w:rsidR="00854E51" w:rsidP="009B269F" w:rsidRDefault="00854E51" w14:paraId="729E9004" w14:textId="2A2224FF">
            <w:pPr>
              <w:tabs>
                <w:tab w:val="center" w:pos="284"/>
              </w:tabs>
              <w:ind w:left="266" w:hanging="266"/>
              <w:rPr>
                <w:bCs/>
              </w:rPr>
            </w:pPr>
            <w:r w:rsidRPr="00F8520A">
              <w:rPr>
                <w:bCs/>
              </w:rPr>
              <w:t>EESC-2024-01019-00-00-AC</w:t>
            </w:r>
          </w:p>
        </w:tc>
      </w:tr>
    </w:tbl>
    <w:p w:rsidRPr="009B269F" w:rsidR="00854E51" w:rsidP="009B269F" w:rsidRDefault="00854E51" w14:paraId="1B76372D" w14:textId="77777777">
      <w:pPr>
        <w:keepNext/>
        <w:keepLines/>
        <w:tabs>
          <w:tab w:val="center" w:pos="284"/>
        </w:tabs>
        <w:ind w:left="266" w:hanging="266"/>
        <w:rPr>
          <w:b/>
        </w:rPr>
      </w:pPr>
    </w:p>
    <w:p w:rsidRPr="009B269F" w:rsidR="00854E51" w:rsidP="009B269F" w:rsidRDefault="00854E51" w14:paraId="212F7EF5" w14:textId="77777777">
      <w:pPr>
        <w:keepNext/>
        <w:keepLines/>
        <w:tabs>
          <w:tab w:val="center" w:pos="284"/>
        </w:tabs>
        <w:ind w:left="266" w:hanging="266"/>
        <w:rPr>
          <w:b/>
        </w:rPr>
      </w:pPr>
      <w:r w:rsidRPr="009B269F">
        <w:rPr>
          <w:b/>
        </w:rPr>
        <w:t>Hlavní body</w:t>
      </w:r>
    </w:p>
    <w:p w:rsidRPr="009B269F" w:rsidR="00854E51" w:rsidP="009B269F" w:rsidRDefault="00854E51" w14:paraId="36264D07" w14:textId="77777777">
      <w:pPr>
        <w:keepNext/>
        <w:keepLines/>
        <w:tabs>
          <w:tab w:val="center" w:pos="284"/>
        </w:tabs>
        <w:ind w:left="266" w:hanging="266"/>
        <w:rPr>
          <w:b/>
        </w:rPr>
      </w:pPr>
    </w:p>
    <w:p w:rsidRPr="009B269F" w:rsidR="00854E51" w:rsidP="009B269F" w:rsidRDefault="00854E51" w14:paraId="7665DF14" w14:textId="77777777">
      <w:pPr>
        <w:rPr>
          <w:bCs/>
          <w:iCs/>
        </w:rPr>
      </w:pPr>
      <w:r w:rsidRPr="009B269F">
        <w:t>EHSV:</w:t>
      </w:r>
    </w:p>
    <w:p w:rsidRPr="009B269F" w:rsidR="00854E51" w:rsidP="009B269F" w:rsidRDefault="00854E51" w14:paraId="3D2C04CB" w14:textId="77777777">
      <w:pPr>
        <w:rPr>
          <w:bCs/>
          <w:iCs/>
        </w:rPr>
      </w:pPr>
    </w:p>
    <w:p w:rsidRPr="009B269F" w:rsidR="00854E51" w:rsidP="009B269F" w:rsidRDefault="00854E51" w14:paraId="5CC0A368" w14:textId="77777777">
      <w:pPr>
        <w:widowControl w:val="0"/>
        <w:numPr>
          <w:ilvl w:val="0"/>
          <w:numId w:val="28"/>
        </w:numPr>
        <w:overflowPunct w:val="0"/>
        <w:autoSpaceDE w:val="0"/>
        <w:autoSpaceDN w:val="0"/>
        <w:adjustRightInd w:val="0"/>
        <w:ind w:left="567" w:hanging="567"/>
        <w:textAlignment w:val="baseline"/>
        <w:rPr>
          <w:bCs/>
          <w:iCs/>
        </w:rPr>
      </w:pPr>
      <w:r w:rsidRPr="009B269F">
        <w:t>zdůrazňuje, že se toto rozšíření liší od všech předchozích rozšíření kvůli současné mimořádné geopolitické situaci, ale to by nemělo být důvodem k nižší míře připravenosti kandidátských zemí, k umenšení významu potřebných legislativních reforem a k tomu, aby hodnoty EU nebyly plně dodržovány;</w:t>
      </w:r>
    </w:p>
    <w:p w:rsidRPr="009B269F" w:rsidR="00854E51" w:rsidP="009B269F" w:rsidRDefault="00854E51" w14:paraId="6549A771" w14:textId="77777777">
      <w:pPr>
        <w:widowControl w:val="0"/>
        <w:numPr>
          <w:ilvl w:val="0"/>
          <w:numId w:val="28"/>
        </w:numPr>
        <w:overflowPunct w:val="0"/>
        <w:autoSpaceDE w:val="0"/>
        <w:autoSpaceDN w:val="0"/>
        <w:adjustRightInd w:val="0"/>
        <w:ind w:left="567" w:hanging="567"/>
        <w:textAlignment w:val="baseline"/>
        <w:rPr>
          <w:bCs/>
          <w:iCs/>
        </w:rPr>
      </w:pPr>
      <w:r w:rsidRPr="009B269F">
        <w:t>upozorňuje, že vzhledem k geopolitickému napětí je o to důležitější zabezpečit dodávky potravin v EU, přičemž všechny regiony v EU musí mít i do budoucna možnost zachovat zemědělskou produkci;</w:t>
      </w:r>
    </w:p>
    <w:p w:rsidRPr="009B269F" w:rsidR="00854E51" w:rsidP="009B269F" w:rsidRDefault="00854E51" w14:paraId="55A99203" w14:textId="77777777">
      <w:pPr>
        <w:widowControl w:val="0"/>
        <w:numPr>
          <w:ilvl w:val="0"/>
          <w:numId w:val="28"/>
        </w:numPr>
        <w:overflowPunct w:val="0"/>
        <w:autoSpaceDE w:val="0"/>
        <w:autoSpaceDN w:val="0"/>
        <w:adjustRightInd w:val="0"/>
        <w:ind w:left="567" w:hanging="567"/>
        <w:textAlignment w:val="baseline"/>
        <w:rPr>
          <w:bCs/>
          <w:iCs/>
        </w:rPr>
      </w:pPr>
      <w:r w:rsidRPr="009B269F">
        <w:t>zdůrazňuje, že toto rozšíření představuje příležitosti pro lepší zajištění strategické autonomie EU a další snížení environmentální stopy tohoto odvětví, ale zároveň uznává rozporuplné výsledky dřívějších rozšíření a podotýká, že pro některé bylo rozšíření prospěšné, avšak pro jiné nikoli. Hospodářsky slabé venkovské oblasti měly z tohoto procesu mnohem menší prospěch než aglomerace a menší evropské zemědělské podniky zanikají. Proto naléhavě vyzývá Evropskou komisi a kandidátské země, aby zvážily a řešily dopady rozšíření zejména na rodinné zemědělské podniky a malé a střední zemědělsko-potravinářské podniky v EU i v kandidátských zemích;</w:t>
      </w:r>
    </w:p>
    <w:p w:rsidRPr="009B269F" w:rsidR="00854E51" w:rsidP="009B269F" w:rsidRDefault="00854E51" w14:paraId="65534F82" w14:textId="77777777">
      <w:pPr>
        <w:widowControl w:val="0"/>
        <w:numPr>
          <w:ilvl w:val="0"/>
          <w:numId w:val="28"/>
        </w:numPr>
        <w:overflowPunct w:val="0"/>
        <w:autoSpaceDE w:val="0"/>
        <w:autoSpaceDN w:val="0"/>
        <w:adjustRightInd w:val="0"/>
        <w:ind w:left="567" w:hanging="567"/>
        <w:textAlignment w:val="baseline"/>
        <w:rPr>
          <w:bCs/>
          <w:iCs/>
        </w:rPr>
      </w:pPr>
      <w:r w:rsidRPr="009B269F">
        <w:t xml:space="preserve">zdůrazňuje, že se kandidátské země budou muset přizpůsobit obecným cílům a hodnotám SZP, přičemž ještě před rozšířením bude nezbytné se dohodnout na tom, jak SZP zreformovat, a na odpovídajícím finančním rámci; </w:t>
      </w:r>
    </w:p>
    <w:p w:rsidRPr="009B269F" w:rsidR="00854E51" w:rsidP="009B269F" w:rsidRDefault="00854E51" w14:paraId="481E26F0" w14:textId="77777777">
      <w:pPr>
        <w:widowControl w:val="0"/>
        <w:numPr>
          <w:ilvl w:val="0"/>
          <w:numId w:val="28"/>
        </w:numPr>
        <w:overflowPunct w:val="0"/>
        <w:autoSpaceDE w:val="0"/>
        <w:autoSpaceDN w:val="0"/>
        <w:adjustRightInd w:val="0"/>
        <w:ind w:left="567" w:hanging="567"/>
        <w:textAlignment w:val="baseline"/>
        <w:rPr>
          <w:bCs/>
          <w:iCs/>
        </w:rPr>
      </w:pPr>
      <w:r w:rsidRPr="009B269F">
        <w:t>doporučuje postupné nahrazení stávající základní podpory příjmu poskytované ze SZP a založené na rozloze finančními pobídkami pro služby prospěšné pro životní prostředí a společnost, postupné snižování plateb, povinné zastropování nebo vyšší podporu na první hektary pro všechny členské státy. Vyzývá k tomu, aby se zemědělská politika i politika rozvoje venkova více zaměřovaly na místní hospodářství a aby tyto zásady byly zavedeny i v nových kandidátských zemích;</w:t>
      </w:r>
    </w:p>
    <w:p w:rsidRPr="009B269F" w:rsidR="00854E51" w:rsidP="009B269F" w:rsidRDefault="00854E51" w14:paraId="47C89091" w14:textId="77777777">
      <w:pPr>
        <w:widowControl w:val="0"/>
        <w:numPr>
          <w:ilvl w:val="0"/>
          <w:numId w:val="28"/>
        </w:numPr>
        <w:overflowPunct w:val="0"/>
        <w:autoSpaceDE w:val="0"/>
        <w:autoSpaceDN w:val="0"/>
        <w:adjustRightInd w:val="0"/>
        <w:ind w:left="567" w:hanging="567"/>
        <w:textAlignment w:val="baseline"/>
        <w:rPr>
          <w:bCs/>
          <w:iCs/>
          <w:spacing w:val="-4"/>
        </w:rPr>
      </w:pPr>
      <w:r w:rsidRPr="009B269F">
        <w:t xml:space="preserve">požaduje, aby bylo na řádnou kompenzaci negativních dopadů na zemědělce v EU vyčleněno více finančních prostředků z rozpočtu SZP, a to i s ohledem na možné sociální náklady. To znamená, že stávající čistí přispěvatelé musí být ochotni odvádět EU v novém finančním období vyšší podíl svého HDP, a to s ohledem na skutečnost, že rozšíření bude pro vývozce průmyslového zboží a služeb z EU jednoznačně přínosné, zatímco zemědělsko-potravinářský průmysl se bude muset vyrovnat s nižšími výrobními náklady některých nových členských </w:t>
      </w:r>
      <w:r w:rsidRPr="009B269F">
        <w:lastRenderedPageBreak/>
        <w:t xml:space="preserve">zemí; </w:t>
      </w:r>
    </w:p>
    <w:p w:rsidRPr="009B269F" w:rsidR="00854E51" w:rsidP="009B269F" w:rsidRDefault="00854E51" w14:paraId="745EDA2C" w14:textId="77777777">
      <w:pPr>
        <w:widowControl w:val="0"/>
        <w:numPr>
          <w:ilvl w:val="0"/>
          <w:numId w:val="28"/>
        </w:numPr>
        <w:overflowPunct w:val="0"/>
        <w:autoSpaceDE w:val="0"/>
        <w:autoSpaceDN w:val="0"/>
        <w:adjustRightInd w:val="0"/>
        <w:ind w:left="567" w:hanging="567"/>
        <w:textAlignment w:val="baseline"/>
        <w:rPr>
          <w:bCs/>
          <w:iCs/>
        </w:rPr>
      </w:pPr>
      <w:r w:rsidRPr="009B269F">
        <w:t>zdůrazňuje, že jsou zapotřebí podrobné a spolehlivé údaje, a naléhavě tedy vyzývá Evropskou komisi, aby bedlivě sledovala zemědělskou produkci a vývoj reformních procesů, včetně spekulací s půdou;</w:t>
      </w:r>
    </w:p>
    <w:p w:rsidRPr="009B269F" w:rsidR="00854E51" w:rsidP="009B269F" w:rsidRDefault="00854E51" w14:paraId="75E4BF78" w14:textId="77777777">
      <w:pPr>
        <w:widowControl w:val="0"/>
        <w:numPr>
          <w:ilvl w:val="0"/>
          <w:numId w:val="28"/>
        </w:numPr>
        <w:overflowPunct w:val="0"/>
        <w:autoSpaceDE w:val="0"/>
        <w:autoSpaceDN w:val="0"/>
        <w:adjustRightInd w:val="0"/>
        <w:ind w:left="567" w:hanging="567"/>
        <w:textAlignment w:val="baseline"/>
        <w:rPr>
          <w:bCs/>
          <w:iCs/>
        </w:rPr>
      </w:pPr>
      <w:r w:rsidRPr="009B269F">
        <w:t>konstatuje, že integrační proces již byl v podstatě zahájen, jelikož trhy EU se otevírají zemědělským produktům z kandidátských zemí. To představuje pro země EU potenciální nevýhody, kterým je třeba zabránit prostřednictvím jasných pravidel, jež musí kandidátské země dodržovat.</w:t>
      </w:r>
    </w:p>
    <w:p w:rsidRPr="009B269F" w:rsidR="00854E51" w:rsidP="009B269F" w:rsidRDefault="00854E51" w14:paraId="6392579A" w14:textId="77777777">
      <w:pPr>
        <w:widowControl w:val="0"/>
        <w:ind w:left="567"/>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854E51" w:rsidTr="008C66FD" w14:paraId="3573627C" w14:textId="77777777">
        <w:tc>
          <w:tcPr>
            <w:tcW w:w="1556" w:type="pct"/>
          </w:tcPr>
          <w:p w:rsidRPr="009B269F" w:rsidR="00854E51" w:rsidP="009B269F" w:rsidRDefault="00854E51" w14:paraId="6F8CC169" w14:textId="04501A53">
            <w:pPr>
              <w:rPr>
                <w:i/>
              </w:rPr>
            </w:pPr>
            <w:r w:rsidRPr="009B269F">
              <w:rPr>
                <w:b/>
                <w:i/>
              </w:rPr>
              <w:t>Kontak</w:t>
            </w:r>
            <w:r w:rsidR="001A0C10">
              <w:rPr>
                <w:b/>
                <w:i/>
              </w:rPr>
              <w:t>t</w:t>
            </w:r>
            <w:r w:rsidRPr="009B269F">
              <w:rPr>
                <w:b/>
                <w:i/>
              </w:rPr>
              <w:t xml:space="preserve">: </w:t>
            </w:r>
          </w:p>
        </w:tc>
        <w:tc>
          <w:tcPr>
            <w:tcW w:w="3444" w:type="pct"/>
          </w:tcPr>
          <w:p w:rsidRPr="009B269F" w:rsidR="00854E51" w:rsidP="009B269F" w:rsidRDefault="00854E51" w14:paraId="05E4CC04" w14:textId="77777777">
            <w:pPr>
              <w:rPr>
                <w:i/>
              </w:rPr>
            </w:pPr>
            <w:r w:rsidRPr="009B269F">
              <w:rPr>
                <w:i/>
              </w:rPr>
              <w:t>Martine DELANOY</w:t>
            </w:r>
          </w:p>
        </w:tc>
      </w:tr>
      <w:tr w:rsidRPr="009B269F" w:rsidR="00854E51" w:rsidTr="008C66FD" w14:paraId="13EF46D0" w14:textId="77777777">
        <w:tc>
          <w:tcPr>
            <w:tcW w:w="1556" w:type="pct"/>
          </w:tcPr>
          <w:p w:rsidRPr="009B269F" w:rsidR="00854E51" w:rsidP="001A0C10" w:rsidRDefault="00854E51" w14:paraId="26960F42" w14:textId="77777777">
            <w:pPr>
              <w:jc w:val="right"/>
              <w:rPr>
                <w:i/>
              </w:rPr>
            </w:pPr>
            <w:r w:rsidRPr="009B269F">
              <w:rPr>
                <w:i/>
              </w:rPr>
              <w:t>Tel.:</w:t>
            </w:r>
          </w:p>
        </w:tc>
        <w:tc>
          <w:tcPr>
            <w:tcW w:w="3444" w:type="pct"/>
          </w:tcPr>
          <w:p w:rsidRPr="009B269F" w:rsidR="00854E51" w:rsidP="009B269F" w:rsidRDefault="00854E51" w14:paraId="65D41324" w14:textId="77777777">
            <w:pPr>
              <w:rPr>
                <w:i/>
              </w:rPr>
            </w:pPr>
            <w:r w:rsidRPr="009B269F">
              <w:rPr>
                <w:i/>
              </w:rPr>
              <w:t>+32 25469802</w:t>
            </w:r>
          </w:p>
        </w:tc>
      </w:tr>
      <w:tr w:rsidRPr="009B269F" w:rsidR="00854E51" w:rsidTr="008C66FD" w14:paraId="7C071A33" w14:textId="77777777">
        <w:tc>
          <w:tcPr>
            <w:tcW w:w="1556" w:type="pct"/>
          </w:tcPr>
          <w:p w:rsidRPr="009B269F" w:rsidR="00854E51" w:rsidP="001A0C10" w:rsidRDefault="00854E51" w14:paraId="5D7C6144" w14:textId="77777777">
            <w:pPr>
              <w:jc w:val="right"/>
              <w:rPr>
                <w:i/>
              </w:rPr>
            </w:pPr>
            <w:r w:rsidRPr="009B269F">
              <w:rPr>
                <w:i/>
              </w:rPr>
              <w:t>E-mail:</w:t>
            </w:r>
          </w:p>
        </w:tc>
        <w:tc>
          <w:tcPr>
            <w:tcW w:w="3444" w:type="pct"/>
          </w:tcPr>
          <w:p w:rsidRPr="009B269F" w:rsidR="00854E51" w:rsidP="009B269F" w:rsidRDefault="000029F8" w14:paraId="07AC6764" w14:textId="77777777">
            <w:pPr>
              <w:rPr>
                <w:i/>
              </w:rPr>
            </w:pPr>
            <w:hyperlink w:history="1" r:id="rId36">
              <w:r w:rsidRPr="009B269F" w:rsidR="00854E51">
                <w:rPr>
                  <w:rStyle w:val="Hyperlink"/>
                  <w:i/>
                </w:rPr>
                <w:t>Martine.Delanoy@eesc.europa.eu</w:t>
              </w:r>
            </w:hyperlink>
            <w:r w:rsidRPr="009B269F" w:rsidR="00854E51">
              <w:rPr>
                <w:i/>
              </w:rPr>
              <w:t xml:space="preserve"> </w:t>
            </w:r>
          </w:p>
        </w:tc>
      </w:tr>
    </w:tbl>
    <w:p w:rsidRPr="009B269F" w:rsidR="00151EC1" w:rsidP="009B269F" w:rsidRDefault="00151EC1" w14:paraId="48D70805" w14:textId="06792F42">
      <w:pPr>
        <w:overflowPunct w:val="0"/>
        <w:autoSpaceDE w:val="0"/>
        <w:autoSpaceDN w:val="0"/>
        <w:adjustRightInd w:val="0"/>
        <w:jc w:val="center"/>
        <w:textAlignment w:val="baseline"/>
      </w:pPr>
    </w:p>
    <w:p w:rsidRPr="009B269F" w:rsidR="000F7CD9" w:rsidP="009B269F" w:rsidRDefault="000F7CD9" w14:paraId="7216AD5F" w14:textId="75CD801A">
      <w:pPr>
        <w:jc w:val="left"/>
      </w:pPr>
      <w:r w:rsidRPr="009B269F">
        <w:br w:type="page"/>
      </w:r>
    </w:p>
    <w:p w:rsidRPr="009B269F" w:rsidR="000F7CD9" w:rsidP="009B269F" w:rsidRDefault="000F7CD9" w14:paraId="0C8FB6B1" w14:textId="6AB6115E">
      <w:pPr>
        <w:pStyle w:val="Heading1"/>
        <w:numPr>
          <w:ilvl w:val="0"/>
          <w:numId w:val="19"/>
        </w:numPr>
        <w:tabs>
          <w:tab w:val="clear" w:pos="440"/>
        </w:tabs>
        <w:spacing w:before="0"/>
        <w:ind w:left="567" w:hanging="567"/>
        <w:rPr>
          <w:b/>
          <w:bCs/>
        </w:rPr>
      </w:pPr>
      <w:bookmarkStart w:name="_Hlk171938874" w:id="12"/>
      <w:bookmarkStart w:name="_Toc171941589" w:id="13"/>
      <w:bookmarkStart w:name="_Toc172192742" w:id="14"/>
      <w:bookmarkStart w:name="_Toc172192939" w:id="15"/>
      <w:r w:rsidRPr="009B269F">
        <w:rPr>
          <w:b/>
          <w:bCs/>
        </w:rPr>
        <w:lastRenderedPageBreak/>
        <w:t>VNĚJŠÍ VZTAHY</w:t>
      </w:r>
      <w:bookmarkEnd w:id="12"/>
      <w:bookmarkEnd w:id="13"/>
      <w:bookmarkEnd w:id="14"/>
      <w:bookmarkEnd w:id="15"/>
    </w:p>
    <w:p w:rsidRPr="009B269F" w:rsidR="000F7CD9" w:rsidP="009B269F" w:rsidRDefault="000F7CD9" w14:paraId="62BE27C3" w14:textId="77777777">
      <w:pPr>
        <w:overflowPunct w:val="0"/>
        <w:autoSpaceDE w:val="0"/>
        <w:autoSpaceDN w:val="0"/>
        <w:adjustRightInd w:val="0"/>
        <w:jc w:val="center"/>
        <w:textAlignment w:val="baseline"/>
      </w:pPr>
    </w:p>
    <w:p w:rsidRPr="009B269F" w:rsidR="00151EC1" w:rsidP="009B269F" w:rsidRDefault="000029F8" w14:paraId="68CEC122" w14:textId="77D12F64">
      <w:pPr>
        <w:widowControl w:val="0"/>
        <w:numPr>
          <w:ilvl w:val="0"/>
          <w:numId w:val="12"/>
        </w:numPr>
        <w:overflowPunct w:val="0"/>
        <w:autoSpaceDE w:val="0"/>
        <w:autoSpaceDN w:val="0"/>
        <w:adjustRightInd w:val="0"/>
        <w:ind w:left="567" w:hanging="567"/>
        <w:jc w:val="left"/>
        <w:textAlignment w:val="baseline"/>
        <w:rPr>
          <w:sz w:val="20"/>
        </w:rPr>
      </w:pPr>
      <w:hyperlink r:id="rId37">
        <w:r w:rsidRPr="009B269F" w:rsidR="00151EC1">
          <w:rPr>
            <w:rStyle w:val="Hyperlink"/>
            <w:b/>
            <w:i/>
            <w:sz w:val="28"/>
          </w:rPr>
          <w:t>Prověřování zahraničních investic v EU</w:t>
        </w:r>
      </w:hyperlink>
    </w:p>
    <w:p w:rsidRPr="009B269F" w:rsidR="00151EC1" w:rsidP="009B269F" w:rsidRDefault="00151EC1" w14:paraId="5ED41901" w14:textId="77777777">
      <w:pPr>
        <w:widowControl w:val="0"/>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269F" w:rsidR="00151EC1" w:rsidTr="008C66FD" w14:paraId="5D9FDA1E" w14:textId="77777777">
        <w:trPr>
          <w:trHeight w:val="330"/>
        </w:trPr>
        <w:tc>
          <w:tcPr>
            <w:tcW w:w="1701" w:type="dxa"/>
          </w:tcPr>
          <w:p w:rsidRPr="009B269F" w:rsidR="00151EC1" w:rsidP="009B269F" w:rsidRDefault="00151EC1" w14:paraId="09D02B89" w14:textId="77777777">
            <w:pPr>
              <w:tabs>
                <w:tab w:val="center" w:pos="284"/>
              </w:tabs>
              <w:ind w:left="266" w:hanging="266"/>
              <w:rPr>
                <w:b/>
              </w:rPr>
            </w:pPr>
            <w:r w:rsidRPr="009B269F">
              <w:rPr>
                <w:b/>
              </w:rPr>
              <w:t>Zpravodaj</w:t>
            </w:r>
          </w:p>
        </w:tc>
        <w:tc>
          <w:tcPr>
            <w:tcW w:w="5387" w:type="dxa"/>
          </w:tcPr>
          <w:p w:rsidR="00151EC1" w:rsidP="009B269F" w:rsidRDefault="00151EC1" w14:paraId="43ACFE27" w14:textId="77777777">
            <w:pPr>
              <w:tabs>
                <w:tab w:val="center" w:pos="2585"/>
              </w:tabs>
              <w:jc w:val="left"/>
            </w:pPr>
            <w:r w:rsidRPr="009B269F">
              <w:t>Javier DOZ ORRIT (skupina Zaměstnanci – ES)</w:t>
            </w:r>
          </w:p>
          <w:p w:rsidRPr="009B269F" w:rsidR="005F7104" w:rsidP="009B269F" w:rsidRDefault="005F7104" w14:paraId="1222D707" w14:textId="0D2E48D6">
            <w:pPr>
              <w:tabs>
                <w:tab w:val="center" w:pos="2585"/>
              </w:tabs>
              <w:jc w:val="left"/>
            </w:pPr>
          </w:p>
        </w:tc>
      </w:tr>
      <w:tr w:rsidRPr="009B269F" w:rsidR="00151EC1" w:rsidTr="008C66FD" w14:paraId="26F3A844" w14:textId="77777777">
        <w:tc>
          <w:tcPr>
            <w:tcW w:w="1701" w:type="dxa"/>
          </w:tcPr>
          <w:p w:rsidRPr="009B269F" w:rsidR="00151EC1" w:rsidP="009B269F" w:rsidRDefault="00151EC1" w14:paraId="587FA20A" w14:textId="77777777">
            <w:pPr>
              <w:tabs>
                <w:tab w:val="center" w:pos="284"/>
              </w:tabs>
              <w:ind w:left="266" w:hanging="266"/>
              <w:rPr>
                <w:b/>
              </w:rPr>
            </w:pPr>
            <w:r w:rsidRPr="009B269F">
              <w:rPr>
                <w:b/>
              </w:rPr>
              <w:t>Odkaz</w:t>
            </w:r>
          </w:p>
        </w:tc>
        <w:tc>
          <w:tcPr>
            <w:tcW w:w="5387" w:type="dxa"/>
          </w:tcPr>
          <w:p w:rsidR="000F05D5" w:rsidP="009B269F" w:rsidRDefault="000F05D5" w14:paraId="6C216E89" w14:textId="77777777">
            <w:pPr>
              <w:tabs>
                <w:tab w:val="center" w:pos="284"/>
              </w:tabs>
              <w:ind w:left="266" w:hanging="266"/>
            </w:pPr>
            <w:r w:rsidRPr="000F05D5">
              <w:t xml:space="preserve">COM(2024) 23 final </w:t>
            </w:r>
          </w:p>
          <w:p w:rsidRPr="009B269F" w:rsidR="00151EC1" w:rsidP="009B269F" w:rsidRDefault="00151EC1" w14:paraId="33783E1D" w14:textId="6E6CF1A9">
            <w:pPr>
              <w:tabs>
                <w:tab w:val="center" w:pos="284"/>
              </w:tabs>
              <w:ind w:left="266" w:hanging="266"/>
            </w:pPr>
            <w:r w:rsidRPr="009B269F">
              <w:t>EESC-2024-01434-00-02-AC</w:t>
            </w:r>
          </w:p>
        </w:tc>
      </w:tr>
    </w:tbl>
    <w:p w:rsidRPr="009B269F" w:rsidR="00151EC1" w:rsidP="009B269F" w:rsidRDefault="00151EC1" w14:paraId="6C8B0859" w14:textId="77777777">
      <w:pPr>
        <w:keepNext/>
        <w:keepLines/>
        <w:tabs>
          <w:tab w:val="center" w:pos="284"/>
        </w:tabs>
        <w:ind w:left="266" w:hanging="266"/>
        <w:rPr>
          <w:b/>
        </w:rPr>
      </w:pPr>
    </w:p>
    <w:p w:rsidRPr="009B269F" w:rsidR="00151EC1" w:rsidP="009B269F" w:rsidRDefault="00151EC1" w14:paraId="2CCC41C2" w14:textId="77777777">
      <w:pPr>
        <w:keepNext/>
        <w:keepLines/>
        <w:tabs>
          <w:tab w:val="center" w:pos="284"/>
        </w:tabs>
        <w:ind w:left="266" w:hanging="266"/>
        <w:rPr>
          <w:b/>
        </w:rPr>
      </w:pPr>
      <w:r w:rsidRPr="009B269F">
        <w:rPr>
          <w:b/>
        </w:rPr>
        <w:t>Hlavní body</w:t>
      </w:r>
    </w:p>
    <w:p w:rsidRPr="009B269F" w:rsidR="00151EC1" w:rsidP="009B269F" w:rsidRDefault="00151EC1" w14:paraId="33037A08" w14:textId="77777777">
      <w:pPr>
        <w:keepNext/>
        <w:keepLines/>
        <w:tabs>
          <w:tab w:val="center" w:pos="284"/>
        </w:tabs>
        <w:ind w:left="266" w:hanging="266"/>
        <w:rPr>
          <w:b/>
        </w:rPr>
      </w:pPr>
    </w:p>
    <w:p w:rsidRPr="009B269F" w:rsidR="00151EC1" w:rsidP="009B269F" w:rsidRDefault="00151EC1" w14:paraId="276D547B" w14:textId="53C44FB9">
      <w:r w:rsidRPr="009B269F">
        <w:t>EHSV:</w:t>
      </w:r>
    </w:p>
    <w:p w:rsidRPr="009B269F" w:rsidR="00D15DF4" w:rsidP="009B269F" w:rsidRDefault="00D15DF4" w14:paraId="2D33594E" w14:textId="77777777">
      <w:pPr>
        <w:rPr>
          <w:bCs/>
          <w:iCs/>
        </w:rPr>
      </w:pPr>
    </w:p>
    <w:p w:rsidRPr="009B269F" w:rsidR="00151EC1" w:rsidP="009B269F" w:rsidRDefault="00151EC1" w14:paraId="284EC8C7" w14:textId="77777777">
      <w:pPr>
        <w:widowControl w:val="0"/>
        <w:numPr>
          <w:ilvl w:val="0"/>
          <w:numId w:val="29"/>
        </w:numPr>
        <w:overflowPunct w:val="0"/>
        <w:autoSpaceDE w:val="0"/>
        <w:autoSpaceDN w:val="0"/>
        <w:adjustRightInd w:val="0"/>
        <w:ind w:left="567" w:hanging="567"/>
        <w:textAlignment w:val="baseline"/>
      </w:pPr>
      <w:r w:rsidRPr="009B269F">
        <w:t>vítá navrhované nařízení jako krok správným směrem, který posiluje mechanismy prověřování přímých zahraničních investic v EU. Cílem tohoto nařízení je harmonizovat vnitrostátní postupy a posílit mechanismus spolupráce EU, a zajistit tak veřejnou kontrolu v rámci kritických odvětví a programů;</w:t>
      </w:r>
    </w:p>
    <w:p w:rsidRPr="009B269F" w:rsidR="00151EC1" w:rsidP="009B269F" w:rsidRDefault="00151EC1" w14:paraId="717948D1" w14:textId="77777777">
      <w:pPr>
        <w:widowControl w:val="0"/>
        <w:numPr>
          <w:ilvl w:val="0"/>
          <w:numId w:val="29"/>
        </w:numPr>
        <w:overflowPunct w:val="0"/>
        <w:autoSpaceDE w:val="0"/>
        <w:autoSpaceDN w:val="0"/>
        <w:adjustRightInd w:val="0"/>
        <w:ind w:left="567" w:hanging="567"/>
        <w:textAlignment w:val="baseline"/>
      </w:pPr>
      <w:r w:rsidRPr="009B269F">
        <w:t>zdůrazňuje, že je důležité podporovat větší harmonizaci vnitrostátních právních norem, jež upravují přímé zahraniční investice, a prověřovacích mechanismů. To znamená mimo jiné: i) stanovení konzistentních prahových hodnot pro prověřování přímých zahraničních investic a jednotných lhůt pro poskytnutí odpovědi; ii) vymezení soudržných definic rizik pro bezpečnost a veřejný pořádek; iii) posílení kapacit členských států, pokud jde o účinné provádění kontroly přímých zahraničních investic;</w:t>
      </w:r>
    </w:p>
    <w:p w:rsidRPr="009B269F" w:rsidR="00151EC1" w:rsidP="009B269F" w:rsidRDefault="00151EC1" w14:paraId="54EB618D" w14:textId="77777777">
      <w:pPr>
        <w:pStyle w:val="ListParagraph"/>
        <w:widowControl w:val="0"/>
        <w:numPr>
          <w:ilvl w:val="0"/>
          <w:numId w:val="29"/>
        </w:numPr>
        <w:ind w:left="567" w:hanging="567"/>
        <w:contextualSpacing w:val="0"/>
      </w:pPr>
      <w:r w:rsidRPr="009B269F">
        <w:t>vyzývá k tomu, aby byly vymezeny mimořádné případy, v nichž orgány EU mohou zakázat, zmírnit nebo podmínit přímé zahraniční investice, které představují ohrožení programu nebo projektu v zájmu Unie, s cílem stanovit jednotný přístup k ochraně veřejné bezpečnosti a pořádku pro všechny členské státy. Za tímto účelem by EU měla stanovit jasné postupy a okolnosti, aby bylo možné vykonávat kontrolu investic, které představují významné ohrožení zájmů EU;</w:t>
      </w:r>
    </w:p>
    <w:p w:rsidRPr="009B269F" w:rsidR="00151EC1" w:rsidP="009B269F" w:rsidRDefault="00151EC1" w14:paraId="650A4027" w14:textId="77777777">
      <w:pPr>
        <w:pStyle w:val="ListParagraph"/>
        <w:widowControl w:val="0"/>
        <w:numPr>
          <w:ilvl w:val="0"/>
          <w:numId w:val="29"/>
        </w:numPr>
        <w:ind w:left="567" w:hanging="567"/>
        <w:contextualSpacing w:val="0"/>
      </w:pPr>
      <w:r w:rsidRPr="009B269F">
        <w:t>navrhuje propagovat uplatňování zásady vzájemnosti v oblasti obchodu, investic a dohod o přidružení se třetími zeměmi a monitorovat investice třetích zemí, které omezují evropské investice, aby tak bylo možné dosáhnout vyváženého a spravedlivého přístupu. O jejím přísném uplatňování by se rozhodovalo případ od případu. Přímé zahraniční investice by měly být nadále podporovány – v mezích koncepčního rámce strategické autonomie a Strategie hospodářské bezpečnosti – v zájmu posílení udržitelné konkurenceschopnosti;</w:t>
      </w:r>
    </w:p>
    <w:p w:rsidRPr="009B269F" w:rsidR="00151EC1" w:rsidP="009B269F" w:rsidRDefault="00151EC1" w14:paraId="554C0184" w14:textId="77777777">
      <w:pPr>
        <w:pStyle w:val="ListParagraph"/>
        <w:widowControl w:val="0"/>
        <w:numPr>
          <w:ilvl w:val="0"/>
          <w:numId w:val="29"/>
        </w:numPr>
        <w:ind w:left="567" w:hanging="567"/>
        <w:contextualSpacing w:val="0"/>
      </w:pPr>
      <w:r w:rsidRPr="009B269F">
        <w:t>vyzývá k tomu, aby byl u investic z daňových rájů uplatňován zvláštní dohled, byla vyžadována plná znalost skutečných vlastníků investičních podniků a kontrolována legalita vynaložených finančních prostředků. Členské státy by měly zvážit případné zrušení tzv. „zlatých víz“ k získání povolení k pobytu v zemi EU či její státní příslušnosti;</w:t>
      </w:r>
    </w:p>
    <w:p w:rsidRPr="009B269F" w:rsidR="00151EC1" w:rsidP="009B269F" w:rsidRDefault="00151EC1" w14:paraId="5FE30DA0" w14:textId="675F6F10">
      <w:pPr>
        <w:pStyle w:val="ListParagraph"/>
        <w:widowControl w:val="0"/>
        <w:numPr>
          <w:ilvl w:val="0"/>
          <w:numId w:val="29"/>
        </w:numPr>
        <w:ind w:left="567" w:hanging="567"/>
        <w:contextualSpacing w:val="0"/>
      </w:pPr>
      <w:r w:rsidRPr="009B269F">
        <w:t xml:space="preserve">zdůrazňuje, že je nezbytné zavést mechanismy pro zapojení sociálních partnerů a organizací občanské společnosti v rámci politiky v oblasti přímých zahraničních investic a jejich kontroly na úrovni EU i na vnitrostátní úrovni, které zajistí transparentnost a inkluzivnost procesu hodnocení. </w:t>
      </w:r>
    </w:p>
    <w:p w:rsidRPr="009B269F" w:rsidR="00151EC1" w:rsidP="009B269F" w:rsidRDefault="00151EC1" w14:paraId="5334AE26" w14:textId="77777777">
      <w:pPr>
        <w:pStyle w:val="ListParagraph"/>
        <w:widowControl w:val="0"/>
        <w:ind w:left="567"/>
        <w:contextualSpacing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269F" w:rsidR="001A0C10" w:rsidTr="00547AB3" w14:paraId="1F01D5B7" w14:textId="77777777">
        <w:tc>
          <w:tcPr>
            <w:tcW w:w="1418" w:type="dxa"/>
          </w:tcPr>
          <w:p w:rsidRPr="009B269F" w:rsidR="001A0C10" w:rsidP="001A0C10" w:rsidRDefault="001A0C10" w14:paraId="0AE7B101" w14:textId="30DE05D1">
            <w:pPr>
              <w:keepNext/>
              <w:keepLines/>
              <w:rPr>
                <w:b/>
                <w:i/>
              </w:rPr>
            </w:pPr>
            <w:r>
              <w:rPr>
                <w:b/>
                <w:i/>
              </w:rPr>
              <w:lastRenderedPageBreak/>
              <w:t>Kontakt:</w:t>
            </w:r>
          </w:p>
        </w:tc>
        <w:tc>
          <w:tcPr>
            <w:tcW w:w="5670" w:type="dxa"/>
          </w:tcPr>
          <w:p w:rsidRPr="009B269F" w:rsidR="001A0C10" w:rsidP="001A0C10" w:rsidRDefault="001A0C10" w14:paraId="10155F9D" w14:textId="03D280AF">
            <w:pPr>
              <w:keepNext/>
              <w:keepLines/>
              <w:rPr>
                <w:i/>
              </w:rPr>
            </w:pPr>
            <w:r w:rsidRPr="009B269F">
              <w:rPr>
                <w:i/>
              </w:rPr>
              <w:t>Marco RISTORI</w:t>
            </w:r>
          </w:p>
        </w:tc>
      </w:tr>
      <w:tr w:rsidRPr="009B269F" w:rsidR="001A0C10" w:rsidTr="00547AB3" w14:paraId="4D8678A7" w14:textId="77777777">
        <w:tc>
          <w:tcPr>
            <w:tcW w:w="1418" w:type="dxa"/>
          </w:tcPr>
          <w:p w:rsidRPr="009B269F" w:rsidR="001A0C10" w:rsidP="001A0C10" w:rsidRDefault="001A0C10" w14:paraId="06A45540" w14:textId="5091E383">
            <w:pPr>
              <w:keepNext/>
              <w:keepLines/>
              <w:jc w:val="right"/>
              <w:rPr>
                <w:i/>
              </w:rPr>
            </w:pPr>
            <w:r>
              <w:rPr>
                <w:i/>
              </w:rPr>
              <w:t>Tel.:</w:t>
            </w:r>
          </w:p>
        </w:tc>
        <w:tc>
          <w:tcPr>
            <w:tcW w:w="5670" w:type="dxa"/>
          </w:tcPr>
          <w:p w:rsidRPr="009B269F" w:rsidR="001A0C10" w:rsidP="001A0C10" w:rsidRDefault="001A0C10" w14:paraId="0DB0AA6B" w14:textId="77777777">
            <w:pPr>
              <w:keepNext/>
              <w:keepLines/>
              <w:rPr>
                <w:i/>
              </w:rPr>
            </w:pPr>
            <w:r w:rsidRPr="009B269F">
              <w:rPr>
                <w:i/>
              </w:rPr>
              <w:t>+32 25469969</w:t>
            </w:r>
          </w:p>
        </w:tc>
      </w:tr>
      <w:tr w:rsidRPr="009B269F" w:rsidR="001A0C10" w:rsidTr="00547AB3" w14:paraId="41366BEE" w14:textId="77777777">
        <w:tc>
          <w:tcPr>
            <w:tcW w:w="1418" w:type="dxa"/>
          </w:tcPr>
          <w:p w:rsidRPr="009B269F" w:rsidR="001A0C10" w:rsidP="001A0C10" w:rsidRDefault="001A0C10" w14:paraId="37CB7BCF" w14:textId="07D20876">
            <w:pPr>
              <w:keepNext/>
              <w:keepLines/>
              <w:jc w:val="right"/>
              <w:rPr>
                <w:i/>
              </w:rPr>
            </w:pPr>
            <w:r>
              <w:rPr>
                <w:i/>
              </w:rPr>
              <w:t>E-mail:</w:t>
            </w:r>
          </w:p>
        </w:tc>
        <w:tc>
          <w:tcPr>
            <w:tcW w:w="5670" w:type="dxa"/>
          </w:tcPr>
          <w:p w:rsidRPr="009B269F" w:rsidR="001A0C10" w:rsidP="001A0C10" w:rsidRDefault="000029F8" w14:paraId="44350610" w14:textId="77777777">
            <w:pPr>
              <w:keepNext/>
              <w:keepLines/>
              <w:rPr>
                <w:i/>
              </w:rPr>
            </w:pPr>
            <w:hyperlink w:history="1" r:id="rId38">
              <w:r w:rsidRPr="009B269F" w:rsidR="001A0C10">
                <w:rPr>
                  <w:rStyle w:val="Hyperlink"/>
                  <w:i/>
                </w:rPr>
                <w:t>Marco.Ristori@eesc.europa.eu</w:t>
              </w:r>
            </w:hyperlink>
          </w:p>
        </w:tc>
      </w:tr>
    </w:tbl>
    <w:p w:rsidRPr="009B269F" w:rsidR="00151EC1" w:rsidP="009B269F" w:rsidRDefault="00151EC1" w14:paraId="5FD75450" w14:textId="77777777"/>
    <w:p w:rsidRPr="009B269F" w:rsidR="00151EC1" w:rsidP="009B269F" w:rsidRDefault="00151EC1" w14:paraId="607AF9D1" w14:textId="4B938239">
      <w:pPr>
        <w:overflowPunct w:val="0"/>
        <w:autoSpaceDE w:val="0"/>
        <w:autoSpaceDN w:val="0"/>
        <w:adjustRightInd w:val="0"/>
        <w:jc w:val="center"/>
        <w:textAlignment w:val="baseline"/>
        <w:rPr>
          <w:lang w:val="nl-BE"/>
        </w:rPr>
      </w:pPr>
    </w:p>
    <w:p w:rsidRPr="009B269F" w:rsidR="000F7CD9" w:rsidP="009B269F" w:rsidRDefault="000F7CD9" w14:paraId="74F7964D" w14:textId="594E00C1">
      <w:pPr>
        <w:jc w:val="left"/>
        <w:rPr>
          <w:lang w:val="nl-BE"/>
        </w:rPr>
      </w:pPr>
      <w:r w:rsidRPr="009B269F">
        <w:rPr>
          <w:lang w:val="nl-BE"/>
        </w:rPr>
        <w:br w:type="page"/>
      </w:r>
    </w:p>
    <w:p w:rsidRPr="009B269F" w:rsidR="000F7CD9" w:rsidP="009B269F" w:rsidRDefault="000F7CD9" w14:paraId="54A4B2ED" w14:textId="3B933A73">
      <w:pPr>
        <w:pStyle w:val="Heading1"/>
        <w:tabs>
          <w:tab w:val="clear" w:pos="440"/>
        </w:tabs>
        <w:spacing w:before="0"/>
        <w:ind w:left="567" w:hanging="567"/>
        <w:rPr>
          <w:b/>
          <w:bCs/>
          <w:lang w:val="nl-BE"/>
        </w:rPr>
      </w:pPr>
      <w:bookmarkStart w:name="_Toc171941590" w:id="16"/>
      <w:bookmarkStart w:name="_Toc172192940" w:id="17"/>
      <w:r w:rsidRPr="009B269F">
        <w:rPr>
          <w:rStyle w:val="Heading1Char"/>
          <w:b/>
          <w:bCs/>
        </w:rPr>
        <w:lastRenderedPageBreak/>
        <w:t>DOPRAVA, ENERGETIKA, INFRASTRUKTURA A INFORMAČNÍ SPOLEČNOST</w:t>
      </w:r>
      <w:bookmarkEnd w:id="16"/>
      <w:bookmarkEnd w:id="17"/>
    </w:p>
    <w:p w:rsidRPr="009B269F" w:rsidR="00151EC1" w:rsidP="009B269F" w:rsidRDefault="00151EC1" w14:paraId="3A874B18" w14:textId="7358B41A">
      <w:pPr>
        <w:overflowPunct w:val="0"/>
        <w:autoSpaceDE w:val="0"/>
        <w:autoSpaceDN w:val="0"/>
        <w:adjustRightInd w:val="0"/>
        <w:jc w:val="center"/>
        <w:textAlignment w:val="baseline"/>
        <w:rPr>
          <w:lang w:val="nl-BE"/>
        </w:rPr>
      </w:pPr>
    </w:p>
    <w:p w:rsidRPr="009B269F" w:rsidR="00151EC1" w:rsidP="009B269F" w:rsidRDefault="000029F8" w14:paraId="4B99996F" w14:textId="40C1F795">
      <w:pPr>
        <w:widowControl w:val="0"/>
        <w:numPr>
          <w:ilvl w:val="0"/>
          <w:numId w:val="6"/>
        </w:numPr>
        <w:overflowPunct w:val="0"/>
        <w:autoSpaceDE w:val="0"/>
        <w:autoSpaceDN w:val="0"/>
        <w:adjustRightInd w:val="0"/>
        <w:ind w:hanging="567"/>
        <w:textAlignment w:val="baseline"/>
        <w:rPr>
          <w:sz w:val="20"/>
        </w:rPr>
      </w:pPr>
      <w:hyperlink w:history="1" r:id="rId39">
        <w:r w:rsidRPr="009B269F" w:rsidR="00151EC1">
          <w:rPr>
            <w:rStyle w:val="Hyperlink"/>
            <w:b/>
            <w:i/>
            <w:sz w:val="28"/>
          </w:rPr>
          <w:t>Digitalizace v oblasti energetiky: vyvažování příležitostí a rizik pro evropské spotřebitele</w:t>
        </w:r>
      </w:hyperlink>
    </w:p>
    <w:p w:rsidRPr="009B269F" w:rsidR="00151EC1" w:rsidP="009B269F" w:rsidRDefault="00151EC1" w14:paraId="5EA01249" w14:textId="77777777">
      <w:pPr>
        <w:tabs>
          <w:tab w:val="center" w:pos="284"/>
        </w:tabs>
        <w:ind w:left="266" w:hanging="266"/>
        <w:rPr>
          <w:b/>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9B269F" w:rsidR="00151EC1" w:rsidTr="008C66FD" w14:paraId="0BCD1477" w14:textId="77777777">
        <w:tc>
          <w:tcPr>
            <w:tcW w:w="2235" w:type="dxa"/>
          </w:tcPr>
          <w:p w:rsidRPr="009B269F" w:rsidR="00151EC1" w:rsidP="009B269F" w:rsidRDefault="00151EC1" w14:paraId="3DEA67FD" w14:textId="77777777">
            <w:pPr>
              <w:tabs>
                <w:tab w:val="center" w:pos="284"/>
              </w:tabs>
              <w:ind w:left="266" w:hanging="266"/>
              <w:rPr>
                <w:b/>
              </w:rPr>
            </w:pPr>
            <w:r w:rsidRPr="009B269F">
              <w:rPr>
                <w:b/>
              </w:rPr>
              <w:t>Zpravodaj:</w:t>
            </w:r>
          </w:p>
        </w:tc>
        <w:tc>
          <w:tcPr>
            <w:tcW w:w="6838" w:type="dxa"/>
          </w:tcPr>
          <w:p w:rsidRPr="009B269F" w:rsidR="00151EC1" w:rsidP="009B269F" w:rsidRDefault="00151EC1" w14:paraId="64A43D35" w14:textId="77777777">
            <w:pPr>
              <w:tabs>
                <w:tab w:val="center" w:pos="284"/>
              </w:tabs>
              <w:ind w:left="266" w:hanging="266"/>
            </w:pPr>
            <w:r w:rsidRPr="009B269F">
              <w:t>Kęstutis KUPŠYS (Organizace občanské společnosti – LT)</w:t>
            </w:r>
          </w:p>
        </w:tc>
      </w:tr>
      <w:tr w:rsidRPr="009B269F" w:rsidR="00151EC1" w:rsidTr="008C66FD" w14:paraId="16B09C7D" w14:textId="77777777">
        <w:tc>
          <w:tcPr>
            <w:tcW w:w="9073" w:type="dxa"/>
            <w:gridSpan w:val="2"/>
          </w:tcPr>
          <w:p w:rsidRPr="009B269F" w:rsidR="00151EC1" w:rsidP="009B269F" w:rsidRDefault="00151EC1" w14:paraId="5596D685" w14:textId="77777777">
            <w:pPr>
              <w:tabs>
                <w:tab w:val="center" w:pos="284"/>
              </w:tabs>
              <w:ind w:left="266" w:hanging="266"/>
              <w:rPr>
                <w:lang w:val="en-US"/>
              </w:rPr>
            </w:pPr>
          </w:p>
        </w:tc>
      </w:tr>
      <w:tr w:rsidRPr="009B269F" w:rsidR="00151EC1" w:rsidTr="008C66FD" w14:paraId="7CA6A150" w14:textId="77777777">
        <w:tc>
          <w:tcPr>
            <w:tcW w:w="2235" w:type="dxa"/>
          </w:tcPr>
          <w:p w:rsidRPr="009B269F" w:rsidR="00151EC1" w:rsidP="009B269F" w:rsidRDefault="00151EC1" w14:paraId="107017AB" w14:textId="77777777">
            <w:pPr>
              <w:tabs>
                <w:tab w:val="center" w:pos="284"/>
              </w:tabs>
              <w:ind w:left="266" w:hanging="266"/>
              <w:rPr>
                <w:b/>
              </w:rPr>
            </w:pPr>
            <w:r w:rsidRPr="009B269F">
              <w:rPr>
                <w:b/>
              </w:rPr>
              <w:t>Odkazy</w:t>
            </w:r>
          </w:p>
        </w:tc>
        <w:tc>
          <w:tcPr>
            <w:tcW w:w="6838" w:type="dxa"/>
          </w:tcPr>
          <w:p w:rsidRPr="009B269F" w:rsidR="00151EC1" w:rsidP="009B269F" w:rsidRDefault="00151EC1" w14:paraId="3748ADB3" w14:textId="77777777">
            <w:pPr>
              <w:tabs>
                <w:tab w:val="center" w:pos="0"/>
              </w:tabs>
            </w:pPr>
            <w:r w:rsidRPr="009B269F">
              <w:t>stanovisko z vlastní iniciativy</w:t>
            </w:r>
          </w:p>
          <w:p w:rsidRPr="009B269F" w:rsidR="00151EC1" w:rsidP="009B269F" w:rsidRDefault="00151EC1" w14:paraId="7A3C76CD" w14:textId="77777777">
            <w:pPr>
              <w:tabs>
                <w:tab w:val="center" w:pos="284"/>
              </w:tabs>
              <w:ind w:left="266" w:hanging="266"/>
            </w:pPr>
            <w:r w:rsidRPr="009B269F">
              <w:t>EESC-2024-01212-00-00-AC</w:t>
            </w:r>
          </w:p>
        </w:tc>
      </w:tr>
    </w:tbl>
    <w:p w:rsidRPr="009B269F" w:rsidR="005C4D64" w:rsidP="009B269F" w:rsidRDefault="005C4D64" w14:paraId="58FA447F" w14:textId="77777777">
      <w:pPr>
        <w:keepNext/>
        <w:keepLines/>
        <w:tabs>
          <w:tab w:val="center" w:pos="284"/>
        </w:tabs>
        <w:ind w:left="266" w:hanging="266"/>
        <w:rPr>
          <w:b/>
        </w:rPr>
      </w:pPr>
    </w:p>
    <w:p w:rsidRPr="009B269F" w:rsidR="00151EC1" w:rsidP="009B269F" w:rsidRDefault="00151EC1" w14:paraId="1F876A3C" w14:textId="26B71701">
      <w:pPr>
        <w:keepNext/>
        <w:keepLines/>
        <w:tabs>
          <w:tab w:val="center" w:pos="284"/>
        </w:tabs>
        <w:ind w:left="266" w:hanging="266"/>
        <w:rPr>
          <w:b/>
        </w:rPr>
      </w:pPr>
      <w:r w:rsidRPr="009B269F">
        <w:rPr>
          <w:b/>
        </w:rPr>
        <w:t>Hlavní body</w:t>
      </w:r>
    </w:p>
    <w:p w:rsidRPr="009B269F" w:rsidR="00151EC1" w:rsidP="009B269F" w:rsidRDefault="00151EC1" w14:paraId="29033021" w14:textId="77777777">
      <w:pPr>
        <w:keepNext/>
        <w:keepLines/>
        <w:tabs>
          <w:tab w:val="center" w:pos="284"/>
        </w:tabs>
        <w:ind w:left="266" w:hanging="266"/>
        <w:rPr>
          <w:b/>
          <w:sz w:val="16"/>
          <w:szCs w:val="16"/>
        </w:rPr>
      </w:pPr>
    </w:p>
    <w:p w:rsidRPr="009B269F" w:rsidR="00151EC1" w:rsidP="009B269F" w:rsidRDefault="00151EC1" w14:paraId="7A5A1B88" w14:textId="77777777">
      <w:pPr>
        <w:rPr>
          <w:bCs/>
          <w:iCs/>
        </w:rPr>
      </w:pPr>
      <w:r w:rsidRPr="009B269F">
        <w:t>EHSV:</w:t>
      </w:r>
    </w:p>
    <w:p w:rsidRPr="009B269F" w:rsidR="00151EC1" w:rsidP="009B269F" w:rsidRDefault="00151EC1" w14:paraId="6DDF1D6D" w14:textId="77777777">
      <w:pPr>
        <w:keepNext/>
        <w:keepLines/>
        <w:tabs>
          <w:tab w:val="center" w:pos="284"/>
        </w:tabs>
        <w:ind w:left="266" w:hanging="266"/>
        <w:rPr>
          <w:b/>
          <w:sz w:val="16"/>
          <w:szCs w:val="16"/>
        </w:rPr>
      </w:pPr>
    </w:p>
    <w:p w:rsidRPr="009B269F" w:rsidR="00151EC1" w:rsidP="009B269F" w:rsidRDefault="00151EC1" w14:paraId="2378C387" w14:textId="77777777">
      <w:pPr>
        <w:pStyle w:val="ListParagraph"/>
        <w:numPr>
          <w:ilvl w:val="0"/>
          <w:numId w:val="30"/>
        </w:numPr>
        <w:ind w:left="567" w:hanging="567"/>
      </w:pPr>
      <w:r w:rsidRPr="009B269F">
        <w:t>zdůrazňuje, že digitalizace nabývá ještě více na významu s ohledem na ekologickou transformaci. Energie by však měla zůstat cenově dostupná, přizpůsobitelná a spotřebitelsky přístupná. Bude třeba rozvíjet uživatelsky vstřícné digitální nástroje, které vyjdou vstříc nejrůznějším potřebám a podpoří rovný přístup k digitálním energetickým službám. Spotřebitelé by stále měli mít možnost volby ceny, smlouvy a zákaznických služeb jako v „předdigitální“ době;</w:t>
      </w:r>
    </w:p>
    <w:p w:rsidRPr="009B269F" w:rsidR="00151EC1" w:rsidP="009B269F" w:rsidRDefault="00151EC1" w14:paraId="6AF1DF4B" w14:textId="21D7E067">
      <w:pPr>
        <w:pStyle w:val="ListParagraph"/>
        <w:numPr>
          <w:ilvl w:val="0"/>
          <w:numId w:val="30"/>
        </w:numPr>
        <w:ind w:left="567" w:hanging="567"/>
      </w:pPr>
      <w:r w:rsidRPr="009B269F">
        <w:t>upozorňuje, že prioritou musí být kybernetická bezpečnost uživatelských dat. Digitalizace umocňuje potřebu zavést dynamické předpisy na ochranu spotřebitele, jež by byly přizpůsobené novým souvislostem a účastníkům v odvětví;</w:t>
      </w:r>
    </w:p>
    <w:p w:rsidRPr="009B269F" w:rsidR="00151EC1" w:rsidP="009B269F" w:rsidRDefault="00151EC1" w14:paraId="5C102480" w14:textId="77777777">
      <w:pPr>
        <w:pStyle w:val="ListParagraph"/>
        <w:numPr>
          <w:ilvl w:val="0"/>
          <w:numId w:val="30"/>
        </w:numPr>
        <w:ind w:left="567" w:hanging="567"/>
      </w:pPr>
      <w:r w:rsidRPr="009B269F">
        <w:t>podotýká, že digitální propast mezi spotřebiteli, kteří si mohou dovolit dražší digitální nástroje, a těmi, kteří si je dovolit nemohou, vede k vyšší energetické chudobě.</w:t>
      </w:r>
    </w:p>
    <w:p w:rsidRPr="009B269F" w:rsidR="00151EC1" w:rsidP="009B269F" w:rsidRDefault="00151EC1" w14:paraId="72551DD6" w14:textId="77777777">
      <w:pPr>
        <w:pStyle w:val="ListParagraph"/>
        <w:numPr>
          <w:ilvl w:val="0"/>
          <w:numId w:val="30"/>
        </w:numPr>
        <w:ind w:left="567" w:hanging="567"/>
      </w:pPr>
      <w:r w:rsidRPr="009B269F">
        <w:t>doporučuje poskytovat odbornou přípravu pracovníků. Všem zúčastněným stranám by měly být nabízeny akademie průmyslu pro nulové čisté emise, přičemž důraz by měl být kladen na dovednosti v oblasti energetické účinnosti.</w:t>
      </w:r>
    </w:p>
    <w:p w:rsidRPr="009B269F" w:rsidR="00151EC1" w:rsidP="009B269F" w:rsidRDefault="00151EC1" w14:paraId="65FD4E25" w14:textId="77777777"/>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269F" w:rsidR="00151EC1" w:rsidTr="008C66FD" w14:paraId="3FAEF015" w14:textId="77777777">
        <w:tc>
          <w:tcPr>
            <w:tcW w:w="1418" w:type="dxa"/>
          </w:tcPr>
          <w:p w:rsidRPr="009B269F" w:rsidR="00151EC1" w:rsidP="009B269F" w:rsidRDefault="00151EC1" w14:paraId="41ABC519" w14:textId="77777777">
            <w:pPr>
              <w:rPr>
                <w:i/>
              </w:rPr>
            </w:pPr>
            <w:r w:rsidRPr="009B269F">
              <w:rPr>
                <w:b/>
                <w:i/>
              </w:rPr>
              <w:t>Kontakt:</w:t>
            </w:r>
          </w:p>
        </w:tc>
        <w:tc>
          <w:tcPr>
            <w:tcW w:w="5670" w:type="dxa"/>
          </w:tcPr>
          <w:p w:rsidRPr="009B269F" w:rsidR="00151EC1" w:rsidP="009B269F" w:rsidRDefault="00151EC1" w14:paraId="75B519E2" w14:textId="77777777">
            <w:pPr>
              <w:rPr>
                <w:i/>
              </w:rPr>
            </w:pPr>
            <w:r w:rsidRPr="009B269F">
              <w:rPr>
                <w:i/>
              </w:rPr>
              <w:t xml:space="preserve">Aleksandra SARMAN GRILC </w:t>
            </w:r>
          </w:p>
        </w:tc>
      </w:tr>
      <w:tr w:rsidRPr="009B269F" w:rsidR="00151EC1" w:rsidTr="008C66FD" w14:paraId="66257367" w14:textId="77777777">
        <w:tc>
          <w:tcPr>
            <w:tcW w:w="1418" w:type="dxa"/>
          </w:tcPr>
          <w:p w:rsidRPr="009B269F" w:rsidR="00151EC1" w:rsidP="001A0C10" w:rsidRDefault="00151EC1" w14:paraId="353D2E92" w14:textId="77777777">
            <w:pPr>
              <w:jc w:val="right"/>
              <w:rPr>
                <w:i/>
              </w:rPr>
            </w:pPr>
            <w:r w:rsidRPr="009B269F">
              <w:rPr>
                <w:i/>
              </w:rPr>
              <w:t>Tel.:</w:t>
            </w:r>
          </w:p>
        </w:tc>
        <w:tc>
          <w:tcPr>
            <w:tcW w:w="5670" w:type="dxa"/>
          </w:tcPr>
          <w:p w:rsidRPr="009B269F" w:rsidR="00151EC1" w:rsidP="009B269F" w:rsidRDefault="00151EC1" w14:paraId="073061D2" w14:textId="77777777">
            <w:pPr>
              <w:rPr>
                <w:i/>
              </w:rPr>
            </w:pPr>
            <w:r w:rsidRPr="009B269F">
              <w:rPr>
                <w:i/>
              </w:rPr>
              <w:t>+32 25468333</w:t>
            </w:r>
          </w:p>
        </w:tc>
      </w:tr>
      <w:tr w:rsidRPr="009B269F" w:rsidR="00151EC1" w:rsidTr="008C66FD" w14:paraId="6CA1E438" w14:textId="77777777">
        <w:tc>
          <w:tcPr>
            <w:tcW w:w="1418" w:type="dxa"/>
          </w:tcPr>
          <w:p w:rsidRPr="009B269F" w:rsidR="00151EC1" w:rsidP="001A0C10" w:rsidRDefault="00151EC1" w14:paraId="45C92683" w14:textId="77777777">
            <w:pPr>
              <w:jc w:val="right"/>
              <w:rPr>
                <w:i/>
              </w:rPr>
            </w:pPr>
            <w:r w:rsidRPr="009B269F">
              <w:rPr>
                <w:i/>
              </w:rPr>
              <w:t>E-mail:</w:t>
            </w:r>
          </w:p>
        </w:tc>
        <w:tc>
          <w:tcPr>
            <w:tcW w:w="5670" w:type="dxa"/>
          </w:tcPr>
          <w:p w:rsidRPr="009B269F" w:rsidR="00151EC1" w:rsidP="009B269F" w:rsidRDefault="000029F8" w14:paraId="50D73F3D" w14:textId="77777777">
            <w:pPr>
              <w:rPr>
                <w:i/>
                <w:iCs/>
              </w:rPr>
            </w:pPr>
            <w:hyperlink w:history="1" r:id="rId40">
              <w:r w:rsidRPr="009B269F" w:rsidR="00151EC1">
                <w:rPr>
                  <w:rStyle w:val="Hyperlink"/>
                  <w:i/>
                </w:rPr>
                <w:t>Aleksandra.SarmanGrilc@eesc.europa.eu</w:t>
              </w:r>
            </w:hyperlink>
          </w:p>
        </w:tc>
      </w:tr>
    </w:tbl>
    <w:p w:rsidRPr="009B269F" w:rsidR="00151EC1" w:rsidP="009B269F" w:rsidRDefault="00151EC1" w14:paraId="2D02483A" w14:textId="6C5209C7">
      <w:pPr>
        <w:overflowPunct w:val="0"/>
        <w:autoSpaceDE w:val="0"/>
        <w:autoSpaceDN w:val="0"/>
        <w:adjustRightInd w:val="0"/>
        <w:jc w:val="center"/>
        <w:textAlignment w:val="baseline"/>
      </w:pPr>
    </w:p>
    <w:p w:rsidRPr="009B269F" w:rsidR="000F7CD9" w:rsidP="009B269F" w:rsidRDefault="000F7CD9" w14:paraId="224DFBB3" w14:textId="24BDC4CA">
      <w:pPr>
        <w:jc w:val="left"/>
      </w:pPr>
      <w:r w:rsidRPr="009B269F">
        <w:br w:type="page"/>
      </w:r>
    </w:p>
    <w:p w:rsidRPr="009B269F" w:rsidR="00151EC1" w:rsidP="009B269F" w:rsidRDefault="00151EC1" w14:paraId="0B3AA3BE" w14:textId="6C43F0AF">
      <w:pPr>
        <w:overflowPunct w:val="0"/>
        <w:autoSpaceDE w:val="0"/>
        <w:autoSpaceDN w:val="0"/>
        <w:adjustRightInd w:val="0"/>
        <w:jc w:val="center"/>
        <w:textAlignment w:val="baseline"/>
      </w:pPr>
    </w:p>
    <w:p w:rsidRPr="009B269F" w:rsidR="000F7CD9" w:rsidP="009B269F" w:rsidRDefault="000F7CD9" w14:paraId="05755673" w14:textId="22D41FE6">
      <w:pPr>
        <w:pStyle w:val="Heading1"/>
        <w:tabs>
          <w:tab w:val="clear" w:pos="440"/>
        </w:tabs>
        <w:spacing w:before="0"/>
        <w:ind w:left="567" w:hanging="567"/>
        <w:rPr>
          <w:b/>
          <w:bCs/>
        </w:rPr>
      </w:pPr>
      <w:bookmarkStart w:name="_Toc171941591" w:id="18"/>
      <w:bookmarkStart w:name="_Toc172192941" w:id="19"/>
      <w:r w:rsidRPr="009B269F">
        <w:rPr>
          <w:rStyle w:val="Heading1Char"/>
          <w:b/>
          <w:bCs/>
        </w:rPr>
        <w:t>PORADNÍ KOMISE PRO PRŮMYSLOVÉ ZMĚNY</w:t>
      </w:r>
      <w:bookmarkEnd w:id="18"/>
      <w:bookmarkEnd w:id="19"/>
    </w:p>
    <w:p w:rsidRPr="009B269F" w:rsidR="000F7CD9" w:rsidP="009B269F" w:rsidRDefault="000F7CD9" w14:paraId="79A1AD32" w14:textId="77777777">
      <w:pPr>
        <w:overflowPunct w:val="0"/>
        <w:autoSpaceDE w:val="0"/>
        <w:autoSpaceDN w:val="0"/>
        <w:adjustRightInd w:val="0"/>
        <w:jc w:val="center"/>
        <w:textAlignment w:val="baseline"/>
      </w:pPr>
    </w:p>
    <w:p w:rsidRPr="009B269F" w:rsidR="00151EC1" w:rsidP="009B269F" w:rsidRDefault="000029F8" w14:paraId="0173E439" w14:textId="6CC7BFF4">
      <w:pPr>
        <w:widowControl w:val="0"/>
        <w:numPr>
          <w:ilvl w:val="0"/>
          <w:numId w:val="6"/>
        </w:numPr>
        <w:overflowPunct w:val="0"/>
        <w:autoSpaceDE w:val="0"/>
        <w:autoSpaceDN w:val="0"/>
        <w:adjustRightInd w:val="0"/>
        <w:ind w:hanging="567"/>
        <w:textAlignment w:val="baseline"/>
        <w:rPr>
          <w:i/>
          <w:iCs/>
          <w:sz w:val="28"/>
          <w:szCs w:val="28"/>
        </w:rPr>
      </w:pPr>
      <w:hyperlink w:history="1" r:id="rId41">
        <w:r w:rsidRPr="009B269F" w:rsidR="00151EC1">
          <w:rPr>
            <w:rStyle w:val="Hyperlink"/>
            <w:b/>
            <w:i/>
            <w:sz w:val="28"/>
          </w:rPr>
          <w:t>Tvorba budoucnosti s pomocí přírody: posílení biotechnologií a biovýroby v EU</w:t>
        </w:r>
      </w:hyperlink>
    </w:p>
    <w:p w:rsidRPr="009B269F" w:rsidR="00151EC1" w:rsidP="009B269F" w:rsidRDefault="00151EC1" w14:paraId="560714CE" w14:textId="77777777">
      <w:pPr>
        <w:tabs>
          <w:tab w:val="center" w:pos="284"/>
        </w:tabs>
        <w:ind w:left="266" w:hanging="266"/>
        <w:rPr>
          <w:b/>
          <w:sz w:val="18"/>
          <w:szCs w:val="18"/>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B269F" w:rsidR="00151EC1" w:rsidTr="008C66FD" w14:paraId="306911D4" w14:textId="77777777">
        <w:tc>
          <w:tcPr>
            <w:tcW w:w="1591" w:type="pct"/>
          </w:tcPr>
          <w:p w:rsidRPr="009B269F" w:rsidR="00151EC1" w:rsidP="009B269F" w:rsidRDefault="00151EC1" w14:paraId="68B60238" w14:textId="77777777">
            <w:pPr>
              <w:tabs>
                <w:tab w:val="center" w:pos="284"/>
              </w:tabs>
              <w:ind w:left="266" w:hanging="266"/>
              <w:rPr>
                <w:b/>
              </w:rPr>
            </w:pPr>
            <w:r w:rsidRPr="009B269F">
              <w:rPr>
                <w:b/>
              </w:rPr>
              <w:t>Zpravodaj</w:t>
            </w:r>
          </w:p>
        </w:tc>
        <w:tc>
          <w:tcPr>
            <w:tcW w:w="3409" w:type="pct"/>
          </w:tcPr>
          <w:p w:rsidRPr="00D429CA" w:rsidR="00151EC1" w:rsidP="009B269F" w:rsidRDefault="00151EC1" w14:paraId="29800C6A" w14:textId="43219B96">
            <w:pPr>
              <w:tabs>
                <w:tab w:val="center" w:pos="284"/>
              </w:tabs>
              <w:ind w:left="266" w:hanging="266"/>
              <w:rPr>
                <w:bCs/>
              </w:rPr>
            </w:pPr>
            <w:r w:rsidRPr="00D429CA">
              <w:rPr>
                <w:bCs/>
              </w:rPr>
              <w:t xml:space="preserve">Florian </w:t>
            </w:r>
            <w:r w:rsidRPr="00D429CA" w:rsidR="001A0C10">
              <w:rPr>
                <w:bCs/>
              </w:rPr>
              <w:t xml:space="preserve">MARIN </w:t>
            </w:r>
            <w:r w:rsidRPr="00D429CA">
              <w:rPr>
                <w:bCs/>
              </w:rPr>
              <w:t>(Zaměstnanci – RO)</w:t>
            </w:r>
          </w:p>
        </w:tc>
      </w:tr>
      <w:tr w:rsidRPr="009B269F" w:rsidR="00151EC1" w:rsidTr="008C66FD" w14:paraId="01ABFBB4" w14:textId="77777777">
        <w:tc>
          <w:tcPr>
            <w:tcW w:w="1591" w:type="pct"/>
          </w:tcPr>
          <w:p w:rsidRPr="009B269F" w:rsidR="00151EC1" w:rsidP="009B269F" w:rsidRDefault="00151EC1" w14:paraId="49DDCB41" w14:textId="77777777">
            <w:pPr>
              <w:tabs>
                <w:tab w:val="center" w:pos="284"/>
              </w:tabs>
              <w:ind w:left="266" w:hanging="266"/>
              <w:rPr>
                <w:b/>
              </w:rPr>
            </w:pPr>
            <w:r w:rsidRPr="009B269F">
              <w:rPr>
                <w:b/>
              </w:rPr>
              <w:t>Spoluzpravodaj</w:t>
            </w:r>
          </w:p>
        </w:tc>
        <w:tc>
          <w:tcPr>
            <w:tcW w:w="3409" w:type="pct"/>
          </w:tcPr>
          <w:p w:rsidRPr="00D429CA" w:rsidR="00151EC1" w:rsidP="009B269F" w:rsidRDefault="00151EC1" w14:paraId="5CCB6343" w14:textId="3B94176A">
            <w:pPr>
              <w:tabs>
                <w:tab w:val="center" w:pos="284"/>
              </w:tabs>
              <w:ind w:left="266" w:hanging="266"/>
              <w:rPr>
                <w:bCs/>
              </w:rPr>
            </w:pPr>
            <w:r w:rsidRPr="00D429CA">
              <w:rPr>
                <w:bCs/>
              </w:rPr>
              <w:t xml:space="preserve">Antonello </w:t>
            </w:r>
            <w:r w:rsidRPr="00D429CA" w:rsidR="001A0C10">
              <w:rPr>
                <w:bCs/>
              </w:rPr>
              <w:t xml:space="preserve">PEZZINI </w:t>
            </w:r>
            <w:r w:rsidRPr="00D429CA">
              <w:rPr>
                <w:bCs/>
              </w:rPr>
              <w:t>(IT-kat. 1)</w:t>
            </w:r>
          </w:p>
        </w:tc>
      </w:tr>
      <w:tr w:rsidRPr="009B269F" w:rsidR="00151EC1" w:rsidTr="008C66FD" w14:paraId="67461E8A" w14:textId="77777777">
        <w:tc>
          <w:tcPr>
            <w:tcW w:w="5000" w:type="pct"/>
            <w:gridSpan w:val="2"/>
          </w:tcPr>
          <w:p w:rsidRPr="009B269F" w:rsidR="00151EC1" w:rsidP="009B269F" w:rsidRDefault="00151EC1" w14:paraId="3DE3CD41" w14:textId="77777777">
            <w:pPr>
              <w:tabs>
                <w:tab w:val="center" w:pos="284"/>
              </w:tabs>
              <w:ind w:left="266" w:hanging="266"/>
              <w:rPr>
                <w:lang w:val="en-US"/>
              </w:rPr>
            </w:pPr>
          </w:p>
        </w:tc>
      </w:tr>
      <w:tr w:rsidRPr="009B269F" w:rsidR="00151EC1" w:rsidTr="008C66FD" w14:paraId="417E106B" w14:textId="77777777">
        <w:tc>
          <w:tcPr>
            <w:tcW w:w="1591" w:type="pct"/>
          </w:tcPr>
          <w:p w:rsidRPr="009B269F" w:rsidR="00151EC1" w:rsidP="009B269F" w:rsidRDefault="00151EC1" w14:paraId="080E8282" w14:textId="77777777">
            <w:pPr>
              <w:tabs>
                <w:tab w:val="center" w:pos="284"/>
              </w:tabs>
              <w:ind w:left="266" w:hanging="266"/>
              <w:rPr>
                <w:b/>
              </w:rPr>
            </w:pPr>
            <w:r w:rsidRPr="009B269F">
              <w:rPr>
                <w:b/>
              </w:rPr>
              <w:t>Odkazy</w:t>
            </w:r>
          </w:p>
        </w:tc>
        <w:tc>
          <w:tcPr>
            <w:tcW w:w="3409" w:type="pct"/>
          </w:tcPr>
          <w:p w:rsidR="00D429CA" w:rsidP="009B269F" w:rsidRDefault="00D429CA" w14:paraId="4B68449D" w14:textId="0A86E716">
            <w:pPr>
              <w:tabs>
                <w:tab w:val="center" w:pos="284"/>
              </w:tabs>
              <w:ind w:left="266" w:hanging="266"/>
            </w:pPr>
            <w:r w:rsidRPr="00D429CA">
              <w:t>COM(2024) 137 final</w:t>
            </w:r>
          </w:p>
          <w:p w:rsidRPr="009B269F" w:rsidR="00151EC1" w:rsidP="009B269F" w:rsidRDefault="00151EC1" w14:paraId="2FB157B2" w14:textId="75013C03">
            <w:pPr>
              <w:tabs>
                <w:tab w:val="center" w:pos="284"/>
              </w:tabs>
              <w:ind w:left="266" w:hanging="266"/>
            </w:pPr>
            <w:r w:rsidRPr="009B269F">
              <w:t>EESC-2024-00997-00-00-A</w:t>
            </w:r>
            <w:r w:rsidR="00D429CA">
              <w:t>C</w:t>
            </w:r>
          </w:p>
        </w:tc>
      </w:tr>
    </w:tbl>
    <w:p w:rsidRPr="009B269F" w:rsidR="00151EC1" w:rsidP="009B269F" w:rsidRDefault="00151EC1" w14:paraId="7928BFE1" w14:textId="77777777">
      <w:pPr>
        <w:keepNext/>
        <w:keepLines/>
        <w:tabs>
          <w:tab w:val="center" w:pos="284"/>
        </w:tabs>
        <w:ind w:left="266" w:hanging="266"/>
        <w:rPr>
          <w:b/>
          <w:sz w:val="18"/>
          <w:szCs w:val="18"/>
        </w:rPr>
      </w:pPr>
    </w:p>
    <w:p w:rsidRPr="009B269F" w:rsidR="00151EC1" w:rsidP="009B269F" w:rsidRDefault="00151EC1" w14:paraId="2B561EC3" w14:textId="77777777">
      <w:pPr>
        <w:keepNext/>
        <w:keepLines/>
        <w:tabs>
          <w:tab w:val="center" w:pos="284"/>
        </w:tabs>
        <w:ind w:left="266" w:hanging="266"/>
        <w:rPr>
          <w:b/>
        </w:rPr>
      </w:pPr>
      <w:r w:rsidRPr="009B269F">
        <w:rPr>
          <w:b/>
        </w:rPr>
        <w:t>Hlavní body</w:t>
      </w:r>
    </w:p>
    <w:p w:rsidRPr="009B269F" w:rsidR="00151EC1" w:rsidP="009B269F" w:rsidRDefault="00151EC1" w14:paraId="21E6FAC7" w14:textId="77777777">
      <w:pPr>
        <w:keepNext/>
        <w:keepLines/>
        <w:tabs>
          <w:tab w:val="center" w:pos="284"/>
        </w:tabs>
        <w:ind w:left="266" w:hanging="266"/>
        <w:rPr>
          <w:b/>
          <w:sz w:val="18"/>
          <w:szCs w:val="18"/>
        </w:rPr>
      </w:pPr>
    </w:p>
    <w:p w:rsidRPr="009B269F" w:rsidR="00151EC1" w:rsidP="009B269F" w:rsidRDefault="00151EC1" w14:paraId="352F7943" w14:textId="77777777">
      <w:pPr>
        <w:rPr>
          <w:bCs/>
          <w:iCs/>
        </w:rPr>
      </w:pPr>
      <w:r w:rsidRPr="009B269F">
        <w:t>EHSV:</w:t>
      </w:r>
    </w:p>
    <w:p w:rsidRPr="009B269F" w:rsidR="00151EC1" w:rsidP="009B269F" w:rsidRDefault="00151EC1" w14:paraId="794BD86D" w14:textId="77777777">
      <w:pPr>
        <w:ind w:left="567" w:hanging="567"/>
        <w:rPr>
          <w:sz w:val="18"/>
          <w:szCs w:val="16"/>
        </w:rPr>
      </w:pPr>
    </w:p>
    <w:p w:rsidRPr="009B269F" w:rsidR="00151EC1" w:rsidP="009B269F" w:rsidRDefault="00151EC1" w14:paraId="6DBACCAC" w14:textId="77777777">
      <w:pPr>
        <w:widowControl w:val="0"/>
        <w:numPr>
          <w:ilvl w:val="0"/>
          <w:numId w:val="31"/>
        </w:numPr>
        <w:overflowPunct w:val="0"/>
        <w:autoSpaceDE w:val="0"/>
        <w:autoSpaceDN w:val="0"/>
        <w:adjustRightInd w:val="0"/>
        <w:ind w:left="567" w:hanging="567"/>
        <w:textAlignment w:val="baseline"/>
        <w:rPr>
          <w:bCs/>
          <w:iCs/>
        </w:rPr>
      </w:pPr>
      <w:r w:rsidRPr="009B269F">
        <w:t xml:space="preserve">vyjadřuje zklamání nad skutečností, že EU dosud nepřijala žádnou </w:t>
      </w:r>
      <w:r w:rsidRPr="009B269F">
        <w:rPr>
          <w:b/>
          <w:bCs/>
        </w:rPr>
        <w:t>strategii bioekonomiky</w:t>
      </w:r>
      <w:r w:rsidRPr="009B269F">
        <w:t xml:space="preserve"> ani akt o biotechnologiích, a domnívá se, že taková právní úprava je s ohledem na globální situaci naléhavě zapotřebí.</w:t>
      </w:r>
    </w:p>
    <w:p w:rsidRPr="009B269F" w:rsidR="00151EC1" w:rsidP="009B269F" w:rsidRDefault="00151EC1" w14:paraId="324AE516" w14:textId="77777777">
      <w:pPr>
        <w:widowControl w:val="0"/>
        <w:numPr>
          <w:ilvl w:val="0"/>
          <w:numId w:val="31"/>
        </w:numPr>
        <w:overflowPunct w:val="0"/>
        <w:autoSpaceDE w:val="0"/>
        <w:autoSpaceDN w:val="0"/>
        <w:adjustRightInd w:val="0"/>
        <w:ind w:left="567" w:hanging="567"/>
        <w:textAlignment w:val="baseline"/>
        <w:rPr>
          <w:bCs/>
          <w:iCs/>
        </w:rPr>
      </w:pPr>
      <w:r w:rsidRPr="009B269F">
        <w:t xml:space="preserve">navrhuje, aby </w:t>
      </w:r>
      <w:r w:rsidRPr="009B269F">
        <w:rPr>
          <w:b/>
          <w:bCs/>
        </w:rPr>
        <w:t>strategie bioekonomiky EU</w:t>
      </w:r>
      <w:r w:rsidRPr="009B269F">
        <w:t xml:space="preserve"> byla </w:t>
      </w:r>
      <w:r w:rsidRPr="009B269F">
        <w:rPr>
          <w:b/>
          <w:bCs/>
        </w:rPr>
        <w:t>založena na integrovaném odvětvovém přístupu</w:t>
      </w:r>
      <w:r w:rsidRPr="009B269F">
        <w:t xml:space="preserve"> s konkrétními cíli a zahrnovala mimo jiné plán výzkumu na příštích deset let, seznam dovedností a jednoznačnou úlohu občanské společnosti.</w:t>
      </w:r>
    </w:p>
    <w:p w:rsidRPr="009B269F" w:rsidR="00151EC1" w:rsidP="009B269F" w:rsidRDefault="00151EC1" w14:paraId="7E43478B" w14:textId="77777777">
      <w:pPr>
        <w:widowControl w:val="0"/>
        <w:numPr>
          <w:ilvl w:val="0"/>
          <w:numId w:val="31"/>
        </w:numPr>
        <w:overflowPunct w:val="0"/>
        <w:autoSpaceDE w:val="0"/>
        <w:autoSpaceDN w:val="0"/>
        <w:adjustRightInd w:val="0"/>
        <w:ind w:left="567" w:hanging="567"/>
        <w:textAlignment w:val="baseline"/>
        <w:rPr>
          <w:bCs/>
          <w:iCs/>
        </w:rPr>
      </w:pPr>
      <w:r w:rsidRPr="009B269F">
        <w:t xml:space="preserve">navrhuje zpracovat </w:t>
      </w:r>
      <w:r w:rsidRPr="009B269F">
        <w:rPr>
          <w:b/>
          <w:bCs/>
        </w:rPr>
        <w:t>etický kodex pro podniky EU a produkty uváděné na trh v EU</w:t>
      </w:r>
      <w:r w:rsidRPr="009B269F">
        <w:t xml:space="preserve"> a prosazovat jej na celosvětové úrovni;</w:t>
      </w:r>
    </w:p>
    <w:p w:rsidRPr="009B269F" w:rsidR="00151EC1" w:rsidP="009B269F" w:rsidRDefault="00151EC1" w14:paraId="761C956E" w14:textId="77777777">
      <w:pPr>
        <w:widowControl w:val="0"/>
        <w:numPr>
          <w:ilvl w:val="0"/>
          <w:numId w:val="31"/>
        </w:numPr>
        <w:overflowPunct w:val="0"/>
        <w:autoSpaceDE w:val="0"/>
        <w:autoSpaceDN w:val="0"/>
        <w:adjustRightInd w:val="0"/>
        <w:ind w:left="567" w:hanging="567"/>
        <w:textAlignment w:val="baseline"/>
        <w:rPr>
          <w:bCs/>
          <w:iCs/>
        </w:rPr>
      </w:pPr>
      <w:r w:rsidRPr="009B269F">
        <w:t xml:space="preserve">považuje za potřebné stanovit </w:t>
      </w:r>
      <w:r w:rsidRPr="009B269F">
        <w:rPr>
          <w:b/>
          <w:bCs/>
        </w:rPr>
        <w:t>specifická opatření</w:t>
      </w:r>
      <w:r w:rsidRPr="009B269F">
        <w:t xml:space="preserve">, která budou </w:t>
      </w:r>
      <w:r w:rsidRPr="009B269F">
        <w:rPr>
          <w:b/>
          <w:bCs/>
        </w:rPr>
        <w:t>rozvíjet odbornosti</w:t>
      </w:r>
      <w:r w:rsidRPr="009B269F">
        <w:t xml:space="preserve"> a </w:t>
      </w:r>
      <w:r w:rsidRPr="009B269F">
        <w:rPr>
          <w:b/>
          <w:bCs/>
        </w:rPr>
        <w:t>konsolidovat součinnost</w:t>
      </w:r>
      <w:r w:rsidRPr="009B269F">
        <w:t xml:space="preserve"> mezi požadavky na dovednosti v oblasti biotechnologií a potřebami biovýroby;</w:t>
      </w:r>
    </w:p>
    <w:p w:rsidRPr="009B269F" w:rsidR="00151EC1" w:rsidP="009B269F" w:rsidRDefault="00151EC1" w14:paraId="419D9991" w14:textId="77777777">
      <w:pPr>
        <w:keepNext/>
        <w:keepLines/>
        <w:widowControl w:val="0"/>
        <w:numPr>
          <w:ilvl w:val="0"/>
          <w:numId w:val="31"/>
        </w:numPr>
        <w:overflowPunct w:val="0"/>
        <w:autoSpaceDE w:val="0"/>
        <w:autoSpaceDN w:val="0"/>
        <w:adjustRightInd w:val="0"/>
        <w:ind w:left="567" w:hanging="567"/>
        <w:textAlignment w:val="baseline"/>
        <w:rPr>
          <w:bCs/>
          <w:iCs/>
        </w:rPr>
      </w:pPr>
      <w:r w:rsidRPr="009B269F">
        <w:t xml:space="preserve">doporučuje, aby rozvoj biotechnologií a biovýroby v EU zahrnoval </w:t>
      </w:r>
      <w:r w:rsidRPr="009B269F">
        <w:rPr>
          <w:b/>
          <w:bCs/>
        </w:rPr>
        <w:t>odvětvové ukazatele</w:t>
      </w:r>
      <w:r w:rsidRPr="009B269F">
        <w:t xml:space="preserve">, </w:t>
      </w:r>
      <w:r w:rsidRPr="009B269F">
        <w:rPr>
          <w:b/>
          <w:bCs/>
        </w:rPr>
        <w:t>partnerství veřejného a soukromého sektoru</w:t>
      </w:r>
      <w:r w:rsidRPr="009B269F">
        <w:t xml:space="preserve">, </w:t>
      </w:r>
      <w:r w:rsidRPr="009B269F">
        <w:rPr>
          <w:b/>
          <w:bCs/>
        </w:rPr>
        <w:t>meziodvětvový výzkumný systém</w:t>
      </w:r>
      <w:r w:rsidRPr="009B269F">
        <w:t xml:space="preserve">, </w:t>
      </w:r>
      <w:r w:rsidRPr="009B269F">
        <w:rPr>
          <w:b/>
          <w:bCs/>
        </w:rPr>
        <w:t>databázi možných investorů</w:t>
      </w:r>
      <w:r w:rsidRPr="009B269F">
        <w:t xml:space="preserve">, </w:t>
      </w:r>
      <w:r w:rsidRPr="009B269F">
        <w:rPr>
          <w:b/>
          <w:bCs/>
        </w:rPr>
        <w:t>rychlejší a méně byrokratické procesy registrace</w:t>
      </w:r>
      <w:r w:rsidRPr="009B269F">
        <w:t xml:space="preserve">, </w:t>
      </w:r>
      <w:r w:rsidRPr="009B269F">
        <w:rPr>
          <w:b/>
          <w:bCs/>
        </w:rPr>
        <w:t>perfektní součinnost s cíli udržitelného rozvoje a navrhovanou modrou dohodou</w:t>
      </w:r>
      <w:r w:rsidRPr="009B269F">
        <w:t xml:space="preserve">, specifické a harmonizované </w:t>
      </w:r>
      <w:r w:rsidRPr="009B269F">
        <w:rPr>
          <w:b/>
          <w:bCs/>
        </w:rPr>
        <w:t>evropské a světové normy</w:t>
      </w:r>
      <w:r w:rsidRPr="009B269F">
        <w:t xml:space="preserve">, opatření ke zvýšení </w:t>
      </w:r>
      <w:r w:rsidRPr="009B269F">
        <w:rPr>
          <w:b/>
          <w:bCs/>
        </w:rPr>
        <w:t>podpory a důvěry ze strany veřejnosti a jejího povědomí</w:t>
      </w:r>
      <w:r w:rsidRPr="009B269F">
        <w:t xml:space="preserve"> a </w:t>
      </w:r>
      <w:r w:rsidRPr="009B269F">
        <w:rPr>
          <w:b/>
          <w:bCs/>
        </w:rPr>
        <w:t>lepší vyjasnění mezi pravomocemi členských států a sdílenými pravomocemi</w:t>
      </w:r>
      <w:r w:rsidRPr="009B269F">
        <w:t>;</w:t>
      </w:r>
    </w:p>
    <w:p w:rsidRPr="009B269F" w:rsidR="00151EC1" w:rsidP="009B269F" w:rsidRDefault="00151EC1" w14:paraId="56192C36" w14:textId="77777777">
      <w:pPr>
        <w:widowControl w:val="0"/>
        <w:numPr>
          <w:ilvl w:val="0"/>
          <w:numId w:val="31"/>
        </w:numPr>
        <w:overflowPunct w:val="0"/>
        <w:autoSpaceDE w:val="0"/>
        <w:autoSpaceDN w:val="0"/>
        <w:adjustRightInd w:val="0"/>
        <w:ind w:left="567" w:hanging="567"/>
        <w:textAlignment w:val="baseline"/>
        <w:rPr>
          <w:bCs/>
          <w:iCs/>
        </w:rPr>
      </w:pPr>
      <w:r w:rsidRPr="009B269F">
        <w:t xml:space="preserve">doporučuje, aby </w:t>
      </w:r>
      <w:r w:rsidRPr="009B269F">
        <w:rPr>
          <w:b/>
          <w:bCs/>
        </w:rPr>
        <w:t>biotechnologie a biovýroba v EU byly financovány</w:t>
      </w:r>
      <w:r w:rsidRPr="009B269F">
        <w:t xml:space="preserve"> s patřičným ohledem na </w:t>
      </w:r>
      <w:r w:rsidRPr="009B269F">
        <w:rPr>
          <w:b/>
          <w:bCs/>
        </w:rPr>
        <w:t>přístup, který zajišťuje součinnost, k Nástroji pro oživení a odolnost, Platformě strategických technologií pro Evropu (STEP) a Evropské investiční bance (EIB) a politice soudržnosti</w:t>
      </w:r>
      <w:r w:rsidRPr="009B269F">
        <w:t>.</w:t>
      </w:r>
      <w:r w:rsidRPr="009B269F">
        <w:rPr>
          <w:b/>
          <w:bCs/>
        </w:rPr>
        <w:t xml:space="preserve"> </w:t>
      </w:r>
      <w:r w:rsidRPr="009B269F">
        <w:t>Domnívá se, že část finančních prostředků získaných z </w:t>
      </w:r>
      <w:r w:rsidRPr="009B269F">
        <w:rPr>
          <w:b/>
          <w:bCs/>
        </w:rPr>
        <w:t>environmentálních daní</w:t>
      </w:r>
      <w:r w:rsidRPr="009B269F">
        <w:t xml:space="preserve"> by měla být </w:t>
      </w:r>
      <w:r w:rsidRPr="009B269F">
        <w:rPr>
          <w:b/>
          <w:bCs/>
        </w:rPr>
        <w:t>přesměrována na financování ekologických biotechnologických výrobků</w:t>
      </w:r>
      <w:r w:rsidRPr="009B269F">
        <w:t xml:space="preserve"> a měly by být využívány </w:t>
      </w:r>
      <w:r w:rsidRPr="009B269F">
        <w:rPr>
          <w:b/>
          <w:bCs/>
        </w:rPr>
        <w:t>nejrůznější finanční zdroje a fondy</w:t>
      </w:r>
      <w:r w:rsidRPr="009B269F">
        <w:t>, jako jsou půjčky, rizikový kapitál a veřejné prostředky, a jejich kombinování.</w:t>
      </w:r>
    </w:p>
    <w:p w:rsidRPr="009B269F" w:rsidR="00151EC1" w:rsidP="009B269F" w:rsidRDefault="00151EC1" w14:paraId="1EC1F9F9" w14:textId="77777777">
      <w:pPr>
        <w:widowControl w:val="0"/>
        <w:ind w:left="284"/>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B269F" w:rsidR="00151EC1" w:rsidTr="008C66FD" w14:paraId="4BB198BF" w14:textId="77777777">
        <w:tc>
          <w:tcPr>
            <w:tcW w:w="1556" w:type="pct"/>
          </w:tcPr>
          <w:p w:rsidRPr="009B269F" w:rsidR="00151EC1" w:rsidP="009B269F" w:rsidRDefault="00151EC1" w14:paraId="129F7D95" w14:textId="77777777">
            <w:pPr>
              <w:keepNext/>
              <w:keepLines/>
              <w:rPr>
                <w:i/>
              </w:rPr>
            </w:pPr>
            <w:r w:rsidRPr="009B269F">
              <w:rPr>
                <w:b/>
                <w:i/>
              </w:rPr>
              <w:t>Kontakt:</w:t>
            </w:r>
          </w:p>
        </w:tc>
        <w:tc>
          <w:tcPr>
            <w:tcW w:w="3444" w:type="pct"/>
          </w:tcPr>
          <w:p w:rsidRPr="001A0C10" w:rsidR="00151EC1" w:rsidP="009B269F" w:rsidRDefault="00151EC1" w14:paraId="0BA1727B" w14:textId="531E64AC">
            <w:pPr>
              <w:rPr>
                <w:bCs/>
                <w:i/>
              </w:rPr>
            </w:pPr>
            <w:r w:rsidRPr="001A0C10">
              <w:rPr>
                <w:bCs/>
                <w:i/>
              </w:rPr>
              <w:t xml:space="preserve">Marie-Laurence </w:t>
            </w:r>
            <w:r w:rsidRPr="001A0C10" w:rsidR="001A0C10">
              <w:rPr>
                <w:bCs/>
                <w:i/>
              </w:rPr>
              <w:t>DRILLON</w:t>
            </w:r>
          </w:p>
        </w:tc>
      </w:tr>
      <w:tr w:rsidRPr="009B269F" w:rsidR="00151EC1" w:rsidTr="008C66FD" w14:paraId="2204A28B" w14:textId="77777777">
        <w:tc>
          <w:tcPr>
            <w:tcW w:w="1556" w:type="pct"/>
          </w:tcPr>
          <w:p w:rsidRPr="009B269F" w:rsidR="00151EC1" w:rsidP="001A0C10" w:rsidRDefault="00151EC1" w14:paraId="773DBCD6" w14:textId="77777777">
            <w:pPr>
              <w:jc w:val="right"/>
              <w:rPr>
                <w:i/>
              </w:rPr>
            </w:pPr>
            <w:r w:rsidRPr="009B269F">
              <w:rPr>
                <w:i/>
              </w:rPr>
              <w:t>Tel.:</w:t>
            </w:r>
          </w:p>
        </w:tc>
        <w:tc>
          <w:tcPr>
            <w:tcW w:w="3444" w:type="pct"/>
          </w:tcPr>
          <w:p w:rsidRPr="009B269F" w:rsidR="00151EC1" w:rsidP="009B269F" w:rsidRDefault="00151EC1" w14:paraId="16825BB3" w14:textId="77777777">
            <w:pPr>
              <w:rPr>
                <w:i/>
              </w:rPr>
            </w:pPr>
            <w:r w:rsidRPr="009B269F">
              <w:rPr>
                <w:i/>
              </w:rPr>
              <w:t>+32 25468320</w:t>
            </w:r>
          </w:p>
        </w:tc>
      </w:tr>
      <w:tr w:rsidRPr="009B269F" w:rsidR="00151EC1" w:rsidTr="008C66FD" w14:paraId="18427267" w14:textId="77777777">
        <w:tc>
          <w:tcPr>
            <w:tcW w:w="1556" w:type="pct"/>
          </w:tcPr>
          <w:p w:rsidRPr="009B269F" w:rsidR="00151EC1" w:rsidP="001A0C10" w:rsidRDefault="00151EC1" w14:paraId="26DC7109" w14:textId="77777777">
            <w:pPr>
              <w:jc w:val="right"/>
              <w:rPr>
                <w:i/>
              </w:rPr>
            </w:pPr>
            <w:r w:rsidRPr="009B269F">
              <w:rPr>
                <w:i/>
              </w:rPr>
              <w:t>E-mail:</w:t>
            </w:r>
          </w:p>
        </w:tc>
        <w:tc>
          <w:tcPr>
            <w:tcW w:w="3444" w:type="pct"/>
          </w:tcPr>
          <w:p w:rsidRPr="009B269F" w:rsidR="00151EC1" w:rsidP="009B269F" w:rsidRDefault="000029F8" w14:paraId="71E92522" w14:textId="77777777">
            <w:pPr>
              <w:rPr>
                <w:i/>
              </w:rPr>
            </w:pPr>
            <w:hyperlink w:history="1" r:id="rId42">
              <w:r w:rsidRPr="009B269F" w:rsidR="00151EC1">
                <w:rPr>
                  <w:rStyle w:val="Hyperlink"/>
                  <w:i/>
                </w:rPr>
                <w:t>Marie-Laurence.Drillon@eesc.europa.eu</w:t>
              </w:r>
            </w:hyperlink>
          </w:p>
        </w:tc>
      </w:tr>
    </w:tbl>
    <w:p w:rsidRPr="009B269F" w:rsidR="00151EC1" w:rsidP="009B269F" w:rsidRDefault="00151EC1" w14:paraId="40931B7E" w14:textId="461BEB87">
      <w:pPr>
        <w:widowControl w:val="0"/>
        <w:overflowPunct w:val="0"/>
        <w:autoSpaceDE w:val="0"/>
        <w:autoSpaceDN w:val="0"/>
        <w:adjustRightInd w:val="0"/>
        <w:jc w:val="center"/>
        <w:textAlignment w:val="baseline"/>
        <w:rPr>
          <w:b/>
          <w:bCs/>
          <w:i/>
          <w:iCs/>
        </w:rPr>
      </w:pPr>
    </w:p>
    <w:p w:rsidRPr="009B269F" w:rsidR="00151EC1" w:rsidP="009B269F" w:rsidRDefault="000029F8" w14:paraId="66927FBF" w14:textId="6CFA9685">
      <w:pPr>
        <w:pStyle w:val="ListParagraph"/>
        <w:widowControl w:val="0"/>
        <w:numPr>
          <w:ilvl w:val="0"/>
          <w:numId w:val="14"/>
        </w:numPr>
        <w:overflowPunct w:val="0"/>
        <w:autoSpaceDE w:val="0"/>
        <w:autoSpaceDN w:val="0"/>
        <w:adjustRightInd w:val="0"/>
        <w:ind w:left="567" w:hanging="567"/>
        <w:textAlignment w:val="baseline"/>
        <w:rPr>
          <w:b/>
          <w:i/>
          <w:iCs/>
          <w:sz w:val="28"/>
          <w:szCs w:val="28"/>
        </w:rPr>
      </w:pPr>
      <w:hyperlink w:history="1" r:id="rId43">
        <w:r w:rsidR="008A0F0C">
          <w:rPr>
            <w:rStyle w:val="Hyperlink"/>
            <w:b/>
            <w:i/>
            <w:sz w:val="28"/>
          </w:rPr>
          <w:t>Nízkouhlíková a obnovitelná paliva: rozvíjení schopnosti evropského průmyslu dekarbonizovat letecké a námořní odvětví v duchu evropské autonomie</w:t>
        </w:r>
      </w:hyperlink>
    </w:p>
    <w:p w:rsidRPr="009B269F" w:rsidR="005C4D64" w:rsidP="009B269F" w:rsidRDefault="005C4D64" w14:paraId="2F531032"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8"/>
        <w:gridCol w:w="6622"/>
      </w:tblGrid>
      <w:tr w:rsidRPr="009B269F" w:rsidR="005C4D64" w:rsidTr="00D429CA" w14:paraId="38E51B61" w14:textId="77777777">
        <w:tc>
          <w:tcPr>
            <w:tcW w:w="1708" w:type="dxa"/>
          </w:tcPr>
          <w:p w:rsidRPr="009B269F" w:rsidR="005C4D64" w:rsidP="009B269F" w:rsidRDefault="005C4D64" w14:paraId="20A12A41" w14:textId="1D1A6C6D">
            <w:pPr>
              <w:pStyle w:val="ListParagraph"/>
              <w:ind w:left="0"/>
              <w:rPr>
                <w:b/>
              </w:rPr>
            </w:pPr>
            <w:r w:rsidRPr="009B269F">
              <w:rPr>
                <w:b/>
              </w:rPr>
              <w:t>Zpravodaj</w:t>
            </w:r>
          </w:p>
        </w:tc>
        <w:tc>
          <w:tcPr>
            <w:tcW w:w="6622" w:type="dxa"/>
          </w:tcPr>
          <w:p w:rsidRPr="009B269F" w:rsidR="005C4D64" w:rsidP="009B269F" w:rsidRDefault="00D429CA" w14:paraId="61DEBC27" w14:textId="75BB8E21">
            <w:pPr>
              <w:pStyle w:val="ListParagraph"/>
              <w:ind w:left="0"/>
            </w:pPr>
            <w:r w:rsidRPr="00D429CA">
              <w:rPr>
                <w:bCs/>
              </w:rPr>
              <w:t>Anastasis YIAPANIS (Organizace občanské společnosti – CY)</w:t>
            </w:r>
          </w:p>
        </w:tc>
      </w:tr>
      <w:tr w:rsidRPr="009B269F" w:rsidR="005C4D64" w:rsidTr="00D429CA" w14:paraId="5998911F" w14:textId="77777777">
        <w:tc>
          <w:tcPr>
            <w:tcW w:w="1708" w:type="dxa"/>
          </w:tcPr>
          <w:p w:rsidRPr="009B269F" w:rsidR="005C4D64" w:rsidP="009B269F" w:rsidRDefault="005C4D64" w14:paraId="485831B4" w14:textId="6AE95D1B">
            <w:pPr>
              <w:pStyle w:val="ListParagraph"/>
              <w:ind w:left="0"/>
              <w:rPr>
                <w:b/>
              </w:rPr>
            </w:pPr>
            <w:r w:rsidRPr="009B269F">
              <w:rPr>
                <w:b/>
              </w:rPr>
              <w:t>Spoluzpravodaj</w:t>
            </w:r>
          </w:p>
        </w:tc>
        <w:tc>
          <w:tcPr>
            <w:tcW w:w="6622" w:type="dxa"/>
          </w:tcPr>
          <w:p w:rsidRPr="009B269F" w:rsidR="005C4D64" w:rsidP="009B269F" w:rsidRDefault="00D429CA" w14:paraId="7A779B95" w14:textId="4B9328E7">
            <w:pPr>
              <w:pStyle w:val="ListParagraph"/>
              <w:ind w:left="0"/>
            </w:pPr>
            <w:r w:rsidRPr="00D429CA">
              <w:rPr>
                <w:bCs/>
              </w:rPr>
              <w:t>Franck UHLIG (kat. 2 – FR)</w:t>
            </w:r>
          </w:p>
        </w:tc>
      </w:tr>
      <w:tr w:rsidRPr="009B269F" w:rsidR="005C4D64" w:rsidTr="00D429CA" w14:paraId="37D7082F" w14:textId="77777777">
        <w:tc>
          <w:tcPr>
            <w:tcW w:w="8330" w:type="dxa"/>
            <w:gridSpan w:val="2"/>
          </w:tcPr>
          <w:p w:rsidRPr="009B269F" w:rsidR="005C4D64" w:rsidP="009B269F" w:rsidRDefault="005C4D64" w14:paraId="4D0444FA" w14:textId="77777777">
            <w:pPr>
              <w:pStyle w:val="ListParagraph"/>
              <w:ind w:left="0"/>
            </w:pPr>
          </w:p>
        </w:tc>
      </w:tr>
      <w:tr w:rsidRPr="009B269F" w:rsidR="005C4D64" w:rsidTr="00D429CA" w14:paraId="4752146E" w14:textId="77777777">
        <w:tc>
          <w:tcPr>
            <w:tcW w:w="1708" w:type="dxa"/>
          </w:tcPr>
          <w:p w:rsidRPr="009B269F" w:rsidR="005C4D64" w:rsidP="009B269F" w:rsidRDefault="005C4D64" w14:paraId="4F61B2FD" w14:textId="77777777">
            <w:pPr>
              <w:pStyle w:val="ListParagraph"/>
              <w:ind w:left="0"/>
              <w:rPr>
                <w:b/>
              </w:rPr>
            </w:pPr>
            <w:r w:rsidRPr="009B269F">
              <w:rPr>
                <w:b/>
              </w:rPr>
              <w:t>Odkazy</w:t>
            </w:r>
          </w:p>
        </w:tc>
        <w:tc>
          <w:tcPr>
            <w:tcW w:w="6622" w:type="dxa"/>
          </w:tcPr>
          <w:p w:rsidR="005C4D64" w:rsidP="009B269F" w:rsidRDefault="00D429CA" w14:paraId="54D2F017" w14:textId="77777777">
            <w:pPr>
              <w:pStyle w:val="ListParagraph"/>
              <w:ind w:left="0"/>
            </w:pPr>
            <w:r w:rsidRPr="009B269F">
              <w:t>stanovisko z vlastní iniciativy</w:t>
            </w:r>
          </w:p>
          <w:p w:rsidRPr="009B269F" w:rsidR="00D429CA" w:rsidP="009B269F" w:rsidRDefault="00D429CA" w14:paraId="721C6B6C" w14:textId="5130F52B">
            <w:pPr>
              <w:pStyle w:val="ListParagraph"/>
              <w:ind w:left="0"/>
            </w:pPr>
            <w:r w:rsidRPr="009B269F">
              <w:t>EESC-2024-00735-00-00-AC</w:t>
            </w:r>
          </w:p>
        </w:tc>
      </w:tr>
    </w:tbl>
    <w:p w:rsidRPr="009B269F" w:rsidR="005C4D64" w:rsidP="009B269F" w:rsidRDefault="005C4D64" w14:paraId="79B0C5DB" w14:textId="77777777">
      <w:pPr>
        <w:pStyle w:val="ListParagraph"/>
        <w:ind w:left="567"/>
      </w:pPr>
    </w:p>
    <w:p w:rsidRPr="009B269F" w:rsidR="00151EC1" w:rsidP="009B269F" w:rsidRDefault="00151EC1" w14:paraId="5CB8330D" w14:textId="30A8A9B1">
      <w:pPr>
        <w:keepNext/>
        <w:keepLines/>
        <w:ind w:left="142" w:hanging="142"/>
        <w:rPr>
          <w:b/>
        </w:rPr>
      </w:pPr>
      <w:r w:rsidRPr="009B269F">
        <w:rPr>
          <w:b/>
        </w:rPr>
        <w:t>Hlavní body</w:t>
      </w:r>
    </w:p>
    <w:p w:rsidRPr="009B269F" w:rsidR="005C4D64" w:rsidP="009B269F" w:rsidRDefault="005C4D64" w14:paraId="5182B1A8" w14:textId="77777777">
      <w:pPr>
        <w:keepNext/>
        <w:keepLines/>
        <w:ind w:left="142" w:hanging="142"/>
        <w:rPr>
          <w:b/>
        </w:rPr>
      </w:pPr>
    </w:p>
    <w:p w:rsidRPr="009B269F" w:rsidR="00151EC1" w:rsidP="009B269F" w:rsidRDefault="00151EC1" w14:paraId="218B55E3" w14:textId="1DE66961">
      <w:r w:rsidRPr="009B269F">
        <w:t>EHSV:</w:t>
      </w:r>
    </w:p>
    <w:p w:rsidRPr="009B269F" w:rsidR="005C4D64" w:rsidP="009B269F" w:rsidRDefault="005C4D64" w14:paraId="2B655E92" w14:textId="77777777"/>
    <w:p w:rsidRPr="009B269F" w:rsidR="00151EC1" w:rsidP="009B269F" w:rsidRDefault="00151EC1" w14:paraId="796AA8F9" w14:textId="77777777">
      <w:pPr>
        <w:pStyle w:val="ListParagraph"/>
        <w:numPr>
          <w:ilvl w:val="0"/>
          <w:numId w:val="32"/>
        </w:numPr>
        <w:ind w:left="567" w:hanging="567"/>
      </w:pPr>
      <w:r w:rsidRPr="009B269F">
        <w:t xml:space="preserve">konstatuje, že </w:t>
      </w:r>
      <w:r w:rsidRPr="009B269F">
        <w:rPr>
          <w:b/>
          <w:bCs/>
        </w:rPr>
        <w:t>chybí pobídky</w:t>
      </w:r>
      <w:r w:rsidRPr="009B269F">
        <w:t xml:space="preserve"> pro rozvoj projektů v oblasti výroby udržitelných a nízkouhlíkových paliv. Uvádí, že významnou překážkou pro všeobecné rozšíření </w:t>
      </w:r>
      <w:r w:rsidRPr="009B269F">
        <w:rPr>
          <w:b/>
          <w:bCs/>
        </w:rPr>
        <w:t>udržitelných paliv jsou jejich vysoké výrobní náklady a nejistota ohledně jejich dostupnosti</w:t>
      </w:r>
      <w:r w:rsidRPr="009B269F">
        <w:t xml:space="preserve">; </w:t>
      </w:r>
    </w:p>
    <w:p w:rsidRPr="009B269F" w:rsidR="00151EC1" w:rsidP="009B269F" w:rsidRDefault="00151EC1" w14:paraId="0BE14B8D" w14:textId="77777777">
      <w:pPr>
        <w:pStyle w:val="ListParagraph"/>
        <w:numPr>
          <w:ilvl w:val="0"/>
          <w:numId w:val="32"/>
        </w:numPr>
        <w:ind w:left="567" w:hanging="567"/>
      </w:pPr>
      <w:r w:rsidRPr="009B269F">
        <w:t xml:space="preserve">je toho názoru, že </w:t>
      </w:r>
      <w:r w:rsidRPr="009B269F">
        <w:rPr>
          <w:b/>
          <w:bCs/>
        </w:rPr>
        <w:t>nedostatečná výroba udržitelných paliv v EU by měla negativní dopad na strategickou autonomii Unie</w:t>
      </w:r>
      <w:r w:rsidRPr="009B269F">
        <w:t>;</w:t>
      </w:r>
    </w:p>
    <w:p w:rsidRPr="009B269F" w:rsidR="00151EC1" w:rsidP="009B269F" w:rsidRDefault="00151EC1" w14:paraId="5D1C13B2" w14:textId="77777777">
      <w:pPr>
        <w:pStyle w:val="ListParagraph"/>
        <w:numPr>
          <w:ilvl w:val="0"/>
          <w:numId w:val="32"/>
        </w:numPr>
        <w:ind w:left="567" w:hanging="567"/>
      </w:pPr>
      <w:r w:rsidRPr="009B269F">
        <w:t xml:space="preserve">zdůrazňuje, že je třeba </w:t>
      </w:r>
      <w:r w:rsidRPr="009B269F">
        <w:rPr>
          <w:b/>
          <w:bCs/>
        </w:rPr>
        <w:t>udržet a posílit konkurenceschopnost průmyslu EU</w:t>
      </w:r>
      <w:r w:rsidRPr="009B269F">
        <w:t xml:space="preserve"> čelícího intenzivní celosvětové konkurenci; </w:t>
      </w:r>
    </w:p>
    <w:p w:rsidRPr="009B269F" w:rsidR="00151EC1" w:rsidP="009B269F" w:rsidRDefault="00151EC1" w14:paraId="192C8BB4" w14:textId="77777777">
      <w:pPr>
        <w:pStyle w:val="ListParagraph"/>
        <w:numPr>
          <w:ilvl w:val="0"/>
          <w:numId w:val="32"/>
        </w:numPr>
        <w:ind w:left="567" w:hanging="567"/>
        <w:rPr>
          <w:b/>
          <w:bCs/>
        </w:rPr>
      </w:pPr>
      <w:r w:rsidRPr="009B269F">
        <w:t xml:space="preserve">zasazuje se o vypracování </w:t>
      </w:r>
      <w:r w:rsidRPr="009B269F">
        <w:rPr>
          <w:b/>
          <w:bCs/>
        </w:rPr>
        <w:t>komplexního plánu pro zvyšování využívání udržitelných leteckých paliv</w:t>
      </w:r>
      <w:r w:rsidRPr="009B269F">
        <w:t>;</w:t>
      </w:r>
    </w:p>
    <w:p w:rsidRPr="009B269F" w:rsidR="00151EC1" w:rsidP="009B269F" w:rsidRDefault="00151EC1" w14:paraId="5CF82B6A" w14:textId="77777777">
      <w:pPr>
        <w:pStyle w:val="ListParagraph"/>
        <w:numPr>
          <w:ilvl w:val="0"/>
          <w:numId w:val="32"/>
        </w:numPr>
        <w:ind w:left="567" w:hanging="567"/>
        <w:rPr>
          <w:b/>
          <w:bCs/>
        </w:rPr>
      </w:pPr>
      <w:r w:rsidRPr="009B269F">
        <w:t xml:space="preserve">domnívá se, že výzvu </w:t>
      </w:r>
      <w:r w:rsidRPr="009B269F">
        <w:rPr>
          <w:b/>
          <w:bCs/>
        </w:rPr>
        <w:t>pro námořní odvětví</w:t>
      </w:r>
      <w:r w:rsidRPr="009B269F">
        <w:t xml:space="preserve"> představuje otázka </w:t>
      </w:r>
      <w:r w:rsidRPr="009B269F">
        <w:rPr>
          <w:b/>
          <w:bCs/>
        </w:rPr>
        <w:t>zřizování nezbytné infrastruktury pro doplňování paliva v přístavech po celém světě za účelem zásobování lodí alternativními palivy</w:t>
      </w:r>
      <w:r w:rsidRPr="009B269F">
        <w:t>;</w:t>
      </w:r>
    </w:p>
    <w:p w:rsidRPr="009B269F" w:rsidR="00151EC1" w:rsidP="009B269F" w:rsidRDefault="00151EC1" w14:paraId="37A67619" w14:textId="77777777">
      <w:pPr>
        <w:pStyle w:val="ListParagraph"/>
        <w:numPr>
          <w:ilvl w:val="0"/>
          <w:numId w:val="32"/>
        </w:numPr>
        <w:ind w:left="567" w:hanging="567"/>
      </w:pPr>
      <w:r w:rsidRPr="009B269F">
        <w:t xml:space="preserve">poukazuje na riziko </w:t>
      </w:r>
      <w:r w:rsidRPr="009B269F">
        <w:rPr>
          <w:b/>
        </w:rPr>
        <w:t>možného nedostatku dostupných zdrojů vstupních surovin, jakož i možného nedostatku objemů dekarbonizované energie</w:t>
      </w:r>
      <w:r w:rsidRPr="009B269F">
        <w:t xml:space="preserve"> potřebných k přechodu na výrobu udržitelných paliv;</w:t>
      </w:r>
    </w:p>
    <w:p w:rsidRPr="009B269F" w:rsidR="00151EC1" w:rsidP="009B269F" w:rsidRDefault="00151EC1" w14:paraId="080D68D7" w14:textId="77777777">
      <w:pPr>
        <w:pStyle w:val="ListParagraph"/>
        <w:numPr>
          <w:ilvl w:val="0"/>
          <w:numId w:val="32"/>
        </w:numPr>
        <w:ind w:left="567" w:hanging="567"/>
      </w:pPr>
      <w:r w:rsidRPr="009B269F">
        <w:t>naléhavě vyzývá k </w:t>
      </w:r>
      <w:r w:rsidRPr="009B269F">
        <w:rPr>
          <w:b/>
          <w:bCs/>
        </w:rPr>
        <w:t>vytvoření soudržných regulačních podmínek umožňujících uvolnění investic a k poskytnutí pobídek, kterými by se podnítila okamžitá výroba a podpořil rozvoj trhu s palivy se sníženou uhlíkovou stopou</w:t>
      </w:r>
      <w:r w:rsidRPr="009B269F">
        <w:t>;</w:t>
      </w:r>
    </w:p>
    <w:p w:rsidRPr="009B269F" w:rsidR="00151EC1" w:rsidP="009B269F" w:rsidRDefault="00151EC1" w14:paraId="057BA5B9" w14:textId="77777777">
      <w:pPr>
        <w:pStyle w:val="ListParagraph"/>
        <w:numPr>
          <w:ilvl w:val="0"/>
          <w:numId w:val="32"/>
        </w:numPr>
        <w:ind w:left="567" w:hanging="567"/>
      </w:pPr>
      <w:r w:rsidRPr="009B269F">
        <w:t xml:space="preserve">navrhuje, aby </w:t>
      </w:r>
      <w:r w:rsidRPr="009B269F">
        <w:rPr>
          <w:b/>
          <w:bCs/>
        </w:rPr>
        <w:t>zdanění odpovídalo dopadu každého paliva na klima</w:t>
      </w:r>
      <w:r w:rsidRPr="009B269F">
        <w:t>;</w:t>
      </w:r>
    </w:p>
    <w:p w:rsidRPr="009B269F" w:rsidR="00151EC1" w:rsidP="009B269F" w:rsidRDefault="00151EC1" w14:paraId="739164B9" w14:textId="77777777">
      <w:pPr>
        <w:pStyle w:val="ListParagraph"/>
        <w:numPr>
          <w:ilvl w:val="0"/>
          <w:numId w:val="32"/>
        </w:numPr>
        <w:ind w:left="567" w:hanging="567"/>
      </w:pPr>
      <w:r w:rsidRPr="009B269F">
        <w:t>je zklamán tím, že u </w:t>
      </w:r>
      <w:r w:rsidRPr="009B269F">
        <w:rPr>
          <w:b/>
          <w:bCs/>
        </w:rPr>
        <w:t>grantů a dotací EU není dostatečně upřednostněna infrastruktura pro výrobu nízkouhlíkových a obnovitelných paliv pro letecké a námořní odvětví</w:t>
      </w:r>
      <w:r w:rsidRPr="009B269F">
        <w:t xml:space="preserve">; </w:t>
      </w:r>
    </w:p>
    <w:p w:rsidRPr="009B269F" w:rsidR="00151EC1" w:rsidP="009B269F" w:rsidRDefault="00151EC1" w14:paraId="2BD20817" w14:textId="77777777">
      <w:pPr>
        <w:pStyle w:val="ListParagraph"/>
        <w:numPr>
          <w:ilvl w:val="0"/>
          <w:numId w:val="33"/>
        </w:numPr>
        <w:ind w:left="567" w:hanging="567"/>
      </w:pPr>
      <w:r w:rsidRPr="009B269F">
        <w:t xml:space="preserve">má za to, že </w:t>
      </w:r>
      <w:r w:rsidRPr="009B269F">
        <w:rPr>
          <w:b/>
          <w:bCs/>
        </w:rPr>
        <w:t>ke snížení nákladů</w:t>
      </w:r>
      <w:r w:rsidRPr="009B269F">
        <w:t xml:space="preserve"> na pokročilé, nízkouhlíkové technologie je zásadní zvýšit úsilí v oblasti </w:t>
      </w:r>
      <w:r w:rsidRPr="009B269F">
        <w:rPr>
          <w:b/>
          <w:bCs/>
        </w:rPr>
        <w:t>výzkumu a vývoje</w:t>
      </w:r>
      <w:r w:rsidRPr="009B269F">
        <w:t>;</w:t>
      </w:r>
      <w:r w:rsidRPr="009B269F">
        <w:rPr>
          <w:b/>
        </w:rPr>
        <w:t xml:space="preserve"> </w:t>
      </w:r>
    </w:p>
    <w:p w:rsidRPr="009B269F" w:rsidR="00151EC1" w:rsidP="00E31264" w:rsidRDefault="00151EC1" w14:paraId="338D3000" w14:textId="77777777">
      <w:pPr>
        <w:pStyle w:val="ListParagraph"/>
        <w:numPr>
          <w:ilvl w:val="0"/>
          <w:numId w:val="33"/>
        </w:numPr>
        <w:ind w:left="567" w:hanging="567"/>
      </w:pPr>
      <w:r w:rsidRPr="009B269F">
        <w:t>vyzývá k </w:t>
      </w:r>
      <w:r w:rsidRPr="009B269F">
        <w:rPr>
          <w:b/>
          <w:bCs/>
        </w:rPr>
        <w:t>vytvoření holistické strategie pro přechod celých průmyslových hodnotových řetězců na čistou energii. Tato strategie by mimo jiné zahrnovala vodík, zintenzivnění činnosti v oblasti biopaliv a rozšíření syntetických paliv. Současně by se mělo pokračovat ve stávajících odvětvových partnerstvích, a to v rámci programu, který nahradí program Horizont Evropa</w:t>
      </w:r>
      <w:r w:rsidRPr="009B269F">
        <w:t>;</w:t>
      </w:r>
    </w:p>
    <w:p w:rsidR="00151EC1" w:rsidP="009B269F" w:rsidRDefault="00151EC1" w14:paraId="4A773B14" w14:textId="30036F13">
      <w:pPr>
        <w:pStyle w:val="ListParagraph"/>
        <w:numPr>
          <w:ilvl w:val="0"/>
          <w:numId w:val="33"/>
        </w:numPr>
        <w:ind w:left="567" w:hanging="567"/>
      </w:pPr>
      <w:r w:rsidRPr="009B269F">
        <w:lastRenderedPageBreak/>
        <w:t xml:space="preserve">ujišťuje, že </w:t>
      </w:r>
      <w:r w:rsidRPr="009B269F">
        <w:rPr>
          <w:b/>
          <w:bCs/>
        </w:rPr>
        <w:t>programy pro rozvoj dovedností</w:t>
      </w:r>
      <w:r w:rsidRPr="009B269F">
        <w:t xml:space="preserve">, včetně odborné přípravy a podpory přechodu mezi zaměstnáními, jsou nezbytné. Opakuje, že </w:t>
      </w:r>
      <w:r w:rsidRPr="009B269F">
        <w:rPr>
          <w:b/>
          <w:bCs/>
        </w:rPr>
        <w:t>prioritou je zajistit přísné zdravotní a bezpečnostní normy</w:t>
      </w:r>
      <w:r w:rsidRPr="009B269F">
        <w:t xml:space="preserve">. </w:t>
      </w:r>
    </w:p>
    <w:p w:rsidRPr="009B269F" w:rsidR="001B68B0" w:rsidP="001B68B0" w:rsidRDefault="001B68B0" w14:paraId="0EC8F02A" w14:textId="77777777">
      <w:pPr>
        <w:pStyle w:val="ListParagraph"/>
        <w:ind w:left="567"/>
      </w:pPr>
    </w:p>
    <w:tbl>
      <w:tblPr>
        <w:tblStyle w:val="TableGrid"/>
        <w:tblW w:w="45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0"/>
        <w:gridCol w:w="6522"/>
      </w:tblGrid>
      <w:tr w:rsidRPr="009B269F" w:rsidR="001A0C10" w:rsidTr="001A0C10" w14:paraId="62ACECDA" w14:textId="77777777">
        <w:tc>
          <w:tcPr>
            <w:tcW w:w="1151" w:type="pct"/>
          </w:tcPr>
          <w:p w:rsidRPr="009B269F" w:rsidR="001A0C10" w:rsidP="001A0C10" w:rsidRDefault="001A0C10" w14:paraId="43A97D66" w14:textId="75141263">
            <w:pPr>
              <w:rPr>
                <w:b/>
                <w:i/>
              </w:rPr>
            </w:pPr>
            <w:r>
              <w:rPr>
                <w:b/>
                <w:i/>
              </w:rPr>
              <w:t>Kontakt:</w:t>
            </w:r>
          </w:p>
        </w:tc>
        <w:tc>
          <w:tcPr>
            <w:tcW w:w="3849" w:type="pct"/>
            <w:tcBorders>
              <w:left w:val="nil"/>
            </w:tcBorders>
          </w:tcPr>
          <w:p w:rsidRPr="009B269F" w:rsidR="001A0C10" w:rsidP="001A0C10" w:rsidRDefault="001A0C10" w14:paraId="4D3AC539" w14:textId="77777777">
            <w:pPr>
              <w:rPr>
                <w:i/>
              </w:rPr>
            </w:pPr>
            <w:r w:rsidRPr="009B269F">
              <w:rPr>
                <w:i/>
              </w:rPr>
              <w:t>Adam DORYWALSKI</w:t>
            </w:r>
          </w:p>
        </w:tc>
      </w:tr>
      <w:tr w:rsidRPr="009B269F" w:rsidR="001A0C10" w:rsidTr="001A0C10" w14:paraId="57330FD0" w14:textId="77777777">
        <w:tc>
          <w:tcPr>
            <w:tcW w:w="1151" w:type="pct"/>
          </w:tcPr>
          <w:p w:rsidRPr="009B269F" w:rsidR="001A0C10" w:rsidP="001A0C10" w:rsidRDefault="001A0C10" w14:paraId="288462B3" w14:textId="1E1268C9">
            <w:pPr>
              <w:jc w:val="right"/>
              <w:rPr>
                <w:i/>
              </w:rPr>
            </w:pPr>
            <w:r>
              <w:rPr>
                <w:i/>
              </w:rPr>
              <w:t>Tel.:</w:t>
            </w:r>
          </w:p>
        </w:tc>
        <w:tc>
          <w:tcPr>
            <w:tcW w:w="3849" w:type="pct"/>
            <w:tcBorders>
              <w:left w:val="nil"/>
            </w:tcBorders>
          </w:tcPr>
          <w:p w:rsidRPr="009B269F" w:rsidR="001A0C10" w:rsidP="001A0C10" w:rsidRDefault="001A0C10" w14:paraId="7875B87A" w14:textId="77777777">
            <w:pPr>
              <w:rPr>
                <w:i/>
              </w:rPr>
            </w:pPr>
            <w:r w:rsidRPr="009B269F">
              <w:rPr>
                <w:i/>
              </w:rPr>
              <w:t>+32 25469397</w:t>
            </w:r>
          </w:p>
        </w:tc>
      </w:tr>
      <w:tr w:rsidRPr="009B269F" w:rsidR="001A0C10" w:rsidTr="001A0C10" w14:paraId="328DB100" w14:textId="77777777">
        <w:tc>
          <w:tcPr>
            <w:tcW w:w="1151" w:type="pct"/>
          </w:tcPr>
          <w:p w:rsidRPr="009B269F" w:rsidR="001A0C10" w:rsidP="001A0C10" w:rsidRDefault="001A0C10" w14:paraId="013D5FF2" w14:textId="434AB492">
            <w:pPr>
              <w:jc w:val="right"/>
              <w:rPr>
                <w:i/>
              </w:rPr>
            </w:pPr>
            <w:r>
              <w:rPr>
                <w:i/>
              </w:rPr>
              <w:t>E-mail:</w:t>
            </w:r>
          </w:p>
        </w:tc>
        <w:tc>
          <w:tcPr>
            <w:tcW w:w="3849" w:type="pct"/>
            <w:tcBorders>
              <w:left w:val="nil"/>
            </w:tcBorders>
          </w:tcPr>
          <w:p w:rsidRPr="009B269F" w:rsidR="001A0C10" w:rsidP="001A0C10" w:rsidRDefault="001A0C10" w14:paraId="5E9FC677" w14:textId="77777777">
            <w:pPr>
              <w:rPr>
                <w:i/>
                <w:iCs/>
              </w:rPr>
            </w:pPr>
            <w:r w:rsidRPr="009B269F">
              <w:rPr>
                <w:i/>
                <w:color w:val="0000FF"/>
                <w:u w:val="single"/>
              </w:rPr>
              <w:t>Adam.Dorywalski@eesc.europa.eu</w:t>
            </w:r>
          </w:p>
        </w:tc>
      </w:tr>
    </w:tbl>
    <w:p w:rsidR="001B68B0" w:rsidP="009B269F" w:rsidRDefault="001B68B0" w14:paraId="370B1E38" w14:textId="0390D221">
      <w:pPr>
        <w:overflowPunct w:val="0"/>
        <w:autoSpaceDE w:val="0"/>
        <w:autoSpaceDN w:val="0"/>
        <w:adjustRightInd w:val="0"/>
        <w:jc w:val="center"/>
        <w:textAlignment w:val="baseline"/>
      </w:pPr>
    </w:p>
    <w:p w:rsidR="001B68B0" w:rsidRDefault="001B68B0" w14:paraId="65DA00C5" w14:textId="77777777">
      <w:pPr>
        <w:spacing w:after="160" w:line="259" w:lineRule="auto"/>
        <w:jc w:val="left"/>
      </w:pPr>
      <w:r>
        <w:br w:type="page"/>
      </w:r>
    </w:p>
    <w:p w:rsidRPr="009B269F" w:rsidR="00151EC1" w:rsidP="009B269F" w:rsidRDefault="000029F8" w14:paraId="625D71DC" w14:textId="1F0CD21A">
      <w:pPr>
        <w:widowControl w:val="0"/>
        <w:numPr>
          <w:ilvl w:val="0"/>
          <w:numId w:val="6"/>
        </w:numPr>
        <w:overflowPunct w:val="0"/>
        <w:autoSpaceDE w:val="0"/>
        <w:autoSpaceDN w:val="0"/>
        <w:adjustRightInd w:val="0"/>
        <w:ind w:hanging="567"/>
        <w:textAlignment w:val="baseline"/>
        <w:rPr>
          <w:sz w:val="20"/>
        </w:rPr>
      </w:pPr>
      <w:hyperlink w:history="1" r:id="rId44">
        <w:r w:rsidR="00C85EBF">
          <w:rPr>
            <w:rStyle w:val="Hyperlink"/>
            <w:b/>
            <w:i/>
            <w:sz w:val="28"/>
          </w:rPr>
          <w:t>Pokročilé materiály pro vedoucí postavení v průmyslu</w:t>
        </w:r>
      </w:hyperlink>
    </w:p>
    <w:p w:rsidRPr="009B269F" w:rsidR="00151EC1" w:rsidP="009B269F" w:rsidRDefault="00151EC1" w14:paraId="35E5EE59" w14:textId="77777777">
      <w:pPr>
        <w:tabs>
          <w:tab w:val="center" w:pos="284"/>
        </w:tabs>
        <w:ind w:left="266" w:hanging="266"/>
        <w:rPr>
          <w:b/>
        </w:rPr>
      </w:pPr>
    </w:p>
    <w:tbl>
      <w:tblPr>
        <w:tblStyle w:val="TableGrid"/>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9B269F" w:rsidR="00151EC1" w:rsidTr="008C66FD" w14:paraId="666D1795" w14:textId="77777777">
        <w:tc>
          <w:tcPr>
            <w:tcW w:w="1167" w:type="pct"/>
          </w:tcPr>
          <w:p w:rsidRPr="009B269F" w:rsidR="00151EC1" w:rsidP="009B269F" w:rsidRDefault="00151EC1" w14:paraId="50F5959C" w14:textId="77777777">
            <w:pPr>
              <w:tabs>
                <w:tab w:val="center" w:pos="284"/>
              </w:tabs>
              <w:ind w:left="266" w:hanging="266"/>
              <w:rPr>
                <w:b/>
              </w:rPr>
            </w:pPr>
            <w:r w:rsidRPr="009B269F">
              <w:rPr>
                <w:b/>
              </w:rPr>
              <w:t>Zpravodaj</w:t>
            </w:r>
          </w:p>
        </w:tc>
        <w:tc>
          <w:tcPr>
            <w:tcW w:w="3833" w:type="pct"/>
          </w:tcPr>
          <w:p w:rsidRPr="001A0C10" w:rsidR="00151EC1" w:rsidP="009B269F" w:rsidRDefault="00151EC1" w14:paraId="7879743C" w14:textId="77777777">
            <w:pPr>
              <w:tabs>
                <w:tab w:val="center" w:pos="284"/>
              </w:tabs>
              <w:ind w:left="266" w:right="-812" w:hanging="266"/>
              <w:rPr>
                <w:bCs/>
              </w:rPr>
            </w:pPr>
            <w:r w:rsidRPr="001A0C10">
              <w:rPr>
                <w:bCs/>
              </w:rPr>
              <w:t>Anastasis YIAPANIS (skupina Organizace občanské společnosti – CY)</w:t>
            </w:r>
          </w:p>
        </w:tc>
      </w:tr>
      <w:tr w:rsidRPr="009B269F" w:rsidR="00151EC1" w:rsidTr="008C66FD" w14:paraId="546F596B" w14:textId="77777777">
        <w:tc>
          <w:tcPr>
            <w:tcW w:w="1167" w:type="pct"/>
          </w:tcPr>
          <w:p w:rsidRPr="009B269F" w:rsidR="00151EC1" w:rsidP="009B269F" w:rsidRDefault="00151EC1" w14:paraId="022E9DA7" w14:textId="77777777">
            <w:pPr>
              <w:tabs>
                <w:tab w:val="center" w:pos="284"/>
              </w:tabs>
              <w:ind w:left="266" w:hanging="266"/>
              <w:rPr>
                <w:b/>
              </w:rPr>
            </w:pPr>
            <w:r w:rsidRPr="009B269F">
              <w:rPr>
                <w:b/>
              </w:rPr>
              <w:t>Spoluzpravodaj</w:t>
            </w:r>
          </w:p>
        </w:tc>
        <w:tc>
          <w:tcPr>
            <w:tcW w:w="3833" w:type="pct"/>
          </w:tcPr>
          <w:p w:rsidRPr="001A0C10" w:rsidR="00151EC1" w:rsidP="009B269F" w:rsidRDefault="00151EC1" w14:paraId="5162C012" w14:textId="77777777">
            <w:pPr>
              <w:tabs>
                <w:tab w:val="center" w:pos="284"/>
              </w:tabs>
              <w:ind w:left="266" w:right="-1383" w:hanging="266"/>
              <w:rPr>
                <w:bCs/>
              </w:rPr>
            </w:pPr>
            <w:proofErr w:type="spellStart"/>
            <w:r w:rsidRPr="001A0C10">
              <w:rPr>
                <w:bCs/>
              </w:rPr>
              <w:t>Gerardo</w:t>
            </w:r>
            <w:proofErr w:type="spellEnd"/>
            <w:r w:rsidRPr="001A0C10">
              <w:rPr>
                <w:bCs/>
              </w:rPr>
              <w:t xml:space="preserve"> Luís ARROYO HERRANZ (ES – kat.1)</w:t>
            </w:r>
          </w:p>
        </w:tc>
      </w:tr>
      <w:tr w:rsidRPr="009B269F" w:rsidR="00151EC1" w:rsidTr="008C66FD" w14:paraId="2548934F" w14:textId="77777777">
        <w:tc>
          <w:tcPr>
            <w:tcW w:w="5000" w:type="pct"/>
            <w:gridSpan w:val="2"/>
          </w:tcPr>
          <w:p w:rsidRPr="009B269F" w:rsidR="00151EC1" w:rsidP="009B269F" w:rsidRDefault="00151EC1" w14:paraId="4EC63769" w14:textId="77777777">
            <w:pPr>
              <w:tabs>
                <w:tab w:val="center" w:pos="284"/>
              </w:tabs>
              <w:ind w:left="266" w:hanging="266"/>
              <w:rPr>
                <w:lang w:val="en-US"/>
              </w:rPr>
            </w:pPr>
          </w:p>
        </w:tc>
      </w:tr>
      <w:tr w:rsidRPr="009B269F" w:rsidR="00151EC1" w:rsidTr="008C66FD" w14:paraId="4DE224DF" w14:textId="77777777">
        <w:tc>
          <w:tcPr>
            <w:tcW w:w="1167" w:type="pct"/>
          </w:tcPr>
          <w:p w:rsidRPr="009B269F" w:rsidR="00151EC1" w:rsidP="009B269F" w:rsidRDefault="00151EC1" w14:paraId="6C480135" w14:textId="77777777">
            <w:pPr>
              <w:tabs>
                <w:tab w:val="center" w:pos="284"/>
              </w:tabs>
              <w:ind w:left="266" w:hanging="266"/>
              <w:rPr>
                <w:b/>
                <w:highlight w:val="yellow"/>
              </w:rPr>
            </w:pPr>
            <w:r w:rsidRPr="009B269F">
              <w:rPr>
                <w:b/>
              </w:rPr>
              <w:t>Odkazy</w:t>
            </w:r>
          </w:p>
        </w:tc>
        <w:tc>
          <w:tcPr>
            <w:tcW w:w="3833" w:type="pct"/>
          </w:tcPr>
          <w:p w:rsidRPr="009B269F" w:rsidR="00151EC1" w:rsidP="009B269F" w:rsidRDefault="00151EC1" w14:paraId="21634159" w14:textId="77777777">
            <w:pPr>
              <w:tabs>
                <w:tab w:val="center" w:pos="284"/>
              </w:tabs>
              <w:ind w:left="266" w:hanging="266"/>
              <w:rPr>
                <w:highlight w:val="yellow"/>
              </w:rPr>
            </w:pPr>
            <w:r w:rsidRPr="009B269F">
              <w:t>COM(2024) 98 final</w:t>
            </w:r>
          </w:p>
          <w:p w:rsidRPr="009B269F" w:rsidR="00151EC1" w:rsidP="009B269F" w:rsidRDefault="00151EC1" w14:paraId="77CEA6CE" w14:textId="25A24BA3">
            <w:pPr>
              <w:tabs>
                <w:tab w:val="center" w:pos="284"/>
              </w:tabs>
              <w:ind w:left="266" w:hanging="266"/>
              <w:rPr>
                <w:highlight w:val="yellow"/>
              </w:rPr>
            </w:pPr>
            <w:r w:rsidRPr="009B269F">
              <w:t>EESC-2024-01425-00-00-AC</w:t>
            </w:r>
          </w:p>
        </w:tc>
      </w:tr>
    </w:tbl>
    <w:p w:rsidRPr="009B269F" w:rsidR="00151EC1" w:rsidP="009B269F" w:rsidRDefault="00151EC1" w14:paraId="77AD588C" w14:textId="77777777">
      <w:pPr>
        <w:keepNext/>
        <w:keepLines/>
        <w:tabs>
          <w:tab w:val="center" w:pos="284"/>
        </w:tabs>
        <w:ind w:left="266" w:hanging="266"/>
        <w:rPr>
          <w:b/>
        </w:rPr>
      </w:pPr>
    </w:p>
    <w:p w:rsidRPr="009B269F" w:rsidR="00151EC1" w:rsidP="009B269F" w:rsidRDefault="00151EC1" w14:paraId="502AF562" w14:textId="77777777">
      <w:pPr>
        <w:keepNext/>
        <w:keepLines/>
        <w:tabs>
          <w:tab w:val="center" w:pos="284"/>
        </w:tabs>
        <w:ind w:left="266" w:hanging="266"/>
        <w:rPr>
          <w:b/>
        </w:rPr>
      </w:pPr>
      <w:r w:rsidRPr="009B269F">
        <w:rPr>
          <w:b/>
        </w:rPr>
        <w:t>Hlavní body</w:t>
      </w:r>
    </w:p>
    <w:p w:rsidRPr="009B269F" w:rsidR="00151EC1" w:rsidP="009B269F" w:rsidRDefault="00151EC1" w14:paraId="1B149AA1" w14:textId="77777777">
      <w:pPr>
        <w:keepNext/>
        <w:keepLines/>
        <w:tabs>
          <w:tab w:val="center" w:pos="284"/>
        </w:tabs>
        <w:ind w:left="266" w:hanging="266"/>
        <w:rPr>
          <w:b/>
          <w:sz w:val="16"/>
          <w:szCs w:val="16"/>
        </w:rPr>
      </w:pPr>
    </w:p>
    <w:p w:rsidRPr="009B269F" w:rsidR="00151EC1" w:rsidP="009B269F" w:rsidRDefault="00151EC1" w14:paraId="007CC6CB" w14:textId="77777777">
      <w:pPr>
        <w:rPr>
          <w:bCs/>
          <w:iCs/>
        </w:rPr>
      </w:pPr>
      <w:r w:rsidRPr="009B269F">
        <w:t>EHSV:</w:t>
      </w:r>
    </w:p>
    <w:p w:rsidRPr="009B269F" w:rsidR="00151EC1" w:rsidP="009B269F" w:rsidRDefault="00151EC1" w14:paraId="4DE304FB" w14:textId="77777777">
      <w:pPr>
        <w:pStyle w:val="ListParagraph"/>
        <w:numPr>
          <w:ilvl w:val="0"/>
          <w:numId w:val="34"/>
        </w:numPr>
        <w:ind w:left="567" w:hanging="567"/>
        <w:rPr>
          <w:bCs/>
          <w:iCs/>
        </w:rPr>
      </w:pPr>
      <w:r w:rsidRPr="009B269F">
        <w:t>se domnívá, že sdělení Evropské komise o pokročilých materiálech nelze považovat za strategii v pravém slova smyslu, neboť zde nejsou uvedeny kvantifikovatelné cíle, lhůty ani klíčové ukazatele výkonnosti (KPI) na podporu provádění;</w:t>
      </w:r>
    </w:p>
    <w:p w:rsidRPr="009B269F" w:rsidR="00151EC1" w:rsidP="009B269F" w:rsidRDefault="00151EC1" w14:paraId="1942E39C" w14:textId="77777777">
      <w:pPr>
        <w:pStyle w:val="ListParagraph"/>
        <w:numPr>
          <w:ilvl w:val="0"/>
          <w:numId w:val="34"/>
        </w:numPr>
        <w:ind w:left="567" w:hanging="567"/>
        <w:rPr>
          <w:bCs/>
          <w:iCs/>
        </w:rPr>
      </w:pPr>
      <w:r w:rsidRPr="009B269F">
        <w:t>je přesvědčen, že EU potřebuje holistický přístup, jenž povede ke snížení spotřeby materiálu, podpoří oběhovost a usnadní přechod k udržitelným obchodním modelům a spotřebnímu chování;</w:t>
      </w:r>
    </w:p>
    <w:p w:rsidRPr="009B269F" w:rsidR="00151EC1" w:rsidP="009B269F" w:rsidRDefault="00151EC1" w14:paraId="36228F1F" w14:textId="77777777">
      <w:pPr>
        <w:pStyle w:val="ListParagraph"/>
        <w:numPr>
          <w:ilvl w:val="0"/>
          <w:numId w:val="34"/>
        </w:numPr>
        <w:ind w:left="567" w:hanging="567"/>
        <w:rPr>
          <w:bCs/>
          <w:iCs/>
        </w:rPr>
      </w:pPr>
      <w:r w:rsidRPr="009B269F">
        <w:t>podotýká, že k vybudování komplexního ekosystému pokročilých materiálů je zapotřebí podrobná celková strategie, dostatečné finanční krytí, pobídky, nabídka správných dovedností a také politická podpora na vysoké úrovni;</w:t>
      </w:r>
    </w:p>
    <w:p w:rsidRPr="009B269F" w:rsidR="00151EC1" w:rsidP="009B269F" w:rsidRDefault="00151EC1" w14:paraId="66D95B9F" w14:textId="77777777">
      <w:pPr>
        <w:pStyle w:val="ListParagraph"/>
        <w:numPr>
          <w:ilvl w:val="0"/>
          <w:numId w:val="34"/>
        </w:numPr>
        <w:ind w:left="567" w:hanging="567"/>
        <w:rPr>
          <w:bCs/>
          <w:iCs/>
        </w:rPr>
      </w:pPr>
      <w:r w:rsidRPr="009B269F">
        <w:t>vítá posílený dialog EU a Japonska o pokročilých materiálech a domnívá se, že by takové iniciativy měly být rozšířeny i o další vedoucí země;</w:t>
      </w:r>
    </w:p>
    <w:p w:rsidRPr="009B269F" w:rsidR="00151EC1" w:rsidP="009B269F" w:rsidRDefault="00151EC1" w14:paraId="3B9CC7EA" w14:textId="77777777">
      <w:pPr>
        <w:pStyle w:val="ListParagraph"/>
        <w:numPr>
          <w:ilvl w:val="0"/>
          <w:numId w:val="34"/>
        </w:numPr>
        <w:ind w:left="567" w:hanging="567"/>
        <w:rPr>
          <w:bCs/>
          <w:iCs/>
        </w:rPr>
      </w:pPr>
      <w:r w:rsidRPr="009B269F">
        <w:t>považuje za klíčové rozvíjet konkurenceschopnost na poli výzkumu, vývoje a inovací spojením sil představitelů průmyslu, veřejných orgánů, sociálních partnerů a akademické obce. Za přínos považuje také vybudování integrované sítě přeshraničních výzkumných středisek;</w:t>
      </w:r>
    </w:p>
    <w:p w:rsidRPr="009B269F" w:rsidR="00151EC1" w:rsidP="009B269F" w:rsidRDefault="00151EC1" w14:paraId="08AE3E18" w14:textId="77777777">
      <w:pPr>
        <w:pStyle w:val="ListParagraph"/>
        <w:numPr>
          <w:ilvl w:val="0"/>
          <w:numId w:val="34"/>
        </w:numPr>
        <w:ind w:left="567" w:hanging="567"/>
        <w:rPr>
          <w:bCs/>
          <w:iCs/>
        </w:rPr>
      </w:pPr>
      <w:r w:rsidRPr="009B269F">
        <w:t>navrhuje zařadit mezi úvodní strategické oblasti také zdravotnictví, neboť se počítá k největším průmyslovým odvětvím v Evropě a pokročilé materiály pro zdravotnictví se často prolínají se sektory, jako je elektronika a energetika;</w:t>
      </w:r>
    </w:p>
    <w:p w:rsidRPr="009B269F" w:rsidR="00151EC1" w:rsidP="009B269F" w:rsidRDefault="00151EC1" w14:paraId="1F90C948" w14:textId="77777777">
      <w:pPr>
        <w:pStyle w:val="ListParagraph"/>
        <w:numPr>
          <w:ilvl w:val="0"/>
          <w:numId w:val="34"/>
        </w:numPr>
        <w:ind w:left="567" w:hanging="567"/>
        <w:rPr>
          <w:bCs/>
          <w:iCs/>
        </w:rPr>
      </w:pPr>
      <w:r w:rsidRPr="009B269F">
        <w:t>poukazuje na význam zapracování digitálních technologií a inovací do procesů vývoje materiálů;</w:t>
      </w:r>
    </w:p>
    <w:p w:rsidRPr="009B269F" w:rsidR="00151EC1" w:rsidP="009B269F" w:rsidRDefault="00151EC1" w14:paraId="1086893B" w14:textId="77777777">
      <w:pPr>
        <w:pStyle w:val="ListParagraph"/>
        <w:numPr>
          <w:ilvl w:val="0"/>
          <w:numId w:val="35"/>
        </w:numPr>
        <w:ind w:left="567" w:hanging="567"/>
        <w:rPr>
          <w:bCs/>
          <w:iCs/>
        </w:rPr>
      </w:pPr>
      <w:r w:rsidRPr="009B269F">
        <w:t xml:space="preserve">podporuje zavedení digitálního pasu výrobku včetně informačních standardů a podrobností od výroby po recyklaci, varuje však před vytvářením další byrokracie nebo nákladů pro podniky či spotřebitele; </w:t>
      </w:r>
    </w:p>
    <w:p w:rsidRPr="009B269F" w:rsidR="00151EC1" w:rsidP="009B269F" w:rsidRDefault="00151EC1" w14:paraId="144B4725" w14:textId="53C222F9">
      <w:pPr>
        <w:pStyle w:val="ListParagraph"/>
        <w:numPr>
          <w:ilvl w:val="0"/>
          <w:numId w:val="35"/>
        </w:numPr>
        <w:ind w:left="567" w:hanging="567"/>
        <w:rPr>
          <w:bCs/>
          <w:iCs/>
        </w:rPr>
      </w:pPr>
      <w:r w:rsidRPr="009B269F">
        <w:t>považuje za nutné posílit evropskou výrobu, podporovat přeměnu inovací na komerčně životaschopné produkty, zefektivnit přístup na trh a zlepšit dozor nad ním v této oblasti</w:t>
      </w:r>
      <w:r w:rsidR="0056783E">
        <w:t>.</w:t>
      </w:r>
    </w:p>
    <w:p w:rsidR="001B68B0" w:rsidP="001B68B0" w:rsidRDefault="001B68B0" w14:paraId="4596C9F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562"/>
      </w:tblGrid>
      <w:tr w:rsidR="001B68B0" w:rsidTr="009F3680" w14:paraId="60B75855" w14:textId="77777777">
        <w:tc>
          <w:tcPr>
            <w:tcW w:w="1526" w:type="dxa"/>
          </w:tcPr>
          <w:p w:rsidRPr="00573594" w:rsidR="001B68B0" w:rsidP="00CD50F6" w:rsidRDefault="001B68B0" w14:paraId="44CE25D2" w14:textId="77777777">
            <w:pPr>
              <w:pStyle w:val="ListParagraph"/>
              <w:ind w:left="0"/>
              <w:jc w:val="left"/>
              <w:rPr>
                <w:i/>
              </w:rPr>
            </w:pPr>
            <w:r>
              <w:rPr>
                <w:b/>
                <w:i/>
              </w:rPr>
              <w:t>Kontakt:</w:t>
            </w:r>
          </w:p>
        </w:tc>
        <w:tc>
          <w:tcPr>
            <w:tcW w:w="5562" w:type="dxa"/>
          </w:tcPr>
          <w:p w:rsidRPr="001B68B0" w:rsidR="001B68B0" w:rsidP="00CD50F6" w:rsidRDefault="001B68B0" w14:paraId="338DC47A" w14:textId="687CA484">
            <w:pPr>
              <w:pStyle w:val="ListParagraph"/>
              <w:ind w:left="0"/>
              <w:rPr>
                <w:bCs/>
                <w:i/>
              </w:rPr>
            </w:pPr>
            <w:r w:rsidRPr="001B68B0">
              <w:rPr>
                <w:bCs/>
                <w:i/>
              </w:rPr>
              <w:t>Heli NIEMELÄ-FARRER</w:t>
            </w:r>
          </w:p>
        </w:tc>
      </w:tr>
      <w:tr w:rsidR="001B68B0" w:rsidTr="009F3680" w14:paraId="4482086E" w14:textId="77777777">
        <w:tc>
          <w:tcPr>
            <w:tcW w:w="1526" w:type="dxa"/>
          </w:tcPr>
          <w:p w:rsidRPr="00573594" w:rsidR="001B68B0" w:rsidP="00CD50F6" w:rsidRDefault="001B68B0" w14:paraId="74C490D0" w14:textId="77777777">
            <w:pPr>
              <w:pStyle w:val="ListParagraph"/>
              <w:ind w:left="0"/>
              <w:jc w:val="right"/>
              <w:rPr>
                <w:i/>
              </w:rPr>
            </w:pPr>
            <w:r>
              <w:rPr>
                <w:i/>
              </w:rPr>
              <w:t>Tel.:</w:t>
            </w:r>
          </w:p>
        </w:tc>
        <w:tc>
          <w:tcPr>
            <w:tcW w:w="5562" w:type="dxa"/>
          </w:tcPr>
          <w:p w:rsidRPr="001B68B0" w:rsidR="001B68B0" w:rsidP="00CD50F6" w:rsidRDefault="001B68B0" w14:paraId="33F476E5" w14:textId="5B4317A5">
            <w:pPr>
              <w:pStyle w:val="ListParagraph"/>
              <w:ind w:left="0"/>
              <w:rPr>
                <w:bCs/>
                <w:i/>
              </w:rPr>
            </w:pPr>
            <w:r w:rsidRPr="001B68B0">
              <w:rPr>
                <w:bCs/>
                <w:i/>
              </w:rPr>
              <w:t>+32 22822464</w:t>
            </w:r>
          </w:p>
        </w:tc>
      </w:tr>
      <w:tr w:rsidR="001B68B0" w:rsidTr="009F3680" w14:paraId="7AFB2722" w14:textId="77777777">
        <w:tc>
          <w:tcPr>
            <w:tcW w:w="1526" w:type="dxa"/>
          </w:tcPr>
          <w:p w:rsidR="001B68B0" w:rsidP="00CD50F6" w:rsidRDefault="001B68B0" w14:paraId="4B8A4A9D" w14:textId="77777777">
            <w:pPr>
              <w:pStyle w:val="ListParagraph"/>
              <w:ind w:left="0"/>
              <w:jc w:val="right"/>
              <w:rPr>
                <w:i/>
              </w:rPr>
            </w:pPr>
            <w:r>
              <w:rPr>
                <w:i/>
              </w:rPr>
              <w:t>E-mail:</w:t>
            </w:r>
          </w:p>
        </w:tc>
        <w:tc>
          <w:tcPr>
            <w:tcW w:w="5562" w:type="dxa"/>
          </w:tcPr>
          <w:p w:rsidRPr="001B68B0" w:rsidR="001B68B0" w:rsidP="00CD50F6" w:rsidRDefault="000029F8" w14:paraId="135D3D08" w14:textId="0018A119">
            <w:pPr>
              <w:pStyle w:val="ListParagraph"/>
              <w:ind w:left="0"/>
              <w:rPr>
                <w:bCs/>
                <w:i/>
              </w:rPr>
            </w:pPr>
            <w:hyperlink w:history="1" r:id="rId45">
              <w:r w:rsidRPr="001B68B0" w:rsidR="001B68B0">
                <w:rPr>
                  <w:rStyle w:val="Hyperlink"/>
                  <w:bCs/>
                  <w:i/>
                </w:rPr>
                <w:t>Heli.Niemela-Farrer@eesc.europa.eu</w:t>
              </w:r>
            </w:hyperlink>
          </w:p>
        </w:tc>
      </w:tr>
    </w:tbl>
    <w:p w:rsidR="001B68B0" w:rsidP="001B68B0" w:rsidRDefault="001B68B0" w14:paraId="10192B48" w14:textId="77777777">
      <w:pPr>
        <w:pStyle w:val="ListParagraph"/>
        <w:ind w:left="0"/>
      </w:pPr>
    </w:p>
    <w:p w:rsidRPr="009B269F" w:rsidR="00151EC1" w:rsidP="009B269F" w:rsidRDefault="00151EC1" w14:paraId="768834C5" w14:textId="3AEE0314">
      <w:pPr>
        <w:overflowPunct w:val="0"/>
        <w:autoSpaceDE w:val="0"/>
        <w:autoSpaceDN w:val="0"/>
        <w:adjustRightInd w:val="0"/>
        <w:jc w:val="center"/>
        <w:textAlignment w:val="baseline"/>
      </w:pPr>
      <w:r w:rsidRPr="009B269F">
        <w:t>_____________</w:t>
      </w:r>
    </w:p>
    <w:sectPr w:rsidRPr="009B269F" w:rsidR="00151EC1" w:rsidSect="00994483">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A46F" w14:textId="77777777" w:rsidR="00994483" w:rsidRPr="00994483" w:rsidRDefault="00994483" w:rsidP="00994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E952294" w:rsidR="00765C4F" w:rsidRPr="00994483" w:rsidRDefault="00994483" w:rsidP="00994483">
    <w:pPr>
      <w:pStyle w:val="Footer"/>
    </w:pPr>
    <w:r>
      <w:t xml:space="preserve">EESC-2024-02113-00-01-TCD-TRA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0029F8">
      <w:fldChar w:fldCharType="begin"/>
    </w:r>
    <w:r w:rsidR="000029F8">
      <w:instrText xml:space="preserve"> NUMPAGES </w:instrText>
    </w:r>
    <w:r w:rsidR="000029F8">
      <w:fldChar w:fldCharType="separate"/>
    </w:r>
    <w:r w:rsidR="00265BAC">
      <w:rPr>
        <w:noProof/>
      </w:rPr>
      <w:instrText>20</w:instrText>
    </w:r>
    <w:r w:rsidR="000029F8">
      <w:rPr>
        <w:noProof/>
      </w:rPr>
      <w:fldChar w:fldCharType="end"/>
    </w:r>
    <w:r>
      <w:instrText xml:space="preserve"> -0 </w:instrText>
    </w:r>
    <w:r>
      <w:fldChar w:fldCharType="separate"/>
    </w:r>
    <w:r w:rsidR="00265BAC">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DA0B" w14:textId="77777777" w:rsidR="00994483" w:rsidRPr="00994483" w:rsidRDefault="00994483" w:rsidP="009944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994483" w:rsidRDefault="00E4258F" w:rsidP="009944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420779B" w:rsidR="00E4258F" w:rsidRPr="00994483" w:rsidRDefault="00994483" w:rsidP="00994483">
    <w:pPr>
      <w:pStyle w:val="Footer"/>
    </w:pPr>
    <w:r>
      <w:t xml:space="preserve">EESC-2024-02113-00-01-TCD-TRA (EN) </w:t>
    </w:r>
    <w:r>
      <w:fldChar w:fldCharType="begin"/>
    </w:r>
    <w:r>
      <w:instrText xml:space="preserve"> PAGE  \* Arabic  \* MERGEFORMAT </w:instrText>
    </w:r>
    <w:r>
      <w:fldChar w:fldCharType="separate"/>
    </w:r>
    <w:r>
      <w:rPr>
        <w:noProof/>
      </w:rPr>
      <w:t>20</w:t>
    </w:r>
    <w:r>
      <w:fldChar w:fldCharType="end"/>
    </w:r>
    <w:r>
      <w:t>/</w:t>
    </w:r>
    <w:r>
      <w:fldChar w:fldCharType="begin"/>
    </w:r>
    <w:r>
      <w:instrText xml:space="preserve"> = </w:instrText>
    </w:r>
    <w:r w:rsidR="000029F8">
      <w:fldChar w:fldCharType="begin"/>
    </w:r>
    <w:r w:rsidR="000029F8">
      <w:instrText xml:space="preserve"> NUMPAGES </w:instrText>
    </w:r>
    <w:r w:rsidR="000029F8">
      <w:fldChar w:fldCharType="separate"/>
    </w:r>
    <w:r w:rsidR="00265BAC">
      <w:rPr>
        <w:noProof/>
      </w:rPr>
      <w:instrText>20</w:instrText>
    </w:r>
    <w:r w:rsidR="000029F8">
      <w:rPr>
        <w:noProof/>
      </w:rPr>
      <w:fldChar w:fldCharType="end"/>
    </w:r>
    <w:r>
      <w:instrText xml:space="preserve"> -0 </w:instrText>
    </w:r>
    <w:r>
      <w:fldChar w:fldCharType="separate"/>
    </w:r>
    <w:r w:rsidR="00265BAC">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994483" w:rsidRDefault="00E4258F" w:rsidP="0099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8D01" w14:textId="77777777" w:rsidR="00994483" w:rsidRPr="00994483" w:rsidRDefault="00994483" w:rsidP="00994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F21A" w14:textId="77777777" w:rsidR="00994483" w:rsidRPr="00994483" w:rsidRDefault="00994483" w:rsidP="00994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AFD4" w14:textId="77777777" w:rsidR="00994483" w:rsidRPr="00994483" w:rsidRDefault="00994483" w:rsidP="009944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994483" w:rsidRDefault="00E4258F" w:rsidP="009944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FFB5680" w:rsidR="00E4258F" w:rsidRPr="00994483" w:rsidRDefault="00E4258F" w:rsidP="009944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994483" w:rsidRDefault="00E4258F" w:rsidP="00994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E2545E"/>
    <w:lvl w:ilvl="0">
      <w:numFmt w:val="decimal"/>
      <w:lvlText w:val="*"/>
      <w:lvlJc w:val="left"/>
    </w:lvl>
  </w:abstractNum>
  <w:abstractNum w:abstractNumId="1" w15:restartNumberingAfterBreak="0">
    <w:nsid w:val="03A6274A"/>
    <w:multiLevelType w:val="hybridMultilevel"/>
    <w:tmpl w:val="D45E9F7A"/>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79C8494E"/>
    <w:lvl w:ilvl="0" w:tplc="BD061D0C">
      <w:start w:val="1"/>
      <w:numFmt w:val="decimal"/>
      <w:pStyle w:val="Heading1"/>
      <w:lvlText w:val="%1."/>
      <w:lvlJc w:val="left"/>
      <w:pPr>
        <w:ind w:left="644" w:hanging="360"/>
      </w:pPr>
      <w:rPr>
        <w:rFonts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FE28DB"/>
    <w:multiLevelType w:val="hybridMultilevel"/>
    <w:tmpl w:val="4DDC6D9E"/>
    <w:lvl w:ilvl="0" w:tplc="0678857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F0BA91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CA1ECB"/>
    <w:multiLevelType w:val="hybridMultilevel"/>
    <w:tmpl w:val="D4BCB578"/>
    <w:lvl w:ilvl="0" w:tplc="4EFA4526">
      <w:start w:val="1"/>
      <w:numFmt w:val="bullet"/>
      <w:lvlText w:val=""/>
      <w:lvlJc w:val="left"/>
      <w:pPr>
        <w:ind w:left="1287" w:hanging="360"/>
      </w:pPr>
      <w:rPr>
        <w:rFonts w:ascii="Symbol" w:hAnsi="Symbol"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B706AD2"/>
    <w:multiLevelType w:val="hybridMultilevel"/>
    <w:tmpl w:val="8706969A"/>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F7CF268"/>
    <w:multiLevelType w:val="hybridMultilevel"/>
    <w:tmpl w:val="4300A97C"/>
    <w:lvl w:ilvl="0" w:tplc="8E7463F8">
      <w:start w:val="1"/>
      <w:numFmt w:val="bullet"/>
      <w:lvlText w:val=""/>
      <w:lvlJc w:val="left"/>
      <w:pPr>
        <w:ind w:left="720" w:hanging="360"/>
      </w:pPr>
      <w:rPr>
        <w:rFonts w:ascii="Symbol" w:hAnsi="Symbol" w:hint="default"/>
        <w:sz w:val="28"/>
        <w:szCs w:val="28"/>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9" w15:restartNumberingAfterBreak="0">
    <w:nsid w:val="11436C11"/>
    <w:multiLevelType w:val="hybridMultilevel"/>
    <w:tmpl w:val="092C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85616"/>
    <w:multiLevelType w:val="hybridMultilevel"/>
    <w:tmpl w:val="C212D572"/>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7E31E60"/>
    <w:multiLevelType w:val="hybridMultilevel"/>
    <w:tmpl w:val="E73443DE"/>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9D24F6"/>
    <w:multiLevelType w:val="hybridMultilevel"/>
    <w:tmpl w:val="D3A4F9F6"/>
    <w:lvl w:ilvl="0" w:tplc="E89A191C">
      <w:start w:val="1"/>
      <w:numFmt w:val="bullet"/>
      <w:lvlText w:val=""/>
      <w:lvlJc w:val="left"/>
      <w:pPr>
        <w:ind w:left="928"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F79661E"/>
    <w:multiLevelType w:val="hybridMultilevel"/>
    <w:tmpl w:val="D0C46502"/>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9F95040"/>
    <w:multiLevelType w:val="hybridMultilevel"/>
    <w:tmpl w:val="F6001FE2"/>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DDB2C4D"/>
    <w:multiLevelType w:val="hybridMultilevel"/>
    <w:tmpl w:val="7CF2F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666D8"/>
    <w:multiLevelType w:val="hybridMultilevel"/>
    <w:tmpl w:val="5622CDD4"/>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816432"/>
    <w:multiLevelType w:val="hybridMultilevel"/>
    <w:tmpl w:val="4256532A"/>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ED3207"/>
    <w:multiLevelType w:val="hybridMultilevel"/>
    <w:tmpl w:val="EAF4445C"/>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2D04B2F"/>
    <w:multiLevelType w:val="hybridMultilevel"/>
    <w:tmpl w:val="F8E87B0E"/>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441B8C"/>
    <w:multiLevelType w:val="singleLevel"/>
    <w:tmpl w:val="B1E65BE0"/>
    <w:lvl w:ilvl="0">
      <w:numFmt w:val="decimal"/>
      <w:lvlText w:val="*"/>
      <w:lvlJc w:val="left"/>
    </w:lvl>
  </w:abstractNum>
  <w:abstractNum w:abstractNumId="23" w15:restartNumberingAfterBreak="0">
    <w:nsid w:val="5A814AA1"/>
    <w:multiLevelType w:val="hybridMultilevel"/>
    <w:tmpl w:val="794E218A"/>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C3763CF"/>
    <w:multiLevelType w:val="hybridMultilevel"/>
    <w:tmpl w:val="78247D24"/>
    <w:lvl w:ilvl="0" w:tplc="0678857A">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43473F2"/>
    <w:multiLevelType w:val="hybridMultilevel"/>
    <w:tmpl w:val="D95C17CA"/>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C08470B"/>
    <w:multiLevelType w:val="hybridMultilevel"/>
    <w:tmpl w:val="AB186C2A"/>
    <w:lvl w:ilvl="0" w:tplc="E056C856">
      <w:start w:val="1"/>
      <w:numFmt w:val="decimal"/>
      <w:lvlText w:val="%1."/>
      <w:lvlJc w:val="left"/>
      <w:pPr>
        <w:ind w:left="1353" w:hanging="360"/>
      </w:pPr>
      <w:rPr>
        <w:b w:val="0"/>
        <w:bCs/>
        <w:i w:val="0"/>
        <w:iCs/>
        <w:sz w:val="22"/>
        <w:szCs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70EF5540"/>
    <w:multiLevelType w:val="hybridMultilevel"/>
    <w:tmpl w:val="D2FED1D0"/>
    <w:lvl w:ilvl="0" w:tplc="0678857A">
      <w:start w:val="1"/>
      <w:numFmt w:val="bullet"/>
      <w:lvlText w:val=""/>
      <w:lvlJc w:val="left"/>
      <w:pPr>
        <w:ind w:left="720" w:hanging="360"/>
      </w:pPr>
      <w:rPr>
        <w:rFonts w:ascii="Symbol" w:hAnsi="Symbol" w:hint="default"/>
        <w:sz w:val="22"/>
        <w:szCs w:val="22"/>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30" w15:restartNumberingAfterBreak="0">
    <w:nsid w:val="728C2E44"/>
    <w:multiLevelType w:val="hybridMultilevel"/>
    <w:tmpl w:val="3B964CE4"/>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D23B5"/>
    <w:multiLevelType w:val="hybridMultilevel"/>
    <w:tmpl w:val="FE62BC70"/>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
  </w:num>
  <w:num w:numId="4">
    <w:abstractNumId w:val="16"/>
  </w:num>
  <w:num w:numId="5">
    <w:abstractNumId w:val="31"/>
  </w:num>
  <w:num w:numId="6">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26"/>
  </w:num>
  <w:num w:numId="8">
    <w:abstractNumId w:val="18"/>
  </w:num>
  <w:num w:numId="9">
    <w:abstractNumId w:val="32"/>
  </w:num>
  <w:num w:numId="10">
    <w:abstractNumId w:val="27"/>
  </w:num>
  <w:num w:numId="11">
    <w:abstractNumId w:val="22"/>
  </w:num>
  <w:num w:numId="12">
    <w:abstractNumId w:val="8"/>
  </w:num>
  <w:num w:numId="13">
    <w:abstractNumId w:val="4"/>
  </w:num>
  <w:num w:numId="14">
    <w:abstractNumId w:val="25"/>
  </w:num>
  <w:num w:numId="15">
    <w:abstractNumId w:val="5"/>
  </w:num>
  <w:num w:numId="16">
    <w:abstractNumId w:val="28"/>
  </w:num>
  <w:num w:numId="17">
    <w:abstractNumId w:val="9"/>
  </w:num>
  <w:num w:numId="18">
    <w:abstractNumId w:val="17"/>
  </w:num>
  <w:num w:numId="19">
    <w:abstractNumId w:val="2"/>
    <w:lvlOverride w:ilvl="0">
      <w:startOverride w:val="6"/>
    </w:lvlOverride>
  </w:num>
  <w:num w:numId="20">
    <w:abstractNumId w:val="12"/>
  </w:num>
  <w:num w:numId="21">
    <w:abstractNumId w:val="15"/>
  </w:num>
  <w:num w:numId="22">
    <w:abstractNumId w:val="11"/>
  </w:num>
  <w:num w:numId="23">
    <w:abstractNumId w:val="10"/>
  </w:num>
  <w:num w:numId="24">
    <w:abstractNumId w:val="1"/>
  </w:num>
  <w:num w:numId="25">
    <w:abstractNumId w:val="7"/>
  </w:num>
  <w:num w:numId="26">
    <w:abstractNumId w:val="3"/>
  </w:num>
  <w:num w:numId="27">
    <w:abstractNumId w:val="6"/>
  </w:num>
  <w:num w:numId="28">
    <w:abstractNumId w:val="23"/>
  </w:num>
  <w:num w:numId="29">
    <w:abstractNumId w:val="29"/>
  </w:num>
  <w:num w:numId="30">
    <w:abstractNumId w:val="24"/>
  </w:num>
  <w:num w:numId="31">
    <w:abstractNumId w:val="20"/>
  </w:num>
  <w:num w:numId="32">
    <w:abstractNumId w:val="14"/>
  </w:num>
  <w:num w:numId="33">
    <w:abstractNumId w:val="19"/>
  </w:num>
  <w:num w:numId="34">
    <w:abstractNumId w:val="30"/>
  </w:num>
  <w:num w:numId="3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9F8"/>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9F4"/>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05D5"/>
    <w:rsid w:val="000F21B9"/>
    <w:rsid w:val="000F2598"/>
    <w:rsid w:val="000F2BDB"/>
    <w:rsid w:val="000F2E5A"/>
    <w:rsid w:val="000F442A"/>
    <w:rsid w:val="000F4825"/>
    <w:rsid w:val="000F53B7"/>
    <w:rsid w:val="000F679A"/>
    <w:rsid w:val="000F6FCF"/>
    <w:rsid w:val="000F7CD9"/>
    <w:rsid w:val="001000A8"/>
    <w:rsid w:val="0010109E"/>
    <w:rsid w:val="001011F8"/>
    <w:rsid w:val="001016BE"/>
    <w:rsid w:val="00101D87"/>
    <w:rsid w:val="001023AA"/>
    <w:rsid w:val="001042CF"/>
    <w:rsid w:val="00104302"/>
    <w:rsid w:val="00104B7A"/>
    <w:rsid w:val="001052A1"/>
    <w:rsid w:val="00105345"/>
    <w:rsid w:val="0010535A"/>
    <w:rsid w:val="001054A9"/>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0F0C"/>
    <w:rsid w:val="00132B56"/>
    <w:rsid w:val="001332A2"/>
    <w:rsid w:val="00133C08"/>
    <w:rsid w:val="001348CC"/>
    <w:rsid w:val="00135610"/>
    <w:rsid w:val="00135769"/>
    <w:rsid w:val="00137BCC"/>
    <w:rsid w:val="001400C7"/>
    <w:rsid w:val="0014322B"/>
    <w:rsid w:val="001435E4"/>
    <w:rsid w:val="001439F2"/>
    <w:rsid w:val="001445A7"/>
    <w:rsid w:val="001455A1"/>
    <w:rsid w:val="0014589C"/>
    <w:rsid w:val="00145DCD"/>
    <w:rsid w:val="00150AD8"/>
    <w:rsid w:val="00150B75"/>
    <w:rsid w:val="00150E51"/>
    <w:rsid w:val="001513FD"/>
    <w:rsid w:val="00151EC1"/>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0C10"/>
    <w:rsid w:val="001A1CC5"/>
    <w:rsid w:val="001A2273"/>
    <w:rsid w:val="001A2632"/>
    <w:rsid w:val="001A2ED2"/>
    <w:rsid w:val="001A7110"/>
    <w:rsid w:val="001A7476"/>
    <w:rsid w:val="001B10DA"/>
    <w:rsid w:val="001B146A"/>
    <w:rsid w:val="001B643B"/>
    <w:rsid w:val="001B6460"/>
    <w:rsid w:val="001B68B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5BAC"/>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1B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34B"/>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66D9C"/>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77D"/>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0FF"/>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5AD3"/>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20D"/>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6783E"/>
    <w:rsid w:val="00570527"/>
    <w:rsid w:val="00570D62"/>
    <w:rsid w:val="00570DDC"/>
    <w:rsid w:val="00571BCD"/>
    <w:rsid w:val="00571FEB"/>
    <w:rsid w:val="005721DA"/>
    <w:rsid w:val="00572679"/>
    <w:rsid w:val="00572735"/>
    <w:rsid w:val="005727A8"/>
    <w:rsid w:val="00574403"/>
    <w:rsid w:val="00574E5A"/>
    <w:rsid w:val="00577672"/>
    <w:rsid w:val="00581905"/>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4D64"/>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671"/>
    <w:rsid w:val="005E7B87"/>
    <w:rsid w:val="005E7FD6"/>
    <w:rsid w:val="005F12E9"/>
    <w:rsid w:val="005F1C0F"/>
    <w:rsid w:val="005F2042"/>
    <w:rsid w:val="005F2736"/>
    <w:rsid w:val="005F2E1D"/>
    <w:rsid w:val="005F41C5"/>
    <w:rsid w:val="005F4CC1"/>
    <w:rsid w:val="005F4FFC"/>
    <w:rsid w:val="005F5847"/>
    <w:rsid w:val="005F6816"/>
    <w:rsid w:val="005F7104"/>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76D"/>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B9"/>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607"/>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5AF5"/>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4E51"/>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0F0C"/>
    <w:rsid w:val="008A16E3"/>
    <w:rsid w:val="008A398B"/>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2EB6"/>
    <w:rsid w:val="008B421D"/>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2F0"/>
    <w:rsid w:val="00905566"/>
    <w:rsid w:val="00906550"/>
    <w:rsid w:val="009066BB"/>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12D6"/>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32C9"/>
    <w:rsid w:val="00994483"/>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69F"/>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680"/>
    <w:rsid w:val="009F3768"/>
    <w:rsid w:val="009F39C6"/>
    <w:rsid w:val="009F3BC5"/>
    <w:rsid w:val="009F4E26"/>
    <w:rsid w:val="009F4EF7"/>
    <w:rsid w:val="009F52D6"/>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10F"/>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8A"/>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4E29"/>
    <w:rsid w:val="00B7530C"/>
    <w:rsid w:val="00B76922"/>
    <w:rsid w:val="00B76E61"/>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0A41"/>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5C09"/>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EBF"/>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0D7"/>
    <w:rsid w:val="00D115CF"/>
    <w:rsid w:val="00D11DE8"/>
    <w:rsid w:val="00D12B14"/>
    <w:rsid w:val="00D13F40"/>
    <w:rsid w:val="00D145C1"/>
    <w:rsid w:val="00D157B9"/>
    <w:rsid w:val="00D157BB"/>
    <w:rsid w:val="00D1580E"/>
    <w:rsid w:val="00D15DF4"/>
    <w:rsid w:val="00D16F69"/>
    <w:rsid w:val="00D205F2"/>
    <w:rsid w:val="00D20C54"/>
    <w:rsid w:val="00D21CFB"/>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29CA"/>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0091"/>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7D8"/>
    <w:rsid w:val="00D84FBD"/>
    <w:rsid w:val="00D85838"/>
    <w:rsid w:val="00D85D67"/>
    <w:rsid w:val="00D86432"/>
    <w:rsid w:val="00D914AB"/>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B6EA4"/>
    <w:rsid w:val="00DC054C"/>
    <w:rsid w:val="00DC057E"/>
    <w:rsid w:val="00DC097D"/>
    <w:rsid w:val="00DC15A9"/>
    <w:rsid w:val="00DC1607"/>
    <w:rsid w:val="00DC17CF"/>
    <w:rsid w:val="00DC26B9"/>
    <w:rsid w:val="00DC2874"/>
    <w:rsid w:val="00DC28F0"/>
    <w:rsid w:val="00DC2D49"/>
    <w:rsid w:val="00DC3563"/>
    <w:rsid w:val="00DC3717"/>
    <w:rsid w:val="00DC53E9"/>
    <w:rsid w:val="00DC68FA"/>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264"/>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775C6"/>
    <w:rsid w:val="00F804C6"/>
    <w:rsid w:val="00F80F0A"/>
    <w:rsid w:val="00F80F3B"/>
    <w:rsid w:val="00F82691"/>
    <w:rsid w:val="00F83DF2"/>
    <w:rsid w:val="00F841DB"/>
    <w:rsid w:val="00F84BD4"/>
    <w:rsid w:val="00F84F81"/>
    <w:rsid w:val="00F8520A"/>
    <w:rsid w:val="00F856AC"/>
    <w:rsid w:val="00F85835"/>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cs-CZ"/>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Sabrina.Borg@eesc.europa.eu" TargetMode="External"/><Relationship Id="rId39" Type="http://schemas.openxmlformats.org/officeDocument/2006/relationships/hyperlink" Target="https://www.eesc.europa.eu/cs/our-work/opinions-information-reports/opinions/energy-digitalisation-balancing-opportunities-and-risks-european-consumers" TargetMode="External"/><Relationship Id="rId21" Type="http://schemas.openxmlformats.org/officeDocument/2006/relationships/hyperlink" Target="https://www.eesc.europa.eu/cs/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mailto:Marie-Laurence.Drillon@eesc.europa.eu"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Valeria.Atzori@eesc.europa.eu" TargetMode="External"/><Relationship Id="rId11" Type="http://schemas.openxmlformats.org/officeDocument/2006/relationships/endnotes" Target="endnotes.xml"/><Relationship Id="rId24" Type="http://schemas.openxmlformats.org/officeDocument/2006/relationships/hyperlink" Target="https://www.eesc.europa.eu/cs/our-work/opinions-information-reports/opinions/taxation-framework-social-economy-entities" TargetMode="External"/><Relationship Id="rId32" Type="http://schemas.openxmlformats.org/officeDocument/2006/relationships/hyperlink" Target="mailto:Marco.Manfroni@eesc.europa.eu" TargetMode="External"/><Relationship Id="rId37" Type="http://schemas.openxmlformats.org/officeDocument/2006/relationships/hyperlink" Target="https://www.eesc.europa.eu/cs/our-work/opinions-information-reports/opinions/screening-foreign-investments-union" TargetMode="External"/><Relationship Id="rId40" Type="http://schemas.openxmlformats.org/officeDocument/2006/relationships/hyperlink" Target="mailto:Aleksandra.SarmanGrilc@eesc.europa.eu"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mailto:Georgios.Meleas@eesc.europa.eu" TargetMode="External"/><Relationship Id="rId28" Type="http://schemas.openxmlformats.org/officeDocument/2006/relationships/hyperlink" Target="https://www.eesc.europa.eu/cs/our-work/opinions-information-reports/opinions/caregivers" TargetMode="External"/><Relationship Id="rId36" Type="http://schemas.openxmlformats.org/officeDocument/2006/relationships/hyperlink" Target="mailto:Martine.Delanoy@eesc.europa.eu" TargetMode="External"/><Relationship Id="rId49" Type="http://schemas.openxmlformats.org/officeDocument/2006/relationships/footer" Target="footer5.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cs/our-work/opinions-information-reports/opinions/proposal-council-recommendation-enhancing-research-security" TargetMode="External"/><Relationship Id="rId44" Type="http://schemas.openxmlformats.org/officeDocument/2006/relationships/hyperlink" Target="https://www.eesc.europa.eu/cs/our-work/opinions-information-reports/opinions/advanced-materials-industrial-leadership-coordinated-plan-member-states" TargetMode="External"/><Relationship Id="rId5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cs/our-work/opinions-information-reports/opinions/no-one-should-be-left-behind-inclusive-and-participatory-cohesion-policy-support-social-economic-and-territorial" TargetMode="External"/><Relationship Id="rId27" Type="http://schemas.openxmlformats.org/officeDocument/2006/relationships/hyperlink" Target="mailto:Gemma.Amran@eesc.europa.eu" TargetMode="External"/><Relationship Id="rId30" Type="http://schemas.openxmlformats.org/officeDocument/2006/relationships/hyperlink" Target="mailto:Sabrina.Borg@eesc.europa.eu" TargetMode="External"/><Relationship Id="rId35" Type="http://schemas.openxmlformats.org/officeDocument/2006/relationships/hyperlink" Target="https://www.eesc.europa.eu/cs/our-work/opinions-information-reports/opinions/how-ensure-social-environmental-and-economic-sustainability-eu-agri-food-sector-future-enlargement" TargetMode="External"/><Relationship Id="rId43" Type="http://schemas.openxmlformats.org/officeDocument/2006/relationships/hyperlink" Target="https://www.eesc.europa.eu/cs/our-work/opinions-information-reports/opinions/low-carbon-and-renewable-fuels-building-capacity-european-industry-decarbonise-aviation-and-maritime-sectors-spirit"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Juri.Soosaar@eesc.europa.eu" TargetMode="External"/><Relationship Id="rId33" Type="http://schemas.openxmlformats.org/officeDocument/2006/relationships/hyperlink" Target="https://www.eesc.europa.eu/cs/our-work/opinions-information-reports/opinions/general-fisheries-commission-mediterranean" TargetMode="External"/><Relationship Id="rId38" Type="http://schemas.openxmlformats.org/officeDocument/2006/relationships/hyperlink" Target="mailto:Marco.Ristori@eesc.europa.eu"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https://www.eesc.europa.eu/cs/our-work/opinions-information-reports/opinions/eu-biotech-and-biomanufacturing-initiative" TargetMode="External"/><Relationship Id="rId54"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F7M6YNZUATRX-789077548-3273</_dlc_DocId>
    <_dlc_DocIdUrl xmlns="59ace41b-6786-4ce3-be71-52c27066c6ef">
      <Url>http://dm/eesc/2024/_layouts/15/DocIdRedir.aspx?ID=F7M6YNZUATRX-789077548-3273</Url>
      <Description>F7M6YNZUATRX-789077548-3273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2024-07-22T12:00:00+00:00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Kupcakova Linda</DisplayName>
        <AccountId>1590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6B9075-54CA-4D28-856D-AAA7EE94A82F}"/>
</file>

<file path=customXml/itemProps2.xml><?xml version="1.0" encoding="utf-8"?>
<ds:datastoreItem xmlns:ds="http://schemas.openxmlformats.org/officeDocument/2006/customXml" ds:itemID="{EC19CF61-6D8B-4DF6-AB49-3F4D6CFEBD31}"/>
</file>

<file path=customXml/itemProps3.xml><?xml version="1.0" encoding="utf-8"?>
<ds:datastoreItem xmlns:ds="http://schemas.openxmlformats.org/officeDocument/2006/customXml" ds:itemID="{2141D350-F8F4-4363-B8EF-AF086B525E86}"/>
</file>

<file path=customXml/itemProps4.xml><?xml version="1.0" encoding="utf-8"?>
<ds:datastoreItem xmlns:ds="http://schemas.openxmlformats.org/officeDocument/2006/customXml" ds:itemID="{2C3EF75C-CBEE-4C61-BB25-29875F08959B}"/>
</file>

<file path=docProps/app.xml><?xml version="1.0" encoding="utf-8"?>
<Properties xmlns="http://schemas.openxmlformats.org/officeDocument/2006/extended-properties" xmlns:vt="http://schemas.openxmlformats.org/officeDocument/2006/docPropsVTypes">
  <Template>Normal.dotm</Template>
  <TotalTime>0</TotalTime>
  <Pages>20</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- 589. plenární zasedání - červenec 2024</dc:title>
  <dc:subject>TCD</dc:subject>
  <dc:creator>Nieddu Emma</dc:creator>
  <cp:keywords>EESC-2024-02113-00-01-TCD-TRA-EN</cp:keywords>
  <dc:description>Rapporteur:  - Original language: EN - Date of document: 22.07.2024 - Date of meeting: 30.18.2024 14:30 - External documents:  - Administrator: MME TAMASAUSKIENE Julija</dc:description>
  <cp:lastModifiedBy>Kupcakova Linda</cp:lastModifiedBy>
  <cp:revision>14</cp:revision>
  <cp:lastPrinted>2023-06-15T08:00:00Z</cp:lastPrinted>
  <dcterms:created xsi:type="dcterms:W3CDTF">2024-07-19T12:37:00Z</dcterms:created>
  <dcterms:modified xsi:type="dcterms:W3CDTF">2024-07-22T08:52:00Z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17/07/2024, 09/04/2024, 27/03/2024, 03/01/2024, 13/11/2023, 25/09/2023, 25/07/2023, 30/06/2023, 23/06/2023, 26/05/2023, 07/03/2023, 11/01/2023, 10/01/2023, 29/03/2022, 04/03/2022, 15/12/2021, 13/09/2021, 03/09/2021, 28/06/2021</vt:lpwstr>
  </property>
  <property fmtid="{D5CDD505-2E9C-101B-9397-08002B2CF9AE}" pid="4" name="Pref_Time">
    <vt:lpwstr>10:55:58,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eesc-2024-02113-00-00-tcd-ori.docx,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0x010100EA97B91038054C99906057A708A1480A00C9C698F2971CE54890F427AFE3EB568F</vt:lpwstr>
  </property>
  <property fmtid="{D5CDD505-2E9C-101B-9397-08002B2CF9AE}" pid="8" name="_dlc_DocIdItemGuid">
    <vt:lpwstr>87626534-f240-4d20-afcc-ba6c614db002</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SV|c2ed69e7-a339-43d7-8f22-d93680a92aa0;LT|a7ff5ce7-6123-4f68-865a-a57c31810414;BG|1a1b3951-7821-4e6a-85f5-5673fc08bd2c;HU|6b229040-c589-4408-b4c1-4285663d20a8;PT|50ccc04a-eadd-42ae-a0cb-acaf45f812ba;ES|e7a6b05b-ae16-40c8-add9-68b64b03aeba;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27;#SL|98a412ae-eb01-49e9-ae3d-585a81724cfc;#24;#ES|e7a6b05b-ae16-40c8-add9-68b64b03aeba;#22;#BG|1a1b3951-7821-4e6a-85f5-5673fc08bd2c;#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43;#CS|72f9705b-0217-4fd3-bea2-cbc7ed80e26e</vt:lpwstr>
  </property>
</Properties>
</file>