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0259" w:rsidR="004D7AC0" w:rsidP="00775FC4" w:rsidRDefault="00907DA8" w14:paraId="785AE44C" w14:textId="41493FE8">
      <w:pPr>
        <w:jc w:val="center"/>
      </w:pPr>
      <w:r w:rsidRPr="004D0259">
        <w:rPr>
          <w:noProof/>
        </w:rPr>
        <w:drawing>
          <wp:inline distT="0" distB="0" distL="0" distR="0" wp14:anchorId="5688278E" wp14:editId="58D367FD">
            <wp:extent cx="1792605" cy="1239520"/>
            <wp:effectExtent l="0" t="0" r="0" b="0"/>
            <wp:docPr id="2" name="Picture 2" title="EESCLogo_BG"/>
            <wp:cNvGraphicFramePr/>
            <a:graphic xmlns:a="http://schemas.openxmlformats.org/drawingml/2006/main">
              <a:graphicData uri="http://schemas.openxmlformats.org/drawingml/2006/picture">
                <pic:pic xmlns:pic="http://schemas.openxmlformats.org/drawingml/2006/picture">
                  <pic:nvPicPr>
                    <pic:cNvPr id="2" name="Picture 2" title="EESCLogo_B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4D0259" w:rsidR="00721342">
        <w:rPr>
          <w:noProof/>
          <w:sz w:val="20"/>
        </w:rPr>
        <mc:AlternateContent>
          <mc:Choice Requires="wps">
            <w:drawing>
              <wp:anchor distT="0" distB="0" distL="114300" distR="114300" simplePos="0" relativeHeight="251657216" behindDoc="1" locked="0" layoutInCell="0" allowOverlap="1" wp14:editId="32258FC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4D0259" w:rsidR="004D7AC0" w:rsidP="00775FC4" w:rsidRDefault="004D7AC0" w14:paraId="51F52D79" w14:textId="77777777"/>
    <w:p w:rsidRPr="004D0259" w:rsidR="004D7AC0" w:rsidP="00775FC4" w:rsidRDefault="00014C93" w14:paraId="45DE4A28" w14:textId="38182825">
      <w:pPr>
        <w:jc w:val="right"/>
      </w:pPr>
      <w:r w:rsidRPr="004D0259">
        <w:t>Брюксел, 16 септември 2024 г.</w:t>
      </w:r>
    </w:p>
    <w:p w:rsidRPr="004D0259" w:rsidR="004D7AC0" w:rsidP="00775FC4" w:rsidRDefault="004D7AC0" w14:paraId="6B250092" w14:textId="77777777"/>
    <w:p w:rsidRPr="004D0259"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4D0259" w:rsidR="001760E9" w:rsidP="00775FC4" w:rsidRDefault="00DA2D88" w14:paraId="3B286D4E" w14:textId="11C8DC33">
            <w:pPr>
              <w:snapToGrid w:val="0"/>
              <w:jc w:val="center"/>
              <w:rPr>
                <w:b/>
                <w:sz w:val="32"/>
              </w:rPr>
            </w:pPr>
            <w:r w:rsidRPr="004D0259">
              <w:rPr>
                <w:b/>
                <w:sz w:val="32"/>
              </w:rPr>
              <w:t>589-а ПЛЕНАРНА СЕСИЯ</w:t>
            </w:r>
          </w:p>
          <w:p w:rsidRPr="004D0259" w:rsidR="001760E9" w:rsidP="00775FC4" w:rsidRDefault="001760E9" w14:paraId="6C87A626" w14:textId="0AE2882C">
            <w:pPr>
              <w:snapToGrid w:val="0"/>
              <w:jc w:val="center"/>
              <w:rPr>
                <w:b/>
                <w:sz w:val="32"/>
              </w:rPr>
            </w:pPr>
          </w:p>
          <w:p w:rsidRPr="004D0259" w:rsidR="001760E9" w:rsidP="00775FC4" w:rsidRDefault="00026AF7" w14:paraId="6CF7229C" w14:textId="767CE9FD">
            <w:pPr>
              <w:snapToGrid w:val="0"/>
              <w:jc w:val="center"/>
              <w:rPr>
                <w:b/>
                <w:sz w:val="32"/>
              </w:rPr>
            </w:pPr>
            <w:r w:rsidRPr="004D0259">
              <w:rPr>
                <w:b/>
                <w:sz w:val="32"/>
              </w:rPr>
              <w:t>10 и 11 юли 2024 г.</w:t>
            </w:r>
          </w:p>
          <w:p w:rsidRPr="004D0259" w:rsidR="001760E9" w:rsidP="00775FC4" w:rsidRDefault="001760E9" w14:paraId="0C44BD01" w14:textId="2F8EBB07">
            <w:pPr>
              <w:snapToGrid w:val="0"/>
              <w:jc w:val="center"/>
              <w:rPr>
                <w:b/>
                <w:sz w:val="32"/>
              </w:rPr>
            </w:pPr>
          </w:p>
          <w:p w:rsidRPr="004D0259" w:rsidR="004D7AC0" w:rsidP="00775FC4" w:rsidRDefault="00CF2F88" w14:paraId="114106CC" w14:textId="11A9DA7B">
            <w:pPr>
              <w:snapToGrid w:val="0"/>
              <w:jc w:val="center"/>
              <w:rPr>
                <w:rFonts w:eastAsia="MS Mincho"/>
                <w:b/>
                <w:sz w:val="32"/>
                <w:szCs w:val="32"/>
              </w:rPr>
            </w:pPr>
            <w:r w:rsidRPr="004D0259">
              <w:rPr>
                <w:b/>
                <w:sz w:val="32"/>
              </w:rPr>
              <w:t>ОБОБЩЕНИЕ НА ПРИЕТИТЕ СТАНОВИЩА, РЕЗОЛЮЦИИ И ИНФОРМАЦИОННИ ДОКЛАДИ / ДОКЛАДИ ЗА ОЦЕНКА</w:t>
            </w:r>
          </w:p>
          <w:p w:rsidRPr="00094B6B" w:rsidR="004D7AC0" w:rsidP="00775FC4" w:rsidRDefault="004D7AC0" w14:paraId="06AE72EA" w14:textId="77777777">
            <w:pPr>
              <w:snapToGrid w:val="0"/>
            </w:pPr>
          </w:p>
        </w:tc>
      </w:tr>
      <w:tr w:rsidRPr="004D0259"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4D0259" w:rsidR="00B16284" w:rsidP="00775FC4" w:rsidRDefault="004D7AC0" w14:paraId="0A87E35B" w14:textId="77777777">
            <w:pPr>
              <w:snapToGrid w:val="0"/>
              <w:jc w:val="center"/>
            </w:pPr>
            <w:r w:rsidRPr="004D0259">
              <w:t>Настоящият документ е достъпен на официалните езици на уебсайта на ЕИСК на следния адрес:</w:t>
            </w:r>
          </w:p>
          <w:p w:rsidRPr="004D0259" w:rsidR="00B16284" w:rsidP="00775FC4" w:rsidRDefault="00B16284" w14:paraId="4F26A4CE" w14:textId="77777777">
            <w:pPr>
              <w:snapToGrid w:val="0"/>
              <w:jc w:val="center"/>
            </w:pPr>
          </w:p>
          <w:p w:rsidRPr="004D0259" w:rsidR="004D7AC0" w:rsidP="00775FC4" w:rsidRDefault="00101ED0" w14:paraId="2A9352A2" w14:textId="0680ADB6">
            <w:pPr>
              <w:snapToGrid w:val="0"/>
              <w:jc w:val="center"/>
            </w:pPr>
            <w:hyperlink w:history="1" r:id="rId13">
              <w:r w:rsidR="00907DA8">
                <w:rPr>
                  <w:rStyle w:val="Hyperlink"/>
                  <w:highlight w:val="yellow"/>
                </w:rPr>
                <w:t>https://www.eesc.europa.eu/bg/our-work/opinions-information-reports/plenary-session-summarie</w:t>
              </w:r>
            </w:hyperlink>
            <w:r w:rsidRPr="004D0259" w:rsidR="00907DA8">
              <w:t>s</w:t>
            </w:r>
          </w:p>
          <w:p w:rsidRPr="004D0259" w:rsidR="004D7AC0" w:rsidP="00775FC4" w:rsidRDefault="004D7AC0" w14:paraId="70D5DBB4" w14:textId="77777777">
            <w:pPr>
              <w:snapToGrid w:val="0"/>
              <w:jc w:val="center"/>
            </w:pPr>
          </w:p>
          <w:p w:rsidRPr="004D0259" w:rsidR="004D7AC0" w:rsidP="00775FC4" w:rsidRDefault="004D7AC0" w14:paraId="575A73D6" w14:textId="77777777">
            <w:pPr>
              <w:snapToGrid w:val="0"/>
              <w:jc w:val="center"/>
              <w:rPr>
                <w:rFonts w:eastAsia="SimSun"/>
              </w:rPr>
            </w:pPr>
          </w:p>
          <w:p w:rsidRPr="004D0259" w:rsidR="00B16284" w:rsidP="00775FC4" w:rsidRDefault="004D7AC0" w14:paraId="1C64BC20" w14:textId="77777777">
            <w:pPr>
              <w:snapToGrid w:val="0"/>
              <w:jc w:val="center"/>
            </w:pPr>
            <w:r w:rsidRPr="004D0259">
              <w:t>Изброените становища могат да бъдат намерени онлайн чрез търсачката на ЕИСК:</w:t>
            </w:r>
          </w:p>
          <w:p w:rsidRPr="004D0259" w:rsidR="00B16284" w:rsidP="00775FC4" w:rsidRDefault="00B16284" w14:paraId="7A5411A5" w14:textId="77777777">
            <w:pPr>
              <w:snapToGrid w:val="0"/>
              <w:jc w:val="center"/>
            </w:pPr>
          </w:p>
          <w:p w:rsidRPr="004D0259" w:rsidR="004D7AC0" w:rsidP="00775FC4" w:rsidRDefault="00101ED0" w14:paraId="441AC4DD" w14:textId="1194D751">
            <w:pPr>
              <w:snapToGrid w:val="0"/>
              <w:jc w:val="center"/>
            </w:pPr>
            <w:hyperlink w:history="1" r:id="rId14">
              <w:r w:rsidRPr="004D0259" w:rsidR="00907DA8">
                <w:rPr>
                  <w:rStyle w:val="Hyperlink"/>
                </w:rPr>
                <w:t>https://dmsearch.eesc.europa.eu/search/opinion</w:t>
              </w:r>
            </w:hyperlink>
          </w:p>
          <w:p w:rsidRPr="004D0259" w:rsidR="004D7AC0" w:rsidP="00775FC4" w:rsidRDefault="004D7AC0" w14:paraId="51FF303F" w14:textId="77777777">
            <w:pPr>
              <w:snapToGrid w:val="0"/>
              <w:jc w:val="center"/>
            </w:pPr>
          </w:p>
        </w:tc>
      </w:tr>
    </w:tbl>
    <w:p w:rsidRPr="004D0259" w:rsidR="004D7AC0" w:rsidP="00775FC4" w:rsidRDefault="004D7AC0" w14:paraId="57C291FC" w14:textId="77777777"/>
    <w:p w:rsidRPr="004D0259" w:rsidR="004D7AC0" w:rsidP="00775FC4" w:rsidRDefault="004D7AC0" w14:paraId="5E675360" w14:textId="77777777"/>
    <w:p w:rsidRPr="004D0259" w:rsidR="005A29D5" w:rsidP="00775FC4" w:rsidRDefault="005A29D5" w14:paraId="3CF67A1E" w14:textId="77777777">
      <w:pPr>
        <w:sectPr w:rsidRPr="004D0259" w:rsidR="005A29D5" w:rsidSect="004D025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00E31152" w:rsidP="00775FC4" w:rsidRDefault="0014322B" w14:paraId="0D3450B1" w14:textId="49C0BE4B">
      <w:pPr>
        <w:keepNext/>
        <w:keepLines/>
        <w:ind w:hanging="284"/>
        <w:jc w:val="left"/>
        <w:rPr>
          <w:rFonts w:asciiTheme="majorHAnsi" w:hAnsiTheme="majorHAnsi"/>
          <w:color w:val="2E74B5" w:themeColor="accent1" w:themeShade="BF"/>
          <w:sz w:val="32"/>
        </w:rPr>
      </w:pPr>
      <w:r>
        <w:rPr>
          <w:rFonts w:asciiTheme="majorHAnsi" w:hAnsiTheme="majorHAnsi"/>
          <w:color w:val="2E74B5" w:themeColor="accent1" w:themeShade="BF"/>
          <w:sz w:val="32"/>
        </w:rPr>
        <w:lastRenderedPageBreak/>
        <w:t>Съдържание</w:t>
      </w:r>
    </w:p>
    <w:p w:rsidRPr="00E31152" w:rsidR="00C424F2" w:rsidP="00775FC4" w:rsidRDefault="00C424F2" w14:paraId="025121E2" w14:textId="3F56C3D4">
      <w:pPr>
        <w:keepNext/>
        <w:keepLines/>
        <w:ind w:hanging="284"/>
        <w:jc w:val="left"/>
        <w:rPr>
          <w:rFonts w:asciiTheme="majorHAnsi" w:hAnsiTheme="majorHAnsi" w:eastAsiaTheme="majorEastAsia" w:cstheme="majorBidi"/>
          <w:color w:val="2E74B5" w:themeColor="accent1" w:themeShade="BF"/>
          <w:sz w:val="32"/>
          <w:szCs w:val="32"/>
        </w:rPr>
      </w:pPr>
    </w:p>
    <w:p w:rsidRPr="009316FB" w:rsidR="009316FB" w:rsidP="004D0259" w:rsidRDefault="00321B66" w14:paraId="7E7D6F4B" w14:textId="2CC02D7A">
      <w:pPr>
        <w:pStyle w:val="TOC1"/>
        <w:rPr>
          <w:rFonts w:asciiTheme="minorHAnsi" w:hAnsiTheme="minorHAnsi" w:eastAsiaTheme="minorEastAsia" w:cstheme="minorBidi"/>
          <w:lang w:val="en-US"/>
        </w:rPr>
      </w:pPr>
      <w:r w:rsidRPr="009316FB">
        <w:rPr>
          <w:bCs/>
        </w:rPr>
        <w:fldChar w:fldCharType="begin"/>
      </w:r>
      <w:r w:rsidRPr="009316FB">
        <w:instrText xml:space="preserve"> TOC \o "1-1" \h \z \u </w:instrText>
      </w:r>
      <w:r w:rsidRPr="009316FB">
        <w:rPr>
          <w:bCs/>
        </w:rPr>
        <w:fldChar w:fldCharType="separate"/>
      </w:r>
      <w:hyperlink w:history="1" w:anchor="_Toc172193011">
        <w:r w:rsidRPr="004D0259" w:rsidR="009316FB">
          <w:rPr>
            <w:rStyle w:val="Hyperlink"/>
          </w:rPr>
          <w:t>1.</w:t>
        </w:r>
        <w:r w:rsidRPr="009316FB" w:rsidR="009316FB">
          <w:rPr>
            <w:rFonts w:asciiTheme="minorHAnsi" w:hAnsiTheme="minorHAnsi" w:eastAsiaTheme="minorEastAsia" w:cstheme="minorBidi"/>
            <w:lang w:val="en-US"/>
          </w:rPr>
          <w:tab/>
        </w:r>
        <w:r w:rsidRPr="004D0259" w:rsidR="009316FB">
          <w:rPr>
            <w:rStyle w:val="Hyperlink"/>
          </w:rPr>
          <w:t>РЕЗОЛЮЦИЯ</w:t>
        </w:r>
        <w:r w:rsidRPr="004D0259" w:rsidR="009316FB">
          <w:rPr>
            <w:webHidden/>
          </w:rPr>
          <w:tab/>
        </w:r>
        <w:r w:rsidRPr="004D0259" w:rsidR="009316FB">
          <w:rPr>
            <w:webHidden/>
          </w:rPr>
          <w:fldChar w:fldCharType="begin"/>
        </w:r>
        <w:r w:rsidRPr="004D0259" w:rsidR="009316FB">
          <w:rPr>
            <w:webHidden/>
          </w:rPr>
          <w:instrText xml:space="preserve"> PAGEREF _Toc172193011 \h </w:instrText>
        </w:r>
        <w:r w:rsidRPr="004D0259" w:rsidR="009316FB">
          <w:rPr>
            <w:webHidden/>
          </w:rPr>
        </w:r>
        <w:r w:rsidRPr="004D0259" w:rsidR="009316FB">
          <w:rPr>
            <w:webHidden/>
          </w:rPr>
          <w:fldChar w:fldCharType="separate"/>
        </w:r>
        <w:r w:rsidR="00A9006A">
          <w:rPr>
            <w:webHidden/>
          </w:rPr>
          <w:t>3</w:t>
        </w:r>
        <w:r w:rsidRPr="004D0259" w:rsidR="009316FB">
          <w:rPr>
            <w:webHidden/>
          </w:rPr>
          <w:fldChar w:fldCharType="end"/>
        </w:r>
      </w:hyperlink>
    </w:p>
    <w:p w:rsidRPr="009316FB" w:rsidR="009316FB" w:rsidP="004D0259" w:rsidRDefault="00101ED0" w14:paraId="2D239B77" w14:textId="263D5E91">
      <w:pPr>
        <w:pStyle w:val="TOC1"/>
        <w:rPr>
          <w:rFonts w:asciiTheme="minorHAnsi" w:hAnsiTheme="minorHAnsi" w:eastAsiaTheme="minorEastAsia" w:cstheme="minorBidi"/>
          <w:lang w:val="en-US"/>
        </w:rPr>
      </w:pPr>
      <w:hyperlink w:history="1" w:anchor="_Toc172193012">
        <w:r w:rsidRPr="004D0259" w:rsidR="009316FB">
          <w:rPr>
            <w:rStyle w:val="Hyperlink"/>
          </w:rPr>
          <w:t>2.</w:t>
        </w:r>
        <w:r w:rsidRPr="009316FB" w:rsidR="009316FB">
          <w:rPr>
            <w:rFonts w:asciiTheme="minorHAnsi" w:hAnsiTheme="minorHAnsi" w:eastAsiaTheme="minorEastAsia" w:cstheme="minorBidi"/>
            <w:lang w:val="en-US"/>
          </w:rPr>
          <w:tab/>
        </w:r>
        <w:r w:rsidRPr="004D0259" w:rsidR="009316FB">
          <w:rPr>
            <w:rStyle w:val="Hyperlink"/>
          </w:rPr>
          <w:t>ИКОНОМИЧЕСКИ И ПАРИЧЕН СЪЮЗ, ИКОНОМИЧЕСКО И СОЦИАЛНО СБЛИЖАВАНЕ</w:t>
        </w:r>
        <w:r w:rsidRPr="004D0259" w:rsidR="009316FB">
          <w:rPr>
            <w:webHidden/>
          </w:rPr>
          <w:tab/>
        </w:r>
        <w:r w:rsidRPr="004D0259" w:rsidR="009316FB">
          <w:rPr>
            <w:webHidden/>
          </w:rPr>
          <w:fldChar w:fldCharType="begin"/>
        </w:r>
        <w:r w:rsidRPr="004D0259" w:rsidR="009316FB">
          <w:rPr>
            <w:webHidden/>
          </w:rPr>
          <w:instrText xml:space="preserve"> PAGEREF _Toc172193012 \h </w:instrText>
        </w:r>
        <w:r w:rsidRPr="004D0259" w:rsidR="009316FB">
          <w:rPr>
            <w:webHidden/>
          </w:rPr>
        </w:r>
        <w:r w:rsidRPr="004D0259" w:rsidR="009316FB">
          <w:rPr>
            <w:webHidden/>
          </w:rPr>
          <w:fldChar w:fldCharType="separate"/>
        </w:r>
        <w:r w:rsidR="00A9006A">
          <w:rPr>
            <w:webHidden/>
          </w:rPr>
          <w:t>4</w:t>
        </w:r>
        <w:r w:rsidRPr="004D0259" w:rsidR="009316FB">
          <w:rPr>
            <w:webHidden/>
          </w:rPr>
          <w:fldChar w:fldCharType="end"/>
        </w:r>
      </w:hyperlink>
    </w:p>
    <w:p w:rsidRPr="009316FB" w:rsidR="009316FB" w:rsidP="004D0259" w:rsidRDefault="00101ED0" w14:paraId="4A0FEA96" w14:textId="0C3DAE29">
      <w:pPr>
        <w:pStyle w:val="TOC1"/>
        <w:rPr>
          <w:rFonts w:asciiTheme="minorHAnsi" w:hAnsiTheme="minorHAnsi" w:eastAsiaTheme="minorEastAsia" w:cstheme="minorBidi"/>
          <w:lang w:val="en-US"/>
        </w:rPr>
      </w:pPr>
      <w:hyperlink w:history="1" w:anchor="_Toc172193013">
        <w:r w:rsidRPr="004D0259" w:rsidR="009316FB">
          <w:rPr>
            <w:rStyle w:val="Hyperlink"/>
          </w:rPr>
          <w:t>3.</w:t>
        </w:r>
        <w:r w:rsidRPr="009316FB" w:rsidR="009316FB">
          <w:rPr>
            <w:rFonts w:asciiTheme="minorHAnsi" w:hAnsiTheme="minorHAnsi" w:eastAsiaTheme="minorEastAsia" w:cstheme="minorBidi"/>
            <w:lang w:val="en-US"/>
          </w:rPr>
          <w:tab/>
        </w:r>
        <w:r w:rsidRPr="004D0259" w:rsidR="009316FB">
          <w:rPr>
            <w:rStyle w:val="Hyperlink"/>
          </w:rPr>
          <w:t>ЗАЕТОСТ, СОЦИАЛНИ ВЪПРОСИ И ГРАЖДАНСТВО</w:t>
        </w:r>
        <w:r w:rsidRPr="004D0259" w:rsidR="009316FB">
          <w:rPr>
            <w:webHidden/>
          </w:rPr>
          <w:tab/>
        </w:r>
        <w:r w:rsidRPr="004D0259" w:rsidR="009316FB">
          <w:rPr>
            <w:webHidden/>
          </w:rPr>
          <w:fldChar w:fldCharType="begin"/>
        </w:r>
        <w:r w:rsidRPr="004D0259" w:rsidR="009316FB">
          <w:rPr>
            <w:webHidden/>
          </w:rPr>
          <w:instrText xml:space="preserve"> PAGEREF _Toc172193013 \h </w:instrText>
        </w:r>
        <w:r w:rsidRPr="004D0259" w:rsidR="009316FB">
          <w:rPr>
            <w:webHidden/>
          </w:rPr>
        </w:r>
        <w:r w:rsidRPr="004D0259" w:rsidR="009316FB">
          <w:rPr>
            <w:webHidden/>
          </w:rPr>
          <w:fldChar w:fldCharType="separate"/>
        </w:r>
        <w:r w:rsidR="00A9006A">
          <w:rPr>
            <w:webHidden/>
          </w:rPr>
          <w:t>5</w:t>
        </w:r>
        <w:r w:rsidRPr="004D0259" w:rsidR="009316FB">
          <w:rPr>
            <w:webHidden/>
          </w:rPr>
          <w:fldChar w:fldCharType="end"/>
        </w:r>
      </w:hyperlink>
    </w:p>
    <w:p w:rsidRPr="009316FB" w:rsidR="009316FB" w:rsidP="004D0259" w:rsidRDefault="00101ED0" w14:paraId="5FA76BD6" w14:textId="33015A0A">
      <w:pPr>
        <w:pStyle w:val="TOC1"/>
        <w:rPr>
          <w:rFonts w:asciiTheme="minorHAnsi" w:hAnsiTheme="minorHAnsi" w:eastAsiaTheme="minorEastAsia" w:cstheme="minorBidi"/>
          <w:lang w:val="en-US"/>
        </w:rPr>
      </w:pPr>
      <w:hyperlink w:history="1" w:anchor="_Toc172193014">
        <w:r w:rsidRPr="004D0259" w:rsidR="009316FB">
          <w:rPr>
            <w:rStyle w:val="Hyperlink"/>
          </w:rPr>
          <w:t>4.</w:t>
        </w:r>
        <w:r w:rsidRPr="009316FB" w:rsidR="009316FB">
          <w:rPr>
            <w:rFonts w:asciiTheme="minorHAnsi" w:hAnsiTheme="minorHAnsi" w:eastAsiaTheme="minorEastAsia" w:cstheme="minorBidi"/>
            <w:lang w:val="en-US"/>
          </w:rPr>
          <w:tab/>
        </w:r>
        <w:r w:rsidRPr="004D0259" w:rsidR="009316FB">
          <w:rPr>
            <w:rStyle w:val="Hyperlink"/>
          </w:rPr>
          <w:t>ЕДИНЕН ПАЗАР, ПРОИЗВОДСТВО И ПОТРЕБЛЕНИЕ</w:t>
        </w:r>
        <w:r w:rsidRPr="004D0259" w:rsidR="009316FB">
          <w:rPr>
            <w:webHidden/>
          </w:rPr>
          <w:tab/>
        </w:r>
        <w:r w:rsidRPr="004D0259" w:rsidR="009316FB">
          <w:rPr>
            <w:webHidden/>
          </w:rPr>
          <w:fldChar w:fldCharType="begin"/>
        </w:r>
        <w:r w:rsidRPr="004D0259" w:rsidR="009316FB">
          <w:rPr>
            <w:webHidden/>
          </w:rPr>
          <w:instrText xml:space="preserve"> PAGEREF _Toc172193014 \h </w:instrText>
        </w:r>
        <w:r w:rsidRPr="004D0259" w:rsidR="009316FB">
          <w:rPr>
            <w:webHidden/>
          </w:rPr>
        </w:r>
        <w:r w:rsidRPr="004D0259" w:rsidR="009316FB">
          <w:rPr>
            <w:webHidden/>
          </w:rPr>
          <w:fldChar w:fldCharType="separate"/>
        </w:r>
        <w:r w:rsidR="00A9006A">
          <w:rPr>
            <w:webHidden/>
          </w:rPr>
          <w:t>9</w:t>
        </w:r>
        <w:r w:rsidRPr="004D0259" w:rsidR="009316FB">
          <w:rPr>
            <w:webHidden/>
          </w:rPr>
          <w:fldChar w:fldCharType="end"/>
        </w:r>
      </w:hyperlink>
    </w:p>
    <w:p w:rsidRPr="009316FB" w:rsidR="009316FB" w:rsidP="004D0259" w:rsidRDefault="00101ED0" w14:paraId="34E0C76F" w14:textId="42DEC930">
      <w:pPr>
        <w:pStyle w:val="TOC1"/>
        <w:rPr>
          <w:rFonts w:asciiTheme="minorHAnsi" w:hAnsiTheme="minorHAnsi" w:eastAsiaTheme="minorEastAsia" w:cstheme="minorBidi"/>
          <w:lang w:val="en-US"/>
        </w:rPr>
      </w:pPr>
      <w:hyperlink w:history="1" w:anchor="_Toc172193015">
        <w:r w:rsidRPr="004D0259" w:rsidR="009316FB">
          <w:rPr>
            <w:rStyle w:val="Hyperlink"/>
          </w:rPr>
          <w:t>5.</w:t>
        </w:r>
        <w:r w:rsidRPr="009316FB" w:rsidR="009316FB">
          <w:rPr>
            <w:rFonts w:asciiTheme="minorHAnsi" w:hAnsiTheme="minorHAnsi" w:eastAsiaTheme="minorEastAsia" w:cstheme="minorBidi"/>
            <w:lang w:val="en-US"/>
          </w:rPr>
          <w:tab/>
        </w:r>
        <w:r w:rsidRPr="004D0259" w:rsidR="009316FB">
          <w:rPr>
            <w:rStyle w:val="Hyperlink"/>
          </w:rPr>
          <w:t>ЗЕМЕДЕЛИЕ, РАЗВИТИЕ НА СЕЛСКИТЕ РАЙОНИ, ОКОЛНА СРЕДА</w:t>
        </w:r>
        <w:r w:rsidRPr="004D0259" w:rsidR="009316FB">
          <w:rPr>
            <w:webHidden/>
          </w:rPr>
          <w:tab/>
        </w:r>
        <w:r w:rsidRPr="004D0259" w:rsidR="009316FB">
          <w:rPr>
            <w:webHidden/>
          </w:rPr>
          <w:fldChar w:fldCharType="begin"/>
        </w:r>
        <w:r w:rsidRPr="004D0259" w:rsidR="009316FB">
          <w:rPr>
            <w:webHidden/>
          </w:rPr>
          <w:instrText xml:space="preserve"> PAGEREF _Toc172193015 \h </w:instrText>
        </w:r>
        <w:r w:rsidRPr="004D0259" w:rsidR="009316FB">
          <w:rPr>
            <w:webHidden/>
          </w:rPr>
        </w:r>
        <w:r w:rsidRPr="004D0259" w:rsidR="009316FB">
          <w:rPr>
            <w:webHidden/>
          </w:rPr>
          <w:fldChar w:fldCharType="separate"/>
        </w:r>
        <w:r w:rsidR="00A9006A">
          <w:rPr>
            <w:webHidden/>
          </w:rPr>
          <w:t>11</w:t>
        </w:r>
        <w:r w:rsidRPr="004D0259" w:rsidR="009316FB">
          <w:rPr>
            <w:webHidden/>
          </w:rPr>
          <w:fldChar w:fldCharType="end"/>
        </w:r>
      </w:hyperlink>
    </w:p>
    <w:p w:rsidRPr="009316FB" w:rsidR="009316FB" w:rsidP="004D0259" w:rsidRDefault="00101ED0" w14:paraId="2E4FCD3C" w14:textId="5E29DBC4">
      <w:pPr>
        <w:pStyle w:val="TOC1"/>
        <w:rPr>
          <w:rFonts w:asciiTheme="minorHAnsi" w:hAnsiTheme="minorHAnsi" w:eastAsiaTheme="minorEastAsia" w:cstheme="minorBidi"/>
          <w:lang w:val="en-US"/>
        </w:rPr>
      </w:pPr>
      <w:hyperlink w:history="1" w:anchor="_Toc172193016">
        <w:r w:rsidRPr="004D0259" w:rsidR="009316FB">
          <w:rPr>
            <w:rStyle w:val="Hyperlink"/>
          </w:rPr>
          <w:t>6.</w:t>
        </w:r>
        <w:r w:rsidRPr="009316FB" w:rsidR="009316FB">
          <w:rPr>
            <w:rFonts w:asciiTheme="minorHAnsi" w:hAnsiTheme="minorHAnsi" w:eastAsiaTheme="minorEastAsia" w:cstheme="minorBidi"/>
            <w:lang w:val="en-US"/>
          </w:rPr>
          <w:tab/>
        </w:r>
        <w:r w:rsidRPr="004D0259" w:rsidR="009316FB">
          <w:rPr>
            <w:rStyle w:val="Hyperlink"/>
          </w:rPr>
          <w:t>ВЪНШНИ ОТНОШЕНИЯ</w:t>
        </w:r>
        <w:r w:rsidRPr="004D0259" w:rsidR="009316FB">
          <w:rPr>
            <w:webHidden/>
          </w:rPr>
          <w:tab/>
        </w:r>
        <w:r w:rsidRPr="004D0259" w:rsidR="009316FB">
          <w:rPr>
            <w:webHidden/>
          </w:rPr>
          <w:fldChar w:fldCharType="begin"/>
        </w:r>
        <w:r w:rsidRPr="004D0259" w:rsidR="009316FB">
          <w:rPr>
            <w:webHidden/>
          </w:rPr>
          <w:instrText xml:space="preserve"> PAGEREF _Toc172193016 \h </w:instrText>
        </w:r>
        <w:r w:rsidRPr="004D0259" w:rsidR="009316FB">
          <w:rPr>
            <w:webHidden/>
          </w:rPr>
        </w:r>
        <w:r w:rsidRPr="004D0259" w:rsidR="009316FB">
          <w:rPr>
            <w:webHidden/>
          </w:rPr>
          <w:fldChar w:fldCharType="separate"/>
        </w:r>
        <w:r w:rsidR="00A9006A">
          <w:rPr>
            <w:webHidden/>
          </w:rPr>
          <w:t>13</w:t>
        </w:r>
        <w:r w:rsidRPr="004D0259" w:rsidR="009316FB">
          <w:rPr>
            <w:webHidden/>
          </w:rPr>
          <w:fldChar w:fldCharType="end"/>
        </w:r>
      </w:hyperlink>
    </w:p>
    <w:p w:rsidRPr="009316FB" w:rsidR="009316FB" w:rsidP="004D0259" w:rsidRDefault="00101ED0" w14:paraId="46813D74" w14:textId="78056410">
      <w:pPr>
        <w:pStyle w:val="TOC1"/>
        <w:rPr>
          <w:rFonts w:asciiTheme="minorHAnsi" w:hAnsiTheme="minorHAnsi" w:eastAsiaTheme="minorEastAsia" w:cstheme="minorBidi"/>
          <w:lang w:val="en-US"/>
        </w:rPr>
      </w:pPr>
      <w:hyperlink w:history="1" w:anchor="_Toc172193017">
        <w:r w:rsidRPr="004D0259" w:rsidR="009316FB">
          <w:rPr>
            <w:rStyle w:val="Hyperlink"/>
          </w:rPr>
          <w:t>7.</w:t>
        </w:r>
        <w:r w:rsidRPr="009316FB" w:rsidR="009316FB">
          <w:rPr>
            <w:rFonts w:asciiTheme="minorHAnsi" w:hAnsiTheme="minorHAnsi" w:eastAsiaTheme="minorEastAsia" w:cstheme="minorBidi"/>
            <w:lang w:val="en-US"/>
          </w:rPr>
          <w:tab/>
        </w:r>
        <w:r w:rsidRPr="004D0259" w:rsidR="009316FB">
          <w:rPr>
            <w:rStyle w:val="Hyperlink"/>
          </w:rPr>
          <w:t>ТРАНСПОРТ, ЕНЕРГЕТИКА, ИНФРАСТРУКТУРИ, ИНФОРМАЦИОННО ОБЩЕСТВО</w:t>
        </w:r>
        <w:r w:rsidRPr="004D0259" w:rsidR="009316FB">
          <w:rPr>
            <w:webHidden/>
          </w:rPr>
          <w:tab/>
        </w:r>
        <w:r w:rsidRPr="004D0259" w:rsidR="009316FB">
          <w:rPr>
            <w:webHidden/>
          </w:rPr>
          <w:fldChar w:fldCharType="begin"/>
        </w:r>
        <w:r w:rsidRPr="004D0259" w:rsidR="009316FB">
          <w:rPr>
            <w:webHidden/>
          </w:rPr>
          <w:instrText xml:space="preserve"> PAGEREF _Toc172193017 \h </w:instrText>
        </w:r>
        <w:r w:rsidRPr="004D0259" w:rsidR="009316FB">
          <w:rPr>
            <w:webHidden/>
          </w:rPr>
        </w:r>
        <w:r w:rsidRPr="004D0259" w:rsidR="009316FB">
          <w:rPr>
            <w:webHidden/>
          </w:rPr>
          <w:fldChar w:fldCharType="separate"/>
        </w:r>
        <w:r w:rsidR="00A9006A">
          <w:rPr>
            <w:webHidden/>
          </w:rPr>
          <w:t>14</w:t>
        </w:r>
        <w:r w:rsidRPr="004D0259" w:rsidR="009316FB">
          <w:rPr>
            <w:webHidden/>
          </w:rPr>
          <w:fldChar w:fldCharType="end"/>
        </w:r>
      </w:hyperlink>
    </w:p>
    <w:p w:rsidRPr="009316FB" w:rsidR="009316FB" w:rsidP="004D0259" w:rsidRDefault="00101ED0" w14:paraId="671F6FFE" w14:textId="09C81500">
      <w:pPr>
        <w:pStyle w:val="TOC1"/>
        <w:rPr>
          <w:rFonts w:asciiTheme="minorHAnsi" w:hAnsiTheme="minorHAnsi" w:eastAsiaTheme="minorEastAsia" w:cstheme="minorBidi"/>
          <w:lang w:val="en-US"/>
        </w:rPr>
      </w:pPr>
      <w:hyperlink w:history="1" w:anchor="_Toc172193018">
        <w:r w:rsidRPr="004D0259" w:rsidR="009316FB">
          <w:rPr>
            <w:rStyle w:val="Hyperlink"/>
          </w:rPr>
          <w:t xml:space="preserve">8. </w:t>
        </w:r>
        <w:r w:rsidRPr="009316FB" w:rsidR="009316FB">
          <w:rPr>
            <w:rFonts w:asciiTheme="minorHAnsi" w:hAnsiTheme="minorHAnsi" w:eastAsiaTheme="minorEastAsia" w:cstheme="minorBidi"/>
            <w:lang w:val="en-US"/>
          </w:rPr>
          <w:tab/>
        </w:r>
        <w:r w:rsidRPr="004D0259" w:rsidR="009316FB">
          <w:rPr>
            <w:rStyle w:val="Hyperlink"/>
          </w:rPr>
          <w:t>КОНСУЛТАТИВНА КОМИСИЯ ПО ИНДУСТРИАЛНИ ПРОМЕНИ</w:t>
        </w:r>
        <w:r w:rsidRPr="004D0259" w:rsidR="009316FB">
          <w:rPr>
            <w:webHidden/>
          </w:rPr>
          <w:tab/>
        </w:r>
        <w:r w:rsidRPr="004D0259" w:rsidR="009316FB">
          <w:rPr>
            <w:webHidden/>
          </w:rPr>
          <w:fldChar w:fldCharType="begin"/>
        </w:r>
        <w:r w:rsidRPr="004D0259" w:rsidR="009316FB">
          <w:rPr>
            <w:webHidden/>
          </w:rPr>
          <w:instrText xml:space="preserve"> PAGEREF _Toc172193018 \h </w:instrText>
        </w:r>
        <w:r w:rsidRPr="004D0259" w:rsidR="009316FB">
          <w:rPr>
            <w:webHidden/>
          </w:rPr>
        </w:r>
        <w:r w:rsidRPr="004D0259" w:rsidR="009316FB">
          <w:rPr>
            <w:webHidden/>
          </w:rPr>
          <w:fldChar w:fldCharType="separate"/>
        </w:r>
        <w:r w:rsidR="00A9006A">
          <w:rPr>
            <w:webHidden/>
          </w:rPr>
          <w:t>15</w:t>
        </w:r>
        <w:r w:rsidRPr="004D0259" w:rsidR="009316FB">
          <w:rPr>
            <w:webHidden/>
          </w:rPr>
          <w:fldChar w:fldCharType="end"/>
        </w:r>
      </w:hyperlink>
    </w:p>
    <w:p w:rsidRPr="004D0259" w:rsidR="00321B66" w:rsidP="009316FB" w:rsidRDefault="00321B66" w14:paraId="17C45A36" w14:textId="3C184FD8">
      <w:pPr>
        <w:spacing w:after="160" w:line="480" w:lineRule="auto"/>
        <w:jc w:val="left"/>
      </w:pPr>
      <w:r w:rsidRPr="009316FB">
        <w:fldChar w:fldCharType="end"/>
      </w:r>
      <w:r w:rsidRPr="004D0259">
        <w:br w:type="page"/>
      </w:r>
    </w:p>
    <w:p w:rsidRPr="004D0259" w:rsidR="00C86ABD" w:rsidP="00810736" w:rsidRDefault="00C86ABD" w14:paraId="6C806385" w14:textId="0970C9A4">
      <w:pPr>
        <w:pStyle w:val="Heading1"/>
        <w:ind w:left="709" w:hanging="720"/>
        <w:rPr>
          <w:b/>
          <w:bCs/>
        </w:rPr>
      </w:pPr>
      <w:bookmarkStart w:name="_Toc172193011" w:id="0"/>
      <w:r w:rsidRPr="004D0259">
        <w:rPr>
          <w:b/>
        </w:rPr>
        <w:lastRenderedPageBreak/>
        <w:t>РЕЗОЛЮЦИЯ</w:t>
      </w:r>
      <w:bookmarkEnd w:id="0"/>
      <w:r w:rsidRPr="004D0259">
        <w:rPr>
          <w:b/>
        </w:rPr>
        <w:t xml:space="preserve"> </w:t>
      </w:r>
    </w:p>
    <w:p w:rsidRPr="004D0259" w:rsidR="004516BD" w:rsidP="004516BD" w:rsidRDefault="004516BD" w14:paraId="46F44DDA" w14:textId="77777777"/>
    <w:p w:rsidRPr="004D0259" w:rsidR="00A773FA" w:rsidP="004C40FF" w:rsidRDefault="00101ED0" w14:paraId="53AAF1F5" w14:textId="69A861C9">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1">
        <w:r w:rsidRPr="004D0259" w:rsidR="00DC054C">
          <w:rPr>
            <w:b/>
            <w:i/>
            <w:color w:val="0000FF"/>
            <w:sz w:val="28"/>
            <w:u w:val="single"/>
          </w:rPr>
          <w:t>Никой да не се пренебрегва!</w:t>
        </w:r>
      </w:hyperlink>
      <w:hyperlink w:history="1" r:id="rId22">
        <w:r w:rsidRPr="004D0259" w:rsidR="00DC054C">
          <w:rPr>
            <w:b/>
            <w:i/>
            <w:color w:val="0000FF"/>
            <w:sz w:val="28"/>
            <w:u w:val="single"/>
          </w:rPr>
          <w:t xml:space="preserve"> За приобщаваща и основана на участието политика на сближаване в подкрепа на социалното, икономическото и териториалното сближаване</w:t>
        </w:r>
      </w:hyperlink>
    </w:p>
    <w:p w:rsidRPr="004D0259"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5"/>
        <w:gridCol w:w="6522"/>
      </w:tblGrid>
      <w:tr w:rsidRPr="00A773FA" w:rsidR="00A773FA" w:rsidTr="00626A45" w14:paraId="26A7967B" w14:textId="77777777">
        <w:tc>
          <w:tcPr>
            <w:tcW w:w="1335" w:type="pct"/>
          </w:tcPr>
          <w:p w:rsidRPr="00A773FA" w:rsidR="00A773FA" w:rsidP="004C40FF"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sidRPr="004D0259">
              <w:rPr>
                <w:b/>
              </w:rPr>
              <w:t>Докладчик</w:t>
            </w:r>
          </w:p>
        </w:tc>
        <w:tc>
          <w:tcPr>
            <w:tcW w:w="3665" w:type="pct"/>
          </w:tcPr>
          <w:p w:rsidRPr="00A773FA" w:rsidR="00A773FA" w:rsidP="004C40FF" w:rsidRDefault="00A773FA" w14:paraId="6A6E5B0B" w14:textId="77777777">
            <w:pPr>
              <w:overflowPunct w:val="0"/>
              <w:autoSpaceDE w:val="0"/>
              <w:autoSpaceDN w:val="0"/>
              <w:adjustRightInd w:val="0"/>
              <w:spacing w:line="240" w:lineRule="auto"/>
              <w:textAlignment w:val="baseline"/>
            </w:pPr>
            <w:r w:rsidRPr="004D0259">
              <w:t>Ioannis VARDAKASTANIS (група „Организации на гражданското общество“ — EL)</w:t>
            </w:r>
          </w:p>
        </w:tc>
      </w:tr>
      <w:tr w:rsidRPr="00A773FA" w:rsidR="00A773FA" w:rsidTr="001F4854" w14:paraId="138FE1BF" w14:textId="77777777">
        <w:tc>
          <w:tcPr>
            <w:tcW w:w="5000" w:type="pct"/>
            <w:gridSpan w:val="2"/>
          </w:tcPr>
          <w:p w:rsidRPr="00A773FA" w:rsidR="00A773FA" w:rsidP="004C40FF"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4D0259" w:rsidR="00A773FA" w:rsidTr="00626A45" w14:paraId="77930193" w14:textId="77777777">
        <w:tc>
          <w:tcPr>
            <w:tcW w:w="1335" w:type="pct"/>
          </w:tcPr>
          <w:p w:rsidRPr="00A773FA" w:rsidR="00A773FA" w:rsidP="004C40FF"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sidRPr="004D0259">
              <w:rPr>
                <w:b/>
              </w:rPr>
              <w:t>Отправни документи</w:t>
            </w:r>
          </w:p>
        </w:tc>
        <w:tc>
          <w:tcPr>
            <w:tcW w:w="3665" w:type="pct"/>
          </w:tcPr>
          <w:p w:rsidRPr="004D0259" w:rsidR="00A773FA" w:rsidP="004C40FF" w:rsidRDefault="00A773FA" w14:paraId="136DD50D" w14:textId="77777777">
            <w:pPr>
              <w:tabs>
                <w:tab w:val="center" w:pos="284"/>
              </w:tabs>
              <w:overflowPunct w:val="0"/>
              <w:autoSpaceDE w:val="0"/>
              <w:autoSpaceDN w:val="0"/>
              <w:adjustRightInd w:val="0"/>
              <w:spacing w:line="240" w:lineRule="auto"/>
              <w:ind w:left="266" w:hanging="266"/>
              <w:textAlignment w:val="baseline"/>
            </w:pPr>
            <w:r w:rsidRPr="004D0259">
              <w:t>EESC-2024-02528-00-00-RES</w:t>
            </w:r>
          </w:p>
        </w:tc>
      </w:tr>
    </w:tbl>
    <w:p w:rsidRPr="004D0259" w:rsidR="00A773FA" w:rsidP="00A773FA" w:rsidRDefault="00A773FA" w14:paraId="5DB06AE6" w14:textId="478CFC5C">
      <w:pPr>
        <w:overflowPunct w:val="0"/>
        <w:autoSpaceDE w:val="0"/>
        <w:autoSpaceDN w:val="0"/>
        <w:adjustRightInd w:val="0"/>
        <w:textAlignment w:val="baseline"/>
        <w:rPr>
          <w:bCs/>
          <w:iCs/>
        </w:rPr>
      </w:pPr>
    </w:p>
    <w:p w:rsidRPr="004D0259" w:rsidR="00EB25FE" w:rsidP="00EB25FE" w:rsidRDefault="00EB25FE" w14:paraId="30354931"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EB25FE" w:rsidP="00A773FA" w:rsidRDefault="00EB25FE" w14:paraId="06BA32A3" w14:textId="77777777">
      <w:pPr>
        <w:overflowPunct w:val="0"/>
        <w:autoSpaceDE w:val="0"/>
        <w:autoSpaceDN w:val="0"/>
        <w:adjustRightInd w:val="0"/>
        <w:textAlignment w:val="baseline"/>
        <w:rPr>
          <w:b/>
          <w:iCs/>
        </w:rPr>
      </w:pPr>
    </w:p>
    <w:p w:rsidRPr="004D0259" w:rsidR="00A773FA" w:rsidP="00A773FA" w:rsidRDefault="00A773FA" w14:paraId="5401D531" w14:textId="25CF0778">
      <w:pPr>
        <w:overflowPunct w:val="0"/>
        <w:autoSpaceDE w:val="0"/>
        <w:autoSpaceDN w:val="0"/>
        <w:adjustRightInd w:val="0"/>
        <w:spacing w:before="120" w:after="120"/>
        <w:textAlignment w:val="baseline"/>
        <w:rPr>
          <w:bCs/>
          <w:iCs/>
        </w:rPr>
      </w:pPr>
      <w:r w:rsidRPr="004D0259">
        <w:t>ЕИСК:</w:t>
      </w:r>
    </w:p>
    <w:p w:rsidRPr="004D0259" w:rsidR="00A773FA" w:rsidP="004C40FF"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призовава държавите — членки на Европейския съюз, и неговите лидери, европейските институции и гражданите на ЕС да гарантират и защитават икономическото, социалното и териториалното сближаване на ЕС в съответствие с член 174 от ДФЕС;</w:t>
      </w:r>
    </w:p>
    <w:p w:rsidRPr="004D0259" w:rsidR="00A773FA" w:rsidP="004C40FF"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 xml:space="preserve">подчертава, че основният принцип „да не се пренебрегва никой“ в политиката на сближаване е все така непоклатим и действащ и че партньорите от гражданското общество са готови да продължат да работят в името на този принцип с помощта на стабилна инвестиционна политика на в ЕС; </w:t>
      </w:r>
    </w:p>
    <w:p w:rsidRPr="004D0259" w:rsidR="00A773FA" w:rsidP="004C40FF"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подчертава, че неравенството във възможностите може да навреди на растежа и конкурентоспособността в дългосрочен план на регионално, национално и европейско равнище. Поради това е необходимо политиката на сближаване да стане по-диверсифицирана и по-гъвкава, но същевременно надеждна, стабилна и ясна, за да може да обръща повече внимание на хората, особено на най-уязвимите, и да се справя по-добре с проблема за неравенството във възможностите, с който се сблъскват мнозина;</w:t>
      </w:r>
    </w:p>
    <w:p w:rsidRPr="004D0259" w:rsidR="00A773FA" w:rsidP="004C40FF"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 xml:space="preserve">се отнася критично към премахването на ролята на член на Комисията, чийто основен ресор е политиката на сближаване; </w:t>
      </w:r>
    </w:p>
    <w:p w:rsidRPr="004D0259" w:rsidR="00A773FA" w:rsidP="004C40FF"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се противопоставя на ограничаването на политиката на сближаване и преобразуването ѝ в инструмент за справяне с извънредни кризи;</w:t>
      </w:r>
    </w:p>
    <w:p w:rsidRPr="004D0259" w:rsidR="00A773FA" w:rsidP="004C40FF"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 xml:space="preserve">отхвърля идеята за превръщане на политиката на сближаване в инструмент, подобен на Механизма за възстановяване и устойчивост (МВУ), със слабо или липсващо структурно участие на заинтересованите страни, споделено управление и многостепенно управление; </w:t>
      </w:r>
    </w:p>
    <w:p w:rsidRPr="004D0259" w:rsidR="00A773FA" w:rsidP="004C40FF"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подкрепя принципа на партньорство и ясните правила за включването на гражданското общество в подбора, управлението и мониторинга на финансирани от ЕС операции;</w:t>
      </w:r>
    </w:p>
    <w:p w:rsidRPr="004D0259" w:rsidR="00A773FA" w:rsidP="004C40FF"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отправя искане за недвусмислена формулировка относно участието на гражданското общество в следващия Регламент за общоприложимите разпоредби (РОР), който урежда използването на кохезионните фондове, както и на друго финансиране от ЕС след 2027 г., по същия начин, както за периода 2021—2027 г.;</w:t>
      </w:r>
    </w:p>
    <w:p w:rsidRPr="004D0259" w:rsidR="00A773FA" w:rsidP="004C40FF"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призовава за ориентирана към местните условия и хората политика на сближаване;</w:t>
      </w:r>
    </w:p>
    <w:p w:rsidRPr="004D0259" w:rsidR="00A773FA" w:rsidP="004C40FF"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 xml:space="preserve">призовава да се даде нов тласък на политиката на сближаване. Счита, че е нужно да се разшири, осъвремени или преразгледа наборът от инструменти и подходи, за да бъде изградена стабилна, ефикасна, гъвкава и обновена политика на сближаване, която да не се ограничава само с инвестициите, а да наблегне в по-голяма степен на капацитета, </w:t>
      </w:r>
      <w:r w:rsidRPr="004D0259">
        <w:lastRenderedPageBreak/>
        <w:t>междурегионалните връзки, ефикасността на резултатите и възможностите за бенефициерите, надхвърлящи самите инвестиции;</w:t>
      </w:r>
    </w:p>
    <w:p w:rsidRPr="004D0259" w:rsidR="00A773FA" w:rsidP="004C40FF"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rsidRPr="004D0259">
        <w:t>ще направи всичко необходимо, за да защити основните принципи на политиката на сближаване и да гарантира, че тя остава свързващото звено, което запазва единството на Европа.</w:t>
      </w:r>
    </w:p>
    <w:p w:rsidRPr="004D0259" w:rsidR="001711D7" w:rsidP="004C40FF"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A773FA" w:rsidR="00A773FA" w:rsidTr="00626A45" w14:paraId="1E00A390" w14:textId="77777777">
        <w:tc>
          <w:tcPr>
            <w:tcW w:w="1809"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sidRPr="004D0259">
              <w:rPr>
                <w:b/>
                <w:i/>
              </w:rPr>
              <w:t>За контакт</w:t>
            </w:r>
          </w:p>
        </w:tc>
        <w:tc>
          <w:tcPr>
            <w:tcW w:w="5279"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sidRPr="004D0259">
              <w:rPr>
                <w:i/>
              </w:rPr>
              <w:t>Georgios Meleas</w:t>
            </w:r>
          </w:p>
        </w:tc>
      </w:tr>
      <w:tr w:rsidRPr="00A773FA" w:rsidR="00A773FA" w:rsidTr="00626A45" w14:paraId="27B092BE" w14:textId="77777777">
        <w:tc>
          <w:tcPr>
            <w:tcW w:w="1809"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sidRPr="004D0259">
              <w:rPr>
                <w:i/>
              </w:rPr>
              <w:t>Тел</w:t>
            </w:r>
            <w:r w:rsidRPr="004D0259">
              <w:rPr>
                <w:i/>
                <w:iCs/>
              </w:rPr>
              <w:t>.</w:t>
            </w:r>
          </w:p>
        </w:tc>
        <w:tc>
          <w:tcPr>
            <w:tcW w:w="5279"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sidRPr="004D0259">
              <w:rPr>
                <w:i/>
              </w:rPr>
              <w:t>+32 25469795</w:t>
            </w:r>
          </w:p>
        </w:tc>
      </w:tr>
      <w:tr w:rsidRPr="004D0259" w:rsidR="00A773FA" w:rsidTr="00626A45" w14:paraId="719936AC" w14:textId="77777777">
        <w:tc>
          <w:tcPr>
            <w:tcW w:w="1809"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sidRPr="004D0259">
              <w:rPr>
                <w:i/>
              </w:rPr>
              <w:t>Електронен адрес</w:t>
            </w:r>
          </w:p>
        </w:tc>
        <w:tc>
          <w:tcPr>
            <w:tcW w:w="5279" w:type="dxa"/>
          </w:tcPr>
          <w:p w:rsidRPr="004D0259" w:rsidR="00A773FA" w:rsidP="00A773FA" w:rsidRDefault="00101ED0" w14:paraId="0E731FD7" w14:textId="77777777">
            <w:pPr>
              <w:keepNext/>
              <w:keepLines/>
              <w:overflowPunct w:val="0"/>
              <w:autoSpaceDE w:val="0"/>
              <w:autoSpaceDN w:val="0"/>
              <w:adjustRightInd w:val="0"/>
              <w:spacing w:line="240" w:lineRule="auto"/>
              <w:textAlignment w:val="baseline"/>
              <w:rPr>
                <w:i/>
              </w:rPr>
            </w:pPr>
            <w:hyperlink w:history="1" r:id="rId23">
              <w:r w:rsidRPr="004D0259" w:rsidR="00907DA8">
                <w:rPr>
                  <w:i/>
                  <w:color w:val="0000FF"/>
                  <w:u w:val="single"/>
                </w:rPr>
                <w:t>Georgios.Meleas@eesc.europa.eu</w:t>
              </w:r>
            </w:hyperlink>
            <w:r w:rsidRPr="004D0259" w:rsidR="00907DA8">
              <w:rPr>
                <w:i/>
              </w:rPr>
              <w:t xml:space="preserve"> </w:t>
            </w:r>
          </w:p>
        </w:tc>
      </w:tr>
    </w:tbl>
    <w:p w:rsidRPr="004D0259" w:rsidR="008469D4" w:rsidP="008469D4" w:rsidRDefault="008469D4" w14:paraId="1862AFC9" w14:textId="6D1C7136"/>
    <w:p w:rsidRPr="004D0259" w:rsidR="0038273B" w:rsidP="00EB25FE" w:rsidRDefault="0038273B" w14:paraId="62CE6920" w14:textId="4AB21D19">
      <w:pPr>
        <w:pStyle w:val="Heading1"/>
        <w:spacing w:before="0"/>
        <w:ind w:left="425" w:hanging="425"/>
        <w:rPr>
          <w:b/>
          <w:bCs/>
        </w:rPr>
      </w:pPr>
      <w:bookmarkStart w:name="_Toc162435201" w:id="1"/>
      <w:bookmarkStart w:name="_Toc162435202" w:id="2"/>
      <w:bookmarkStart w:name="_Toc172193012" w:id="3"/>
      <w:bookmarkEnd w:id="1"/>
      <w:bookmarkEnd w:id="2"/>
      <w:r w:rsidRPr="004D0259">
        <w:rPr>
          <w:b/>
        </w:rPr>
        <w:t>ИКОНОМИЧЕСКИ И ПАРИЧЕН СЪЮЗ, ИКОНОМИЧЕСКО И СОЦИАЛНО СБЛИЖАВАНЕ</w:t>
      </w:r>
      <w:bookmarkEnd w:id="3"/>
    </w:p>
    <w:p w:rsidRPr="004D0259" w:rsidR="00B807B4" w:rsidP="00EB25FE" w:rsidRDefault="00B807B4" w14:paraId="3CAC710B" w14:textId="11524E6A">
      <w:pPr>
        <w:pStyle w:val="Heading1"/>
        <w:numPr>
          <w:ilvl w:val="0"/>
          <w:numId w:val="0"/>
        </w:numPr>
        <w:spacing w:before="0"/>
        <w:ind w:left="930"/>
        <w:rPr>
          <w:b/>
          <w:bCs/>
        </w:rPr>
      </w:pPr>
    </w:p>
    <w:p w:rsidRPr="004D0259" w:rsidR="00A773FA" w:rsidP="00A773FA" w:rsidRDefault="00101ED0" w14:paraId="18865835" w14:textId="405A04BE">
      <w:pPr>
        <w:widowControl w:val="0"/>
        <w:numPr>
          <w:ilvl w:val="0"/>
          <w:numId w:val="27"/>
        </w:numPr>
        <w:overflowPunct w:val="0"/>
        <w:autoSpaceDE w:val="0"/>
        <w:autoSpaceDN w:val="0"/>
        <w:adjustRightInd w:val="0"/>
        <w:ind w:hanging="567"/>
        <w:textAlignment w:val="baseline"/>
        <w:rPr>
          <w:sz w:val="20"/>
          <w:szCs w:val="20"/>
        </w:rPr>
      </w:pPr>
      <w:hyperlink w:history="1" r:id="rId24">
        <w:r w:rsidRPr="004D0259" w:rsidR="00907DA8">
          <w:rPr>
            <w:b/>
            <w:i/>
            <w:color w:val="0000FF"/>
            <w:sz w:val="28"/>
            <w:u w:val="single"/>
          </w:rPr>
          <w:t>Рамка за данъчно облагане на субектите от социалната икономика</w:t>
        </w:r>
      </w:hyperlink>
    </w:p>
    <w:p w:rsidRPr="004D0259"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189"/>
      </w:tblGrid>
      <w:tr w:rsidRPr="00A773FA" w:rsidR="00A773FA" w:rsidTr="00626A45" w14:paraId="62A09F3C" w14:textId="77777777">
        <w:tc>
          <w:tcPr>
            <w:tcW w:w="1446"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sidRPr="004D0259">
              <w:rPr>
                <w:b/>
              </w:rPr>
              <w:t>Докладчик</w:t>
            </w:r>
          </w:p>
        </w:tc>
        <w:tc>
          <w:tcPr>
            <w:tcW w:w="3554" w:type="pct"/>
          </w:tcPr>
          <w:p w:rsidRPr="00A773FA" w:rsidR="00A773FA" w:rsidP="00EC4289" w:rsidRDefault="00A773FA" w14:paraId="4E81BF9C" w14:textId="442D2DE2">
            <w:pPr>
              <w:overflowPunct w:val="0"/>
              <w:autoSpaceDE w:val="0"/>
              <w:autoSpaceDN w:val="0"/>
              <w:adjustRightInd w:val="0"/>
              <w:textAlignment w:val="baseline"/>
            </w:pPr>
            <w:r w:rsidRPr="004D0259">
              <w:t>Giuseppe GUERINI (група „Организации на гражданското общество“</w:t>
            </w:r>
            <w:r w:rsidR="00EC4289">
              <w:rPr>
                <w:lang w:val="en-US"/>
              </w:rPr>
              <w:t> </w:t>
            </w:r>
            <w:r w:rsidRPr="004D0259">
              <w:t>—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4D0259" w:rsidR="00A773FA" w:rsidTr="00626A45" w14:paraId="72F3FE21" w14:textId="77777777">
        <w:tc>
          <w:tcPr>
            <w:tcW w:w="1446"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sidRPr="004D0259">
              <w:rPr>
                <w:b/>
              </w:rPr>
              <w:t>Отправни документи</w:t>
            </w:r>
          </w:p>
        </w:tc>
        <w:tc>
          <w:tcPr>
            <w:tcW w:w="3554" w:type="pct"/>
          </w:tcPr>
          <w:p w:rsidRPr="004D0259" w:rsidR="002910B2" w:rsidP="00A773FA" w:rsidRDefault="002910B2" w14:paraId="0F8E6086" w14:textId="5CE11347">
            <w:pPr>
              <w:tabs>
                <w:tab w:val="center" w:pos="284"/>
              </w:tabs>
              <w:overflowPunct w:val="0"/>
              <w:autoSpaceDE w:val="0"/>
              <w:autoSpaceDN w:val="0"/>
              <w:adjustRightInd w:val="0"/>
              <w:ind w:left="266" w:hanging="266"/>
              <w:textAlignment w:val="baseline"/>
            </w:pPr>
            <w:r w:rsidRPr="004D0259">
              <w:t>Становище по собствена инициатива</w:t>
            </w:r>
          </w:p>
          <w:p w:rsidRPr="004D0259" w:rsidR="00A773FA" w:rsidP="00A773FA" w:rsidRDefault="00A773FA" w14:paraId="1727F523" w14:textId="4191C063">
            <w:pPr>
              <w:tabs>
                <w:tab w:val="center" w:pos="284"/>
              </w:tabs>
              <w:overflowPunct w:val="0"/>
              <w:autoSpaceDE w:val="0"/>
              <w:autoSpaceDN w:val="0"/>
              <w:adjustRightInd w:val="0"/>
              <w:ind w:left="266" w:hanging="266"/>
              <w:textAlignment w:val="baseline"/>
            </w:pPr>
            <w:r w:rsidRPr="004D0259">
              <w:t>EESC-2024-00699-00-00-AC</w:t>
            </w:r>
          </w:p>
        </w:tc>
      </w:tr>
    </w:tbl>
    <w:p w:rsidRPr="004D0259"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4D0259"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4D0259" w:rsidR="00A773FA" w:rsidP="00A773FA" w:rsidRDefault="00A773FA" w14:paraId="7016B0CB" w14:textId="77777777">
      <w:pPr>
        <w:overflowPunct w:val="0"/>
        <w:autoSpaceDE w:val="0"/>
        <w:autoSpaceDN w:val="0"/>
        <w:adjustRightInd w:val="0"/>
        <w:textAlignment w:val="baseline"/>
        <w:rPr>
          <w:bCs/>
          <w:iCs/>
        </w:rPr>
      </w:pPr>
      <w:r w:rsidRPr="004D0259">
        <w:t>ЕИСК:</w:t>
      </w:r>
    </w:p>
    <w:p w:rsidRPr="004D0259" w:rsidR="00A773FA" w:rsidP="00A773FA" w:rsidRDefault="00A773FA" w14:paraId="318948B1" w14:textId="77777777">
      <w:pPr>
        <w:overflowPunct w:val="0"/>
        <w:autoSpaceDE w:val="0"/>
        <w:autoSpaceDN w:val="0"/>
        <w:adjustRightInd w:val="0"/>
        <w:textAlignment w:val="baseline"/>
        <w:rPr>
          <w:bCs/>
          <w:iCs/>
        </w:rPr>
      </w:pPr>
    </w:p>
    <w:p w:rsidRPr="004D0259" w:rsidR="00A773FA" w:rsidP="004C40FF"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rsidRPr="004D0259">
        <w:t>подчертава необходимостта данъчните системи на държавите членки да не възпрепятстват развитието на социалната икономика и приветства целта на Европейската комисия да предоставя подкрепа на държавите членки, като публикуване насоки относно съответните данъчни рамки, приложими за субектите на социалната икономика;</w:t>
      </w:r>
    </w:p>
    <w:p w:rsidRPr="004D0259" w:rsidR="00A773FA" w:rsidP="004C40FF"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rsidRPr="004D0259">
        <w:t>отбелязва, че познаването на подходите в различните държави членки може да бъде важна отправна точка за задълбочаване и подобряване на общата данъчна рамка на субектите на социалната икономика на вътрешния пазар;</w:t>
      </w:r>
    </w:p>
    <w:p w:rsidRPr="004D0259" w:rsidR="00A773FA" w:rsidP="004C40FF"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rsidRPr="004D0259">
        <w:t>изразява желание в бъдеще да може да се продължи хармонизирането на подхода към данъчното облагане на субектите от социалната икономика с оглед на консолидирането на вътрешния пазар;</w:t>
      </w:r>
    </w:p>
    <w:p w:rsidRPr="004D0259" w:rsidR="00A773FA" w:rsidP="004C40FF"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rsidRPr="004D0259">
        <w:t>призовава за задълбочен размисъл относно възможните форми на бъдещо хармонизиране на данъчното облагане на социалната икономика в ЕС;</w:t>
      </w:r>
    </w:p>
    <w:p w:rsidRPr="004D0259" w:rsidR="00A773FA" w:rsidP="004C40FF"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rsidRPr="004D0259">
        <w:t>насърчава Европейската комисия и държавите членки да обмислят създаването на още по-благоприятни ставки на ДДС за общественополезни дейности, извършвани от субектите на социалната икономика и социалните служби, по-специално за сектора на здравеопазването и социалните грижи за възрастните хора, както и за сектора на услугите за личността, дългосрочните грижи и образованието.</w:t>
      </w:r>
    </w:p>
    <w:p w:rsidRPr="004D0259" w:rsidR="00A773FA" w:rsidP="00626A45" w:rsidRDefault="00A773FA" w14:paraId="0DC1B194" w14:textId="2A4F0413">
      <w:pPr>
        <w:spacing w:line="120" w:lineRule="auto"/>
        <w:ind w:left="714"/>
        <w:contextualSpacing/>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bookmarkStart w:name="_Hlk171955882" w:id="4"/>
            <w:r w:rsidRPr="004D0259">
              <w:rPr>
                <w:b/>
                <w:i/>
              </w:rPr>
              <w:t>За контакт</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sidRPr="004D0259">
              <w:rPr>
                <w:i/>
              </w:rPr>
              <w:t>Jüri Soosaar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sidRPr="004D0259">
              <w:rPr>
                <w:i/>
              </w:rPr>
              <w:t>+32 25469628</w:t>
            </w:r>
          </w:p>
        </w:tc>
      </w:tr>
      <w:tr w:rsidRPr="004D0259"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sidRPr="004D0259">
              <w:rPr>
                <w:i/>
              </w:rPr>
              <w:t>Електронен адрес</w:t>
            </w:r>
          </w:p>
        </w:tc>
        <w:tc>
          <w:tcPr>
            <w:tcW w:w="3444" w:type="pct"/>
          </w:tcPr>
          <w:p w:rsidRPr="004D0259" w:rsidR="00A773FA" w:rsidP="00A773FA" w:rsidRDefault="00101ED0" w14:paraId="7316BD89" w14:textId="77777777">
            <w:pPr>
              <w:overflowPunct w:val="0"/>
              <w:autoSpaceDE w:val="0"/>
              <w:autoSpaceDN w:val="0"/>
              <w:adjustRightInd w:val="0"/>
              <w:spacing w:line="240" w:lineRule="auto"/>
              <w:textAlignment w:val="baseline"/>
              <w:rPr>
                <w:i/>
              </w:rPr>
            </w:pPr>
            <w:hyperlink w:history="1" r:id="rId25">
              <w:r w:rsidRPr="004D0259" w:rsidR="00907DA8">
                <w:rPr>
                  <w:i/>
                  <w:color w:val="0000FF"/>
                  <w:u w:val="single"/>
                </w:rPr>
                <w:t>Juri.Soosaar@eesc.europa.eu</w:t>
              </w:r>
            </w:hyperlink>
          </w:p>
        </w:tc>
      </w:tr>
      <w:bookmarkEnd w:id="4"/>
    </w:tbl>
    <w:p w:rsidRPr="004D0259" w:rsidR="009401A5" w:rsidP="00626A45" w:rsidRDefault="009401A5" w14:paraId="6DB3B370" w14:textId="77777777">
      <w:pPr>
        <w:spacing w:after="160" w:line="120" w:lineRule="auto"/>
        <w:jc w:val="left"/>
        <w:rPr>
          <w:color w:val="000000" w:themeColor="text1"/>
        </w:rPr>
      </w:pPr>
      <w:r w:rsidRPr="004D0259">
        <w:br w:type="page"/>
      </w:r>
    </w:p>
    <w:bookmarkStart w:name="_Toc162435204" w:id="5"/>
    <w:bookmarkStart w:name="_Hlk171935721" w:id="6"/>
    <w:bookmarkEnd w:id="5"/>
    <w:p w:rsidRPr="004D0259" w:rsidR="00C37F51" w:rsidP="004D0259" w:rsidRDefault="00C34921" w14:paraId="264EB5BB" w14:textId="64EED120">
      <w:pPr>
        <w:pStyle w:val="TOC1"/>
        <w:rPr>
          <w:rStyle w:val="Hyperlink"/>
          <w:b w:val="0"/>
          <w:color w:val="000000" w:themeColor="text1"/>
          <w:u w:val="none"/>
        </w:rPr>
      </w:pPr>
      <w:r w:rsidRPr="004D0259">
        <w:rPr>
          <w:sz w:val="20"/>
        </w:rPr>
        <w:lastRenderedPageBreak/>
        <w:fldChar w:fldCharType="begin"/>
      </w:r>
      <w:r w:rsidRPr="004D0259">
        <w:instrText xml:space="preserve"> HYPERLINK \l "_Toc164353188" </w:instrText>
      </w:r>
      <w:r w:rsidRPr="004D0259">
        <w:rPr>
          <w:sz w:val="20"/>
        </w:rPr>
        <w:fldChar w:fldCharType="separate"/>
      </w:r>
      <w:bookmarkStart w:name="_Toc172193013" w:id="7"/>
      <w:r w:rsidRPr="004D0259">
        <w:rPr>
          <w:rStyle w:val="Hyperlink"/>
          <w:color w:val="000000" w:themeColor="text1"/>
          <w:u w:val="none"/>
        </w:rPr>
        <w:t>3.</w:t>
      </w:r>
      <w:r w:rsidRPr="004D0259">
        <w:rPr>
          <w:color w:val="000000" w:themeColor="text1"/>
        </w:rPr>
        <w:tab/>
      </w:r>
      <w:r w:rsidRPr="004D0259">
        <w:t>ЗАЕТОСТ, СОЦИАЛНИ ВЪПРОСИ И ГРАЖДАНСТВО</w:t>
      </w:r>
      <w:bookmarkEnd w:id="7"/>
      <w:r w:rsidRPr="004D0259">
        <w:rPr>
          <w:rStyle w:val="Hyperlink"/>
          <w:color w:val="auto"/>
          <w:u w:val="none"/>
        </w:rPr>
        <w:t xml:space="preserve"> </w:t>
      </w:r>
      <w:r w:rsidRPr="004D0259">
        <w:rPr>
          <w:rStyle w:val="Hyperlink"/>
          <w:color w:val="000000" w:themeColor="text1"/>
          <w:u w:val="none"/>
        </w:rPr>
        <w:fldChar w:fldCharType="end"/>
      </w:r>
    </w:p>
    <w:bookmarkEnd w:id="6"/>
    <w:p w:rsidRPr="004D0259" w:rsidR="00D92244" w:rsidP="00D92244" w:rsidRDefault="00D92244" w14:paraId="38D997EF" w14:textId="77777777">
      <w:pPr>
        <w:rPr>
          <w:rFonts w:eastAsiaTheme="minorEastAsia"/>
        </w:rPr>
      </w:pPr>
    </w:p>
    <w:p w:rsidRPr="004D0259" w:rsidR="00231B83" w:rsidP="00231B83" w:rsidRDefault="00231B83" w14:paraId="15471AA9" w14:textId="622DAC0E">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4D0259">
        <w:rPr>
          <w:b/>
          <w:i/>
          <w:sz w:val="28"/>
        </w:rPr>
        <w:fldChar w:fldCharType="begin"/>
      </w:r>
      <w:r w:rsidRPr="004D0259">
        <w:rPr>
          <w:b/>
          <w:i/>
          <w:sz w:val="28"/>
        </w:rPr>
        <w:instrText>HYPERLINK "https://www.eesc.europa.eu/bg/our-work/opinions-information-reports/opinions/combating-sexual-abuse-and-sexual-exploitation-children-and-child-pornography"</w:instrText>
      </w:r>
      <w:r w:rsidRPr="004D0259">
        <w:rPr>
          <w:b/>
          <w:i/>
          <w:sz w:val="28"/>
        </w:rPr>
        <w:fldChar w:fldCharType="separate"/>
      </w:r>
      <w:r w:rsidRPr="004D0259">
        <w:rPr>
          <w:b/>
          <w:i/>
          <w:color w:val="0000FF"/>
          <w:sz w:val="28"/>
          <w:u w:val="single"/>
        </w:rPr>
        <w:t>Борба със сексуалното насилие над деца</w:t>
      </w:r>
    </w:p>
    <w:p w:rsidRPr="004D0259"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4D0259">
        <w:rPr>
          <w:b/>
          <w:i/>
          <w:sz w:val="28"/>
        </w:rPr>
        <w:fldChar w:fldCharType="end"/>
      </w:r>
    </w:p>
    <w:tbl>
      <w:tblPr>
        <w:tblStyle w:val="TableGrid19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8"/>
        <w:gridCol w:w="6919"/>
      </w:tblGrid>
      <w:tr w:rsidRPr="00231B83" w:rsidR="00231B83" w:rsidTr="00626A45" w14:paraId="7566B638" w14:textId="77777777">
        <w:tc>
          <w:tcPr>
            <w:tcW w:w="1275" w:type="pct"/>
          </w:tcPr>
          <w:p w:rsidRPr="004D0259" w:rsidR="00231B83" w:rsidP="00231B83" w:rsidRDefault="00231B83" w14:paraId="36E4C94E" w14:textId="77777777">
            <w:pPr>
              <w:overflowPunct w:val="0"/>
              <w:autoSpaceDE w:val="0"/>
              <w:autoSpaceDN w:val="0"/>
              <w:adjustRightInd w:val="0"/>
              <w:ind w:left="-113"/>
              <w:textAlignment w:val="baseline"/>
              <w:rPr>
                <w:b/>
              </w:rPr>
            </w:pPr>
            <w:r w:rsidRPr="004D0259">
              <w:rPr>
                <w:b/>
              </w:rPr>
              <w:t>Докладчик</w:t>
            </w:r>
          </w:p>
          <w:p w:rsidRPr="00231B83" w:rsidR="00231B83" w:rsidP="00231B83" w:rsidRDefault="00231B83" w14:paraId="020B7D59" w14:textId="77777777">
            <w:pPr>
              <w:overflowPunct w:val="0"/>
              <w:autoSpaceDE w:val="0"/>
              <w:autoSpaceDN w:val="0"/>
              <w:adjustRightInd w:val="0"/>
              <w:ind w:left="-113"/>
              <w:textAlignment w:val="baseline"/>
              <w:rPr>
                <w:b/>
              </w:rPr>
            </w:pPr>
            <w:r w:rsidRPr="004D0259">
              <w:rPr>
                <w:b/>
              </w:rPr>
              <w:t>Съдокладчик</w:t>
            </w:r>
          </w:p>
        </w:tc>
        <w:tc>
          <w:tcPr>
            <w:tcW w:w="3725" w:type="pct"/>
          </w:tcPr>
          <w:p w:rsidRPr="004D0259" w:rsidR="00231B83" w:rsidP="00231B83" w:rsidRDefault="00231B83" w14:paraId="0DD461CD" w14:textId="77777777">
            <w:pPr>
              <w:tabs>
                <w:tab w:val="left" w:pos="4572"/>
              </w:tabs>
              <w:overflowPunct w:val="0"/>
              <w:autoSpaceDE w:val="0"/>
              <w:autoSpaceDN w:val="0"/>
              <w:adjustRightInd w:val="0"/>
              <w:ind w:left="-113" w:right="-823"/>
              <w:textAlignment w:val="baseline"/>
            </w:pPr>
            <w:r w:rsidRPr="004D0259">
              <w:t>Christian BÄUMLER (група „Работници“—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rsidRPr="004D0259">
              <w:t>Диана ИНДЖОВА (група „Организации на гражданското общество“ — BG)</w:t>
            </w:r>
          </w:p>
        </w:tc>
      </w:tr>
      <w:tr w:rsidRPr="00231B83" w:rsidR="00231B83" w:rsidTr="00626A45" w14:paraId="08E31D22" w14:textId="77777777">
        <w:tc>
          <w:tcPr>
            <w:tcW w:w="1275" w:type="pct"/>
            <w:vMerge w:val="restart"/>
          </w:tcPr>
          <w:p w:rsidRPr="004D0259"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sidRPr="004D0259">
              <w:rPr>
                <w:b/>
              </w:rPr>
              <w:t>Отправни документи</w:t>
            </w:r>
          </w:p>
        </w:tc>
        <w:tc>
          <w:tcPr>
            <w:tcW w:w="3725" w:type="pct"/>
          </w:tcPr>
          <w:p w:rsidRPr="004D0259" w:rsidR="0023561C" w:rsidP="00231B83" w:rsidRDefault="0023561C" w14:paraId="525C6A12" w14:textId="77777777">
            <w:pPr>
              <w:tabs>
                <w:tab w:val="left" w:pos="4430"/>
              </w:tabs>
              <w:overflowPunct w:val="0"/>
              <w:autoSpaceDE w:val="0"/>
              <w:autoSpaceDN w:val="0"/>
              <w:adjustRightInd w:val="0"/>
              <w:ind w:left="-113" w:right="-823"/>
              <w:textAlignment w:val="baseline"/>
            </w:pPr>
          </w:p>
          <w:p w:rsidRPr="004D0259" w:rsidR="0023561C" w:rsidP="00231B83" w:rsidRDefault="002910B2" w14:paraId="55E50106" w14:textId="4B8D1E3D">
            <w:pPr>
              <w:tabs>
                <w:tab w:val="left" w:pos="4430"/>
              </w:tabs>
              <w:overflowPunct w:val="0"/>
              <w:autoSpaceDE w:val="0"/>
              <w:autoSpaceDN w:val="0"/>
              <w:adjustRightInd w:val="0"/>
              <w:ind w:left="-113" w:right="-823"/>
              <w:textAlignment w:val="baseline"/>
            </w:pPr>
            <w:r w:rsidRPr="004D0259">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rsidRPr="004D0259">
              <w:t>EESC-2024-00873-00-00-AC</w:t>
            </w:r>
          </w:p>
        </w:tc>
      </w:tr>
      <w:tr w:rsidRPr="004D0259" w:rsidR="00231B83" w:rsidTr="00626A45" w14:paraId="10CEB6EE" w14:textId="77777777">
        <w:tc>
          <w:tcPr>
            <w:tcW w:w="1275"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725" w:type="pct"/>
          </w:tcPr>
          <w:p w:rsidRPr="004D0259"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4D0259"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4D0259"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rsidRPr="004D0259">
        <w:t>ЕИСК:</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4D0259" w:rsidR="00231B83" w:rsidP="004C40FF"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подкрепя целта на предложението да се гарантира, че всички форми на сексуално насилие и сексуална експлоатация на деца, включително тези, които са възможни или улеснени в резултат от технологичното развитие, са криминализирани;</w:t>
      </w:r>
    </w:p>
    <w:p w:rsidRPr="004D0259" w:rsidR="00231B83" w:rsidP="004C40FF"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поставя акцент върху особено уязвимата група на деца с увреждания, които могат лесно да станат жертви на сексуално насилие, сексуална експлоатация и киберпрестъпления;</w:t>
      </w:r>
    </w:p>
    <w:p w:rsidRPr="004D0259" w:rsidR="00231B83" w:rsidP="004C40FF"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подкрепя по-добрата координация при предотвратяването и борбата със сексуалното насилие над деца във всички държави членки и на национално равнище; във връзка с това подкрепя предложеното задължение на държавите членки да създадат национални органи, които да отговарят за тази координация;</w:t>
      </w:r>
    </w:p>
    <w:p w:rsidRPr="004D0259" w:rsidR="00231B83" w:rsidP="004C40FF"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подчертава значението на наличието на общи минимални стандарти за определянето на престъпленията и тежестта на свързаните с тях наказания, за да се преследват ефективно извършителите на престъпления и да се гарантира защитата на жертвите в целия ЕС; подкрепя криминализирането на „наръчниците за педофили“;</w:t>
      </w:r>
    </w:p>
    <w:p w:rsidRPr="004D0259" w:rsidR="00231B83" w:rsidP="004C40FF"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призовава за специално регулиране на международния обмен на данни, свързани със сексуалното насилие и сексуалната експлоатация на деца, и за разширяване на възможностите за запазване на данни във всички държави членки с развитието на изследователски център на ЕС;</w:t>
      </w:r>
    </w:p>
    <w:p w:rsidRPr="004D0259" w:rsidR="00231B83" w:rsidP="004C40FF"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подкрепя целта за подобряване на превенцията и оказването на помощ на жертвите на сексуална експлоатация и сексуално насилие; подкрепя предложеното увеличаване на минималните глоби и удължаването на давностните срокове;</w:t>
      </w:r>
    </w:p>
    <w:p w:rsidRPr="004D0259" w:rsidR="00231B83" w:rsidP="004C40FF"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 xml:space="preserve">подчертава значението на постоянното обучение на служителите на правоприлагащите органи и за лицата, които са в контакт с деца, за да изпълняват своите задължения; </w:t>
      </w:r>
    </w:p>
    <w:p w:rsidRPr="004D0259" w:rsidR="00231B83" w:rsidP="004C40FF"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4D0259">
        <w:t>счита, че участието на гражданското общество е от решаващо значение за борбата със сексуалното насилие и сексуалната експлоатация на деца, както и за превенцията и оказването на помощ на жертвите.</w:t>
      </w:r>
    </w:p>
    <w:p w:rsidRPr="004D0259"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sidRPr="004D0259">
              <w:rPr>
                <w:b/>
                <w:i/>
              </w:rPr>
              <w:t>За контакт</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sidRPr="004D0259">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sidRPr="004D0259">
              <w:rPr>
                <w:i/>
              </w:rPr>
              <w:t>+32 25469727</w:t>
            </w:r>
          </w:p>
        </w:tc>
      </w:tr>
      <w:tr w:rsidRPr="004D0259"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sidRPr="004D0259">
              <w:rPr>
                <w:i/>
              </w:rPr>
              <w:t>Електронен адрес</w:t>
            </w:r>
          </w:p>
        </w:tc>
        <w:tc>
          <w:tcPr>
            <w:tcW w:w="3444" w:type="pct"/>
          </w:tcPr>
          <w:p w:rsidRPr="004D0259" w:rsidR="00231B83" w:rsidP="00231B83" w:rsidRDefault="00101ED0" w14:paraId="3099FA9B" w14:textId="77777777">
            <w:pPr>
              <w:overflowPunct w:val="0"/>
              <w:autoSpaceDE w:val="0"/>
              <w:autoSpaceDN w:val="0"/>
              <w:adjustRightInd w:val="0"/>
              <w:spacing w:line="240" w:lineRule="auto"/>
              <w:textAlignment w:val="baseline"/>
              <w:rPr>
                <w:color w:val="0000FF"/>
                <w:u w:val="single"/>
              </w:rPr>
            </w:pPr>
            <w:hyperlink w:history="1" r:id="rId26">
              <w:r w:rsidRPr="004D0259" w:rsidR="00907DA8">
                <w:rPr>
                  <w:i/>
                  <w:color w:val="0000FF"/>
                  <w:u w:val="single"/>
                </w:rPr>
                <w:t>Sabrina.Borg@eesc.europa.eu</w:t>
              </w:r>
            </w:hyperlink>
          </w:p>
        </w:tc>
      </w:tr>
    </w:tbl>
    <w:p w:rsidRPr="004D0259" w:rsidR="00C37F51" w:rsidP="00C37F51" w:rsidRDefault="00C37F51" w14:paraId="41E9FBDD" w14:textId="48702BEB">
      <w:pPr>
        <w:rPr>
          <w:rFonts w:eastAsiaTheme="minorEastAsia"/>
        </w:rPr>
      </w:pPr>
    </w:p>
    <w:p w:rsidRPr="004D0259" w:rsidR="00231B83" w:rsidRDefault="00231B83" w14:paraId="1E1037F2" w14:textId="77777777">
      <w:pPr>
        <w:spacing w:after="160" w:line="259" w:lineRule="auto"/>
        <w:jc w:val="left"/>
        <w:rPr>
          <w:rFonts w:eastAsiaTheme="minorEastAsia"/>
        </w:rPr>
      </w:pPr>
      <w:r w:rsidRPr="004D0259">
        <w:br w:type="page"/>
      </w:r>
    </w:p>
    <w:p w:rsidRPr="004D0259" w:rsidR="00D7590E" w:rsidP="00D7590E" w:rsidRDefault="00D7590E" w14:paraId="79AB08AB" w14:textId="0D2E9045">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4D0259">
        <w:rPr>
          <w:b/>
          <w:i/>
          <w:sz w:val="28"/>
        </w:rPr>
        <w:lastRenderedPageBreak/>
        <w:fldChar w:fldCharType="begin"/>
      </w:r>
      <w:r w:rsidRPr="004D0259">
        <w:rPr>
          <w:b/>
          <w:i/>
          <w:sz w:val="28"/>
        </w:rPr>
        <w:instrText xml:space="preserve"> HYPERLINK "https://www.eesc.europa.eu/bg/our-work/opinions-information-reports/opinions/anti-smuggling-package" </w:instrText>
      </w:r>
      <w:r w:rsidRPr="004D0259">
        <w:rPr>
          <w:b/>
          <w:i/>
          <w:sz w:val="28"/>
        </w:rPr>
        <w:fldChar w:fldCharType="separate"/>
      </w:r>
      <w:r w:rsidRPr="004D0259">
        <w:rPr>
          <w:b/>
          <w:i/>
          <w:color w:val="0000FF"/>
          <w:sz w:val="28"/>
          <w:u w:val="single"/>
        </w:rPr>
        <w:t>Пакет за борба с контрабандата</w:t>
      </w:r>
    </w:p>
    <w:p w:rsidRPr="004D0259"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4D0259">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1"/>
        <w:gridCol w:w="4014"/>
      </w:tblGrid>
      <w:tr w:rsidRPr="00D7590E" w:rsidR="00D7590E" w:rsidTr="00980D66" w14:paraId="47DE81F4" w14:textId="77777777">
        <w:tc>
          <w:tcPr>
            <w:tcW w:w="1993" w:type="pct"/>
          </w:tcPr>
          <w:p w:rsidRPr="00D7590E" w:rsidR="00D7590E" w:rsidP="00D7590E" w:rsidRDefault="00D7590E" w14:paraId="7601C1B1" w14:textId="77777777">
            <w:pPr>
              <w:overflowPunct w:val="0"/>
              <w:autoSpaceDE w:val="0"/>
              <w:autoSpaceDN w:val="0"/>
              <w:adjustRightInd w:val="0"/>
              <w:ind w:left="-113"/>
              <w:textAlignment w:val="baseline"/>
              <w:rPr>
                <w:b/>
              </w:rPr>
            </w:pPr>
            <w:r w:rsidRPr="004D0259">
              <w:rPr>
                <w:b/>
              </w:rPr>
              <w:t>Докладчик</w:t>
            </w:r>
          </w:p>
        </w:tc>
        <w:tc>
          <w:tcPr>
            <w:tcW w:w="3007"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rsidRPr="004D0259">
              <w:t>Florin BERCEA (група „Работници“ — RO)</w:t>
            </w:r>
          </w:p>
        </w:tc>
      </w:tr>
      <w:tr w:rsidRPr="00D7590E" w:rsidR="00D7590E" w:rsidTr="00980D66" w14:paraId="3E8F8F3E" w14:textId="77777777">
        <w:tc>
          <w:tcPr>
            <w:tcW w:w="1993" w:type="pct"/>
            <w:vMerge w:val="restart"/>
          </w:tcPr>
          <w:p w:rsidRPr="004D0259"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sidRPr="004D0259">
              <w:rPr>
                <w:b/>
              </w:rPr>
              <w:t>Отправни документи</w:t>
            </w:r>
          </w:p>
        </w:tc>
        <w:tc>
          <w:tcPr>
            <w:tcW w:w="3007" w:type="pct"/>
          </w:tcPr>
          <w:p w:rsidRPr="004D0259" w:rsidR="002910B2" w:rsidP="00D7590E" w:rsidRDefault="002910B2" w14:paraId="0FA5CA76" w14:textId="77777777">
            <w:pPr>
              <w:tabs>
                <w:tab w:val="left" w:pos="4430"/>
              </w:tabs>
              <w:overflowPunct w:val="0"/>
              <w:autoSpaceDE w:val="0"/>
              <w:autoSpaceDN w:val="0"/>
              <w:adjustRightInd w:val="0"/>
              <w:ind w:left="-113" w:right="-823"/>
              <w:textAlignment w:val="baseline"/>
            </w:pPr>
          </w:p>
          <w:p w:rsidRPr="004D0259" w:rsidR="002910B2" w:rsidP="00D7590E" w:rsidRDefault="002910B2" w14:paraId="5F4D5AFF" w14:textId="5358FA32">
            <w:pPr>
              <w:tabs>
                <w:tab w:val="left" w:pos="4430"/>
              </w:tabs>
              <w:overflowPunct w:val="0"/>
              <w:autoSpaceDE w:val="0"/>
              <w:autoSpaceDN w:val="0"/>
              <w:adjustRightInd w:val="0"/>
              <w:ind w:left="-113" w:right="-823"/>
              <w:textAlignment w:val="baseline"/>
            </w:pPr>
            <w:r w:rsidRPr="004D0259">
              <w:t>COM(2023) 754 final</w:t>
            </w:r>
          </w:p>
          <w:p w:rsidRPr="004D0259" w:rsidR="002910B2" w:rsidP="00D7590E" w:rsidRDefault="002910B2" w14:paraId="17832B6E" w14:textId="1959CA9B">
            <w:pPr>
              <w:tabs>
                <w:tab w:val="left" w:pos="4430"/>
              </w:tabs>
              <w:overflowPunct w:val="0"/>
              <w:autoSpaceDE w:val="0"/>
              <w:autoSpaceDN w:val="0"/>
              <w:adjustRightInd w:val="0"/>
              <w:ind w:left="-113" w:right="-823"/>
              <w:textAlignment w:val="baseline"/>
            </w:pPr>
            <w:r w:rsidRPr="004D0259">
              <w:t>COM(2023) 755 final</w:t>
            </w:r>
          </w:p>
          <w:p w:rsidRPr="00D7590E" w:rsidR="004033C4" w:rsidP="00980D66" w:rsidRDefault="00D7590E" w14:paraId="4326B236" w14:textId="0CDDA461">
            <w:pPr>
              <w:tabs>
                <w:tab w:val="left" w:pos="4430"/>
              </w:tabs>
              <w:overflowPunct w:val="0"/>
              <w:autoSpaceDE w:val="0"/>
              <w:autoSpaceDN w:val="0"/>
              <w:adjustRightInd w:val="0"/>
              <w:ind w:left="-113" w:right="-823"/>
              <w:textAlignment w:val="baseline"/>
            </w:pPr>
            <w:r w:rsidRPr="004D0259">
              <w:t>EESC-2024-00141-00-00-AC</w:t>
            </w:r>
          </w:p>
        </w:tc>
      </w:tr>
      <w:tr w:rsidRPr="004D0259" w:rsidR="00D7590E" w:rsidTr="00980D66" w14:paraId="08D09090" w14:textId="77777777">
        <w:trPr>
          <w:gridAfter w:val="1"/>
          <w:wAfter w:w="3007" w:type="pct"/>
          <w:trHeight w:val="304"/>
        </w:trPr>
        <w:tc>
          <w:tcPr>
            <w:tcW w:w="1993" w:type="pct"/>
            <w:vMerge/>
          </w:tcPr>
          <w:p w:rsidRPr="004D0259"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4D0259"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D7590E" w:rsidP="00980D66" w:rsidRDefault="00D7590E" w14:paraId="63D52B12"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rPr>
      </w:pPr>
    </w:p>
    <w:p w:rsidRPr="004D0259"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rsidRPr="004D0259">
        <w:t>ЕИСК:</w:t>
      </w:r>
    </w:p>
    <w:p w:rsidRPr="004D0259" w:rsidR="00D7590E" w:rsidP="00980D66" w:rsidRDefault="00D7590E" w14:paraId="17BAED7F" w14:textId="77777777">
      <w:pPr>
        <w:keepNext/>
        <w:keepLines/>
        <w:tabs>
          <w:tab w:val="center" w:pos="284"/>
        </w:tabs>
        <w:overflowPunct w:val="0"/>
        <w:autoSpaceDE w:val="0"/>
        <w:autoSpaceDN w:val="0"/>
        <w:adjustRightInd w:val="0"/>
        <w:spacing w:line="240" w:lineRule="auto"/>
        <w:ind w:left="266" w:hanging="266"/>
        <w:textAlignment w:val="baseline"/>
        <w:rPr>
          <w:bCs/>
          <w:sz w:val="16"/>
          <w:szCs w:val="16"/>
        </w:rPr>
      </w:pPr>
    </w:p>
    <w:p w:rsidRPr="004D0259" w:rsidR="00D7590E" w:rsidP="004C40FF"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отбелязва, че в двете законодателни предложения и Световния алианс се предлага пропорционално и постепенно изграждане на капацитет, но за ефективното справяне с процеса са необходими повече стратегическа амбиция и ангажираност;</w:t>
      </w:r>
    </w:p>
    <w:p w:rsidRPr="004D0259" w:rsidR="00D7590E" w:rsidP="004C40FF"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потвърждава, че борбата с контрабандата на мигранти се нуждае от нов тласък и по-добра координация на всички равнища. В същото време ЕИСК смята, че е от съществено значение да се отворят канали и процедури за законна миграция за лицата, които искат да достигнат до ЕС безопасно и законно;</w:t>
      </w:r>
    </w:p>
    <w:p w:rsidRPr="004D0259" w:rsidR="00D7590E" w:rsidP="004C40FF"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признава, че за ефективното функциониране на системата на ЕС за предоставяне на убежище е от решаващо значение да се намерят начини за решаване на проблемите, свързани със системното използване на отблъскване по външните граници на ЕС, тъй като това е забранено от Женевската конвенция. Липсата на безопасни и законни пътища за влизане в ЕС не предоставя на търсещите безопасност бежанци и мигранти друга възможност, освен да използват по-опасни маршрути, които излагат живота им на риск;</w:t>
      </w:r>
    </w:p>
    <w:p w:rsidRPr="004D0259" w:rsidR="00D7590E" w:rsidP="004C40FF"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призовава Комисията да разработи по-стабилен подход, който надхвърля Световния алианс, за укрепване на капацитета на трети държави и насърчаване на сътрудничеството с Европол и правоприлагащите органи на държавите членки;</w:t>
      </w:r>
    </w:p>
    <w:p w:rsidRPr="004D0259" w:rsidR="00D7590E" w:rsidP="004C40FF"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изразява съжаление, че пакетът не обхваща лицата, използващи услугите на контрабандисти на мигранти, въпреки че са признати за потенциални жертви. В стратегията си за борба с контрабандата ЕС трябва да включи измерение, свързано с основните права, за хора, които са достатъчно отчаяни и уязвими, за да използват услугите на контрабандисти. Политиката следва да бъде насочена в по-голяма степен и към групи от хора, които са още по-уязвими, като например хората с увреждания;</w:t>
      </w:r>
    </w:p>
    <w:p w:rsidRPr="004D0259" w:rsidR="00D7590E" w:rsidP="004C40FF"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призовава за повече прозрачност в подготовката на предложенията, тъй като към тях не е приложен доклад за предварителна оценка на въздействието;</w:t>
      </w:r>
    </w:p>
    <w:p w:rsidRPr="004D0259" w:rsidR="00D7590E" w:rsidP="004C40FF"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4D0259">
        <w:t>приветства директивата, но предупреждава, че съдържанието ѝ би могло сериозно да засегне основните права на мигрантите и на онези, които им помагат по хуманитарни причини. Комитетът счита, че създаването и поддържането на подобен климат на страх около хуманитарната, правната или дори административната помощ е погрешен и неприемлив начин за борба с контрабандата;</w:t>
      </w:r>
    </w:p>
    <w:p w:rsidRPr="004D0259"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rsidRPr="004D0259">
        <w:t>освен това смята, че хуманитарните работници, членовете на семействата и други лица, предоставящи услуги на мигранти, следва да бъдат изключени от наказателно преследване. Основанията за наказателно преследване следва да бъдат възможни само когато е налице неправомерна финансова облага.</w:t>
      </w:r>
    </w:p>
    <w:p w:rsidRPr="004D0259" w:rsidR="00620F8C" w:rsidP="00980D66" w:rsidRDefault="00620F8C" w14:paraId="776E4AB1" w14:textId="77777777">
      <w:pPr>
        <w:keepNext/>
        <w:keepLines/>
        <w:tabs>
          <w:tab w:val="center" w:pos="284"/>
        </w:tabs>
        <w:overflowPunct w:val="0"/>
        <w:autoSpaceDE w:val="0"/>
        <w:autoSpaceDN w:val="0"/>
        <w:adjustRightInd w:val="0"/>
        <w:spacing w:line="120" w:lineRule="auto"/>
        <w:ind w:left="266" w:hanging="266"/>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sidRPr="004D0259">
              <w:rPr>
                <w:b/>
                <w:i/>
              </w:rPr>
              <w:t>За контакт</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sidRPr="004D0259">
              <w:rPr>
                <w:i/>
              </w:rPr>
              <w:t>Gemma Amran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sidRPr="004D0259">
              <w:rPr>
                <w:i/>
              </w:rPr>
              <w:t>+32 25469415</w:t>
            </w:r>
          </w:p>
        </w:tc>
      </w:tr>
      <w:tr w:rsidRPr="004D0259"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sidRPr="004D0259">
              <w:rPr>
                <w:i/>
              </w:rPr>
              <w:t>Електронен адрес</w:t>
            </w:r>
          </w:p>
        </w:tc>
        <w:tc>
          <w:tcPr>
            <w:tcW w:w="3444" w:type="pct"/>
          </w:tcPr>
          <w:p w:rsidRPr="004D0259" w:rsidR="00D7590E" w:rsidP="00D7590E" w:rsidRDefault="00101ED0" w14:paraId="61475911" w14:textId="77777777">
            <w:pPr>
              <w:overflowPunct w:val="0"/>
              <w:autoSpaceDE w:val="0"/>
              <w:autoSpaceDN w:val="0"/>
              <w:adjustRightInd w:val="0"/>
              <w:spacing w:line="240" w:lineRule="auto"/>
              <w:textAlignment w:val="baseline"/>
              <w:rPr>
                <w:color w:val="0000FF"/>
                <w:u w:val="single"/>
              </w:rPr>
            </w:pPr>
            <w:hyperlink w:history="1" r:id="rId27">
              <w:r w:rsidRPr="004D0259" w:rsidR="00907DA8">
                <w:rPr>
                  <w:i/>
                  <w:color w:val="0000FF"/>
                  <w:u w:val="single"/>
                </w:rPr>
                <w:t>Gemma.Amran@eesc.europa.eu</w:t>
              </w:r>
            </w:hyperlink>
          </w:p>
        </w:tc>
      </w:tr>
    </w:tbl>
    <w:p w:rsidRPr="004D0259" w:rsidR="009E4F7F" w:rsidP="00980D66" w:rsidRDefault="009E4F7F" w14:paraId="01C3F58C" w14:textId="77777777">
      <w:pPr>
        <w:spacing w:after="160" w:line="120" w:lineRule="auto"/>
        <w:jc w:val="left"/>
        <w:rPr>
          <w:rFonts w:eastAsiaTheme="minorEastAsia"/>
        </w:rPr>
      </w:pPr>
      <w:r w:rsidRPr="004D0259">
        <w:br w:type="page"/>
      </w:r>
    </w:p>
    <w:p w:rsidRPr="004D0259" w:rsidR="003A3334" w:rsidP="003A3334" w:rsidRDefault="00101ED0" w14:paraId="16AA32C0" w14:textId="4E617238">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8">
        <w:r w:rsidRPr="004D0259" w:rsidR="00907DA8">
          <w:rPr>
            <w:b/>
            <w:i/>
            <w:color w:val="0000FF"/>
            <w:sz w:val="28"/>
            <w:u w:val="single"/>
          </w:rPr>
          <w:t>Лица, полагащи грижи</w:t>
        </w:r>
      </w:hyperlink>
      <w:r w:rsidRPr="004D0259" w:rsidR="003A3334">
        <w:rPr>
          <w:b/>
          <w:i/>
          <w:sz w:val="28"/>
        </w:rPr>
        <w:fldChar w:fldCharType="begin"/>
      </w:r>
      <w:r w:rsidRPr="004D0259" w:rsidR="003A3334">
        <w:rPr>
          <w:b/>
          <w:i/>
          <w:sz w:val="28"/>
        </w:rPr>
        <w:instrText xml:space="preserve"> HYPERLINK "https://www.eesc.europa.eu/bg/our-work/opinions-information-reports/opinions/anti-smuggling-package" </w:instrText>
      </w:r>
      <w:r w:rsidRPr="004D0259" w:rsidR="003A3334">
        <w:rPr>
          <w:b/>
          <w:i/>
          <w:sz w:val="28"/>
        </w:rPr>
        <w:fldChar w:fldCharType="separate"/>
      </w:r>
    </w:p>
    <w:p w:rsidRPr="004D0259"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4D0259">
        <w:rPr>
          <w:b/>
          <w:i/>
          <w:sz w:val="28"/>
        </w:rPr>
        <w:fldChar w:fldCharType="end"/>
      </w:r>
    </w:p>
    <w:tbl>
      <w:tblPr>
        <w:tblStyle w:val="TableGrid200"/>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85"/>
        <w:gridCol w:w="7002"/>
      </w:tblGrid>
      <w:tr w:rsidRPr="003A3334" w:rsidR="003A3334" w:rsidTr="00980D66" w14:paraId="70782C18" w14:textId="77777777">
        <w:tc>
          <w:tcPr>
            <w:tcW w:w="1230" w:type="pct"/>
          </w:tcPr>
          <w:p w:rsidRPr="004D0259" w:rsidR="003A3334" w:rsidP="003A3334" w:rsidRDefault="003A3334" w14:paraId="6190BAC6" w14:textId="77777777">
            <w:pPr>
              <w:widowControl w:val="0"/>
              <w:overflowPunct w:val="0"/>
              <w:autoSpaceDE w:val="0"/>
              <w:autoSpaceDN w:val="0"/>
              <w:adjustRightInd w:val="0"/>
              <w:ind w:left="-113"/>
              <w:textAlignment w:val="baseline"/>
              <w:rPr>
                <w:b/>
              </w:rPr>
            </w:pPr>
            <w:r w:rsidRPr="004D0259">
              <w:rPr>
                <w:b/>
              </w:rPr>
              <w:t>Докладчик</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70" w:type="pct"/>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rsidRPr="004D0259">
              <w:t>Pietro Vittorio BARBIERI (група „Организации на гражданското общество“ — IT)</w:t>
            </w:r>
          </w:p>
        </w:tc>
      </w:tr>
      <w:tr w:rsidRPr="003A3334" w:rsidR="003A3334" w:rsidTr="00980D66" w14:paraId="2C81CF86" w14:textId="77777777">
        <w:tc>
          <w:tcPr>
            <w:tcW w:w="1230"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sidRPr="004D0259">
              <w:rPr>
                <w:b/>
              </w:rPr>
              <w:t>Отправни документи</w:t>
            </w:r>
          </w:p>
        </w:tc>
        <w:tc>
          <w:tcPr>
            <w:tcW w:w="3770" w:type="pct"/>
          </w:tcPr>
          <w:p w:rsidRPr="004D0259"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rsidRPr="004D0259">
              <w:t>Становище по собствена инициатива</w:t>
            </w:r>
          </w:p>
          <w:p w:rsidRPr="003A3334" w:rsidR="003A3334" w:rsidP="003A3334" w:rsidRDefault="003A3334" w14:paraId="413F17D3" w14:textId="0B67AF4E">
            <w:pPr>
              <w:widowControl w:val="0"/>
              <w:tabs>
                <w:tab w:val="left" w:pos="4430"/>
              </w:tabs>
              <w:overflowPunct w:val="0"/>
              <w:autoSpaceDE w:val="0"/>
              <w:autoSpaceDN w:val="0"/>
              <w:adjustRightInd w:val="0"/>
              <w:ind w:left="-113" w:right="-823"/>
              <w:textAlignment w:val="baseline"/>
            </w:pPr>
            <w:r w:rsidRPr="004D0259">
              <w:t>EESC-2024-00018-00-00-AC</w:t>
            </w:r>
          </w:p>
        </w:tc>
      </w:tr>
      <w:tr w:rsidRPr="004D0259" w:rsidR="003A3334" w:rsidTr="00980D66" w14:paraId="2BFE3251" w14:textId="77777777">
        <w:tc>
          <w:tcPr>
            <w:tcW w:w="1230"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3770" w:type="pct"/>
          </w:tcPr>
          <w:p w:rsidRPr="004D0259"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4D0259"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4D0259"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4D0259"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rsidRPr="004D0259">
        <w:t>ЕИСК:</w:t>
      </w:r>
    </w:p>
    <w:p w:rsidRPr="004D0259"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4D0259" w:rsidR="003A3334" w:rsidP="004C40FF"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sidRPr="004D0259">
        <w:rPr>
          <w:color w:val="000000"/>
        </w:rPr>
        <w:t>призовава Комисията да постави темата за лицата, полагащи неформални грижи, на челно място в политическия дневен ред и да създаде платформа за обмен на най-добри практики между държавите членки; призовава държавите членки да приемат политики, които насърчават предоставянето и използването на висококачествени услуги за дългосрочни грижи в общността, наличието на услуги за отдих за лицата, полагащи неформални грижи, както и превантивната медицина за справяне с високия риск от професионално изчерпване и физическо и психическо претоварване, на които са изложени лицата, полагащи неформални грижи;</w:t>
      </w:r>
    </w:p>
    <w:p w:rsidRPr="004D0259" w:rsidR="003A3334" w:rsidP="004C40FF"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sidRPr="004D0259">
        <w:rPr>
          <w:color w:val="000000"/>
        </w:rPr>
        <w:t>призовава държавите членки да предприемат подходящи мерки, за да гарантират, че решението за полагане на неформални грижи е доброволно, че се преодолява неравенството между половете, че лицата, полагащи неформални грижи, могат да запазят своята заетост и заплащане чрез по-гъвкави условия на труд и могат лесно да се върнат на пазара на труда, ако са принудени да го напуснат;</w:t>
      </w:r>
    </w:p>
    <w:p w:rsidRPr="004D0259" w:rsidR="003A3334" w:rsidP="004C40FF"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sidRPr="004D0259">
        <w:rPr>
          <w:color w:val="000000"/>
        </w:rPr>
        <w:t>призовава за включване на лицата, полагащи грижи за членове на своите семейства, в честването на Международния ден на лицата, полагащи грижи, така че те да бъдат признати в рамките на Европейската система за полагане на грижи;</w:t>
      </w:r>
    </w:p>
    <w:p w:rsidRPr="004D0259" w:rsidR="003A3334" w:rsidP="004C40FF"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rsidRPr="004D0259">
        <w:t>счита за изключително важно наличието на качествени и количествени данни, описващи действителните условия на живот на лицата, полагащи неформални грижи, и призовава за приемането на допълнителни научноизследователски стратегии.</w:t>
      </w:r>
    </w:p>
    <w:p w:rsidRPr="004D0259"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4D0259"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sidRPr="004D0259">
              <w:rPr>
                <w:b/>
                <w:i/>
              </w:rPr>
              <w:t>За контакт</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sidRPr="004D0259">
              <w:rPr>
                <w:i/>
              </w:rPr>
              <w:t>Valeria Atzori</w:t>
            </w:r>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sidRPr="004D0259">
              <w:rPr>
                <w:i/>
              </w:rPr>
              <w:t>Тел</w:t>
            </w:r>
            <w:r w:rsidRPr="004D0259">
              <w:rPr>
                <w:i/>
                <w:iCs/>
              </w:rPr>
              <w:t>.</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sidRPr="004D0259">
              <w:rPr>
                <w:i/>
              </w:rPr>
              <w:t>+32 25468774</w:t>
            </w:r>
          </w:p>
        </w:tc>
      </w:tr>
      <w:tr w:rsidRPr="004D0259"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sidRPr="004D0259">
              <w:rPr>
                <w:i/>
              </w:rPr>
              <w:t>Електронен адрес</w:t>
            </w:r>
          </w:p>
        </w:tc>
        <w:tc>
          <w:tcPr>
            <w:tcW w:w="3444" w:type="pct"/>
          </w:tcPr>
          <w:p w:rsidRPr="004D0259" w:rsidR="003A3334" w:rsidP="003A3334" w:rsidRDefault="00101ED0" w14:paraId="30545BE2" w14:textId="77777777">
            <w:pPr>
              <w:widowControl w:val="0"/>
              <w:overflowPunct w:val="0"/>
              <w:autoSpaceDE w:val="0"/>
              <w:autoSpaceDN w:val="0"/>
              <w:adjustRightInd w:val="0"/>
              <w:textAlignment w:val="baseline"/>
              <w:rPr>
                <w:color w:val="0000FF"/>
                <w:u w:val="single"/>
              </w:rPr>
            </w:pPr>
            <w:hyperlink w:history="1" r:id="rId29">
              <w:r w:rsidRPr="004D0259" w:rsidR="00907DA8">
                <w:rPr>
                  <w:i/>
                  <w:color w:val="0000FF"/>
                  <w:u w:val="single"/>
                </w:rPr>
                <w:t>Valeria.Atzori@eesc.europa.eu</w:t>
              </w:r>
            </w:hyperlink>
          </w:p>
          <w:p w:rsidRPr="004D0259"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Pr="004D0259" w:rsidR="002646B8" w:rsidRDefault="002646B8" w14:paraId="5BAF4B07" w14:textId="77777777">
      <w:pPr>
        <w:spacing w:after="160" w:line="259" w:lineRule="auto"/>
        <w:jc w:val="left"/>
        <w:rPr>
          <w:rFonts w:eastAsiaTheme="minorEastAsia"/>
        </w:rPr>
      </w:pPr>
    </w:p>
    <w:p w:rsidRPr="004D0259" w:rsidR="002646B8" w:rsidRDefault="002646B8" w14:paraId="5EA58BBC" w14:textId="77777777">
      <w:pPr>
        <w:spacing w:after="160" w:line="259" w:lineRule="auto"/>
        <w:jc w:val="left"/>
        <w:rPr>
          <w:rFonts w:eastAsiaTheme="minorEastAsia"/>
        </w:rPr>
      </w:pPr>
      <w:r w:rsidRPr="004D0259">
        <w:br w:type="page"/>
      </w:r>
    </w:p>
    <w:p w:rsidRPr="004D0259" w:rsidR="002646B8" w:rsidP="002646B8" w:rsidRDefault="002646B8" w14:paraId="4935F5AB" w14:textId="23BCF876">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4D0259">
        <w:rPr>
          <w:b/>
          <w:i/>
          <w:sz w:val="28"/>
        </w:rPr>
        <w:lastRenderedPageBreak/>
        <w:fldChar w:fldCharType="begin"/>
      </w:r>
      <w:r w:rsidRPr="004D0259">
        <w:rPr>
          <w:b/>
          <w:i/>
          <w:sz w:val="28"/>
        </w:rPr>
        <w:instrText>HYPERLINK "https://www.eesc.europa.eu/bg/our-work/opinions-information-reports/opinions/traineeship-directive-and-reinforced-quality-framework-traineeships"</w:instrText>
      </w:r>
      <w:r w:rsidRPr="004D0259">
        <w:rPr>
          <w:b/>
          <w:i/>
          <w:sz w:val="28"/>
        </w:rPr>
        <w:fldChar w:fldCharType="separate"/>
      </w:r>
      <w:r w:rsidRPr="004D0259">
        <w:rPr>
          <w:b/>
          <w:i/>
          <w:color w:val="0000FF"/>
          <w:sz w:val="28"/>
          <w:u w:val="single"/>
        </w:rPr>
        <w:t>Директива за стажовете и укрепена рамка за качество на стажовете</w:t>
      </w:r>
    </w:p>
    <w:p w:rsidRPr="004D0259"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4D0259">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4157"/>
      </w:tblGrid>
      <w:tr w:rsidRPr="002646B8" w:rsidR="002646B8" w:rsidTr="00980D66" w14:paraId="508076CF" w14:textId="77777777">
        <w:tc>
          <w:tcPr>
            <w:tcW w:w="1886" w:type="pct"/>
          </w:tcPr>
          <w:p w:rsidRPr="002646B8" w:rsidR="002646B8" w:rsidP="002646B8" w:rsidRDefault="002646B8" w14:paraId="47F5FCD8" w14:textId="77777777">
            <w:pPr>
              <w:overflowPunct w:val="0"/>
              <w:autoSpaceDE w:val="0"/>
              <w:autoSpaceDN w:val="0"/>
              <w:adjustRightInd w:val="0"/>
              <w:ind w:left="-113"/>
              <w:textAlignment w:val="baseline"/>
              <w:rPr>
                <w:b/>
              </w:rPr>
            </w:pPr>
            <w:r w:rsidRPr="004D0259">
              <w:rPr>
                <w:b/>
              </w:rPr>
              <w:t>Докладчик</w:t>
            </w:r>
          </w:p>
        </w:tc>
        <w:tc>
          <w:tcPr>
            <w:tcW w:w="3114"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rsidRPr="004D0259">
              <w:t>Nicoletta MERLO (група „Работници“ — IT)</w:t>
            </w:r>
          </w:p>
        </w:tc>
      </w:tr>
      <w:tr w:rsidRPr="002646B8" w:rsidR="002646B8" w:rsidTr="00980D66" w14:paraId="44158923" w14:textId="77777777">
        <w:tc>
          <w:tcPr>
            <w:tcW w:w="1886" w:type="pct"/>
            <w:vMerge w:val="restart"/>
          </w:tcPr>
          <w:p w:rsidRPr="004D0259"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sidRPr="004D0259">
              <w:rPr>
                <w:b/>
              </w:rPr>
              <w:t>Отправни документи</w:t>
            </w:r>
          </w:p>
        </w:tc>
        <w:tc>
          <w:tcPr>
            <w:tcW w:w="3114" w:type="pct"/>
          </w:tcPr>
          <w:p w:rsidRPr="004D0259" w:rsidR="00A769C2" w:rsidP="002646B8" w:rsidRDefault="00A769C2" w14:paraId="081AC81E" w14:textId="77777777">
            <w:pPr>
              <w:tabs>
                <w:tab w:val="left" w:pos="4430"/>
              </w:tabs>
              <w:overflowPunct w:val="0"/>
              <w:autoSpaceDE w:val="0"/>
              <w:autoSpaceDN w:val="0"/>
              <w:adjustRightInd w:val="0"/>
              <w:ind w:left="-113" w:right="-823"/>
              <w:textAlignment w:val="baseline"/>
            </w:pPr>
          </w:p>
          <w:p w:rsidRPr="004D0259"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sidRPr="004D0259">
              <w:rPr>
                <w:sz w:val="22"/>
              </w:rPr>
              <w:t>COM(2024) 132 final</w:t>
            </w:r>
          </w:p>
          <w:p w:rsidRPr="004D0259" w:rsidR="00A769C2" w:rsidP="002646B8" w:rsidRDefault="00A769C2" w14:paraId="6EA44F59" w14:textId="021B4390">
            <w:pPr>
              <w:tabs>
                <w:tab w:val="left" w:pos="4430"/>
              </w:tabs>
              <w:overflowPunct w:val="0"/>
              <w:autoSpaceDE w:val="0"/>
              <w:autoSpaceDN w:val="0"/>
              <w:adjustRightInd w:val="0"/>
              <w:ind w:left="-113" w:right="-823"/>
              <w:textAlignment w:val="baseline"/>
            </w:pPr>
            <w:r w:rsidRPr="004D0259">
              <w:rPr>
                <w:sz w:val="22"/>
              </w:rPr>
              <w:t>COM(2024) 133 final</w:t>
            </w:r>
          </w:p>
          <w:p w:rsidRPr="004D0259" w:rsidR="002646B8" w:rsidP="002646B8" w:rsidRDefault="002646B8" w14:paraId="0042FAA6" w14:textId="5C69F98E">
            <w:pPr>
              <w:tabs>
                <w:tab w:val="left" w:pos="4430"/>
              </w:tabs>
              <w:overflowPunct w:val="0"/>
              <w:autoSpaceDE w:val="0"/>
              <w:autoSpaceDN w:val="0"/>
              <w:adjustRightInd w:val="0"/>
              <w:ind w:left="-113" w:right="-823"/>
              <w:textAlignment w:val="baseline"/>
            </w:pPr>
            <w:r w:rsidRPr="004D0259">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4D0259" w:rsidR="002646B8" w:rsidTr="00980D66" w14:paraId="60C804C8" w14:textId="77777777">
        <w:tc>
          <w:tcPr>
            <w:tcW w:w="1886"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114" w:type="pct"/>
          </w:tcPr>
          <w:p w:rsidRPr="004D0259"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4D0259"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4D0259"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rsidRPr="004D0259">
        <w:t>ЕИСК:</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4D0259" w:rsidR="002646B8" w:rsidP="004C40FF" w:rsidRDefault="002646B8" w14:paraId="5010A18C" w14:textId="23949864">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rsidRPr="004D0259">
        <w:t xml:space="preserve">подчертава, че чиракуването и стажовете са две различни практики с различни цели и разпоредби; </w:t>
      </w:r>
    </w:p>
    <w:p w:rsidRPr="004D0259" w:rsidR="002646B8" w:rsidP="004C40FF"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4D0259">
        <w:t>препоръчва определенията, съдържащи се в член 2, да не включват задължение за държавите членки да определят стажовете като трудово правоотношение, когато съгласно нормативната уредба в държавите членки тази трудова практика не попада в обхвата на определението за „стажант“, установено в директивата;</w:t>
      </w:r>
    </w:p>
    <w:p w:rsidRPr="004D0259" w:rsidR="002646B8" w:rsidP="004C40FF"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4D0259">
        <w:t>предлага в директивата да се включи списък на условията на труд, които следва да се считат за неотменими, за да се гарантира по-добра защита на интересите на стажантите, като същевременно се запази автономността на социалните партньори по отношение на регулирането на условията на стажовете на отворения пазар;</w:t>
      </w:r>
    </w:p>
    <w:p w:rsidRPr="004D0259" w:rsidR="002646B8" w:rsidP="004C40FF"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4D0259">
        <w:t>подчертава ключовата роля на компетентните органи в борбата с редовните трудови правоотношения, прикрити като стажове, и признава важната роля, която социалните партньори могат да играят по отношение на тези усилия;</w:t>
      </w:r>
    </w:p>
    <w:p w:rsidRPr="004D0259" w:rsidR="002646B8" w:rsidP="004C40FF"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4D0259">
        <w:t>призовава за разпоредби, които гарантират, че представителите на работниците винаги могат да действат за защита на стажантите, дори ако стажът не представлява трудово правоотношение;</w:t>
      </w:r>
    </w:p>
    <w:p w:rsidRPr="004D0259" w:rsidR="002646B8" w:rsidP="004C40FF"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4D0259">
        <w:t>препоръчва да се определят минимални критерии за качество за всеки вид стаж в целия ЕС, за да се гарантират високи стандарти и обща основна рамка във всички държави членки; посочва значението на събирането на данни и споделянето на примери за добри национални практики за всеки вид стаж на равнището на ЕС като част от процеса на преглед и изпълнение;</w:t>
      </w:r>
    </w:p>
    <w:p w:rsidRPr="004D0259"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4D0259">
        <w:t>изтъква значението на справедливо обезщетение, което отчита възможните разходи за участие в дейността по обучение и съответните житейски нужди.</w:t>
      </w:r>
    </w:p>
    <w:p w:rsidRPr="004D0259" w:rsidR="00071BCC" w:rsidP="004C40FF"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sidRPr="004D0259">
              <w:rPr>
                <w:b/>
                <w:i/>
              </w:rPr>
              <w:t>За контакт</w:t>
            </w:r>
          </w:p>
        </w:tc>
        <w:tc>
          <w:tcPr>
            <w:tcW w:w="3444" w:type="pct"/>
          </w:tcPr>
          <w:p w:rsidRPr="002646B8" w:rsidR="002646B8" w:rsidP="002646B8" w:rsidRDefault="002646B8" w14:paraId="2CB9E1CA" w14:textId="16A6FFC9">
            <w:pPr>
              <w:overflowPunct w:val="0"/>
              <w:autoSpaceDE w:val="0"/>
              <w:autoSpaceDN w:val="0"/>
              <w:adjustRightInd w:val="0"/>
              <w:spacing w:line="240" w:lineRule="auto"/>
              <w:textAlignment w:val="baseline"/>
              <w:rPr>
                <w:i/>
              </w:rPr>
            </w:pPr>
            <w:r w:rsidRPr="004D0259">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sidRPr="004D0259">
              <w:rPr>
                <w:i/>
              </w:rPr>
              <w:t>+32 25469727</w:t>
            </w:r>
          </w:p>
        </w:tc>
      </w:tr>
      <w:tr w:rsidRPr="004D0259"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sidRPr="004D0259">
              <w:rPr>
                <w:i/>
              </w:rPr>
              <w:t>Електронен адрес</w:t>
            </w:r>
          </w:p>
        </w:tc>
        <w:tc>
          <w:tcPr>
            <w:tcW w:w="3444" w:type="pct"/>
          </w:tcPr>
          <w:p w:rsidRPr="004D0259" w:rsidR="002646B8" w:rsidP="002646B8" w:rsidRDefault="00101ED0" w14:paraId="23CAB7B1" w14:textId="77777777">
            <w:pPr>
              <w:overflowPunct w:val="0"/>
              <w:autoSpaceDE w:val="0"/>
              <w:autoSpaceDN w:val="0"/>
              <w:adjustRightInd w:val="0"/>
              <w:spacing w:line="240" w:lineRule="auto"/>
              <w:textAlignment w:val="baseline"/>
              <w:rPr>
                <w:color w:val="0000FF"/>
                <w:u w:val="single"/>
              </w:rPr>
            </w:pPr>
            <w:hyperlink w:history="1" r:id="rId30">
              <w:r w:rsidRPr="004D0259" w:rsidR="00907DA8">
                <w:rPr>
                  <w:i/>
                  <w:color w:val="0000FF"/>
                  <w:u w:val="single"/>
                </w:rPr>
                <w:t>Sabrina.Borg@eesc.europa.eu</w:t>
              </w:r>
            </w:hyperlink>
          </w:p>
        </w:tc>
      </w:tr>
    </w:tbl>
    <w:p w:rsidRPr="004D0259" w:rsidR="00C34921" w:rsidRDefault="00C34921" w14:paraId="12B563A5" w14:textId="77777777">
      <w:pPr>
        <w:spacing w:after="160" w:line="259" w:lineRule="auto"/>
        <w:jc w:val="left"/>
        <w:rPr>
          <w:rFonts w:eastAsiaTheme="minorEastAsia"/>
        </w:rPr>
      </w:pPr>
    </w:p>
    <w:p w:rsidRPr="004D0259" w:rsidR="00C34921" w:rsidRDefault="00C34921" w14:paraId="7C56FAB2" w14:textId="77777777">
      <w:pPr>
        <w:spacing w:after="160" w:line="259" w:lineRule="auto"/>
        <w:jc w:val="left"/>
        <w:rPr>
          <w:rFonts w:eastAsiaTheme="minorEastAsia"/>
        </w:rPr>
      </w:pPr>
      <w:r w:rsidRPr="004D0259">
        <w:br w:type="page"/>
      </w:r>
    </w:p>
    <w:bookmarkStart w:name="_Hlk171938252" w:id="8"/>
    <w:p w:rsidRPr="004D0259" w:rsidR="00DC26B9" w:rsidP="004D0259" w:rsidRDefault="00DC26B9" w14:paraId="153FDF23" w14:textId="1FAF7220">
      <w:pPr>
        <w:pStyle w:val="TOC1"/>
        <w:rPr>
          <w:color w:val="000000" w:themeColor="text1"/>
        </w:rPr>
      </w:pPr>
      <w:r w:rsidRPr="004D0259">
        <w:rPr>
          <w:sz w:val="20"/>
        </w:rPr>
        <w:lastRenderedPageBreak/>
        <w:fldChar w:fldCharType="begin"/>
      </w:r>
      <w:r w:rsidRPr="004D0259">
        <w:instrText xml:space="preserve"> HYPERLINK \l "_Toc164353189" </w:instrText>
      </w:r>
      <w:r w:rsidRPr="004D0259">
        <w:rPr>
          <w:sz w:val="20"/>
        </w:rPr>
        <w:fldChar w:fldCharType="separate"/>
      </w:r>
      <w:bookmarkStart w:name="_Toc172193014" w:id="9"/>
      <w:r w:rsidRPr="004D0259">
        <w:t>4.</w:t>
      </w:r>
      <w:r w:rsidRPr="004D0259">
        <w:tab/>
      </w:r>
      <w:r w:rsidRPr="004D0259">
        <w:rPr>
          <w:rFonts w:eastAsiaTheme="minorEastAsia"/>
        </w:rPr>
        <w:fldChar w:fldCharType="end"/>
      </w:r>
      <w:r w:rsidRPr="004D0259">
        <w:t>ЕДИНЕН ПАЗАР, ПРОИЗВОДСТВО И ПОТРЕБЛЕНИЕ</w:t>
      </w:r>
      <w:bookmarkEnd w:id="9"/>
    </w:p>
    <w:p w:rsidRPr="004D0259" w:rsidR="00C34921" w:rsidP="004D0259" w:rsidRDefault="00101ED0" w14:paraId="65737401" w14:textId="157C195D">
      <w:pPr>
        <w:pStyle w:val="TOC1"/>
        <w:rPr>
          <w:rStyle w:val="Hyperlink"/>
          <w:b w:val="0"/>
          <w:color w:val="000000" w:themeColor="text1"/>
          <w:u w:val="none"/>
        </w:rPr>
      </w:pPr>
      <w:hyperlink w:history="1" w:anchor="_Toc164353188"/>
    </w:p>
    <w:bookmarkEnd w:id="8"/>
    <w:p w:rsidRPr="004D0259" w:rsidR="00D92244" w:rsidP="00EB25FE" w:rsidRDefault="0074506B" w14:paraId="1848A26A" w14:textId="43F378C7">
      <w:pPr>
        <w:widowControl w:val="0"/>
        <w:numPr>
          <w:ilvl w:val="0"/>
          <w:numId w:val="27"/>
        </w:numPr>
        <w:overflowPunct w:val="0"/>
        <w:autoSpaceDE w:val="0"/>
        <w:autoSpaceDN w:val="0"/>
        <w:adjustRightInd w:val="0"/>
        <w:ind w:hanging="567"/>
        <w:textAlignment w:val="baseline"/>
        <w:rPr>
          <w:color w:val="0000FF"/>
          <w:sz w:val="20"/>
          <w:szCs w:val="20"/>
          <w:u w:val="single"/>
        </w:rPr>
      </w:pPr>
      <w:r w:rsidRPr="004D0259">
        <w:rPr>
          <w:b/>
          <w:i/>
          <w:color w:val="0000FF"/>
          <w:sz w:val="28"/>
          <w:u w:val="single"/>
        </w:rPr>
        <w:t xml:space="preserve">Предложение за препоръка на Съвета относно </w:t>
      </w:r>
      <w:hyperlink w:history="1" r:id="rId31">
        <w:r w:rsidRPr="004D0259">
          <w:rPr>
            <w:b/>
            <w:i/>
            <w:color w:val="0000FF"/>
            <w:sz w:val="28"/>
            <w:u w:val="single"/>
          </w:rPr>
          <w:t>повишаването на сигурността на научните изследвания</w:t>
        </w:r>
      </w:hyperlink>
      <w:r w:rsidRPr="004D0259">
        <w:rPr>
          <w:b/>
          <w:i/>
          <w:color w:val="0000FF"/>
          <w:sz w:val="28"/>
          <w:u w:val="single"/>
        </w:rPr>
        <w:t xml:space="preserve"> </w:t>
      </w:r>
    </w:p>
    <w:p w:rsidRPr="004D0259" w:rsidR="00D92244" w:rsidP="004D0259" w:rsidRDefault="00D92244" w14:paraId="358B8BC9" w14:textId="719AD112">
      <w:pPr>
        <w:pStyle w:val="TOC1"/>
      </w:pPr>
    </w:p>
    <w:tbl>
      <w:tblPr>
        <w:tblStyle w:val="TableGrid197"/>
        <w:tblW w:w="48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520"/>
      </w:tblGrid>
      <w:tr w:rsidRPr="00EB25FE" w:rsidR="00D92244" w:rsidTr="00EB25FE" w14:paraId="7420832E" w14:textId="77777777">
        <w:tc>
          <w:tcPr>
            <w:tcW w:w="1393" w:type="pct"/>
          </w:tcPr>
          <w:p w:rsidRPr="00EB25FE" w:rsidR="00D92244" w:rsidP="00EB25FE" w:rsidRDefault="00D92244" w14:paraId="457E6F3E"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4D0259">
              <w:rPr>
                <w:b/>
                <w:sz w:val="22"/>
                <w:szCs w:val="22"/>
              </w:rPr>
              <w:t>Докладчик</w:t>
            </w:r>
          </w:p>
        </w:tc>
        <w:tc>
          <w:tcPr>
            <w:tcW w:w="3607" w:type="pct"/>
          </w:tcPr>
          <w:p w:rsidRPr="00EB25FE" w:rsidR="00D92244" w:rsidP="00EB25FE" w:rsidRDefault="00D92244" w14:paraId="1E7E7378" w14:textId="77777777">
            <w:pPr>
              <w:tabs>
                <w:tab w:val="center" w:pos="284"/>
              </w:tabs>
              <w:overflowPunct w:val="0"/>
              <w:autoSpaceDE w:val="0"/>
              <w:autoSpaceDN w:val="0"/>
              <w:adjustRightInd w:val="0"/>
              <w:spacing w:line="240" w:lineRule="auto"/>
              <w:ind w:left="266" w:hanging="266"/>
              <w:textAlignment w:val="baseline"/>
              <w:rPr>
                <w:bCs/>
                <w:sz w:val="22"/>
                <w:szCs w:val="22"/>
              </w:rPr>
            </w:pPr>
            <w:r w:rsidRPr="004D0259">
              <w:rPr>
                <w:sz w:val="22"/>
                <w:szCs w:val="22"/>
              </w:rPr>
              <w:t>Stefano PALMIERI (група „Работници“ — IT)</w:t>
            </w:r>
          </w:p>
        </w:tc>
      </w:tr>
      <w:tr w:rsidRPr="00EB25FE" w:rsidR="00D92244" w:rsidTr="00EB25FE" w14:paraId="4E0CEDF2" w14:textId="77777777">
        <w:tc>
          <w:tcPr>
            <w:tcW w:w="5000" w:type="pct"/>
            <w:gridSpan w:val="2"/>
          </w:tcPr>
          <w:p w:rsidRPr="00EB25FE" w:rsidR="00D92244" w:rsidP="00EB25FE" w:rsidRDefault="00D92244" w14:paraId="1E556B95" w14:textId="77777777">
            <w:pPr>
              <w:tabs>
                <w:tab w:val="center" w:pos="284"/>
              </w:tabs>
              <w:overflowPunct w:val="0"/>
              <w:autoSpaceDE w:val="0"/>
              <w:autoSpaceDN w:val="0"/>
              <w:adjustRightInd w:val="0"/>
              <w:spacing w:line="240" w:lineRule="auto"/>
              <w:ind w:left="266" w:hanging="266"/>
              <w:textAlignment w:val="baseline"/>
              <w:rPr>
                <w:sz w:val="22"/>
                <w:szCs w:val="22"/>
              </w:rPr>
            </w:pPr>
          </w:p>
        </w:tc>
      </w:tr>
      <w:tr w:rsidRPr="00EB25FE" w:rsidR="00D92244" w:rsidTr="00EB25FE" w14:paraId="098E8881" w14:textId="77777777">
        <w:tc>
          <w:tcPr>
            <w:tcW w:w="1393" w:type="pct"/>
            <w:vMerge w:val="restart"/>
          </w:tcPr>
          <w:p w:rsidRPr="00EB25FE" w:rsidR="00D92244" w:rsidP="00EB25FE" w:rsidRDefault="00D92244" w14:paraId="61114D4E"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4D0259">
              <w:rPr>
                <w:b/>
                <w:sz w:val="22"/>
                <w:szCs w:val="22"/>
              </w:rPr>
              <w:t>Отправни документи</w:t>
            </w:r>
          </w:p>
        </w:tc>
        <w:tc>
          <w:tcPr>
            <w:tcW w:w="3607" w:type="pct"/>
          </w:tcPr>
          <w:p w:rsidRPr="00EB25FE" w:rsidR="00D92244" w:rsidP="00EB25FE" w:rsidRDefault="00D92244" w14:paraId="6FCF94DB" w14:textId="77777777">
            <w:pPr>
              <w:tabs>
                <w:tab w:val="center" w:pos="284"/>
              </w:tabs>
              <w:overflowPunct w:val="0"/>
              <w:autoSpaceDE w:val="0"/>
              <w:autoSpaceDN w:val="0"/>
              <w:adjustRightInd w:val="0"/>
              <w:spacing w:line="240" w:lineRule="auto"/>
              <w:ind w:left="266" w:hanging="266"/>
              <w:textAlignment w:val="baseline"/>
              <w:rPr>
                <w:sz w:val="22"/>
                <w:szCs w:val="22"/>
              </w:rPr>
            </w:pPr>
            <w:r w:rsidRPr="004D0259">
              <w:rPr>
                <w:sz w:val="22"/>
                <w:szCs w:val="22"/>
              </w:rPr>
              <w:t>COM(2024) 26 final</w:t>
            </w:r>
          </w:p>
        </w:tc>
      </w:tr>
      <w:tr w:rsidRPr="004D0259" w:rsidR="00D92244" w:rsidTr="00EB25FE" w14:paraId="1378E04E" w14:textId="77777777">
        <w:tc>
          <w:tcPr>
            <w:tcW w:w="1393" w:type="pct"/>
            <w:vMerge/>
          </w:tcPr>
          <w:p w:rsidRPr="00EB25FE" w:rsidR="00D92244" w:rsidP="00EB25FE" w:rsidRDefault="00D92244" w14:paraId="3C17628E" w14:textId="77777777">
            <w:pPr>
              <w:tabs>
                <w:tab w:val="center" w:pos="284"/>
              </w:tabs>
              <w:overflowPunct w:val="0"/>
              <w:autoSpaceDE w:val="0"/>
              <w:autoSpaceDN w:val="0"/>
              <w:adjustRightInd w:val="0"/>
              <w:spacing w:line="240" w:lineRule="auto"/>
              <w:ind w:left="266" w:hanging="266"/>
              <w:textAlignment w:val="baseline"/>
              <w:rPr>
                <w:b/>
                <w:sz w:val="22"/>
                <w:szCs w:val="22"/>
              </w:rPr>
            </w:pPr>
          </w:p>
        </w:tc>
        <w:tc>
          <w:tcPr>
            <w:tcW w:w="3607" w:type="pct"/>
          </w:tcPr>
          <w:p w:rsidRPr="004D0259" w:rsidR="00D92244" w:rsidP="00EB25FE" w:rsidRDefault="00D92244" w14:paraId="682CA312" w14:textId="77777777">
            <w:pPr>
              <w:tabs>
                <w:tab w:val="center" w:pos="284"/>
              </w:tabs>
              <w:overflowPunct w:val="0"/>
              <w:autoSpaceDE w:val="0"/>
              <w:autoSpaceDN w:val="0"/>
              <w:adjustRightInd w:val="0"/>
              <w:spacing w:line="240" w:lineRule="auto"/>
              <w:ind w:left="266" w:hanging="266"/>
              <w:textAlignment w:val="baseline"/>
              <w:rPr>
                <w:sz w:val="22"/>
                <w:szCs w:val="22"/>
              </w:rPr>
            </w:pPr>
            <w:r w:rsidRPr="004D0259">
              <w:rPr>
                <w:sz w:val="22"/>
                <w:szCs w:val="22"/>
              </w:rPr>
              <w:t>EESC-2024-00827-00-00-AC</w:t>
            </w:r>
          </w:p>
        </w:tc>
      </w:tr>
    </w:tbl>
    <w:p w:rsidRPr="004D0259" w:rsidR="00D92244" w:rsidP="004D0259" w:rsidRDefault="00D92244" w14:paraId="1F41BFFE" w14:textId="77777777">
      <w:pPr>
        <w:pStyle w:val="TOC1"/>
      </w:pPr>
    </w:p>
    <w:p w:rsidRPr="004D0259" w:rsidR="00D92244" w:rsidP="00EB25FE" w:rsidRDefault="00D92244" w14:paraId="386F3AD5"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D92244" w:rsidP="004D0259" w:rsidRDefault="00D92244" w14:paraId="1E30C2C4" w14:textId="77777777">
      <w:pPr>
        <w:pStyle w:val="TOC1"/>
      </w:pPr>
    </w:p>
    <w:p w:rsidRPr="004D0259" w:rsidR="00D92244" w:rsidP="00EB25FE" w:rsidRDefault="00D92244" w14:paraId="4FAC9452" w14:textId="77777777">
      <w:pPr>
        <w:overflowPunct w:val="0"/>
        <w:autoSpaceDE w:val="0"/>
        <w:autoSpaceDN w:val="0"/>
        <w:adjustRightInd w:val="0"/>
        <w:textAlignment w:val="baseline"/>
        <w:rPr>
          <w:bCs/>
          <w:iCs/>
        </w:rPr>
      </w:pPr>
      <w:r w:rsidRPr="004D0259">
        <w:t>ЕИСК:</w:t>
      </w:r>
    </w:p>
    <w:p w:rsidRPr="004D0259" w:rsidR="00D92244" w:rsidP="00EB25FE" w:rsidRDefault="00D92244" w14:paraId="2AC2F3B1" w14:textId="77777777">
      <w:pPr>
        <w:spacing w:line="120" w:lineRule="auto"/>
        <w:jc w:val="left"/>
        <w:rPr>
          <w:bCs/>
          <w:iCs/>
        </w:rPr>
      </w:pPr>
    </w:p>
    <w:p w:rsidRPr="004D0259" w:rsidR="00D92244" w:rsidP="00EB25FE"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rsidRPr="004D0259">
        <w:t>счита, че би трябвало да се постигне справедлив баланс между необходимостта от сигурност и необходимостта от запазване на международната отвореност на сектора, като същевременно разбира уязвимостта на сектора на НИИ от възможна злонамерена намеса от страна на държавни и недържавни участници в някои дейности за международно сътрудничество в областта на НИИ;</w:t>
      </w:r>
    </w:p>
    <w:p w:rsidRPr="004D0259" w:rsidR="00D92244" w:rsidP="00EB25FE"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rsidRPr="004D0259">
        <w:t>е на мнение, че действията за гарантиране на сигурността в рамките на НИИ никога не трябва да са в противоречие с утвърждаването на принципите на академична свобода и институционална автономност;</w:t>
      </w:r>
    </w:p>
    <w:p w:rsidRPr="004D0259" w:rsidR="00D92244" w:rsidP="00EB25FE"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rsidRPr="004D0259">
        <w:t>препоръчва утвърждаването на принципа „свобода в отговорността“ на участниците в НИИ чрез ефективно, ефикасно и прозрачно самоуправление на сектора;</w:t>
      </w:r>
    </w:p>
    <w:p w:rsidRPr="004D0259" w:rsidR="00D92244" w:rsidP="00EB25FE"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rsidRPr="004D0259">
        <w:t>счита, че целта за гарантиране на международно сътрудничество за безопасни научни изследвания и иновации никога не трябва да се изразява в извършване на дискриминационни и/или злонамерени практики срещу операторите от НИИ или да противоречи на трудовите права и гарантирането на условията на труд на работещите в сектора на НИИ в ЕС;</w:t>
      </w:r>
    </w:p>
    <w:p w:rsidRPr="004D0259" w:rsidR="00D92244" w:rsidP="00EB25FE" w:rsidRDefault="00D92244" w14:paraId="6EA4B4FD" w14:textId="679C03EA">
      <w:pPr>
        <w:widowControl w:val="0"/>
        <w:numPr>
          <w:ilvl w:val="0"/>
          <w:numId w:val="41"/>
        </w:numPr>
        <w:overflowPunct w:val="0"/>
        <w:autoSpaceDE w:val="0"/>
        <w:autoSpaceDN w:val="0"/>
        <w:adjustRightInd w:val="0"/>
        <w:ind w:left="284" w:hanging="284"/>
        <w:textAlignment w:val="baseline"/>
        <w:rPr>
          <w:bCs/>
          <w:iCs/>
        </w:rPr>
      </w:pPr>
      <w:r w:rsidRPr="004D0259">
        <w:t>изразява желание пълната самостоятелност на НИИ да бъде развита в единна и съгласувана рамка във всички държави — членки на ЕС</w:t>
      </w:r>
      <w:r w:rsidRPr="004D0259" w:rsidR="00693C06">
        <w:rPr>
          <w:lang w:val="en-US"/>
        </w:rPr>
        <w:t>;</w:t>
      </w:r>
    </w:p>
    <w:p w:rsidRPr="004D0259" w:rsidR="00D92244" w:rsidP="00EB25FE"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rsidRPr="004D0259">
        <w:t>изтъква, че е важно да се засили защитата на интелектуалната собственост на иновациите, които са в състояние да гарантират националната сигурност, и да се разшири обхватът на скрининга на преките чуждестранни инвестиции, така че да обхване и предприятията, подлежащи на сливания и придобивания, от десетте възлови сектора и продуктите с двойна употреба;</w:t>
      </w:r>
    </w:p>
    <w:p w:rsidRPr="004D0259" w:rsidR="00D92244" w:rsidP="00EB25FE"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rsidRPr="004D0259">
        <w:t>счита, че липсата на подробни насоки в подкрепа на дейностите на участниците в НИИ в областта на i) надлежната проверка, ii) профилирането на риска, iii) разработването на протоколи за разбирателство с международни организации, които са партньори в НИИ, е пропуск, но е на мнение, че тази липса може да бъде преодоляна чрез бъдещата работа на Европейския експертен център в областта на сигурността на научните изследвания;</w:t>
      </w:r>
    </w:p>
    <w:p w:rsidRPr="004D0259" w:rsidR="00D92244" w:rsidP="00EB25FE"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rsidRPr="004D0259">
        <w:t>изразява надежда, че Европейският експертен център в областта на сигурността на научните изследвания ще действа като платформа за събиране и споделяне на документи при пълно зачитане на взаимната прозрачност и ще организира професионално обучение и опреснителни курсове в областта на сигурността на научните изследвания.</w:t>
      </w:r>
    </w:p>
    <w:p w:rsidRPr="004D0259" w:rsidR="00D92244" w:rsidP="00EB25FE" w:rsidRDefault="00D92244" w14:paraId="4D4A58EC" w14:textId="77777777">
      <w:pPr>
        <w:spacing w:line="120" w:lineRule="auto"/>
        <w:jc w:val="left"/>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EB25FE" w:rsidRDefault="00D92244" w14:paraId="3842406F" w14:textId="77777777">
            <w:pPr>
              <w:overflowPunct w:val="0"/>
              <w:autoSpaceDE w:val="0"/>
              <w:autoSpaceDN w:val="0"/>
              <w:adjustRightInd w:val="0"/>
              <w:spacing w:line="240" w:lineRule="auto"/>
              <w:textAlignment w:val="baseline"/>
              <w:rPr>
                <w:i/>
              </w:rPr>
            </w:pPr>
            <w:r w:rsidRPr="004D0259">
              <w:rPr>
                <w:b/>
                <w:i/>
              </w:rPr>
              <w:t>За контакт</w:t>
            </w:r>
          </w:p>
        </w:tc>
        <w:tc>
          <w:tcPr>
            <w:tcW w:w="3444" w:type="pct"/>
          </w:tcPr>
          <w:p w:rsidRPr="00AD6EAC" w:rsidR="00D92244" w:rsidP="00EB25FE" w:rsidRDefault="00D92244" w14:paraId="60AEAEF9" w14:textId="2058FF32">
            <w:pPr>
              <w:overflowPunct w:val="0"/>
              <w:autoSpaceDE w:val="0"/>
              <w:autoSpaceDN w:val="0"/>
              <w:adjustRightInd w:val="0"/>
              <w:spacing w:line="240" w:lineRule="auto"/>
              <w:textAlignment w:val="baseline"/>
              <w:rPr>
                <w:i/>
              </w:rPr>
            </w:pPr>
            <w:r w:rsidRPr="004D0259">
              <w:rPr>
                <w:i/>
              </w:rPr>
              <w:t>Marco Manfroni</w:t>
            </w:r>
          </w:p>
        </w:tc>
      </w:tr>
      <w:tr w:rsidRPr="00AD6EAC" w:rsidR="00D92244" w:rsidTr="00D76388" w14:paraId="585CC20B" w14:textId="77777777">
        <w:tc>
          <w:tcPr>
            <w:tcW w:w="1556" w:type="pct"/>
          </w:tcPr>
          <w:p w:rsidRPr="00AD6EAC" w:rsidR="00D92244" w:rsidP="00EB25FE" w:rsidRDefault="00D92244" w14:paraId="24DE7F18"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3444" w:type="pct"/>
          </w:tcPr>
          <w:p w:rsidRPr="00AD6EAC" w:rsidR="00D92244" w:rsidP="00EB25FE" w:rsidRDefault="00D92244" w14:paraId="06BE94BD" w14:textId="77777777">
            <w:pPr>
              <w:overflowPunct w:val="0"/>
              <w:autoSpaceDE w:val="0"/>
              <w:autoSpaceDN w:val="0"/>
              <w:adjustRightInd w:val="0"/>
              <w:spacing w:line="240" w:lineRule="auto"/>
              <w:textAlignment w:val="baseline"/>
              <w:rPr>
                <w:bCs/>
                <w:i/>
              </w:rPr>
            </w:pPr>
            <w:r w:rsidRPr="004D0259">
              <w:rPr>
                <w:i/>
              </w:rPr>
              <w:t>+32 25469140</w:t>
            </w:r>
          </w:p>
        </w:tc>
      </w:tr>
      <w:tr w:rsidRPr="004D0259" w:rsidR="00D92244" w:rsidTr="00D76388" w14:paraId="4C2006AB" w14:textId="77777777">
        <w:tc>
          <w:tcPr>
            <w:tcW w:w="1556" w:type="pct"/>
          </w:tcPr>
          <w:p w:rsidRPr="00AD6EAC" w:rsidR="00D92244" w:rsidP="00EB25FE" w:rsidRDefault="00D92244" w14:paraId="798D005A" w14:textId="77777777">
            <w:pPr>
              <w:overflowPunct w:val="0"/>
              <w:autoSpaceDE w:val="0"/>
              <w:autoSpaceDN w:val="0"/>
              <w:adjustRightInd w:val="0"/>
              <w:spacing w:line="240" w:lineRule="auto"/>
              <w:textAlignment w:val="baseline"/>
              <w:rPr>
                <w:i/>
              </w:rPr>
            </w:pPr>
            <w:r w:rsidRPr="004D0259">
              <w:rPr>
                <w:i/>
              </w:rPr>
              <w:t>Електронен адрес</w:t>
            </w:r>
          </w:p>
        </w:tc>
        <w:tc>
          <w:tcPr>
            <w:tcW w:w="3444" w:type="pct"/>
          </w:tcPr>
          <w:p w:rsidRPr="004D0259" w:rsidR="00D92244" w:rsidP="00EB25FE" w:rsidRDefault="00101ED0" w14:paraId="3D9D06F0" w14:textId="54B85A05">
            <w:pPr>
              <w:overflowPunct w:val="0"/>
              <w:autoSpaceDE w:val="0"/>
              <w:autoSpaceDN w:val="0"/>
              <w:adjustRightInd w:val="0"/>
              <w:spacing w:line="240" w:lineRule="auto"/>
              <w:textAlignment w:val="baseline"/>
              <w:rPr>
                <w:i/>
              </w:rPr>
            </w:pPr>
            <w:hyperlink w:history="1" r:id="rId32">
              <w:r w:rsidRPr="004D0259" w:rsidR="00907DA8">
                <w:rPr>
                  <w:i/>
                  <w:color w:val="0000FF"/>
                  <w:u w:val="single"/>
                </w:rPr>
                <w:t>Marco.Manfroni@eesc.europa.eu</w:t>
              </w:r>
            </w:hyperlink>
          </w:p>
        </w:tc>
      </w:tr>
    </w:tbl>
    <w:p w:rsidRPr="004D0259" w:rsidR="00DC26B9" w:rsidP="00EB25FE" w:rsidRDefault="00DC26B9" w14:paraId="3806A840" w14:textId="77777777">
      <w:pPr>
        <w:spacing w:line="120" w:lineRule="auto"/>
        <w:jc w:val="left"/>
        <w:rPr>
          <w:rFonts w:eastAsiaTheme="minorEastAsia"/>
          <w:sz w:val="10"/>
          <w:szCs w:val="10"/>
        </w:rPr>
      </w:pPr>
      <w:r w:rsidRPr="004D0259">
        <w:rPr>
          <w:sz w:val="10"/>
          <w:szCs w:val="10"/>
        </w:rPr>
        <w:br w:type="page"/>
      </w:r>
    </w:p>
    <w:p w:rsidRPr="004D0259" w:rsidR="006A7E31" w:rsidP="004D0259" w:rsidRDefault="00520680" w14:paraId="295BACE7" w14:textId="7EB5E747">
      <w:pPr>
        <w:pStyle w:val="TOC1"/>
      </w:pPr>
      <w:bookmarkStart w:name="_Toc172193015" w:id="10"/>
      <w:bookmarkStart w:name="_Hlk171938165" w:id="11"/>
      <w:r w:rsidRPr="004D0259">
        <w:lastRenderedPageBreak/>
        <w:t>5.</w:t>
      </w:r>
      <w:r>
        <w:rPr>
          <w:rFonts w:asciiTheme="minorHAnsi" w:hAnsiTheme="minorHAnsi"/>
        </w:rPr>
        <w:tab/>
      </w:r>
      <w:hyperlink w:history="1" w:anchor="_Toc164353189">
        <w:r w:rsidRPr="004D0259">
          <w:t>ЗЕМЕДЕЛИЕ, РАЗВИТИЕ НА СЕЛСКИТЕ РАЙОНИ, ОКОЛНА СРЕДА</w:t>
        </w:r>
        <w:bookmarkEnd w:id="10"/>
      </w:hyperlink>
    </w:p>
    <w:p w:rsidRPr="004D0259" w:rsidR="006A7E31" w:rsidP="006A7E31" w:rsidRDefault="006A7E31" w14:paraId="3D04EFC9" w14:textId="77777777">
      <w:pPr>
        <w:rPr>
          <w:rFonts w:eastAsiaTheme="minorEastAsia"/>
        </w:rPr>
      </w:pPr>
    </w:p>
    <w:p w:rsidRPr="004D0259" w:rsidR="006A7E31" w:rsidP="006A7E31" w:rsidRDefault="00101ED0" w14:paraId="39D83DFD" w14:textId="3AC08966">
      <w:pPr>
        <w:widowControl w:val="0"/>
        <w:numPr>
          <w:ilvl w:val="0"/>
          <w:numId w:val="31"/>
        </w:numPr>
        <w:overflowPunct w:val="0"/>
        <w:autoSpaceDE w:val="0"/>
        <w:autoSpaceDN w:val="0"/>
        <w:adjustRightInd w:val="0"/>
        <w:textAlignment w:val="baseline"/>
        <w:rPr>
          <w:sz w:val="20"/>
          <w:szCs w:val="20"/>
        </w:rPr>
      </w:pPr>
      <w:hyperlink w:history="1" r:id="rId33">
        <w:r w:rsidRPr="004D0259" w:rsidR="00907DA8">
          <w:rPr>
            <w:b/>
            <w:i/>
            <w:color w:val="0000FF"/>
            <w:sz w:val="28"/>
            <w:u w:val="single"/>
          </w:rPr>
          <w:t>Генерална комисия по рибарство за Средиземно море</w:t>
        </w:r>
      </w:hyperlink>
    </w:p>
    <w:p w:rsidRPr="004D0259"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4010"/>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693C06" w14:paraId="232DC57A" w14:textId="77777777">
        <w:tc>
          <w:tcPr>
            <w:tcW w:w="1860"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sidRPr="004D0259">
              <w:rPr>
                <w:b/>
              </w:rPr>
              <w:t>Отправни документи</w:t>
            </w:r>
          </w:p>
        </w:tc>
        <w:tc>
          <w:tcPr>
            <w:tcW w:w="3140"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rsidRPr="004D0259">
              <w:t>COM(2024) 183 final</w:t>
            </w:r>
          </w:p>
        </w:tc>
      </w:tr>
      <w:tr w:rsidRPr="004D0259" w:rsidR="006A7E31" w:rsidTr="00693C06" w14:paraId="52116F2D" w14:textId="77777777">
        <w:tc>
          <w:tcPr>
            <w:tcW w:w="1860"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140" w:type="pct"/>
          </w:tcPr>
          <w:p w:rsidRPr="004D0259" w:rsidR="006A7E31" w:rsidP="00D76388" w:rsidRDefault="006A7E31" w14:paraId="57218549" w14:textId="77777777">
            <w:pPr>
              <w:tabs>
                <w:tab w:val="center" w:pos="284"/>
              </w:tabs>
              <w:overflowPunct w:val="0"/>
              <w:autoSpaceDE w:val="0"/>
              <w:autoSpaceDN w:val="0"/>
              <w:adjustRightInd w:val="0"/>
              <w:ind w:left="266" w:hanging="266"/>
              <w:textAlignment w:val="baseline"/>
            </w:pPr>
            <w:r w:rsidRPr="004D0259">
              <w:t>EESC-2024-02260-00-00-AC</w:t>
            </w:r>
          </w:p>
          <w:p w:rsidRPr="004D0259" w:rsidR="00A200F9" w:rsidP="00D76388" w:rsidRDefault="00A200F9" w14:paraId="754E25EA" w14:textId="1E409A4F">
            <w:pPr>
              <w:tabs>
                <w:tab w:val="center" w:pos="284"/>
              </w:tabs>
              <w:overflowPunct w:val="0"/>
              <w:autoSpaceDE w:val="0"/>
              <w:autoSpaceDN w:val="0"/>
              <w:adjustRightInd w:val="0"/>
              <w:ind w:left="266" w:hanging="266"/>
              <w:textAlignment w:val="baseline"/>
            </w:pPr>
            <w:r w:rsidRPr="004D0259">
              <w:t>(становище от категория В)</w:t>
            </w:r>
          </w:p>
        </w:tc>
      </w:tr>
    </w:tbl>
    <w:p w:rsidRPr="004D0259"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4D0259"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4D0259" w:rsidR="006A7E31" w:rsidP="006A7E31" w:rsidRDefault="006A7E31" w14:paraId="0D7A0E45" w14:textId="77777777">
      <w:pPr>
        <w:overflowPunct w:val="0"/>
        <w:autoSpaceDE w:val="0"/>
        <w:autoSpaceDN w:val="0"/>
        <w:adjustRightInd w:val="0"/>
        <w:textAlignment w:val="baseline"/>
        <w:rPr>
          <w:bCs/>
          <w:iCs/>
        </w:rPr>
      </w:pPr>
      <w:r w:rsidRPr="004D0259">
        <w:t>ЕИСК:</w:t>
      </w:r>
    </w:p>
    <w:p w:rsidRPr="004D0259" w:rsidR="006A7E31" w:rsidP="006A7E31" w:rsidRDefault="006A7E31" w14:paraId="1E82166E" w14:textId="77777777">
      <w:pPr>
        <w:overflowPunct w:val="0"/>
        <w:autoSpaceDE w:val="0"/>
        <w:autoSpaceDN w:val="0"/>
        <w:adjustRightInd w:val="0"/>
        <w:textAlignment w:val="baseline"/>
        <w:rPr>
          <w:bCs/>
          <w:iCs/>
        </w:rPr>
      </w:pPr>
    </w:p>
    <w:p w:rsidRPr="004D0259" w:rsidR="006A7E31" w:rsidP="004C40FF" w:rsidRDefault="006A7E31" w14:paraId="7FA337A0" w14:textId="77777777">
      <w:pPr>
        <w:widowControl w:val="0"/>
        <w:numPr>
          <w:ilvl w:val="0"/>
          <w:numId w:val="42"/>
        </w:numPr>
        <w:overflowPunct w:val="0"/>
        <w:autoSpaceDE w:val="0"/>
        <w:autoSpaceDN w:val="0"/>
        <w:adjustRightInd w:val="0"/>
        <w:textAlignment w:val="baseline"/>
        <w:rPr>
          <w:bCs/>
          <w:iCs/>
        </w:rPr>
      </w:pPr>
      <w:r w:rsidRPr="004D0259">
        <w:t>прецени, че съдържанието на предложението е напълно задоволително и не изисква никакви бележки от негова страна.</w:t>
      </w:r>
    </w:p>
    <w:p w:rsidRPr="004D0259"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sidRPr="004D0259">
              <w:rPr>
                <w:b/>
                <w:i/>
              </w:rPr>
              <w:t>За контакт</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sidRPr="004D0259">
              <w:rPr>
                <w:i/>
              </w:rPr>
              <w:t>Martine Delanoy</w:t>
            </w:r>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sidRPr="004D0259">
              <w:rPr>
                <w:i/>
              </w:rPr>
              <w:t>Тел</w:t>
            </w:r>
            <w:r w:rsidRPr="004D0259">
              <w:rPr>
                <w:i/>
                <w:iCs/>
              </w:rPr>
              <w:t>.</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sidRPr="004D0259">
              <w:rPr>
                <w:i/>
              </w:rPr>
              <w:t>+32 25469802</w:t>
            </w:r>
          </w:p>
        </w:tc>
      </w:tr>
      <w:tr w:rsidRPr="004D0259"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sidRPr="004D0259">
              <w:rPr>
                <w:i/>
              </w:rPr>
              <w:t>Електронен адрес</w:t>
            </w:r>
          </w:p>
        </w:tc>
        <w:tc>
          <w:tcPr>
            <w:tcW w:w="3444" w:type="pct"/>
          </w:tcPr>
          <w:p w:rsidRPr="004D0259" w:rsidR="006A7E31" w:rsidP="00D76388" w:rsidRDefault="00101ED0" w14:paraId="7E7A15DD" w14:textId="77777777">
            <w:pPr>
              <w:overflowPunct w:val="0"/>
              <w:autoSpaceDE w:val="0"/>
              <w:autoSpaceDN w:val="0"/>
              <w:adjustRightInd w:val="0"/>
              <w:spacing w:line="240" w:lineRule="auto"/>
              <w:textAlignment w:val="baseline"/>
              <w:rPr>
                <w:i/>
              </w:rPr>
            </w:pPr>
            <w:hyperlink w:history="1" r:id="rId34">
              <w:r w:rsidRPr="004D0259" w:rsidR="00907DA8">
                <w:rPr>
                  <w:i/>
                  <w:color w:val="0000FF"/>
                  <w:u w:val="single"/>
                </w:rPr>
                <w:t>Martine.Delanoy@eesc.europa.eu</w:t>
              </w:r>
            </w:hyperlink>
            <w:r w:rsidRPr="004D0259" w:rsidR="00907DA8">
              <w:rPr>
                <w:i/>
              </w:rPr>
              <w:t xml:space="preserve"> </w:t>
            </w:r>
          </w:p>
        </w:tc>
      </w:tr>
    </w:tbl>
    <w:p w:rsidRPr="004D0259" w:rsidR="006A7E31" w:rsidP="006A7E31" w:rsidRDefault="006A7E31" w14:paraId="6F567D38" w14:textId="77777777">
      <w:pPr>
        <w:spacing w:after="160" w:line="259" w:lineRule="auto"/>
        <w:jc w:val="left"/>
        <w:rPr>
          <w:rFonts w:eastAsiaTheme="minorEastAsia"/>
        </w:rPr>
      </w:pPr>
    </w:p>
    <w:p w:rsidRPr="004D0259" w:rsidR="006A7E31" w:rsidP="006A7E31" w:rsidRDefault="006260A5" w14:paraId="246982C8" w14:textId="5E6417A9">
      <w:pPr>
        <w:widowControl w:val="0"/>
        <w:numPr>
          <w:ilvl w:val="0"/>
          <w:numId w:val="27"/>
        </w:numPr>
        <w:overflowPunct w:val="0"/>
        <w:autoSpaceDE w:val="0"/>
        <w:autoSpaceDN w:val="0"/>
        <w:adjustRightInd w:val="0"/>
        <w:ind w:hanging="567"/>
        <w:textAlignment w:val="baseline"/>
        <w:rPr>
          <w:b/>
          <w:bCs/>
          <w:sz w:val="28"/>
          <w:szCs w:val="28"/>
          <w:u w:val="single"/>
        </w:rPr>
      </w:pPr>
      <w:r w:rsidRPr="004D0259">
        <w:rPr>
          <w:b/>
          <w:i/>
          <w:color w:val="0000FF"/>
          <w:sz w:val="28"/>
          <w:u w:val="single"/>
        </w:rPr>
        <w:t>Как да се гарантира социалната, екологичната и икономическата устойчивост на хранително-вкусовата промишленост на ЕС в контекста на бъдещото разширяване?</w:t>
      </w:r>
    </w:p>
    <w:p w:rsidRPr="004D0259"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803"/>
      </w:tblGrid>
      <w:tr w:rsidRPr="005721DA" w:rsidR="006A7E31" w:rsidTr="006C4F3B" w14:paraId="0A8ED047" w14:textId="77777777">
        <w:tc>
          <w:tcPr>
            <w:tcW w:w="1294"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sidRPr="004D0259">
              <w:rPr>
                <w:b/>
              </w:rPr>
              <w:t>Докладчик</w:t>
            </w:r>
          </w:p>
        </w:tc>
        <w:tc>
          <w:tcPr>
            <w:tcW w:w="3706" w:type="pct"/>
          </w:tcPr>
          <w:p w:rsidRPr="005721DA" w:rsidR="006A7E31" w:rsidP="006C4F3B" w:rsidRDefault="006A7E31" w14:paraId="0FD8C874" w14:textId="77777777">
            <w:pPr>
              <w:overflowPunct w:val="0"/>
              <w:autoSpaceDE w:val="0"/>
              <w:autoSpaceDN w:val="0"/>
              <w:adjustRightInd w:val="0"/>
              <w:textAlignment w:val="baseline"/>
              <w:rPr>
                <w:bCs/>
              </w:rPr>
            </w:pPr>
            <w:r w:rsidRPr="004D0259">
              <w:t>Стоян ЧУКАНОВ (група „Организации на гражданското общество“ — BG)</w:t>
            </w:r>
          </w:p>
        </w:tc>
      </w:tr>
      <w:tr w:rsidRPr="005721DA" w:rsidR="006A7E31" w:rsidTr="006C4F3B"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6C4F3B" w14:paraId="619C9BFB" w14:textId="77777777">
        <w:tc>
          <w:tcPr>
            <w:tcW w:w="1294"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sidRPr="004D0259">
              <w:rPr>
                <w:b/>
              </w:rPr>
              <w:t>Отправни документи</w:t>
            </w:r>
          </w:p>
        </w:tc>
        <w:tc>
          <w:tcPr>
            <w:tcW w:w="3706" w:type="pct"/>
          </w:tcPr>
          <w:p w:rsidRPr="004D0259" w:rsidR="00675DC1" w:rsidP="00D76388" w:rsidRDefault="00675DC1" w14:paraId="0EF6477D" w14:textId="2FD00AD1">
            <w:pPr>
              <w:tabs>
                <w:tab w:val="center" w:pos="284"/>
              </w:tabs>
              <w:overflowPunct w:val="0"/>
              <w:autoSpaceDE w:val="0"/>
              <w:autoSpaceDN w:val="0"/>
              <w:adjustRightInd w:val="0"/>
              <w:ind w:left="266" w:hanging="266"/>
              <w:textAlignment w:val="baseline"/>
            </w:pPr>
            <w:r w:rsidRPr="004D0259">
              <w:t>Проучвателно становище по искане на Европейската комисия</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rsidRPr="004D0259">
              <w:t>EESC-2024-01019-00-00-AC</w:t>
            </w:r>
          </w:p>
        </w:tc>
      </w:tr>
      <w:tr w:rsidRPr="004D0259" w:rsidR="006A7E31" w:rsidTr="006C4F3B" w14:paraId="305D4258" w14:textId="77777777">
        <w:tc>
          <w:tcPr>
            <w:tcW w:w="1294"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706" w:type="pct"/>
          </w:tcPr>
          <w:p w:rsidRPr="004D0259"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4D0259"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EC54AC" w:rsidP="006A7E31" w:rsidRDefault="00EC54AC" w14:paraId="4DA44AF4" w14:textId="77777777">
      <w:pPr>
        <w:overflowPunct w:val="0"/>
        <w:autoSpaceDE w:val="0"/>
        <w:autoSpaceDN w:val="0"/>
        <w:adjustRightInd w:val="0"/>
        <w:textAlignment w:val="baseline"/>
        <w:rPr>
          <w:bCs/>
          <w:iCs/>
        </w:rPr>
      </w:pPr>
    </w:p>
    <w:p w:rsidRPr="004D0259" w:rsidR="006A7E31" w:rsidP="006A7E31" w:rsidRDefault="006A7E31" w14:paraId="66855A04" w14:textId="51B4C774">
      <w:pPr>
        <w:overflowPunct w:val="0"/>
        <w:autoSpaceDE w:val="0"/>
        <w:autoSpaceDN w:val="0"/>
        <w:adjustRightInd w:val="0"/>
        <w:textAlignment w:val="baseline"/>
      </w:pPr>
      <w:r w:rsidRPr="004D0259">
        <w:t>ЕИСК:</w:t>
      </w:r>
    </w:p>
    <w:p w:rsidRPr="004D0259" w:rsidR="00693C06" w:rsidP="006A7E31" w:rsidRDefault="00693C06" w14:paraId="1F548F86" w14:textId="77777777">
      <w:pPr>
        <w:overflowPunct w:val="0"/>
        <w:autoSpaceDE w:val="0"/>
        <w:autoSpaceDN w:val="0"/>
        <w:adjustRightInd w:val="0"/>
        <w:textAlignment w:val="baseline"/>
        <w:rPr>
          <w:bCs/>
          <w:iCs/>
        </w:rPr>
      </w:pPr>
    </w:p>
    <w:p w:rsidRPr="004D0259" w:rsidR="006A7E31" w:rsidP="004C40FF"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rsidRPr="004D0259">
        <w:t>подчертава, че макар поради настоящите извънредни геополитически обстоятелства това разширяване да се различава от всички предишни разширявания, този факт не бива да води до понижаване на равнището на готовност на страните кандидатки, на значението на необходимите законодателни реформи и до по-лошо зачитане на основните ценности на ЕС;</w:t>
      </w:r>
    </w:p>
    <w:p w:rsidRPr="004D0259" w:rsidR="006A7E31" w:rsidP="004C40FF"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rsidRPr="004D0259">
        <w:t>подчертава значението на сигурността на доставките за производството на храни в ЕС на фона на геополитическо напрежение и необходимостта да се гарантира, че всички региони на ЕС могат да запазят селскостопанското си производство в бъдеще;</w:t>
      </w:r>
    </w:p>
    <w:p w:rsidRPr="004D0259" w:rsidR="006A7E31" w:rsidP="004C40FF"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rsidRPr="004D0259">
        <w:t xml:space="preserve">подчертава предоставените от това разширяване възможности за по-добро гарантиране на стратегическата автономност на ЕС и за допълнително намаляване на отпечатъка на сектора върху околната среда, но същевременно признава нееднозначните резултати от предишното разширяване, като отбелязва, че има печеливши и губещи, като слабите селски райони са се възползвали в много по-малка степен от агломерациите, а по-малките европейски земеделски стопанства изчезват; поради това настоятелно призовава Европейската комисия и държавите кандидатки да отчитат и да управляват въздействието на разширяването върху </w:t>
      </w:r>
      <w:r w:rsidRPr="004D0259">
        <w:lastRenderedPageBreak/>
        <w:t>потенциалните губещи, като вземат предвид по-специално семейните земеделски стопанства и малките и средните предприятия от хранително-вкусовата промишленост както в ЕС, така и в държавите кандидатки;</w:t>
      </w:r>
    </w:p>
    <w:p w:rsidRPr="004D0259" w:rsidR="006A7E31" w:rsidP="004C40FF"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rsidRPr="004D0259">
        <w:t xml:space="preserve">подчертава, че поради тази причина страните кандидатки ще трябва да се съобразят с общите цели и ценности на ОСП, а необходимите реформи на ОСП и съответната финансова рамка ще трябва да бъдат договорени преди разширяването; </w:t>
      </w:r>
    </w:p>
    <w:p w:rsidRPr="004D0259" w:rsidR="006A7E31" w:rsidP="004C40FF"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rsidRPr="004D0259">
        <w:t>препоръчва  постепенна замяна на настоящото основно подпомагане на доходите въз основа на площта с финансови стимули за услуги, които са от полза за околната среда и обществото, както и намаляващи плащания, задължително определяне на горна граница или увеличения за първите хектари за всички държави членки, и призовава политиките в областта на селското стопанство и развитието на селските райони да бъдат ориентирани в още по-голяма степен към икономика на близостта  и тези принципи да бъдат пренесени в новите страни кандидатки;</w:t>
      </w:r>
    </w:p>
    <w:p w:rsidRPr="004D0259" w:rsidR="006A7E31" w:rsidP="004C40FF"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rsidRPr="004D0259">
        <w:t xml:space="preserve">призовава за увеличаване на бюджета на ОСП, който трябва да бъде предназначен за надлежно компенсиране на отрицателните последици за земеделските стопани в ЕС, като се вземат предвид и потенциалните социални разходи, което означава, че през новия финансов период настоящите нетни вносители ще трябва да бъдат готови да плащат по-голяма част от своя БВП на ЕС, като се имат предвид нетните ползи за износителите на промишлени стоки и услуги от ЕС, докато хранително-вкусовият сектор ще понесе загуби поради по-ниските производствени разходи на някои от новите участници; </w:t>
      </w:r>
    </w:p>
    <w:p w:rsidRPr="004D0259" w:rsidR="006A7E31" w:rsidP="004C40FF"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rsidRPr="004D0259">
        <w:t>подчертава необходимостта от подробни и надеждни данни и настоятелно призовава Европейската комисия да следи отблизо селскостопанското производство и развитието на процесите на реформи, включително по отношение на спекулациите със земя;</w:t>
      </w:r>
    </w:p>
    <w:p w:rsidRPr="004D0259" w:rsidR="006A7E31" w:rsidP="004C40FF"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rsidRPr="004D0259">
        <w:t>отбелязва, че процесът на интеграция на практика вече започна, като пазарите на ЕС са отворени за селскостопански продукти от страните кандидатки, което създава потенциални неблагоприятни условия за държавите от ЕС, които трябва да бъдат избегнати чрез ясни правила, към които страните кандидатки трябва да се придържат.</w:t>
      </w:r>
    </w:p>
    <w:p w:rsidRPr="006C4F3B" w:rsidR="006A7E31" w:rsidP="006C4F3B" w:rsidRDefault="006A7E31" w14:paraId="07AD08EE" w14:textId="77777777">
      <w:pPr>
        <w:widowControl w:val="0"/>
        <w:overflowPunct w:val="0"/>
        <w:autoSpaceDE w:val="0"/>
        <w:autoSpaceDN w:val="0"/>
        <w:adjustRightInd w:val="0"/>
        <w:ind w:left="709"/>
        <w:textAlignment w:val="baseline"/>
        <w:rPr>
          <w:rFonts w:asciiTheme="minorHAnsi" w:hAnsiTheme="minorHAnsi"/>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4F3B" w:rsidR="006A7E31" w:rsidTr="00D76388" w14:paraId="5BF837CA" w14:textId="77777777">
        <w:tc>
          <w:tcPr>
            <w:tcW w:w="1556" w:type="pct"/>
          </w:tcPr>
          <w:p w:rsidRPr="006C4F3B" w:rsidR="006A7E31" w:rsidP="00D76388" w:rsidRDefault="006A7E31" w14:paraId="143C3E12" w14:textId="77777777">
            <w:pPr>
              <w:overflowPunct w:val="0"/>
              <w:autoSpaceDE w:val="0"/>
              <w:autoSpaceDN w:val="0"/>
              <w:adjustRightInd w:val="0"/>
              <w:spacing w:line="240" w:lineRule="auto"/>
              <w:textAlignment w:val="baseline"/>
              <w:rPr>
                <w:i/>
                <w:sz w:val="22"/>
                <w:szCs w:val="22"/>
              </w:rPr>
            </w:pPr>
            <w:r w:rsidRPr="004D0259">
              <w:rPr>
                <w:b/>
                <w:i/>
                <w:sz w:val="22"/>
                <w:szCs w:val="22"/>
              </w:rPr>
              <w:t xml:space="preserve">За контакт </w:t>
            </w:r>
          </w:p>
        </w:tc>
        <w:tc>
          <w:tcPr>
            <w:tcW w:w="3444" w:type="pct"/>
          </w:tcPr>
          <w:p w:rsidRPr="006C4F3B" w:rsidR="006A7E31" w:rsidP="00D76388" w:rsidRDefault="006A7E31" w14:paraId="66260770" w14:textId="51A2E154">
            <w:pPr>
              <w:overflowPunct w:val="0"/>
              <w:autoSpaceDE w:val="0"/>
              <w:autoSpaceDN w:val="0"/>
              <w:adjustRightInd w:val="0"/>
              <w:spacing w:line="240" w:lineRule="auto"/>
              <w:textAlignment w:val="baseline"/>
              <w:rPr>
                <w:i/>
                <w:sz w:val="22"/>
                <w:szCs w:val="22"/>
              </w:rPr>
            </w:pPr>
            <w:r w:rsidRPr="004D0259">
              <w:rPr>
                <w:i/>
                <w:sz w:val="22"/>
                <w:szCs w:val="22"/>
              </w:rPr>
              <w:t>Martine Delanoy</w:t>
            </w:r>
          </w:p>
        </w:tc>
      </w:tr>
      <w:tr w:rsidRPr="006C4F3B" w:rsidR="006A7E31" w:rsidTr="00D76388" w14:paraId="23B38305" w14:textId="77777777">
        <w:tc>
          <w:tcPr>
            <w:tcW w:w="1556" w:type="pct"/>
          </w:tcPr>
          <w:p w:rsidRPr="006C4F3B" w:rsidR="006A7E31" w:rsidP="00D76388" w:rsidRDefault="006A7E31" w14:paraId="5C8133FF" w14:textId="77777777">
            <w:pPr>
              <w:overflowPunct w:val="0"/>
              <w:autoSpaceDE w:val="0"/>
              <w:autoSpaceDN w:val="0"/>
              <w:adjustRightInd w:val="0"/>
              <w:spacing w:line="240" w:lineRule="auto"/>
              <w:textAlignment w:val="baseline"/>
              <w:rPr>
                <w:i/>
                <w:sz w:val="22"/>
                <w:szCs w:val="22"/>
              </w:rPr>
            </w:pPr>
            <w:r w:rsidRPr="004D0259">
              <w:rPr>
                <w:i/>
                <w:sz w:val="22"/>
                <w:szCs w:val="22"/>
              </w:rPr>
              <w:t>Тел</w:t>
            </w:r>
            <w:r w:rsidRPr="004D0259">
              <w:rPr>
                <w:i/>
                <w:iCs/>
                <w:sz w:val="22"/>
                <w:szCs w:val="22"/>
              </w:rPr>
              <w:t>.</w:t>
            </w:r>
          </w:p>
        </w:tc>
        <w:tc>
          <w:tcPr>
            <w:tcW w:w="3444" w:type="pct"/>
          </w:tcPr>
          <w:p w:rsidRPr="006C4F3B" w:rsidR="006A7E31" w:rsidP="00D76388" w:rsidRDefault="006A7E31" w14:paraId="63B4A1E4" w14:textId="77777777">
            <w:pPr>
              <w:overflowPunct w:val="0"/>
              <w:autoSpaceDE w:val="0"/>
              <w:autoSpaceDN w:val="0"/>
              <w:adjustRightInd w:val="0"/>
              <w:spacing w:line="240" w:lineRule="auto"/>
              <w:textAlignment w:val="baseline"/>
              <w:rPr>
                <w:i/>
                <w:sz w:val="22"/>
                <w:szCs w:val="22"/>
              </w:rPr>
            </w:pPr>
            <w:r w:rsidRPr="004D0259">
              <w:rPr>
                <w:i/>
                <w:sz w:val="22"/>
                <w:szCs w:val="22"/>
              </w:rPr>
              <w:t>+32 25469802</w:t>
            </w:r>
          </w:p>
        </w:tc>
      </w:tr>
      <w:tr w:rsidRPr="004D0259" w:rsidR="006A7E31" w:rsidTr="00D76388" w14:paraId="654AFF96" w14:textId="77777777">
        <w:tc>
          <w:tcPr>
            <w:tcW w:w="1556" w:type="pct"/>
          </w:tcPr>
          <w:p w:rsidRPr="006C4F3B" w:rsidR="006A7E31" w:rsidP="00D76388" w:rsidRDefault="006A7E31" w14:paraId="38B60C77" w14:textId="77777777">
            <w:pPr>
              <w:overflowPunct w:val="0"/>
              <w:autoSpaceDE w:val="0"/>
              <w:autoSpaceDN w:val="0"/>
              <w:adjustRightInd w:val="0"/>
              <w:spacing w:line="240" w:lineRule="auto"/>
              <w:textAlignment w:val="baseline"/>
              <w:rPr>
                <w:i/>
                <w:sz w:val="22"/>
                <w:szCs w:val="22"/>
              </w:rPr>
            </w:pPr>
            <w:r w:rsidRPr="004D0259">
              <w:rPr>
                <w:i/>
                <w:sz w:val="22"/>
                <w:szCs w:val="22"/>
              </w:rPr>
              <w:t>Електронен адрес</w:t>
            </w:r>
          </w:p>
        </w:tc>
        <w:tc>
          <w:tcPr>
            <w:tcW w:w="3444" w:type="pct"/>
          </w:tcPr>
          <w:p w:rsidRPr="004D0259" w:rsidR="006A7E31" w:rsidP="00D76388" w:rsidRDefault="00101ED0" w14:paraId="3B090D2B" w14:textId="77777777">
            <w:pPr>
              <w:overflowPunct w:val="0"/>
              <w:autoSpaceDE w:val="0"/>
              <w:autoSpaceDN w:val="0"/>
              <w:adjustRightInd w:val="0"/>
              <w:spacing w:line="240" w:lineRule="auto"/>
              <w:textAlignment w:val="baseline"/>
              <w:rPr>
                <w:i/>
                <w:sz w:val="22"/>
                <w:szCs w:val="22"/>
              </w:rPr>
            </w:pPr>
            <w:hyperlink w:history="1" r:id="rId35">
              <w:r w:rsidRPr="004D0259" w:rsidR="00907DA8">
                <w:rPr>
                  <w:i/>
                  <w:color w:val="0000FF"/>
                  <w:sz w:val="22"/>
                  <w:szCs w:val="22"/>
                  <w:u w:val="single"/>
                </w:rPr>
                <w:t>Martine.Delanoy@eesc.europa.eu</w:t>
              </w:r>
            </w:hyperlink>
            <w:r w:rsidRPr="004D0259" w:rsidR="00907DA8">
              <w:rPr>
                <w:i/>
                <w:sz w:val="22"/>
                <w:szCs w:val="22"/>
              </w:rPr>
              <w:t xml:space="preserve"> </w:t>
            </w:r>
          </w:p>
        </w:tc>
      </w:tr>
    </w:tbl>
    <w:p w:rsidRPr="004D0259" w:rsidR="006C4F3B" w:rsidP="004D0259" w:rsidRDefault="006C4F3B" w14:paraId="2D379B64" w14:textId="659306B9">
      <w:pPr>
        <w:pStyle w:val="TOC1"/>
      </w:pPr>
      <w:bookmarkStart w:name="_Hlk171938874" w:id="12"/>
    </w:p>
    <w:p w:rsidRPr="004D0259" w:rsidR="009316FB" w:rsidRDefault="009316FB" w14:paraId="5475E3F6" w14:textId="49B73EC4">
      <w:pPr>
        <w:spacing w:after="160" w:line="259" w:lineRule="auto"/>
        <w:jc w:val="left"/>
      </w:pPr>
      <w:r w:rsidRPr="004D0259">
        <w:br w:type="page"/>
      </w:r>
    </w:p>
    <w:p w:rsidRPr="004D0259" w:rsidR="00520680" w:rsidP="004D0259" w:rsidRDefault="006A7E31" w14:paraId="3600B088" w14:textId="69278C20">
      <w:pPr>
        <w:pStyle w:val="TOC1"/>
      </w:pPr>
      <w:bookmarkStart w:name="_Toc172193016" w:id="13"/>
      <w:r w:rsidRPr="004D0259">
        <w:lastRenderedPageBreak/>
        <w:t>6.</w:t>
      </w:r>
      <w:r w:rsidRPr="004D0259">
        <w:tab/>
        <w:t>ВЪНШНИ ОТНОШЕНИЯ</w:t>
      </w:r>
      <w:bookmarkEnd w:id="11"/>
      <w:bookmarkEnd w:id="12"/>
      <w:bookmarkEnd w:id="13"/>
    </w:p>
    <w:p w:rsidRPr="004D0259" w:rsidR="006A7E31" w:rsidP="008561C9" w:rsidRDefault="006A7E31" w14:paraId="7F857315" w14:textId="77777777">
      <w:pPr>
        <w:spacing w:line="120" w:lineRule="auto"/>
        <w:rPr>
          <w:sz w:val="10"/>
          <w:szCs w:val="10"/>
        </w:rPr>
      </w:pPr>
    </w:p>
    <w:p w:rsidRPr="004D0259" w:rsidR="003567CE" w:rsidP="004C40FF" w:rsidRDefault="00101ED0" w14:paraId="3CDD8FC4" w14:textId="4E44D971">
      <w:pPr>
        <w:widowControl w:val="0"/>
        <w:numPr>
          <w:ilvl w:val="0"/>
          <w:numId w:val="32"/>
        </w:numPr>
        <w:overflowPunct w:val="0"/>
        <w:autoSpaceDE w:val="0"/>
        <w:autoSpaceDN w:val="0"/>
        <w:adjustRightInd w:val="0"/>
        <w:ind w:hanging="720"/>
        <w:jc w:val="left"/>
        <w:textAlignment w:val="baseline"/>
        <w:rPr>
          <w:sz w:val="20"/>
        </w:rPr>
      </w:pPr>
      <w:hyperlink r:id="rId36">
        <w:r w:rsidRPr="004D0259" w:rsidR="00DC054C">
          <w:rPr>
            <w:b/>
            <w:i/>
            <w:color w:val="0000FF"/>
            <w:sz w:val="28"/>
            <w:u w:val="single"/>
          </w:rPr>
          <w:t>Скрининг на чуждестранните инвестиции в Съюза</w:t>
        </w:r>
      </w:hyperlink>
    </w:p>
    <w:p w:rsidRPr="004D0259"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103"/>
      </w:tblGrid>
      <w:tr w:rsidRPr="009316FB" w:rsidR="003567CE" w:rsidTr="009316FB" w14:paraId="6BEC2D5C" w14:textId="77777777">
        <w:trPr>
          <w:trHeight w:val="330"/>
        </w:trPr>
        <w:tc>
          <w:tcPr>
            <w:tcW w:w="2518" w:type="dxa"/>
          </w:tcPr>
          <w:p w:rsidRPr="009316FB" w:rsidR="003567CE" w:rsidP="008561C9" w:rsidRDefault="003567CE" w14:paraId="4A5DDF70" w14:textId="77777777">
            <w:pPr>
              <w:tabs>
                <w:tab w:val="center" w:pos="284"/>
              </w:tabs>
              <w:spacing w:line="240" w:lineRule="auto"/>
              <w:ind w:left="266" w:hanging="266"/>
              <w:rPr>
                <w:b/>
                <w:sz w:val="22"/>
                <w:szCs w:val="22"/>
              </w:rPr>
            </w:pPr>
            <w:r w:rsidRPr="004D0259">
              <w:rPr>
                <w:b/>
                <w:sz w:val="22"/>
                <w:szCs w:val="22"/>
              </w:rPr>
              <w:t>Докладчик</w:t>
            </w:r>
          </w:p>
        </w:tc>
        <w:tc>
          <w:tcPr>
            <w:tcW w:w="5103" w:type="dxa"/>
          </w:tcPr>
          <w:p w:rsidRPr="004D0259" w:rsidR="003567CE" w:rsidP="008561C9" w:rsidRDefault="003567CE" w14:paraId="5C6E2D44" w14:textId="4256AE26">
            <w:pPr>
              <w:tabs>
                <w:tab w:val="center" w:pos="2585"/>
              </w:tabs>
              <w:spacing w:line="240" w:lineRule="auto"/>
              <w:jc w:val="left"/>
              <w:rPr>
                <w:sz w:val="22"/>
                <w:szCs w:val="22"/>
              </w:rPr>
            </w:pPr>
            <w:r w:rsidRPr="004D0259">
              <w:rPr>
                <w:sz w:val="22"/>
                <w:szCs w:val="22"/>
              </w:rPr>
              <w:t>Javier DOZ ORRIT (група „Работници“ — ES)</w:t>
            </w:r>
          </w:p>
          <w:p w:rsidRPr="009316FB" w:rsidR="007F26D0" w:rsidP="008561C9" w:rsidRDefault="007F26D0" w14:paraId="0E519C77" w14:textId="08771BB2">
            <w:pPr>
              <w:tabs>
                <w:tab w:val="center" w:pos="2585"/>
              </w:tabs>
              <w:spacing w:line="120" w:lineRule="auto"/>
              <w:jc w:val="left"/>
              <w:rPr>
                <w:sz w:val="22"/>
                <w:szCs w:val="22"/>
              </w:rPr>
            </w:pPr>
          </w:p>
        </w:tc>
      </w:tr>
      <w:tr w:rsidRPr="004D0259" w:rsidR="003567CE" w:rsidTr="009316FB" w14:paraId="24EFF744" w14:textId="77777777">
        <w:tc>
          <w:tcPr>
            <w:tcW w:w="2518" w:type="dxa"/>
          </w:tcPr>
          <w:p w:rsidRPr="009316FB" w:rsidR="003567CE" w:rsidP="008561C9" w:rsidRDefault="003567CE" w14:paraId="5E952219" w14:textId="77777777">
            <w:pPr>
              <w:tabs>
                <w:tab w:val="center" w:pos="284"/>
              </w:tabs>
              <w:spacing w:line="240" w:lineRule="auto"/>
              <w:ind w:left="266" w:hanging="266"/>
              <w:rPr>
                <w:b/>
                <w:sz w:val="22"/>
                <w:szCs w:val="22"/>
              </w:rPr>
            </w:pPr>
            <w:r w:rsidRPr="004D0259">
              <w:rPr>
                <w:b/>
                <w:sz w:val="22"/>
                <w:szCs w:val="22"/>
              </w:rPr>
              <w:t>Отправни документи</w:t>
            </w:r>
          </w:p>
        </w:tc>
        <w:tc>
          <w:tcPr>
            <w:tcW w:w="5103" w:type="dxa"/>
          </w:tcPr>
          <w:p w:rsidRPr="004D0259" w:rsidR="007F26D0" w:rsidP="008561C9" w:rsidRDefault="007F26D0" w14:paraId="5C20CCDF" w14:textId="05E01A5F">
            <w:pPr>
              <w:tabs>
                <w:tab w:val="center" w:pos="284"/>
              </w:tabs>
              <w:spacing w:line="240" w:lineRule="auto"/>
              <w:ind w:left="266" w:hanging="266"/>
              <w:rPr>
                <w:sz w:val="22"/>
                <w:szCs w:val="22"/>
              </w:rPr>
            </w:pPr>
            <w:r w:rsidRPr="004D0259">
              <w:rPr>
                <w:sz w:val="22"/>
                <w:szCs w:val="22"/>
              </w:rPr>
              <w:t>COM(2024) 23 final</w:t>
            </w:r>
          </w:p>
          <w:p w:rsidRPr="004D0259" w:rsidR="003567CE" w:rsidP="008561C9" w:rsidRDefault="003567CE" w14:paraId="1A4A06B4" w14:textId="1263C970">
            <w:pPr>
              <w:tabs>
                <w:tab w:val="center" w:pos="284"/>
              </w:tabs>
              <w:spacing w:line="240" w:lineRule="auto"/>
              <w:ind w:left="266" w:hanging="266"/>
              <w:rPr>
                <w:sz w:val="22"/>
                <w:szCs w:val="22"/>
              </w:rPr>
            </w:pPr>
            <w:r w:rsidRPr="004D0259">
              <w:rPr>
                <w:sz w:val="22"/>
                <w:szCs w:val="22"/>
              </w:rPr>
              <w:t>EESC-2024-01434-00-02-AC</w:t>
            </w:r>
          </w:p>
        </w:tc>
      </w:tr>
    </w:tbl>
    <w:p w:rsidRPr="004D0259" w:rsidR="00693C06" w:rsidP="008561C9" w:rsidRDefault="00693C06" w14:paraId="0E79FE7D" w14:textId="77777777">
      <w:pPr>
        <w:spacing w:line="120" w:lineRule="auto"/>
        <w:rPr>
          <w:b/>
        </w:rPr>
      </w:pPr>
    </w:p>
    <w:p w:rsidRPr="004D0259" w:rsidR="003567CE" w:rsidP="003567CE" w:rsidRDefault="003567CE" w14:paraId="4E9E0FBD" w14:textId="0A12CE1E">
      <w:pPr>
        <w:keepNext/>
        <w:keepLines/>
        <w:tabs>
          <w:tab w:val="center" w:pos="284"/>
        </w:tabs>
        <w:ind w:left="266" w:hanging="266"/>
        <w:rPr>
          <w:b/>
        </w:rPr>
      </w:pPr>
      <w:r w:rsidRPr="004D0259">
        <w:rPr>
          <w:b/>
        </w:rPr>
        <w:t>Основни аспекти</w:t>
      </w:r>
    </w:p>
    <w:p w:rsidRPr="004D0259" w:rsidR="003567CE" w:rsidP="008561C9" w:rsidRDefault="003567CE" w14:paraId="20CEAEC9" w14:textId="77777777">
      <w:pPr>
        <w:spacing w:line="120" w:lineRule="auto"/>
        <w:rPr>
          <w:b/>
          <w:sz w:val="16"/>
          <w:szCs w:val="16"/>
          <w:lang w:val="en-US"/>
        </w:rPr>
      </w:pPr>
    </w:p>
    <w:p w:rsidRPr="004D0259" w:rsidR="003567CE" w:rsidP="003567CE" w:rsidRDefault="003567CE" w14:paraId="341428CA" w14:textId="4711E675">
      <w:pPr>
        <w:rPr>
          <w:bCs/>
          <w:iCs/>
        </w:rPr>
      </w:pPr>
      <w:r w:rsidRPr="004D0259">
        <w:t>ЕИСК:</w:t>
      </w:r>
    </w:p>
    <w:p w:rsidRPr="004D0259" w:rsidR="00BC28F5" w:rsidP="008561C9" w:rsidRDefault="00BC28F5" w14:paraId="14C2E21C" w14:textId="77777777">
      <w:pPr>
        <w:spacing w:line="120" w:lineRule="auto"/>
        <w:rPr>
          <w:bCs/>
          <w:iCs/>
          <w:lang w:val="en-US"/>
        </w:rPr>
      </w:pPr>
    </w:p>
    <w:p w:rsidRPr="004D0259" w:rsidR="003567CE" w:rsidP="004C40FF"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rsidRPr="004D0259">
        <w:t>приветства предложения регламент като стъпка в правилната посока, която засилва механизмите за скрининг на преките чуждестранни инвестиции (ПЧИ) в ЕС. Настоящият регламент има за цел да хармонизира националните процедури и да укрепи механизма за сътрудничество на ЕС, като гарантира публичен контрол върху критичните сектори и програми;</w:t>
      </w:r>
    </w:p>
    <w:p w:rsidRPr="004D0259" w:rsidR="003567CE" w:rsidP="004C40FF"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rsidRPr="004D0259">
        <w:t>подчертава значението на насърчаването на по-голяма хармонизация на националните норми, уреждащи ПЧИ и механизмите за скрининг. Сред тях са i) определяне на последователни прагове за контрол на ПЧИ и единни срокове за отговор; ii) установяване на съгласувани определения на рисковете за сигурността и обществения ред; iii) укрепване на капацитета на държавите членки за ефективно изпълнение на задачите за контрол на ПЧИ;</w:t>
      </w:r>
    </w:p>
    <w:p w:rsidRPr="004D0259" w:rsidR="003567CE" w:rsidP="004C40FF" w:rsidRDefault="003567CE" w14:paraId="035CA57A" w14:textId="77777777">
      <w:pPr>
        <w:widowControl w:val="0"/>
        <w:numPr>
          <w:ilvl w:val="0"/>
          <w:numId w:val="45"/>
        </w:numPr>
        <w:spacing w:before="10" w:after="10" w:line="276" w:lineRule="auto"/>
        <w:ind w:left="426"/>
      </w:pPr>
      <w:r w:rsidRPr="004D0259">
        <w:t>призовава за установяване на изключителни случаи, в които институциите на ЕС могат да забранят, смекчат или прилагат условия по отношение на ПЧИ, които застрашават програми или проекти от интерес за Съюза, като гарантират единен подход за защита на обществената сигурност и ред във всички държави членки. За тази цел ЕС следва да установи ясни процедури и обстоятелства за упражняване на контрол върху инвестициите, които пораждат значителни рискове за интересите на ЕС;</w:t>
      </w:r>
    </w:p>
    <w:p w:rsidRPr="004D0259" w:rsidR="003567CE" w:rsidP="004C40FF" w:rsidRDefault="003567CE" w14:paraId="1444EF7F" w14:textId="77777777">
      <w:pPr>
        <w:widowControl w:val="0"/>
        <w:numPr>
          <w:ilvl w:val="0"/>
          <w:numId w:val="45"/>
        </w:numPr>
        <w:spacing w:before="10" w:after="10" w:line="276" w:lineRule="auto"/>
        <w:ind w:left="426"/>
      </w:pPr>
      <w:r w:rsidRPr="004D0259">
        <w:t>предлага да се насърчава прилагането на принципа на реципрочност в споразуменията за търговия, инвестиции или асоцииране с трети държави и да се наблюдават инвестициите от държави, които ограничават инвестициите на ЕС, за да се гарантира балансирано и справедливо третиране; стриктното прилагане ще се решава за всеки отделен случай. В концептуалната рамка за стратегическа автономност и стратегията за икономическа сигурност и занапред трябва да се насърчават ПЧИ, за да се утвърждава устойчивата конкурентоспособност;</w:t>
      </w:r>
    </w:p>
    <w:p w:rsidRPr="004D0259" w:rsidR="003567CE" w:rsidP="004C40FF" w:rsidRDefault="003567CE" w14:paraId="33A49B20" w14:textId="77777777">
      <w:pPr>
        <w:widowControl w:val="0"/>
        <w:numPr>
          <w:ilvl w:val="0"/>
          <w:numId w:val="45"/>
        </w:numPr>
        <w:spacing w:before="10" w:after="10" w:line="276" w:lineRule="auto"/>
        <w:ind w:left="426"/>
      </w:pPr>
      <w:r w:rsidRPr="004D0259">
        <w:t>призовава инвестициите от данъчни убежища да се подложат на специално наблюдение, изискващо пълно познаване на действителните собственици на инвестиращите дружества и проверка на законността на използваните средства. Държавите членки трябва да разгледат възможността за премахване на т.нар. „златни визи“ за получаване на пребиваване или гражданство в държава от ЕС;</w:t>
      </w:r>
    </w:p>
    <w:p w:rsidRPr="004D0259" w:rsidR="003567CE" w:rsidP="004C40FF" w:rsidRDefault="003567CE" w14:paraId="4CDFF91C" w14:textId="77777777">
      <w:pPr>
        <w:widowControl w:val="0"/>
        <w:numPr>
          <w:ilvl w:val="0"/>
          <w:numId w:val="45"/>
        </w:numPr>
        <w:spacing w:before="10" w:after="10" w:line="276" w:lineRule="auto"/>
        <w:ind w:left="426"/>
      </w:pPr>
      <w:r w:rsidRPr="004D0259">
        <w:t xml:space="preserve">подчертава необходимостта от механизми за участие на социалните партньори и организациите на гражданското общество в политиката и контрола върху ПЧИ както на равнището на ЕС, така и на национално равнище, като се гарантира прозрачност и приобщаване в процеса на оценка. </w:t>
      </w:r>
    </w:p>
    <w:p w:rsidRPr="004D0259" w:rsidR="003567CE" w:rsidP="008561C9" w:rsidRDefault="003567CE" w14:paraId="476482E2" w14:textId="77777777">
      <w:pPr>
        <w:spacing w:line="120" w:lineRule="auto"/>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3567CE" w:rsidR="003567CE" w:rsidTr="00141BA5" w14:paraId="0BDAEDE2" w14:textId="77777777">
        <w:tc>
          <w:tcPr>
            <w:tcW w:w="2093" w:type="dxa"/>
          </w:tcPr>
          <w:p w:rsidRPr="003567CE" w:rsidR="003567CE" w:rsidP="003567CE" w:rsidRDefault="003567CE" w14:paraId="75FDFE87" w14:textId="77777777">
            <w:pPr>
              <w:rPr>
                <w:i/>
                <w:sz w:val="22"/>
                <w:szCs w:val="22"/>
              </w:rPr>
            </w:pPr>
            <w:r w:rsidRPr="004D0259">
              <w:rPr>
                <w:b/>
                <w:i/>
                <w:sz w:val="22"/>
              </w:rPr>
              <w:t>За контакт</w:t>
            </w:r>
          </w:p>
        </w:tc>
        <w:tc>
          <w:tcPr>
            <w:tcW w:w="4995" w:type="dxa"/>
          </w:tcPr>
          <w:p w:rsidRPr="003567CE" w:rsidR="003567CE" w:rsidP="003567CE" w:rsidRDefault="003567CE" w14:paraId="2C1A667F" w14:textId="77777777">
            <w:pPr>
              <w:rPr>
                <w:i/>
                <w:sz w:val="22"/>
                <w:szCs w:val="22"/>
              </w:rPr>
            </w:pPr>
            <w:r w:rsidRPr="004D0259">
              <w:rPr>
                <w:i/>
                <w:sz w:val="22"/>
              </w:rPr>
              <w:t>Marco Ristori</w:t>
            </w:r>
          </w:p>
        </w:tc>
      </w:tr>
      <w:tr w:rsidRPr="003567CE" w:rsidR="003567CE" w:rsidTr="00141BA5" w14:paraId="43A475CE" w14:textId="77777777">
        <w:tc>
          <w:tcPr>
            <w:tcW w:w="2093" w:type="dxa"/>
          </w:tcPr>
          <w:p w:rsidRPr="003567CE" w:rsidR="003567CE" w:rsidP="003567CE" w:rsidRDefault="003567CE" w14:paraId="68E49F1C" w14:textId="77777777">
            <w:pPr>
              <w:rPr>
                <w:i/>
                <w:sz w:val="22"/>
                <w:szCs w:val="22"/>
              </w:rPr>
            </w:pPr>
            <w:r w:rsidRPr="004D0259">
              <w:rPr>
                <w:i/>
                <w:sz w:val="22"/>
              </w:rPr>
              <w:t>Тел</w:t>
            </w:r>
            <w:r w:rsidRPr="004D0259">
              <w:rPr>
                <w:i/>
                <w:iCs/>
                <w:sz w:val="22"/>
              </w:rPr>
              <w:t>.</w:t>
            </w:r>
          </w:p>
        </w:tc>
        <w:tc>
          <w:tcPr>
            <w:tcW w:w="4995" w:type="dxa"/>
          </w:tcPr>
          <w:p w:rsidRPr="003567CE" w:rsidR="003567CE" w:rsidP="003567CE" w:rsidRDefault="003567CE" w14:paraId="25B8F53A" w14:textId="77777777">
            <w:pPr>
              <w:rPr>
                <w:i/>
                <w:sz w:val="22"/>
                <w:szCs w:val="22"/>
              </w:rPr>
            </w:pPr>
            <w:r w:rsidRPr="004D0259">
              <w:rPr>
                <w:i/>
                <w:sz w:val="22"/>
              </w:rPr>
              <w:t>+32 25469969</w:t>
            </w:r>
          </w:p>
        </w:tc>
      </w:tr>
      <w:tr w:rsidRPr="004D0259" w:rsidR="003567CE" w:rsidTr="00141BA5" w14:paraId="25CC9356" w14:textId="77777777">
        <w:tc>
          <w:tcPr>
            <w:tcW w:w="2093" w:type="dxa"/>
          </w:tcPr>
          <w:p w:rsidRPr="003567CE" w:rsidR="003567CE" w:rsidP="003567CE" w:rsidRDefault="003567CE" w14:paraId="17484178" w14:textId="77777777">
            <w:pPr>
              <w:rPr>
                <w:i/>
                <w:sz w:val="22"/>
                <w:szCs w:val="22"/>
              </w:rPr>
            </w:pPr>
            <w:r w:rsidRPr="004D0259">
              <w:rPr>
                <w:i/>
                <w:sz w:val="22"/>
              </w:rPr>
              <w:t>Електронен адрес</w:t>
            </w:r>
          </w:p>
        </w:tc>
        <w:tc>
          <w:tcPr>
            <w:tcW w:w="4995" w:type="dxa"/>
          </w:tcPr>
          <w:p w:rsidRPr="004D0259" w:rsidR="003567CE" w:rsidP="003567CE" w:rsidRDefault="00101ED0" w14:paraId="4A046612" w14:textId="77777777">
            <w:pPr>
              <w:rPr>
                <w:i/>
                <w:sz w:val="22"/>
                <w:szCs w:val="22"/>
              </w:rPr>
            </w:pPr>
            <w:hyperlink w:history="1" r:id="rId37">
              <w:r w:rsidRPr="004D0259" w:rsidR="00907DA8">
                <w:rPr>
                  <w:i/>
                  <w:color w:val="0000FF"/>
                  <w:sz w:val="22"/>
                  <w:u w:val="single"/>
                </w:rPr>
                <w:t>Marco.Ristori@eesc.europa.eu</w:t>
              </w:r>
            </w:hyperlink>
          </w:p>
        </w:tc>
      </w:tr>
    </w:tbl>
    <w:p w:rsidRPr="004D0259" w:rsidR="003567CE" w:rsidP="008561C9" w:rsidRDefault="003567CE" w14:paraId="67F3595B" w14:textId="7DB7E2AE">
      <w:pPr>
        <w:tabs>
          <w:tab w:val="left" w:pos="426"/>
        </w:tabs>
        <w:spacing w:line="120" w:lineRule="auto"/>
        <w:ind w:left="425" w:hanging="425"/>
        <w:jc w:val="left"/>
        <w:rPr>
          <w:rFonts w:eastAsiaTheme="minorEastAsia"/>
        </w:rPr>
      </w:pPr>
      <w:r w:rsidRPr="004D0259">
        <w:br w:type="page"/>
      </w:r>
    </w:p>
    <w:p w:rsidRPr="004D0259" w:rsidR="003567CE" w:rsidP="006C4F3B" w:rsidRDefault="003567CE" w14:paraId="12801943" w14:textId="77777777">
      <w:pPr>
        <w:rPr>
          <w:rFonts w:eastAsiaTheme="minorEastAsia"/>
        </w:rPr>
      </w:pPr>
    </w:p>
    <w:p w:rsidRPr="004D0259" w:rsidR="006A7E31" w:rsidP="004D0259" w:rsidRDefault="00A72EDD" w14:paraId="07F93DE3" w14:textId="5E2145AE">
      <w:pPr>
        <w:pStyle w:val="TOC1"/>
      </w:pPr>
      <w:bookmarkStart w:name="_Hlk171939398" w:id="14"/>
      <w:bookmarkStart w:name="_Toc172193017" w:id="15"/>
      <w:bookmarkStart w:name="_Hlk171940016" w:id="16"/>
      <w:r w:rsidRPr="004D0259">
        <w:t>7.</w:t>
      </w:r>
      <w:r w:rsidRPr="004D0259">
        <w:tab/>
      </w:r>
      <w:bookmarkEnd w:id="14"/>
      <w:r w:rsidRPr="004D0259">
        <w:t>ТРАНСПОРТ, ЕНЕРГЕТИКА, ИНФРАСТРУКТУРИ, ИНФОРМАЦИОННО ОБЩЕСТВО</w:t>
      </w:r>
      <w:bookmarkEnd w:id="15"/>
    </w:p>
    <w:bookmarkEnd w:id="16"/>
    <w:p w:rsidRPr="004D0259" w:rsidR="00160A67" w:rsidP="006C4F3B" w:rsidRDefault="00160A67" w14:paraId="2CBE297E" w14:textId="164A826B">
      <w:pPr>
        <w:rPr>
          <w:rFonts w:eastAsiaTheme="minorEastAsia"/>
        </w:rPr>
      </w:pPr>
    </w:p>
    <w:p w:rsidRPr="004D0259" w:rsidR="00200444" w:rsidP="00200444" w:rsidRDefault="00101ED0" w14:paraId="58676F78" w14:textId="19339B2B">
      <w:pPr>
        <w:widowControl w:val="0"/>
        <w:numPr>
          <w:ilvl w:val="0"/>
          <w:numId w:val="27"/>
        </w:numPr>
        <w:overflowPunct w:val="0"/>
        <w:autoSpaceDE w:val="0"/>
        <w:autoSpaceDN w:val="0"/>
        <w:adjustRightInd w:val="0"/>
        <w:ind w:hanging="567"/>
        <w:textAlignment w:val="baseline"/>
        <w:rPr>
          <w:sz w:val="20"/>
          <w:szCs w:val="20"/>
        </w:rPr>
      </w:pPr>
      <w:hyperlink w:history="1" r:id="rId38">
        <w:r w:rsidRPr="004D0259" w:rsidR="00907DA8">
          <w:rPr>
            <w:b/>
            <w:i/>
            <w:color w:val="0000FF"/>
            <w:sz w:val="28"/>
            <w:u w:val="single"/>
          </w:rPr>
          <w:t>Цифровизация на енергийния сектор: балансиране на възможностите и рисковете за европейските потребители</w:t>
        </w:r>
      </w:hyperlink>
    </w:p>
    <w:p w:rsidRPr="004D0259"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2"/>
        <w:gridCol w:w="6271"/>
      </w:tblGrid>
      <w:tr w:rsidRPr="006C4F3B" w:rsidR="00200444" w:rsidTr="006C4F3B" w14:paraId="5935AE73" w14:textId="77777777">
        <w:tc>
          <w:tcPr>
            <w:tcW w:w="2802" w:type="dxa"/>
          </w:tcPr>
          <w:p w:rsidRPr="006C4F3B" w:rsidR="00200444" w:rsidP="00200444" w:rsidRDefault="00200444" w14:paraId="23ACF2BE" w14:textId="77777777">
            <w:pPr>
              <w:tabs>
                <w:tab w:val="center" w:pos="284"/>
              </w:tabs>
              <w:overflowPunct w:val="0"/>
              <w:autoSpaceDE w:val="0"/>
              <w:autoSpaceDN w:val="0"/>
              <w:adjustRightInd w:val="0"/>
              <w:ind w:left="266" w:hanging="266"/>
              <w:textAlignment w:val="baseline"/>
              <w:rPr>
                <w:b/>
                <w:sz w:val="22"/>
                <w:szCs w:val="22"/>
              </w:rPr>
            </w:pPr>
            <w:r w:rsidRPr="004D0259">
              <w:rPr>
                <w:b/>
                <w:sz w:val="22"/>
                <w:szCs w:val="22"/>
              </w:rPr>
              <w:t>Докладчик</w:t>
            </w:r>
          </w:p>
        </w:tc>
        <w:tc>
          <w:tcPr>
            <w:tcW w:w="6271" w:type="dxa"/>
          </w:tcPr>
          <w:p w:rsidRPr="006C4F3B" w:rsidR="00200444" w:rsidP="006C4F3B" w:rsidRDefault="00200444" w14:paraId="3CE93226" w14:textId="77777777">
            <w:pPr>
              <w:overflowPunct w:val="0"/>
              <w:autoSpaceDE w:val="0"/>
              <w:autoSpaceDN w:val="0"/>
              <w:adjustRightInd w:val="0"/>
              <w:ind w:firstLine="27"/>
              <w:textAlignment w:val="baseline"/>
              <w:rPr>
                <w:sz w:val="22"/>
                <w:szCs w:val="22"/>
              </w:rPr>
            </w:pPr>
            <w:r w:rsidRPr="004D0259">
              <w:rPr>
                <w:sz w:val="22"/>
                <w:szCs w:val="22"/>
              </w:rPr>
              <w:t>Kęstutis KUPŠYS (група „Организации на гражданското общество“ — LT)</w:t>
            </w:r>
          </w:p>
        </w:tc>
      </w:tr>
      <w:tr w:rsidRPr="006C4F3B" w:rsidR="00200444" w:rsidTr="00D76388" w14:paraId="6CCE46EB" w14:textId="77777777">
        <w:tc>
          <w:tcPr>
            <w:tcW w:w="9073" w:type="dxa"/>
            <w:gridSpan w:val="2"/>
          </w:tcPr>
          <w:p w:rsidRPr="006C4F3B"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D0259" w:rsidR="00200444" w:rsidTr="006C4F3B" w14:paraId="2A2B80A0" w14:textId="77777777">
        <w:tc>
          <w:tcPr>
            <w:tcW w:w="2802" w:type="dxa"/>
          </w:tcPr>
          <w:p w:rsidRPr="006C4F3B" w:rsidR="00200444" w:rsidP="00200444" w:rsidRDefault="00200444" w14:paraId="40839C6F" w14:textId="77777777">
            <w:pPr>
              <w:tabs>
                <w:tab w:val="center" w:pos="284"/>
              </w:tabs>
              <w:overflowPunct w:val="0"/>
              <w:autoSpaceDE w:val="0"/>
              <w:autoSpaceDN w:val="0"/>
              <w:adjustRightInd w:val="0"/>
              <w:ind w:left="266" w:hanging="266"/>
              <w:textAlignment w:val="baseline"/>
              <w:rPr>
                <w:b/>
                <w:sz w:val="22"/>
                <w:szCs w:val="22"/>
              </w:rPr>
            </w:pPr>
            <w:r w:rsidRPr="004D0259">
              <w:rPr>
                <w:b/>
                <w:sz w:val="22"/>
                <w:szCs w:val="22"/>
              </w:rPr>
              <w:t>Отправни документи</w:t>
            </w:r>
          </w:p>
        </w:tc>
        <w:tc>
          <w:tcPr>
            <w:tcW w:w="6271" w:type="dxa"/>
          </w:tcPr>
          <w:p w:rsidRPr="004D0259" w:rsidR="00200444" w:rsidP="00200444" w:rsidRDefault="00200444" w14:paraId="141519EE" w14:textId="77777777">
            <w:pPr>
              <w:tabs>
                <w:tab w:val="center" w:pos="0"/>
              </w:tabs>
              <w:overflowPunct w:val="0"/>
              <w:autoSpaceDE w:val="0"/>
              <w:autoSpaceDN w:val="0"/>
              <w:adjustRightInd w:val="0"/>
              <w:textAlignment w:val="baseline"/>
              <w:rPr>
                <w:sz w:val="22"/>
                <w:szCs w:val="22"/>
              </w:rPr>
            </w:pPr>
            <w:r w:rsidRPr="004D0259">
              <w:rPr>
                <w:sz w:val="22"/>
                <w:szCs w:val="22"/>
              </w:rPr>
              <w:t>Становище по собствена инициатива</w:t>
            </w:r>
          </w:p>
          <w:p w:rsidRPr="004D0259" w:rsidR="00200444" w:rsidP="00200444" w:rsidRDefault="00200444" w14:paraId="08907D81" w14:textId="77777777">
            <w:pPr>
              <w:tabs>
                <w:tab w:val="center" w:pos="284"/>
              </w:tabs>
              <w:overflowPunct w:val="0"/>
              <w:autoSpaceDE w:val="0"/>
              <w:autoSpaceDN w:val="0"/>
              <w:adjustRightInd w:val="0"/>
              <w:ind w:left="266" w:hanging="266"/>
              <w:textAlignment w:val="baseline"/>
              <w:rPr>
                <w:sz w:val="22"/>
                <w:szCs w:val="22"/>
              </w:rPr>
            </w:pPr>
            <w:r w:rsidRPr="004D0259">
              <w:rPr>
                <w:sz w:val="22"/>
                <w:szCs w:val="22"/>
              </w:rPr>
              <w:t>EESC-2024-01212-00-00-AC</w:t>
            </w:r>
          </w:p>
        </w:tc>
      </w:tr>
    </w:tbl>
    <w:p w:rsidRPr="004D0259" w:rsidR="00141BA5" w:rsidP="00200444" w:rsidRDefault="00141BA5" w14:paraId="0241D8C3" w14:textId="77777777">
      <w:pPr>
        <w:keepNext/>
        <w:keepLines/>
        <w:tabs>
          <w:tab w:val="center" w:pos="284"/>
        </w:tabs>
        <w:overflowPunct w:val="0"/>
        <w:autoSpaceDE w:val="0"/>
        <w:autoSpaceDN w:val="0"/>
        <w:adjustRightInd w:val="0"/>
        <w:ind w:left="266" w:hanging="266"/>
        <w:textAlignment w:val="baseline"/>
        <w:rPr>
          <w:b/>
        </w:rPr>
      </w:pPr>
    </w:p>
    <w:p w:rsidRPr="004D0259" w:rsidR="00200444" w:rsidP="00200444" w:rsidRDefault="00200444" w14:paraId="61F24DE5" w14:textId="7E14E27D">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4D0259" w:rsidR="00200444" w:rsidP="00200444" w:rsidRDefault="00200444" w14:paraId="391753AA" w14:textId="77777777">
      <w:pPr>
        <w:overflowPunct w:val="0"/>
        <w:autoSpaceDE w:val="0"/>
        <w:autoSpaceDN w:val="0"/>
        <w:adjustRightInd w:val="0"/>
        <w:textAlignment w:val="baseline"/>
        <w:rPr>
          <w:bCs/>
          <w:iCs/>
        </w:rPr>
      </w:pPr>
      <w:r w:rsidRPr="004D0259">
        <w:t>ЕИСК:</w:t>
      </w:r>
    </w:p>
    <w:p w:rsidRPr="004D0259"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4D0259" w:rsidR="00200444" w:rsidP="004C40FF" w:rsidRDefault="00200444" w14:paraId="206F1777" w14:textId="77777777">
      <w:pPr>
        <w:numPr>
          <w:ilvl w:val="0"/>
          <w:numId w:val="46"/>
        </w:numPr>
        <w:overflowPunct w:val="0"/>
        <w:autoSpaceDE w:val="0"/>
        <w:autoSpaceDN w:val="0"/>
        <w:adjustRightInd w:val="0"/>
        <w:ind w:left="284" w:hanging="284"/>
        <w:contextualSpacing/>
        <w:textAlignment w:val="baseline"/>
      </w:pPr>
      <w:r w:rsidRPr="004D0259">
        <w:t>подчертава, че цифровизацията става все по-важна с оглед на екологичния преход. Енергията обаче би трябвало да остане достъпна, регулируема и лесна за използване. Това включва разработване на лесни за ползване цифрови инструменти, които да отговарят на различните потребности и да насърчават равния достъп до цифрови енергийни услуги. Потребителите следва да могат да избират цени, договори и услуги за клиенти по начина, по който са го правили преди цифровизацията;</w:t>
      </w:r>
    </w:p>
    <w:p w:rsidRPr="004D0259" w:rsidR="00200444" w:rsidP="004C40FF" w:rsidRDefault="00200444" w14:paraId="60E3E940" w14:textId="77777777">
      <w:pPr>
        <w:numPr>
          <w:ilvl w:val="0"/>
          <w:numId w:val="46"/>
        </w:numPr>
        <w:overflowPunct w:val="0"/>
        <w:autoSpaceDE w:val="0"/>
        <w:autoSpaceDN w:val="0"/>
        <w:adjustRightInd w:val="0"/>
        <w:ind w:left="284" w:hanging="284"/>
        <w:contextualSpacing/>
        <w:textAlignment w:val="baseline"/>
      </w:pPr>
      <w:r w:rsidRPr="004D0259">
        <w:t>подчертава приоритетното значение на киберсигурността на данните на потребителите. Цифровизацията засилва необходимостта от създаване на динамични разпоредби за защита на потребителите, адаптирани към новия контекст и участниците в сектора;</w:t>
      </w:r>
    </w:p>
    <w:p w:rsidRPr="004D0259" w:rsidR="00200444" w:rsidP="004C40FF" w:rsidRDefault="00200444" w14:paraId="22781EDC" w14:textId="77777777">
      <w:pPr>
        <w:numPr>
          <w:ilvl w:val="0"/>
          <w:numId w:val="46"/>
        </w:numPr>
        <w:overflowPunct w:val="0"/>
        <w:autoSpaceDE w:val="0"/>
        <w:autoSpaceDN w:val="0"/>
        <w:adjustRightInd w:val="0"/>
        <w:ind w:left="284" w:hanging="284"/>
        <w:contextualSpacing/>
        <w:textAlignment w:val="baseline"/>
      </w:pPr>
      <w:r w:rsidRPr="004D0259">
        <w:t>посочва, че цифровото разделение между потребителите, които могат да си позволят по-скъпи цифрови инструменти, и тези, които не могат, води до по-висока енергийна бедност;</w:t>
      </w:r>
    </w:p>
    <w:p w:rsidRPr="004D0259" w:rsidR="00200444" w:rsidP="004C40FF" w:rsidRDefault="00200444" w14:paraId="754492E5" w14:textId="77777777">
      <w:pPr>
        <w:numPr>
          <w:ilvl w:val="0"/>
          <w:numId w:val="46"/>
        </w:numPr>
        <w:overflowPunct w:val="0"/>
        <w:autoSpaceDE w:val="0"/>
        <w:autoSpaceDN w:val="0"/>
        <w:adjustRightInd w:val="0"/>
        <w:ind w:left="284" w:hanging="284"/>
        <w:contextualSpacing/>
        <w:textAlignment w:val="baseline"/>
      </w:pPr>
      <w:r w:rsidRPr="004D0259">
        <w:t>препоръчва да се осигури обучение на работниците. Академиите за нулеви нетни емисии следва да бъдат популяризирани сред всички заинтересовани страни, с акцент върху уменията за енергийна ефективност.</w:t>
      </w:r>
    </w:p>
    <w:p w:rsidRPr="004D0259"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200444" w:rsidR="00200444" w:rsidTr="00141BA5" w14:paraId="308752F8" w14:textId="77777777">
        <w:tc>
          <w:tcPr>
            <w:tcW w:w="1809"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sidRPr="004D0259">
              <w:rPr>
                <w:b/>
                <w:i/>
              </w:rPr>
              <w:t>За контакт</w:t>
            </w:r>
          </w:p>
        </w:tc>
        <w:tc>
          <w:tcPr>
            <w:tcW w:w="5279"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sidRPr="004D0259">
              <w:rPr>
                <w:i/>
              </w:rPr>
              <w:t xml:space="preserve">Aleksandra Sarman Grilc </w:t>
            </w:r>
          </w:p>
        </w:tc>
      </w:tr>
      <w:tr w:rsidRPr="00200444" w:rsidR="00200444" w:rsidTr="00141BA5" w14:paraId="4CB9B9D6" w14:textId="77777777">
        <w:tc>
          <w:tcPr>
            <w:tcW w:w="1809"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5279"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sidRPr="004D0259">
              <w:rPr>
                <w:i/>
              </w:rPr>
              <w:t>+32 25468333</w:t>
            </w:r>
          </w:p>
        </w:tc>
      </w:tr>
      <w:tr w:rsidRPr="004D0259" w:rsidR="00200444" w:rsidTr="00141BA5" w14:paraId="060AFC65" w14:textId="77777777">
        <w:tc>
          <w:tcPr>
            <w:tcW w:w="1809" w:type="dxa"/>
          </w:tcPr>
          <w:p w:rsidRPr="00200444" w:rsidR="00200444" w:rsidP="00200444" w:rsidRDefault="00BC3933" w14:paraId="0C1B36D7" w14:textId="6BD46D0D">
            <w:pPr>
              <w:overflowPunct w:val="0"/>
              <w:autoSpaceDE w:val="0"/>
              <w:autoSpaceDN w:val="0"/>
              <w:adjustRightInd w:val="0"/>
              <w:spacing w:line="240" w:lineRule="auto"/>
              <w:textAlignment w:val="baseline"/>
              <w:rPr>
                <w:i/>
              </w:rPr>
            </w:pPr>
            <w:r w:rsidRPr="004D0259">
              <w:rPr>
                <w:i/>
              </w:rPr>
              <w:t>Електронен адрес</w:t>
            </w:r>
          </w:p>
        </w:tc>
        <w:tc>
          <w:tcPr>
            <w:tcW w:w="5279" w:type="dxa"/>
          </w:tcPr>
          <w:p w:rsidRPr="004D0259" w:rsidR="00200444" w:rsidP="00200444" w:rsidRDefault="00101ED0" w14:paraId="0B137F65" w14:textId="77777777">
            <w:pPr>
              <w:overflowPunct w:val="0"/>
              <w:autoSpaceDE w:val="0"/>
              <w:autoSpaceDN w:val="0"/>
              <w:adjustRightInd w:val="0"/>
              <w:spacing w:line="240" w:lineRule="auto"/>
              <w:textAlignment w:val="baseline"/>
              <w:rPr>
                <w:i/>
                <w:iCs/>
              </w:rPr>
            </w:pPr>
            <w:hyperlink w:history="1" r:id="rId39">
              <w:r w:rsidRPr="004D0259" w:rsidR="00907DA8">
                <w:rPr>
                  <w:i/>
                  <w:color w:val="0000FF"/>
                  <w:u w:val="single"/>
                </w:rPr>
                <w:t>Aleksandra.SarmanGrilc@eesc.europa.eu</w:t>
              </w:r>
            </w:hyperlink>
          </w:p>
        </w:tc>
      </w:tr>
    </w:tbl>
    <w:p w:rsidRPr="004D0259"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7"/>
      <w:bookmarkStart w:name="_Toc153547136" w:id="18"/>
      <w:r w:rsidRPr="004D0259">
        <w:br w:type="page"/>
      </w:r>
    </w:p>
    <w:p w:rsidRPr="004D0259" w:rsidR="00160A67" w:rsidP="004D0259" w:rsidRDefault="003D6811" w14:paraId="5D209F0E" w14:textId="4471A438">
      <w:pPr>
        <w:pStyle w:val="TOC1"/>
        <w:rPr>
          <w:rFonts w:eastAsiaTheme="minorEastAsia"/>
        </w:rPr>
      </w:pPr>
      <w:bookmarkStart w:name="_Toc172193018" w:id="19"/>
      <w:r w:rsidRPr="004D0259">
        <w:lastRenderedPageBreak/>
        <w:t xml:space="preserve">8. </w:t>
      </w:r>
      <w:r w:rsidRPr="004D0259">
        <w:tab/>
        <w:t>КОНСУЛТАТИВНА КОМИСИЯ ПО ИНДУСТРИАЛНИ ПРОМЕНИ</w:t>
      </w:r>
      <w:bookmarkEnd w:id="17"/>
      <w:bookmarkEnd w:id="18"/>
      <w:bookmarkEnd w:id="19"/>
    </w:p>
    <w:p w:rsidRPr="004D0259" w:rsidR="0018585A" w:rsidP="00520680" w:rsidRDefault="0018585A" w14:paraId="57026A6C" w14:textId="12B99797">
      <w:pPr>
        <w:overflowPunct w:val="0"/>
        <w:autoSpaceDE w:val="0"/>
        <w:autoSpaceDN w:val="0"/>
        <w:adjustRightInd w:val="0"/>
        <w:jc w:val="left"/>
        <w:textAlignment w:val="baseline"/>
      </w:pPr>
    </w:p>
    <w:p w:rsidRPr="004D0259" w:rsidR="00CE7004" w:rsidP="00CE7004" w:rsidRDefault="00101ED0" w14:paraId="005DB8F3" w14:textId="4F6880E9">
      <w:pPr>
        <w:widowControl w:val="0"/>
        <w:numPr>
          <w:ilvl w:val="0"/>
          <w:numId w:val="27"/>
        </w:numPr>
        <w:overflowPunct w:val="0"/>
        <w:autoSpaceDE w:val="0"/>
        <w:autoSpaceDN w:val="0"/>
        <w:adjustRightInd w:val="0"/>
        <w:ind w:hanging="567"/>
        <w:textAlignment w:val="baseline"/>
        <w:rPr>
          <w:i/>
          <w:iCs/>
          <w:sz w:val="28"/>
          <w:szCs w:val="28"/>
        </w:rPr>
      </w:pPr>
      <w:hyperlink w:history="1" r:id="rId40">
        <w:r w:rsidRPr="004D0259" w:rsidR="00907DA8">
          <w:rPr>
            <w:b/>
            <w:i/>
            <w:color w:val="0000FF"/>
            <w:sz w:val="28"/>
            <w:u w:val="single"/>
          </w:rPr>
          <w:t>Изграждане на бъдещето заедно с природата: насърчаване на биотехнологиите и биопроизводството в ЕС</w:t>
        </w:r>
      </w:hyperlink>
    </w:p>
    <w:p w:rsidRPr="004D0259"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55"/>
        <w:gridCol w:w="5832"/>
      </w:tblGrid>
      <w:tr w:rsidRPr="006C4F3B" w:rsidR="00CE7004" w:rsidTr="006C4F3B" w14:paraId="657AB87B" w14:textId="77777777">
        <w:tc>
          <w:tcPr>
            <w:tcW w:w="1860" w:type="pct"/>
          </w:tcPr>
          <w:p w:rsidRPr="006C4F3B" w:rsidR="00CE7004" w:rsidP="00CE7004" w:rsidRDefault="00CE7004" w14:paraId="0A5DA309" w14:textId="77777777">
            <w:pPr>
              <w:tabs>
                <w:tab w:val="center" w:pos="284"/>
              </w:tabs>
              <w:overflowPunct w:val="0"/>
              <w:autoSpaceDE w:val="0"/>
              <w:autoSpaceDN w:val="0"/>
              <w:adjustRightInd w:val="0"/>
              <w:ind w:left="266" w:hanging="266"/>
              <w:textAlignment w:val="baseline"/>
              <w:rPr>
                <w:b/>
                <w:sz w:val="22"/>
                <w:szCs w:val="22"/>
              </w:rPr>
            </w:pPr>
            <w:r w:rsidRPr="004D0259">
              <w:rPr>
                <w:b/>
                <w:sz w:val="22"/>
                <w:szCs w:val="22"/>
              </w:rPr>
              <w:t>Докладчик</w:t>
            </w:r>
          </w:p>
        </w:tc>
        <w:tc>
          <w:tcPr>
            <w:tcW w:w="3140" w:type="pct"/>
          </w:tcPr>
          <w:p w:rsidRPr="006C4F3B" w:rsidR="00CE7004" w:rsidP="00CE7004" w:rsidRDefault="00CE7004" w14:paraId="45443A3B" w14:textId="772647C7">
            <w:pPr>
              <w:tabs>
                <w:tab w:val="center" w:pos="284"/>
              </w:tabs>
              <w:overflowPunct w:val="0"/>
              <w:autoSpaceDE w:val="0"/>
              <w:autoSpaceDN w:val="0"/>
              <w:adjustRightInd w:val="0"/>
              <w:ind w:left="266" w:hanging="266"/>
              <w:textAlignment w:val="baseline"/>
              <w:rPr>
                <w:sz w:val="22"/>
                <w:szCs w:val="22"/>
              </w:rPr>
            </w:pPr>
            <w:r w:rsidRPr="004D0259">
              <w:rPr>
                <w:sz w:val="22"/>
                <w:szCs w:val="22"/>
              </w:rPr>
              <w:t>Florian Marin (група „Работници“ — RO)</w:t>
            </w:r>
          </w:p>
        </w:tc>
      </w:tr>
      <w:tr w:rsidRPr="006C4F3B" w:rsidR="00CE7004" w:rsidTr="006C4F3B" w14:paraId="19E69EC6" w14:textId="77777777">
        <w:tc>
          <w:tcPr>
            <w:tcW w:w="1860" w:type="pct"/>
          </w:tcPr>
          <w:p w:rsidRPr="006C4F3B" w:rsidR="00CE7004" w:rsidP="00CE7004" w:rsidRDefault="00CE7004" w14:paraId="300438BA" w14:textId="77777777">
            <w:pPr>
              <w:tabs>
                <w:tab w:val="center" w:pos="284"/>
              </w:tabs>
              <w:overflowPunct w:val="0"/>
              <w:autoSpaceDE w:val="0"/>
              <w:autoSpaceDN w:val="0"/>
              <w:adjustRightInd w:val="0"/>
              <w:ind w:left="266" w:hanging="266"/>
              <w:textAlignment w:val="baseline"/>
              <w:rPr>
                <w:b/>
                <w:sz w:val="22"/>
                <w:szCs w:val="22"/>
              </w:rPr>
            </w:pPr>
            <w:r w:rsidRPr="004D0259">
              <w:rPr>
                <w:b/>
                <w:sz w:val="22"/>
                <w:szCs w:val="22"/>
              </w:rPr>
              <w:t>Съдокладчик</w:t>
            </w:r>
          </w:p>
        </w:tc>
        <w:tc>
          <w:tcPr>
            <w:tcW w:w="3140" w:type="pct"/>
          </w:tcPr>
          <w:p w:rsidRPr="006C4F3B" w:rsidR="00CE7004" w:rsidP="00CE7004" w:rsidRDefault="00CE7004" w14:paraId="2D00FC95" w14:textId="129C9508">
            <w:pPr>
              <w:tabs>
                <w:tab w:val="center" w:pos="284"/>
              </w:tabs>
              <w:overflowPunct w:val="0"/>
              <w:autoSpaceDE w:val="0"/>
              <w:autoSpaceDN w:val="0"/>
              <w:adjustRightInd w:val="0"/>
              <w:ind w:left="266" w:hanging="266"/>
              <w:textAlignment w:val="baseline"/>
              <w:rPr>
                <w:sz w:val="22"/>
                <w:szCs w:val="22"/>
              </w:rPr>
            </w:pPr>
            <w:r w:rsidRPr="004D0259">
              <w:rPr>
                <w:sz w:val="22"/>
                <w:szCs w:val="22"/>
              </w:rPr>
              <w:t>Antonello Pezzini (IT — кат. 1)</w:t>
            </w:r>
          </w:p>
        </w:tc>
      </w:tr>
      <w:tr w:rsidRPr="006C4F3B" w:rsidR="00CE7004" w:rsidTr="006C4F3B" w14:paraId="3D788248" w14:textId="77777777">
        <w:tc>
          <w:tcPr>
            <w:tcW w:w="5000" w:type="pct"/>
            <w:gridSpan w:val="2"/>
          </w:tcPr>
          <w:p w:rsidRPr="006C4F3B"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D0259" w:rsidR="00CE7004" w:rsidTr="006C4F3B" w14:paraId="7E17608F" w14:textId="77777777">
        <w:tc>
          <w:tcPr>
            <w:tcW w:w="1860" w:type="pct"/>
          </w:tcPr>
          <w:p w:rsidRPr="006C4F3B" w:rsidR="00CE7004" w:rsidP="00CE7004" w:rsidRDefault="00CE7004" w14:paraId="532AE3D7" w14:textId="77777777">
            <w:pPr>
              <w:tabs>
                <w:tab w:val="center" w:pos="284"/>
              </w:tabs>
              <w:overflowPunct w:val="0"/>
              <w:autoSpaceDE w:val="0"/>
              <w:autoSpaceDN w:val="0"/>
              <w:adjustRightInd w:val="0"/>
              <w:ind w:left="266" w:hanging="266"/>
              <w:textAlignment w:val="baseline"/>
              <w:rPr>
                <w:b/>
                <w:sz w:val="22"/>
                <w:szCs w:val="22"/>
              </w:rPr>
            </w:pPr>
            <w:r w:rsidRPr="004D0259">
              <w:rPr>
                <w:b/>
                <w:sz w:val="22"/>
                <w:szCs w:val="22"/>
              </w:rPr>
              <w:t>Отправни документи</w:t>
            </w:r>
          </w:p>
        </w:tc>
        <w:tc>
          <w:tcPr>
            <w:tcW w:w="3140" w:type="pct"/>
          </w:tcPr>
          <w:p w:rsidRPr="004D0259" w:rsidR="00DF63B1" w:rsidP="00CE7004" w:rsidRDefault="00DF63B1" w14:paraId="652C0F55" w14:textId="3E18F9D7">
            <w:pPr>
              <w:tabs>
                <w:tab w:val="center" w:pos="284"/>
              </w:tabs>
              <w:overflowPunct w:val="0"/>
              <w:autoSpaceDE w:val="0"/>
              <w:autoSpaceDN w:val="0"/>
              <w:adjustRightInd w:val="0"/>
              <w:ind w:left="266" w:hanging="266"/>
              <w:textAlignment w:val="baseline"/>
              <w:rPr>
                <w:sz w:val="22"/>
                <w:szCs w:val="22"/>
              </w:rPr>
            </w:pPr>
            <w:r w:rsidRPr="004D0259">
              <w:rPr>
                <w:sz w:val="22"/>
                <w:szCs w:val="22"/>
              </w:rPr>
              <w:t>COM(2024) 137 final</w:t>
            </w:r>
          </w:p>
          <w:p w:rsidRPr="004D0259" w:rsidR="00CE7004" w:rsidP="00CE7004" w:rsidRDefault="00CE7004" w14:paraId="2F738739" w14:textId="1C0E1193">
            <w:pPr>
              <w:tabs>
                <w:tab w:val="center" w:pos="284"/>
              </w:tabs>
              <w:overflowPunct w:val="0"/>
              <w:autoSpaceDE w:val="0"/>
              <w:autoSpaceDN w:val="0"/>
              <w:adjustRightInd w:val="0"/>
              <w:ind w:left="266" w:hanging="266"/>
              <w:textAlignment w:val="baseline"/>
              <w:rPr>
                <w:sz w:val="22"/>
                <w:szCs w:val="22"/>
              </w:rPr>
            </w:pPr>
            <w:r w:rsidRPr="004D0259">
              <w:rPr>
                <w:sz w:val="22"/>
                <w:szCs w:val="22"/>
              </w:rPr>
              <w:t>EESC-2024-00997-00-00-AC</w:t>
            </w:r>
          </w:p>
        </w:tc>
      </w:tr>
    </w:tbl>
    <w:p w:rsidRPr="004D0259" w:rsidR="00141BA5" w:rsidP="00141BA5" w:rsidRDefault="00141BA5" w14:paraId="5057C673" w14:textId="77777777">
      <w:pPr>
        <w:tabs>
          <w:tab w:val="center" w:pos="284"/>
        </w:tabs>
        <w:overflowPunct w:val="0"/>
        <w:autoSpaceDE w:val="0"/>
        <w:autoSpaceDN w:val="0"/>
        <w:adjustRightInd w:val="0"/>
        <w:spacing w:line="240" w:lineRule="auto"/>
        <w:ind w:left="266" w:hanging="266"/>
        <w:textAlignment w:val="baseline"/>
      </w:pPr>
    </w:p>
    <w:p w:rsidRPr="004D0259" w:rsidR="00CE7004" w:rsidP="00CE7004" w:rsidRDefault="00CE7004" w14:paraId="22DB247A" w14:textId="25D0A507">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4D0259" w:rsidR="00CE7004" w:rsidP="00CE7004" w:rsidRDefault="00CE7004" w14:paraId="126E957E" w14:textId="77777777">
      <w:pPr>
        <w:overflowPunct w:val="0"/>
        <w:autoSpaceDE w:val="0"/>
        <w:autoSpaceDN w:val="0"/>
        <w:adjustRightInd w:val="0"/>
        <w:textAlignment w:val="baseline"/>
        <w:rPr>
          <w:bCs/>
          <w:iCs/>
        </w:rPr>
      </w:pPr>
      <w:r w:rsidRPr="004D0259">
        <w:t>ЕИСК:</w:t>
      </w:r>
    </w:p>
    <w:p w:rsidRPr="004D0259"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4D0259" w:rsidR="00CE7004" w:rsidP="004C40FF"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rsidRPr="004D0259">
        <w:t>изразява разочарование, че ЕС все още не разполага със</w:t>
      </w:r>
      <w:r w:rsidRPr="004D0259">
        <w:rPr>
          <w:b/>
        </w:rPr>
        <w:t xml:space="preserve"> стратегия за биоикономиката</w:t>
      </w:r>
      <w:r w:rsidRPr="004D0259">
        <w:t xml:space="preserve">, нито със </w:t>
      </w:r>
      <w:r w:rsidRPr="004D0259">
        <w:rPr>
          <w:b/>
        </w:rPr>
        <w:t>законодателен акт в областта на биотехнологиите</w:t>
      </w:r>
      <w:r w:rsidRPr="004D0259">
        <w:t>, тъй като счита, че такова законодателство е спешно необходимо предвид ситуацията в световен мащаб;</w:t>
      </w:r>
    </w:p>
    <w:p w:rsidRPr="004D0259" w:rsidR="00CE7004" w:rsidP="004C40FF"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rsidRPr="004D0259">
        <w:t xml:space="preserve">предлага </w:t>
      </w:r>
      <w:r w:rsidRPr="004D0259">
        <w:rPr>
          <w:b/>
        </w:rPr>
        <w:t>стратегията на ЕС за биоикономиката</w:t>
      </w:r>
      <w:r w:rsidRPr="004D0259">
        <w:t xml:space="preserve"> да </w:t>
      </w:r>
      <w:r w:rsidRPr="004D0259">
        <w:rPr>
          <w:b/>
        </w:rPr>
        <w:t>се основава на интегриран секторен подход</w:t>
      </w:r>
      <w:r w:rsidRPr="004D0259">
        <w:t xml:space="preserve"> с конкретни цели, включително програма за научни изследвания за следващите десет години, списък на уменията и ясна роля на гражданското общество;</w:t>
      </w:r>
    </w:p>
    <w:p w:rsidRPr="004D0259" w:rsidR="00CE7004" w:rsidP="004C40FF"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rsidRPr="004D0259">
        <w:t>счита, че следва да се обмисли създаването на</w:t>
      </w:r>
      <w:r w:rsidRPr="004D0259">
        <w:rPr>
          <w:b/>
        </w:rPr>
        <w:t xml:space="preserve"> етичен кодекс за дружествата от ЕС и продуктите, пуснати на пазара на Съюза</w:t>
      </w:r>
      <w:r w:rsidRPr="004D0259">
        <w:t>, който да бъде популяризиран в световен мащаб;</w:t>
      </w:r>
    </w:p>
    <w:p w:rsidRPr="004D0259" w:rsidR="00CE7004" w:rsidP="004C40FF"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rsidRPr="004D0259">
        <w:t xml:space="preserve">заявява, че са необходими </w:t>
      </w:r>
      <w:r w:rsidRPr="004D0259">
        <w:rPr>
          <w:b/>
          <w:bCs/>
        </w:rPr>
        <w:t>специални мерки</w:t>
      </w:r>
      <w:r w:rsidRPr="004D0259">
        <w:t xml:space="preserve"> за </w:t>
      </w:r>
      <w:r w:rsidRPr="004D0259">
        <w:rPr>
          <w:b/>
        </w:rPr>
        <w:t>развиване на компетентности</w:t>
      </w:r>
      <w:r w:rsidRPr="004D0259">
        <w:t xml:space="preserve"> и </w:t>
      </w:r>
      <w:r w:rsidRPr="004D0259">
        <w:rPr>
          <w:b/>
        </w:rPr>
        <w:t>консолидиране на полезните взаимодействия</w:t>
      </w:r>
      <w:r w:rsidRPr="004D0259">
        <w:t xml:space="preserve"> между изискванията за уменията в областта на биотехнологиите и потребностите на биопроизводството;</w:t>
      </w:r>
    </w:p>
    <w:p w:rsidRPr="004D0259" w:rsidR="00CE7004" w:rsidP="004C40FF"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rsidRPr="004D0259">
        <w:t xml:space="preserve">предлага развитието на биотехнологиите и биопроизводството в ЕС да включва </w:t>
      </w:r>
      <w:r w:rsidRPr="004D0259">
        <w:rPr>
          <w:b/>
        </w:rPr>
        <w:t>секторни показатели, публично-частни партньорства, междусекторна система за научни изследвания,</w:t>
      </w:r>
      <w:r w:rsidRPr="004D0259">
        <w:t xml:space="preserve"> </w:t>
      </w:r>
      <w:r w:rsidRPr="004D0259">
        <w:rPr>
          <w:b/>
        </w:rPr>
        <w:t>база данни, съдържаща списък на потенциалните инвеститори</w:t>
      </w:r>
      <w:r w:rsidRPr="004D0259">
        <w:t xml:space="preserve">, </w:t>
      </w:r>
      <w:r w:rsidRPr="004D0259">
        <w:rPr>
          <w:b/>
        </w:rPr>
        <w:t>по-бързи и по-малко бюрократични процедури за издаване на разрешения</w:t>
      </w:r>
      <w:r w:rsidRPr="004D0259">
        <w:t xml:space="preserve">, </w:t>
      </w:r>
      <w:r w:rsidRPr="004D0259">
        <w:rPr>
          <w:b/>
        </w:rPr>
        <w:t>отлично полезно взаимодействие с ЦУР и предложения Син пакт</w:t>
      </w:r>
      <w:r w:rsidRPr="004D0259">
        <w:t xml:space="preserve">, специални и хармонизирани </w:t>
      </w:r>
      <w:r w:rsidRPr="004D0259">
        <w:rPr>
          <w:b/>
        </w:rPr>
        <w:t>европейски и световни стандарти</w:t>
      </w:r>
      <w:r w:rsidRPr="004D0259">
        <w:t xml:space="preserve">, мерки за увеличаване на </w:t>
      </w:r>
      <w:r w:rsidRPr="004D0259">
        <w:rPr>
          <w:b/>
        </w:rPr>
        <w:t>обществената подкрепа, доверието и образованието</w:t>
      </w:r>
      <w:r w:rsidRPr="004D0259">
        <w:t xml:space="preserve">, както и </w:t>
      </w:r>
      <w:r w:rsidRPr="004D0259">
        <w:rPr>
          <w:b/>
        </w:rPr>
        <w:t>по-ясно разпределение на националните и споделените компетентности</w:t>
      </w:r>
      <w:r w:rsidRPr="004D0259">
        <w:t>;</w:t>
      </w:r>
    </w:p>
    <w:p w:rsidRPr="004D0259"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rsidRPr="004D0259">
        <w:t xml:space="preserve">предлага </w:t>
      </w:r>
      <w:r w:rsidRPr="004D0259">
        <w:rPr>
          <w:b/>
        </w:rPr>
        <w:t>биотехнологиите и биопроизводството в ЕС да се финансират</w:t>
      </w:r>
      <w:r w:rsidRPr="004D0259">
        <w:t xml:space="preserve"> при надлежно отчитане на </w:t>
      </w:r>
      <w:r w:rsidRPr="004D0259">
        <w:rPr>
          <w:b/>
        </w:rPr>
        <w:t>основан на полезни взаимодействия подход към Механизма за възстановяване и устойчивост (МВУ), платформата за стратегически технологии за Европа (STEP) и Европейската инвестиционна банка (ЕИБ) и политиката на сближаване</w:t>
      </w:r>
      <w:r w:rsidRPr="004D0259">
        <w:t>; счита, че част от средствата, получени от</w:t>
      </w:r>
      <w:r w:rsidRPr="004D0259">
        <w:rPr>
          <w:b/>
        </w:rPr>
        <w:t xml:space="preserve"> екологичните данъци</w:t>
      </w:r>
      <w:r w:rsidRPr="004D0259">
        <w:t xml:space="preserve">, следва да бъдат </w:t>
      </w:r>
      <w:r w:rsidRPr="004D0259">
        <w:rPr>
          <w:b/>
        </w:rPr>
        <w:t>пренасочени за финансиране на екологосъобразни биотехнологични продукти</w:t>
      </w:r>
      <w:r w:rsidRPr="004D0259">
        <w:t xml:space="preserve"> и че следва да се комбинират </w:t>
      </w:r>
      <w:r w:rsidRPr="004D0259">
        <w:rPr>
          <w:b/>
        </w:rPr>
        <w:t>разнообразни финансови източници и фондове</w:t>
      </w:r>
      <w:r w:rsidRPr="004D0259">
        <w:t xml:space="preserve"> като заеми, рисков капитал и публични средства.</w:t>
      </w:r>
    </w:p>
    <w:p w:rsidRPr="004D0259" w:rsidR="00DF63B1" w:rsidP="004C40FF"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sidRPr="004D0259">
              <w:rPr>
                <w:b/>
                <w:i/>
              </w:rPr>
              <w:t>За контакт</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sidRPr="004D0259">
              <w:rPr>
                <w:b/>
                <w:i/>
              </w:rPr>
              <w:t>Marie-Laurence Drillon</w:t>
            </w:r>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sidRPr="004D0259">
              <w:rPr>
                <w:i/>
              </w:rPr>
              <w:t>Тел</w:t>
            </w:r>
            <w:r w:rsidRPr="004D0259">
              <w:rPr>
                <w:i/>
                <w:iCs/>
              </w:rPr>
              <w:t>.</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sidRPr="004D0259">
              <w:rPr>
                <w:i/>
              </w:rPr>
              <w:t>+32 25468320</w:t>
            </w:r>
          </w:p>
        </w:tc>
      </w:tr>
      <w:tr w:rsidRPr="004D0259"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sidRPr="004D0259">
              <w:rPr>
                <w:i/>
              </w:rPr>
              <w:t>Електронен адрес</w:t>
            </w:r>
          </w:p>
        </w:tc>
        <w:tc>
          <w:tcPr>
            <w:tcW w:w="3444" w:type="pct"/>
          </w:tcPr>
          <w:p w:rsidRPr="004D0259" w:rsidR="00CE7004" w:rsidP="00CE7004" w:rsidRDefault="00101ED0" w14:paraId="5FD55C98" w14:textId="77777777">
            <w:pPr>
              <w:overflowPunct w:val="0"/>
              <w:autoSpaceDE w:val="0"/>
              <w:autoSpaceDN w:val="0"/>
              <w:adjustRightInd w:val="0"/>
              <w:spacing w:line="240" w:lineRule="auto"/>
              <w:textAlignment w:val="baseline"/>
              <w:rPr>
                <w:i/>
              </w:rPr>
            </w:pPr>
            <w:hyperlink w:history="1" r:id="rId41">
              <w:r w:rsidRPr="004D0259" w:rsidR="00907DA8">
                <w:rPr>
                  <w:i/>
                  <w:color w:val="0000FF"/>
                  <w:u w:val="single"/>
                </w:rPr>
                <w:t>Marie-Laurence.Drillon@eesc.europa.eu</w:t>
              </w:r>
            </w:hyperlink>
          </w:p>
        </w:tc>
      </w:tr>
    </w:tbl>
    <w:p w:rsidRPr="004D0259" w:rsidR="00D742A4" w:rsidP="00141BA5" w:rsidRDefault="00D742A4" w14:paraId="6193E08C" w14:textId="77777777">
      <w:pPr>
        <w:spacing w:line="120" w:lineRule="auto"/>
        <w:jc w:val="left"/>
        <w:rPr>
          <w:rFonts w:eastAsiaTheme="minorHAnsi"/>
          <w:b/>
          <w:bCs/>
          <w:i/>
          <w:iCs/>
          <w:sz w:val="28"/>
          <w:szCs w:val="28"/>
        </w:rPr>
      </w:pPr>
      <w:r w:rsidRPr="004D0259">
        <w:br w:type="page"/>
      </w:r>
    </w:p>
    <w:p w:rsidRPr="004D0259" w:rsidR="00D742A4" w:rsidP="004C40FF" w:rsidRDefault="00FF64D0" w14:paraId="729EE277" w14:textId="39D1F3F3">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sidRPr="004D0259">
        <w:rPr>
          <w:b/>
          <w:i/>
          <w:sz w:val="28"/>
        </w:rPr>
        <w:lastRenderedPageBreak/>
        <w:tab/>
      </w:r>
      <w:hyperlink w:history="1" r:id="rId42">
        <w:r w:rsidRPr="004D0259">
          <w:rPr>
            <w:b/>
            <w:i/>
            <w:color w:val="0000FF"/>
            <w:sz w:val="28"/>
            <w:u w:val="single"/>
          </w:rPr>
          <w:t>Нисковъглеродни и възобновяеми горива</w:t>
        </w:r>
      </w:hyperlink>
      <w:r w:rsidRPr="004D0259">
        <w:rPr>
          <w:b/>
          <w:i/>
          <w:color w:val="0000FF"/>
          <w:sz w:val="28"/>
          <w:u w:val="single"/>
        </w:rPr>
        <w:t>: изграждане на капацитета на европейската промишленост за декарбонизация на секторите на въздухоплаването и мореплаването в дух на европейска автономност</w:t>
      </w:r>
    </w:p>
    <w:p w:rsidRPr="004D0259" w:rsidR="00D742A4" w:rsidP="006C4F3B"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4D0259" w:rsidR="00D742A4" w:rsidP="006C4F3B" w:rsidRDefault="00D742A4" w14:paraId="6E9194CC" w14:textId="77777777">
      <w:pPr>
        <w:widowControl w:val="0"/>
        <w:tabs>
          <w:tab w:val="left" w:pos="1843"/>
        </w:tabs>
        <w:overflowPunct w:val="0"/>
        <w:autoSpaceDE w:val="0"/>
        <w:autoSpaceDN w:val="0"/>
        <w:adjustRightInd w:val="0"/>
        <w:ind w:left="1843" w:hanging="1843"/>
        <w:textAlignment w:val="baseline"/>
        <w:rPr>
          <w:rFonts w:eastAsiaTheme="minorHAnsi"/>
          <w:b/>
          <w:bCs/>
        </w:rPr>
      </w:pPr>
      <w:r w:rsidRPr="004D0259">
        <w:rPr>
          <w:b/>
        </w:rPr>
        <w:t xml:space="preserve">Докладчик </w:t>
      </w:r>
      <w:r w:rsidRPr="004D0259">
        <w:rPr>
          <w:b/>
        </w:rPr>
        <w:tab/>
      </w:r>
      <w:r w:rsidRPr="004D0259">
        <w:t>Anastasis YIAPANIS (група „Организации на гражданското общество“ — CY)</w:t>
      </w:r>
    </w:p>
    <w:p w:rsidRPr="004D0259" w:rsidR="00D742A4" w:rsidP="006C4F3B" w:rsidRDefault="00D742A4" w14:paraId="23F9DD20" w14:textId="77777777">
      <w:pPr>
        <w:widowControl w:val="0"/>
        <w:tabs>
          <w:tab w:val="left" w:pos="1843"/>
        </w:tabs>
        <w:overflowPunct w:val="0"/>
        <w:autoSpaceDE w:val="0"/>
        <w:autoSpaceDN w:val="0"/>
        <w:adjustRightInd w:val="0"/>
        <w:textAlignment w:val="baseline"/>
        <w:rPr>
          <w:rFonts w:eastAsiaTheme="minorHAnsi"/>
        </w:rPr>
      </w:pPr>
      <w:r w:rsidRPr="004D0259">
        <w:rPr>
          <w:b/>
        </w:rPr>
        <w:t>Съдокладчик</w:t>
      </w:r>
      <w:r w:rsidRPr="004D0259">
        <w:rPr>
          <w:b/>
        </w:rPr>
        <w:tab/>
      </w:r>
      <w:r w:rsidRPr="004D0259">
        <w:t>Franck UHLIG (Кат. 2 — FR)</w:t>
      </w:r>
    </w:p>
    <w:p w:rsidRPr="004D0259" w:rsidR="00D742A4" w:rsidP="006C4F3B" w:rsidRDefault="00D742A4" w14:paraId="43A4D836" w14:textId="77777777">
      <w:pPr>
        <w:widowControl w:val="0"/>
        <w:tabs>
          <w:tab w:val="left" w:pos="1843"/>
        </w:tabs>
        <w:overflowPunct w:val="0"/>
        <w:autoSpaceDE w:val="0"/>
        <w:autoSpaceDN w:val="0"/>
        <w:adjustRightInd w:val="0"/>
        <w:textAlignment w:val="baseline"/>
        <w:rPr>
          <w:rFonts w:eastAsiaTheme="minorHAnsi"/>
          <w:b/>
          <w:bCs/>
          <w:lang w:val="fr-FR"/>
        </w:rPr>
      </w:pPr>
    </w:p>
    <w:p w:rsidRPr="004D0259" w:rsidR="00D742A4" w:rsidP="006C4F3B" w:rsidRDefault="00D742A4" w14:paraId="26076350" w14:textId="77777777">
      <w:pPr>
        <w:widowControl w:val="0"/>
        <w:tabs>
          <w:tab w:val="left" w:pos="1843"/>
        </w:tabs>
        <w:overflowPunct w:val="0"/>
        <w:autoSpaceDE w:val="0"/>
        <w:autoSpaceDN w:val="0"/>
        <w:adjustRightInd w:val="0"/>
        <w:textAlignment w:val="baseline"/>
        <w:rPr>
          <w:rFonts w:eastAsiaTheme="minorHAnsi"/>
          <w:b/>
          <w:bCs/>
        </w:rPr>
      </w:pPr>
      <w:r w:rsidRPr="004D0259">
        <w:rPr>
          <w:b/>
        </w:rPr>
        <w:t>Отправни документи</w:t>
      </w:r>
      <w:r w:rsidRPr="004D0259">
        <w:rPr>
          <w:b/>
        </w:rPr>
        <w:tab/>
      </w:r>
      <w:r w:rsidRPr="004D0259">
        <w:t>Становище по собствена инициатива</w:t>
      </w:r>
    </w:p>
    <w:p w:rsidRPr="004D0259" w:rsidR="00D742A4" w:rsidP="006C4F3B" w:rsidRDefault="00D742A4" w14:paraId="0479C9C9" w14:textId="67DD3473">
      <w:pPr>
        <w:widowControl w:val="0"/>
        <w:tabs>
          <w:tab w:val="left" w:pos="1843"/>
        </w:tabs>
        <w:overflowPunct w:val="0"/>
        <w:autoSpaceDE w:val="0"/>
        <w:autoSpaceDN w:val="0"/>
        <w:adjustRightInd w:val="0"/>
        <w:textAlignment w:val="baseline"/>
        <w:rPr>
          <w:rFonts w:eastAsiaTheme="minorHAnsi"/>
        </w:rPr>
      </w:pPr>
      <w:r w:rsidRPr="004D0259">
        <w:rPr>
          <w:b/>
        </w:rPr>
        <w:tab/>
      </w:r>
      <w:r w:rsidRPr="004D0259" w:rsidR="00141BA5">
        <w:rPr>
          <w:b/>
        </w:rPr>
        <w:tab/>
      </w:r>
      <w:r w:rsidRPr="004D0259">
        <w:t>EESC-2024-00735-00-00-AC</w:t>
      </w:r>
    </w:p>
    <w:p w:rsidRPr="004D0259" w:rsidR="00D742A4" w:rsidP="006C4F3B"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4D0259" w:rsidR="00D742A4" w:rsidP="006C4F3B" w:rsidRDefault="00D742A4" w14:paraId="37B30242" w14:textId="77777777">
      <w:pPr>
        <w:keepNext/>
        <w:keepLines/>
        <w:spacing w:after="160"/>
        <w:ind w:left="142" w:hanging="142"/>
        <w:jc w:val="left"/>
        <w:rPr>
          <w:rFonts w:eastAsiaTheme="minorHAnsi"/>
          <w:b/>
        </w:rPr>
      </w:pPr>
      <w:r w:rsidRPr="004D0259">
        <w:rPr>
          <w:b/>
        </w:rPr>
        <w:t>Основни аспекти</w:t>
      </w:r>
    </w:p>
    <w:p w:rsidRPr="004D0259" w:rsidR="00D742A4" w:rsidP="006C4F3B" w:rsidRDefault="00D742A4" w14:paraId="696A7DF5" w14:textId="77777777">
      <w:pPr>
        <w:spacing w:after="160"/>
        <w:jc w:val="left"/>
        <w:rPr>
          <w:rFonts w:eastAsiaTheme="minorHAnsi"/>
        </w:rPr>
      </w:pPr>
      <w:r w:rsidRPr="004D0259">
        <w:t>ЕИСК:</w:t>
      </w:r>
    </w:p>
    <w:p w:rsidRPr="004D0259" w:rsidR="00D742A4" w:rsidP="006C4F3B" w:rsidRDefault="00D742A4" w14:paraId="356F13FE" w14:textId="77777777">
      <w:pPr>
        <w:numPr>
          <w:ilvl w:val="0"/>
          <w:numId w:val="48"/>
        </w:numPr>
        <w:spacing w:after="160"/>
        <w:ind w:left="426" w:hanging="426"/>
        <w:contextualSpacing/>
        <w:rPr>
          <w:rFonts w:eastAsiaTheme="minorHAnsi"/>
        </w:rPr>
      </w:pPr>
      <w:r w:rsidRPr="004D0259">
        <w:t xml:space="preserve">отбелязва </w:t>
      </w:r>
      <w:r w:rsidRPr="004D0259">
        <w:rPr>
          <w:b/>
        </w:rPr>
        <w:t>липсата на стимули</w:t>
      </w:r>
      <w:r w:rsidRPr="004D0259">
        <w:t xml:space="preserve"> за разработване на проекти за производство на устойчиви и нисковъглеродни горива; посочва, че </w:t>
      </w:r>
      <w:r w:rsidRPr="004D0259">
        <w:rPr>
          <w:b/>
        </w:rPr>
        <w:t>високите производствени разходи и несигурността относно наличието на устойчиви горива</w:t>
      </w:r>
      <w:r w:rsidRPr="004D0259">
        <w:t xml:space="preserve"> представляват значителни пречки за широкото им навлизане; </w:t>
      </w:r>
    </w:p>
    <w:p w:rsidRPr="004D0259" w:rsidR="00D742A4" w:rsidP="006C4F3B" w:rsidRDefault="00D742A4" w14:paraId="015ED803" w14:textId="77777777">
      <w:pPr>
        <w:numPr>
          <w:ilvl w:val="0"/>
          <w:numId w:val="48"/>
        </w:numPr>
        <w:spacing w:after="160"/>
        <w:ind w:left="426" w:hanging="426"/>
        <w:contextualSpacing/>
        <w:rPr>
          <w:rFonts w:eastAsiaTheme="minorHAnsi"/>
        </w:rPr>
      </w:pPr>
      <w:r w:rsidRPr="004D0259">
        <w:t xml:space="preserve">счита, че </w:t>
      </w:r>
      <w:r w:rsidRPr="004D0259">
        <w:rPr>
          <w:b/>
        </w:rPr>
        <w:t>липсата на производство на устойчиви горива в ЕС би оказала отрицателно въздействие върху стратегическата автономност на ЕС</w:t>
      </w:r>
      <w:r w:rsidRPr="004D0259">
        <w:t>;</w:t>
      </w:r>
    </w:p>
    <w:p w:rsidRPr="004D0259" w:rsidR="00D742A4" w:rsidP="006C4F3B" w:rsidRDefault="00D742A4" w14:paraId="2E918B4F" w14:textId="77777777">
      <w:pPr>
        <w:numPr>
          <w:ilvl w:val="0"/>
          <w:numId w:val="48"/>
        </w:numPr>
        <w:spacing w:after="160"/>
        <w:ind w:left="426" w:hanging="426"/>
        <w:contextualSpacing/>
        <w:rPr>
          <w:rFonts w:eastAsiaTheme="minorHAnsi"/>
        </w:rPr>
      </w:pPr>
      <w:r w:rsidRPr="004D0259">
        <w:t xml:space="preserve">подчертава необходимостта от </w:t>
      </w:r>
      <w:r w:rsidRPr="004D0259">
        <w:rPr>
          <w:b/>
        </w:rPr>
        <w:t>запазване и засилване на конкурентоспособността на промишлеността на ЕС</w:t>
      </w:r>
      <w:r w:rsidRPr="004D0259">
        <w:t xml:space="preserve"> в условията на силна глобална конкуренция; </w:t>
      </w:r>
    </w:p>
    <w:p w:rsidRPr="004D0259" w:rsidR="00D742A4" w:rsidP="006C4F3B" w:rsidRDefault="00D742A4" w14:paraId="209A3396" w14:textId="77777777">
      <w:pPr>
        <w:numPr>
          <w:ilvl w:val="0"/>
          <w:numId w:val="48"/>
        </w:numPr>
        <w:spacing w:after="160"/>
        <w:ind w:left="426" w:hanging="426"/>
        <w:contextualSpacing/>
        <w:rPr>
          <w:rFonts w:eastAsiaTheme="minorHAnsi"/>
          <w:b/>
          <w:bCs/>
        </w:rPr>
      </w:pPr>
      <w:r w:rsidRPr="004D0259">
        <w:t xml:space="preserve">се застъпва за </w:t>
      </w:r>
      <w:r w:rsidRPr="004D0259">
        <w:rPr>
          <w:b/>
        </w:rPr>
        <w:t>всеобхватна пътна карта за увеличаване на използването на устойчиви авиационни горива (УАГ)</w:t>
      </w:r>
      <w:r w:rsidRPr="004D0259">
        <w:t>;</w:t>
      </w:r>
    </w:p>
    <w:p w:rsidRPr="004D0259" w:rsidR="00D742A4" w:rsidP="006C4F3B" w:rsidRDefault="00D742A4" w14:paraId="56B9D752" w14:textId="77777777">
      <w:pPr>
        <w:numPr>
          <w:ilvl w:val="0"/>
          <w:numId w:val="48"/>
        </w:numPr>
        <w:spacing w:after="160"/>
        <w:ind w:left="426" w:hanging="426"/>
        <w:contextualSpacing/>
        <w:rPr>
          <w:rFonts w:eastAsiaTheme="minorHAnsi"/>
          <w:b/>
          <w:bCs/>
        </w:rPr>
      </w:pPr>
      <w:r w:rsidRPr="004D0259">
        <w:t xml:space="preserve">счита, че едно от предизвикателствата </w:t>
      </w:r>
      <w:r w:rsidRPr="004D0259">
        <w:rPr>
          <w:b/>
        </w:rPr>
        <w:t>за морската промишленост</w:t>
      </w:r>
      <w:r w:rsidRPr="004D0259">
        <w:t xml:space="preserve"> е </w:t>
      </w:r>
      <w:r w:rsidRPr="004D0259">
        <w:rPr>
          <w:b/>
        </w:rPr>
        <w:t>създаването на инфраструктура за зареждане в пристанищата по целия свят, която да снабдява корабите с алтернативни горива</w:t>
      </w:r>
      <w:r w:rsidRPr="004D0259">
        <w:t>;</w:t>
      </w:r>
    </w:p>
    <w:p w:rsidRPr="004D0259" w:rsidR="00D742A4" w:rsidP="006C4F3B" w:rsidRDefault="00D742A4" w14:paraId="32865479" w14:textId="77777777">
      <w:pPr>
        <w:numPr>
          <w:ilvl w:val="0"/>
          <w:numId w:val="48"/>
        </w:numPr>
        <w:spacing w:after="160"/>
        <w:ind w:left="426" w:hanging="426"/>
        <w:contextualSpacing/>
        <w:rPr>
          <w:rFonts w:eastAsiaTheme="minorHAnsi"/>
        </w:rPr>
      </w:pPr>
      <w:r w:rsidRPr="004D0259">
        <w:t xml:space="preserve">изтъква риска от </w:t>
      </w:r>
      <w:r w:rsidRPr="004D0259">
        <w:rPr>
          <w:b/>
        </w:rPr>
        <w:t>възможен недостиг на налични изходни суровини и количествата декарбонизирана енергия</w:t>
      </w:r>
      <w:r w:rsidRPr="004D0259">
        <w:t>, необходими за прехода към устойчиво производство на горива;</w:t>
      </w:r>
    </w:p>
    <w:p w:rsidRPr="004D0259" w:rsidR="00D742A4" w:rsidP="006C4F3B" w:rsidRDefault="00D742A4" w14:paraId="6663627F" w14:textId="77777777">
      <w:pPr>
        <w:numPr>
          <w:ilvl w:val="0"/>
          <w:numId w:val="48"/>
        </w:numPr>
        <w:spacing w:after="160"/>
        <w:ind w:left="426" w:hanging="426"/>
        <w:contextualSpacing/>
        <w:rPr>
          <w:rFonts w:eastAsiaTheme="minorHAnsi"/>
        </w:rPr>
      </w:pPr>
      <w:r w:rsidRPr="004D0259">
        <w:t xml:space="preserve">настоятелно призовава за </w:t>
      </w:r>
      <w:r w:rsidRPr="004D0259">
        <w:rPr>
          <w:b/>
        </w:rPr>
        <w:t>създаване на съгласувани регулаторни условия за отключване на инвестициите със стимули за насърчаване на незабавно производство и създаване на пазар за горива с намален въглероден отпечатък</w:t>
      </w:r>
      <w:r w:rsidRPr="004D0259">
        <w:t>;</w:t>
      </w:r>
    </w:p>
    <w:p w:rsidRPr="004D0259" w:rsidR="00D742A4" w:rsidP="006C4F3B" w:rsidRDefault="00D742A4" w14:paraId="0DC6995A" w14:textId="77777777">
      <w:pPr>
        <w:numPr>
          <w:ilvl w:val="0"/>
          <w:numId w:val="48"/>
        </w:numPr>
        <w:spacing w:after="160"/>
        <w:ind w:left="426" w:hanging="426"/>
        <w:contextualSpacing/>
        <w:rPr>
          <w:rFonts w:eastAsiaTheme="minorHAnsi"/>
        </w:rPr>
      </w:pPr>
      <w:r w:rsidRPr="004D0259">
        <w:t xml:space="preserve">предлага </w:t>
      </w:r>
      <w:r w:rsidRPr="004D0259">
        <w:rPr>
          <w:b/>
        </w:rPr>
        <w:t>данъчното облагане да се приведе в съответствие с въздействието на всяко гориво върху климата</w:t>
      </w:r>
      <w:r w:rsidRPr="004D0259">
        <w:t>;</w:t>
      </w:r>
    </w:p>
    <w:p w:rsidRPr="00D742A4" w:rsidR="00D742A4" w:rsidP="006C4F3B" w:rsidRDefault="00D742A4" w14:paraId="16F5C4CD" w14:textId="77777777">
      <w:pPr>
        <w:numPr>
          <w:ilvl w:val="0"/>
          <w:numId w:val="48"/>
        </w:numPr>
        <w:spacing w:after="160"/>
        <w:ind w:left="426" w:hanging="426"/>
        <w:contextualSpacing/>
        <w:rPr>
          <w:rFonts w:asciiTheme="minorHAnsi" w:hAnsiTheme="minorHAnsi" w:eastAsiaTheme="minorHAnsi" w:cstheme="minorBidi"/>
        </w:rPr>
      </w:pPr>
      <w:r w:rsidRPr="004D0259">
        <w:t xml:space="preserve">изразява разочарованието си от факта, че </w:t>
      </w:r>
      <w:r w:rsidRPr="004D0259">
        <w:rPr>
          <w:b/>
        </w:rPr>
        <w:t>безвъзмездните средства и субсидиите от ЕС не приоритизират в достатъчна степен инфраструктурата за производство на нисковъглеродни и възобновяеми горива за секторите на въздухоплаването и мореплаването</w:t>
      </w:r>
      <w:r w:rsidRPr="004D0259">
        <w:t xml:space="preserve">; </w:t>
      </w:r>
    </w:p>
    <w:p w:rsidRPr="004D0259" w:rsidR="00D742A4" w:rsidP="006C4F3B" w:rsidRDefault="00D742A4" w14:paraId="6D8B9B4D" w14:textId="77777777">
      <w:pPr>
        <w:numPr>
          <w:ilvl w:val="0"/>
          <w:numId w:val="48"/>
        </w:numPr>
        <w:spacing w:after="160"/>
        <w:ind w:left="426" w:hanging="426"/>
        <w:contextualSpacing/>
        <w:rPr>
          <w:rFonts w:eastAsiaTheme="minorHAnsi"/>
        </w:rPr>
      </w:pPr>
      <w:r w:rsidRPr="004D0259">
        <w:t>счита, че</w:t>
      </w:r>
      <w:r w:rsidRPr="004D0259">
        <w:rPr>
          <w:b/>
        </w:rPr>
        <w:t xml:space="preserve"> НИРД е от съществено значение за намаляване на разходите</w:t>
      </w:r>
      <w:r w:rsidRPr="004D0259">
        <w:t xml:space="preserve"> за авангардни нисковъглеродни технологии;</w:t>
      </w:r>
      <w:r w:rsidRPr="004D0259">
        <w:rPr>
          <w:b/>
        </w:rPr>
        <w:t xml:space="preserve"> </w:t>
      </w:r>
    </w:p>
    <w:p w:rsidRPr="004D0259" w:rsidR="00D742A4" w:rsidP="006C4F3B" w:rsidRDefault="00D742A4" w14:paraId="1FD1C6F8" w14:textId="77777777">
      <w:pPr>
        <w:numPr>
          <w:ilvl w:val="0"/>
          <w:numId w:val="48"/>
        </w:numPr>
        <w:spacing w:after="160"/>
        <w:ind w:left="426" w:hanging="426"/>
        <w:contextualSpacing/>
        <w:rPr>
          <w:rFonts w:eastAsiaTheme="minorHAnsi"/>
        </w:rPr>
      </w:pPr>
      <w:r w:rsidRPr="004D0259">
        <w:t xml:space="preserve">призовава за </w:t>
      </w:r>
      <w:r w:rsidRPr="004D0259">
        <w:rPr>
          <w:b/>
        </w:rPr>
        <w:t xml:space="preserve">цялостна стратегия за чист преход на целите промишлени вериги за създаване на стойност, включваща водорода, увеличаването на производството на биогорива, разширяването на производството на синтетични горива и продължаване </w:t>
      </w:r>
      <w:r w:rsidRPr="004D0259">
        <w:rPr>
          <w:b/>
        </w:rPr>
        <w:lastRenderedPageBreak/>
        <w:t>на съществуващите секторни партньорства в рамките на програмата — приемник на „Хоризонт Европа“</w:t>
      </w:r>
      <w:r w:rsidRPr="004D0259">
        <w:t>;</w:t>
      </w:r>
    </w:p>
    <w:p w:rsidRPr="004D0259" w:rsidR="00D742A4" w:rsidP="006C4F3B" w:rsidRDefault="00D742A4" w14:paraId="4DCAE472" w14:textId="38E5A284">
      <w:pPr>
        <w:numPr>
          <w:ilvl w:val="0"/>
          <w:numId w:val="48"/>
        </w:numPr>
        <w:spacing w:after="160"/>
        <w:ind w:left="426" w:hanging="426"/>
        <w:contextualSpacing/>
        <w:rPr>
          <w:rFonts w:eastAsiaTheme="minorHAnsi"/>
        </w:rPr>
      </w:pPr>
      <w:r w:rsidRPr="004D0259">
        <w:t xml:space="preserve">заявява убедеността си, че са необходими </w:t>
      </w:r>
      <w:r w:rsidRPr="004D0259">
        <w:rPr>
          <w:b/>
        </w:rPr>
        <w:t>програми за развиване на умения</w:t>
      </w:r>
      <w:r w:rsidRPr="004D0259">
        <w:t xml:space="preserve">, включително професионално обучение и подкрепа за прехода от едно работно място към друго; изтъква отново </w:t>
      </w:r>
      <w:r w:rsidRPr="004D0259">
        <w:rPr>
          <w:b/>
        </w:rPr>
        <w:t>приоритета да се гарантират високи стандарти за здравословни и безопасни условия на труд</w:t>
      </w:r>
      <w:r w:rsidRPr="004D0259">
        <w:t xml:space="preserve">. </w:t>
      </w:r>
    </w:p>
    <w:p w:rsidRPr="004D0259" w:rsidR="005864FB" w:rsidP="006C4F3B" w:rsidRDefault="005864FB" w14:paraId="5C987679" w14:textId="77777777">
      <w:pPr>
        <w:spacing w:after="160"/>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0"/>
        <w:gridCol w:w="3321"/>
      </w:tblGrid>
      <w:tr w:rsidRPr="006C4F3B" w:rsidR="00D742A4" w:rsidTr="00D76388" w14:paraId="327B48D9" w14:textId="77777777">
        <w:tc>
          <w:tcPr>
            <w:tcW w:w="3998" w:type="pct"/>
          </w:tcPr>
          <w:p w:rsidRPr="006C4F3B" w:rsidR="00D742A4" w:rsidP="006C4F3B" w:rsidRDefault="00D742A4" w14:paraId="7BAAC6C5" w14:textId="77777777">
            <w:pPr>
              <w:jc w:val="left"/>
              <w:rPr>
                <w:rFonts w:eastAsiaTheme="minorHAnsi"/>
                <w:i/>
                <w:sz w:val="22"/>
                <w:szCs w:val="22"/>
              </w:rPr>
            </w:pPr>
            <w:r w:rsidRPr="004D0259">
              <w:rPr>
                <w:b/>
                <w:i/>
                <w:sz w:val="22"/>
                <w:szCs w:val="22"/>
              </w:rPr>
              <w:t>За контакт</w:t>
            </w:r>
          </w:p>
        </w:tc>
        <w:tc>
          <w:tcPr>
            <w:tcW w:w="1002" w:type="pct"/>
            <w:tcBorders>
              <w:left w:val="nil"/>
            </w:tcBorders>
          </w:tcPr>
          <w:p w:rsidRPr="006C4F3B" w:rsidR="00D742A4" w:rsidP="006C4F3B" w:rsidRDefault="00D742A4" w14:paraId="61988035" w14:textId="0600FF56">
            <w:pPr>
              <w:jc w:val="left"/>
              <w:rPr>
                <w:rFonts w:eastAsiaTheme="minorHAnsi"/>
                <w:i/>
                <w:sz w:val="22"/>
                <w:szCs w:val="22"/>
              </w:rPr>
            </w:pPr>
            <w:r w:rsidRPr="004D0259">
              <w:rPr>
                <w:i/>
                <w:sz w:val="22"/>
                <w:szCs w:val="22"/>
              </w:rPr>
              <w:t>Adam Dorywalski</w:t>
            </w:r>
          </w:p>
        </w:tc>
      </w:tr>
      <w:tr w:rsidRPr="006C4F3B" w:rsidR="00D742A4" w:rsidTr="00D76388" w14:paraId="47170CFC" w14:textId="77777777">
        <w:tc>
          <w:tcPr>
            <w:tcW w:w="3998" w:type="pct"/>
          </w:tcPr>
          <w:p w:rsidRPr="006C4F3B" w:rsidR="00D742A4" w:rsidP="006C4F3B" w:rsidRDefault="00D742A4" w14:paraId="3EA66D45" w14:textId="77777777">
            <w:pPr>
              <w:jc w:val="left"/>
              <w:rPr>
                <w:rFonts w:eastAsiaTheme="minorHAnsi"/>
                <w:i/>
                <w:sz w:val="22"/>
                <w:szCs w:val="22"/>
              </w:rPr>
            </w:pPr>
            <w:r w:rsidRPr="004D0259">
              <w:rPr>
                <w:i/>
                <w:sz w:val="22"/>
                <w:szCs w:val="22"/>
              </w:rPr>
              <w:t>Тел</w:t>
            </w:r>
            <w:r w:rsidRPr="004D0259">
              <w:rPr>
                <w:i/>
                <w:iCs/>
                <w:sz w:val="22"/>
                <w:szCs w:val="22"/>
              </w:rPr>
              <w:t>.</w:t>
            </w:r>
            <w:r w:rsidRPr="004D0259">
              <w:rPr>
                <w:i/>
                <w:sz w:val="22"/>
                <w:szCs w:val="22"/>
              </w:rPr>
              <w:t xml:space="preserve"> </w:t>
            </w:r>
          </w:p>
        </w:tc>
        <w:tc>
          <w:tcPr>
            <w:tcW w:w="1002" w:type="pct"/>
            <w:tcBorders>
              <w:left w:val="nil"/>
            </w:tcBorders>
          </w:tcPr>
          <w:p w:rsidRPr="006C4F3B" w:rsidR="00D742A4" w:rsidP="006C4F3B" w:rsidRDefault="00D742A4" w14:paraId="11BAD200" w14:textId="77777777">
            <w:pPr>
              <w:jc w:val="left"/>
              <w:rPr>
                <w:rFonts w:eastAsiaTheme="minorHAnsi"/>
                <w:i/>
                <w:sz w:val="22"/>
                <w:szCs w:val="22"/>
              </w:rPr>
            </w:pPr>
            <w:r w:rsidRPr="004D0259">
              <w:rPr>
                <w:i/>
                <w:sz w:val="22"/>
                <w:szCs w:val="22"/>
              </w:rPr>
              <w:t>+32 25469397</w:t>
            </w:r>
          </w:p>
        </w:tc>
      </w:tr>
      <w:tr w:rsidRPr="004D0259" w:rsidR="00D742A4" w:rsidTr="00D76388" w14:paraId="7DEA58F4" w14:textId="77777777">
        <w:tc>
          <w:tcPr>
            <w:tcW w:w="3998" w:type="pct"/>
          </w:tcPr>
          <w:p w:rsidRPr="006C4F3B" w:rsidR="00D742A4" w:rsidP="006C4F3B" w:rsidRDefault="00D742A4" w14:paraId="5A5A0838" w14:textId="77777777">
            <w:pPr>
              <w:jc w:val="left"/>
              <w:rPr>
                <w:rFonts w:eastAsiaTheme="minorHAnsi"/>
                <w:i/>
                <w:iCs/>
                <w:sz w:val="22"/>
                <w:szCs w:val="22"/>
              </w:rPr>
            </w:pPr>
            <w:r w:rsidRPr="004D0259">
              <w:rPr>
                <w:i/>
                <w:sz w:val="22"/>
                <w:szCs w:val="22"/>
              </w:rPr>
              <w:t>Електронен адрес</w:t>
            </w:r>
          </w:p>
        </w:tc>
        <w:tc>
          <w:tcPr>
            <w:tcW w:w="1002" w:type="pct"/>
            <w:tcBorders>
              <w:left w:val="nil"/>
            </w:tcBorders>
          </w:tcPr>
          <w:p w:rsidRPr="004D0259" w:rsidR="00D742A4" w:rsidP="006C4F3B" w:rsidRDefault="00D742A4" w14:paraId="4AFA4308" w14:textId="77777777">
            <w:pPr>
              <w:jc w:val="left"/>
              <w:rPr>
                <w:rFonts w:eastAsiaTheme="minorHAnsi"/>
                <w:i/>
                <w:iCs/>
                <w:sz w:val="22"/>
                <w:szCs w:val="22"/>
              </w:rPr>
            </w:pPr>
            <w:r w:rsidRPr="004D0259">
              <w:rPr>
                <w:i/>
                <w:color w:val="0000FF"/>
                <w:sz w:val="22"/>
                <w:szCs w:val="22"/>
                <w:u w:val="single"/>
              </w:rPr>
              <w:t>Adam.Dorywalski@eesc.europa.eu</w:t>
            </w:r>
          </w:p>
        </w:tc>
      </w:tr>
    </w:tbl>
    <w:p w:rsidRPr="004D0259" w:rsidR="00747EBB" w:rsidP="006C4F3B" w:rsidRDefault="00747EBB" w14:paraId="425E1CA4" w14:textId="77777777">
      <w:pPr>
        <w:widowControl w:val="0"/>
        <w:tabs>
          <w:tab w:val="center" w:pos="284"/>
        </w:tabs>
        <w:overflowPunct w:val="0"/>
        <w:autoSpaceDE w:val="0"/>
        <w:autoSpaceDN w:val="0"/>
        <w:adjustRightInd w:val="0"/>
        <w:spacing w:after="160"/>
        <w:ind w:left="927"/>
        <w:contextualSpacing/>
        <w:jc w:val="left"/>
        <w:textAlignment w:val="baseline"/>
        <w:rPr>
          <w:rFonts w:eastAsiaTheme="minorHAnsi"/>
          <w:b/>
          <w:bCs/>
          <w:i/>
          <w:iCs/>
          <w:lang w:val="en-US"/>
        </w:rPr>
      </w:pPr>
    </w:p>
    <w:p w:rsidRPr="004D0259" w:rsidR="00747EBB" w:rsidRDefault="00747EBB" w14:paraId="01E63EDD" w14:textId="77777777">
      <w:pPr>
        <w:spacing w:after="160" w:line="259" w:lineRule="auto"/>
        <w:jc w:val="left"/>
        <w:rPr>
          <w:rFonts w:eastAsiaTheme="minorHAnsi"/>
          <w:b/>
          <w:bCs/>
          <w:i/>
          <w:iCs/>
          <w:sz w:val="28"/>
          <w:szCs w:val="28"/>
        </w:rPr>
      </w:pPr>
      <w:r w:rsidRPr="004D0259">
        <w:br w:type="page"/>
      </w:r>
    </w:p>
    <w:p w:rsidRPr="004D0259" w:rsidR="00747EBB" w:rsidP="00747EBB" w:rsidRDefault="00101ED0" w14:paraId="58022942" w14:textId="46888C17">
      <w:pPr>
        <w:widowControl w:val="0"/>
        <w:numPr>
          <w:ilvl w:val="0"/>
          <w:numId w:val="27"/>
        </w:numPr>
        <w:overflowPunct w:val="0"/>
        <w:autoSpaceDE w:val="0"/>
        <w:autoSpaceDN w:val="0"/>
        <w:adjustRightInd w:val="0"/>
        <w:ind w:hanging="567"/>
        <w:textAlignment w:val="baseline"/>
        <w:rPr>
          <w:sz w:val="20"/>
          <w:szCs w:val="20"/>
        </w:rPr>
      </w:pPr>
      <w:hyperlink w:history="1" r:id="rId43">
        <w:r w:rsidRPr="004D0259" w:rsidR="00907DA8">
          <w:rPr>
            <w:b/>
            <w:i/>
            <w:color w:val="0000FF"/>
            <w:sz w:val="28"/>
            <w:u w:val="single"/>
          </w:rPr>
          <w:t>Авангардни материали за водещи позиции в промишлеността</w:t>
        </w:r>
      </w:hyperlink>
    </w:p>
    <w:p w:rsidRPr="004D0259" w:rsidR="00747EBB" w:rsidP="00747EBB" w:rsidRDefault="00747EBB" w14:paraId="65F5A8CF" w14:textId="77777777">
      <w:pPr>
        <w:tabs>
          <w:tab w:val="center" w:pos="284"/>
        </w:tabs>
        <w:overflowPunct w:val="0"/>
        <w:autoSpaceDE w:val="0"/>
        <w:autoSpaceDN w:val="0"/>
        <w:adjustRightInd w:val="0"/>
        <w:ind w:left="266" w:hanging="266"/>
        <w:textAlignment w:val="baseline"/>
        <w:rPr>
          <w:b/>
          <w:sz w:val="16"/>
          <w:szCs w:val="16"/>
        </w:rPr>
      </w:pPr>
    </w:p>
    <w:tbl>
      <w:tblPr>
        <w:tblStyle w:val="TableGrid20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83"/>
        <w:gridCol w:w="6904"/>
      </w:tblGrid>
      <w:tr w:rsidRPr="00747EBB" w:rsidR="00747EBB" w:rsidTr="00141BA5" w14:paraId="4148C1E7" w14:textId="77777777">
        <w:tc>
          <w:tcPr>
            <w:tcW w:w="1283"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sidRPr="004D0259">
              <w:rPr>
                <w:b/>
              </w:rPr>
              <w:t>Докладчик</w:t>
            </w:r>
          </w:p>
        </w:tc>
        <w:tc>
          <w:tcPr>
            <w:tcW w:w="3717" w:type="pct"/>
          </w:tcPr>
          <w:p w:rsidRPr="00750766" w:rsidR="00747EBB" w:rsidP="00747EBB" w:rsidRDefault="00747EBB" w14:paraId="41D5C73A" w14:textId="7F732DE3">
            <w:pPr>
              <w:tabs>
                <w:tab w:val="center" w:pos="284"/>
              </w:tabs>
              <w:overflowPunct w:val="0"/>
              <w:autoSpaceDE w:val="0"/>
              <w:autoSpaceDN w:val="0"/>
              <w:adjustRightInd w:val="0"/>
              <w:ind w:left="266" w:right="-812" w:hanging="266"/>
              <w:textAlignment w:val="baseline"/>
            </w:pPr>
            <w:r w:rsidRPr="004D0259">
              <w:t>Anastasis YIAPANIS (група „Организации на гражданското общество“ — CY)</w:t>
            </w:r>
          </w:p>
        </w:tc>
      </w:tr>
      <w:tr w:rsidRPr="00747EBB" w:rsidR="00747EBB" w:rsidTr="00141BA5" w14:paraId="4E2ACB03" w14:textId="77777777">
        <w:tc>
          <w:tcPr>
            <w:tcW w:w="1283"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sidRPr="004D0259">
              <w:rPr>
                <w:b/>
              </w:rPr>
              <w:t>Съдокладчик</w:t>
            </w:r>
          </w:p>
        </w:tc>
        <w:tc>
          <w:tcPr>
            <w:tcW w:w="3717" w:type="pct"/>
          </w:tcPr>
          <w:p w:rsidRPr="00750766" w:rsidR="00747EBB" w:rsidP="00747EBB" w:rsidRDefault="00747EBB" w14:paraId="00581503" w14:textId="00B44E03">
            <w:pPr>
              <w:tabs>
                <w:tab w:val="center" w:pos="284"/>
              </w:tabs>
              <w:overflowPunct w:val="0"/>
              <w:autoSpaceDE w:val="0"/>
              <w:autoSpaceDN w:val="0"/>
              <w:adjustRightInd w:val="0"/>
              <w:ind w:left="266" w:right="-1383" w:hanging="266"/>
              <w:textAlignment w:val="baseline"/>
            </w:pPr>
            <w:r w:rsidRPr="004D0259">
              <w:t>Gerardo Luis ARROYO HERRANZ (Кат. 1 — ES)</w:t>
            </w:r>
          </w:p>
        </w:tc>
      </w:tr>
      <w:tr w:rsidRPr="00747EBB" w:rsidR="00747EBB" w:rsidTr="00141BA5"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4D0259" w:rsidR="00747EBB" w:rsidTr="00141BA5" w14:paraId="60D7635B" w14:textId="77777777">
        <w:tc>
          <w:tcPr>
            <w:tcW w:w="1283"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sidRPr="004D0259">
              <w:rPr>
                <w:b/>
              </w:rPr>
              <w:t>Отправни документи</w:t>
            </w:r>
          </w:p>
        </w:tc>
        <w:tc>
          <w:tcPr>
            <w:tcW w:w="3717"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rsidRPr="004D0259">
              <w:t>COM(2024) 98 final</w:t>
            </w:r>
          </w:p>
          <w:p w:rsidRPr="00747EBB" w:rsidR="00747EBB" w:rsidP="00747EBB" w:rsidRDefault="00747EBB" w14:paraId="16AF5EE0" w14:textId="202175F9">
            <w:pPr>
              <w:tabs>
                <w:tab w:val="center" w:pos="284"/>
              </w:tabs>
              <w:overflowPunct w:val="0"/>
              <w:autoSpaceDE w:val="0"/>
              <w:autoSpaceDN w:val="0"/>
              <w:adjustRightInd w:val="0"/>
              <w:ind w:left="266" w:hanging="266"/>
              <w:textAlignment w:val="baseline"/>
              <w:rPr>
                <w:highlight w:val="yellow"/>
              </w:rPr>
            </w:pPr>
            <w:r w:rsidRPr="004D0259">
              <w:t>EESC-2024-01425-00-00-AC</w:t>
            </w:r>
          </w:p>
        </w:tc>
      </w:tr>
    </w:tbl>
    <w:p w:rsidRPr="004D0259" w:rsidR="00141BA5" w:rsidP="00747EBB" w:rsidRDefault="00141BA5" w14:paraId="37037C72" w14:textId="77777777">
      <w:pPr>
        <w:keepNext/>
        <w:keepLines/>
        <w:tabs>
          <w:tab w:val="center" w:pos="284"/>
        </w:tabs>
        <w:overflowPunct w:val="0"/>
        <w:autoSpaceDE w:val="0"/>
        <w:autoSpaceDN w:val="0"/>
        <w:adjustRightInd w:val="0"/>
        <w:ind w:left="266" w:hanging="266"/>
        <w:textAlignment w:val="baseline"/>
        <w:rPr>
          <w:b/>
        </w:rPr>
      </w:pPr>
    </w:p>
    <w:p w:rsidRPr="004D0259" w:rsidR="00747EBB" w:rsidP="00747EBB" w:rsidRDefault="00747EBB" w14:paraId="4FFF06F9" w14:textId="208204EB">
      <w:pPr>
        <w:keepNext/>
        <w:keepLines/>
        <w:tabs>
          <w:tab w:val="center" w:pos="284"/>
        </w:tabs>
        <w:overflowPunct w:val="0"/>
        <w:autoSpaceDE w:val="0"/>
        <w:autoSpaceDN w:val="0"/>
        <w:adjustRightInd w:val="0"/>
        <w:ind w:left="266" w:hanging="266"/>
        <w:textAlignment w:val="baseline"/>
        <w:rPr>
          <w:b/>
        </w:rPr>
      </w:pPr>
      <w:r w:rsidRPr="004D0259">
        <w:rPr>
          <w:b/>
        </w:rPr>
        <w:t>Основни аспекти</w:t>
      </w:r>
    </w:p>
    <w:p w:rsidRPr="004D0259"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Pr="004D0259" w:rsidR="00747EBB" w:rsidP="00747EBB" w:rsidRDefault="00747EBB" w14:paraId="7D9C1FC5" w14:textId="7CBCEF16">
      <w:pPr>
        <w:overflowPunct w:val="0"/>
        <w:autoSpaceDE w:val="0"/>
        <w:autoSpaceDN w:val="0"/>
        <w:adjustRightInd w:val="0"/>
        <w:textAlignment w:val="baseline"/>
        <w:rPr>
          <w:bCs/>
          <w:iCs/>
        </w:rPr>
      </w:pPr>
      <w:r w:rsidRPr="004D0259">
        <w:t>ЕИСК:</w:t>
      </w:r>
    </w:p>
    <w:p w:rsidRPr="004D0259" w:rsidR="00750766" w:rsidP="00747EBB" w:rsidRDefault="00750766" w14:paraId="772D23C3" w14:textId="77777777">
      <w:pPr>
        <w:overflowPunct w:val="0"/>
        <w:autoSpaceDE w:val="0"/>
        <w:autoSpaceDN w:val="0"/>
        <w:adjustRightInd w:val="0"/>
        <w:textAlignment w:val="baseline"/>
        <w:rPr>
          <w:bCs/>
          <w:iCs/>
        </w:rPr>
      </w:pPr>
    </w:p>
    <w:p w:rsidRPr="004D0259" w:rsidR="00747EBB" w:rsidP="004C40FF"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счита, че съобщението на Европейската комисия относно авангардните материали не може да се разглежда като стратегия сама по себе си, тъй като в него липсват количествено измерими цели, срокове и конкретни ключови показатели за ефективност (КПЕ) в подкрепа на нейното прилагане;</w:t>
      </w:r>
    </w:p>
    <w:p w:rsidRPr="004D0259" w:rsidR="00747EBB" w:rsidP="004C40FF"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изразява убеждението, че ЕС се нуждае от цялостен подход за намаляване на потреблението на материали, насърчаване на кръговостта и улесняване на прехода към устойчиви бизнес модели и поведение на потребление;</w:t>
      </w:r>
    </w:p>
    <w:p w:rsidRPr="004D0259" w:rsidR="00747EBB" w:rsidP="004C40FF"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отбелязва, че една сложна екосистема от авангардни материали изисква всеобхватна стратегия, значително финансиране и стимули, наличието на подходящи умения, както и политическа подкрепа на високо равнище;</w:t>
      </w:r>
    </w:p>
    <w:p w:rsidRPr="004D0259" w:rsidR="00747EBB" w:rsidP="004C40FF"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приветства засиления диалог между ЕС и Япония относно авангардните материали и счита, че подобни инициативи следва да обхванат и други водещи държави;</w:t>
      </w:r>
    </w:p>
    <w:p w:rsidRPr="004D0259" w:rsidR="00747EBB" w:rsidP="004C40FF"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счита, че е от решаващо значение да се насърчава конкурентоспособността в научноизследователската и развойната дейност и иновациите чрез ангажиране на промишлените участници, публичните органи, социалните партньори и академичните среди и чрез създаване на мрежа от трансгранични научноизследователски инфраструктури;</w:t>
      </w:r>
    </w:p>
    <w:p w:rsidRPr="004D0259" w:rsidR="00747EBB" w:rsidP="004C40FF"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предлага здравеопазването да бъде включено като допълнителна първоначална стратегическа област, тъй като то представлява един от най-големите промишлени отрасли в Европа, а свързаните със здравеопазването авангардни материали често се пресичат със сектори като електрониката и енергетиката;</w:t>
      </w:r>
    </w:p>
    <w:p w:rsidRPr="004D0259" w:rsidR="00747EBB" w:rsidP="004C40FF"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изтъква значението на интегрирането на цифровите технологии и иновациите в процесите на разработване на материали;</w:t>
      </w:r>
    </w:p>
    <w:p w:rsidRPr="004D0259" w:rsidR="00747EBB" w:rsidP="004C40FF"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4D0259">
        <w:t xml:space="preserve">подкрепя въвеждането на цифрови паспорти на продуктите, които включват информационни стандарти и подробности от етапа на производство до рециклирането, но предупреждава, че не бива да се създават допълнителна бюрокрация или разходи за предприятията или потребителите; </w:t>
      </w:r>
    </w:p>
    <w:p w:rsidRPr="004D0259"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rsidRPr="004D0259">
        <w:t>счита, че е необходимо да се укрепи европейското производство, да се подкрепи пазарната реализация, да се рационализира достъпът до пазара и да се подобри надзорът на пазара в тази област.</w:t>
      </w:r>
    </w:p>
    <w:p w:rsidRPr="004D0259" w:rsidR="00BC4CB8" w:rsidP="004C40FF" w:rsidRDefault="00BC4CB8" w14:paraId="71E292A0" w14:textId="77777777">
      <w:pPr>
        <w:overflowPunct w:val="0"/>
        <w:autoSpaceDE w:val="0"/>
        <w:autoSpaceDN w:val="0"/>
        <w:adjustRightInd w:val="0"/>
        <w:spacing w:line="276" w:lineRule="auto"/>
        <w:ind w:left="284"/>
        <w:contextualSpacing/>
        <w:textAlignment w:val="baseline"/>
        <w:rPr>
          <w:bCs/>
          <w:iCs/>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4F3B" w:rsidR="00624933" w:rsidTr="00D76388" w14:paraId="241DA007" w14:textId="77777777">
        <w:tc>
          <w:tcPr>
            <w:tcW w:w="1556" w:type="pct"/>
          </w:tcPr>
          <w:p w:rsidRPr="006C4F3B" w:rsidR="00624933" w:rsidP="00D76388" w:rsidRDefault="00624933" w14:paraId="5B374FDA" w14:textId="77777777">
            <w:pPr>
              <w:overflowPunct w:val="0"/>
              <w:autoSpaceDE w:val="0"/>
              <w:autoSpaceDN w:val="0"/>
              <w:adjustRightInd w:val="0"/>
              <w:spacing w:line="240" w:lineRule="auto"/>
              <w:textAlignment w:val="baseline"/>
              <w:rPr>
                <w:b/>
                <w:bCs/>
                <w:iCs/>
                <w:sz w:val="22"/>
                <w:szCs w:val="22"/>
              </w:rPr>
            </w:pPr>
            <w:r w:rsidRPr="004D0259">
              <w:rPr>
                <w:b/>
                <w:bCs/>
                <w:sz w:val="22"/>
                <w:szCs w:val="22"/>
              </w:rPr>
              <w:t>За контакт</w:t>
            </w:r>
          </w:p>
        </w:tc>
        <w:tc>
          <w:tcPr>
            <w:tcW w:w="3444" w:type="pct"/>
          </w:tcPr>
          <w:p w:rsidRPr="006C4F3B" w:rsidR="00624933" w:rsidP="00D76388" w:rsidRDefault="00570D62" w14:paraId="73FF4C43" w14:textId="62D056EE">
            <w:pPr>
              <w:overflowPunct w:val="0"/>
              <w:autoSpaceDE w:val="0"/>
              <w:autoSpaceDN w:val="0"/>
              <w:adjustRightInd w:val="0"/>
              <w:spacing w:line="240" w:lineRule="auto"/>
              <w:textAlignment w:val="baseline"/>
              <w:rPr>
                <w:i/>
                <w:sz w:val="22"/>
                <w:szCs w:val="22"/>
              </w:rPr>
            </w:pPr>
            <w:r w:rsidRPr="004D0259">
              <w:rPr>
                <w:i/>
                <w:sz w:val="22"/>
                <w:szCs w:val="22"/>
              </w:rPr>
              <w:t>Heli Niemelä-Farrer</w:t>
            </w:r>
          </w:p>
        </w:tc>
      </w:tr>
      <w:tr w:rsidRPr="006C4F3B" w:rsidR="00624933" w:rsidTr="00D76388" w14:paraId="5E7FD2AC" w14:textId="77777777">
        <w:tc>
          <w:tcPr>
            <w:tcW w:w="1556" w:type="pct"/>
          </w:tcPr>
          <w:p w:rsidRPr="006C4F3B" w:rsidR="00624933" w:rsidP="00D76388" w:rsidRDefault="00624933" w14:paraId="1F90DF6C" w14:textId="77777777">
            <w:pPr>
              <w:overflowPunct w:val="0"/>
              <w:autoSpaceDE w:val="0"/>
              <w:autoSpaceDN w:val="0"/>
              <w:adjustRightInd w:val="0"/>
              <w:spacing w:line="240" w:lineRule="auto"/>
              <w:textAlignment w:val="baseline"/>
              <w:rPr>
                <w:i/>
                <w:sz w:val="22"/>
                <w:szCs w:val="22"/>
              </w:rPr>
            </w:pPr>
            <w:r w:rsidRPr="004D0259">
              <w:rPr>
                <w:i/>
                <w:sz w:val="22"/>
                <w:szCs w:val="22"/>
              </w:rPr>
              <w:t>Тел</w:t>
            </w:r>
            <w:r w:rsidRPr="004D0259">
              <w:rPr>
                <w:i/>
                <w:iCs/>
                <w:sz w:val="22"/>
                <w:szCs w:val="22"/>
              </w:rPr>
              <w:t>.</w:t>
            </w:r>
          </w:p>
        </w:tc>
        <w:tc>
          <w:tcPr>
            <w:tcW w:w="3444" w:type="pct"/>
          </w:tcPr>
          <w:p w:rsidRPr="006C4F3B" w:rsidR="00624933" w:rsidP="00D76388" w:rsidRDefault="00570D62" w14:paraId="13D7F287" w14:textId="18A8E6EA">
            <w:pPr>
              <w:overflowPunct w:val="0"/>
              <w:autoSpaceDE w:val="0"/>
              <w:autoSpaceDN w:val="0"/>
              <w:adjustRightInd w:val="0"/>
              <w:spacing w:line="240" w:lineRule="auto"/>
              <w:textAlignment w:val="baseline"/>
              <w:rPr>
                <w:i/>
                <w:sz w:val="22"/>
                <w:szCs w:val="22"/>
              </w:rPr>
            </w:pPr>
            <w:r w:rsidRPr="004D0259">
              <w:rPr>
                <w:i/>
                <w:sz w:val="22"/>
                <w:szCs w:val="22"/>
              </w:rPr>
              <w:t>+32 22822464</w:t>
            </w:r>
          </w:p>
        </w:tc>
      </w:tr>
      <w:tr w:rsidRPr="004D0259" w:rsidR="00624933" w:rsidTr="00D76388" w14:paraId="4032EE62" w14:textId="77777777">
        <w:tc>
          <w:tcPr>
            <w:tcW w:w="1556" w:type="pct"/>
          </w:tcPr>
          <w:p w:rsidRPr="006C4F3B" w:rsidR="00624933" w:rsidP="00D76388" w:rsidRDefault="00624933" w14:paraId="68C20213" w14:textId="77777777">
            <w:pPr>
              <w:overflowPunct w:val="0"/>
              <w:autoSpaceDE w:val="0"/>
              <w:autoSpaceDN w:val="0"/>
              <w:adjustRightInd w:val="0"/>
              <w:spacing w:line="240" w:lineRule="auto"/>
              <w:textAlignment w:val="baseline"/>
              <w:rPr>
                <w:i/>
                <w:sz w:val="22"/>
                <w:szCs w:val="22"/>
              </w:rPr>
            </w:pPr>
            <w:r w:rsidRPr="004D0259">
              <w:rPr>
                <w:i/>
                <w:sz w:val="22"/>
                <w:szCs w:val="22"/>
              </w:rPr>
              <w:t>Електронен адрес</w:t>
            </w:r>
          </w:p>
        </w:tc>
        <w:tc>
          <w:tcPr>
            <w:tcW w:w="3444" w:type="pct"/>
          </w:tcPr>
          <w:p w:rsidRPr="004D0259" w:rsidR="00570D62" w:rsidP="00D76388" w:rsidRDefault="00101ED0" w14:paraId="75D67AD3" w14:textId="3EB7A3BB">
            <w:pPr>
              <w:overflowPunct w:val="0"/>
              <w:autoSpaceDE w:val="0"/>
              <w:autoSpaceDN w:val="0"/>
              <w:adjustRightInd w:val="0"/>
              <w:spacing w:line="240" w:lineRule="auto"/>
              <w:textAlignment w:val="baseline"/>
              <w:rPr>
                <w:i/>
                <w:sz w:val="22"/>
                <w:szCs w:val="22"/>
              </w:rPr>
            </w:pPr>
            <w:hyperlink w:history="1" r:id="rId44">
              <w:r w:rsidRPr="004D0259" w:rsidR="00570D62">
                <w:rPr>
                  <w:rStyle w:val="Hyperlink"/>
                  <w:i/>
                  <w:sz w:val="22"/>
                  <w:szCs w:val="22"/>
                </w:rPr>
                <w:t>Heli.Niemela-Farrer@eesc.europa.eu</w:t>
              </w:r>
            </w:hyperlink>
          </w:p>
        </w:tc>
      </w:tr>
    </w:tbl>
    <w:p w:rsidRPr="004D0259" w:rsidR="004351D4" w:rsidP="00AA63E5" w:rsidRDefault="004351D4" w14:paraId="0AE04AB9" w14:textId="26110CD9">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4D0259" w:rsidR="0092772D" w:rsidP="006C7863" w:rsidRDefault="00556EDF" w14:paraId="7379A588" w14:textId="3EDEF816">
      <w:pPr>
        <w:overflowPunct w:val="0"/>
        <w:autoSpaceDE w:val="0"/>
        <w:autoSpaceDN w:val="0"/>
        <w:adjustRightInd w:val="0"/>
        <w:jc w:val="center"/>
        <w:textAlignment w:val="baseline"/>
      </w:pPr>
      <w:r w:rsidRPr="004D0259">
        <w:t>_____________</w:t>
      </w:r>
    </w:p>
    <w:sectPr w:rsidRPr="004D0259" w:rsidR="0092772D" w:rsidSect="004D0259">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2EB5" w14:textId="77777777" w:rsidR="00B12187" w:rsidRPr="004D0259" w:rsidRDefault="00B12187" w:rsidP="004D0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C6CB983" w:rsidR="00765C4F" w:rsidRPr="004D0259" w:rsidRDefault="004D0259" w:rsidP="004D0259">
    <w:pPr>
      <w:pStyle w:val="Footer"/>
    </w:pPr>
    <w:r>
      <w:t xml:space="preserve">EESC-2024-02113-00-01-TCD-TRA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101ED0">
      <w:fldChar w:fldCharType="begin"/>
    </w:r>
    <w:r w:rsidR="00101ED0">
      <w:instrText xml:space="preserve"> NUMPAGES </w:instrText>
    </w:r>
    <w:r w:rsidR="00101ED0">
      <w:fldChar w:fldCharType="separate"/>
    </w:r>
    <w:r w:rsidR="00101ED0">
      <w:rPr>
        <w:noProof/>
      </w:rPr>
      <w:instrText>18</w:instrText>
    </w:r>
    <w:r w:rsidR="00101ED0">
      <w:rPr>
        <w:noProof/>
      </w:rPr>
      <w:fldChar w:fldCharType="end"/>
    </w:r>
    <w:r>
      <w:instrText xml:space="preserve"> -0 </w:instrText>
    </w:r>
    <w:r>
      <w:fldChar w:fldCharType="separate"/>
    </w:r>
    <w:r w:rsidR="00101ED0">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38FA" w14:textId="77777777" w:rsidR="00B12187" w:rsidRPr="004D0259" w:rsidRDefault="00B12187" w:rsidP="004D02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D0259" w:rsidRDefault="00E4258F" w:rsidP="004D02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14868769" w:rsidR="00E4258F" w:rsidRPr="004D0259" w:rsidRDefault="004D0259" w:rsidP="004D0259">
    <w:pPr>
      <w:pStyle w:val="Footer"/>
    </w:pPr>
    <w:r>
      <w:t xml:space="preserve">EESC-2024-02113-00-01-TCD-TRA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rsidR="00101ED0">
      <w:fldChar w:fldCharType="begin"/>
    </w:r>
    <w:r w:rsidR="00101ED0">
      <w:instrText xml:space="preserve"> NUMPAGES </w:instrText>
    </w:r>
    <w:r w:rsidR="00101ED0">
      <w:fldChar w:fldCharType="separate"/>
    </w:r>
    <w:r w:rsidR="00101ED0">
      <w:rPr>
        <w:noProof/>
      </w:rPr>
      <w:instrText>18</w:instrText>
    </w:r>
    <w:r w:rsidR="00101ED0">
      <w:rPr>
        <w:noProof/>
      </w:rPr>
      <w:fldChar w:fldCharType="end"/>
    </w:r>
    <w:r>
      <w:instrText xml:space="preserve"> -0 </w:instrText>
    </w:r>
    <w:r>
      <w:fldChar w:fldCharType="separate"/>
    </w:r>
    <w:r w:rsidR="00101ED0">
      <w:rPr>
        <w:noProof/>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D0259" w:rsidRDefault="00E4258F" w:rsidP="004D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319D" w14:textId="77777777" w:rsidR="00B12187" w:rsidRPr="004D0259" w:rsidRDefault="00B12187" w:rsidP="004D0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F1E8" w14:textId="5748DBC3" w:rsidR="00B12187" w:rsidRPr="004D0259" w:rsidRDefault="00B12187" w:rsidP="004D0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210" w14:textId="77777777" w:rsidR="00B12187" w:rsidRPr="004D0259" w:rsidRDefault="00B12187" w:rsidP="004D02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D0259" w:rsidRDefault="00E4258F" w:rsidP="004D02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FFB5680" w:rsidR="00E4258F" w:rsidRPr="004D0259" w:rsidRDefault="00E4258F" w:rsidP="004D02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D0259" w:rsidRDefault="00E4258F" w:rsidP="004D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 w:numId="5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4"/>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C73F2"/>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1ED0"/>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1BA5"/>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3DB"/>
    <w:rsid w:val="002B06C6"/>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463"/>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1B66"/>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0FF"/>
    <w:rsid w:val="004C4101"/>
    <w:rsid w:val="004C583B"/>
    <w:rsid w:val="004C758D"/>
    <w:rsid w:val="004C76BE"/>
    <w:rsid w:val="004C7B29"/>
    <w:rsid w:val="004D0259"/>
    <w:rsid w:val="004D0366"/>
    <w:rsid w:val="004D0940"/>
    <w:rsid w:val="004D09EB"/>
    <w:rsid w:val="004D1910"/>
    <w:rsid w:val="004D249A"/>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A45"/>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C06"/>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4F3B"/>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61C9"/>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07DA8"/>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16FB"/>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D66"/>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3F1E"/>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87A18"/>
    <w:rsid w:val="00A9006A"/>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4F2"/>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1E9"/>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00BB"/>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25FE"/>
    <w:rsid w:val="00EB3927"/>
    <w:rsid w:val="00EB46E1"/>
    <w:rsid w:val="00EB473F"/>
    <w:rsid w:val="00EB49CC"/>
    <w:rsid w:val="00EB7883"/>
    <w:rsid w:val="00EB7972"/>
    <w:rsid w:val="00EC13BB"/>
    <w:rsid w:val="00EC1820"/>
    <w:rsid w:val="00EC4289"/>
    <w:rsid w:val="00EC533C"/>
    <w:rsid w:val="00EC54AC"/>
    <w:rsid w:val="00EC5A06"/>
    <w:rsid w:val="00EC6543"/>
    <w:rsid w:val="00EC68E5"/>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1B00"/>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D0259"/>
    <w:pPr>
      <w:tabs>
        <w:tab w:val="left" w:pos="440"/>
        <w:tab w:val="right" w:leader="dot" w:pos="9063"/>
      </w:tabs>
      <w:spacing w:line="360" w:lineRule="auto"/>
      <w:ind w:left="440" w:right="-1" w:hanging="440"/>
      <w:outlineLvl w:val="0"/>
    </w:pPr>
    <w:rPr>
      <w:b/>
      <w:noProof/>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bg-BG"/>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bg/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Sabrina.Borg@eesc.europa.eu" TargetMode="External"/><Relationship Id="rId39" Type="http://schemas.openxmlformats.org/officeDocument/2006/relationships/hyperlink" Target="mailto:Aleksandra.SarmanGrilc@eesc.europa.eu" TargetMode="External"/><Relationship Id="rId21" Type="http://schemas.openxmlformats.org/officeDocument/2006/relationships/hyperlink" Target="https://www.eesc.europa.eu/bg/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bg/our-work/opinions-information-reports/opinions/low-carbon-and-renewable-fuels-building-capacity-european-industry-decarbonise-aviation-and-maritime-sectors-spirit"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Valeria.Atzori@eesc.europa.eu" TargetMode="External"/><Relationship Id="rId11" Type="http://schemas.openxmlformats.org/officeDocument/2006/relationships/endnotes" Target="endnotes.xml"/><Relationship Id="rId24" Type="http://schemas.openxmlformats.org/officeDocument/2006/relationships/hyperlink" Target="https://www.eesc.europa.eu/bg/our-work/opinions-information-reports/opinions/taxation-framework-social-economy-entities" TargetMode="External"/><Relationship Id="rId32" Type="http://schemas.openxmlformats.org/officeDocument/2006/relationships/hyperlink" Target="mailto:Marco.Manfroni@eesc.europa.eu" TargetMode="External"/><Relationship Id="rId37" Type="http://schemas.openxmlformats.org/officeDocument/2006/relationships/hyperlink" Target="mailto:Marco.Ristori@eesc.europa.eu" TargetMode="External"/><Relationship Id="rId40" Type="http://schemas.openxmlformats.org/officeDocument/2006/relationships/hyperlink" Target="https://www.eesc.europa.eu/bg/our-work/opinions-information-reports/opinions/eu-biotech-and-biomanufacturing-initiative" TargetMode="External"/><Relationship Id="rId45" Type="http://schemas.openxmlformats.org/officeDocument/2006/relationships/header" Target="header4.xml"/><Relationship Id="rId53" Type="http://schemas.openxmlformats.org/officeDocument/2006/relationships/customXml" Target="../customXml/item1.xml"/><Relationship Id="rId15" Type="http://schemas.openxmlformats.org/officeDocument/2006/relationships/header" Target="header1.xml"/><Relationship Id="rId23" Type="http://schemas.openxmlformats.org/officeDocument/2006/relationships/hyperlink" Target="mailto:Georgios.Meleas@eesc.europa.eu" TargetMode="External"/><Relationship Id="rId28" Type="http://schemas.openxmlformats.org/officeDocument/2006/relationships/hyperlink" Target="https://www.eesc.europa.eu/bg/our-work/opinions-information-reports/opinions/caregivers" TargetMode="External"/><Relationship Id="rId36" Type="http://schemas.openxmlformats.org/officeDocument/2006/relationships/hyperlink" Target="https://www.eesc.europa.eu/bg/our-work/opinions-information-reports/opinions/screening-foreign-investments-union"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bg/our-work/opinions-information-reports/opinions/proposal-council-recommendation-enhancing-research-security" TargetMode="External"/><Relationship Id="rId44" Type="http://schemas.openxmlformats.org/officeDocument/2006/relationships/hyperlink" Target="mailto:Heli.Niemela-Farrer@eesc.europa.eu" TargetMode="External"/><Relationship Id="rId5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bg/our-work/opinions-information-reports/opinions/no-one-should-be-left-behind-inclusive-and-participatory-cohesion-policy-support-social-economic-and-territorial" TargetMode="External"/><Relationship Id="rId27" Type="http://schemas.openxmlformats.org/officeDocument/2006/relationships/hyperlink" Target="mailto:Gemma.Amran@eesc.europa.eu" TargetMode="External"/><Relationship Id="rId30" Type="http://schemas.openxmlformats.org/officeDocument/2006/relationships/hyperlink" Target="mailto:Sabrina.Borg@eesc.europa.eu" TargetMode="External"/><Relationship Id="rId35" Type="http://schemas.openxmlformats.org/officeDocument/2006/relationships/hyperlink" Target="mailto:Martine.Delanoy@eesc.europa.eu" TargetMode="External"/><Relationship Id="rId43" Type="http://schemas.openxmlformats.org/officeDocument/2006/relationships/hyperlink" Target="https://www.eesc.europa.eu/bg/our-work/opinions-information-reports/opinions/advanced-materials-industrial-leadership-coordinated-plan-member-states"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settings" Target="settings.xml"/><Relationship Id="rId51" Type="http://schemas.openxmlformats.org/officeDocument/2006/relationships/fontTable" Target="fontTable.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Juri.Soosaar@eesc.europa.eu" TargetMode="External"/><Relationship Id="rId33" Type="http://schemas.openxmlformats.org/officeDocument/2006/relationships/hyperlink" Target="https://www.eesc.europa.eu/bg/our-work/opinions-information-reports/opinions/general-fisheries-commission-mediterranean" TargetMode="External"/><Relationship Id="rId38" Type="http://schemas.openxmlformats.org/officeDocument/2006/relationships/hyperlink" Target="https://www.eesc.europa.eu/bg/our-work/opinions-information-reports/opinions/energy-digitalisation-balancing-opportunities-and-risks-european-consumers" TargetMode="External"/><Relationship Id="rId46" Type="http://schemas.openxmlformats.org/officeDocument/2006/relationships/header" Target="header5.xml"/><Relationship Id="rId20" Type="http://schemas.openxmlformats.org/officeDocument/2006/relationships/footer" Target="footer3.xml"/><Relationship Id="rId41" Type="http://schemas.openxmlformats.org/officeDocument/2006/relationships/hyperlink" Target="mailto:Marie-Laurence.Drillon@eesc.europa.eu" TargetMode="External"/><Relationship Id="rId54" Type="http://schemas.openxmlformats.org/officeDocument/2006/relationships/customXml" Target="../customXml/item2.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F7M6YNZUATRX-789077548-3236</_dlc_DocId>
    <_dlc_DocIdUrl xmlns="59ace41b-6786-4ce3-be71-52c27066c6ef">
      <Url>http://dm/eesc/2024/_layouts/15/DocIdRedir.aspx?ID=F7M6YNZUATRX-789077548-3236</Url>
      <Description>F7M6YNZUATRX-789077548-3236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Ilieva Albena</DisplayName>
        <AccountId>1557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E3056-A736-4EE4-867C-D183F9239238}"/>
</file>

<file path=customXml/itemProps2.xml><?xml version="1.0" encoding="utf-8"?>
<ds:datastoreItem xmlns:ds="http://schemas.openxmlformats.org/officeDocument/2006/customXml" ds:itemID="{99102FCB-BDEC-4629-A5C0-4B882624F9DE}"/>
</file>

<file path=customXml/itemProps3.xml><?xml version="1.0" encoding="utf-8"?>
<ds:datastoreItem xmlns:ds="http://schemas.openxmlformats.org/officeDocument/2006/customXml" ds:itemID="{968EF4F6-33CF-4F87-849D-C08C66F25520}"/>
</file>

<file path=customXml/itemProps4.xml><?xml version="1.0" encoding="utf-8"?>
<ds:datastoreItem xmlns:ds="http://schemas.openxmlformats.org/officeDocument/2006/customXml" ds:itemID="{F96D8124-AFD0-4DBC-B364-003B41F7AEB7}"/>
</file>

<file path=docProps/app.xml><?xml version="1.0" encoding="utf-8"?>
<Properties xmlns="http://schemas.openxmlformats.org/officeDocument/2006/extended-properties" xmlns:vt="http://schemas.openxmlformats.org/officeDocument/2006/docPropsVTypes">
  <Template>Normal.dotm</Template>
  <TotalTime>0</TotalTime>
  <Pages>18</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- 589-а пленарна сесия - юли 2024 г.</dc:title>
  <dc:subject>TCD</dc:subject>
  <dc:creator>Nieddu Emma</dc:creator>
  <cp:keywords>EESC-2024-02113-00-01-TCD-TRA-EN</cp:keywords>
  <dc:description>Rapporteur:  - Original language: EN - Date of document: 19/07/2024 - Date of meeting: 30/18/2024 14:30 - External documents:  - Administrator: MME TAMASAUSKIENE Julija</dc:description>
  <cp:lastModifiedBy>Ilieva Albena</cp:lastModifiedBy>
  <cp:revision>12</cp:revision>
  <cp:lastPrinted>2023-06-15T08:00:00Z</cp:lastPrinted>
  <dcterms:created xsi:type="dcterms:W3CDTF">2024-07-19T12:45:00Z</dcterms:created>
  <dcterms:modified xsi:type="dcterms:W3CDTF">2024-07-19T12:59:00Z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17/07/2024, 09/04/2024, 27/03/2024, 03/01/2024, 13/11/2023, 25/09/2023, 25/07/2023, 30/06/2023, 23/06/2023, 26/05/2023, 07/03/2023, 11/01/2023, 10/01/2023, 29/03/2022, 04/03/2022, 15/12/2021, 13/09/2021, 03/09/2021, 28/06/2021</vt:lpwstr>
  </property>
  <property fmtid="{D5CDD505-2E9C-101B-9397-08002B2CF9AE}" pid="4" name="Pref_Time">
    <vt:lpwstr>10:55:58,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eesc-2024-02113-00-00-tcd-ori.docx,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0x010100EA97B91038054C99906057A708A1480A00C9C698F2971CE54890F427AFE3EB568F</vt:lpwstr>
  </property>
  <property fmtid="{D5CDD505-2E9C-101B-9397-08002B2CF9AE}" pid="8" name="_dlc_DocIdItemGuid">
    <vt:lpwstr>f52c652c-7b46-4e3f-8290-5dbc26c43f65</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SV|c2ed69e7-a339-43d7-8f22-d93680a92aa0;EN|f2175f21-25d7-44a3-96da-d6a61b075e1b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21;#SV|c2ed69e7-a339-43d7-8f22-d93680a92aa0;#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22;#BG|1a1b3951-7821-4e6a-85f5-5673fc08bd2c</vt:lpwstr>
  </property>
  <property fmtid="{D5CDD505-2E9C-101B-9397-08002B2CF9AE}" pid="38" name="_docset_NoMedatataSyncRequired">
    <vt:lpwstr>False</vt:lpwstr>
  </property>
</Properties>
</file>