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76B61" w14:paraId="785AE44C" w14:textId="7A63EFC5">
      <w:pPr>
        <w:jc w:val="center"/>
      </w:pPr>
      <w:r>
        <w:rPr>
          <w:noProof/>
        </w:rPr>
        <w:drawing>
          <wp:inline distT="0" distB="0" distL="0" distR="0" wp14:anchorId="4196D854" wp14:editId="73AE223A">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66F25D9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Bryssel, den 21 juni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588:e plenarsessionen</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30–31 maj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p>
          <w:p w:rsidRPr="00094B6B" w:rsidR="00B16284" w:rsidP="00775FC4" w:rsidRDefault="00B16284" w14:paraId="4F26A4CE" w14:textId="77777777">
            <w:pPr>
              <w:snapToGrid w:val="0"/>
              <w:jc w:val="center"/>
            </w:pPr>
          </w:p>
          <w:p w:rsidRPr="00094B6B" w:rsidR="004D7AC0" w:rsidP="00775FC4" w:rsidRDefault="00260FC3" w14:paraId="2A9352A2" w14:textId="0680ADB6">
            <w:pPr>
              <w:snapToGrid w:val="0"/>
              <w:jc w:val="center"/>
            </w:pPr>
            <w:hyperlink w:history="1" r:id="rId12">
              <w:r w:rsidR="00176B61">
                <w:rPr>
                  <w:rStyle w:val="Hyperlink"/>
                  <w:highlight w:val="yellow"/>
                </w:rPr>
                <w:t>https://www.eesc.europa.eu/sv/our-work/opinions-information-reports/plenary-session-summaries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094B6B" w:rsidR="00B16284" w:rsidP="00775FC4" w:rsidRDefault="00B16284" w14:paraId="7A5411A5" w14:textId="77777777">
            <w:pPr>
              <w:snapToGrid w:val="0"/>
              <w:jc w:val="center"/>
            </w:pPr>
          </w:p>
          <w:p w:rsidRPr="00094B6B" w:rsidR="004D7AC0" w:rsidP="00775FC4" w:rsidRDefault="00260FC3" w14:paraId="441AC4DD" w14:textId="1194D751">
            <w:pPr>
              <w:snapToGrid w:val="0"/>
              <w:jc w:val="center"/>
            </w:pPr>
            <w:hyperlink w:history="1" r:id="rId13">
              <w:r w:rsidR="00176B61">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Innehåll:</w:t>
      </w:r>
    </w:p>
    <w:p w:rsidR="00BE2510" w:rsidRDefault="008772F9" w14:paraId="42BE647B" w14:textId="3E9F8EF5">
      <w:pPr>
        <w:pStyle w:val="TOC1"/>
        <w:rPr>
          <w:rFonts w:asciiTheme="minorHAnsi" w:hAnsiTheme="minorHAnsi" w:eastAsiaTheme="minorEastAsia"/>
          <w:bCs w:val="0"/>
          <w:sz w:val="22"/>
          <w:lang w:val="en-US" w:bidi="hi-x-bh-SDL"/>
        </w:rPr>
      </w:pPr>
      <w:r>
        <w:fldChar w:fldCharType="begin"/>
      </w:r>
      <w:r>
        <w:instrText xml:space="preserve"> TOC \o "1-1" \h \z \u </w:instrText>
      </w:r>
      <w:r>
        <w:fldChar w:fldCharType="separate"/>
      </w:r>
      <w:hyperlink w:history="1" w:anchor="_Toc169531840">
        <w:r w:rsidRPr="00793C93" w:rsidR="00BE2510">
          <w:rPr>
            <w:rStyle w:val="Hyperlink"/>
            <w14:scene3d>
              <w14:camera w14:prst="orthographicFront"/>
              <w14:lightRig w14:rig="threePt" w14:dir="t">
                <w14:rot w14:lat="0" w14:lon="0" w14:rev="0"/>
              </w14:lightRig>
            </w14:scene3d>
          </w:rPr>
          <w:t>1.</w:t>
        </w:r>
        <w:r w:rsidR="00BE2510">
          <w:rPr>
            <w:rFonts w:asciiTheme="minorHAnsi" w:hAnsiTheme="minorHAnsi" w:eastAsiaTheme="minorEastAsia"/>
            <w:bCs w:val="0"/>
            <w:sz w:val="22"/>
            <w:lang w:val="en-US" w:bidi="hi-x-bh-SDL"/>
          </w:rPr>
          <w:tab/>
        </w:r>
        <w:r w:rsidRPr="00793C93" w:rsidR="00BE2510">
          <w:rPr>
            <w:rStyle w:val="Hyperlink"/>
            <w:b/>
          </w:rPr>
          <w:t>EKONOMISKA OCH MONETÄRA UNIONEN, EKONOMISK OCH SOCIAL SAMMANHÅLLNING</w:t>
        </w:r>
        <w:r w:rsidR="00BE2510">
          <w:rPr>
            <w:webHidden/>
          </w:rPr>
          <w:tab/>
        </w:r>
        <w:r w:rsidR="00BE2510">
          <w:rPr>
            <w:webHidden/>
          </w:rPr>
          <w:fldChar w:fldCharType="begin"/>
        </w:r>
        <w:r w:rsidR="00BE2510">
          <w:rPr>
            <w:webHidden/>
          </w:rPr>
          <w:instrText xml:space="preserve"> PAGEREF _Toc169531840 \h </w:instrText>
        </w:r>
        <w:r w:rsidR="00BE2510">
          <w:rPr>
            <w:webHidden/>
          </w:rPr>
        </w:r>
        <w:r w:rsidR="00BE2510">
          <w:rPr>
            <w:webHidden/>
          </w:rPr>
          <w:fldChar w:fldCharType="separate"/>
        </w:r>
        <w:r w:rsidR="00BE2510">
          <w:rPr>
            <w:webHidden/>
          </w:rPr>
          <w:t>3</w:t>
        </w:r>
        <w:r w:rsidR="00BE2510">
          <w:rPr>
            <w:webHidden/>
          </w:rPr>
          <w:fldChar w:fldCharType="end"/>
        </w:r>
      </w:hyperlink>
    </w:p>
    <w:p w:rsidR="00BE2510" w:rsidRDefault="00260FC3" w14:paraId="1D21A61E" w14:textId="20FFF9C0">
      <w:pPr>
        <w:pStyle w:val="TOC1"/>
        <w:rPr>
          <w:rFonts w:asciiTheme="minorHAnsi" w:hAnsiTheme="minorHAnsi" w:eastAsiaTheme="minorEastAsia"/>
          <w:bCs w:val="0"/>
          <w:sz w:val="22"/>
          <w:lang w:val="en-US" w:bidi="hi-x-bh-SDL"/>
        </w:rPr>
      </w:pPr>
      <w:hyperlink w:history="1" w:anchor="_Toc169531841">
        <w:r w:rsidRPr="00793C93" w:rsidR="00BE2510">
          <w:rPr>
            <w:rStyle w:val="Hyperlink"/>
            <w14:scene3d>
              <w14:camera w14:prst="orthographicFront"/>
              <w14:lightRig w14:rig="threePt" w14:dir="t">
                <w14:rot w14:lat="0" w14:lon="0" w14:rev="0"/>
              </w14:lightRig>
            </w14:scene3d>
          </w:rPr>
          <w:t>2.</w:t>
        </w:r>
        <w:r w:rsidR="00BE2510">
          <w:rPr>
            <w:rFonts w:asciiTheme="minorHAnsi" w:hAnsiTheme="minorHAnsi" w:eastAsiaTheme="minorEastAsia"/>
            <w:bCs w:val="0"/>
            <w:sz w:val="22"/>
            <w:lang w:val="en-US" w:bidi="hi-x-bh-SDL"/>
          </w:rPr>
          <w:tab/>
        </w:r>
        <w:r w:rsidRPr="00BE2510" w:rsidR="00BE2510">
          <w:rPr>
            <w:rStyle w:val="Hyperlink"/>
            <w:b/>
            <w:bCs w:val="0"/>
          </w:rPr>
          <w:t>SYSSELSÄTTNING, SOCIALA FRÅGOR OCH MEDBORGARNA</w:t>
        </w:r>
        <w:r w:rsidR="00BE2510">
          <w:rPr>
            <w:webHidden/>
          </w:rPr>
          <w:tab/>
        </w:r>
        <w:r w:rsidR="00BE2510">
          <w:rPr>
            <w:webHidden/>
          </w:rPr>
          <w:fldChar w:fldCharType="begin"/>
        </w:r>
        <w:r w:rsidR="00BE2510">
          <w:rPr>
            <w:webHidden/>
          </w:rPr>
          <w:instrText xml:space="preserve"> PAGEREF _Toc169531841 \h </w:instrText>
        </w:r>
        <w:r w:rsidR="00BE2510">
          <w:rPr>
            <w:webHidden/>
          </w:rPr>
        </w:r>
        <w:r w:rsidR="00BE2510">
          <w:rPr>
            <w:webHidden/>
          </w:rPr>
          <w:fldChar w:fldCharType="separate"/>
        </w:r>
        <w:r w:rsidR="00BE2510">
          <w:rPr>
            <w:webHidden/>
          </w:rPr>
          <w:t>7</w:t>
        </w:r>
        <w:r w:rsidR="00BE2510">
          <w:rPr>
            <w:webHidden/>
          </w:rPr>
          <w:fldChar w:fldCharType="end"/>
        </w:r>
      </w:hyperlink>
    </w:p>
    <w:p w:rsidR="00BE2510" w:rsidRDefault="00260FC3" w14:paraId="2EEE81CD" w14:textId="472AFAF9">
      <w:pPr>
        <w:pStyle w:val="TOC1"/>
        <w:rPr>
          <w:rFonts w:asciiTheme="minorHAnsi" w:hAnsiTheme="minorHAnsi" w:eastAsiaTheme="minorEastAsia"/>
          <w:bCs w:val="0"/>
          <w:sz w:val="22"/>
          <w:lang w:val="en-US" w:bidi="hi-x-bh-SDL"/>
        </w:rPr>
      </w:pPr>
      <w:hyperlink w:history="1" w:anchor="_Toc169531842">
        <w:r w:rsidRPr="00793C93" w:rsidR="00BE2510">
          <w:rPr>
            <w:rStyle w:val="Hyperlink"/>
            <w14:scene3d>
              <w14:camera w14:prst="orthographicFront"/>
              <w14:lightRig w14:rig="threePt" w14:dir="t">
                <w14:rot w14:lat="0" w14:lon="0" w14:rev="0"/>
              </w14:lightRig>
            </w14:scene3d>
          </w:rPr>
          <w:t>3.</w:t>
        </w:r>
        <w:r w:rsidR="00BE2510">
          <w:rPr>
            <w:rFonts w:asciiTheme="minorHAnsi" w:hAnsiTheme="minorHAnsi" w:eastAsiaTheme="minorEastAsia"/>
            <w:bCs w:val="0"/>
            <w:sz w:val="22"/>
            <w:lang w:val="en-US" w:bidi="hi-x-bh-SDL"/>
          </w:rPr>
          <w:tab/>
        </w:r>
        <w:r w:rsidRPr="00793C93" w:rsidR="00BE2510">
          <w:rPr>
            <w:rStyle w:val="Hyperlink"/>
            <w:b/>
          </w:rPr>
          <w:t>JORDBRUK, LANDSBYGDSUTVECKLING OCH MILJÖ</w:t>
        </w:r>
        <w:r w:rsidR="00BE2510">
          <w:rPr>
            <w:webHidden/>
          </w:rPr>
          <w:tab/>
        </w:r>
        <w:r w:rsidR="00BE2510">
          <w:rPr>
            <w:webHidden/>
          </w:rPr>
          <w:fldChar w:fldCharType="begin"/>
        </w:r>
        <w:r w:rsidR="00BE2510">
          <w:rPr>
            <w:webHidden/>
          </w:rPr>
          <w:instrText xml:space="preserve"> PAGEREF _Toc169531842 \h </w:instrText>
        </w:r>
        <w:r w:rsidR="00BE2510">
          <w:rPr>
            <w:webHidden/>
          </w:rPr>
        </w:r>
        <w:r w:rsidR="00BE2510">
          <w:rPr>
            <w:webHidden/>
          </w:rPr>
          <w:fldChar w:fldCharType="separate"/>
        </w:r>
        <w:r w:rsidR="00BE2510">
          <w:rPr>
            <w:webHidden/>
          </w:rPr>
          <w:t>11</w:t>
        </w:r>
        <w:r w:rsidR="00BE2510">
          <w:rPr>
            <w:webHidden/>
          </w:rPr>
          <w:fldChar w:fldCharType="end"/>
        </w:r>
      </w:hyperlink>
    </w:p>
    <w:p w:rsidR="00BE2510" w:rsidRDefault="00260FC3" w14:paraId="0EF65218" w14:textId="557D1215">
      <w:pPr>
        <w:pStyle w:val="TOC1"/>
        <w:rPr>
          <w:rFonts w:asciiTheme="minorHAnsi" w:hAnsiTheme="minorHAnsi" w:eastAsiaTheme="minorEastAsia"/>
          <w:bCs w:val="0"/>
          <w:sz w:val="22"/>
          <w:lang w:val="en-US" w:bidi="hi-x-bh-SDL"/>
        </w:rPr>
      </w:pPr>
      <w:hyperlink w:history="1" w:anchor="_Toc169531843">
        <w:r w:rsidRPr="00793C93" w:rsidR="00BE2510">
          <w:rPr>
            <w:rStyle w:val="Hyperlink"/>
            <w14:scene3d>
              <w14:camera w14:prst="orthographicFront"/>
              <w14:lightRig w14:rig="threePt" w14:dir="t">
                <w14:rot w14:lat="0" w14:lon="0" w14:rev="0"/>
              </w14:lightRig>
            </w14:scene3d>
          </w:rPr>
          <w:t>4.</w:t>
        </w:r>
        <w:r w:rsidR="00BE2510">
          <w:rPr>
            <w:rFonts w:asciiTheme="minorHAnsi" w:hAnsiTheme="minorHAnsi" w:eastAsiaTheme="minorEastAsia"/>
            <w:bCs w:val="0"/>
            <w:sz w:val="22"/>
            <w:lang w:val="en-US" w:bidi="hi-x-bh-SDL"/>
          </w:rPr>
          <w:tab/>
        </w:r>
        <w:r w:rsidRPr="00793C93" w:rsidR="00BE2510">
          <w:rPr>
            <w:rStyle w:val="Hyperlink"/>
            <w:b/>
          </w:rPr>
          <w:t>TRANSPORTER, ENERGI, INFRASTRUKTUR OCH INFORMATIONSSAMHÄLLET</w:t>
        </w:r>
        <w:r w:rsidR="00BE2510">
          <w:rPr>
            <w:webHidden/>
          </w:rPr>
          <w:tab/>
        </w:r>
        <w:r w:rsidR="00BE2510">
          <w:rPr>
            <w:webHidden/>
          </w:rPr>
          <w:fldChar w:fldCharType="begin"/>
        </w:r>
        <w:r w:rsidR="00BE2510">
          <w:rPr>
            <w:webHidden/>
          </w:rPr>
          <w:instrText xml:space="preserve"> PAGEREF _Toc169531843 \h </w:instrText>
        </w:r>
        <w:r w:rsidR="00BE2510">
          <w:rPr>
            <w:webHidden/>
          </w:rPr>
        </w:r>
        <w:r w:rsidR="00BE2510">
          <w:rPr>
            <w:webHidden/>
          </w:rPr>
          <w:fldChar w:fldCharType="separate"/>
        </w:r>
        <w:r w:rsidR="00BE2510">
          <w:rPr>
            <w:webHidden/>
          </w:rPr>
          <w:t>14</w:t>
        </w:r>
        <w:r w:rsidR="00BE2510">
          <w:rPr>
            <w:webHidden/>
          </w:rPr>
          <w:fldChar w:fldCharType="end"/>
        </w:r>
      </w:hyperlink>
    </w:p>
    <w:p w:rsidR="00BE2510" w:rsidRDefault="00260FC3" w14:paraId="1AB8142D" w14:textId="7A664810">
      <w:pPr>
        <w:pStyle w:val="TOC1"/>
        <w:rPr>
          <w:rFonts w:asciiTheme="minorHAnsi" w:hAnsiTheme="minorHAnsi" w:eastAsiaTheme="minorEastAsia"/>
          <w:bCs w:val="0"/>
          <w:sz w:val="22"/>
          <w:lang w:val="en-US" w:bidi="hi-x-bh-SDL"/>
        </w:rPr>
      </w:pPr>
      <w:hyperlink w:history="1" w:anchor="_Toc169531844">
        <w:r w:rsidRPr="00793C93" w:rsidR="00BE2510">
          <w:rPr>
            <w:rStyle w:val="Hyperlink"/>
            <w14:scene3d>
              <w14:camera w14:prst="orthographicFront"/>
              <w14:lightRig w14:rig="threePt" w14:dir="t">
                <w14:rot w14:lat="0" w14:lon="0" w14:rev="0"/>
              </w14:lightRig>
            </w14:scene3d>
          </w:rPr>
          <w:t>5.</w:t>
        </w:r>
        <w:r w:rsidR="00BE2510">
          <w:rPr>
            <w:rFonts w:asciiTheme="minorHAnsi" w:hAnsiTheme="minorHAnsi" w:eastAsiaTheme="minorEastAsia"/>
            <w:bCs w:val="0"/>
            <w:sz w:val="22"/>
            <w:lang w:val="en-US" w:bidi="hi-x-bh-SDL"/>
          </w:rPr>
          <w:tab/>
        </w:r>
        <w:r w:rsidRPr="00793C93" w:rsidR="00BE2510">
          <w:rPr>
            <w:rStyle w:val="Hyperlink"/>
            <w:b/>
          </w:rPr>
          <w:t>RÅDGIVANDE UTSKOTTET FÖR INDUSTRIELL OMVANDLING</w:t>
        </w:r>
        <w:r w:rsidR="00BE2510">
          <w:rPr>
            <w:webHidden/>
          </w:rPr>
          <w:tab/>
        </w:r>
        <w:r w:rsidR="00BE2510">
          <w:rPr>
            <w:webHidden/>
          </w:rPr>
          <w:fldChar w:fldCharType="begin"/>
        </w:r>
        <w:r w:rsidR="00BE2510">
          <w:rPr>
            <w:webHidden/>
          </w:rPr>
          <w:instrText xml:space="preserve"> PAGEREF _Toc169531844 \h </w:instrText>
        </w:r>
        <w:r w:rsidR="00BE2510">
          <w:rPr>
            <w:webHidden/>
          </w:rPr>
        </w:r>
        <w:r w:rsidR="00BE2510">
          <w:rPr>
            <w:webHidden/>
          </w:rPr>
          <w:fldChar w:fldCharType="separate"/>
        </w:r>
        <w:r w:rsidR="00BE2510">
          <w:rPr>
            <w:webHidden/>
          </w:rPr>
          <w:t>15</w:t>
        </w:r>
        <w:r w:rsidR="00BE2510">
          <w:rPr>
            <w:webHidden/>
          </w:rPr>
          <w:fldChar w:fldCharType="end"/>
        </w:r>
      </w:hyperlink>
    </w:p>
    <w:p w:rsidR="00C86ABD" w:rsidRDefault="008772F9" w14:paraId="4EDE006A" w14:textId="22EAB154">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531840" w:id="0"/>
      <w:r>
        <w:rPr>
          <w:b/>
        </w:rPr>
        <w:lastRenderedPageBreak/>
        <w:t>EKONOMISKA OCH MONETÄRA UNIONEN, EKONOMISK OCH SOCIAL SAMMANHÅLLNING</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260FC3"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176B61">
          <w:rPr>
            <w:b/>
            <w:i/>
            <w:color w:val="0000FF"/>
            <w:sz w:val="28"/>
            <w:u w:val="single"/>
          </w:rPr>
          <w:t>Sammanhållningspolitikens roll i de kommande omgångarna av EU:s utvidgning</w:t>
        </w:r>
      </w:hyperlink>
    </w:p>
    <w:p w:rsidRPr="006C19F4"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C19F4" w:rsidR="006C19F4" w:rsidTr="00FE3058" w14:paraId="7BA389F8" w14:textId="77777777">
        <w:tc>
          <w:tcPr>
            <w:tcW w:w="1701"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t>Maria del Carmen Barrera Chamorro (Arbetstagargruppen –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Pr>
                <w:b/>
              </w:rPr>
              <w:t>Referens:</w:t>
            </w:r>
          </w:p>
        </w:tc>
        <w:tc>
          <w:tcPr>
            <w:tcW w:w="7621" w:type="dxa"/>
          </w:tcPr>
          <w:p w:rsidRPr="00DC0FAE" w:rsidR="00ED5F1D" w:rsidP="00ED5F1D" w:rsidRDefault="00ED5F1D" w14:paraId="6C26CE56" w14:textId="7EC335DB">
            <w:pPr>
              <w:pStyle w:val="Default"/>
              <w:jc w:val="both"/>
              <w:rPr>
                <w:sz w:val="20"/>
                <w:szCs w:val="20"/>
              </w:rPr>
            </w:pPr>
            <w:r>
              <w:rPr>
                <w:sz w:val="20"/>
              </w:rPr>
              <w:t xml:space="preserve">Förberedande yttrande på begäran av Europeiska kommissionen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Pr>
          <w:b/>
        </w:rPr>
        <w:t>Huvudpunkter</w:t>
      </w:r>
    </w:p>
    <w:p w:rsidRPr="006C19F4"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proofErr w:type="spellStart"/>
      <w:r>
        <w:t>EESK:s</w:t>
      </w:r>
      <w:proofErr w:type="spellEnd"/>
      <w:r>
        <w:t xml:space="preserve"> ståndpunkt:</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492FFA2E">
      <w:pPr>
        <w:numPr>
          <w:ilvl w:val="0"/>
          <w:numId w:val="13"/>
        </w:numPr>
        <w:overflowPunct w:val="0"/>
        <w:autoSpaceDE w:val="0"/>
        <w:autoSpaceDN w:val="0"/>
        <w:adjustRightInd w:val="0"/>
        <w:spacing w:after="200" w:line="276" w:lineRule="auto"/>
        <w:contextualSpacing/>
        <w:textAlignment w:val="baseline"/>
        <w:rPr>
          <w:bCs/>
          <w:iCs/>
        </w:rPr>
      </w:pPr>
      <w:r>
        <w:t>Europeiska ekonomiska och sociala kommittén (EESK) betonar att politiken för föranslutnings</w:t>
      </w:r>
      <w:r w:rsidR="00FB6551">
        <w:softHyphen/>
      </w:r>
      <w:r>
        <w:t>stöd är ett oumbärligt utvidgningspolitiskt verktyg och att dess betydelse kan stärkas i syfte att främja fred och välstånd på hela den europeiska kontinenten, i synnerhet i regioner där freden och stabiliteten nyligen har stått under hot.</w:t>
      </w:r>
    </w:p>
    <w:p w:rsidRPr="006C19F4" w:rsidR="006C19F4" w:rsidP="00DC0FAE" w:rsidRDefault="006C19F4" w14:paraId="6F8C8AAA" w14:textId="3D6A2EC7">
      <w:pPr>
        <w:numPr>
          <w:ilvl w:val="0"/>
          <w:numId w:val="13"/>
        </w:numPr>
        <w:overflowPunct w:val="0"/>
        <w:autoSpaceDE w:val="0"/>
        <w:autoSpaceDN w:val="0"/>
        <w:adjustRightInd w:val="0"/>
        <w:spacing w:after="200" w:line="276" w:lineRule="auto"/>
        <w:contextualSpacing/>
        <w:textAlignment w:val="baseline"/>
        <w:rPr>
          <w:bCs/>
          <w:iCs/>
        </w:rPr>
      </w:pPr>
      <w:r>
        <w:t>För att förbereda kandidatländerna på att till fullo kunna genomföra de sammanhållnings</w:t>
      </w:r>
      <w:r w:rsidR="00BE2510">
        <w:softHyphen/>
      </w:r>
      <w:r>
        <w:t>politiska instrumenten i framtiden bör politiken för föranslutningsstöd anpassas bättre till de styrkor, utmaningar och behov som kännetecknar respektive region och de regioner som gränsar till EU:s medlemsstater.</w:t>
      </w:r>
    </w:p>
    <w:p w:rsidRPr="006C19F4"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t>EESK rekommenderar att man genom politiken för föranslutningsstöd till kandidatländerna satsar mer systematiskt på att utveckla humankapital, utbildning och social integration i syfte att förebygga och minska social ojämlikhet. Det är avgörande att man främjar kontakter med det civila samhällets organisationer för att förbättra planeringen av föranslutningsstödet.</w:t>
      </w:r>
    </w:p>
    <w:p w:rsidRPr="006C19F4"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t>I den framtida sammanhållningspolitiken bör man prioritera skyddet av utsatta grupper, som står inför ytterligare och enorma hinder för sin ekonomiska och sociala utveckling och kan ställas inför ytterligare utmaningar i den framtida anslutningsprocessen.</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Starkare partnerskap med det civila samhällets organisationer i kandidatländerna är inte bara ovärderliga för att främja utvidgningsmålen, utan är också förenliga med effektiva och inkluderande utvecklingsstrategier eftersom de bygger på de etablerade principerna om starka partnerskap och delad förvaltning.</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Rollen för sammanhållningspolitiken måste omfatta mycket mer än enbart de centrala investeringarna. Den måste inriktas på institutions- och kapacitetsuppbyggnad, såsom program för partnersamverkan och stöd till det civila samhället och arbetsmarknadens parter.</w:t>
      </w:r>
    </w:p>
    <w:p w:rsidRPr="006C19F4" w:rsidR="006C19F4" w:rsidP="00DC0FAE" w:rsidRDefault="006C19F4" w14:paraId="5388831B" w14:textId="469FCFD4">
      <w:pPr>
        <w:numPr>
          <w:ilvl w:val="0"/>
          <w:numId w:val="13"/>
        </w:numPr>
        <w:overflowPunct w:val="0"/>
        <w:autoSpaceDE w:val="0"/>
        <w:autoSpaceDN w:val="0"/>
        <w:adjustRightInd w:val="0"/>
        <w:spacing w:after="200" w:line="276" w:lineRule="auto"/>
        <w:contextualSpacing/>
        <w:textAlignment w:val="baseline"/>
        <w:rPr>
          <w:bCs/>
          <w:iCs/>
        </w:rPr>
      </w:pPr>
      <w:r>
        <w:t>EESK understryker att utvidgningsomgångarna också har haft inverkan på de nuvarande medlemsstaterna och deras regioner, såtillvida att de nya medlemsstaterna ansluter sig till den inre marknaden och påverkar den internationella värdekedjan och arbetskraftsmigrationen i EU. Ytterligare medel behöver därför investeras i de regioner som gränsar till kandidatländerna och i</w:t>
      </w:r>
      <w:r w:rsidR="00FB6551">
        <w:t> </w:t>
      </w:r>
      <w:r>
        <w:t>regioner i nuvarande medlemsstater som till följd av utvidgningen drabbats hårt av förändringar i EU och i globala värdekedjor.</w:t>
      </w:r>
    </w:p>
    <w:p w:rsidRPr="006C19F4"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lastRenderedPageBreak/>
        <w:t>Kommissionen bör, parallellt med utvidgningsprocessen, rikta in sina reformer av den framtida sammanhållningspolitiken på att öka de befintliga åtgärdernas effektivitet på grundval av ökad specialisering och diversifiering, hand i hand med större flexibilitet och ekonomisk specialisering. Inget ekonomiskt stöd kan åstadkomma ekonomiskt välstånd om det inte åtföljs av insatser för institutionsuppbyggnad, styrningsreformer och det civila samhällets delaktighet.</w:t>
      </w:r>
    </w:p>
    <w:p w:rsidRPr="006C19F4"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t>Det behövs omedelbara insatser för att hejda utvandringsflödet från EU:s kandidatländer eftersom det kan hämma potentialen för ekonomisk och social utveckling. Det krävs olika politiska åtgärder, inbegripet investeringar i humankapitalet.</w:t>
      </w:r>
    </w:p>
    <w:p w:rsidRPr="006C19F4"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t>EESK anser att det är av största vikt att man förbättrar situationen för ungdomar i kandidatländerna. Det krävs insatser för att förbättra såväl ungdomars kompetens som deras möjligheter att hitta ett arbete och för att skapa fler möjligheter för ungdomar vad gäller utbildning och sysselsättning av god kvalitet, parallellt med boendelösningar. Dialog med och deltagande av ungdomar i ungdomsgarantiinitiativ bör också uppmuntras.</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t>EESK rekommenderar att man ökar ansträngningarna för att ta hand om de mest utsatta personerna och befolkningsgrupperna i kandidatländerna. De bör inte bara omfattas av skyddssystem utan även beaktas i beslutsprocessen, vilket vore det bästa sättet att förverkliga sammanhållningspolitikens främsta och grundläggande princip om att ingen ska lämnas utanför.</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6C19F4" w:rsidR="006C19F4" w:rsidTr="00FE3058" w14:paraId="7A7F559C" w14:textId="77777777">
        <w:tc>
          <w:tcPr>
            <w:tcW w:w="141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6C19F4" w:rsidR="006C19F4" w:rsidTr="00FE3058" w14:paraId="1C00A944" w14:textId="77777777">
        <w:tc>
          <w:tcPr>
            <w:tcW w:w="141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Tfn</w:t>
            </w:r>
          </w:p>
        </w:tc>
        <w:tc>
          <w:tcPr>
            <w:tcW w:w="567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FE3058" w14:paraId="13E41AD9" w14:textId="77777777">
        <w:tc>
          <w:tcPr>
            <w:tcW w:w="141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E-post:</w:t>
            </w:r>
          </w:p>
        </w:tc>
        <w:tc>
          <w:tcPr>
            <w:tcW w:w="5670" w:type="dxa"/>
          </w:tcPr>
          <w:p w:rsidRPr="006C19F4" w:rsidR="006C19F4" w:rsidP="006C19F4" w:rsidRDefault="00260FC3" w14:paraId="6B1B5DA3" w14:textId="77777777">
            <w:pPr>
              <w:overflowPunct w:val="0"/>
              <w:autoSpaceDE w:val="0"/>
              <w:autoSpaceDN w:val="0"/>
              <w:adjustRightInd w:val="0"/>
              <w:spacing w:line="240" w:lineRule="auto"/>
              <w:textAlignment w:val="baseline"/>
              <w:rPr>
                <w:i/>
              </w:rPr>
            </w:pPr>
            <w:hyperlink w:history="1" r:id="rId21">
              <w:r w:rsidR="00176B61">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BE2510" w:rsidR="001A5EC5" w:rsidP="00BE2510" w:rsidRDefault="00BE2510" w14:paraId="5AEA0F19" w14:textId="496559B7">
      <w:pPr>
        <w:widowControl w:val="0"/>
        <w:numPr>
          <w:ilvl w:val="0"/>
          <w:numId w:val="7"/>
        </w:numPr>
        <w:overflowPunct w:val="0"/>
        <w:autoSpaceDE w:val="0"/>
        <w:autoSpaceDN w:val="0"/>
        <w:adjustRightInd w:val="0"/>
        <w:spacing w:after="120"/>
        <w:ind w:hanging="567"/>
        <w:textAlignment w:val="baseline"/>
        <w:rPr>
          <w:rStyle w:val="Hyperlink"/>
          <w:b/>
          <w:i/>
          <w:sz w:val="28"/>
        </w:rPr>
      </w:pPr>
      <w:r>
        <w:rPr>
          <w:b/>
          <w:i/>
          <w:sz w:val="28"/>
        </w:rPr>
        <w:lastRenderedPageBreak/>
        <w:fldChar w:fldCharType="begin"/>
      </w:r>
      <w:r>
        <w:rPr>
          <w:b/>
          <w:i/>
          <w:sz w:val="28"/>
        </w:rPr>
        <w:instrText xml:space="preserve"> HYPERLINK "https://www.eesc.europa.eu/en/our-work/opinions-information-reports/opinions/ninth-report-economic-social-and-territorial-cohesion" </w:instrText>
      </w:r>
      <w:r>
        <w:rPr>
          <w:b/>
          <w:i/>
          <w:sz w:val="28"/>
        </w:rPr>
        <w:fldChar w:fldCharType="separate"/>
      </w:r>
      <w:r w:rsidRPr="00BE2510" w:rsidR="00176B61">
        <w:rPr>
          <w:rStyle w:val="Hyperlink"/>
          <w:b/>
          <w:i/>
          <w:sz w:val="28"/>
        </w:rPr>
        <w:t>Nionde rapporten om ekonomisk, social och territoriell sammanhållning</w:t>
      </w:r>
    </w:p>
    <w:p w:rsidRPr="001A5EC5" w:rsidR="00444F0D" w:rsidP="00DC0FAE" w:rsidRDefault="00BE2510" w14:paraId="5992C072" w14:textId="7D4F0105">
      <w:pPr>
        <w:widowControl w:val="0"/>
        <w:overflowPunct w:val="0"/>
        <w:autoSpaceDE w:val="0"/>
        <w:autoSpaceDN w:val="0"/>
        <w:adjustRightInd w:val="0"/>
        <w:spacing w:after="120"/>
        <w:ind w:left="284"/>
        <w:textAlignment w:val="baseline"/>
        <w:rPr>
          <w:b/>
          <w:i/>
          <w:iCs/>
          <w:sz w:val="28"/>
          <w:szCs w:val="28"/>
        </w:rPr>
      </w:pPr>
      <w:r>
        <w:rPr>
          <w:b/>
          <w:i/>
          <w:sz w:val="28"/>
        </w:rPr>
        <w:fldChar w:fldCharType="end"/>
      </w: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5EC5" w:rsidR="001A5EC5" w:rsidTr="00DC0FAE" w14:paraId="44793051" w14:textId="77777777">
        <w:tc>
          <w:tcPr>
            <w:tcW w:w="1701" w:type="dxa"/>
          </w:tcPr>
          <w:p w:rsidRPr="001A5EC5" w:rsidR="001A5EC5" w:rsidP="00DC0FAE" w:rsidRDefault="001A5EC5" w14:paraId="463E72CE" w14:textId="77777777">
            <w:pPr>
              <w:overflowPunct w:val="0"/>
              <w:autoSpaceDE w:val="0"/>
              <w:autoSpaceDN w:val="0"/>
              <w:adjustRightInd w:val="0"/>
              <w:ind w:left="174" w:hanging="266"/>
              <w:textAlignment w:val="baseline"/>
              <w:rPr>
                <w:b/>
              </w:rPr>
            </w:pPr>
            <w:r>
              <w:rPr>
                <w:b/>
              </w:rPr>
              <w:t>Föredragande:</w:t>
            </w:r>
          </w:p>
        </w:tc>
        <w:tc>
          <w:tcPr>
            <w:tcW w:w="5387" w:type="dxa"/>
          </w:tcPr>
          <w:p w:rsidRPr="001A5EC5" w:rsidR="001A5EC5" w:rsidP="00DC0FAE" w:rsidRDefault="001A5EC5" w14:paraId="64C714E3" w14:textId="77777777">
            <w:pPr>
              <w:overflowPunct w:val="0"/>
              <w:autoSpaceDE w:val="0"/>
              <w:autoSpaceDN w:val="0"/>
              <w:adjustRightInd w:val="0"/>
              <w:ind w:left="174" w:hanging="266"/>
              <w:textAlignment w:val="baseline"/>
              <w:rPr>
                <w:bCs/>
              </w:rPr>
            </w:pPr>
            <w:r>
              <w:t xml:space="preserve">Matteo Carlo </w:t>
            </w:r>
            <w:proofErr w:type="spellStart"/>
            <w:r>
              <w:t>Borsani</w:t>
            </w:r>
            <w:proofErr w:type="spellEnd"/>
            <w:r>
              <w:t xml:space="preserve"> (Arbetsgivargruppen – IT)</w:t>
            </w:r>
          </w:p>
        </w:tc>
      </w:tr>
      <w:tr w:rsidRPr="001A5EC5" w:rsidR="001A5EC5" w:rsidTr="00FE3058" w14:paraId="32E56BAC" w14:textId="77777777">
        <w:tc>
          <w:tcPr>
            <w:tcW w:w="7088" w:type="dxa"/>
            <w:gridSpan w:val="2"/>
          </w:tcPr>
          <w:p w:rsidRPr="001A5EC5"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E3058" w14:paraId="2A351EBF" w14:textId="77777777">
        <w:tc>
          <w:tcPr>
            <w:tcW w:w="1701" w:type="dxa"/>
          </w:tcPr>
          <w:p w:rsidRPr="001A5EC5" w:rsidR="001A5EC5" w:rsidP="00DC0FAE" w:rsidRDefault="001A5EC5" w14:paraId="26606D0B" w14:textId="77777777">
            <w:pPr>
              <w:overflowPunct w:val="0"/>
              <w:autoSpaceDE w:val="0"/>
              <w:autoSpaceDN w:val="0"/>
              <w:adjustRightInd w:val="0"/>
              <w:ind w:left="174" w:hanging="266"/>
              <w:textAlignment w:val="baseline"/>
              <w:rPr>
                <w:b/>
              </w:rPr>
            </w:pPr>
            <w:r>
              <w:rPr>
                <w:b/>
              </w:rPr>
              <w:t>Referens:</w:t>
            </w:r>
          </w:p>
        </w:tc>
        <w:tc>
          <w:tcPr>
            <w:tcW w:w="5387" w:type="dxa"/>
          </w:tcPr>
          <w:p w:rsidRPr="001A5EC5" w:rsidR="001A5EC5" w:rsidP="00DC0FAE" w:rsidRDefault="001A5EC5" w14:paraId="5C440461" w14:textId="77777777">
            <w:pPr>
              <w:overflowPunct w:val="0"/>
              <w:autoSpaceDE w:val="0"/>
              <w:autoSpaceDN w:val="0"/>
              <w:adjustRightInd w:val="0"/>
              <w:ind w:left="174" w:hanging="266"/>
              <w:textAlignment w:val="baseline"/>
            </w:pPr>
            <w:r>
              <w:t>COM(2024) 149 final</w:t>
            </w:r>
          </w:p>
          <w:p w:rsidRPr="001A5EC5" w:rsidR="001A5EC5" w:rsidP="00DC0FAE" w:rsidRDefault="001A5EC5" w14:paraId="3868DEB9" w14:textId="77777777">
            <w:pPr>
              <w:overflowPunct w:val="0"/>
              <w:autoSpaceDE w:val="0"/>
              <w:autoSpaceDN w:val="0"/>
              <w:adjustRightInd w:val="0"/>
              <w:ind w:left="174" w:hanging="266"/>
              <w:textAlignment w:val="baseline"/>
            </w:pPr>
            <w:r>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Pr>
          <w:b/>
        </w:rPr>
        <w:t>Huvudpunkter</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1A5EC5" w:rsidRDefault="001A5EC5" w14:paraId="4D0AC1AA" w14:textId="6DEDCE45">
      <w:pPr>
        <w:overflowPunct w:val="0"/>
        <w:autoSpaceDE w:val="0"/>
        <w:autoSpaceDN w:val="0"/>
        <w:adjustRightInd w:val="0"/>
        <w:textAlignment w:val="baseline"/>
        <w:rPr>
          <w:bCs/>
          <w:iCs/>
        </w:rPr>
      </w:pPr>
      <w:proofErr w:type="spellStart"/>
      <w:r>
        <w:t>EESK:s</w:t>
      </w:r>
      <w:proofErr w:type="spellEnd"/>
      <w:r>
        <w:t xml:space="preserve"> ståndpunkt:</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DC0FAE" w:rsidRDefault="001A5EC5" w14:paraId="1478D8F5" w14:textId="77777777">
      <w:pPr>
        <w:numPr>
          <w:ilvl w:val="0"/>
          <w:numId w:val="14"/>
        </w:numPr>
        <w:overflowPunct w:val="0"/>
        <w:autoSpaceDE w:val="0"/>
        <w:autoSpaceDN w:val="0"/>
        <w:adjustRightInd w:val="0"/>
        <w:spacing w:after="200" w:line="276" w:lineRule="auto"/>
        <w:contextualSpacing/>
        <w:jc w:val="left"/>
        <w:textAlignment w:val="baseline"/>
        <w:rPr>
          <w:bCs/>
          <w:iCs/>
        </w:rPr>
      </w:pPr>
      <w:r>
        <w:t xml:space="preserve">EESK välkomnar framläggandet av den nionde sammanhållningsrapporten och anser att beskrivningen av dess resultat är heltäckande och att den utgör en värdefull utgångspunkt för att bedöma de lärdomar som dragits. </w:t>
      </w:r>
    </w:p>
    <w:p w:rsidRPr="001A5EC5"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t>Kommittén rekommenderar att investeringarna och åtgärderna utformas i syfte att främja tillverkningsbasen för att stärka den territoriella sammanhållningen, och betonar att ett positivt samband mellan produktivitetstillväxt och högre BNP per capita har visat sig vara den enda likheten när man studerat tillväxten i samtliga typer av regioner.</w:t>
      </w:r>
    </w:p>
    <w:p w:rsidRPr="001A5EC5"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t>Konkurrenskraften är viktig för att främja den ekonomiska sammanhållningen samtidigt som produktiva investeringar är viktiga för att stimulera konkurrenskraften och den ekonomiska tillväxten, som i sin tur får positiva spridningseffekter med avseende på den territoriella och sociala sammanhållningen. Vi vill också betona att även stora företag som ingår i små och medelstora företags ekosystem bör få tillgång till sammanhållningspolitiska medel för produktiva investeringar, förutsatt att detta kan ge upphov till positiva spridningseffekter inom det närliggande området och i samhället. När det gäller ekonomisk sammanhållning bör resultaten inte bara mätas utifrån omfattningen av de ekonomiska investeringarna i ett visst område, utan även utifrån de territoriella och sociala resultaten.</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EESK betonar vikten av en fungerande och inkluderande arbetsmarknad för att öka den sociala sammanhållningen med hjälp av åtgärder som syftar till att ge EU:s medborgare och arbetstagare rätt kompetens för att kunna komma in på arbetsmarknaden och gå vidare från en anställning till en annan. Kommittén rekommenderar i detta sammanhang att sysselsättningsfrämjande åtgärder kombineras med åtgärder som syftar till att förbättra arbetstagarnas anställbarhet, bland annat genom att åtgärderna inriktas mot de grupper i samhället som riskerar att lämnas utanför. Åtgärder för att inkludera personer som för närvarande står utanför arbetsmarknaden bör främjas.</w:t>
      </w:r>
    </w:p>
    <w:p w:rsidRPr="001A5EC5" w:rsidR="001A5EC5" w:rsidP="00DC0FAE" w:rsidRDefault="001A5EC5" w14:paraId="2223D48A" w14:textId="26F4B546">
      <w:pPr>
        <w:numPr>
          <w:ilvl w:val="0"/>
          <w:numId w:val="14"/>
        </w:numPr>
        <w:overflowPunct w:val="0"/>
        <w:autoSpaceDE w:val="0"/>
        <w:autoSpaceDN w:val="0"/>
        <w:adjustRightInd w:val="0"/>
        <w:spacing w:after="200" w:line="276" w:lineRule="auto"/>
        <w:contextualSpacing/>
        <w:textAlignment w:val="baseline"/>
        <w:rPr>
          <w:bCs/>
          <w:iCs/>
        </w:rPr>
      </w:pPr>
      <w:r>
        <w:t>EESK rekommenderar att strategiska investeringar i lokal och regional förvaltning främjas för att stärka det system som spelar en central roll för genomförandet av programmen. Social,</w:t>
      </w:r>
      <w:r w:rsidR="00FB6551">
        <w:t> </w:t>
      </w:r>
      <w:r>
        <w:t>ekonomisk och territoriell sammanhållning kan inte uppnås om man inte först uppnår sammanhållning i fråga om de offentliga förvaltningarnas kapacitet.</w:t>
      </w:r>
    </w:p>
    <w:p w:rsidRPr="001A5EC5" w:rsidR="001A5EC5" w:rsidP="00DC0FAE" w:rsidRDefault="001A5EC5" w14:paraId="539D757E" w14:textId="502F9C11">
      <w:pPr>
        <w:numPr>
          <w:ilvl w:val="0"/>
          <w:numId w:val="14"/>
        </w:numPr>
        <w:overflowPunct w:val="0"/>
        <w:autoSpaceDE w:val="0"/>
        <w:autoSpaceDN w:val="0"/>
        <w:adjustRightInd w:val="0"/>
        <w:spacing w:after="200" w:line="276" w:lineRule="auto"/>
        <w:contextualSpacing/>
        <w:textAlignment w:val="baseline"/>
        <w:rPr>
          <w:bCs/>
          <w:iCs/>
        </w:rPr>
      </w:pPr>
      <w:r>
        <w:t>De lokala och regionala myndigheterna bör involveras i arbetet, med beaktande av partnerskaps</w:t>
      </w:r>
      <w:r w:rsidR="00BE2510">
        <w:softHyphen/>
      </w:r>
      <w:r>
        <w:t>principen, samtidigt som arbetsmarknadens parter samt organisationerna i det civila samhället bör inbegripas i alla diskussioner om sammanhållningspolitikens framtid.</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t>EESK uppmanar medlagstiftarna att verka för en mer ambitiös övergripande flerårig budgetram, och att se till att tillräckliga medel anslås till sammanhållningspolitiken, bland annat med tanke på det framtida behovet av EU-investeringar på försvarsområdet och de behov som kommer att uppstå i en union med fler än 27 medlemsstater.</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lastRenderedPageBreak/>
        <w:t>I detta sammanhang rekommenderar EESK att hänsyn tas till de framtida utvidgningar som EU planerar och som kommer att kräva en ändamålsenlig och välfungerande sammanhållningspolitik för att garantera en smidig integration av framtida medlemsstater utan att investeringarna i de nuvarande utvecklingsregionerna äventyras.</w:t>
      </w:r>
    </w:p>
    <w:p w:rsidRPr="001A5EC5"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t>EESK rekommenderar slutligen att man använder sig av investeringsverktyg som är automatiska och lätta att genomföra vid omställningen till ett smartare och grönare EU. Utmaningarna med att få till stånd en rättvis grön och digital omställning och uppnå de ambitiösa mål som fastställts kräver snabbhet och beredskap.</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1A5EC5" w:rsidR="001A5EC5" w:rsidTr="00FE3058" w14:paraId="3FFBD53A" w14:textId="77777777">
        <w:tc>
          <w:tcPr>
            <w:tcW w:w="141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1A5EC5" w:rsidR="001A5EC5" w:rsidTr="00FE3058" w14:paraId="654D5086" w14:textId="77777777">
        <w:tc>
          <w:tcPr>
            <w:tcW w:w="141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Tfn</w:t>
            </w:r>
          </w:p>
        </w:tc>
        <w:tc>
          <w:tcPr>
            <w:tcW w:w="567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FE3058" w14:paraId="710F66DA" w14:textId="77777777">
        <w:tc>
          <w:tcPr>
            <w:tcW w:w="141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E-post:</w:t>
            </w:r>
          </w:p>
        </w:tc>
        <w:tc>
          <w:tcPr>
            <w:tcW w:w="5670" w:type="dxa"/>
          </w:tcPr>
          <w:p w:rsidRPr="001A5EC5" w:rsidR="001A5EC5" w:rsidP="001A5EC5" w:rsidRDefault="00260FC3" w14:paraId="2A008587" w14:textId="77777777">
            <w:pPr>
              <w:overflowPunct w:val="0"/>
              <w:autoSpaceDE w:val="0"/>
              <w:autoSpaceDN w:val="0"/>
              <w:adjustRightInd w:val="0"/>
              <w:spacing w:line="240" w:lineRule="auto"/>
              <w:textAlignment w:val="baseline"/>
              <w:rPr>
                <w:i/>
              </w:rPr>
            </w:pPr>
            <w:hyperlink w:history="1" r:id="rId22">
              <w:r w:rsidR="00176B61">
                <w:rPr>
                  <w:i/>
                  <w:color w:val="0000FF"/>
                  <w:u w:val="single"/>
                </w:rPr>
                <w:t>Georgios.Meleas@eesc.europa.eu</w:t>
              </w:r>
            </w:hyperlink>
            <w:r w:rsidR="00176B61">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DC1B2D" w:rsidR="00502E1F" w:rsidP="00DC0FAE" w:rsidRDefault="005C28F2" w14:paraId="26F82B31" w14:textId="13D21940">
      <w:pPr>
        <w:pStyle w:val="Heading1"/>
        <w:tabs>
          <w:tab w:val="clear" w:pos="440"/>
          <w:tab w:val="left" w:pos="567"/>
        </w:tabs>
        <w:ind w:left="567" w:hanging="567"/>
        <w:rPr>
          <w:b/>
        </w:rPr>
      </w:pPr>
      <w:bookmarkStart w:name="_Toc169531841" w:id="1"/>
      <w:r w:rsidRPr="00DC1B2D">
        <w:rPr>
          <w:b/>
        </w:rPr>
        <w:lastRenderedPageBreak/>
        <w:t>SYSSELSÄTTNING, SOCIALA FRÅGOR OCH MEDBORGARNA</w:t>
      </w:r>
      <w:bookmarkEnd w:id="1"/>
    </w:p>
    <w:p w:rsidR="00502E1F" w:rsidP="00502E1F" w:rsidRDefault="00502E1F" w14:paraId="7FCC1962" w14:textId="6F84DBB9"/>
    <w:p w:rsidR="005C28F2" w:rsidP="00502E1F" w:rsidRDefault="005C28F2" w14:paraId="56EE42DD" w14:textId="77777777"/>
    <w:p w:rsidRPr="004E7105" w:rsidR="004E7105" w:rsidP="00C26C81" w:rsidRDefault="00260FC3" w14:paraId="7766257F" w14:textId="2CB76CC2">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3">
        <w:r w:rsidR="00BE2510">
          <w:rPr>
            <w:b/>
            <w:i/>
            <w:color w:val="0000FF"/>
            <w:sz w:val="28"/>
            <w:u w:val="single"/>
          </w:rPr>
          <w:t>Cancerformer som kan förebyggas med vaccinering</w:t>
        </w:r>
      </w:hyperlink>
      <w:r w:rsidRPr="004E7105" w:rsidR="004E7105">
        <w:rPr>
          <w:b/>
          <w:i/>
          <w:sz w:val="28"/>
        </w:rPr>
        <w:fldChar w:fldCharType="begin"/>
      </w:r>
      <w:r w:rsidRPr="004E7105" w:rsidR="004E7105">
        <w:rPr>
          <w:b/>
          <w:i/>
          <w:sz w:val="28"/>
        </w:rPr>
        <w:instrText xml:space="preserve"> HYPERLINK "https://www.eesc.europa.eu/sv/our-work/opinions-information-reports/opinions/anti-smuggling-package"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572"/>
      </w:tblGrid>
      <w:tr w:rsidRPr="004E7105" w:rsidR="004E7105" w:rsidTr="00FE3058" w14:paraId="71118AAD" w14:textId="77777777">
        <w:tc>
          <w:tcPr>
            <w:tcW w:w="1522" w:type="pct"/>
          </w:tcPr>
          <w:p w:rsidRPr="004E7105" w:rsidR="004E7105" w:rsidP="004E7105" w:rsidRDefault="004E7105" w14:paraId="7C033E3E" w14:textId="77777777">
            <w:pPr>
              <w:widowControl w:val="0"/>
              <w:overflowPunct w:val="0"/>
              <w:autoSpaceDE w:val="0"/>
              <w:autoSpaceDN w:val="0"/>
              <w:adjustRightInd w:val="0"/>
              <w:ind w:left="-113"/>
              <w:textAlignment w:val="baseline"/>
              <w:rPr>
                <w:b/>
              </w:rPr>
            </w:pPr>
            <w:r>
              <w:rPr>
                <w:b/>
              </w:rPr>
              <w:t>Föredragande:</w:t>
            </w:r>
          </w:p>
          <w:p w:rsidRPr="004E7105" w:rsidR="004E7105" w:rsidP="004E7105" w:rsidRDefault="004E7105" w14:paraId="2377D5BF" w14:textId="77777777">
            <w:pPr>
              <w:widowControl w:val="0"/>
              <w:overflowPunct w:val="0"/>
              <w:autoSpaceDE w:val="0"/>
              <w:autoSpaceDN w:val="0"/>
              <w:adjustRightInd w:val="0"/>
              <w:ind w:left="-113"/>
              <w:textAlignment w:val="baseline"/>
              <w:rPr>
                <w:b/>
              </w:rPr>
            </w:pPr>
            <w:r>
              <w:rPr>
                <w:b/>
              </w:rPr>
              <w:t>Medföredragande:</w:t>
            </w:r>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t>Milena Angelova (Arbetsgivargruppen – BG)</w:t>
            </w:r>
          </w:p>
          <w:p w:rsidRPr="004E7105"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proofErr w:type="spellStart"/>
            <w:r>
              <w:t>Sára</w:t>
            </w:r>
            <w:proofErr w:type="spellEnd"/>
            <w:r>
              <w:t xml:space="preserve"> </w:t>
            </w:r>
            <w:proofErr w:type="spellStart"/>
            <w:r>
              <w:t>Felszeghi</w:t>
            </w:r>
            <w:proofErr w:type="spellEnd"/>
            <w:r>
              <w:t xml:space="preserve"> (Arbetstagargruppen – HU)</w:t>
            </w:r>
          </w:p>
        </w:tc>
      </w:tr>
      <w:tr w:rsidRPr="004E7105" w:rsidR="004E7105" w:rsidTr="00FE3058" w14:paraId="7E7454B0" w14:textId="77777777">
        <w:tc>
          <w:tcPr>
            <w:tcW w:w="1522"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Pr>
                <w:b/>
              </w:rPr>
              <w:t>Referens:</w:t>
            </w:r>
          </w:p>
        </w:tc>
        <w:tc>
          <w:tcPr>
            <w:tcW w:w="3478"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t>COM(2024) 45 final</w:t>
            </w:r>
          </w:p>
        </w:tc>
      </w:tr>
      <w:tr w:rsidRPr="004E7105" w:rsidR="004E7105" w:rsidTr="00FE3058" w14:paraId="75B0E482" w14:textId="77777777">
        <w:tc>
          <w:tcPr>
            <w:tcW w:w="1522"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4E7105"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Huvudpunkter</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proofErr w:type="spellStart"/>
      <w:r>
        <w:t>EESK:s</w:t>
      </w:r>
      <w:proofErr w:type="spellEnd"/>
      <w:r>
        <w:t xml:space="preserve"> ståndpunkt:</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EESK uppmuntrar till utbyte av erfarenheter och god praxis samt intensivt samarbete mellan medlemsstaterna.</w:t>
      </w:r>
    </w:p>
    <w:p w:rsidRPr="00FB6551"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pacing w:val="-2"/>
          <w:szCs w:val="20"/>
        </w:rPr>
      </w:pPr>
      <w:r w:rsidRPr="00FB6551">
        <w:rPr>
          <w:spacing w:val="-2"/>
        </w:rPr>
        <w:t>EESK rekommenderar att man ökar både efterfrågan på och utbudet av vaccination, betonar behovet av lämplig information, utbildning och kommunikation och understryker skolhälsovårdens och föräldrarnas roll i denna strävan. Förebyggande av cancer bör bli en prioritering på politisk nivå och åtföljas av nödvändiga ekonomiska, materiella och mänskliga resurser.</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EESK efterlyser kraftfulla insatser för att bekämpa felaktig information och desinformation genom att man inhämtar vetenskapligt baserade bevis samt sprider faktabaserad information genom olika kanaler, bl.a. sociala medier.</w:t>
      </w:r>
    </w:p>
    <w:p w:rsidRPr="00FB6551"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pacing w:val="-2"/>
          <w:szCs w:val="20"/>
        </w:rPr>
      </w:pPr>
      <w:r w:rsidRPr="00FB6551">
        <w:rPr>
          <w:spacing w:val="-2"/>
        </w:rPr>
        <w:t>Allmän-, familje- och skolläkare samt civilsamhällesorganisationer kan spela en viktig roll när det gäller att tillhandahålla lämplig information, minska rädslan och skepsisen samt vägleda människor att vaccinera sig. För att se till att budskapen är attraktiva för yngre människor förespråkar EESK att man stärker kommunikationsinsatserna genom ungdomsledda organisationer.</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EESK betonar behovet av jämställdhet när det gäller åtgärder för att förebygga cancer, och anser att HPV-vaccin bör erbjudas alla flickor och pojkar i en viss ålder, att man bör intensifiera kommunikationen om tillgången till HPV-vaccination för pojkar och att man bör samla in och offentliggöra information om vaccinationstäckningen hos både pojkar och flickor i olika medlemsstater.</w:t>
      </w:r>
    </w:p>
    <w:p w:rsidRPr="004E7105"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EESK betonar vikten av enkel tillgång till vaccination när det gäller geografiskt läge samt behovet av riktade åtgärder för att nå personer från olika missgynnade grupper och personer med särskilda risker.</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Pr>
                <w:b/>
                <w:i/>
              </w:rPr>
              <w:t>Kontaktperson:</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Tfn</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E-post:</w:t>
            </w:r>
          </w:p>
        </w:tc>
        <w:tc>
          <w:tcPr>
            <w:tcW w:w="3444" w:type="pct"/>
          </w:tcPr>
          <w:p w:rsidRPr="004E7105" w:rsidR="004E7105" w:rsidP="004E7105" w:rsidRDefault="00260FC3" w14:paraId="36B7A701" w14:textId="77777777">
            <w:pPr>
              <w:widowControl w:val="0"/>
              <w:overflowPunct w:val="0"/>
              <w:autoSpaceDE w:val="0"/>
              <w:autoSpaceDN w:val="0"/>
              <w:adjustRightInd w:val="0"/>
              <w:textAlignment w:val="baseline"/>
              <w:rPr>
                <w:color w:val="0000FF"/>
                <w:u w:val="single"/>
              </w:rPr>
            </w:pPr>
            <w:hyperlink w:history="1" r:id="rId24">
              <w:r w:rsidR="00176B61">
                <w:rPr>
                  <w:i/>
                  <w:color w:val="0000FF"/>
                  <w:u w:val="single"/>
                </w:rPr>
                <w:t>Valeria.Atzori@eesc.europa.eu</w:t>
              </w:r>
            </w:hyperlink>
          </w:p>
          <w:p w:rsidRPr="004E7105"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260FC3" w14:paraId="3ECE05AC" w14:textId="36AAA703">
      <w:pPr>
        <w:widowControl w:val="0"/>
        <w:numPr>
          <w:ilvl w:val="0"/>
          <w:numId w:val="7"/>
        </w:numPr>
        <w:overflowPunct w:val="0"/>
        <w:autoSpaceDE w:val="0"/>
        <w:autoSpaceDN w:val="0"/>
        <w:adjustRightInd w:val="0"/>
        <w:ind w:hanging="567"/>
        <w:textAlignment w:val="baseline"/>
        <w:rPr>
          <w:sz w:val="24"/>
          <w:szCs w:val="24"/>
        </w:rPr>
      </w:pPr>
      <w:hyperlink w:history="1" r:id="rId25">
        <w:r w:rsidR="0022513B">
          <w:rPr>
            <w:b/>
            <w:i/>
            <w:color w:val="0000FF"/>
            <w:sz w:val="28"/>
            <w:u w:val="single"/>
          </w:rPr>
          <w:t>Översyn av direktivet om ett europeiskt företagsråd</w:t>
        </w:r>
      </w:hyperlink>
    </w:p>
    <w:p w:rsidRPr="00DC0FAE"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0484C" w:rsidR="0010484C" w:rsidTr="00FE3058" w14:paraId="561F7E20" w14:textId="77777777">
        <w:tc>
          <w:tcPr>
            <w:tcW w:w="1701" w:type="dxa"/>
          </w:tcPr>
          <w:p w:rsidRPr="0010484C" w:rsidR="0010484C" w:rsidP="00DC0FAE" w:rsidRDefault="0010484C" w14:paraId="5540B242" w14:textId="77777777">
            <w:pPr>
              <w:tabs>
                <w:tab w:val="center" w:pos="284"/>
              </w:tabs>
              <w:overflowPunct w:val="0"/>
              <w:autoSpaceDE w:val="0"/>
              <w:autoSpaceDN w:val="0"/>
              <w:adjustRightInd w:val="0"/>
              <w:ind w:left="266" w:hanging="376"/>
              <w:textAlignment w:val="baseline"/>
              <w:rPr>
                <w:b/>
              </w:rPr>
            </w:pPr>
            <w:r>
              <w:rPr>
                <w:b/>
              </w:rPr>
              <w:t>Föredragande:</w:t>
            </w:r>
          </w:p>
        </w:tc>
        <w:tc>
          <w:tcPr>
            <w:tcW w:w="5387" w:type="dxa"/>
          </w:tcPr>
          <w:p w:rsidRPr="0010484C" w:rsidR="0010484C" w:rsidP="00DC0FAE" w:rsidRDefault="0010484C" w14:paraId="2E037801" w14:textId="01A5B710">
            <w:pPr>
              <w:tabs>
                <w:tab w:val="center" w:pos="284"/>
              </w:tabs>
              <w:overflowPunct w:val="0"/>
              <w:autoSpaceDE w:val="0"/>
              <w:autoSpaceDN w:val="0"/>
              <w:adjustRightInd w:val="0"/>
              <w:ind w:left="266" w:hanging="376"/>
              <w:textAlignment w:val="baseline"/>
            </w:pPr>
            <w:r>
              <w:t xml:space="preserve">Sophia </w:t>
            </w:r>
            <w:proofErr w:type="spellStart"/>
            <w:r>
              <w:t>Reisecker</w:t>
            </w:r>
            <w:proofErr w:type="spellEnd"/>
            <w:r>
              <w:t xml:space="preserve"> (Arbetstagargruppen–AT)</w:t>
            </w:r>
          </w:p>
        </w:tc>
      </w:tr>
      <w:tr w:rsidRPr="0010484C" w:rsidR="0010484C" w:rsidTr="00FE3058" w14:paraId="73157FC0" w14:textId="77777777">
        <w:tc>
          <w:tcPr>
            <w:tcW w:w="7088" w:type="dxa"/>
            <w:gridSpan w:val="2"/>
          </w:tcPr>
          <w:p w:rsidRPr="0010484C"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10484C" w:rsidR="0010484C" w:rsidTr="00FE3058" w14:paraId="08B719B5" w14:textId="77777777">
        <w:tc>
          <w:tcPr>
            <w:tcW w:w="1701" w:type="dxa"/>
            <w:vMerge w:val="restart"/>
          </w:tcPr>
          <w:p w:rsidRPr="0010484C"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Pr>
                <w:b/>
              </w:rPr>
              <w:t>Referenser</w:t>
            </w:r>
          </w:p>
        </w:tc>
        <w:tc>
          <w:tcPr>
            <w:tcW w:w="5387" w:type="dxa"/>
          </w:tcPr>
          <w:p w:rsidRPr="0010484C" w:rsidR="0010484C" w:rsidP="00DC0FAE" w:rsidRDefault="0010484C" w14:paraId="2437B8BE" w14:textId="4FE32139">
            <w:pPr>
              <w:tabs>
                <w:tab w:val="center" w:pos="284"/>
              </w:tabs>
              <w:overflowPunct w:val="0"/>
              <w:autoSpaceDE w:val="0"/>
              <w:autoSpaceDN w:val="0"/>
              <w:adjustRightInd w:val="0"/>
              <w:ind w:left="266" w:hanging="376"/>
              <w:textAlignment w:val="baseline"/>
            </w:pPr>
            <w:r>
              <w:t>COM(2024) 14 final</w:t>
            </w:r>
          </w:p>
        </w:tc>
      </w:tr>
      <w:tr w:rsidRPr="0010484C" w:rsidR="0010484C" w:rsidTr="00FE3058" w14:paraId="5820FB7B" w14:textId="77777777">
        <w:tc>
          <w:tcPr>
            <w:tcW w:w="1701" w:type="dxa"/>
            <w:vMerge/>
          </w:tcPr>
          <w:p w:rsidRPr="0010484C"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10484C" w:rsidR="0010484C" w:rsidP="00DC0FAE" w:rsidRDefault="0010484C" w14:paraId="0F30A46F" w14:textId="4D6C9E54">
            <w:pPr>
              <w:tabs>
                <w:tab w:val="center" w:pos="284"/>
              </w:tabs>
              <w:overflowPunct w:val="0"/>
              <w:autoSpaceDE w:val="0"/>
              <w:autoSpaceDN w:val="0"/>
              <w:adjustRightInd w:val="0"/>
              <w:ind w:left="266" w:hanging="376"/>
              <w:textAlignment w:val="baseline"/>
            </w:pPr>
            <w:r>
              <w:t>EESC-2024-00543-00-00-AC</w:t>
            </w:r>
          </w:p>
        </w:tc>
      </w:tr>
    </w:tbl>
    <w:p w:rsidRPr="00DC0FAE"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10484C"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DC0FAE"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0010484C" w:rsidP="0010484C" w:rsidRDefault="0010484C" w14:paraId="45AB3525" w14:textId="1202BA36">
      <w:pPr>
        <w:overflowPunct w:val="0"/>
        <w:autoSpaceDE w:val="0"/>
        <w:autoSpaceDN w:val="0"/>
        <w:adjustRightInd w:val="0"/>
        <w:textAlignment w:val="baseline"/>
        <w:rPr>
          <w:bCs/>
          <w:iCs/>
        </w:rPr>
      </w:pPr>
      <w:proofErr w:type="spellStart"/>
      <w:r>
        <w:t>EESK:s</w:t>
      </w:r>
      <w:proofErr w:type="spellEnd"/>
      <w:r>
        <w:t xml:space="preserve"> ståndpunkt:</w:t>
      </w:r>
    </w:p>
    <w:p w:rsidRPr="00DC0FAE" w:rsidR="002F6E84" w:rsidP="0010484C" w:rsidRDefault="002F6E84" w14:paraId="0DAE7107" w14:textId="77777777">
      <w:pPr>
        <w:overflowPunct w:val="0"/>
        <w:autoSpaceDE w:val="0"/>
        <w:autoSpaceDN w:val="0"/>
        <w:adjustRightInd w:val="0"/>
        <w:textAlignment w:val="baseline"/>
        <w:rPr>
          <w:bCs/>
          <w:iCs/>
          <w:sz w:val="16"/>
          <w:szCs w:val="16"/>
        </w:rPr>
      </w:pPr>
    </w:p>
    <w:p w:rsidRPr="00DC0FAE" w:rsidR="0010484C" w:rsidP="00DC0FAE" w:rsidRDefault="0010484C" w14:paraId="5422A1B5" w14:textId="4BD5EB57">
      <w:pPr>
        <w:widowControl w:val="0"/>
        <w:numPr>
          <w:ilvl w:val="0"/>
          <w:numId w:val="16"/>
        </w:numPr>
        <w:overflowPunct w:val="0"/>
        <w:autoSpaceDE w:val="0"/>
        <w:autoSpaceDN w:val="0"/>
        <w:adjustRightInd w:val="0"/>
        <w:ind w:left="284" w:hanging="284"/>
        <w:textAlignment w:val="baseline"/>
        <w:rPr>
          <w:szCs w:val="20"/>
        </w:rPr>
      </w:pPr>
      <w:r>
        <w:t>EESK välkomnar de lagstiftningsåtgärder som kommissionen vidtagit för att revidera direktiv 2009/38/EG när det gäller minimikrav för inrättandet av europeiska företagsråd och säker</w:t>
      </w:r>
      <w:r w:rsidR="00FB6551">
        <w:softHyphen/>
      </w:r>
      <w:r>
        <w:t>ställande av att de fungerar effektivt.</w:t>
      </w:r>
    </w:p>
    <w:p w:rsidRPr="00DC0FAE" w:rsidR="0010484C" w:rsidP="00DC0FAE" w:rsidRDefault="0010484C" w14:paraId="4FA291B7" w14:textId="68B24CDB">
      <w:pPr>
        <w:widowControl w:val="0"/>
        <w:numPr>
          <w:ilvl w:val="0"/>
          <w:numId w:val="16"/>
        </w:numPr>
        <w:overflowPunct w:val="0"/>
        <w:autoSpaceDE w:val="0"/>
        <w:autoSpaceDN w:val="0"/>
        <w:adjustRightInd w:val="0"/>
        <w:ind w:left="284" w:hanging="284"/>
        <w:textAlignment w:val="baseline"/>
        <w:rPr>
          <w:szCs w:val="20"/>
        </w:rPr>
      </w:pPr>
      <w:r>
        <w:t>Kommittén noterar syftet att stärka effektiviteten i och genomförandet av de europeiska företags</w:t>
      </w:r>
      <w:r w:rsidR="00FB6551">
        <w:softHyphen/>
      </w:r>
      <w:r>
        <w:t>rådens rättigheter i syfte att skapa rättssäkerhet genom att förtydliga centrala begrepp i direktivet om europeiska företagsråd. Detta gäller särskilt definitionen av gränsöverskridande verksamhet, tillgång till tillräckliga resurser för de europeiska företagsråden, tillgång till rättslig prövning och ett stärkt åtagande från medlemsstaternas sida om att tillhandahålla effektiva och tillräckligt avskräckande sanktioner för överträdelser av de europeiska företagsrådens rättigheter.</w:t>
      </w:r>
    </w:p>
    <w:p w:rsidRPr="00DC0FAE"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t>EESK välkomnar kommissionens avsikt att se över den standard som syftar till att göra informations- och samrådsprocessen mer effektiv och meningsfull genom att föreslå tillägg till tilläggsföreskrifterna, att öka frekvensen för ordinarie möten i de europeiska företagsråden samt att införa ett motiverat svar från företagsledningarna på de europeiska företagsrådens yttranden. Kommittén ställer sig också bakom att de fackliga företrädarna får en förstärkt roll när det gäller att i egenskap av experter biträda de europeiska företagsråden.</w:t>
      </w:r>
    </w:p>
    <w:p w:rsidRPr="005C28F2"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t>Vi stöder de viktiga ändringarna i fråga om de europeiska företagsrådens och deras medlemmars förmåga att fullgöra sina uppgifter. Detta gäller särskilt de resurser som ska tillhandahållas av ledningen. Närmare uppgifter om detta måste fastställas gemensamt i det relevanta avtalet om ett europeiskt företagsråd i samband med frågor om utbildning, experter och juridiskt biträde samt de avsedda förtydligandena om sekretess.</w:t>
      </w:r>
    </w:p>
    <w:p w:rsidRPr="00DC0FAE"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Vi uppmanar de lagstiftande institutionerna att snabbt gå vidare med översynen av direktivet om europeiska företagsråd i linje med kommissionens förslag, och att även beakta rekommendationerna i detta yttrande.</w:t>
      </w:r>
    </w:p>
    <w:p w:rsidRPr="00DC0FAE"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t>EESK framhåller behovet av att garantera att det reviderade direktivet införlivas och genomförs korrekt med effektiva övervaknings- och genomförandeverktyg som ska användas av kommissionen i denna process.</w:t>
      </w:r>
    </w:p>
    <w:p w:rsidRPr="00DC0FAE"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5C28F2" w:rsidR="0010484C" w:rsidP="0010484C" w:rsidRDefault="0010484C" w14:paraId="3B5BD501" w14:textId="77777777">
      <w:pPr>
        <w:widowControl w:val="0"/>
        <w:overflowPunct w:val="0"/>
        <w:autoSpaceDE w:val="0"/>
        <w:autoSpaceDN w:val="0"/>
        <w:adjustRightInd w:val="0"/>
        <w:textAlignment w:val="baseline"/>
        <w:rPr>
          <w:b/>
          <w:bCs/>
          <w:szCs w:val="20"/>
        </w:rPr>
      </w:pPr>
      <w:r>
        <w:rPr>
          <w:b/>
        </w:rPr>
        <w:t xml:space="preserve">På grund av avvikande åsikter framförda av arbetsgivarorganisationerna lade medlemmar av </w:t>
      </w:r>
      <w:proofErr w:type="spellStart"/>
      <w:r>
        <w:rPr>
          <w:b/>
        </w:rPr>
        <w:t>EESK:s</w:t>
      </w:r>
      <w:proofErr w:type="spellEnd"/>
      <w:r>
        <w:rPr>
          <w:b/>
        </w:rPr>
        <w:t xml:space="preserve"> arbetsgivargrupp fram ett motyttrande. De uttryckte närmare bestämt oro över att översynen av direktivet skulle kunna göra verksamheten i de europeiska företagsråden mer komplicerad och att det finns en risk att de omvandlas från effektiva kanaler för information och samråd på företagsnivå till källor till tvister och rättsosäkerhet. </w:t>
      </w:r>
      <w:proofErr w:type="spellStart"/>
      <w:r>
        <w:rPr>
          <w:b/>
        </w:rPr>
        <w:t>EESK:s</w:t>
      </w:r>
      <w:proofErr w:type="spellEnd"/>
      <w:r>
        <w:rPr>
          <w:b/>
        </w:rPr>
        <w:t xml:space="preserve"> arbetsgivargrupp anser att detta skulle kunna undergräva det mycket viktiga samarbetet och förtroendet på arbetsplatsen. Motyttrandet förkastades av EESK (104 röster för/125 emot/11 nedlagda röster), men eftersom det fick mer än en fjärdedel av de avgivna rösterna bifogas det till yttrandet i enlighet med </w:t>
      </w:r>
      <w:proofErr w:type="spellStart"/>
      <w:r>
        <w:rPr>
          <w:b/>
        </w:rPr>
        <w:t>EESK:s</w:t>
      </w:r>
      <w:proofErr w:type="spellEnd"/>
      <w:r>
        <w:rPr>
          <w:b/>
        </w:rPr>
        <w:t xml:space="preserve"> arbetsordning.</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0484C" w:rsidR="005C28F2" w:rsidTr="00405FFF" w14:paraId="60D176FD" w14:textId="77777777">
        <w:tc>
          <w:tcPr>
            <w:tcW w:w="1418"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t>Kontaktperson:</w:t>
            </w:r>
          </w:p>
        </w:tc>
        <w:tc>
          <w:tcPr>
            <w:tcW w:w="5670" w:type="dxa"/>
          </w:tcPr>
          <w:p w:rsidRPr="0010484C" w:rsidR="005C28F2" w:rsidP="00405FFF" w:rsidRDefault="005C28F2" w14:paraId="78013169" w14:textId="77777777">
            <w:pPr>
              <w:overflowPunct w:val="0"/>
              <w:autoSpaceDE w:val="0"/>
              <w:autoSpaceDN w:val="0"/>
              <w:adjustRightInd w:val="0"/>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10484C" w:rsidR="005C28F2" w:rsidTr="00405FFF" w14:paraId="02718472" w14:textId="77777777">
        <w:tc>
          <w:tcPr>
            <w:tcW w:w="1418"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Tfn</w:t>
            </w:r>
          </w:p>
        </w:tc>
        <w:tc>
          <w:tcPr>
            <w:tcW w:w="5670"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405FFF" w14:paraId="6D0F78E9" w14:textId="77777777">
        <w:tc>
          <w:tcPr>
            <w:tcW w:w="1418"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E-post:</w:t>
            </w:r>
          </w:p>
        </w:tc>
        <w:tc>
          <w:tcPr>
            <w:tcW w:w="5670" w:type="dxa"/>
          </w:tcPr>
          <w:p w:rsidRPr="0010484C" w:rsidR="005C28F2" w:rsidP="00405FFF" w:rsidRDefault="00260FC3" w14:paraId="17171F10" w14:textId="77777777">
            <w:pPr>
              <w:overflowPunct w:val="0"/>
              <w:autoSpaceDE w:val="0"/>
              <w:autoSpaceDN w:val="0"/>
              <w:adjustRightInd w:val="0"/>
              <w:ind w:hanging="110"/>
              <w:textAlignment w:val="baseline"/>
              <w:rPr>
                <w:i/>
                <w:iCs/>
              </w:rPr>
            </w:pPr>
            <w:hyperlink w:history="1" r:id="rId26">
              <w:r w:rsidR="005C28F2">
                <w:rPr>
                  <w:i/>
                  <w:color w:val="0000FF"/>
                  <w:u w:val="single"/>
                </w:rPr>
                <w:t>Bartek.Bednarowicz@eesc.europa.eu</w:t>
              </w:r>
            </w:hyperlink>
          </w:p>
        </w:tc>
      </w:tr>
    </w:tbl>
    <w:p w:rsidRPr="00935048" w:rsidR="00025343" w:rsidP="00DC0FAE" w:rsidRDefault="00260FC3" w14:paraId="05A78CB9" w14:textId="4D372C10">
      <w:pPr>
        <w:widowControl w:val="0"/>
        <w:numPr>
          <w:ilvl w:val="0"/>
          <w:numId w:val="7"/>
        </w:numPr>
        <w:overflowPunct w:val="0"/>
        <w:autoSpaceDE w:val="0"/>
        <w:autoSpaceDN w:val="0"/>
        <w:adjustRightInd w:val="0"/>
        <w:ind w:hanging="567"/>
        <w:textAlignment w:val="baseline"/>
        <w:rPr>
          <w:b/>
          <w:i/>
          <w:color w:val="0000FF"/>
          <w:sz w:val="28"/>
          <w:u w:val="single"/>
        </w:rPr>
      </w:pPr>
      <w:hyperlink w:history="1" r:id="rId27">
        <w:r w:rsidRPr="00935048" w:rsidR="005C28F2">
          <w:rPr>
            <w:rStyle w:val="Hyperlink"/>
            <w:b/>
            <w:i/>
            <w:sz w:val="28"/>
          </w:rPr>
          <w:t>Inget rum för hat: ett Europa enat mot hat</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025343" w:rsidR="00025343" w:rsidTr="00FE3058" w14:paraId="2AF8F4F0" w14:textId="77777777">
        <w:trPr>
          <w:trHeight w:val="337"/>
        </w:trPr>
        <w:tc>
          <w:tcPr>
            <w:tcW w:w="1310" w:type="pct"/>
          </w:tcPr>
          <w:p w:rsidRPr="00025343"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Pr>
                <w:b/>
              </w:rPr>
              <w:t>Föredragande:</w:t>
            </w:r>
          </w:p>
        </w:tc>
        <w:tc>
          <w:tcPr>
            <w:tcW w:w="3690" w:type="pct"/>
          </w:tcPr>
          <w:p w:rsidRPr="00025343" w:rsidR="00025343" w:rsidP="00DC0FAE" w:rsidRDefault="00025343" w14:paraId="75752AD4" w14:textId="7ACD3C64">
            <w:pPr>
              <w:tabs>
                <w:tab w:val="center" w:pos="0"/>
              </w:tabs>
              <w:overflowPunct w:val="0"/>
              <w:autoSpaceDE w:val="0"/>
              <w:autoSpaceDN w:val="0"/>
              <w:adjustRightInd w:val="0"/>
              <w:ind w:hanging="92"/>
              <w:textAlignment w:val="baseline"/>
            </w:pPr>
            <w:r>
              <w:t xml:space="preserve">Cristian </w:t>
            </w:r>
            <w:proofErr w:type="spellStart"/>
            <w:r>
              <w:t>Pîrvulescu</w:t>
            </w:r>
            <w:proofErr w:type="spellEnd"/>
            <w:r>
              <w:t xml:space="preserve"> (Gruppen för civilsamhällesorganisationer – RO)</w:t>
            </w:r>
          </w:p>
        </w:tc>
      </w:tr>
      <w:tr w:rsidRPr="00025343" w:rsidR="00025343" w:rsidTr="00FE3058" w14:paraId="1760181D" w14:textId="77777777">
        <w:trPr>
          <w:trHeight w:val="350"/>
        </w:trPr>
        <w:tc>
          <w:tcPr>
            <w:tcW w:w="1310" w:type="pct"/>
          </w:tcPr>
          <w:p w:rsidRPr="00025343"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r>
              <w:rPr>
                <w:b/>
              </w:rPr>
              <w:t>Medföredragande:</w:t>
            </w:r>
          </w:p>
        </w:tc>
        <w:tc>
          <w:tcPr>
            <w:tcW w:w="3690" w:type="pct"/>
          </w:tcPr>
          <w:p w:rsidRPr="00025343" w:rsidR="00025343" w:rsidP="00DC0FAE" w:rsidRDefault="00025343" w14:paraId="4D5D8264" w14:textId="0F078110">
            <w:pPr>
              <w:overflowPunct w:val="0"/>
              <w:autoSpaceDE w:val="0"/>
              <w:autoSpaceDN w:val="0"/>
              <w:adjustRightInd w:val="0"/>
              <w:ind w:hanging="92"/>
              <w:textAlignment w:val="baseline"/>
            </w:pPr>
            <w:r>
              <w:t>Milena Angelova (Arbetsgivargruppen – BG)</w:t>
            </w:r>
          </w:p>
        </w:tc>
      </w:tr>
      <w:tr w:rsidRPr="00025343" w:rsidR="00025343" w:rsidTr="00FE3058" w14:paraId="2C6DD60C" w14:textId="77777777">
        <w:trPr>
          <w:trHeight w:val="180"/>
        </w:trPr>
        <w:tc>
          <w:tcPr>
            <w:tcW w:w="5000" w:type="pct"/>
            <w:gridSpan w:val="2"/>
          </w:tcPr>
          <w:p w:rsidRPr="00025343"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Pr>
                <w:b/>
              </w:rPr>
              <w:t>Referens:</w:t>
            </w:r>
          </w:p>
        </w:tc>
        <w:tc>
          <w:tcPr>
            <w:tcW w:w="3690" w:type="pct"/>
          </w:tcPr>
          <w:p w:rsidR="00073B39" w:rsidRDefault="00073B39" w14:paraId="4E56704D" w14:textId="77D55C36">
            <w:pPr>
              <w:overflowPunct w:val="0"/>
              <w:autoSpaceDE w:val="0"/>
              <w:autoSpaceDN w:val="0"/>
              <w:adjustRightInd w:val="0"/>
              <w:ind w:left="38" w:hanging="92"/>
              <w:textAlignment w:val="baseline"/>
            </w:pPr>
            <w:r>
              <w:t>JOIN(2023) 51 final</w:t>
            </w:r>
          </w:p>
          <w:p w:rsidRPr="00025343" w:rsidR="00025343" w:rsidP="00DC0FAE" w:rsidRDefault="00025343" w14:paraId="3DBBFBEB" w14:textId="41A0BBEE">
            <w:pPr>
              <w:overflowPunct w:val="0"/>
              <w:autoSpaceDE w:val="0"/>
              <w:autoSpaceDN w:val="0"/>
              <w:adjustRightInd w:val="0"/>
              <w:ind w:left="38" w:hanging="92"/>
              <w:textAlignment w:val="baseline"/>
            </w:pPr>
            <w:r>
              <w:t>EESC-2024-00795-00-00-AC</w:t>
            </w:r>
          </w:p>
        </w:tc>
      </w:tr>
    </w:tbl>
    <w:p w:rsidRPr="00025343"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Huvudpunkter</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proofErr w:type="spellStart"/>
      <w:r>
        <w:t>EESK:s</w:t>
      </w:r>
      <w:proofErr w:type="spellEnd"/>
      <w:r>
        <w:t xml:space="preserve"> ståndpunkt:</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 xml:space="preserve">Kommittén välkomnar meddelandet, men betonar samtidigt behovet av ett mer omfattande partnerskap med det civila samhällets organisationer. Vi efterlyser informationskampanjer och satsningar på att bekämpa ”ekosystemen” för hat både </w:t>
      </w:r>
      <w:proofErr w:type="spellStart"/>
      <w:r>
        <w:t>offline</w:t>
      </w:r>
      <w:proofErr w:type="spellEnd"/>
      <w:r>
        <w:t xml:space="preserve"> och online. Kommittén betonar även vikten av att politiker undviker ett språkbruk som främjar hat.</w:t>
      </w:r>
    </w:p>
    <w:p w:rsidRPr="00025343"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Det är mycket viktigt att EU antar en övergripande strategi och bekämpar hat baserat på alla mänskliga egenskaper samt genomför befintliga strategier och initiativ för jämlikhet och icke-diskriminering på ett effektivt sätt. Vi understryker att strategin för att bekämpa hat i första hand bör vara densamma för alla oavsett vem som drabbas. EESK uppmanar medlemsstaterna att lagföra hatbrott. Rapportering av denna typ av brott bör uppmuntras. De som arbetar vid de brottsbekämpande myndigheterna bör få utbildning i att handlägga dessa brott på ett korrekt sätt, med vederbörlig respekt för brottsoffren.</w:t>
      </w:r>
    </w:p>
    <w:p w:rsidRPr="00025343"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 xml:space="preserve">Vi beklagar att åtgärderna för att bekämpa hat på </w:t>
      </w:r>
      <w:proofErr w:type="spellStart"/>
      <w:r>
        <w:t>onlineplattformar</w:t>
      </w:r>
      <w:proofErr w:type="spellEnd"/>
      <w:r>
        <w:t xml:space="preserve"> är alltför begränsade med avseende på såväl omfattning som effekt. Anmälarnas roll och sakkunskap bör utvidgas till att genomgående omfatta alla former av hat på nätet. Mediekompetensen och den digitala kompetensen bör förbättras, så att rapporteringen effektiviseras.</w:t>
      </w:r>
    </w:p>
    <w:p w:rsidRPr="00025343" w:rsidR="00025343" w:rsidP="00DC0FAE" w:rsidRDefault="00025343" w14:paraId="0FED99CF" w14:textId="7D8418BA">
      <w:pPr>
        <w:widowControl w:val="0"/>
        <w:numPr>
          <w:ilvl w:val="0"/>
          <w:numId w:val="17"/>
        </w:numPr>
        <w:overflowPunct w:val="0"/>
        <w:autoSpaceDE w:val="0"/>
        <w:autoSpaceDN w:val="0"/>
        <w:adjustRightInd w:val="0"/>
        <w:ind w:left="284" w:hanging="284"/>
        <w:textAlignment w:val="baseline"/>
        <w:rPr>
          <w:bCs/>
          <w:iCs/>
        </w:rPr>
      </w:pPr>
      <w:r>
        <w:t>Arbetet i högnivågruppen för bekämpning av hatpropaganda och hatbrott måste bli mer operativt. Det krävs ytterligare satsningar på utbildning och kapacitetsuppbyggnad för det civila samhället samtidigt som rapporteringen effektiviseras. Rapportering och benchmarking bör användas för att kartlägga framsteg. Rapporteringen av hatbrott bör standardiseras och institutionaliseras på EU-nivå. Rapporteringsmekanismerna måste vara tillgängliga för samtliga brottsoffer. Kommittén</w:t>
      </w:r>
      <w:r w:rsidR="0022513B">
        <w:t> </w:t>
      </w:r>
      <w:r>
        <w:t xml:space="preserve">uppmanar kommissionen att skapa en </w:t>
      </w:r>
      <w:proofErr w:type="spellStart"/>
      <w:r>
        <w:t>onlineplattform</w:t>
      </w:r>
      <w:proofErr w:type="spellEnd"/>
      <w:r>
        <w:t>, så att organisationerna i det civila samhället och människorättsförsvarare snabbt kan rapportera hatrelaterade incidenter.</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 xml:space="preserve">Kommissionen bör genomföra en granskning av det arbete som utförs av organisationerna i det civila samhället och av betrodda anmälare. Kommissionen bör även föreslå åtgärder, så att detta arbete effektiviseras och anpassas till rådande utmaningar. EU bör insistera på att stora </w:t>
      </w:r>
      <w:proofErr w:type="spellStart"/>
      <w:r>
        <w:t>onlineplattformar</w:t>
      </w:r>
      <w:proofErr w:type="spellEnd"/>
      <w:r>
        <w:t xml:space="preserve"> förhindrar att deras algoritmer leder till att hat får ökad spridning. Resurser från programmet för medborgare, jämlikhet, rättigheter och värden och Horisont Europa bör användas för att kartlägga och bekämpa ekosystem för hat på nätet, så att befintlig utbildnings- och forskningskapacitet kan bidra till detta mål. Åtgärder inom ramen för Erasmus+ som är inriktade på medborgarutbildning kan också bidra till detta mål.</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Pr>
                <w:i/>
              </w:rPr>
              <w:t xml:space="preserve">June </w:t>
            </w:r>
            <w:proofErr w:type="spellStart"/>
            <w:r>
              <w:rPr>
                <w:i/>
              </w:rPr>
              <w:t>Bedaton</w:t>
            </w:r>
            <w:proofErr w:type="spellEnd"/>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Tfn</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E-post:</w:t>
            </w:r>
          </w:p>
        </w:tc>
        <w:tc>
          <w:tcPr>
            <w:tcW w:w="3444" w:type="pct"/>
          </w:tcPr>
          <w:p w:rsidRPr="00025343" w:rsidR="005960C6" w:rsidP="005960C6" w:rsidRDefault="00260FC3" w14:paraId="55F1FCFD" w14:textId="7B0D73DB">
            <w:pPr>
              <w:overflowPunct w:val="0"/>
              <w:autoSpaceDE w:val="0"/>
              <w:autoSpaceDN w:val="0"/>
              <w:adjustRightInd w:val="0"/>
              <w:spacing w:line="240" w:lineRule="auto"/>
              <w:textAlignment w:val="baseline"/>
              <w:rPr>
                <w:i/>
              </w:rPr>
            </w:pPr>
            <w:hyperlink w:history="1" r:id="rId28">
              <w:r w:rsidR="00176B61">
                <w:rPr>
                  <w:i/>
                  <w:color w:val="0000FF"/>
                  <w:u w:val="single"/>
                </w:rPr>
                <w:t>June.Bedaton@eesc.europa.eu</w:t>
              </w:r>
            </w:hyperlink>
          </w:p>
        </w:tc>
      </w:tr>
    </w:tbl>
    <w:p w:rsidR="005960C6" w:rsidRDefault="005960C6" w14:paraId="02DD9E59" w14:textId="77777777">
      <w:pPr>
        <w:spacing w:after="160" w:line="259" w:lineRule="auto"/>
        <w:jc w:val="left"/>
        <w:rPr>
          <w:color w:val="000000"/>
          <w:highlight w:val="lightGray"/>
          <w14:scene3d>
            <w14:camera w14:prst="orthographicFront"/>
            <w14:lightRig w14:rig="threePt" w14:dir="t">
              <w14:rot w14:lat="0" w14:lon="0" w14:rev="0"/>
            </w14:lightRig>
          </w14:scene3d>
        </w:rPr>
      </w:pPr>
      <w:bookmarkStart w:name="_Toc166847134" w:id="2"/>
      <w:bookmarkStart w:name="_Toc169531842" w:id="3"/>
      <w:bookmarkEnd w:id="2"/>
      <w:r>
        <w:rPr>
          <w:color w:val="000000"/>
          <w:highlight w:val="lightGray"/>
          <w14:scene3d>
            <w14:camera w14:prst="orthographicFront"/>
            <w14:lightRig w14:rig="threePt" w14:dir="t">
              <w14:rot w14:lat="0" w14:lon="0" w14:rev="0"/>
            </w14:lightRig>
          </w14:scene3d>
        </w:rPr>
        <w:br w:type="page"/>
      </w:r>
    </w:p>
    <w:p w:rsidRPr="005960C6" w:rsidR="004C3902" w:rsidP="005960C6" w:rsidRDefault="008E2A59" w14:paraId="7AD922B6" w14:textId="3369F4B5">
      <w:pPr>
        <w:pStyle w:val="Heading1"/>
        <w:tabs>
          <w:tab w:val="clear" w:pos="440"/>
          <w:tab w:val="left" w:pos="567"/>
        </w:tabs>
        <w:ind w:left="567" w:hanging="567"/>
        <w:rPr>
          <w:b/>
        </w:rPr>
      </w:pPr>
      <w:r>
        <w:rPr>
          <w:b/>
        </w:rPr>
        <w:lastRenderedPageBreak/>
        <w:t>JORDBRUK, LANDSBYGDSUTVECKLING OCH MILJÖ</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22513B" w:rsidR="00A329C8" w:rsidP="0022513B" w:rsidRDefault="0022513B" w14:paraId="54725696" w14:textId="612C9AFB">
      <w:pPr>
        <w:widowControl w:val="0"/>
        <w:numPr>
          <w:ilvl w:val="0"/>
          <w:numId w:val="7"/>
        </w:numPr>
        <w:overflowPunct w:val="0"/>
        <w:autoSpaceDE w:val="0"/>
        <w:autoSpaceDN w:val="0"/>
        <w:adjustRightInd w:val="0"/>
        <w:ind w:hanging="567"/>
        <w:textAlignment w:val="baseline"/>
        <w:rPr>
          <w:rStyle w:val="Hyperlink"/>
          <w:b/>
          <w:i/>
          <w:sz w:val="28"/>
        </w:rPr>
      </w:pPr>
      <w:r>
        <w:rPr>
          <w:b/>
          <w:i/>
          <w:sz w:val="28"/>
        </w:rPr>
        <w:fldChar w:fldCharType="begin"/>
      </w:r>
      <w:r>
        <w:rPr>
          <w:b/>
          <w:i/>
          <w:sz w:val="28"/>
        </w:rPr>
        <w:instrText xml:space="preserve"> HYPERLINK "https://www.eesc.europa.eu/en/our-work/opinions-information-reports/opinions/eu-climate-target-2040" </w:instrText>
      </w:r>
      <w:r>
        <w:rPr>
          <w:b/>
          <w:i/>
          <w:sz w:val="28"/>
        </w:rPr>
        <w:fldChar w:fldCharType="separate"/>
      </w:r>
      <w:r w:rsidRPr="0022513B" w:rsidR="004C1520">
        <w:rPr>
          <w:rStyle w:val="Hyperlink"/>
          <w:b/>
          <w:i/>
          <w:sz w:val="28"/>
        </w:rPr>
        <w:t>EU:s klimatmål för 2040</w:t>
      </w:r>
    </w:p>
    <w:p w:rsidRPr="00A329C8" w:rsidR="00A329C8" w:rsidP="00A329C8" w:rsidRDefault="0022513B" w14:paraId="41709063" w14:textId="26CA8482">
      <w:pPr>
        <w:widowControl w:val="0"/>
        <w:overflowPunct w:val="0"/>
        <w:autoSpaceDE w:val="0"/>
        <w:autoSpaceDN w:val="0"/>
        <w:adjustRightInd w:val="0"/>
        <w:ind w:left="567"/>
        <w:textAlignment w:val="baseline"/>
        <w:rPr>
          <w:bCs/>
          <w:sz w:val="16"/>
          <w:szCs w:val="16"/>
        </w:rPr>
      </w:pPr>
      <w:r>
        <w:rPr>
          <w:b/>
          <w:i/>
          <w:sz w:val="28"/>
        </w:rPr>
        <w:fldChar w:fldCharType="end"/>
      </w: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329C8" w:rsidR="00A329C8" w:rsidTr="00FE3058" w14:paraId="1072566D" w14:textId="77777777">
        <w:tc>
          <w:tcPr>
            <w:tcW w:w="1701"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Pr>
                <w:b/>
              </w:rPr>
              <w:t>Föredragande:</w:t>
            </w:r>
          </w:p>
        </w:tc>
        <w:tc>
          <w:tcPr>
            <w:tcW w:w="6096" w:type="dxa"/>
          </w:tcPr>
          <w:p w:rsidRPr="00A329C8" w:rsidR="00A329C8" w:rsidRDefault="00A329C8" w14:paraId="79F6E9C0" w14:textId="43EDADDC">
            <w:pPr>
              <w:tabs>
                <w:tab w:val="center" w:pos="284"/>
              </w:tabs>
              <w:overflowPunct w:val="0"/>
              <w:autoSpaceDE w:val="0"/>
              <w:autoSpaceDN w:val="0"/>
              <w:adjustRightInd w:val="0"/>
              <w:ind w:left="266" w:hanging="266"/>
              <w:textAlignment w:val="baseline"/>
              <w:rPr>
                <w:bCs/>
              </w:rPr>
            </w:pPr>
            <w:r>
              <w:rPr>
                <w:b/>
              </w:rPr>
              <w:t xml:space="preserve">Teppo </w:t>
            </w:r>
            <w:proofErr w:type="spellStart"/>
            <w:r>
              <w:rPr>
                <w:b/>
              </w:rPr>
              <w:t>Säkkinen</w:t>
            </w:r>
            <w:proofErr w:type="spellEnd"/>
            <w:r>
              <w:t xml:space="preserve"> (Arbetsgivargruppen – FI)</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FE3058" w14:paraId="4CD963E6" w14:textId="77777777">
        <w:tc>
          <w:tcPr>
            <w:tcW w:w="1701"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Pr>
                <w:b/>
              </w:rPr>
              <w:t>Referens:</w:t>
            </w:r>
          </w:p>
        </w:tc>
        <w:tc>
          <w:tcPr>
            <w:tcW w:w="6096"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t>COM(2024) 63 final</w:t>
            </w:r>
          </w:p>
        </w:tc>
      </w:tr>
      <w:tr w:rsidRPr="00A329C8" w:rsidR="00A329C8" w:rsidTr="00FE3058" w14:paraId="42B3A032" w14:textId="77777777">
        <w:tc>
          <w:tcPr>
            <w:tcW w:w="1701"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A329C8" w:rsidR="00A329C8" w:rsidRDefault="00A329C8" w14:paraId="34A1EAA6" w14:textId="10339782">
            <w:pPr>
              <w:tabs>
                <w:tab w:val="center" w:pos="284"/>
              </w:tabs>
              <w:overflowPunct w:val="0"/>
              <w:autoSpaceDE w:val="0"/>
              <w:autoSpaceDN w:val="0"/>
              <w:adjustRightInd w:val="0"/>
              <w:ind w:left="266" w:hanging="266"/>
              <w:textAlignment w:val="baseline"/>
            </w:pPr>
            <w:r>
              <w:t>EESC-2024-00418-00-00-AC</w:t>
            </w:r>
          </w:p>
        </w:tc>
      </w:tr>
    </w:tbl>
    <w:p w:rsidRPr="00A329C8"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Huvudpunkter</w:t>
      </w:r>
    </w:p>
    <w:p w:rsidRPr="00A329C8"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A329C8" w:rsidP="00A329C8" w:rsidRDefault="00A329C8" w14:paraId="4C8A0CE8" w14:textId="68F5BE87">
      <w:pPr>
        <w:overflowPunct w:val="0"/>
        <w:autoSpaceDE w:val="0"/>
        <w:autoSpaceDN w:val="0"/>
        <w:adjustRightInd w:val="0"/>
        <w:spacing w:line="240" w:lineRule="auto"/>
        <w:textAlignment w:val="baseline"/>
        <w:rPr>
          <w:bCs/>
          <w:iCs/>
        </w:rPr>
      </w:pPr>
      <w:proofErr w:type="spellStart"/>
      <w:r>
        <w:t>EESK:s</w:t>
      </w:r>
      <w:proofErr w:type="spellEnd"/>
      <w:r>
        <w:t xml:space="preserve"> ståndpunkt:</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DC0FAE"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t xml:space="preserve">Vi </w:t>
      </w:r>
      <w:r>
        <w:rPr>
          <w:b/>
        </w:rPr>
        <w:t>stöder det</w:t>
      </w:r>
      <w:r>
        <w:t xml:space="preserve"> </w:t>
      </w:r>
      <w:r>
        <w:rPr>
          <w:b/>
        </w:rPr>
        <w:t>rekommenderade målet på 90 % senast 2040</w:t>
      </w:r>
      <w:r>
        <w:t xml:space="preserve"> eftersom det ligger i linje med de vetenskapliga rönen om EU:s skäliga andel av 1,5-gradersmålet. Vi framhåller dock att </w:t>
      </w:r>
      <w:r>
        <w:rPr>
          <w:b/>
        </w:rPr>
        <w:t>målet är krävande</w:t>
      </w:r>
      <w:r>
        <w:t xml:space="preserve"> och bara kan uppnås om det införs en politik som gör det möjligt att säkerställa de </w:t>
      </w:r>
      <w:r>
        <w:rPr>
          <w:b/>
        </w:rPr>
        <w:t>europeiska industriernas konkurrenskraft</w:t>
      </w:r>
      <w:r>
        <w:t xml:space="preserve"> och en </w:t>
      </w:r>
      <w:r>
        <w:rPr>
          <w:b/>
        </w:rPr>
        <w:t>rättvis omställning</w:t>
      </w:r>
      <w:r>
        <w:t>, samt genom att använda alla former av koldioxidfri och koldioxidsnål teknik på ett kostnadseffektivt sätt.</w:t>
      </w:r>
    </w:p>
    <w:p w:rsidRPr="00DC0FAE"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rPr>
        <w:t>Faktiska utsläppsminskningar</w:t>
      </w:r>
      <w:r>
        <w:t xml:space="preserve"> </w:t>
      </w:r>
      <w:r>
        <w:rPr>
          <w:b/>
        </w:rPr>
        <w:t>genom utfasning av fossila bränslen är viktiga</w:t>
      </w:r>
      <w:r>
        <w:t>. Koldioxidupptag spelar en allt viktigare roll för att uppnå EU:s klimatmål, men att i alltför hög grad förlita sig på sänkor är förknippat med osäkerheter och risker för inlåsning till fossilberoende eller förlust av sänkor på grund av skogsbränder, skadegörare och andra faror.</w:t>
      </w:r>
    </w:p>
    <w:p w:rsidRPr="00DC0FAE"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EESK uppmanar kommissionen att göra en vetenskaplig och ekonomisk bedömning av </w:t>
      </w:r>
      <w:r>
        <w:rPr>
          <w:b/>
        </w:rPr>
        <w:t>balansen mellan minskningar och upptag</w:t>
      </w:r>
      <w:r>
        <w:t>.</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Fokus bör ligga på att genomföra 55 %-lagstiftningen och på att hjälpa företagen och hushållen i EU att anpassa sig till det nya regelverket.</w:t>
      </w:r>
    </w:p>
    <w:p w:rsidRPr="00DC0FAE"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Klimatmålen kräver en </w:t>
      </w:r>
      <w:r>
        <w:rPr>
          <w:b/>
        </w:rPr>
        <w:t>aldrig tidigare skådad nivå av investeringar i utfasningen av fossila bränslen</w:t>
      </w:r>
      <w:r>
        <w:t>.</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EESK uppmanar kommissionen att spåra och fastställa mål för ökad export av europeiska produkter och tjänster inom ren teknik.</w:t>
      </w:r>
    </w:p>
    <w:p w:rsidRPr="00DC0FAE"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rPr>
          <w:b/>
        </w:rPr>
        <w:t>Elproduktionen</w:t>
      </w:r>
      <w:r>
        <w:t xml:space="preserve"> i EU bör vara </w:t>
      </w:r>
      <w:r>
        <w:rPr>
          <w:b/>
        </w:rPr>
        <w:t>koldioxidfri senast 2040</w:t>
      </w:r>
      <w:r>
        <w:t>, och samma sak bör kort därefter även gälla för uppvärmning och kylning. Tillgång till ren energi till överkomligt pris och en framtidsäkrad energiinfrastruktur är grunden för utfasningen av fossila bränslen i andra sektorer, såsom industri, byggnader och transport.</w:t>
      </w:r>
    </w:p>
    <w:p w:rsidRPr="00DC0FAE"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Vi föreslår att ett vägledande </w:t>
      </w:r>
      <w:r>
        <w:rPr>
          <w:b/>
        </w:rPr>
        <w:t>utsläppsminskningsmål</w:t>
      </w:r>
      <w:r>
        <w:t xml:space="preserve"> fastställs </w:t>
      </w:r>
      <w:r>
        <w:rPr>
          <w:b/>
        </w:rPr>
        <w:t>för den jordbruksbaserade livsmedelssektorn</w:t>
      </w:r>
      <w:r>
        <w:t xml:space="preserve"> genom en nära dialog med jordbrukarna och andra berörda parter som är baserad på vetenskapliga rön, säkerställer EU:s livsmedelstrygghet och tar EU:s olika naturförhållanden i beaktande.</w:t>
      </w:r>
    </w:p>
    <w:p w:rsidRPr="00DC0FAE"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t>Det är viktigt att föra en bred dialog med berörda parter, inklusive arbetsmarknadens parter och det civila samhället, samt att involvera medborgarna i fastställandet av målet för 2040 och utvecklingen av den åtföljande politiken.</w:t>
      </w:r>
    </w:p>
    <w:p w:rsidRPr="00DC0FAE" w:rsidR="00A329C8" w:rsidP="00DC0FAE" w:rsidRDefault="00A329C8" w14:paraId="57C8228B" w14:textId="58A23595">
      <w:pPr>
        <w:pStyle w:val="ListParagraph"/>
        <w:numPr>
          <w:ilvl w:val="0"/>
          <w:numId w:val="21"/>
        </w:numPr>
        <w:overflowPunct w:val="0"/>
        <w:autoSpaceDE w:val="0"/>
        <w:autoSpaceDN w:val="0"/>
        <w:adjustRightInd w:val="0"/>
        <w:ind w:left="284" w:hanging="284"/>
        <w:textAlignment w:val="baseline"/>
        <w:outlineLvl w:val="1"/>
        <w:rPr>
          <w:szCs w:val="20"/>
        </w:rPr>
      </w:pPr>
      <w:r>
        <w:rPr>
          <w:b/>
        </w:rPr>
        <w:t>Att ge konsumenterna möjlighet att välja en hållbar livsstil</w:t>
      </w:r>
      <w:r>
        <w:t xml:space="preserve"> möjliggör ökade utsläpps</w:t>
      </w:r>
      <w:r w:rsidR="00935048">
        <w:softHyphen/>
      </w:r>
      <w:r>
        <w:t>minskningar och lägre efterfrågan på material och energi.</w:t>
      </w:r>
    </w:p>
    <w:p w:rsidRPr="00935048" w:rsidR="00A329C8" w:rsidP="00935048" w:rsidRDefault="00A329C8" w14:paraId="33E21B11" w14:textId="77777777">
      <w:pPr>
        <w:pStyle w:val="ListParagraph"/>
        <w:numPr>
          <w:ilvl w:val="0"/>
          <w:numId w:val="21"/>
        </w:numPr>
        <w:overflowPunct w:val="0"/>
        <w:autoSpaceDE w:val="0"/>
        <w:autoSpaceDN w:val="0"/>
        <w:adjustRightInd w:val="0"/>
        <w:ind w:left="284" w:hanging="284"/>
        <w:textAlignment w:val="baseline"/>
        <w:outlineLvl w:val="1"/>
      </w:pPr>
      <w:r>
        <w:t xml:space="preserve">EESK uppmanar kommissionen </w:t>
      </w:r>
      <w:r w:rsidRPr="005960C6">
        <w:rPr>
          <w:b/>
          <w:bCs/>
        </w:rPr>
        <w:t>att utöka konkurrenskraftskontrollen</w:t>
      </w:r>
      <w:r>
        <w:t xml:space="preserve"> i förhållande till andra större ekonomier bland annat när det gäller deras politik för klimat, energi och industri samt </w:t>
      </w:r>
      <w:r>
        <w:lastRenderedPageBreak/>
        <w:t>ekonomiska indikatorer. EESK uppmanar även kommissionen att lägga fram förslag på hur EU:s globala konkurrenskraft och industriella bas kan stärkas samt hur vår modell för en öppen marknadsekonomi med höga miljömässiga och sociala standarder kan skyddas.</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Kontaktperson:</w:t>
            </w:r>
          </w:p>
        </w:tc>
        <w:tc>
          <w:tcPr>
            <w:tcW w:w="5670"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r>
              <w:rPr>
                <w:i/>
              </w:rPr>
              <w:t>Judith Carreras Garcia</w:t>
            </w:r>
          </w:p>
        </w:tc>
      </w:tr>
      <w:tr w:rsidRPr="00A329C8" w:rsidR="00A329C8" w:rsidTr="00FE3058" w14:paraId="1A5C453D" w14:textId="77777777">
        <w:tc>
          <w:tcPr>
            <w:tcW w:w="1634"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Tfn</w:t>
            </w:r>
          </w:p>
        </w:tc>
        <w:tc>
          <w:tcPr>
            <w:tcW w:w="5670"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E-post:</w:t>
            </w:r>
          </w:p>
        </w:tc>
        <w:tc>
          <w:tcPr>
            <w:tcW w:w="5670" w:type="dxa"/>
          </w:tcPr>
          <w:p w:rsidRPr="00A329C8" w:rsidR="00A329C8" w:rsidP="00DC0FAE" w:rsidRDefault="00260FC3"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29">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22513B" w:rsidR="00A329C8" w:rsidP="0022513B" w:rsidRDefault="00260FC3" w14:paraId="29FCBD43" w14:textId="0A3E2CE7">
      <w:pPr>
        <w:widowControl w:val="0"/>
        <w:numPr>
          <w:ilvl w:val="0"/>
          <w:numId w:val="7"/>
        </w:numPr>
        <w:overflowPunct w:val="0"/>
        <w:autoSpaceDE w:val="0"/>
        <w:autoSpaceDN w:val="0"/>
        <w:adjustRightInd w:val="0"/>
        <w:ind w:hanging="567"/>
        <w:textAlignment w:val="baseline"/>
        <w:rPr>
          <w:rStyle w:val="Hyperlink"/>
        </w:rPr>
      </w:pPr>
      <w:hyperlink w:history="1" r:id="rId30">
        <w:r w:rsidRPr="0022513B" w:rsidR="00176B61">
          <w:rPr>
            <w:rStyle w:val="Hyperlink"/>
            <w:b/>
            <w:i/>
            <w:sz w:val="28"/>
          </w:rPr>
          <w:t>Översyn av djurskyddslagstiftningen</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A14846" w:rsidR="00A329C8" w:rsidTr="00FE3058" w14:paraId="5D60937D" w14:textId="77777777">
        <w:tc>
          <w:tcPr>
            <w:tcW w:w="2127"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6804" w:type="dxa"/>
          </w:tcPr>
          <w:p w:rsidRPr="00A14846" w:rsidR="00A329C8" w:rsidP="00FE3058" w:rsidRDefault="00A329C8" w14:paraId="77C861E5" w14:textId="47173DAB">
            <w:pPr>
              <w:tabs>
                <w:tab w:val="center" w:pos="284"/>
              </w:tabs>
              <w:overflowPunct w:val="0"/>
              <w:autoSpaceDE w:val="0"/>
              <w:autoSpaceDN w:val="0"/>
              <w:adjustRightInd w:val="0"/>
              <w:ind w:left="266" w:hanging="266"/>
              <w:textAlignment w:val="baseline"/>
            </w:pPr>
            <w:proofErr w:type="spellStart"/>
            <w:r>
              <w:t>Jaume</w:t>
            </w:r>
            <w:proofErr w:type="spellEnd"/>
            <w:r>
              <w:t xml:space="preserve"> </w:t>
            </w:r>
            <w:proofErr w:type="spellStart"/>
            <w:r>
              <w:t>Bernis</w:t>
            </w:r>
            <w:proofErr w:type="spellEnd"/>
            <w:r>
              <w:t xml:space="preserve"> </w:t>
            </w:r>
            <w:proofErr w:type="spellStart"/>
            <w:r>
              <w:t>Castells</w:t>
            </w:r>
            <w:proofErr w:type="spellEnd"/>
            <w:r>
              <w:t xml:space="preserve"> (Gruppen för civilsamhällesorganisationer – 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FE3058" w14:paraId="67C57163" w14:textId="77777777">
        <w:tc>
          <w:tcPr>
            <w:tcW w:w="2127"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Pr>
                <w:b/>
              </w:rPr>
              <w:t>Referens:</w:t>
            </w:r>
          </w:p>
        </w:tc>
        <w:tc>
          <w:tcPr>
            <w:tcW w:w="6804"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t>COM(2023) 770 final</w:t>
            </w:r>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t>EESC-2023-05464-00-00-AC</w:t>
            </w:r>
          </w:p>
        </w:tc>
      </w:tr>
    </w:tbl>
    <w:p w:rsidRPr="00A1484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proofErr w:type="spellStart"/>
      <w:r>
        <w:t>EESK:s</w:t>
      </w:r>
      <w:proofErr w:type="spellEnd"/>
      <w:r>
        <w:t xml:space="preserve"> ståndpunkt:</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Kommittén föreslår att kommissionen tar hänsyn till jordbrukarnas, transportörernas och veterinärernas praktiska kunskaper för att genomföra och harmonisera bestämmelserna.</w:t>
      </w:r>
    </w:p>
    <w:p w:rsidRPr="00A1484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Kommittén anser att </w:t>
      </w:r>
      <w:r>
        <w:rPr>
          <w:b/>
        </w:rPr>
        <w:t>lagstiftning som inte kan anpassas</w:t>
      </w:r>
      <w:r>
        <w:t xml:space="preserve"> till de 27 medlemsstaternas olika förhållanden riskerar att </w:t>
      </w:r>
      <w:r>
        <w:rPr>
          <w:b/>
        </w:rPr>
        <w:t>leda till asymmetriska situationer</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Kommittén uppmanar kommissionen att </w:t>
      </w:r>
      <w:r>
        <w:rPr>
          <w:b/>
        </w:rPr>
        <w:t>se till att aktörerna inom sektorn inte kommer att bära kostnaderna för genomförandet</w:t>
      </w:r>
      <w:r>
        <w:t xml:space="preserve"> av den nya lagstiftningen.</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Kommittén påpekar att </w:t>
      </w:r>
      <w:r>
        <w:rPr>
          <w:b/>
        </w:rPr>
        <w:t>aktörerna blir tvungna att arbeta nattskift</w:t>
      </w:r>
      <w:r>
        <w:t xml:space="preserve"> till följd av </w:t>
      </w:r>
      <w:r>
        <w:rPr>
          <w:b/>
        </w:rPr>
        <w:t>bestämmelserna</w:t>
      </w:r>
      <w:r>
        <w:t xml:space="preserve"> i förslaget till förordning (särskilt jordbrukare, förare och veterinärer).</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Kommittén uppmanar kommissionen att </w:t>
      </w:r>
      <w:r>
        <w:rPr>
          <w:b/>
        </w:rPr>
        <w:t>överväga hur detta förslag kommer att påverka försörjningskedjor</w:t>
      </w:r>
      <w:r>
        <w:t xml:space="preserve"> som har byggts upp och utvecklats över åren på grundval av nuvarande tidsbegränsningar.</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Kommittén varnar för konsekvenserna av att begränsa tiden för transport av djur till slakt till högst nio timmar.</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Kommittén anser att </w:t>
      </w:r>
      <w:r>
        <w:rPr>
          <w:b/>
        </w:rPr>
        <w:t>de nya tekniska regler som föreslås</w:t>
      </w:r>
      <w:r>
        <w:t xml:space="preserve"> angående skick för transport av landlevande djur </w:t>
      </w:r>
      <w:r>
        <w:rPr>
          <w:b/>
        </w:rPr>
        <w:t>kan leda till att många djuruppfödningsanläggningar läggs ner</w:t>
      </w:r>
      <w:r>
        <w:t>.</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Kommittén anser att </w:t>
      </w:r>
      <w:r>
        <w:rPr>
          <w:b/>
        </w:rPr>
        <w:t>förbudet mot långa vägtransporter av unga icke avvanda djur</w:t>
      </w:r>
      <w:r>
        <w:t xml:space="preserve">, däribland kalvar, lamm, killingar, smågrisar och föl, </w:t>
      </w:r>
      <w:r>
        <w:rPr>
          <w:b/>
        </w:rPr>
        <w:t>kommer att ha en betydande inverkan på importen av djurraser</w:t>
      </w:r>
      <w:r>
        <w:t xml:space="preserve"> från andra medlemsstater.</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Kommittén uppmanar kommissionen att </w:t>
      </w:r>
      <w:r>
        <w:rPr>
          <w:b/>
        </w:rPr>
        <w:t>ta hänsyn till varje medlemsstats klimatförhållanden</w:t>
      </w:r>
      <w:r>
        <w:t xml:space="preserve"> i relation till bestämmelserna i artikel 31 i förslaget.</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Som en effektiv lösning för att minska behovet av långa transporter anser kommittén att det är mycket viktigt att </w:t>
      </w:r>
      <w:r>
        <w:rPr>
          <w:b/>
        </w:rPr>
        <w:t>främja korta saluföringskanaler</w:t>
      </w:r>
      <w:r>
        <w:t xml:space="preserve"> genom att minska avståndet mellan platserna för uppfödning, gödning, slakt och konsumtion.</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Kommittén stöder sanitära, ekonomiska och rättsliga åtgärder för att </w:t>
      </w:r>
      <w:r>
        <w:rPr>
          <w:b/>
        </w:rPr>
        <w:t>bevara lokala slakterier och uppmuntra slakt på gården</w:t>
      </w:r>
      <w:r>
        <w:t xml:space="preserve"> när så är lämpligt med hänsyn till anläggningens storlek och det lokala sammanhanget.</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Pr>
                <w:b/>
                <w:i/>
              </w:rPr>
              <w:t xml:space="preserve">Kontaktperson: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r>
              <w:rPr>
                <w:i/>
              </w:rPr>
              <w:t xml:space="preserve">Arturo </w:t>
            </w:r>
            <w:proofErr w:type="spellStart"/>
            <w:r>
              <w:rPr>
                <w:i/>
              </w:rPr>
              <w:t>Íñiguez</w:t>
            </w:r>
            <w:proofErr w:type="spellEnd"/>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Pr>
                <w:i/>
              </w:rPr>
              <w:t>Tfn</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E-post:</w:t>
            </w:r>
          </w:p>
        </w:tc>
        <w:tc>
          <w:tcPr>
            <w:tcW w:w="4252" w:type="dxa"/>
          </w:tcPr>
          <w:p w:rsidRPr="00A14846" w:rsidR="00A329C8" w:rsidP="00FE3058" w:rsidRDefault="00260FC3" w14:paraId="0F764C0D" w14:textId="77777777">
            <w:pPr>
              <w:overflowPunct w:val="0"/>
              <w:autoSpaceDE w:val="0"/>
              <w:autoSpaceDN w:val="0"/>
              <w:adjustRightInd w:val="0"/>
              <w:spacing w:line="240" w:lineRule="auto"/>
              <w:textAlignment w:val="baseline"/>
              <w:rPr>
                <w:i/>
                <w:iCs/>
              </w:rPr>
            </w:pPr>
            <w:hyperlink w:history="1" r:id="rId31">
              <w:r w:rsidR="00176B61">
                <w:rPr>
                  <w:i/>
                  <w:color w:val="0000FF"/>
                  <w:u w:val="single"/>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531843" w:id="5"/>
      <w:bookmarkEnd w:id="4"/>
      <w:r>
        <w:rPr>
          <w:b/>
        </w:rPr>
        <w:lastRenderedPageBreak/>
        <w:t>TRANSPORTER, ENERGI, INFRASTRUKTUR OCH INFORMATIONSSAMHÄLLET</w:t>
      </w:r>
      <w:bookmarkEnd w:id="5"/>
    </w:p>
    <w:p w:rsidR="005C28F2" w:rsidP="00895853" w:rsidRDefault="005C28F2" w14:paraId="089CB383" w14:textId="77777777"/>
    <w:p w:rsidR="00EC48BE" w:rsidP="00895853" w:rsidRDefault="00EC48BE" w14:paraId="2F9D2873" w14:textId="2ADBE64F"/>
    <w:p w:rsidRPr="0022513B" w:rsidR="00EC48BE" w:rsidP="00C26C81" w:rsidRDefault="00260FC3" w14:paraId="50FF3C6A" w14:textId="1C0187EA">
      <w:pPr>
        <w:widowControl w:val="0"/>
        <w:numPr>
          <w:ilvl w:val="0"/>
          <w:numId w:val="7"/>
        </w:numPr>
        <w:overflowPunct w:val="0"/>
        <w:autoSpaceDE w:val="0"/>
        <w:autoSpaceDN w:val="0"/>
        <w:adjustRightInd w:val="0"/>
        <w:ind w:hanging="567"/>
        <w:textAlignment w:val="baseline"/>
        <w:rPr>
          <w:rStyle w:val="Hyperlink"/>
          <w:b/>
          <w:i/>
          <w:sz w:val="28"/>
        </w:rPr>
      </w:pPr>
      <w:hyperlink w:history="1" r:id="rId32">
        <w:r w:rsidRPr="0022513B" w:rsidR="00176B61">
          <w:rPr>
            <w:rStyle w:val="Hyperlink"/>
            <w:b/>
            <w:i/>
            <w:sz w:val="28"/>
          </w:rPr>
          <w:t>Europas plan mot cancer: drivkrafter för att trygga försörjningen av medicinska radioisotoper</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840"/>
      </w:tblGrid>
      <w:tr w:rsidRPr="00EC48BE" w:rsidR="00EC48BE" w:rsidTr="00DC0FAE" w14:paraId="5D69D1D6" w14:textId="77777777">
        <w:tc>
          <w:tcPr>
            <w:tcW w:w="127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Pr>
                <w:b/>
              </w:rPr>
              <w:t>Föredragande:</w:t>
            </w:r>
          </w:p>
        </w:tc>
        <w:tc>
          <w:tcPr>
            <w:tcW w:w="3724" w:type="pct"/>
          </w:tcPr>
          <w:p w:rsidRPr="00EC48BE" w:rsidR="00EC48BE" w:rsidP="00EC48BE" w:rsidRDefault="00EC48BE" w14:paraId="1337C413" w14:textId="6D802AE6">
            <w:pPr>
              <w:tabs>
                <w:tab w:val="center" w:pos="284"/>
              </w:tabs>
              <w:overflowPunct w:val="0"/>
              <w:autoSpaceDE w:val="0"/>
              <w:autoSpaceDN w:val="0"/>
              <w:adjustRightInd w:val="0"/>
              <w:ind w:left="266" w:hanging="266"/>
              <w:textAlignment w:val="baseline"/>
            </w:pPr>
            <w:proofErr w:type="spellStart"/>
            <w:r>
              <w:t>Alena</w:t>
            </w:r>
            <w:proofErr w:type="spellEnd"/>
            <w:r>
              <w:t xml:space="preserve"> </w:t>
            </w:r>
            <w:proofErr w:type="spellStart"/>
            <w:r>
              <w:t>Mastantuono</w:t>
            </w:r>
            <w:proofErr w:type="spellEnd"/>
            <w:r>
              <w:t xml:space="preserve"> (Arbetsgivargruppen – CZ)</w:t>
            </w:r>
          </w:p>
        </w:tc>
      </w:tr>
      <w:tr w:rsidRPr="00EC48BE" w:rsidR="00EC48BE" w:rsidTr="00DC0FAE" w14:paraId="63F1C4BD" w14:textId="77777777">
        <w:tc>
          <w:tcPr>
            <w:tcW w:w="127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r>
              <w:rPr>
                <w:b/>
              </w:rPr>
              <w:t>Medföredragande:</w:t>
            </w:r>
          </w:p>
        </w:tc>
        <w:tc>
          <w:tcPr>
            <w:tcW w:w="3724" w:type="pct"/>
          </w:tcPr>
          <w:p w:rsidRPr="00EC48BE" w:rsidR="00EC48BE" w:rsidP="00EC48BE" w:rsidRDefault="00EC48BE" w14:paraId="0C599690" w14:textId="764AA96C">
            <w:pPr>
              <w:tabs>
                <w:tab w:val="center" w:pos="284"/>
              </w:tabs>
              <w:overflowPunct w:val="0"/>
              <w:autoSpaceDE w:val="0"/>
              <w:autoSpaceDN w:val="0"/>
              <w:adjustRightInd w:val="0"/>
              <w:ind w:left="266" w:hanging="266"/>
              <w:textAlignment w:val="baseline"/>
            </w:pPr>
            <w:r>
              <w:t xml:space="preserve">Philippe </w:t>
            </w:r>
            <w:proofErr w:type="spellStart"/>
            <w:r>
              <w:t>Charry</w:t>
            </w:r>
            <w:proofErr w:type="spellEnd"/>
            <w:r>
              <w:t xml:space="preserve"> (Arbetstagargruppen – FR)</w:t>
            </w:r>
          </w:p>
        </w:tc>
      </w:tr>
      <w:tr w:rsidRPr="00EC48BE" w:rsidR="00EC48BE" w:rsidTr="00DC0FA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DC0FAE" w14:paraId="3524C066" w14:textId="77777777">
        <w:tc>
          <w:tcPr>
            <w:tcW w:w="127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Pr>
                <w:b/>
              </w:rPr>
              <w:t>Referens:</w:t>
            </w:r>
          </w:p>
        </w:tc>
        <w:tc>
          <w:tcPr>
            <w:tcW w:w="372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Yttrande på eget initiativ</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t>EESC-2024-00265-00-00-AC</w:t>
            </w:r>
          </w:p>
        </w:tc>
      </w:tr>
      <w:tr w:rsidRPr="00EC48BE" w:rsidR="00EC48BE" w:rsidTr="00DC0FAE" w14:paraId="2F6C577F" w14:textId="77777777">
        <w:tc>
          <w:tcPr>
            <w:tcW w:w="127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Nuklearmedicin räddar miljontals liv och inger enorma förhoppningar i kampen mot cancer. Kommittén betonar behovet av att tillgodose patienternas behov i Europa och se till att alla patienter har lika tillgång till cancerbehandlingar.</w:t>
      </w:r>
    </w:p>
    <w:p w:rsidRPr="00EC48BE"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I Europa utförs 10 miljoner insatser per år med radiofarmaka för diagnos och behandling. Företräde bör ges åt riktade radionuklidterapier som är exakta och ofta mindre skadliga än andra behandlingar.</w:t>
      </w:r>
    </w:p>
    <w:p w:rsidRPr="00EC48BE"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t>EESK efterlyser produktionsincitament för att sörja för större strategiskt oberoende i försörjningen av radioisotoper. EU är den största leverantören av medicinska radioisotoper. Samtidigt har EU ett visst kritiskt beroende av tredjeländer när det gäller viktiga råvaror och specifika bearbetningsprocesser. Därför uppmanar kommittén alliansen för kritiska läkemedel att noggrant övervaka tillgången på radioisotoper i EU och stödja en förstärkning av industrins konkurrenskraft inom denna sektor.</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EESK anser att man måste se till att säkerhets- och skyddsåtgärder för personalen respekteras längs hela leveranskedjan, och efterlyser brådskande investeringar i planering och utbildning av den arbetskraft som behövs inom denna sektor samt i personalens rörlighet.</w:t>
      </w:r>
    </w:p>
    <w:p w:rsidRPr="00EC48BE" w:rsidR="00EC48BE" w:rsidP="00EC48BE" w:rsidRDefault="00EC48BE" w14:paraId="387BEC6B" w14:textId="77777777">
      <w:pPr>
        <w:widowControl w:val="0"/>
        <w:overflowPunct w:val="0"/>
        <w:autoSpaceDE w:val="0"/>
        <w:autoSpaceDN w:val="0"/>
        <w:adjustRightInd w:val="0"/>
        <w:ind w:left="709"/>
        <w:textAlignment w:val="baseline"/>
      </w:pP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Tfn</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E-post:</w:t>
            </w:r>
          </w:p>
        </w:tc>
        <w:tc>
          <w:tcPr>
            <w:tcW w:w="3444" w:type="pct"/>
          </w:tcPr>
          <w:p w:rsidRPr="00EC48BE" w:rsidR="00EC48BE" w:rsidP="00EC48BE" w:rsidRDefault="00260FC3" w14:paraId="50EB0CCC" w14:textId="77777777">
            <w:pPr>
              <w:overflowPunct w:val="0"/>
              <w:autoSpaceDE w:val="0"/>
              <w:autoSpaceDN w:val="0"/>
              <w:adjustRightInd w:val="0"/>
              <w:spacing w:line="240" w:lineRule="auto"/>
              <w:textAlignment w:val="baseline"/>
              <w:rPr>
                <w:i/>
              </w:rPr>
            </w:pPr>
            <w:hyperlink w:history="1" r:id="rId33">
              <w:r w:rsidR="00176B61">
                <w:rPr>
                  <w:i/>
                  <w:color w:val="0000FF"/>
                  <w:u w:val="single"/>
                </w:rPr>
                <w:t>Maja.Radman@eesc.europa.eu</w:t>
              </w:r>
            </w:hyperlink>
            <w:r w:rsidR="00176B61">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531844" w:id="7"/>
      <w:bookmarkEnd w:id="6"/>
      <w:r>
        <w:rPr>
          <w:b/>
        </w:rPr>
        <w:lastRenderedPageBreak/>
        <w:t>RÅDGIVANDE UTSKOTTET FÖR INDUSTRIELL OMVANDLING</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22513B" w:rsidR="00B612CA" w:rsidP="0022513B" w:rsidRDefault="00176B61" w14:paraId="3FFD2060" w14:textId="4C32F184">
      <w:pPr>
        <w:widowControl w:val="0"/>
        <w:numPr>
          <w:ilvl w:val="0"/>
          <w:numId w:val="7"/>
        </w:numPr>
        <w:overflowPunct w:val="0"/>
        <w:autoSpaceDE w:val="0"/>
        <w:autoSpaceDN w:val="0"/>
        <w:adjustRightInd w:val="0"/>
        <w:ind w:hanging="567"/>
        <w:textAlignment w:val="baseline"/>
        <w:rPr>
          <w:rStyle w:val="Hyperlink"/>
        </w:rPr>
      </w:pPr>
      <w:r w:rsidRPr="0022513B">
        <w:rPr>
          <w:rStyle w:val="Hyperlink"/>
          <w:b/>
          <w:i/>
          <w:sz w:val="28"/>
        </w:rPr>
        <w:t>Programmet för europeisk försvarsindustri</w:t>
      </w:r>
    </w:p>
    <w:p w:rsidRPr="00B612C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B612CA" w:rsidR="00B612CA" w:rsidTr="00FE3058" w14:paraId="18CAAF03" w14:textId="77777777">
        <w:tc>
          <w:tcPr>
            <w:tcW w:w="1258" w:type="pct"/>
          </w:tcPr>
          <w:p w:rsidRPr="00DC0FAE" w:rsidR="00B612CA" w:rsidP="00DC0FAE" w:rsidRDefault="00B612CA" w14:paraId="7DF9E2A6" w14:textId="77777777">
            <w:pPr>
              <w:tabs>
                <w:tab w:val="center" w:pos="284"/>
              </w:tabs>
              <w:spacing w:line="259" w:lineRule="auto"/>
              <w:ind w:left="266" w:hanging="266"/>
              <w:jc w:val="left"/>
              <w:rPr>
                <w:rFonts w:eastAsiaTheme="minorHAnsi"/>
                <w:b/>
                <w:szCs w:val="24"/>
              </w:rPr>
            </w:pPr>
            <w:r>
              <w:rPr>
                <w:b/>
              </w:rPr>
              <w:t>Föredragande:</w:t>
            </w:r>
          </w:p>
        </w:tc>
        <w:tc>
          <w:tcPr>
            <w:tcW w:w="3742" w:type="pct"/>
          </w:tcPr>
          <w:p w:rsidRPr="00DC0FAE" w:rsidR="00B612CA" w:rsidP="00DC0FAE" w:rsidRDefault="00B612CA" w14:paraId="7678F137" w14:textId="77777777">
            <w:pPr>
              <w:tabs>
                <w:tab w:val="center" w:pos="33"/>
              </w:tabs>
              <w:spacing w:line="259" w:lineRule="auto"/>
              <w:ind w:left="33" w:hanging="33"/>
              <w:jc w:val="left"/>
              <w:rPr>
                <w:rFonts w:eastAsiaTheme="minorHAnsi"/>
                <w:szCs w:val="24"/>
              </w:rPr>
            </w:pPr>
            <w:r>
              <w:t xml:space="preserve">Tomasz Andrzej </w:t>
            </w:r>
            <w:proofErr w:type="spellStart"/>
            <w:r>
              <w:t>Wróblewski</w:t>
            </w:r>
            <w:proofErr w:type="spellEnd"/>
            <w:r>
              <w:t xml:space="preserve"> (Arbetsgivargruppen – PL)</w:t>
            </w:r>
          </w:p>
        </w:tc>
      </w:tr>
      <w:tr w:rsidRPr="00B612CA" w:rsidR="00B612CA" w:rsidTr="00FE3058" w14:paraId="02CD892C" w14:textId="77777777">
        <w:tc>
          <w:tcPr>
            <w:tcW w:w="1258" w:type="pct"/>
          </w:tcPr>
          <w:p w:rsidRPr="00DC0FAE" w:rsidR="00B612CA" w:rsidP="00DC0FAE" w:rsidRDefault="00B612CA" w14:paraId="32A8CC73" w14:textId="77777777">
            <w:pPr>
              <w:tabs>
                <w:tab w:val="center" w:pos="284"/>
              </w:tabs>
              <w:spacing w:line="259" w:lineRule="auto"/>
              <w:ind w:left="266" w:hanging="266"/>
              <w:jc w:val="left"/>
              <w:rPr>
                <w:rFonts w:eastAsiaTheme="minorHAnsi"/>
                <w:b/>
                <w:szCs w:val="24"/>
              </w:rPr>
            </w:pPr>
            <w:r>
              <w:rPr>
                <w:b/>
              </w:rPr>
              <w:t>Medföredragande:</w:t>
            </w:r>
          </w:p>
        </w:tc>
        <w:tc>
          <w:tcPr>
            <w:tcW w:w="3742" w:type="pct"/>
          </w:tcPr>
          <w:p w:rsidRPr="00DC0FAE" w:rsidR="00B612CA" w:rsidP="00DC0FAE" w:rsidRDefault="00B612CA" w14:paraId="10B820C3" w14:textId="4AB00E12">
            <w:pPr>
              <w:tabs>
                <w:tab w:val="center" w:pos="284"/>
              </w:tabs>
              <w:spacing w:line="259" w:lineRule="auto"/>
              <w:ind w:left="266" w:hanging="266"/>
              <w:jc w:val="left"/>
              <w:rPr>
                <w:rFonts w:eastAsiaTheme="minorHAnsi"/>
                <w:szCs w:val="24"/>
              </w:rPr>
            </w:pPr>
            <w:r>
              <w:t xml:space="preserve">Franck </w:t>
            </w:r>
            <w:proofErr w:type="spellStart"/>
            <w:r>
              <w:t>Uhlig</w:t>
            </w:r>
            <w:proofErr w:type="spellEnd"/>
            <w:r>
              <w:t xml:space="preserve"> (Kat. 2–FR)</w:t>
            </w:r>
          </w:p>
        </w:tc>
      </w:tr>
      <w:tr w:rsidRPr="00B612CA" w:rsidR="00B612CA" w:rsidTr="00FE3058" w14:paraId="77B12610" w14:textId="77777777">
        <w:tc>
          <w:tcPr>
            <w:tcW w:w="5000" w:type="pct"/>
            <w:gridSpan w:val="2"/>
          </w:tcPr>
          <w:p w:rsidRPr="00DC0FA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FE3058" w14:paraId="366D3A3A" w14:textId="77777777">
        <w:tc>
          <w:tcPr>
            <w:tcW w:w="1258" w:type="pct"/>
            <w:vMerge w:val="restart"/>
          </w:tcPr>
          <w:p w:rsidRPr="00DC0FAE" w:rsidR="00B612CA" w:rsidP="00DC0FAE" w:rsidRDefault="00B612CA" w14:paraId="620E2FAB" w14:textId="77777777">
            <w:pPr>
              <w:tabs>
                <w:tab w:val="center" w:pos="284"/>
              </w:tabs>
              <w:spacing w:line="259" w:lineRule="auto"/>
              <w:ind w:left="266" w:hanging="266"/>
              <w:jc w:val="left"/>
              <w:rPr>
                <w:rFonts w:eastAsiaTheme="minorHAnsi"/>
                <w:b/>
                <w:szCs w:val="24"/>
              </w:rPr>
            </w:pPr>
            <w:r>
              <w:rPr>
                <w:b/>
              </w:rPr>
              <w:t>Referens:</w:t>
            </w:r>
          </w:p>
        </w:tc>
        <w:tc>
          <w:tcPr>
            <w:tcW w:w="3742" w:type="pct"/>
          </w:tcPr>
          <w:p w:rsidRPr="00DC0FAE" w:rsidR="00B612CA" w:rsidP="00DC0FAE" w:rsidRDefault="00B612CA" w14:paraId="554796B3" w14:textId="77777777">
            <w:pPr>
              <w:tabs>
                <w:tab w:val="center" w:pos="284"/>
              </w:tabs>
              <w:spacing w:line="259" w:lineRule="auto"/>
              <w:ind w:left="266" w:hanging="266"/>
              <w:jc w:val="left"/>
              <w:rPr>
                <w:rFonts w:eastAsiaTheme="minorHAnsi"/>
                <w:szCs w:val="24"/>
              </w:rPr>
            </w:pPr>
            <w:r>
              <w:t>COM(2024) 150 final</w:t>
            </w:r>
          </w:p>
        </w:tc>
      </w:tr>
      <w:tr w:rsidRPr="00B612CA" w:rsidR="00B612CA" w:rsidTr="00FE3058" w14:paraId="10E2BB82" w14:textId="77777777">
        <w:tc>
          <w:tcPr>
            <w:tcW w:w="1258" w:type="pct"/>
            <w:vMerge/>
          </w:tcPr>
          <w:p w:rsidRPr="00DC0FAE"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DC0FAE" w:rsidR="00B612CA" w:rsidP="00DC0FAE" w:rsidRDefault="00B612CA" w14:paraId="4A35E6C4" w14:textId="77777777">
            <w:pPr>
              <w:tabs>
                <w:tab w:val="center" w:pos="284"/>
              </w:tabs>
              <w:spacing w:line="259" w:lineRule="auto"/>
              <w:ind w:left="266" w:hanging="266"/>
              <w:jc w:val="left"/>
              <w:rPr>
                <w:rFonts w:eastAsiaTheme="minorHAnsi"/>
                <w:szCs w:val="24"/>
              </w:rPr>
            </w:pPr>
            <w:r>
              <w:t>EESC-2024-00813-00-00-AC</w:t>
            </w:r>
          </w:p>
        </w:tc>
      </w:tr>
    </w:tbl>
    <w:p w:rsidRPr="00B612CA"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B612CA" w:rsidRDefault="00B612CA" w14:paraId="66AF4059" w14:textId="103542FE">
      <w:pPr>
        <w:keepNext/>
        <w:keepLines/>
        <w:spacing w:after="160" w:line="259" w:lineRule="auto"/>
        <w:ind w:left="142" w:hanging="142"/>
        <w:jc w:val="left"/>
        <w:rPr>
          <w:rFonts w:eastAsiaTheme="minorHAnsi"/>
          <w:b/>
        </w:rPr>
      </w:pPr>
      <w:r>
        <w:rPr>
          <w:b/>
        </w:rPr>
        <w:t>Huvudpunkter</w:t>
      </w:r>
    </w:p>
    <w:p w:rsidRPr="00B612CA" w:rsidR="007724A0" w:rsidP="00B612CA" w:rsidRDefault="007724A0" w14:paraId="6657CF81" w14:textId="77777777">
      <w:pPr>
        <w:keepNext/>
        <w:keepLines/>
        <w:spacing w:after="160" w:line="259" w:lineRule="auto"/>
        <w:ind w:left="142" w:hanging="142"/>
        <w:jc w:val="left"/>
        <w:rPr>
          <w:rFonts w:eastAsiaTheme="minorHAnsi"/>
          <w:b/>
          <w:lang w:val="en-US"/>
        </w:rPr>
      </w:pPr>
    </w:p>
    <w:p w:rsidR="00B612CA" w:rsidP="00DC0FAE" w:rsidRDefault="00B612CA" w14:paraId="6C447796" w14:textId="188E9CB3">
      <w:pPr>
        <w:spacing w:after="160" w:line="259" w:lineRule="auto"/>
        <w:ind w:left="142" w:hanging="142"/>
        <w:jc w:val="left"/>
        <w:rPr>
          <w:rFonts w:eastAsiaTheme="minorHAnsi"/>
        </w:rPr>
      </w:pPr>
      <w:proofErr w:type="spellStart"/>
      <w:r>
        <w:t>EESK:s</w:t>
      </w:r>
      <w:proofErr w:type="spellEnd"/>
      <w:r>
        <w:t xml:space="preserve"> ståndpunkt:</w:t>
      </w:r>
    </w:p>
    <w:p w:rsidRPr="00B612CA" w:rsidR="00B612CA" w:rsidP="00DC0FAE" w:rsidRDefault="00B612CA" w14:paraId="19ACACDB" w14:textId="77777777">
      <w:pPr>
        <w:numPr>
          <w:ilvl w:val="0"/>
          <w:numId w:val="24"/>
        </w:numPr>
        <w:spacing w:after="160" w:line="259" w:lineRule="auto"/>
        <w:ind w:left="284" w:hanging="284"/>
        <w:contextualSpacing/>
        <w:rPr>
          <w:rFonts w:eastAsiaTheme="minorHAnsi"/>
        </w:rPr>
      </w:pPr>
      <w:r>
        <w:t xml:space="preserve">EESK rekommenderar att kommissionen </w:t>
      </w:r>
      <w:r>
        <w:rPr>
          <w:b/>
        </w:rPr>
        <w:t>kommunicerar ingående med EU-medborgarna för att ge dem en helhetsbild av utmaningarna med gemensam försvarsfinansiering</w:t>
      </w:r>
      <w:r>
        <w:t xml:space="preserve"> i det nuvarande geopolitiska sammanhanget och i syfte att bygga upp en gemensam säkerhet, samtidigt som den europeiska integrationen även fortsättningsvis vilar på ett projekt för fred och solidaritet.</w:t>
      </w:r>
    </w:p>
    <w:p w:rsidRPr="00B612CA" w:rsidR="00B612CA" w:rsidP="00DC0FAE" w:rsidRDefault="00B612CA" w14:paraId="10700EAD" w14:textId="77777777">
      <w:pPr>
        <w:numPr>
          <w:ilvl w:val="0"/>
          <w:numId w:val="24"/>
        </w:numPr>
        <w:spacing w:after="160" w:line="259" w:lineRule="auto"/>
        <w:ind w:left="284" w:hanging="284"/>
        <w:contextualSpacing/>
        <w:rPr>
          <w:rFonts w:eastAsiaTheme="minorHAnsi"/>
        </w:rPr>
      </w:pPr>
      <w:r>
        <w:t xml:space="preserve">EESK efterlyser en </w:t>
      </w:r>
      <w:r>
        <w:rPr>
          <w:b/>
        </w:rPr>
        <w:t>ökning av de nuvarande begränsade medlen (1,5 miljarder euro)</w:t>
      </w:r>
      <w:r>
        <w:t xml:space="preserve"> på medellång sikt.</w:t>
      </w:r>
    </w:p>
    <w:p w:rsidRPr="00B612CA" w:rsidR="00B612CA" w:rsidP="00DC0FAE" w:rsidRDefault="00B612CA" w14:paraId="35EFB068" w14:textId="77777777">
      <w:pPr>
        <w:numPr>
          <w:ilvl w:val="0"/>
          <w:numId w:val="24"/>
        </w:numPr>
        <w:spacing w:after="160" w:line="259" w:lineRule="auto"/>
        <w:ind w:left="284" w:hanging="284"/>
        <w:contextualSpacing/>
        <w:rPr>
          <w:rFonts w:eastAsiaTheme="minorHAnsi"/>
        </w:rPr>
      </w:pPr>
      <w:r>
        <w:t>EESK betonar att programmet för europeisk försvarsindustri (</w:t>
      </w:r>
      <w:proofErr w:type="spellStart"/>
      <w:r>
        <w:t>Edip</w:t>
      </w:r>
      <w:proofErr w:type="spellEnd"/>
      <w:r>
        <w:t xml:space="preserve">), utöver det nödvändiga svaret på Ukrainas akuta behov, måste leda till en </w:t>
      </w:r>
      <w:r>
        <w:rPr>
          <w:b/>
        </w:rPr>
        <w:t>strukturell utveckling av den europeiska synen på försvar</w:t>
      </w:r>
      <w:r>
        <w:t xml:space="preserve"> och den tillhörande europeiska försvarstekniska och försvarsindustriella basen.</w:t>
      </w:r>
    </w:p>
    <w:p w:rsidRPr="00B612CA" w:rsidR="00B612CA" w:rsidP="00DC0FAE" w:rsidRDefault="00B612CA" w14:paraId="474F4A0A" w14:textId="77777777">
      <w:pPr>
        <w:numPr>
          <w:ilvl w:val="0"/>
          <w:numId w:val="24"/>
        </w:numPr>
        <w:spacing w:after="160" w:line="259" w:lineRule="auto"/>
        <w:ind w:left="284" w:hanging="284"/>
        <w:contextualSpacing/>
        <w:rPr>
          <w:rFonts w:eastAsiaTheme="minorHAnsi"/>
        </w:rPr>
      </w:pPr>
      <w:r>
        <w:t xml:space="preserve">EESK rekommenderar Europaparlamentet, medlemsstaterna, den offentliga och den privata finanssektorn samt kommissionen att utarbeta en </w:t>
      </w:r>
      <w:r>
        <w:rPr>
          <w:b/>
        </w:rPr>
        <w:t>långsiktig plan för ökade utgifter för och ökad upphandling av vapen</w:t>
      </w:r>
      <w:r>
        <w:t>, vilket kommer att underlätta den privata sektorns långsiktiga investeringar och stödja produktionsplaner för militär utrustning av den europeiska försvarstekniska och försvarsindustriella basen, samt ge stöd till den försvarstekniska och försvarsindustriella basen för Ukraina.</w:t>
      </w:r>
    </w:p>
    <w:p w:rsidRPr="00B612CA" w:rsidR="00B612CA" w:rsidP="00DC0FAE" w:rsidRDefault="00B612CA" w14:paraId="47D84DAE" w14:textId="77777777">
      <w:pPr>
        <w:numPr>
          <w:ilvl w:val="0"/>
          <w:numId w:val="24"/>
        </w:numPr>
        <w:spacing w:after="160" w:line="259" w:lineRule="auto"/>
        <w:ind w:left="284" w:hanging="284"/>
        <w:contextualSpacing/>
        <w:rPr>
          <w:rFonts w:eastAsiaTheme="minorHAnsi"/>
        </w:rPr>
      </w:pPr>
      <w:r>
        <w:t xml:space="preserve">EESK rekommenderar att kommissionen </w:t>
      </w:r>
      <w:r>
        <w:rPr>
          <w:b/>
        </w:rPr>
        <w:t xml:space="preserve">klargör ursprunget till och användningen av medel som öronmärks för </w:t>
      </w:r>
      <w:proofErr w:type="spellStart"/>
      <w:r>
        <w:rPr>
          <w:b/>
        </w:rPr>
        <w:t>Edip</w:t>
      </w:r>
      <w:proofErr w:type="spellEnd"/>
      <w:r>
        <w:t>.</w:t>
      </w:r>
    </w:p>
    <w:p w:rsidRPr="00B612CA" w:rsidR="00B612CA" w:rsidP="00DC0FAE" w:rsidRDefault="00B612CA" w14:paraId="5028E334" w14:textId="77777777">
      <w:pPr>
        <w:numPr>
          <w:ilvl w:val="0"/>
          <w:numId w:val="24"/>
        </w:numPr>
        <w:spacing w:after="160" w:line="259" w:lineRule="auto"/>
        <w:ind w:left="284" w:hanging="284"/>
        <w:contextualSpacing/>
        <w:rPr>
          <w:rFonts w:eastAsiaTheme="minorHAnsi"/>
        </w:rPr>
      </w:pPr>
      <w:r>
        <w:t xml:space="preserve">EESK rekommenderar att </w:t>
      </w:r>
      <w:r>
        <w:rPr>
          <w:b/>
        </w:rPr>
        <w:t>företagen inom den europeiska försvarstekniska och försvarsindustriella basen stärker samarbetet, särskilt med små och medelstora företag och över gränserna</w:t>
      </w:r>
      <w:r>
        <w:t>.</w:t>
      </w:r>
    </w:p>
    <w:p w:rsidRPr="00B612CA" w:rsidR="00B612CA" w:rsidP="00DC0FAE" w:rsidRDefault="00B612CA" w14:paraId="4BA1174F" w14:textId="77777777">
      <w:pPr>
        <w:numPr>
          <w:ilvl w:val="0"/>
          <w:numId w:val="24"/>
        </w:numPr>
        <w:spacing w:after="160" w:line="259" w:lineRule="auto"/>
        <w:ind w:left="284" w:hanging="284"/>
        <w:contextualSpacing/>
        <w:rPr>
          <w:rFonts w:eastAsiaTheme="minorHAnsi"/>
        </w:rPr>
      </w:pPr>
      <w:r>
        <w:t xml:space="preserve">EESK betonar vikten av </w:t>
      </w:r>
      <w:r>
        <w:rPr>
          <w:b/>
        </w:rPr>
        <w:t>industriellt samarbete med Ukraina</w:t>
      </w:r>
      <w:r>
        <w:t xml:space="preserve"> inom ramen för </w:t>
      </w:r>
      <w:proofErr w:type="spellStart"/>
      <w:r>
        <w:t>Edip</w:t>
      </w:r>
      <w:proofErr w:type="spellEnd"/>
      <w:r>
        <w:t>.</w:t>
      </w:r>
    </w:p>
    <w:p w:rsidRPr="00B612CA" w:rsidR="00B612CA" w:rsidP="00DC0FAE" w:rsidRDefault="00B612CA" w14:paraId="7E080E3B" w14:textId="77777777">
      <w:pPr>
        <w:numPr>
          <w:ilvl w:val="0"/>
          <w:numId w:val="24"/>
        </w:numPr>
        <w:spacing w:after="160" w:line="259" w:lineRule="auto"/>
        <w:ind w:left="284" w:hanging="284"/>
        <w:contextualSpacing/>
        <w:rPr>
          <w:rFonts w:eastAsiaTheme="minorHAnsi"/>
        </w:rPr>
      </w:pPr>
      <w:r>
        <w:t xml:space="preserve">EESK föreslår att man ytterligare främjar </w:t>
      </w:r>
      <w:r>
        <w:rPr>
          <w:b/>
        </w:rPr>
        <w:t>synergier mellan försvarsindustrin och den civila industrin</w:t>
      </w:r>
      <w:r>
        <w:t>, inbegripet små och medelstora företag och nystartade företag.</w:t>
      </w:r>
    </w:p>
    <w:p w:rsidRPr="00B612CA" w:rsidR="00B612CA" w:rsidP="00DC0FAE" w:rsidRDefault="00B612CA" w14:paraId="1616FA27" w14:textId="77777777">
      <w:pPr>
        <w:numPr>
          <w:ilvl w:val="0"/>
          <w:numId w:val="24"/>
        </w:numPr>
        <w:spacing w:after="160" w:line="259" w:lineRule="auto"/>
        <w:ind w:left="284" w:hanging="284"/>
        <w:contextualSpacing/>
        <w:rPr>
          <w:rFonts w:eastAsiaTheme="minorHAnsi"/>
        </w:rPr>
      </w:pPr>
      <w:r>
        <w:t xml:space="preserve">EESK rekommenderar att </w:t>
      </w:r>
      <w:r>
        <w:rPr>
          <w:b/>
        </w:rPr>
        <w:t>procentandelen samarbetsinriktade och intraeuropeiska inköpsmål</w:t>
      </w:r>
      <w:r>
        <w:t xml:space="preserve"> i meddelandet om en strategi för europeisk försvarsindustri </w:t>
      </w:r>
      <w:r>
        <w:rPr>
          <w:b/>
        </w:rPr>
        <w:t>integreras</w:t>
      </w:r>
      <w:r>
        <w:t xml:space="preserve"> i </w:t>
      </w:r>
      <w:proofErr w:type="spellStart"/>
      <w:r>
        <w:t>Edip</w:t>
      </w:r>
      <w:proofErr w:type="spellEnd"/>
      <w:r>
        <w:t>-regleringsdokumentet.</w:t>
      </w:r>
    </w:p>
    <w:p w:rsidR="00B612CA" w:rsidP="007724A0" w:rsidRDefault="00B612CA" w14:paraId="0A876271" w14:textId="1EEC993C">
      <w:pPr>
        <w:spacing w:after="160" w:line="259" w:lineRule="auto"/>
        <w:ind w:left="720"/>
        <w:contextualSpacing/>
        <w:rPr>
          <w:rFonts w:eastAsiaTheme="minorHAnsi"/>
        </w:rPr>
      </w:pP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B612CA" w:rsidR="00B612CA" w:rsidTr="00DC0FAE" w14:paraId="0A0E04CE" w14:textId="77777777">
        <w:tc>
          <w:tcPr>
            <w:tcW w:w="2148" w:type="pct"/>
          </w:tcPr>
          <w:p w:rsidRPr="00DC0FAE" w:rsidR="00B612CA" w:rsidP="00DC0FAE" w:rsidRDefault="00B612CA" w14:paraId="06D84C57" w14:textId="77777777">
            <w:pPr>
              <w:spacing w:line="240" w:lineRule="auto"/>
              <w:jc w:val="left"/>
              <w:rPr>
                <w:rFonts w:eastAsiaTheme="minorHAnsi"/>
                <w:i/>
              </w:rPr>
            </w:pPr>
            <w:r>
              <w:rPr>
                <w:b/>
                <w:i/>
              </w:rPr>
              <w:t>Kontaktperson:</w:t>
            </w:r>
          </w:p>
        </w:tc>
        <w:tc>
          <w:tcPr>
            <w:tcW w:w="285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proofErr w:type="spellStart"/>
            <w:r>
              <w:rPr>
                <w:i/>
              </w:rPr>
              <w:t>Ioannis</w:t>
            </w:r>
            <w:proofErr w:type="spellEnd"/>
            <w:r>
              <w:rPr>
                <w:i/>
              </w:rPr>
              <w:t xml:space="preserve"> </w:t>
            </w:r>
            <w:proofErr w:type="spellStart"/>
            <w:r>
              <w:rPr>
                <w:i/>
              </w:rPr>
              <w:t>Diamantopoulos</w:t>
            </w:r>
            <w:proofErr w:type="spellEnd"/>
          </w:p>
        </w:tc>
      </w:tr>
      <w:tr w:rsidRPr="00B612CA" w:rsidR="00B612CA" w:rsidTr="00DC0FAE" w14:paraId="170A473F" w14:textId="77777777">
        <w:tc>
          <w:tcPr>
            <w:tcW w:w="2148" w:type="pct"/>
          </w:tcPr>
          <w:p w:rsidRPr="00DC0FAE" w:rsidR="00B612CA" w:rsidP="00DC0FAE" w:rsidRDefault="00B612CA" w14:paraId="56DAFD05" w14:textId="77777777">
            <w:pPr>
              <w:spacing w:line="240" w:lineRule="auto"/>
              <w:jc w:val="left"/>
              <w:rPr>
                <w:rFonts w:eastAsiaTheme="minorHAnsi"/>
                <w:i/>
              </w:rPr>
            </w:pPr>
            <w:r>
              <w:rPr>
                <w:i/>
              </w:rPr>
              <w:t xml:space="preserve">Tfn </w:t>
            </w:r>
          </w:p>
        </w:tc>
        <w:tc>
          <w:tcPr>
            <w:tcW w:w="285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DC0FAE" w14:paraId="279B24AC" w14:textId="77777777">
        <w:tc>
          <w:tcPr>
            <w:tcW w:w="2148" w:type="pct"/>
          </w:tcPr>
          <w:p w:rsidRPr="00DC0FAE" w:rsidR="00B612CA" w:rsidP="00DC0FAE" w:rsidRDefault="007724A0" w14:paraId="005C0206" w14:textId="59684306">
            <w:pPr>
              <w:spacing w:line="240" w:lineRule="auto"/>
              <w:jc w:val="left"/>
              <w:rPr>
                <w:rFonts w:eastAsiaTheme="minorHAnsi"/>
                <w:i/>
                <w:iCs/>
              </w:rPr>
            </w:pPr>
            <w:r>
              <w:rPr>
                <w:i/>
              </w:rPr>
              <w:t>E-post:</w:t>
            </w:r>
          </w:p>
        </w:tc>
        <w:tc>
          <w:tcPr>
            <w:tcW w:w="2852" w:type="pct"/>
            <w:tcBorders>
              <w:left w:val="nil"/>
            </w:tcBorders>
          </w:tcPr>
          <w:p w:rsidRPr="00DC0FAE" w:rsidR="00B612CA" w:rsidP="00DC0FAE" w:rsidRDefault="00260FC3" w14:paraId="64C65441" w14:textId="2972B3EB">
            <w:pPr>
              <w:spacing w:line="240" w:lineRule="auto"/>
              <w:ind w:firstLine="177"/>
              <w:jc w:val="left"/>
              <w:rPr>
                <w:rFonts w:eastAsiaTheme="minorHAnsi"/>
                <w:i/>
                <w:iCs/>
              </w:rPr>
            </w:pPr>
            <w:hyperlink w:history="1" r:id="rId34">
              <w:r w:rsidR="005C28F2">
                <w:rPr>
                  <w:rStyle w:val="Hyperlink"/>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5C3604" w:rsidR="00B612CA" w:rsidP="005C3604" w:rsidRDefault="00260FC3" w14:paraId="2A9B1900" w14:textId="15523925">
      <w:pPr>
        <w:widowControl w:val="0"/>
        <w:numPr>
          <w:ilvl w:val="0"/>
          <w:numId w:val="7"/>
        </w:numPr>
        <w:overflowPunct w:val="0"/>
        <w:autoSpaceDE w:val="0"/>
        <w:autoSpaceDN w:val="0"/>
        <w:adjustRightInd w:val="0"/>
        <w:ind w:hanging="567"/>
        <w:textAlignment w:val="baseline"/>
        <w:rPr>
          <w:rStyle w:val="Hyperlink"/>
          <w:i/>
        </w:rPr>
      </w:pPr>
      <w:hyperlink w:history="1" r:id="rId35">
        <w:r w:rsidRPr="005C3604" w:rsidR="00176B61">
          <w:rPr>
            <w:rStyle w:val="Hyperlink"/>
            <w:b/>
            <w:i/>
            <w:sz w:val="28"/>
          </w:rPr>
          <w:t>Drönarindustrin: en fallstudie för strategiskt oberoende</w:t>
        </w:r>
      </w:hyperlink>
    </w:p>
    <w:p w:rsidRPr="00B612CA"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B612CA" w:rsidR="00B612CA" w:rsidTr="00FE3058" w14:paraId="3BDDEC70" w14:textId="77777777">
        <w:tc>
          <w:tcPr>
            <w:tcW w:w="1258" w:type="pct"/>
          </w:tcPr>
          <w:p w:rsidRPr="00DC0FAE" w:rsidR="00B612CA" w:rsidP="00DC0FAE" w:rsidRDefault="00B612CA" w14:paraId="72524AE6" w14:textId="77777777">
            <w:pPr>
              <w:tabs>
                <w:tab w:val="center" w:pos="284"/>
              </w:tabs>
              <w:ind w:left="266" w:hanging="266"/>
              <w:jc w:val="left"/>
              <w:rPr>
                <w:rFonts w:eastAsiaTheme="minorHAnsi"/>
                <w:b/>
                <w:szCs w:val="24"/>
              </w:rPr>
            </w:pPr>
            <w:r>
              <w:rPr>
                <w:b/>
              </w:rPr>
              <w:t>Föredragande:</w:t>
            </w:r>
          </w:p>
        </w:tc>
        <w:tc>
          <w:tcPr>
            <w:tcW w:w="3742" w:type="pct"/>
          </w:tcPr>
          <w:p w:rsidRPr="00DC0FAE" w:rsidR="00B612CA" w:rsidP="00DC0FAE" w:rsidRDefault="00B612CA" w14:paraId="5A103C16" w14:textId="77777777">
            <w:pPr>
              <w:tabs>
                <w:tab w:val="center" w:pos="0"/>
              </w:tabs>
              <w:ind w:left="27" w:hanging="27"/>
              <w:jc w:val="left"/>
              <w:rPr>
                <w:rFonts w:eastAsiaTheme="minorHAnsi"/>
                <w:szCs w:val="24"/>
              </w:rPr>
            </w:pPr>
            <w:proofErr w:type="spellStart"/>
            <w:r>
              <w:t>Panagiotis</w:t>
            </w:r>
            <w:proofErr w:type="spellEnd"/>
            <w:r>
              <w:t xml:space="preserve"> </w:t>
            </w:r>
            <w:proofErr w:type="spellStart"/>
            <w:r>
              <w:t>Gkofas</w:t>
            </w:r>
            <w:proofErr w:type="spellEnd"/>
            <w:r>
              <w:t xml:space="preserve"> (Gruppen för civilsamhällesorganisationer – EL)</w:t>
            </w:r>
          </w:p>
        </w:tc>
      </w:tr>
      <w:tr w:rsidRPr="00B612CA" w:rsidR="00B612CA" w:rsidTr="00FE3058" w14:paraId="4789CE29" w14:textId="77777777">
        <w:tc>
          <w:tcPr>
            <w:tcW w:w="1258" w:type="pct"/>
          </w:tcPr>
          <w:p w:rsidRPr="00DC0FAE" w:rsidR="00B612CA" w:rsidP="00DC0FAE" w:rsidRDefault="00B612CA" w14:paraId="4BC4535D" w14:textId="77777777">
            <w:pPr>
              <w:tabs>
                <w:tab w:val="center" w:pos="284"/>
              </w:tabs>
              <w:ind w:left="266" w:hanging="266"/>
              <w:jc w:val="left"/>
              <w:rPr>
                <w:rFonts w:eastAsiaTheme="minorHAnsi"/>
                <w:b/>
                <w:szCs w:val="24"/>
              </w:rPr>
            </w:pPr>
            <w:r>
              <w:rPr>
                <w:b/>
              </w:rPr>
              <w:t>Medföredragande:</w:t>
            </w:r>
          </w:p>
        </w:tc>
        <w:tc>
          <w:tcPr>
            <w:tcW w:w="3742" w:type="pct"/>
          </w:tcPr>
          <w:p w:rsidRPr="00DC0FAE" w:rsidR="00B612CA" w:rsidP="00DC0FAE" w:rsidRDefault="00B612CA" w14:paraId="45BEE5FC" w14:textId="77777777">
            <w:pPr>
              <w:tabs>
                <w:tab w:val="center" w:pos="284"/>
              </w:tabs>
              <w:ind w:left="266" w:hanging="266"/>
              <w:jc w:val="left"/>
              <w:rPr>
                <w:rFonts w:eastAsiaTheme="minorHAnsi"/>
                <w:szCs w:val="24"/>
              </w:rPr>
            </w:pPr>
            <w:r>
              <w:t xml:space="preserve">Patrice François </w:t>
            </w:r>
            <w:proofErr w:type="spellStart"/>
            <w:r>
              <w:t>Chazerand</w:t>
            </w:r>
            <w:proofErr w:type="spellEnd"/>
            <w:r>
              <w:t xml:space="preserve"> (kategori 1 – FR)</w:t>
            </w:r>
          </w:p>
        </w:tc>
      </w:tr>
      <w:tr w:rsidRPr="00B612CA" w:rsidR="00B612CA" w:rsidTr="00FE3058" w14:paraId="5E7071EE" w14:textId="77777777">
        <w:tc>
          <w:tcPr>
            <w:tcW w:w="5000" w:type="pct"/>
            <w:gridSpan w:val="2"/>
          </w:tcPr>
          <w:p w:rsidRPr="00DC0FA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FE3058" w14:paraId="5C97F1F0" w14:textId="77777777">
        <w:tc>
          <w:tcPr>
            <w:tcW w:w="1258" w:type="pct"/>
            <w:vMerge w:val="restart"/>
          </w:tcPr>
          <w:p w:rsidRPr="00DC0FAE" w:rsidR="00B612CA" w:rsidP="00B612CA" w:rsidRDefault="00B612CA" w14:paraId="1ACFAAEE" w14:textId="77777777">
            <w:pPr>
              <w:tabs>
                <w:tab w:val="center" w:pos="284"/>
              </w:tabs>
              <w:spacing w:after="160"/>
              <w:ind w:left="266" w:hanging="266"/>
              <w:jc w:val="left"/>
              <w:rPr>
                <w:rFonts w:eastAsiaTheme="minorHAnsi"/>
                <w:b/>
                <w:szCs w:val="24"/>
              </w:rPr>
            </w:pPr>
            <w:r>
              <w:rPr>
                <w:b/>
              </w:rPr>
              <w:t>Referens:</w:t>
            </w:r>
          </w:p>
        </w:tc>
        <w:tc>
          <w:tcPr>
            <w:tcW w:w="3742" w:type="pct"/>
          </w:tcPr>
          <w:p w:rsidR="008E5F1F" w:rsidP="00DC0FAE" w:rsidRDefault="008E5F1F" w14:paraId="4FD72709" w14:textId="77777777">
            <w:pPr>
              <w:tabs>
                <w:tab w:val="center" w:pos="284"/>
              </w:tabs>
              <w:ind w:left="266" w:hanging="266"/>
              <w:jc w:val="left"/>
              <w:rPr>
                <w:rFonts w:eastAsiaTheme="minorHAnsi"/>
                <w:szCs w:val="24"/>
              </w:rPr>
            </w:pPr>
            <w:r>
              <w:t>Yttrande på eget initiativ</w:t>
            </w:r>
          </w:p>
          <w:p w:rsidRPr="00DC0FAE" w:rsidR="00B612CA" w:rsidP="00DC0FAE" w:rsidRDefault="00B612CA" w14:paraId="2BDD1C6B" w14:textId="29BCECDA">
            <w:pPr>
              <w:tabs>
                <w:tab w:val="center" w:pos="284"/>
              </w:tabs>
              <w:ind w:left="266" w:hanging="266"/>
              <w:jc w:val="left"/>
              <w:rPr>
                <w:rFonts w:eastAsiaTheme="minorHAnsi"/>
                <w:szCs w:val="24"/>
              </w:rPr>
            </w:pPr>
            <w:r>
              <w:t>EESC-2024-00046-00-00-AC</w:t>
            </w:r>
          </w:p>
        </w:tc>
      </w:tr>
      <w:tr w:rsidRPr="00B612CA" w:rsidR="00B612CA" w:rsidTr="00FE3058" w14:paraId="262D674B" w14:textId="77777777">
        <w:tc>
          <w:tcPr>
            <w:tcW w:w="1258"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rPr>
      </w:pPr>
      <w:r>
        <w:rPr>
          <w:b/>
        </w:rPr>
        <w:t>Huvudpunkter</w:t>
      </w:r>
    </w:p>
    <w:p w:rsidR="00B612CA" w:rsidP="002F57E9" w:rsidRDefault="00B612CA" w14:paraId="500E1CB5" w14:textId="1961B0BC">
      <w:pPr>
        <w:spacing w:after="160"/>
        <w:ind w:left="142" w:hanging="142"/>
        <w:jc w:val="left"/>
        <w:rPr>
          <w:rFonts w:eastAsiaTheme="minorHAnsi"/>
        </w:rPr>
      </w:pPr>
      <w:proofErr w:type="spellStart"/>
      <w:r>
        <w:t>EESK:s</w:t>
      </w:r>
      <w:proofErr w:type="spellEnd"/>
      <w:r>
        <w:t xml:space="preserve"> ståndpunkt:</w:t>
      </w:r>
    </w:p>
    <w:p w:rsidRPr="00B612CA" w:rsidR="00B612CA" w:rsidP="00DC0FAE" w:rsidRDefault="00B612CA" w14:paraId="487029DD" w14:textId="77777777">
      <w:pPr>
        <w:numPr>
          <w:ilvl w:val="0"/>
          <w:numId w:val="25"/>
        </w:numPr>
        <w:spacing w:line="259" w:lineRule="auto"/>
        <w:ind w:left="284" w:hanging="284"/>
        <w:rPr>
          <w:rFonts w:eastAsiaTheme="minorHAnsi"/>
        </w:rPr>
      </w:pPr>
      <w:r>
        <w:t xml:space="preserve">Sammankopplingen av </w:t>
      </w:r>
      <w:r>
        <w:rPr>
          <w:b/>
        </w:rPr>
        <w:t>den europeiska drönarstrategin</w:t>
      </w:r>
      <w:r>
        <w:t xml:space="preserve"> med </w:t>
      </w:r>
      <w:r>
        <w:rPr>
          <w:b/>
        </w:rPr>
        <w:t>strategin för europeisk försvarsindustri</w:t>
      </w:r>
      <w:r>
        <w:t xml:space="preserve"> och integreringen av den </w:t>
      </w:r>
      <w:r>
        <w:rPr>
          <w:b/>
        </w:rPr>
        <w:t>europeiska försvarstekniska och försvarsindustriella basen</w:t>
      </w:r>
      <w:r>
        <w:t xml:space="preserve"> till stöd för </w:t>
      </w:r>
      <w:r>
        <w:rPr>
          <w:b/>
        </w:rPr>
        <w:t>inhemsk produktion av drönare av hög kvalitet/med hög kapacitet</w:t>
      </w:r>
      <w:r>
        <w:t xml:space="preserve"> med hjälp av ett </w:t>
      </w:r>
      <w:r>
        <w:rPr>
          <w:b/>
        </w:rPr>
        <w:t>stadigt flöde av offentliga kontrakt</w:t>
      </w:r>
      <w:r>
        <w:t xml:space="preserve"> är avgörande för Europas kritiska oberoende.</w:t>
      </w:r>
    </w:p>
    <w:p w:rsidRPr="00B612CA" w:rsidR="00B612CA" w:rsidP="00DC0FAE" w:rsidRDefault="00B612CA" w14:paraId="1202E286" w14:textId="77777777">
      <w:pPr>
        <w:numPr>
          <w:ilvl w:val="0"/>
          <w:numId w:val="25"/>
        </w:numPr>
        <w:spacing w:line="259" w:lineRule="auto"/>
        <w:ind w:left="284" w:hanging="284"/>
        <w:rPr>
          <w:rFonts w:eastAsiaTheme="minorHAnsi"/>
        </w:rPr>
      </w:pPr>
      <w:r>
        <w:t xml:space="preserve">EESK fortsätter att förespråka </w:t>
      </w:r>
      <w:r>
        <w:rPr>
          <w:b/>
        </w:rPr>
        <w:t>bättre samarbete och innovation</w:t>
      </w:r>
      <w:r>
        <w:t xml:space="preserve"> och att man utnyttjar lagstiftning såsom rättsakten om artificiell intelligens (AI) och förordningen om halvledare i syfte att </w:t>
      </w:r>
      <w:r>
        <w:rPr>
          <w:b/>
        </w:rPr>
        <w:t>stärka det strategiska oberoendet</w:t>
      </w:r>
      <w:r>
        <w:t>, den nationella säkerheten och den ekonomiska tillväxten.</w:t>
      </w:r>
    </w:p>
    <w:p w:rsidRPr="00B612CA" w:rsidR="00B612CA" w:rsidP="00DC0FAE" w:rsidRDefault="00B612CA" w14:paraId="13B8DCFD" w14:textId="77777777">
      <w:pPr>
        <w:numPr>
          <w:ilvl w:val="0"/>
          <w:numId w:val="25"/>
        </w:numPr>
        <w:spacing w:line="259" w:lineRule="auto"/>
        <w:ind w:left="284" w:hanging="284"/>
        <w:rPr>
          <w:rFonts w:eastAsiaTheme="minorHAnsi"/>
        </w:rPr>
      </w:pPr>
      <w:r>
        <w:t xml:space="preserve">Behovet av </w:t>
      </w:r>
      <w:r>
        <w:rPr>
          <w:b/>
        </w:rPr>
        <w:t>samstämmighet mellan militär och civil FoU</w:t>
      </w:r>
      <w:r>
        <w:t xml:space="preserve"> kommer att öka alltmer i takt med att drönartekniken i högre grad förlitar sig på automatisering, maskininlärning och AI.</w:t>
      </w:r>
    </w:p>
    <w:p w:rsidRPr="00B612CA" w:rsidR="00B612CA" w:rsidP="00DC0FAE" w:rsidRDefault="00B612CA" w14:paraId="36029321" w14:textId="77777777">
      <w:pPr>
        <w:numPr>
          <w:ilvl w:val="0"/>
          <w:numId w:val="25"/>
        </w:numPr>
        <w:spacing w:line="259" w:lineRule="auto"/>
        <w:ind w:left="284" w:hanging="284"/>
        <w:rPr>
          <w:rFonts w:eastAsiaTheme="minorHAnsi"/>
        </w:rPr>
      </w:pPr>
      <w:r>
        <w:t xml:space="preserve">En </w:t>
      </w:r>
      <w:r>
        <w:rPr>
          <w:b/>
        </w:rPr>
        <w:t>strategisk färdplan för drönarteknik för Europa</w:t>
      </w:r>
      <w:r>
        <w:t xml:space="preserve"> är mycket viktig för kritisk drönarteknik och drönarsystem med dubbla användningsområden, och kan tillhandahålla en strukturerad strategi för främjande av drönarteknik.</w:t>
      </w:r>
    </w:p>
    <w:p w:rsidRPr="00B612CA" w:rsidR="00B612CA" w:rsidP="00DC0FAE" w:rsidRDefault="00B612CA" w14:paraId="1BD31BD4" w14:textId="77777777">
      <w:pPr>
        <w:numPr>
          <w:ilvl w:val="0"/>
          <w:numId w:val="25"/>
        </w:numPr>
        <w:spacing w:line="259" w:lineRule="auto"/>
        <w:ind w:left="284" w:hanging="284"/>
        <w:rPr>
          <w:rFonts w:eastAsiaTheme="minorHAnsi"/>
        </w:rPr>
      </w:pPr>
      <w:r>
        <w:t xml:space="preserve">Man bör noggrant överväga </w:t>
      </w:r>
      <w:r>
        <w:rPr>
          <w:b/>
        </w:rPr>
        <w:t>ekonomiskt stöd till potentiella satsningar på drönarproduktion och integrering av leverans- och värdekedjor</w:t>
      </w:r>
      <w:r>
        <w:t>.</w:t>
      </w:r>
    </w:p>
    <w:p w:rsidRPr="00B612CA" w:rsidR="00B612CA" w:rsidP="00DC0FAE" w:rsidRDefault="00B612CA" w14:paraId="0CDF4865" w14:textId="77777777">
      <w:pPr>
        <w:numPr>
          <w:ilvl w:val="0"/>
          <w:numId w:val="25"/>
        </w:numPr>
        <w:spacing w:line="259" w:lineRule="auto"/>
        <w:ind w:left="284" w:hanging="284"/>
        <w:rPr>
          <w:rFonts w:eastAsiaTheme="minorHAnsi"/>
        </w:rPr>
      </w:pPr>
      <w:r>
        <w:t>EU bör engagera sig mer aktivt på global nivå, särskilt vad gäller certifieringsförfarandena.</w:t>
      </w:r>
    </w:p>
    <w:p w:rsidRPr="00B612CA" w:rsidR="00B612CA" w:rsidP="00DC0FAE" w:rsidRDefault="00B612CA" w14:paraId="6CE8FCE4" w14:textId="77777777">
      <w:pPr>
        <w:numPr>
          <w:ilvl w:val="0"/>
          <w:numId w:val="25"/>
        </w:numPr>
        <w:spacing w:line="259" w:lineRule="auto"/>
        <w:ind w:left="284" w:hanging="284"/>
        <w:rPr>
          <w:rFonts w:eastAsiaTheme="minorHAnsi"/>
        </w:rPr>
      </w:pPr>
      <w:r>
        <w:t xml:space="preserve">Det är av största vikt att användningen av innovativ luftmobilitet är </w:t>
      </w:r>
      <w:r>
        <w:rPr>
          <w:b/>
        </w:rPr>
        <w:t>accepterad i samhället</w:t>
      </w:r>
      <w:r>
        <w:t>: EU-stöd kan stärka hela luftfartsekosystemet och bidra till dess tillväxt och hållbarhet.</w:t>
      </w:r>
    </w:p>
    <w:p w:rsidRPr="00B612CA" w:rsidR="00B612CA" w:rsidP="00DC0FAE" w:rsidRDefault="00B612CA" w14:paraId="413AAB7E" w14:textId="77777777">
      <w:pPr>
        <w:numPr>
          <w:ilvl w:val="0"/>
          <w:numId w:val="25"/>
        </w:numPr>
        <w:spacing w:line="259" w:lineRule="auto"/>
        <w:ind w:left="284" w:hanging="284"/>
        <w:rPr>
          <w:rFonts w:eastAsiaTheme="minorHAnsi"/>
        </w:rPr>
      </w:pPr>
      <w:r>
        <w:t xml:space="preserve">EU bör också vara redo att utarbeta en konsoliderad </w:t>
      </w:r>
      <w:r>
        <w:rPr>
          <w:b/>
        </w:rPr>
        <w:t>strategi för utvecklingen av en gemensam övergripande ram för drönarbekämpning</w:t>
      </w:r>
      <w:r>
        <w:t xml:space="preserve"> för att hantera flera risker kopplade till hybridhot, terroristhandlingar, angrepp från andra stater och även illvillig användning på civil nivå.</w:t>
      </w:r>
    </w:p>
    <w:p w:rsidRPr="00B612CA" w:rsidR="00B612CA" w:rsidP="00B612CA" w:rsidRDefault="00B612CA" w14:paraId="02D1D393" w14:textId="77777777">
      <w:pPr>
        <w:ind w:left="714"/>
        <w:rPr>
          <w:rFonts w:eastAsiaTheme="minorHAnsi"/>
        </w:rPr>
      </w:pP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7"/>
        <w:gridCol w:w="3744"/>
      </w:tblGrid>
      <w:tr w:rsidRPr="00B612CA" w:rsidR="00B612CA" w:rsidTr="00FE3058" w14:paraId="4B20577C" w14:textId="77777777">
        <w:tc>
          <w:tcPr>
            <w:tcW w:w="2089" w:type="pct"/>
          </w:tcPr>
          <w:p w:rsidRPr="00DC0FAE" w:rsidR="00B612CA" w:rsidP="00DC0FAE" w:rsidRDefault="00B612CA" w14:paraId="2947396D" w14:textId="77777777">
            <w:pPr>
              <w:spacing w:line="259" w:lineRule="auto"/>
              <w:jc w:val="left"/>
              <w:rPr>
                <w:rFonts w:eastAsiaTheme="minorHAnsi"/>
                <w:i/>
              </w:rPr>
            </w:pPr>
            <w:r>
              <w:rPr>
                <w:b/>
                <w:i/>
              </w:rPr>
              <w:t>Kontaktperson:</w:t>
            </w:r>
          </w:p>
        </w:tc>
        <w:tc>
          <w:tcPr>
            <w:tcW w:w="2911" w:type="pct"/>
            <w:tcBorders>
              <w:left w:val="nil"/>
            </w:tcBorders>
          </w:tcPr>
          <w:p w:rsidRPr="00DC0FAE" w:rsidR="00B612CA" w:rsidP="00DC0FAE" w:rsidRDefault="00B612CA" w14:paraId="2C72CC9C" w14:textId="59DEF34B">
            <w:pPr>
              <w:spacing w:line="259" w:lineRule="auto"/>
              <w:jc w:val="left"/>
              <w:rPr>
                <w:rFonts w:eastAsiaTheme="minorHAnsi"/>
                <w:i/>
              </w:rPr>
            </w:pPr>
            <w:proofErr w:type="spellStart"/>
            <w:r>
              <w:rPr>
                <w:i/>
              </w:rPr>
              <w:t>Ioannis</w:t>
            </w:r>
            <w:proofErr w:type="spellEnd"/>
            <w:r>
              <w:rPr>
                <w:i/>
              </w:rPr>
              <w:t xml:space="preserve"> </w:t>
            </w:r>
            <w:proofErr w:type="spellStart"/>
            <w:r>
              <w:rPr>
                <w:i/>
              </w:rPr>
              <w:t>Diamantopoulos</w:t>
            </w:r>
            <w:proofErr w:type="spellEnd"/>
          </w:p>
        </w:tc>
      </w:tr>
      <w:tr w:rsidRPr="00B612CA" w:rsidR="00B612CA" w:rsidTr="00FE3058" w14:paraId="2E3E56CC" w14:textId="77777777">
        <w:tc>
          <w:tcPr>
            <w:tcW w:w="2089" w:type="pct"/>
          </w:tcPr>
          <w:p w:rsidRPr="00DC0FAE" w:rsidR="00B612CA" w:rsidP="00DC0FAE" w:rsidRDefault="00B612CA" w14:paraId="32C90F95" w14:textId="77777777">
            <w:pPr>
              <w:spacing w:line="259" w:lineRule="auto"/>
              <w:jc w:val="left"/>
              <w:rPr>
                <w:rFonts w:eastAsiaTheme="minorHAnsi"/>
                <w:i/>
              </w:rPr>
            </w:pPr>
            <w:r>
              <w:rPr>
                <w:i/>
              </w:rPr>
              <w:t xml:space="preserve">Tfn </w:t>
            </w:r>
          </w:p>
        </w:tc>
        <w:tc>
          <w:tcPr>
            <w:tcW w:w="2911"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FE3058" w14:paraId="5E62AD0C" w14:textId="77777777">
        <w:tc>
          <w:tcPr>
            <w:tcW w:w="2089" w:type="pct"/>
          </w:tcPr>
          <w:p w:rsidRPr="00DC0FAE" w:rsidR="00B612CA" w:rsidP="00DC0FAE" w:rsidRDefault="00B612CA" w14:paraId="28949472" w14:textId="77777777">
            <w:pPr>
              <w:spacing w:line="259" w:lineRule="auto"/>
              <w:jc w:val="left"/>
              <w:rPr>
                <w:rFonts w:eastAsiaTheme="minorHAnsi"/>
                <w:i/>
                <w:iCs/>
              </w:rPr>
            </w:pPr>
            <w:r>
              <w:rPr>
                <w:i/>
              </w:rPr>
              <w:t>E-post:</w:t>
            </w:r>
          </w:p>
        </w:tc>
        <w:tc>
          <w:tcPr>
            <w:tcW w:w="2911" w:type="pct"/>
            <w:tcBorders>
              <w:left w:val="nil"/>
            </w:tcBorders>
          </w:tcPr>
          <w:p w:rsidRPr="00DC0FAE" w:rsidR="00B612CA" w:rsidP="00DC0FAE" w:rsidRDefault="00260FC3" w14:paraId="670FA610" w14:textId="3DD50747">
            <w:pPr>
              <w:spacing w:line="259" w:lineRule="auto"/>
              <w:jc w:val="left"/>
              <w:rPr>
                <w:rFonts w:eastAsiaTheme="minorHAnsi"/>
                <w:i/>
                <w:iCs/>
              </w:rPr>
            </w:pPr>
            <w:hyperlink w:history="1" r:id="rId36">
              <w:r w:rsidR="005C28F2">
                <w:rPr>
                  <w:rStyle w:val="Hyperlink"/>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00DD6D07" w:rsidRDefault="00DD6D07" w14:paraId="00CC9B58" w14:textId="77777777">
      <w:pPr>
        <w:spacing w:after="160" w:line="259" w:lineRule="auto"/>
        <w:jc w:val="left"/>
      </w:pPr>
      <w: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C22152" w:rsidR="000120E1" w:rsidP="00C22152" w:rsidRDefault="00C22152" w14:paraId="55A70BD2" w14:textId="5C110AC9">
      <w:pPr>
        <w:widowControl w:val="0"/>
        <w:numPr>
          <w:ilvl w:val="0"/>
          <w:numId w:val="7"/>
        </w:numPr>
        <w:overflowPunct w:val="0"/>
        <w:autoSpaceDE w:val="0"/>
        <w:autoSpaceDN w:val="0"/>
        <w:adjustRightInd w:val="0"/>
        <w:ind w:hanging="567"/>
        <w:textAlignment w:val="baseline"/>
        <w:rPr>
          <w:rStyle w:val="Hyperlink"/>
          <w:b/>
          <w:i/>
          <w:sz w:val="28"/>
        </w:rPr>
      </w:pPr>
      <w:r>
        <w:rPr>
          <w:b/>
          <w:i/>
          <w:sz w:val="28"/>
        </w:rPr>
        <w:fldChar w:fldCharType="begin"/>
      </w:r>
      <w:r>
        <w:rPr>
          <w:b/>
          <w:i/>
          <w:sz w:val="28"/>
        </w:rPr>
        <w:instrText xml:space="preserve"> HYPERLINK "https://www.eesc.europa.eu/en/our-work/opinions-information-reports/opinions/communication-industrial-carbon-management" </w:instrText>
      </w:r>
      <w:r>
        <w:rPr>
          <w:b/>
          <w:i/>
          <w:sz w:val="28"/>
        </w:rPr>
        <w:fldChar w:fldCharType="separate"/>
      </w:r>
      <w:r w:rsidRPr="00C22152" w:rsidR="00176B61">
        <w:rPr>
          <w:rStyle w:val="Hyperlink"/>
          <w:b/>
          <w:i/>
          <w:sz w:val="28"/>
        </w:rPr>
        <w:t>Meddelande om industriell koldioxidhantering</w:t>
      </w:r>
    </w:p>
    <w:p w:rsidRPr="000120E1" w:rsidR="000120E1" w:rsidP="000120E1" w:rsidRDefault="00C22152" w14:paraId="047D66DC" w14:textId="1C0E1427">
      <w:pPr>
        <w:widowControl w:val="0"/>
        <w:tabs>
          <w:tab w:val="center" w:pos="284"/>
        </w:tabs>
        <w:overflowPunct w:val="0"/>
        <w:autoSpaceDE w:val="0"/>
        <w:autoSpaceDN w:val="0"/>
        <w:adjustRightInd w:val="0"/>
        <w:textAlignment w:val="baseline"/>
        <w:rPr>
          <w:rFonts w:eastAsiaTheme="minorHAnsi"/>
          <w:b/>
          <w:lang w:val="en-US"/>
        </w:rPr>
      </w:pPr>
      <w:r>
        <w:rPr>
          <w:b/>
          <w:i/>
          <w:sz w:val="28"/>
        </w:rPr>
        <w:fldChar w:fldCharType="end"/>
      </w: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0120E1" w:rsidR="000120E1" w:rsidTr="00FE3058" w14:paraId="7AA7740B" w14:textId="77777777">
        <w:tc>
          <w:tcPr>
            <w:tcW w:w="1216" w:type="pct"/>
          </w:tcPr>
          <w:p w:rsidRPr="00DC0FAE" w:rsidR="000120E1" w:rsidP="00DC0FAE" w:rsidRDefault="000120E1" w14:paraId="59DFCB28" w14:textId="77777777">
            <w:pPr>
              <w:tabs>
                <w:tab w:val="center" w:pos="284"/>
              </w:tabs>
              <w:spacing w:line="259" w:lineRule="auto"/>
              <w:ind w:left="266" w:hanging="266"/>
              <w:jc w:val="left"/>
              <w:rPr>
                <w:rFonts w:eastAsiaTheme="minorHAnsi"/>
                <w:b/>
                <w:szCs w:val="24"/>
              </w:rPr>
            </w:pPr>
            <w:r>
              <w:rPr>
                <w:b/>
              </w:rPr>
              <w:t>Föredragande:</w:t>
            </w:r>
          </w:p>
        </w:tc>
        <w:tc>
          <w:tcPr>
            <w:tcW w:w="3784" w:type="pct"/>
          </w:tcPr>
          <w:p w:rsidRPr="00DC0FAE" w:rsidR="000120E1" w:rsidP="00DC0FAE" w:rsidRDefault="000120E1" w14:paraId="79819113" w14:textId="77777777">
            <w:pPr>
              <w:tabs>
                <w:tab w:val="center" w:pos="284"/>
              </w:tabs>
              <w:spacing w:line="259" w:lineRule="auto"/>
              <w:ind w:left="266" w:hanging="266"/>
              <w:jc w:val="left"/>
              <w:rPr>
                <w:rFonts w:eastAsiaTheme="minorHAnsi"/>
                <w:szCs w:val="24"/>
              </w:rPr>
            </w:pPr>
            <w:r>
              <w:t>Gonçalo Lobo Xavier (Arbetsgivargruppen – PT)</w:t>
            </w:r>
          </w:p>
        </w:tc>
      </w:tr>
      <w:tr w:rsidRPr="000120E1" w:rsidR="000120E1" w:rsidTr="00FE3058" w14:paraId="2A3124EA" w14:textId="77777777">
        <w:tc>
          <w:tcPr>
            <w:tcW w:w="1216" w:type="pct"/>
          </w:tcPr>
          <w:p w:rsidRPr="00DC0FAE" w:rsidR="000120E1" w:rsidP="00DC0FAE" w:rsidRDefault="000120E1" w14:paraId="051BCACD" w14:textId="77777777">
            <w:pPr>
              <w:tabs>
                <w:tab w:val="center" w:pos="284"/>
              </w:tabs>
              <w:spacing w:line="259" w:lineRule="auto"/>
              <w:ind w:left="266" w:hanging="266"/>
              <w:jc w:val="left"/>
              <w:rPr>
                <w:rFonts w:eastAsiaTheme="minorHAnsi"/>
                <w:b/>
                <w:szCs w:val="24"/>
              </w:rPr>
            </w:pPr>
            <w:r>
              <w:rPr>
                <w:b/>
              </w:rPr>
              <w:t>Medföredragande</w:t>
            </w:r>
          </w:p>
        </w:tc>
        <w:tc>
          <w:tcPr>
            <w:tcW w:w="3784" w:type="pct"/>
          </w:tcPr>
          <w:p w:rsidRPr="00DC0FAE" w:rsidR="000120E1" w:rsidP="00DC0FAE" w:rsidRDefault="000120E1" w14:paraId="163FD73E" w14:textId="77777777">
            <w:pPr>
              <w:tabs>
                <w:tab w:val="center" w:pos="284"/>
              </w:tabs>
              <w:spacing w:line="259" w:lineRule="auto"/>
              <w:ind w:left="266" w:hanging="266"/>
              <w:jc w:val="left"/>
              <w:rPr>
                <w:rFonts w:eastAsiaTheme="minorHAnsi"/>
                <w:szCs w:val="24"/>
              </w:rPr>
            </w:pPr>
            <w:r>
              <w:t xml:space="preserve">Jean-Michel </w:t>
            </w:r>
            <w:proofErr w:type="spellStart"/>
            <w:r>
              <w:t>Pourteau</w:t>
            </w:r>
            <w:proofErr w:type="spellEnd"/>
            <w:r>
              <w:t xml:space="preserve"> (Kat. 2–FR)</w:t>
            </w:r>
          </w:p>
        </w:tc>
      </w:tr>
      <w:tr w:rsidRPr="000120E1" w:rsidR="000120E1" w:rsidTr="00FE3058" w14:paraId="5A91F27D" w14:textId="77777777">
        <w:tc>
          <w:tcPr>
            <w:tcW w:w="5000" w:type="pct"/>
            <w:gridSpan w:val="2"/>
          </w:tcPr>
          <w:p w:rsidRPr="00DC0FA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FE3058" w14:paraId="70AFA820" w14:textId="77777777">
        <w:tc>
          <w:tcPr>
            <w:tcW w:w="1216" w:type="pct"/>
            <w:vMerge w:val="restart"/>
          </w:tcPr>
          <w:p w:rsidRPr="00DC0FAE" w:rsidR="000120E1" w:rsidP="00DC0FAE" w:rsidRDefault="000120E1" w14:paraId="2C1088D7" w14:textId="77777777">
            <w:pPr>
              <w:tabs>
                <w:tab w:val="center" w:pos="284"/>
              </w:tabs>
              <w:spacing w:line="259" w:lineRule="auto"/>
              <w:ind w:left="266" w:hanging="266"/>
              <w:jc w:val="left"/>
              <w:rPr>
                <w:rFonts w:eastAsiaTheme="minorHAnsi"/>
                <w:b/>
                <w:szCs w:val="24"/>
              </w:rPr>
            </w:pPr>
            <w:r>
              <w:rPr>
                <w:b/>
              </w:rPr>
              <w:t>Referens:</w:t>
            </w:r>
          </w:p>
        </w:tc>
        <w:tc>
          <w:tcPr>
            <w:tcW w:w="3784" w:type="pct"/>
          </w:tcPr>
          <w:p w:rsidRPr="00DC0FAE" w:rsidR="000120E1" w:rsidP="00DC0FAE" w:rsidRDefault="000120E1" w14:paraId="115E7B5F" w14:textId="77777777">
            <w:pPr>
              <w:tabs>
                <w:tab w:val="center" w:pos="284"/>
              </w:tabs>
              <w:spacing w:line="259" w:lineRule="auto"/>
              <w:ind w:left="266" w:hanging="266"/>
              <w:jc w:val="left"/>
              <w:rPr>
                <w:rFonts w:eastAsiaTheme="minorHAnsi"/>
                <w:szCs w:val="24"/>
              </w:rPr>
            </w:pPr>
            <w:r>
              <w:t>COM(2024) 62 final</w:t>
            </w:r>
          </w:p>
        </w:tc>
      </w:tr>
      <w:tr w:rsidRPr="000120E1" w:rsidR="000120E1" w:rsidTr="00FE3058" w14:paraId="36B63748" w14:textId="77777777">
        <w:tc>
          <w:tcPr>
            <w:tcW w:w="1216" w:type="pct"/>
            <w:vMerge/>
          </w:tcPr>
          <w:p w:rsidRPr="000120E1"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DC0FAE" w:rsidR="000120E1" w:rsidP="00DC0FAE" w:rsidRDefault="000120E1" w14:paraId="156AA12F" w14:textId="77777777">
            <w:pPr>
              <w:tabs>
                <w:tab w:val="center" w:pos="284"/>
              </w:tabs>
              <w:spacing w:line="259" w:lineRule="auto"/>
              <w:ind w:left="266" w:hanging="266"/>
              <w:jc w:val="left"/>
              <w:rPr>
                <w:rFonts w:eastAsiaTheme="minorHAnsi"/>
                <w:szCs w:val="24"/>
              </w:rPr>
            </w:pPr>
            <w:r>
              <w:t>EESC-2024-00878-00-00-AC</w:t>
            </w:r>
          </w:p>
        </w:tc>
      </w:tr>
    </w:tbl>
    <w:p w:rsidRPr="000120E1"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rPr>
      </w:pPr>
      <w:r>
        <w:rPr>
          <w:b/>
        </w:rPr>
        <w:t>Huvudpunkter</w:t>
      </w:r>
    </w:p>
    <w:p w:rsidRPr="000120E1" w:rsidR="000120E1" w:rsidP="00DC0FAE" w:rsidRDefault="000120E1" w14:paraId="3B7BB1CC" w14:textId="77777777">
      <w:pPr>
        <w:spacing w:after="160" w:line="259" w:lineRule="auto"/>
        <w:jc w:val="left"/>
        <w:rPr>
          <w:rFonts w:eastAsiaTheme="minorHAnsi"/>
        </w:rPr>
      </w:pPr>
      <w:proofErr w:type="spellStart"/>
      <w:r>
        <w:t>EESK:s</w:t>
      </w:r>
      <w:proofErr w:type="spellEnd"/>
      <w:r>
        <w:t xml:space="preserve"> ståndpunkt:</w:t>
      </w:r>
    </w:p>
    <w:p w:rsidRPr="000120E1" w:rsidR="000120E1" w:rsidP="00DC0FAE" w:rsidRDefault="000120E1" w14:paraId="1360B3DB" w14:textId="77777777">
      <w:pPr>
        <w:numPr>
          <w:ilvl w:val="0"/>
          <w:numId w:val="26"/>
        </w:numPr>
        <w:spacing w:after="160" w:line="259" w:lineRule="auto"/>
        <w:ind w:left="284" w:hanging="284"/>
        <w:contextualSpacing/>
        <w:rPr>
          <w:rFonts w:eastAsiaTheme="minorHAnsi"/>
        </w:rPr>
      </w:pPr>
      <w:r>
        <w:rPr>
          <w:b/>
        </w:rPr>
        <w:t>Strategin för industriell koldioxidhantering är mycket välkommen och balanserad</w:t>
      </w:r>
      <w:r>
        <w:t xml:space="preserve"> med inslag som är avgörande för </w:t>
      </w:r>
      <w:r>
        <w:rPr>
          <w:b/>
        </w:rPr>
        <w:t>införandet av avskiljning och lagring av koldioxid (CCS) och avskiljning och användning av koldioxid (CCU) i industriell skala i EU</w:t>
      </w:r>
      <w:r>
        <w:t>.</w:t>
      </w:r>
    </w:p>
    <w:p w:rsidRPr="000120E1" w:rsidR="000120E1" w:rsidP="00DC0FAE" w:rsidRDefault="000120E1" w14:paraId="7FE09CBD" w14:textId="77777777">
      <w:pPr>
        <w:numPr>
          <w:ilvl w:val="0"/>
          <w:numId w:val="26"/>
        </w:numPr>
        <w:spacing w:after="160" w:line="259" w:lineRule="auto"/>
        <w:ind w:left="284" w:hanging="284"/>
        <w:contextualSpacing/>
        <w:rPr>
          <w:rFonts w:eastAsiaTheme="minorHAnsi"/>
        </w:rPr>
      </w:pPr>
      <w:r>
        <w:t xml:space="preserve">För att skapa </w:t>
      </w:r>
      <w:r>
        <w:rPr>
          <w:b/>
        </w:rPr>
        <w:t>en inre marknad för koldioxid är det nödvändigt att uppföra lagrings- och transportinfrastruktur (även gränsöverskridande sådan)</w:t>
      </w:r>
      <w:r>
        <w:t xml:space="preserve"> och att fastställa </w:t>
      </w:r>
      <w:r>
        <w:rPr>
          <w:b/>
        </w:rPr>
        <w:t>marknadsregler</w:t>
      </w:r>
      <w:r>
        <w:t xml:space="preserve">. </w:t>
      </w:r>
    </w:p>
    <w:p w:rsidRPr="000120E1" w:rsidR="000120E1" w:rsidP="00DC0FAE" w:rsidRDefault="000120E1" w14:paraId="66EA0A1A" w14:textId="77777777">
      <w:pPr>
        <w:numPr>
          <w:ilvl w:val="0"/>
          <w:numId w:val="26"/>
        </w:numPr>
        <w:spacing w:after="160" w:line="259" w:lineRule="auto"/>
        <w:ind w:left="284" w:hanging="284"/>
        <w:contextualSpacing/>
        <w:rPr>
          <w:rFonts w:eastAsiaTheme="minorHAnsi"/>
        </w:rPr>
      </w:pPr>
      <w:r>
        <w:t xml:space="preserve">EESK vill fästa uppmärksamheten på behovet av att </w:t>
      </w:r>
      <w:r>
        <w:rPr>
          <w:b/>
        </w:rPr>
        <w:t>skräddarsy strategier för koldioxidhantering för specifika industrisektorer</w:t>
      </w:r>
      <w:r>
        <w:t>.</w:t>
      </w:r>
    </w:p>
    <w:p w:rsidRPr="000120E1" w:rsidR="000120E1" w:rsidP="00DC0FAE" w:rsidRDefault="000120E1" w14:paraId="3B9262A2" w14:textId="77777777">
      <w:pPr>
        <w:numPr>
          <w:ilvl w:val="0"/>
          <w:numId w:val="26"/>
        </w:numPr>
        <w:spacing w:after="160" w:line="259" w:lineRule="auto"/>
        <w:ind w:left="284" w:hanging="284"/>
        <w:contextualSpacing/>
        <w:rPr>
          <w:rFonts w:eastAsiaTheme="minorHAnsi"/>
        </w:rPr>
      </w:pPr>
      <w:r>
        <w:t xml:space="preserve">EESK vidhåller att det är av grundläggande betydelse att </w:t>
      </w:r>
      <w:r>
        <w:rPr>
          <w:b/>
        </w:rPr>
        <w:t>kartlägga de hinder som undergräver ett effektivt genomförande av befintliga metoder för koldioxidhantering</w:t>
      </w:r>
      <w:r>
        <w:t xml:space="preserve"> för att kunna genomföra förändringar och fastställa strategier.</w:t>
      </w:r>
    </w:p>
    <w:p w:rsidRPr="000120E1" w:rsidR="000120E1" w:rsidP="00DC0FAE" w:rsidRDefault="000120E1" w14:paraId="79DEBCDC" w14:textId="77777777">
      <w:pPr>
        <w:numPr>
          <w:ilvl w:val="0"/>
          <w:numId w:val="26"/>
        </w:numPr>
        <w:spacing w:after="160" w:line="259" w:lineRule="auto"/>
        <w:ind w:left="284" w:hanging="284"/>
        <w:contextualSpacing/>
        <w:rPr>
          <w:rFonts w:eastAsiaTheme="minorHAnsi"/>
        </w:rPr>
      </w:pPr>
      <w:r>
        <w:t xml:space="preserve">EU behöver en </w:t>
      </w:r>
      <w:r>
        <w:rPr>
          <w:b/>
        </w:rPr>
        <w:t>industristrategi för koldioxid som främjar tillväxten på ett hållbart sätt</w:t>
      </w:r>
      <w:r>
        <w:t xml:space="preserve"> och som inte bara </w:t>
      </w:r>
      <w:r>
        <w:rPr>
          <w:b/>
        </w:rPr>
        <w:t>genomför den gröna given</w:t>
      </w:r>
      <w:r>
        <w:t xml:space="preserve"> utan också </w:t>
      </w:r>
      <w:r>
        <w:rPr>
          <w:b/>
        </w:rPr>
        <w:t>säkerställer arbetstillfällen av hög kvalitet och en rättvis omställning för arbetstagarna</w:t>
      </w:r>
      <w:r>
        <w:t xml:space="preserve">, samtidigt som </w:t>
      </w:r>
      <w:r>
        <w:rPr>
          <w:b/>
        </w:rPr>
        <w:t>brister på arbetskraft och kompetens som kan mildras med hjälp av omskolning och kompetenshöjning</w:t>
      </w:r>
      <w:r>
        <w:t xml:space="preserve"> identifieras.</w:t>
      </w:r>
    </w:p>
    <w:p w:rsidRPr="000120E1" w:rsidR="000120E1" w:rsidP="00DC0FAE" w:rsidRDefault="000120E1" w14:paraId="71004638" w14:textId="77777777">
      <w:pPr>
        <w:numPr>
          <w:ilvl w:val="0"/>
          <w:numId w:val="26"/>
        </w:numPr>
        <w:spacing w:after="160" w:line="259" w:lineRule="auto"/>
        <w:ind w:left="284" w:hanging="284"/>
        <w:contextualSpacing/>
        <w:rPr>
          <w:rFonts w:eastAsiaTheme="minorHAnsi"/>
        </w:rPr>
      </w:pPr>
      <w:r>
        <w:t xml:space="preserve">EESK rekommenderar att det finns </w:t>
      </w:r>
      <w:r>
        <w:rPr>
          <w:b/>
        </w:rPr>
        <w:t>en tydlig investeringsplan för utveckling av CCS-/CCU-teknik</w:t>
      </w:r>
      <w:r>
        <w:t xml:space="preserve">, samtidigt som </w:t>
      </w:r>
      <w:r>
        <w:rPr>
          <w:b/>
        </w:rPr>
        <w:t>offentlig finansiering bör ha en mekanism för sociala grundvillkor som syftar till att skapa och bevara arbetstillfällen av hög kvalitet</w:t>
      </w:r>
      <w:r>
        <w:t>.</w:t>
      </w:r>
    </w:p>
    <w:p w:rsidRPr="000120E1" w:rsidR="000120E1" w:rsidP="00DC0FAE" w:rsidRDefault="000120E1" w14:paraId="3292CDC0" w14:textId="77777777">
      <w:pPr>
        <w:numPr>
          <w:ilvl w:val="0"/>
          <w:numId w:val="26"/>
        </w:numPr>
        <w:spacing w:after="160" w:line="259" w:lineRule="auto"/>
        <w:ind w:left="284" w:hanging="284"/>
        <w:contextualSpacing/>
        <w:rPr>
          <w:rFonts w:eastAsiaTheme="minorHAnsi"/>
        </w:rPr>
      </w:pPr>
      <w:r>
        <w:t xml:space="preserve">Projekt för minskade koldioxidutsläpp bör omfatta både </w:t>
      </w:r>
      <w:r>
        <w:rPr>
          <w:b/>
        </w:rPr>
        <w:t>koldioxidupptag och undvikande av koldioxidutsläpp</w:t>
      </w:r>
      <w:r>
        <w:t xml:space="preserve"> på ett balanserat sätt. </w:t>
      </w:r>
      <w:r>
        <w:rPr>
          <w:b/>
        </w:rPr>
        <w:t>Undvikande av koldioxidutsläpp får dock för närvarande inte tillräckligt stöd</w:t>
      </w:r>
      <w:r>
        <w:t>.</w:t>
      </w:r>
    </w:p>
    <w:p w:rsidRPr="000120E1" w:rsidR="000120E1" w:rsidP="00DC0FAE" w:rsidRDefault="000120E1" w14:paraId="44EC1EE2" w14:textId="77777777">
      <w:pPr>
        <w:numPr>
          <w:ilvl w:val="0"/>
          <w:numId w:val="26"/>
        </w:numPr>
        <w:spacing w:after="160" w:line="259" w:lineRule="auto"/>
        <w:ind w:left="284" w:hanging="284"/>
        <w:contextualSpacing/>
        <w:rPr>
          <w:rFonts w:eastAsiaTheme="minorHAnsi"/>
        </w:rPr>
      </w:pPr>
      <w:r>
        <w:t xml:space="preserve">EESK rekommenderar att man </w:t>
      </w:r>
      <w:r>
        <w:rPr>
          <w:b/>
        </w:rPr>
        <w:t xml:space="preserve">inrättar ett nytt, separat, väl utformat och robust kreditsystem med hög integritet för undvikande av koldioxidutsläpp </w:t>
      </w:r>
      <w:r>
        <w:t>för att erbjuda incitament för att fasa ut fossila bränslen.</w:t>
      </w:r>
    </w:p>
    <w:p w:rsidRPr="000120E1" w:rsidR="000120E1" w:rsidP="00DC0FAE" w:rsidRDefault="000120E1" w14:paraId="31699FAA" w14:textId="77777777">
      <w:pPr>
        <w:numPr>
          <w:ilvl w:val="0"/>
          <w:numId w:val="26"/>
        </w:numPr>
        <w:spacing w:after="160" w:line="259" w:lineRule="auto"/>
        <w:ind w:left="284" w:hanging="284"/>
        <w:contextualSpacing/>
        <w:rPr>
          <w:rFonts w:eastAsiaTheme="minorHAnsi"/>
        </w:rPr>
      </w:pPr>
      <w:r>
        <w:rPr>
          <w:b/>
        </w:rPr>
        <w:t>Utsläppsrätter från EU:s utsläppshandelssystem får inte användas som ”krediter”</w:t>
      </w:r>
      <w:r>
        <w:t>, eftersom detta skulle kunna undergräva den nuvarande marknadsbaserade karaktären hos EU:s koldioxidhandelssystem.</w:t>
      </w:r>
    </w:p>
    <w:p w:rsidR="000120E1" w:rsidP="000120E1" w:rsidRDefault="000120E1" w14:paraId="3C1F1540" w14:textId="33153725">
      <w:pPr>
        <w:spacing w:after="160" w:line="259" w:lineRule="auto"/>
        <w:ind w:left="720"/>
        <w:contextualSpacing/>
        <w:jc w:val="left"/>
        <w:rPr>
          <w:rFonts w:eastAsiaTheme="minorHAnsi"/>
        </w:rPr>
      </w:pP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2"/>
        <w:gridCol w:w="3039"/>
      </w:tblGrid>
      <w:tr w:rsidRPr="000120E1" w:rsidR="000120E1" w:rsidTr="00FE3058" w14:paraId="5D2D90F0" w14:textId="77777777">
        <w:tc>
          <w:tcPr>
            <w:tcW w:w="3998" w:type="pct"/>
          </w:tcPr>
          <w:p w:rsidRPr="00DC0FAE" w:rsidR="000120E1" w:rsidP="00DC0FAE" w:rsidRDefault="000120E1" w14:paraId="0F7EFF96" w14:textId="77777777">
            <w:pPr>
              <w:spacing w:line="259" w:lineRule="auto"/>
              <w:jc w:val="left"/>
              <w:rPr>
                <w:rFonts w:eastAsiaTheme="minorHAnsi"/>
                <w:i/>
              </w:rPr>
            </w:pPr>
            <w:r>
              <w:rPr>
                <w:b/>
                <w:i/>
              </w:rPr>
              <w:t>Kontaktperson:</w:t>
            </w:r>
          </w:p>
        </w:tc>
        <w:tc>
          <w:tcPr>
            <w:tcW w:w="1002" w:type="pct"/>
            <w:tcBorders>
              <w:left w:val="nil"/>
            </w:tcBorders>
          </w:tcPr>
          <w:p w:rsidRPr="00DC0FAE" w:rsidR="000120E1" w:rsidP="00DC0FAE" w:rsidRDefault="000120E1" w14:paraId="161FCDF9" w14:textId="041A1233">
            <w:pPr>
              <w:spacing w:line="259" w:lineRule="auto"/>
              <w:jc w:val="left"/>
              <w:rPr>
                <w:rFonts w:eastAsiaTheme="minorHAnsi"/>
                <w:i/>
              </w:rPr>
            </w:pPr>
            <w:r>
              <w:rPr>
                <w:i/>
              </w:rPr>
              <w:t xml:space="preserve">Adam </w:t>
            </w:r>
            <w:proofErr w:type="spellStart"/>
            <w:r>
              <w:rPr>
                <w:i/>
              </w:rPr>
              <w:t>Dorywalski</w:t>
            </w:r>
            <w:proofErr w:type="spellEnd"/>
          </w:p>
        </w:tc>
      </w:tr>
      <w:tr w:rsidRPr="000120E1" w:rsidR="000120E1" w:rsidTr="00FE3058" w14:paraId="4F400A68" w14:textId="77777777">
        <w:tc>
          <w:tcPr>
            <w:tcW w:w="3998" w:type="pct"/>
          </w:tcPr>
          <w:p w:rsidRPr="00DC0FAE" w:rsidR="000120E1" w:rsidP="00DC0FAE" w:rsidRDefault="000120E1" w14:paraId="381E2BF8" w14:textId="77777777">
            <w:pPr>
              <w:spacing w:line="259" w:lineRule="auto"/>
              <w:jc w:val="left"/>
              <w:rPr>
                <w:rFonts w:eastAsiaTheme="minorHAnsi"/>
                <w:i/>
              </w:rPr>
            </w:pPr>
            <w:r>
              <w:rPr>
                <w:i/>
              </w:rPr>
              <w:t xml:space="preserve">Tfn </w:t>
            </w:r>
          </w:p>
        </w:tc>
        <w:tc>
          <w:tcPr>
            <w:tcW w:w="1002"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FE3058" w14:paraId="63DC3EB7" w14:textId="77777777">
        <w:tc>
          <w:tcPr>
            <w:tcW w:w="3998" w:type="pct"/>
          </w:tcPr>
          <w:p w:rsidRPr="00DC0FAE" w:rsidR="000120E1" w:rsidP="00DC0FAE" w:rsidRDefault="00DD6D07" w14:paraId="66DC166A" w14:textId="68F50A4B">
            <w:pPr>
              <w:spacing w:line="259" w:lineRule="auto"/>
              <w:jc w:val="left"/>
              <w:rPr>
                <w:rFonts w:eastAsiaTheme="minorHAnsi"/>
                <w:i/>
                <w:iCs/>
              </w:rPr>
            </w:pPr>
            <w:r>
              <w:rPr>
                <w:i/>
              </w:rPr>
              <w:t>E-post:</w:t>
            </w:r>
          </w:p>
        </w:tc>
        <w:tc>
          <w:tcPr>
            <w:tcW w:w="1002" w:type="pct"/>
            <w:tcBorders>
              <w:left w:val="nil"/>
            </w:tcBorders>
          </w:tcPr>
          <w:p w:rsidRPr="00DC0FAE" w:rsidR="000120E1" w:rsidP="00DC0FAE" w:rsidRDefault="00260FC3" w14:paraId="2454CA29" w14:textId="77777777">
            <w:pPr>
              <w:spacing w:line="259" w:lineRule="auto"/>
              <w:jc w:val="left"/>
              <w:rPr>
                <w:rFonts w:eastAsiaTheme="minorHAnsi"/>
                <w:i/>
                <w:iCs/>
              </w:rPr>
            </w:pPr>
            <w:hyperlink w:history="1" r:id="rId37">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260FC3"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38">
        <w:r w:rsidR="00176B61">
          <w:rPr>
            <w:b/>
            <w:i/>
            <w:color w:val="0000FF"/>
            <w:sz w:val="28"/>
            <w:u w:val="single"/>
          </w:rPr>
          <w:t>En ny strategi för europeisk försvarsindustri</w:t>
        </w:r>
      </w:hyperlink>
    </w:p>
    <w:p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3C2FB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2FB3" w:rsidR="003C2FB3" w:rsidTr="00FE3058" w14:paraId="30A6177E" w14:textId="77777777">
        <w:tc>
          <w:tcPr>
            <w:tcW w:w="1148"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DC0FAE" w:rsidR="003C2FB3" w:rsidP="003C2FB3" w:rsidRDefault="003C2FB3" w14:paraId="77DB3C52" w14:textId="0705E08B">
            <w:pPr>
              <w:tabs>
                <w:tab w:val="center" w:pos="284"/>
              </w:tabs>
              <w:overflowPunct w:val="0"/>
              <w:autoSpaceDE w:val="0"/>
              <w:autoSpaceDN w:val="0"/>
              <w:adjustRightInd w:val="0"/>
              <w:ind w:left="266" w:hanging="266"/>
              <w:textAlignment w:val="baseline"/>
            </w:pPr>
            <w:r>
              <w:t xml:space="preserve">Maurizio </w:t>
            </w:r>
            <w:proofErr w:type="spellStart"/>
            <w:r>
              <w:t>Mensi</w:t>
            </w:r>
            <w:proofErr w:type="spellEnd"/>
            <w:r>
              <w:t xml:space="preserve"> (Gruppen för civilsamhällesorganisationer–IT)</w:t>
            </w:r>
          </w:p>
        </w:tc>
      </w:tr>
      <w:tr w:rsidRPr="003C2FB3" w:rsidR="003C2FB3" w:rsidTr="00FE3058" w14:paraId="4330C7A8" w14:textId="77777777">
        <w:tc>
          <w:tcPr>
            <w:tcW w:w="1148"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r>
              <w:rPr>
                <w:b/>
              </w:rPr>
              <w:t>Medföredragande:</w:t>
            </w:r>
          </w:p>
        </w:tc>
        <w:tc>
          <w:tcPr>
            <w:tcW w:w="3852" w:type="pct"/>
          </w:tcPr>
          <w:p w:rsidRPr="00DC0FAE" w:rsidR="003C2FB3" w:rsidP="003C2FB3" w:rsidRDefault="003C2FB3" w14:paraId="227D7CFD" w14:textId="0783DBC3">
            <w:pPr>
              <w:tabs>
                <w:tab w:val="center" w:pos="284"/>
              </w:tabs>
              <w:overflowPunct w:val="0"/>
              <w:autoSpaceDE w:val="0"/>
              <w:autoSpaceDN w:val="0"/>
              <w:adjustRightInd w:val="0"/>
              <w:ind w:left="266" w:hanging="266"/>
              <w:textAlignment w:val="baseline"/>
            </w:pPr>
            <w:r>
              <w:t xml:space="preserve">Jan </w:t>
            </w:r>
            <w:proofErr w:type="spellStart"/>
            <w:r>
              <w:t>Pie</w:t>
            </w:r>
            <w:proofErr w:type="spellEnd"/>
            <w:r>
              <w:t xml:space="preserve"> (Kat. 1–SE)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FE3058" w14:paraId="53790FDC" w14:textId="77777777">
        <w:tc>
          <w:tcPr>
            <w:tcW w:w="1148"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Pr>
                <w:b/>
              </w:rPr>
              <w:t>Referens:</w:t>
            </w:r>
          </w:p>
        </w:tc>
        <w:tc>
          <w:tcPr>
            <w:tcW w:w="3852"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t>JOIN(2024) 10 final</w:t>
            </w:r>
          </w:p>
          <w:p w:rsidRPr="003C2FB3" w:rsidR="003C2FB3" w:rsidP="003C2FB3" w:rsidRDefault="003C2FB3" w14:paraId="2AE94E99" w14:textId="68928235">
            <w:pPr>
              <w:tabs>
                <w:tab w:val="center" w:pos="284"/>
              </w:tabs>
              <w:overflowPunct w:val="0"/>
              <w:autoSpaceDE w:val="0"/>
              <w:autoSpaceDN w:val="0"/>
              <w:adjustRightInd w:val="0"/>
              <w:ind w:left="266" w:hanging="266"/>
              <w:textAlignment w:val="baseline"/>
            </w:pPr>
            <w:r>
              <w:t>EESC-2024-00782-00-00-AC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3C2FB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Kommittén välkomnar strategin för europeisk försvarsindustri som ett viktigt steg för att stärka Europas försvarsberedskap och därmed dess förmåga att skydda unionens medborgare, territorium, grundläggande värden och livsstil.</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Vi välkomnar övergången från nödåtgärder till mer långsiktiga strukturella insatser, framför allt att fokus läggs på behovet av att i högre grad välja europeiska leverantörer för att tillgodose europeiska behov.</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EESK betonar vikten av att dra full nytta av partnerskapen med vänligt sinnade länder som delar våra värderingar för att uppnå strategins mål.</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Kommittén beklagar att allmänhetens uppfattning inte behandlas i strategin, eftersom den är en viktig faktor i demokratiska samhällen.</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Det viktigaste instrumentet för att genomföra strategin (programmet för europeisk försvarsindustri) kommer sannolikt inte kunna tas i drift förrän i slutet av 2025. Strategin måste därför kompletteras med andra kortsiktiga åtgärder för att tillgodose omedelbara behov.</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Kommittén uppmanar medlemsstaterna att anamma kommissionens uppmaning att undersöka möjligheterna att på kort sikt och med hjälp av befintliga instrument främja storskaliga gemensamma försvarsupphandlingar, en storskalig utbyggnad av den europeiska försvarstekniska och försvarsindustriella basen och sjösättningen av olika flaggskeppsprojekt på försvarsområdet.</w:t>
      </w:r>
    </w:p>
    <w:p w:rsidRPr="003C2FB3"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Det är mycket viktigt att försvarsindustrin får tillgång till kompetens, teknik och forskning både ur ett industriellt och strategiskt perspektiv.</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EESK understryker att strategins framgång i första hand kommer att bero på medlemsstaternas fulla engagemang och erkännande av mervärdet av en europeisk strategi.</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proofErr w:type="spellStart"/>
            <w:r>
              <w:rPr>
                <w:i/>
              </w:rPr>
              <w:t>Ioannis</w:t>
            </w:r>
            <w:proofErr w:type="spellEnd"/>
            <w:r>
              <w:rPr>
                <w:i/>
              </w:rPr>
              <w:t xml:space="preserve"> </w:t>
            </w:r>
            <w:proofErr w:type="spellStart"/>
            <w:r>
              <w:rPr>
                <w:i/>
              </w:rPr>
              <w:t>Diamantopoulos</w:t>
            </w:r>
            <w:proofErr w:type="spellEnd"/>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Tfn</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E-post:</w:t>
            </w:r>
          </w:p>
        </w:tc>
        <w:tc>
          <w:tcPr>
            <w:tcW w:w="3444" w:type="pct"/>
          </w:tcPr>
          <w:p w:rsidRPr="003C2FB3" w:rsidR="003C2FB3" w:rsidP="003C2FB3" w:rsidRDefault="00260FC3" w14:paraId="32C40CB8" w14:textId="77777777">
            <w:pPr>
              <w:overflowPunct w:val="0"/>
              <w:autoSpaceDE w:val="0"/>
              <w:autoSpaceDN w:val="0"/>
              <w:adjustRightInd w:val="0"/>
              <w:spacing w:line="240" w:lineRule="auto"/>
              <w:textAlignment w:val="baseline"/>
              <w:rPr>
                <w:i/>
              </w:rPr>
            </w:pPr>
            <w:hyperlink w:history="1" r:id="rId39">
              <w:r w:rsidR="00176B61">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260FC3"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0">
        <w:r w:rsidR="00176B61">
          <w:rPr>
            <w:b/>
            <w:i/>
            <w:color w:val="0000FF"/>
            <w:sz w:val="28"/>
            <w:u w:val="single"/>
          </w:rPr>
          <w:t xml:space="preserve">Industriella och tekniska strategier och bästa praxis för ett </w:t>
        </w:r>
        <w:proofErr w:type="spellStart"/>
        <w:r w:rsidR="00176B61">
          <w:rPr>
            <w:b/>
            <w:i/>
            <w:color w:val="0000FF"/>
            <w:sz w:val="28"/>
            <w:u w:val="single"/>
          </w:rPr>
          <w:t>vattenresilient</w:t>
        </w:r>
        <w:proofErr w:type="spellEnd"/>
        <w:r w:rsidR="00176B61">
          <w:rPr>
            <w:b/>
            <w:i/>
            <w:color w:val="0000FF"/>
            <w:sz w:val="28"/>
            <w:u w:val="single"/>
          </w:rPr>
          <w:t xml:space="preserve"> samhälle</w:t>
        </w:r>
      </w:hyperlink>
    </w:p>
    <w:p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C26C81" w:rsidR="00C26C81" w:rsidTr="00FE3058" w14:paraId="120DFBE2" w14:textId="77777777">
        <w:tc>
          <w:tcPr>
            <w:tcW w:w="1148"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DC0FAE" w:rsidR="00C26C81" w:rsidP="00C26C81" w:rsidRDefault="00C26C81" w14:paraId="4D21502F" w14:textId="7090BED6">
            <w:pPr>
              <w:tabs>
                <w:tab w:val="center" w:pos="284"/>
              </w:tabs>
              <w:overflowPunct w:val="0"/>
              <w:autoSpaceDE w:val="0"/>
              <w:autoSpaceDN w:val="0"/>
              <w:adjustRightInd w:val="0"/>
              <w:ind w:left="266" w:hanging="266"/>
              <w:textAlignment w:val="baseline"/>
            </w:pPr>
            <w:r>
              <w:t>Florian Marin (Arbetstagargruppen – RO)</w:t>
            </w:r>
          </w:p>
        </w:tc>
      </w:tr>
      <w:tr w:rsidRPr="00C26C81" w:rsidR="00C26C81" w:rsidTr="00FE3058" w14:paraId="1F60F708" w14:textId="77777777">
        <w:tc>
          <w:tcPr>
            <w:tcW w:w="1148"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r>
              <w:rPr>
                <w:b/>
              </w:rPr>
              <w:t>Medföredragande:</w:t>
            </w:r>
          </w:p>
        </w:tc>
        <w:tc>
          <w:tcPr>
            <w:tcW w:w="3852" w:type="pct"/>
          </w:tcPr>
          <w:p w:rsidRPr="00DC0FAE" w:rsidR="00C26C81" w:rsidP="00C26C81" w:rsidRDefault="00C26C81" w14:paraId="2CC5126F" w14:textId="7BF5F8C5">
            <w:pPr>
              <w:tabs>
                <w:tab w:val="center" w:pos="284"/>
              </w:tabs>
              <w:overflowPunct w:val="0"/>
              <w:autoSpaceDE w:val="0"/>
              <w:autoSpaceDN w:val="0"/>
              <w:adjustRightInd w:val="0"/>
              <w:ind w:left="266" w:hanging="266"/>
              <w:textAlignment w:val="baseline"/>
            </w:pPr>
            <w:r>
              <w:t>John Bryan (Kat. 3–IE)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FE3058" w14:paraId="6490CDCA" w14:textId="77777777">
        <w:tc>
          <w:tcPr>
            <w:tcW w:w="1148"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Pr>
                <w:b/>
              </w:rPr>
              <w:t>Referens:</w:t>
            </w:r>
          </w:p>
        </w:tc>
        <w:tc>
          <w:tcPr>
            <w:tcW w:w="3852"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Förberedande yttrande på begäran av Europeiska kommissionen</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t>EESC-2024-00209-00-00-AC</w:t>
            </w:r>
          </w:p>
        </w:tc>
      </w:tr>
      <w:tr w:rsidRPr="00C26C81" w:rsidR="00C26C81" w:rsidTr="00FE3058" w14:paraId="7D13EFEC" w14:textId="77777777">
        <w:tc>
          <w:tcPr>
            <w:tcW w:w="1148"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26C81"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26C81"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00C26C81" w:rsidP="00C26C81" w:rsidRDefault="00C26C81" w14:paraId="0AEAF1D0" w14:textId="370DE955">
      <w:pPr>
        <w:overflowPunct w:val="0"/>
        <w:autoSpaceDE w:val="0"/>
        <w:autoSpaceDN w:val="0"/>
        <w:adjustRightInd w:val="0"/>
        <w:textAlignment w:val="baseline"/>
        <w:rPr>
          <w:bCs/>
          <w:iCs/>
        </w:rPr>
      </w:pPr>
      <w:proofErr w:type="spellStart"/>
      <w:r>
        <w:t>EESK:s</w:t>
      </w:r>
      <w:proofErr w:type="spellEnd"/>
      <w:r>
        <w:t xml:space="preserve"> ståndpunkt:</w:t>
      </w:r>
    </w:p>
    <w:p w:rsidRPr="00C26C81" w:rsidR="002B7841" w:rsidP="00C26C81" w:rsidRDefault="002B7841" w14:paraId="2BBD3487" w14:textId="77777777">
      <w:pPr>
        <w:overflowPunct w:val="0"/>
        <w:autoSpaceDE w:val="0"/>
        <w:autoSpaceDN w:val="0"/>
        <w:adjustRightInd w:val="0"/>
        <w:textAlignment w:val="baseline"/>
        <w:rPr>
          <w:bCs/>
          <w:iCs/>
        </w:rPr>
      </w:pPr>
    </w:p>
    <w:p w:rsidRPr="00C26C81"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Kommittén efterlyser en </w:t>
      </w:r>
      <w:r>
        <w:rPr>
          <w:b/>
        </w:rPr>
        <w:t>fristående strategi</w:t>
      </w:r>
      <w:r>
        <w:t xml:space="preserve"> – en blå giv för EU – och en handlingsplan </w:t>
      </w:r>
      <w:r>
        <w:rPr>
          <w:b/>
        </w:rPr>
        <w:t xml:space="preserve">för vatten för att säkerställa </w:t>
      </w:r>
      <w:proofErr w:type="spellStart"/>
      <w:r>
        <w:rPr>
          <w:b/>
        </w:rPr>
        <w:t>resiliens</w:t>
      </w:r>
      <w:proofErr w:type="spellEnd"/>
      <w:r>
        <w:rPr>
          <w:b/>
        </w:rPr>
        <w:t>, säkerhet och hållbarhet i fråga om vatten, som ett komplement till EU:s gröna giv</w:t>
      </w:r>
      <w:r>
        <w:t>.</w:t>
      </w:r>
    </w:p>
    <w:p w:rsidRPr="00C26C81"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EESK uppmanar EU att </w:t>
      </w:r>
      <w:r>
        <w:rPr>
          <w:b/>
        </w:rPr>
        <w:t>integrera vatten i en reviderad industriell strategisk ram</w:t>
      </w:r>
      <w:r>
        <w:t xml:space="preserve"> och i omställningsvägarna med ett sektoriellt tillvägagångssätt.</w:t>
      </w:r>
    </w:p>
    <w:p w:rsidRPr="00C26C81"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I denna översyn bör man utforska tanken om att inrätta en </w:t>
      </w:r>
      <w:r>
        <w:rPr>
          <w:b/>
        </w:rPr>
        <w:t>ny industriell giv för att erbjuda den europeiska industrin en konsoliderad strategi</w:t>
      </w:r>
      <w:r>
        <w:t xml:space="preserve"> som svar på de många utmaningar som den står inför (när det gäller vatten, energi, kritiska råvaror, digitalisering och strategiskt oberoende) inom fyra år.</w:t>
      </w:r>
    </w:p>
    <w:p w:rsidRPr="00C26C81"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Industriella och tekniska strategier till stöd för ett vattensmart samhälle måste vara tydligt strukturerade kring </w:t>
      </w:r>
      <w:r>
        <w:rPr>
          <w:b/>
        </w:rPr>
        <w:t>en heltäckande, hållbar vattenförvaltningspolitik för industrin</w:t>
      </w:r>
      <w:r>
        <w:t xml:space="preserve"> som går ut på att minska, återanvända och återvinna vatten och minska föroreningarna och där vatteneffektiv teknik stegvis införs och används, samtidigt som man säkerställer en rättvis omställning som </w:t>
      </w:r>
      <w:r>
        <w:rPr>
          <w:b/>
        </w:rPr>
        <w:t>tryggar industrins konkurrenskraft</w:t>
      </w:r>
      <w:r>
        <w:t>.</w:t>
      </w:r>
    </w:p>
    <w:p w:rsidRPr="00C26C81"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EESK framhåller behovet av ett </w:t>
      </w:r>
      <w:r>
        <w:rPr>
          <w:b/>
        </w:rPr>
        <w:t>europeiskt ekosystem för hantering av vattendata</w:t>
      </w:r>
      <w:r>
        <w:t xml:space="preserve"> samt behovet av att mäta vattenförbrukningen under hela produktionsprocessen och minimera användningen av dricksvatten för industriella ändamål.</w:t>
      </w:r>
    </w:p>
    <w:p w:rsidRPr="00C26C81"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Kommittén betonar behovet av att </w:t>
      </w:r>
      <w:r>
        <w:rPr>
          <w:b/>
        </w:rPr>
        <w:t>säkerställa tillgång till vatten för de viktigaste industrierna i krissituationer</w:t>
      </w:r>
      <w:r>
        <w:t>.</w:t>
      </w:r>
    </w:p>
    <w:p w:rsidRPr="00C26C81"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Man bör utarbeta en </w:t>
      </w:r>
      <w:r>
        <w:rPr>
          <w:b/>
        </w:rPr>
        <w:t>omställningsväg för att utveckla sektorn för ren och vatteneffektiv teknik</w:t>
      </w:r>
      <w:r>
        <w:t>, med en färdplan för den mänskliga dimensionen för att säkerställa tillgången till nödvändig kompetens, arbetstillfällen av hög kvalitet och anständiga arbetsvillkor.</w:t>
      </w:r>
    </w:p>
    <w:p w:rsidRPr="00C26C81"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EESK föreslår åtgärder till stöd för </w:t>
      </w:r>
      <w:r>
        <w:rPr>
          <w:b/>
        </w:rPr>
        <w:t>genomförandet av EU:s omställningsfond inom ramen för den blå given</w:t>
      </w:r>
      <w:r>
        <w:t xml:space="preserve"> på industriområdet.</w:t>
      </w:r>
    </w:p>
    <w:p w:rsidRPr="004307FF"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rsidRPr="004307FF">
        <w:rPr>
          <w:b/>
        </w:rPr>
        <w:t>Kommittén stöder inrättandet av kunskaps- och innovationsgruppen för vatten av Europeiska institutet för innovation och teknik (EIT).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Heli Niemelä-</w:t>
            </w:r>
            <w:proofErr w:type="spellStart"/>
            <w:r>
              <w:rPr>
                <w:i/>
              </w:rPr>
              <w:t>Farrer</w:t>
            </w:r>
            <w:proofErr w:type="spellEnd"/>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Tfn</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E-post:</w:t>
            </w:r>
          </w:p>
        </w:tc>
        <w:tc>
          <w:tcPr>
            <w:tcW w:w="3444" w:type="pct"/>
          </w:tcPr>
          <w:p w:rsidR="004F1302" w:rsidP="0066006A" w:rsidRDefault="00260FC3" w14:paraId="0FED9690" w14:textId="7A8281DF">
            <w:pPr>
              <w:overflowPunct w:val="0"/>
              <w:autoSpaceDE w:val="0"/>
              <w:autoSpaceDN w:val="0"/>
              <w:adjustRightInd w:val="0"/>
              <w:spacing w:line="240" w:lineRule="auto"/>
              <w:textAlignment w:val="baseline"/>
              <w:rPr>
                <w:i/>
                <w:color w:val="0000FF"/>
                <w:u w:val="single"/>
              </w:rPr>
            </w:pPr>
            <w:hyperlink w:history="1" r:id="rId41">
              <w:r w:rsidR="004F1302">
                <w:rPr>
                  <w:rStyle w:val="Hyperlink"/>
                </w:rPr>
                <w:t>Heli.Niemela-Farrer</w:t>
              </w:r>
              <w:r w:rsidR="004F1302">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2"/>
      <w:headerReference w:type="default" r:id="rId43"/>
      <w:footerReference w:type="even" r:id="rId44"/>
      <w:footerReference w:type="default" r:id="rId45"/>
      <w:headerReference w:type="first" r:id="rId46"/>
      <w:footerReference w:type="first" r:id="rId47"/>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 w:numId="30">
    <w:abstractNumId w:val="2"/>
  </w:num>
  <w:num w:numId="3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1FEA"/>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76B61"/>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07C"/>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13B"/>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0FC3"/>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0D1"/>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07F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0C6"/>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3604"/>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418"/>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048"/>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510"/>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152"/>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1B2D"/>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51"/>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bidi="hi-x-bh-SD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 w:type="character" w:styleId="UnresolvedMention">
    <w:name w:val="Unresolved Mention"/>
    <w:basedOn w:val="DefaultParagraphFont"/>
    <w:uiPriority w:val="99"/>
    <w:semiHidden/>
    <w:unhideWhenUsed/>
    <w:rsid w:val="00C2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mailto:Ioannis.Diamantopoulos@eesc.europa.eu"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dit.CarrerasGarcia@eesc.europa.eu" TargetMode="External"/><Relationship Id="rId11" Type="http://schemas.openxmlformats.org/officeDocument/2006/relationships/image" Target="media/image1.jpeg"/><Relationship Id="rId24" Type="http://schemas.openxmlformats.org/officeDocument/2006/relationships/hyperlink" Target="mailto:Valeria.Atzori@eesc.europa.eu" TargetMode="External"/><Relationship Id="rId32" Type="http://schemas.openxmlformats.org/officeDocument/2006/relationships/hyperlink" Target="https://www.eesc.europa.eu/sv/our-work/opinions-information-reports/opinions/plan-europeen-pour-vaincre-le-cancer-vers-un-approvisionnement-sur-en-radio-isotopes-usage-medical" TargetMode="External"/><Relationship Id="rId37" Type="http://schemas.openxmlformats.org/officeDocument/2006/relationships/hyperlink" Target="mailto:Adam.Dorywalski@eesc.europa.eu" TargetMode="External"/><Relationship Id="rId40" Type="http://schemas.openxmlformats.org/officeDocument/2006/relationships/hyperlink" Target="https://www.eesc.europa.eu/sv/our-work/opinions-information-reports/opinions/industrial-and-technological-approaches-and-best-practices-supporting-water-resilient-society" TargetMode="External"/><Relationship Id="rId45" Type="http://schemas.openxmlformats.org/officeDocument/2006/relationships/footer" Target="footer5.xml"/><Relationship Id="rId53"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sv/our-work/opinions-information-reports/opinions/vaccine-preventable-cancers" TargetMode="External"/><Relationship Id="rId28" Type="http://schemas.openxmlformats.org/officeDocument/2006/relationships/hyperlink" Target="mailto:June.Bedaton@eesc.europa.eu" TargetMode="External"/><Relationship Id="rId36" Type="http://schemas.openxmlformats.org/officeDocument/2006/relationships/hyperlink" Target="mailto:Ioannis.Diamantopoulos@eesc.europa.e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Arturo.Iniguez@eesc.europa.eu" TargetMode="External"/><Relationship Id="rId44" Type="http://schemas.openxmlformats.org/officeDocument/2006/relationships/footer" Target="footer4.xml"/><Relationship Id="rId52"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en/our-work/opinions-information-reports/opinions/no-place-hate-europe-united-against-hatred" TargetMode="External"/><Relationship Id="rId30" Type="http://schemas.openxmlformats.org/officeDocument/2006/relationships/hyperlink" Target="https://www.eesc.europa.eu/en/our-work/opinions-information-reports/opinions/revision-animal-welfare-legislation" TargetMode="External"/><Relationship Id="rId35" Type="http://schemas.openxmlformats.org/officeDocument/2006/relationships/hyperlink" Target="https://www.eesc.europa.eu/en/our-work/opinions-information-reports/opinions/drone-manufacturing-industry-case-study-assess-outcome-strategic-sector-different-policies-place-enhance-european"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2.xml"/><Relationship Id="rId12" Type="http://schemas.openxmlformats.org/officeDocument/2006/relationships/hyperlink" Target="https://www.eesc.europa.eu/s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sv/our-work/opinions-information-reports/opinions/revision-european-works-council-directive" TargetMode="External"/><Relationship Id="rId33" Type="http://schemas.openxmlformats.org/officeDocument/2006/relationships/hyperlink" Target="mailto:Maja.Radman@eesc.europa.eu" TargetMode="External"/><Relationship Id="rId38" Type="http://schemas.openxmlformats.org/officeDocument/2006/relationships/hyperlink" Target="https://www.eesc.europa.eu/sv/our-work/opinions-information-reports/opinions/european-defence-industrial-strategy" TargetMode="External"/><Relationship Id="rId46" Type="http://schemas.openxmlformats.org/officeDocument/2006/relationships/header" Target="header6.xml"/><Relationship Id="rId20" Type="http://schemas.openxmlformats.org/officeDocument/2006/relationships/hyperlink" Target="https://www.eesc.europa.eu/sv/our-work/opinions-information-reports/opinions/role-cohesion-policy-upcoming-rounds-eu-enlargement" TargetMode="External"/><Relationship Id="rId41" Type="http://schemas.openxmlformats.org/officeDocument/2006/relationships/hyperlink" Target="mailto:Heli.Niemela-Farrer@eesc.europa.eu" TargetMode="Externa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F7M6YNZUATRX-917472228-5894</_dlc_DocId>
    <_dlc_DocIdUrl xmlns="59ace41b-6786-4ce3-be71-52c27066c6ef">
      <Url>http://dm/eesc/2024/_layouts/15/DocIdRedir.aspx?ID=F7M6YNZUATRX-917472228-5894</Url>
      <Description>F7M6YNZUATRX-917472228-5894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2024-06-18T12:00:00+00:00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Wennblom Karin</DisplayName>
        <AccountId>1524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B6C080-15CC-4EA6-A441-1E539A956F50}"/>
</file>

<file path=customXml/itemProps2.xml><?xml version="1.0" encoding="utf-8"?>
<ds:datastoreItem xmlns:ds="http://schemas.openxmlformats.org/officeDocument/2006/customXml" ds:itemID="{75DCE69F-ABBD-4937-AB1F-8044D86F81C1}"/>
</file>

<file path=customXml/itemProps3.xml><?xml version="1.0" encoding="utf-8"?>
<ds:datastoreItem xmlns:ds="http://schemas.openxmlformats.org/officeDocument/2006/customXml" ds:itemID="{13259734-45D8-4994-A9F6-5A92BF29844A}"/>
</file>

<file path=customXml/itemProps4.xml><?xml version="1.0" encoding="utf-8"?>
<ds:datastoreItem xmlns:ds="http://schemas.openxmlformats.org/officeDocument/2006/customXml" ds:itemID="{49CECFA7-DA9A-4AA0-B100-D586B26F3CC7}"/>
</file>

<file path=docProps/app.xml><?xml version="1.0" encoding="utf-8"?>
<Properties xmlns="http://schemas.openxmlformats.org/officeDocument/2006/extended-properties" xmlns:vt="http://schemas.openxmlformats.org/officeDocument/2006/docPropsVTypes">
  <Template>Normal.dotm</Template>
  <TotalTime>0</TotalTime>
  <Pages>19</Pages>
  <Words>5766</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antagna yttranden - 588:e plenarsessionen - maj 2024</dc:title>
  <dc:subject>TCD</dc:subject>
  <dc:creator>Nieddu Emma</dc:creator>
  <cp:keywords>EESC-2024-01704-00-00-TCD-TRA-EN</cp:keywords>
  <dc:description>Rapporteur:  - Original language: EN - Date of document: 18/06/2024 - Date of meeting: 30/10/2024 14:30 - External documents:  - Administrator: MME TAMASAUSKIENE Julija</dc:description>
  <cp:lastModifiedBy>Wennblom Karin</cp:lastModifiedBy>
  <cp:revision>16</cp:revision>
  <cp:lastPrinted>2023-06-15T08:00:00Z</cp:lastPrinted>
  <dcterms:created xsi:type="dcterms:W3CDTF">2024-06-14T14:52:00Z</dcterms:created>
  <dcterms:modified xsi:type="dcterms:W3CDTF">2024-06-18T11:32:00Z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ff3582b1-c32a-4ce2-aaa6-43f2f58766a6</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EN|f2175f21-25d7-44a3-96da-d6a61b075e1b;DE|f6b31e5a-26fa-4935-b661-318e46daf27e;SL|98a412ae-eb01-49e9-ae3d-585a81724cfc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27;#SL|98a412ae-eb01-49e9-ae3d-585a81724cfc;#8;#Final|ea5e6674-7b27-4bac-b091-73adbb394efe;#7;#SPL-CES|32d8cb1f-c9ec-4365-95c7-8385a18618ac;#6;#Unrestricted|826e22d7-d029-4ec0-a450-0c28ff673572;#5;#EN|f2175f21-25d7-44a3-96da-d6a61b075e1b;#3;#TRA|150d2a88-1431-44e6-a8ca-0bb753ab8672;#25;#DE|f6b31e5a-26fa-4935-b661-318e46daf27e;#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21;#SV|c2ed69e7-a339-43d7-8f22-d93680a92aa0</vt:lpwstr>
  </property>
  <property fmtid="{D5CDD505-2E9C-101B-9397-08002B2CF9AE}" pid="38" name="_docset_NoMedatataSyncRequired">
    <vt:lpwstr>False</vt:lpwstr>
  </property>
</Properties>
</file>