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94B6B" w:rsidR="004D7AC0" w:rsidP="00775FC4" w:rsidRDefault="00897970" w14:paraId="785AE44C" w14:textId="6B1D8E91">
      <w:pPr>
        <w:jc w:val="center"/>
      </w:pPr>
      <w:r>
        <w:rPr>
          <w:noProof/>
        </w:rPr>
        <w:drawing>
          <wp:inline distT="0" distB="0" distL="0" distR="0" wp14:anchorId="61983B07" wp14:editId="21A8FDCE">
            <wp:extent cx="1792605" cy="1239520"/>
            <wp:effectExtent l="0" t="0" r="0" b="0"/>
            <wp:docPr id="2" name="Picture 2" title="EESCLogo_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title="EESCLogo_P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605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13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editId="67F33C7F" wp14:anchorId="60050413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765C4F" w:rsidP="004D7AC0" w:rsidRDefault="00765C4F" w14:paraId="2AA40ECF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0050413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">
                <v:textbox>
                  <w:txbxContent>
                    <w:p w:rsidRPr="00260E65" w:rsidR="00765C4F" w:rsidP="004D7AC0" w:rsidRDefault="00765C4F" w14:paraId="2AA40ECF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PT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094B6B" w:rsidR="004D7AC0" w:rsidP="00775FC4" w:rsidRDefault="004D7AC0" w14:paraId="51F52D79" w14:textId="77777777"/>
    <w:p w:rsidRPr="00094B6B" w:rsidR="004D7AC0" w:rsidP="00775FC4" w:rsidRDefault="00014C93" w14:paraId="45DE4A28" w14:textId="3DA65CCD">
      <w:pPr>
        <w:jc w:val="right"/>
      </w:pPr>
      <w:r>
        <w:t>Bruxelas, 21 de junho de 2024</w:t>
      </w:r>
    </w:p>
    <w:p w:rsidRPr="00094B6B" w:rsidR="004D7AC0" w:rsidP="00775FC4" w:rsidRDefault="004D7AC0" w14:paraId="6B250092" w14:textId="77777777"/>
    <w:p w:rsidRPr="00094B6B" w:rsidR="004D7AC0" w:rsidP="00775FC4" w:rsidRDefault="004D7AC0" w14:paraId="0593C6DF" w14:textId="77777777"/>
    <w:tbl>
      <w:tblPr>
        <w:tblW w:w="0" w:type="auto"/>
        <w:tblLook w:val="04A0" w:firstRow="1" w:lastRow="0" w:firstColumn="1" w:lastColumn="0" w:noHBand="0" w:noVBand="1"/>
      </w:tblPr>
      <w:tblGrid>
        <w:gridCol w:w="9289"/>
      </w:tblGrid>
      <w:tr w:rsidRPr="00094B6B" w:rsidR="004D7AC0" w:rsidTr="00662436" w14:paraId="6D7B3453" w14:textId="77777777">
        <w:tc>
          <w:tcPr>
            <w:tcW w:w="9289" w:type="dxa"/>
            <w:tcBorders>
              <w:bottom w:val="double" w:color="auto" w:sz="4" w:space="0"/>
            </w:tcBorders>
          </w:tcPr>
          <w:p w:rsidRPr="00094B6B" w:rsidR="001760E9" w:rsidP="00775FC4" w:rsidRDefault="00DA2D88" w14:paraId="3B286D4E" w14:textId="324300EF">
            <w:pPr>
              <w:snapToGrid w:val="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588.ª REUNIÃO PLENÁRIA</w:t>
            </w:r>
          </w:p>
          <w:p w:rsidRPr="00094B6B" w:rsidR="001760E9" w:rsidP="00775FC4" w:rsidRDefault="001760E9" w14:paraId="6C87A626" w14:textId="0AE2882C">
            <w:pPr>
              <w:snapToGrid w:val="0"/>
              <w:jc w:val="center"/>
              <w:rPr>
                <w:b/>
                <w:sz w:val="32"/>
              </w:rPr>
            </w:pPr>
          </w:p>
          <w:p w:rsidRPr="00094B6B" w:rsidR="001760E9" w:rsidP="00775FC4" w:rsidRDefault="005E7838" w14:paraId="6CF7229C" w14:textId="287F4AF2">
            <w:pPr>
              <w:snapToGrid w:val="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30 e 31 de maio de 2024</w:t>
            </w:r>
          </w:p>
          <w:p w:rsidRPr="00094B6B" w:rsidR="001760E9" w:rsidP="00775FC4" w:rsidRDefault="001760E9" w14:paraId="0C44BD01" w14:textId="2F8EBB07">
            <w:pPr>
              <w:snapToGrid w:val="0"/>
              <w:jc w:val="center"/>
              <w:rPr>
                <w:b/>
                <w:sz w:val="32"/>
              </w:rPr>
            </w:pPr>
          </w:p>
          <w:p w:rsidRPr="00094B6B" w:rsidR="004D7AC0" w:rsidP="00775FC4" w:rsidRDefault="00CF2F88" w14:paraId="114106CC" w14:textId="11A9DA7B">
            <w:pPr>
              <w:snapToGrid w:val="0"/>
              <w:jc w:val="center"/>
              <w:rPr>
                <w:rFonts w:eastAsia="MS Mincho"/>
                <w:b/>
                <w:sz w:val="32"/>
                <w:szCs w:val="32"/>
              </w:rPr>
            </w:pPr>
            <w:r>
              <w:rPr>
                <w:b/>
                <w:sz w:val="32"/>
              </w:rPr>
              <w:t>SÍNTESE DOS PARECERES, RESOLUÇÕES E RELATÓRIOS DE INFORMAÇÃO E AVALIAÇÃO ADOTADOS</w:t>
            </w:r>
          </w:p>
          <w:p w:rsidRPr="00094B6B" w:rsidR="004D7AC0" w:rsidP="00775FC4" w:rsidRDefault="004D7AC0" w14:paraId="06AE72EA" w14:textId="77777777">
            <w:pPr>
              <w:snapToGrid w:val="0"/>
            </w:pPr>
          </w:p>
        </w:tc>
      </w:tr>
      <w:tr w:rsidRPr="00094B6B" w:rsidR="004D7AC0" w:rsidTr="00662436" w14:paraId="45EAB22F" w14:textId="77777777">
        <w:tc>
          <w:tcPr>
            <w:tcW w:w="928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094B6B" w:rsidR="00B16284" w:rsidP="00775FC4" w:rsidRDefault="004D7AC0" w14:paraId="0A87E35B" w14:textId="77777777">
            <w:pPr>
              <w:snapToGrid w:val="0"/>
              <w:jc w:val="center"/>
            </w:pPr>
            <w:r>
              <w:t>O presente documento pode ser consultado nas línguas oficiais no sítio Web do CESE, no seguinte endereço:</w:t>
            </w:r>
          </w:p>
          <w:p w:rsidRPr="00094B6B" w:rsidR="00B16284" w:rsidP="00775FC4" w:rsidRDefault="00B16284" w14:paraId="4F26A4CE" w14:textId="77777777">
            <w:pPr>
              <w:snapToGrid w:val="0"/>
              <w:jc w:val="center"/>
            </w:pPr>
          </w:p>
          <w:p w:rsidRPr="00094B6B" w:rsidR="004D7AC0" w:rsidP="00775FC4" w:rsidRDefault="003C4B9D" w14:paraId="2A9352A2" w14:textId="0680ADB6">
            <w:pPr>
              <w:snapToGrid w:val="0"/>
              <w:jc w:val="center"/>
            </w:pPr>
            <w:hyperlink w:history="1" r:id="rId12">
              <w:r w:rsidR="00897970">
                <w:rPr>
                  <w:rStyle w:val="Hyperlink"/>
                  <w:highlight w:val="yellow"/>
                </w:rPr>
                <w:t>https://www.eesc.europa.eu/en</w:t>
              </w:r>
              <w:r w:rsidR="00897970">
                <w:rPr>
                  <w:rStyle w:val="Hyperlink"/>
                  <w:highlight w:val="yellow"/>
                </w:rPr>
                <w:t>/our-work/opinions-information-reports/plenary-session-summaries</w:t>
              </w:r>
            </w:hyperlink>
          </w:p>
          <w:p w:rsidRPr="00094B6B" w:rsidR="004D7AC0" w:rsidP="00775FC4" w:rsidRDefault="004D7AC0" w14:paraId="70D5DBB4" w14:textId="77777777">
            <w:pPr>
              <w:snapToGrid w:val="0"/>
              <w:jc w:val="center"/>
            </w:pPr>
          </w:p>
          <w:p w:rsidRPr="00094B6B" w:rsidR="004D7AC0" w:rsidP="00775FC4" w:rsidRDefault="004D7AC0" w14:paraId="575A73D6" w14:textId="77777777">
            <w:pPr>
              <w:snapToGrid w:val="0"/>
              <w:jc w:val="center"/>
              <w:rPr>
                <w:rFonts w:eastAsia="SimSun"/>
              </w:rPr>
            </w:pPr>
          </w:p>
          <w:p w:rsidRPr="00094B6B" w:rsidR="00B16284" w:rsidP="00775FC4" w:rsidRDefault="004D7AC0" w14:paraId="1C64BC20" w14:textId="77777777">
            <w:pPr>
              <w:snapToGrid w:val="0"/>
              <w:jc w:val="center"/>
            </w:pPr>
            <w:r>
              <w:t>Os pareceres mencionados podem ser consultados em linha através do motor de busca do CESE:</w:t>
            </w:r>
          </w:p>
          <w:p w:rsidRPr="00094B6B" w:rsidR="00B16284" w:rsidP="00775FC4" w:rsidRDefault="00B16284" w14:paraId="7A5411A5" w14:textId="77777777">
            <w:pPr>
              <w:snapToGrid w:val="0"/>
              <w:jc w:val="center"/>
            </w:pPr>
          </w:p>
          <w:p w:rsidRPr="00094B6B" w:rsidR="004D7AC0" w:rsidP="00775FC4" w:rsidRDefault="003C4B9D" w14:paraId="441AC4DD" w14:textId="1194D751">
            <w:pPr>
              <w:snapToGrid w:val="0"/>
              <w:jc w:val="center"/>
            </w:pPr>
            <w:hyperlink w:history="1" r:id="rId13">
              <w:r w:rsidR="00897970">
                <w:rPr>
                  <w:rStyle w:val="Hyperlink"/>
                </w:rPr>
                <w:t>https://dmsearch.eesc</w:t>
              </w:r>
              <w:r w:rsidR="00897970">
                <w:rPr>
                  <w:rStyle w:val="Hyperlink"/>
                </w:rPr>
                <w:t>.europa.eu/search/opinion</w:t>
              </w:r>
            </w:hyperlink>
          </w:p>
          <w:p w:rsidRPr="00094B6B" w:rsidR="004D7AC0" w:rsidP="00775FC4" w:rsidRDefault="004D7AC0" w14:paraId="51FF303F" w14:textId="77777777">
            <w:pPr>
              <w:snapToGrid w:val="0"/>
              <w:jc w:val="center"/>
            </w:pPr>
          </w:p>
        </w:tc>
      </w:tr>
    </w:tbl>
    <w:p w:rsidRPr="00094B6B" w:rsidR="004D7AC0" w:rsidP="00775FC4" w:rsidRDefault="004D7AC0" w14:paraId="57C291FC" w14:textId="77777777"/>
    <w:p w:rsidRPr="00094B6B" w:rsidR="004D7AC0" w:rsidP="00775FC4" w:rsidRDefault="004D7AC0" w14:paraId="5E675360" w14:textId="77777777"/>
    <w:p w:rsidRPr="00094B6B" w:rsidR="005A29D5" w:rsidP="00775FC4" w:rsidRDefault="005A29D5" w14:paraId="3CF67A1E" w14:textId="77777777">
      <w:pPr>
        <w:sectPr w:rsidRPr="00094B6B" w:rsidR="005A29D5" w:rsidSect="005C28F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/>
          <w:pgMar w:top="1417" w:right="1417" w:bottom="1417" w:left="1417" w:header="709" w:footer="709" w:gutter="0"/>
          <w:pgNumType w:start="1"/>
          <w:cols w:space="708"/>
          <w:docGrid w:linePitch="360"/>
        </w:sectPr>
      </w:pPr>
    </w:p>
    <w:p w:rsidRPr="00E31152" w:rsidR="00E31152" w:rsidP="00775FC4" w:rsidRDefault="0014322B" w14:paraId="0D3450B1" w14:textId="72CD896C">
      <w:pPr>
        <w:keepNext/>
        <w:keepLines/>
        <w:ind w:hanging="284"/>
        <w:jc w:val="left"/>
        <w:rPr>
          <w:rFonts w:asciiTheme="majorHAnsi" w:hAnsiTheme="majorHAnsi" w:eastAsiaTheme="majorEastAsia" w:cstheme="majorBidi"/>
          <w:color w:val="2E74B5" w:themeColor="accent1" w:themeShade="BF"/>
          <w:sz w:val="32"/>
          <w:szCs w:val="32"/>
        </w:rPr>
      </w:pPr>
      <w:r>
        <w:rPr>
          <w:rFonts w:asciiTheme="majorHAnsi" w:hAnsiTheme="majorHAnsi"/>
          <w:color w:val="2E74B5" w:themeColor="accent1" w:themeShade="BF"/>
          <w:sz w:val="32"/>
        </w:rPr>
        <w:lastRenderedPageBreak/>
        <w:t>Índice</w:t>
      </w:r>
    </w:p>
    <w:p w:rsidR="0008270C" w:rsidRDefault="008772F9" w14:paraId="1A1059A6" w14:textId="12C1B414">
      <w:pPr>
        <w:pStyle w:val="TOC1"/>
        <w:rPr>
          <w:rFonts w:asciiTheme="minorHAnsi" w:hAnsiTheme="minorHAnsi" w:eastAsiaTheme="minorEastAsia" w:cstheme="minorBidi"/>
          <w:bCs w:val="0"/>
          <w:sz w:val="22"/>
          <w:szCs w:val="22"/>
          <w:lang w:val="en-GB" w:eastAsia="en-GB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history="1" w:anchor="_Toc169614960">
        <w:r w:rsidRPr="00523880" w:rsidR="0008270C">
          <w:rPr>
            <w:rStyle w:val="Hyperlink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</w:t>
        </w:r>
        <w:r w:rsidR="0008270C">
          <w:rPr>
            <w:rFonts w:asciiTheme="minorHAnsi" w:hAnsiTheme="minorHAnsi" w:eastAsiaTheme="minorEastAsia" w:cstheme="minorBidi"/>
            <w:bCs w:val="0"/>
            <w:sz w:val="22"/>
            <w:szCs w:val="22"/>
            <w:lang w:val="en-GB" w:eastAsia="en-GB"/>
          </w:rPr>
          <w:tab/>
        </w:r>
        <w:r w:rsidRPr="00523880" w:rsidR="0008270C">
          <w:rPr>
            <w:rStyle w:val="Hyperlink"/>
            <w:b/>
          </w:rPr>
          <w:t>UNIÃO ECONÓMICA E MONETÁRIA E COESÃO ECONÓMICA E SOCIAL</w:t>
        </w:r>
        <w:r w:rsidR="0008270C">
          <w:rPr>
            <w:webHidden/>
          </w:rPr>
          <w:tab/>
        </w:r>
        <w:r w:rsidR="0008270C">
          <w:rPr>
            <w:webHidden/>
          </w:rPr>
          <w:fldChar w:fldCharType="begin"/>
        </w:r>
        <w:r w:rsidR="0008270C">
          <w:rPr>
            <w:webHidden/>
          </w:rPr>
          <w:instrText xml:space="preserve"> PAGEREF _Toc169614960 \h </w:instrText>
        </w:r>
        <w:r w:rsidR="0008270C">
          <w:rPr>
            <w:webHidden/>
          </w:rPr>
        </w:r>
        <w:r w:rsidR="0008270C">
          <w:rPr>
            <w:webHidden/>
          </w:rPr>
          <w:fldChar w:fldCharType="separate"/>
        </w:r>
        <w:r w:rsidR="0008270C">
          <w:rPr>
            <w:webHidden/>
          </w:rPr>
          <w:t>3</w:t>
        </w:r>
        <w:r w:rsidR="0008270C">
          <w:rPr>
            <w:webHidden/>
          </w:rPr>
          <w:fldChar w:fldCharType="end"/>
        </w:r>
      </w:hyperlink>
    </w:p>
    <w:p w:rsidR="0008270C" w:rsidRDefault="0008270C" w14:paraId="004BEF14" w14:textId="1749C8F5">
      <w:pPr>
        <w:pStyle w:val="TOC1"/>
        <w:rPr>
          <w:rFonts w:asciiTheme="minorHAnsi" w:hAnsiTheme="minorHAnsi" w:eastAsiaTheme="minorEastAsia" w:cstheme="minorBidi"/>
          <w:bCs w:val="0"/>
          <w:sz w:val="22"/>
          <w:szCs w:val="22"/>
          <w:lang w:val="en-GB" w:eastAsia="en-GB"/>
        </w:rPr>
      </w:pPr>
      <w:hyperlink w:history="1" w:anchor="_Toc169614961">
        <w:r w:rsidRPr="00523880">
          <w:rPr>
            <w:rStyle w:val="Hyperlink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</w:t>
        </w:r>
        <w:r>
          <w:rPr>
            <w:rFonts w:asciiTheme="minorHAnsi" w:hAnsiTheme="minorHAnsi" w:eastAsiaTheme="minorEastAsia" w:cstheme="minorBidi"/>
            <w:bCs w:val="0"/>
            <w:sz w:val="22"/>
            <w:szCs w:val="22"/>
            <w:lang w:val="en-GB" w:eastAsia="en-GB"/>
          </w:rPr>
          <w:tab/>
        </w:r>
        <w:r w:rsidRPr="00523880">
          <w:rPr>
            <w:rStyle w:val="Hyperlink"/>
            <w:b/>
          </w:rPr>
          <w:t>EMPREGO, ASSUNTOS SOCIAIS E CIDADANIA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_Toc169614961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08270C" w:rsidRDefault="0008270C" w14:paraId="7C1F8776" w14:textId="0E13A0D0">
      <w:pPr>
        <w:pStyle w:val="TOC1"/>
        <w:rPr>
          <w:rFonts w:asciiTheme="minorHAnsi" w:hAnsiTheme="minorHAnsi" w:eastAsiaTheme="minorEastAsia" w:cstheme="minorBidi"/>
          <w:bCs w:val="0"/>
          <w:sz w:val="22"/>
          <w:szCs w:val="22"/>
          <w:lang w:val="en-GB" w:eastAsia="en-GB"/>
        </w:rPr>
      </w:pPr>
      <w:hyperlink w:history="1" w:anchor="_Toc169614962">
        <w:r w:rsidRPr="00523880">
          <w:rPr>
            <w:rStyle w:val="Hyperlink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</w:t>
        </w:r>
        <w:r>
          <w:rPr>
            <w:rFonts w:asciiTheme="minorHAnsi" w:hAnsiTheme="minorHAnsi" w:eastAsiaTheme="minorEastAsia" w:cstheme="minorBidi"/>
            <w:bCs w:val="0"/>
            <w:sz w:val="22"/>
            <w:szCs w:val="22"/>
            <w:lang w:val="en-GB" w:eastAsia="en-GB"/>
          </w:rPr>
          <w:tab/>
        </w:r>
        <w:r w:rsidRPr="00523880">
          <w:rPr>
            <w:rStyle w:val="Hyperlink"/>
            <w:b/>
          </w:rPr>
          <w:t>AGRICULTURA, DESENVOLVIMENTO RURAL E AMBIENTE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_Toc169614962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08270C" w:rsidRDefault="0008270C" w14:paraId="609CB8B8" w14:textId="1793478F">
      <w:pPr>
        <w:pStyle w:val="TOC1"/>
        <w:rPr>
          <w:rFonts w:asciiTheme="minorHAnsi" w:hAnsiTheme="minorHAnsi" w:eastAsiaTheme="minorEastAsia" w:cstheme="minorBidi"/>
          <w:bCs w:val="0"/>
          <w:sz w:val="22"/>
          <w:szCs w:val="22"/>
          <w:lang w:val="en-GB" w:eastAsia="en-GB"/>
        </w:rPr>
      </w:pPr>
      <w:hyperlink w:history="1" w:anchor="_Toc169614963">
        <w:r w:rsidRPr="00523880">
          <w:rPr>
            <w:rStyle w:val="Hyperlink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</w:t>
        </w:r>
        <w:r>
          <w:rPr>
            <w:rFonts w:asciiTheme="minorHAnsi" w:hAnsiTheme="minorHAnsi" w:eastAsiaTheme="minorEastAsia" w:cstheme="minorBidi"/>
            <w:bCs w:val="0"/>
            <w:sz w:val="22"/>
            <w:szCs w:val="22"/>
            <w:lang w:val="en-GB" w:eastAsia="en-GB"/>
          </w:rPr>
          <w:tab/>
        </w:r>
        <w:r w:rsidRPr="00523880">
          <w:rPr>
            <w:rStyle w:val="Hyperlink"/>
            <w:b/>
          </w:rPr>
          <w:t>TRANSPORTES, ENERGIA, INFRAESTRUTURAS E SOCIEDADE DA INFORMAÇÃO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_Toc169614963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08270C" w:rsidRDefault="0008270C" w14:paraId="776766FF" w14:textId="0B17DDC0">
      <w:pPr>
        <w:pStyle w:val="TOC1"/>
        <w:rPr>
          <w:rFonts w:asciiTheme="minorHAnsi" w:hAnsiTheme="minorHAnsi" w:eastAsiaTheme="minorEastAsia" w:cstheme="minorBidi"/>
          <w:bCs w:val="0"/>
          <w:sz w:val="22"/>
          <w:szCs w:val="22"/>
          <w:lang w:val="en-GB" w:eastAsia="en-GB"/>
        </w:rPr>
      </w:pPr>
      <w:hyperlink w:history="1" w:anchor="_Toc169614964">
        <w:r w:rsidRPr="00523880">
          <w:rPr>
            <w:rStyle w:val="Hyperlink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5.</w:t>
        </w:r>
        <w:r>
          <w:rPr>
            <w:rFonts w:asciiTheme="minorHAnsi" w:hAnsiTheme="minorHAnsi" w:eastAsiaTheme="minorEastAsia" w:cstheme="minorBidi"/>
            <w:bCs w:val="0"/>
            <w:sz w:val="22"/>
            <w:szCs w:val="22"/>
            <w:lang w:val="en-GB" w:eastAsia="en-GB"/>
          </w:rPr>
          <w:tab/>
        </w:r>
        <w:r w:rsidRPr="00523880">
          <w:rPr>
            <w:rStyle w:val="Hyperlink"/>
            <w:b/>
          </w:rPr>
          <w:t>COMISSÃO CONSULTIVA DAS MUTAÇÕES INDUSTRIAIS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_Toc169614964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C86ABD" w:rsidRDefault="008772F9" w14:paraId="4EDE006A" w14:textId="54E74404">
      <w:pPr>
        <w:jc w:val="left"/>
      </w:pPr>
      <w:r>
        <w:fldChar w:fldCharType="end"/>
      </w:r>
      <w:r>
        <w:br w:type="page"/>
      </w:r>
    </w:p>
    <w:p w:rsidRPr="00EE2FBD" w:rsidR="0038273B" w:rsidP="00770F41" w:rsidRDefault="0038273B" w14:paraId="62CE6920" w14:textId="4AB21D19">
      <w:pPr>
        <w:pStyle w:val="Heading1"/>
        <w:tabs>
          <w:tab w:val="clear" w:pos="440"/>
          <w:tab w:val="left" w:pos="567"/>
        </w:tabs>
        <w:ind w:left="567" w:hanging="567"/>
        <w:rPr>
          <w:b/>
          <w:bCs/>
        </w:rPr>
      </w:pPr>
      <w:bookmarkStart w:name="_Toc169614960" w:id="0"/>
      <w:r>
        <w:rPr>
          <w:b/>
        </w:rPr>
        <w:lastRenderedPageBreak/>
        <w:t>UNIÃO ECONÓMICA E MONETÁRIA E COESÃO ECONÓMICA E SOCIAL</w:t>
      </w:r>
      <w:bookmarkEnd w:id="0"/>
    </w:p>
    <w:p w:rsidR="00105700" w:rsidP="00770F41" w:rsidRDefault="00105700" w14:paraId="72AAE541" w14:textId="7B9D6C9D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sz w:val="24"/>
          <w:szCs w:val="24"/>
        </w:rPr>
      </w:pPr>
    </w:p>
    <w:p w:rsidR="006C19F4" w:rsidP="00770F41" w:rsidRDefault="006C19F4" w14:paraId="615CB201" w14:textId="46FEF5A0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sz w:val="24"/>
          <w:szCs w:val="24"/>
        </w:rPr>
      </w:pPr>
    </w:p>
    <w:p w:rsidRPr="00DC0FAE" w:rsidR="006C19F4" w:rsidP="00C26C81" w:rsidRDefault="003C4B9D" w14:paraId="3A82A886" w14:textId="11A0A9D6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120"/>
        <w:ind w:hanging="567"/>
        <w:textAlignment w:val="baseline"/>
        <w:rPr>
          <w:b/>
          <w:i/>
          <w:iCs/>
          <w:sz w:val="28"/>
          <w:szCs w:val="28"/>
        </w:rPr>
      </w:pPr>
      <w:hyperlink w:history="1" r:id="rId20">
        <w:r w:rsidR="00897970">
          <w:rPr>
            <w:b/>
            <w:i/>
            <w:color w:val="0000FF"/>
            <w:sz w:val="28"/>
            <w:u w:val="single"/>
          </w:rPr>
          <w:t>O papel da política de coesã</w:t>
        </w:r>
        <w:r w:rsidR="00897970">
          <w:rPr>
            <w:b/>
            <w:i/>
            <w:color w:val="0000FF"/>
            <w:sz w:val="28"/>
            <w:u w:val="single"/>
          </w:rPr>
          <w:t>o nas próximas rondas de alargamento da UE</w:t>
        </w:r>
      </w:hyperlink>
    </w:p>
    <w:p w:rsidRPr="006C19F4" w:rsidR="00190D28" w:rsidP="00DC0FAE" w:rsidRDefault="00190D28" w14:paraId="647D4419" w14:textId="77777777">
      <w:pPr>
        <w:widowControl w:val="0"/>
        <w:overflowPunct w:val="0"/>
        <w:autoSpaceDE w:val="0"/>
        <w:autoSpaceDN w:val="0"/>
        <w:adjustRightInd w:val="0"/>
        <w:spacing w:after="120"/>
        <w:ind w:left="284"/>
        <w:textAlignment w:val="baseline"/>
        <w:rPr>
          <w:b/>
          <w:i/>
          <w:iCs/>
          <w:sz w:val="28"/>
          <w:szCs w:val="28"/>
        </w:rPr>
      </w:pPr>
    </w:p>
    <w:tbl>
      <w:tblPr>
        <w:tblStyle w:val="TableGrid212"/>
        <w:tblW w:w="932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01"/>
        <w:gridCol w:w="7621"/>
      </w:tblGrid>
      <w:tr w:rsidRPr="006C19F4" w:rsidR="006C19F4" w:rsidTr="00FE3058" w14:paraId="7BA389F8" w14:textId="77777777">
        <w:tc>
          <w:tcPr>
            <w:tcW w:w="1701" w:type="dxa"/>
          </w:tcPr>
          <w:p w:rsidRPr="006C19F4" w:rsidR="006C19F4" w:rsidP="006C19F4" w:rsidRDefault="006C19F4" w14:paraId="4187F6BE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Relatora</w:t>
            </w:r>
          </w:p>
        </w:tc>
        <w:tc>
          <w:tcPr>
            <w:tcW w:w="7621" w:type="dxa"/>
          </w:tcPr>
          <w:p w:rsidRPr="006C19F4" w:rsidR="006C19F4" w:rsidP="006C19F4" w:rsidRDefault="006C19F4" w14:paraId="1811BD9A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Cs/>
              </w:rPr>
            </w:pPr>
            <w:r>
              <w:t>Maria del Carmen Barrera Chamorro (ES – Grupo dos Trabalhadores)</w:t>
            </w:r>
          </w:p>
        </w:tc>
      </w:tr>
      <w:tr w:rsidRPr="006C19F4" w:rsidR="006C19F4" w:rsidTr="00FE3058" w14:paraId="73869A75" w14:textId="77777777">
        <w:tc>
          <w:tcPr>
            <w:tcW w:w="9322" w:type="dxa"/>
            <w:gridSpan w:val="2"/>
          </w:tcPr>
          <w:p w:rsidRPr="006C19F4" w:rsidR="006C19F4" w:rsidP="006C19F4" w:rsidRDefault="006C19F4" w14:paraId="4BF0E4CE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</w:pPr>
          </w:p>
        </w:tc>
      </w:tr>
      <w:tr w:rsidRPr="006C19F4" w:rsidR="006C19F4" w:rsidTr="00FE3058" w14:paraId="232B8808" w14:textId="77777777">
        <w:tc>
          <w:tcPr>
            <w:tcW w:w="1701" w:type="dxa"/>
          </w:tcPr>
          <w:p w:rsidRPr="006C19F4" w:rsidR="006C19F4" w:rsidP="006C19F4" w:rsidRDefault="006C19F4" w14:paraId="0DE082BA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Referências</w:t>
            </w:r>
          </w:p>
        </w:tc>
        <w:tc>
          <w:tcPr>
            <w:tcW w:w="7621" w:type="dxa"/>
          </w:tcPr>
          <w:p w:rsidRPr="00DC0FAE" w:rsidR="00ED5F1D" w:rsidP="00ED5F1D" w:rsidRDefault="00ED5F1D" w14:paraId="6C26CE56" w14:textId="7EC335DB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Parecer exploratório a pedido da Comissão Europeia </w:t>
            </w:r>
          </w:p>
          <w:p w:rsidRPr="006C19F4" w:rsidR="006C19F4" w:rsidP="006C19F4" w:rsidRDefault="006C19F4" w14:paraId="7903D5BC" w14:textId="592052F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EESC-2024-00535-00-00-AC</w:t>
            </w:r>
          </w:p>
        </w:tc>
      </w:tr>
    </w:tbl>
    <w:p w:rsidR="00556279" w:rsidP="006C19F4" w:rsidRDefault="00556279" w14:paraId="3EB4A714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spacing w:before="120"/>
        <w:ind w:left="266" w:hanging="266"/>
        <w:textAlignment w:val="baseline"/>
        <w:rPr>
          <w:b/>
        </w:rPr>
      </w:pPr>
    </w:p>
    <w:p w:rsidR="006C19F4" w:rsidP="006C19F4" w:rsidRDefault="006C19F4" w14:paraId="580E62C3" w14:textId="193AC286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spacing w:before="120"/>
        <w:ind w:left="266" w:hanging="266"/>
        <w:textAlignment w:val="baseline"/>
        <w:rPr>
          <w:b/>
        </w:rPr>
      </w:pPr>
      <w:r>
        <w:rPr>
          <w:b/>
        </w:rPr>
        <w:t>Pontos principais</w:t>
      </w:r>
    </w:p>
    <w:p w:rsidRPr="006C19F4" w:rsidR="00ED5F1D" w:rsidP="006C19F4" w:rsidRDefault="00ED5F1D" w14:paraId="7E453C4F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spacing w:before="120"/>
        <w:ind w:left="266" w:hanging="266"/>
        <w:textAlignment w:val="baseline"/>
        <w:rPr>
          <w:b/>
        </w:rPr>
      </w:pPr>
    </w:p>
    <w:p w:rsidR="006C19F4" w:rsidP="006C19F4" w:rsidRDefault="006C19F4" w14:paraId="3AEFB419" w14:textId="78037879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O Comité Económico e Social Europeu:</w:t>
      </w:r>
    </w:p>
    <w:p w:rsidRPr="006C19F4" w:rsidR="007A51DE" w:rsidP="006C19F4" w:rsidRDefault="007A51DE" w14:paraId="3831A5EE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</w:p>
    <w:p w:rsidRPr="006C19F4" w:rsidR="006C19F4" w:rsidP="00DC0FAE" w:rsidRDefault="006C19F4" w14:paraId="18DCF415" w14:textId="77777777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200" w:line="276" w:lineRule="auto"/>
        <w:contextualSpacing/>
        <w:textAlignment w:val="baseline"/>
        <w:rPr>
          <w:bCs/>
          <w:iCs/>
        </w:rPr>
      </w:pPr>
      <w:r>
        <w:t>salienta que a política de assistência de pré-adesão é um instrumento indispensável da política de alargamento, cuja influência pode ser reforçada para promover a paz e a prosperidade em todo o continente europeu, em especial nas regiões onde a paz e a estabilidade foram recentemente postas em causa;</w:t>
      </w:r>
    </w:p>
    <w:p w:rsidRPr="006C19F4" w:rsidR="006C19F4" w:rsidP="00DC0FAE" w:rsidRDefault="006C19F4" w14:paraId="6F8C8AAA" w14:textId="77777777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200" w:line="276" w:lineRule="auto"/>
        <w:contextualSpacing/>
        <w:textAlignment w:val="baseline"/>
        <w:rPr>
          <w:bCs/>
          <w:iCs/>
        </w:rPr>
      </w:pPr>
      <w:r>
        <w:t>observa que, a fim de preparar os países candidatos para uma aplicação plena dos instrumentos da política de coesão no futuro, é importante que a política de assistência de pré-adesão da União Europeia (UE) se adapte melhor aos pontos fortes, aos desafios e às necessidades das regiões desses países, bem como das regiões limítrofes dos Estados-Membros da UE;</w:t>
      </w:r>
    </w:p>
    <w:p w:rsidRPr="006C19F4" w:rsidR="006C19F4" w:rsidP="00DC0FAE" w:rsidRDefault="006C19F4" w14:paraId="7DB08F12" w14:textId="77777777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200" w:line="276" w:lineRule="auto"/>
        <w:contextualSpacing/>
        <w:textAlignment w:val="baseline"/>
        <w:rPr>
          <w:bCs/>
          <w:iCs/>
        </w:rPr>
      </w:pPr>
      <w:r>
        <w:t>recomenda que a política de assistência de pré-adesão da UE nos países candidatos invista de forma mais sistemática no desenvolvimento do capital humano, na educação e na integração social, a fim de prevenir e atenuar as desigualdades sociais. É fundamental promover ligações com as organizações da sociedade civil para a melhoria do planeamento da política de assistência de pré-adesão;</w:t>
      </w:r>
    </w:p>
    <w:p w:rsidRPr="006C19F4" w:rsidR="006C19F4" w:rsidP="00DC0FAE" w:rsidRDefault="006C19F4" w14:paraId="796D945B" w14:textId="77777777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200" w:line="276" w:lineRule="auto"/>
        <w:contextualSpacing/>
        <w:textAlignment w:val="baseline"/>
        <w:rPr>
          <w:bCs/>
          <w:iCs/>
        </w:rPr>
      </w:pPr>
      <w:r>
        <w:t>considera que, na futura política de coesão, deve dar-se prioridade à proteção dos grupos vulneráveis, que se deparam com obstáculos adicionais e extraordinários ao seu desenvolvimento económico e social e podem enfrentar outros desafios no futuro processo de adesão;</w:t>
      </w:r>
    </w:p>
    <w:p w:rsidRPr="006C19F4" w:rsidR="006C19F4" w:rsidP="00DC0FAE" w:rsidRDefault="006C19F4" w14:paraId="7BE159C5" w14:textId="77777777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200" w:line="276" w:lineRule="auto"/>
        <w:contextualSpacing/>
        <w:textAlignment w:val="baseline"/>
        <w:rPr>
          <w:bCs/>
          <w:iCs/>
        </w:rPr>
      </w:pPr>
      <w:r>
        <w:t>insiste em que parcerias mais sólidas com as organizações da sociedade civil dos países candidatos assumem um valor inestimável para a promoção dos objetivos do alargamento e mostram estar em consonância com estratégias de desenvolvimento eficazes e inclusivas, recorrendo a princípios estabelecidos de parceria forte e de gestão partilhada;</w:t>
      </w:r>
    </w:p>
    <w:p w:rsidRPr="006C19F4" w:rsidR="006C19F4" w:rsidP="00DC0FAE" w:rsidRDefault="006C19F4" w14:paraId="0F3DDE5E" w14:textId="77777777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200" w:line="276" w:lineRule="auto"/>
        <w:contextualSpacing/>
        <w:textAlignment w:val="baseline"/>
        <w:rPr>
          <w:bCs/>
          <w:iCs/>
        </w:rPr>
      </w:pPr>
      <w:r>
        <w:t>salienta que o papel da política de coesão tem de ir muito além do investimento fundamental. É imperativo que se centre no desenvolvimento institucional e no reforço das capacidades, incluindo programas de geminação e apoio à sociedade civil e aos parceiros sociais.</w:t>
      </w:r>
    </w:p>
    <w:p w:rsidRPr="006C19F4" w:rsidR="006C19F4" w:rsidP="00DC0FAE" w:rsidRDefault="006C19F4" w14:paraId="5388831B" w14:textId="77777777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200" w:line="276" w:lineRule="auto"/>
        <w:contextualSpacing/>
        <w:textAlignment w:val="baseline"/>
        <w:rPr>
          <w:bCs/>
          <w:iCs/>
        </w:rPr>
      </w:pPr>
      <w:r>
        <w:t>sublinha que as vagas de alargamento também tiveram impacto nos atuais Estados-Membros e nas suas regiões, à medida que os novos Estados-Membros aderiram ao mercado único e afetaram a cadeia de valor internacional e a migração laboral na UE. Por conseguinte, são necessários fundos adicionais para investir nas regiões limítrofes dos países candidatos, bem como nas regiões dos atuais Estados-Membros gravemente afetadas pelas mudanças na UE e nas cadeias de valor mundiais em resultado do alargamento;</w:t>
      </w:r>
    </w:p>
    <w:p w:rsidRPr="006C19F4" w:rsidR="006C19F4" w:rsidP="00DC0FAE" w:rsidRDefault="006C19F4" w14:paraId="371A7D2C" w14:textId="77777777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200" w:line="276" w:lineRule="auto"/>
        <w:contextualSpacing/>
        <w:textAlignment w:val="baseline"/>
        <w:rPr>
          <w:bCs/>
          <w:iCs/>
        </w:rPr>
      </w:pPr>
      <w:r>
        <w:lastRenderedPageBreak/>
        <w:t>considera que paralelamente ao processo de alargamento, a Comissão Europeia deve orientar as suas reformas da futura política de coesão para reforçar a eficácia das políticas atuais – com base numa especialização e diversificação acrescidas – e dotá-la de uma maior flexibilidade e especialização financeira. Nenhuma assistência financeira pode originar prosperidade económica sem esforços paralelos de desenvolvimento institucional, reforma da governação e participação da sociedade civil;</w:t>
      </w:r>
    </w:p>
    <w:p w:rsidRPr="006C19F4" w:rsidR="006C19F4" w:rsidP="00DC0FAE" w:rsidRDefault="006C19F4" w14:paraId="0E40DD13" w14:textId="77777777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200" w:line="276" w:lineRule="auto"/>
        <w:contextualSpacing/>
        <w:textAlignment w:val="baseline"/>
        <w:rPr>
          <w:bCs/>
          <w:iCs/>
        </w:rPr>
      </w:pPr>
      <w:r>
        <w:t>salienta a necessidade de medidas urgentes para travar a vaga de emigração nos países candidatos à adesão à UE, que ameaça destruir o potencial de desenvolvimento económico e social, recorrendo para o efeito a várias medidas políticas, incluindo o investimento em capital humano;</w:t>
      </w:r>
    </w:p>
    <w:p w:rsidRPr="006C19F4" w:rsidR="006C19F4" w:rsidP="00DC0FAE" w:rsidRDefault="006C19F4" w14:paraId="696DDE71" w14:textId="77777777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200" w:line="276" w:lineRule="auto"/>
        <w:contextualSpacing/>
        <w:textAlignment w:val="baseline"/>
        <w:rPr>
          <w:bCs/>
          <w:iCs/>
        </w:rPr>
      </w:pPr>
      <w:r>
        <w:t>considera essencial melhorar a situação dos jovens nos países candidatos. Cabe envidar esforços para melhorar as competências e o emprego dos jovens e para aumentar as oportunidades de educação e de emprego de qualidade para os jovens, a par de soluções de habitação. Também se deve incentivar o diálogo e a participação dos jovens em iniciativas da Garantia para a Juventude;</w:t>
      </w:r>
    </w:p>
    <w:p w:rsidR="006C19F4" w:rsidP="00ED5F1D" w:rsidRDefault="006C19F4" w14:paraId="36FB8C43" w14:textId="60DCA5EA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200" w:line="276" w:lineRule="auto"/>
        <w:contextualSpacing/>
        <w:textAlignment w:val="baseline"/>
        <w:rPr>
          <w:bCs/>
          <w:iCs/>
        </w:rPr>
      </w:pPr>
      <w:r>
        <w:t>recomenda que se intensifiquem os esforços para cuidar das pessoas e dos grupos mais vulneráveis nos países candidatos, integrando-os não só nos sistemas de proteção, mas também considerando-os no processo de decisão, o que constitui a melhor forma de concretizar o primeiro princípio básico da política de coesão de «não deixar ninguém para trás».</w:t>
      </w:r>
    </w:p>
    <w:p w:rsidRPr="006C19F4" w:rsidR="00ED5F1D" w:rsidP="00DC0FAE" w:rsidRDefault="00ED5F1D" w14:paraId="0BD5F507" w14:textId="77777777">
      <w:pPr>
        <w:overflowPunct w:val="0"/>
        <w:autoSpaceDE w:val="0"/>
        <w:autoSpaceDN w:val="0"/>
        <w:adjustRightInd w:val="0"/>
        <w:spacing w:after="200" w:line="276" w:lineRule="auto"/>
        <w:contextualSpacing/>
        <w:textAlignment w:val="baseline"/>
        <w:rPr>
          <w:bCs/>
          <w:iCs/>
        </w:rPr>
      </w:pPr>
    </w:p>
    <w:tbl>
      <w:tblPr>
        <w:tblStyle w:val="TableGrid21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51"/>
        <w:gridCol w:w="5137"/>
      </w:tblGrid>
      <w:tr w:rsidRPr="006C19F4" w:rsidR="006C19F4" w:rsidTr="00663C12" w14:paraId="7A7F559C" w14:textId="77777777">
        <w:tc>
          <w:tcPr>
            <w:tcW w:w="1951" w:type="dxa"/>
          </w:tcPr>
          <w:p w:rsidRPr="006C19F4" w:rsidR="006C19F4" w:rsidP="006C19F4" w:rsidRDefault="006C19F4" w14:paraId="6B40BFCD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b/>
                <w:i/>
              </w:rPr>
              <w:t>Contacto</w:t>
            </w:r>
          </w:p>
        </w:tc>
        <w:tc>
          <w:tcPr>
            <w:tcW w:w="5137" w:type="dxa"/>
          </w:tcPr>
          <w:p w:rsidRPr="006C19F4" w:rsidR="006C19F4" w:rsidP="006C19F4" w:rsidRDefault="006C19F4" w14:paraId="2E0B1708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Georgios Meleas</w:t>
            </w:r>
          </w:p>
        </w:tc>
      </w:tr>
      <w:tr w:rsidRPr="006C19F4" w:rsidR="006C19F4" w:rsidTr="00663C12" w14:paraId="1C00A944" w14:textId="77777777">
        <w:tc>
          <w:tcPr>
            <w:tcW w:w="1951" w:type="dxa"/>
          </w:tcPr>
          <w:p w:rsidRPr="006C19F4" w:rsidR="006C19F4" w:rsidP="006C19F4" w:rsidRDefault="006C19F4" w14:paraId="02043B5C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Tel.</w:t>
            </w:r>
          </w:p>
        </w:tc>
        <w:tc>
          <w:tcPr>
            <w:tcW w:w="5137" w:type="dxa"/>
          </w:tcPr>
          <w:p w:rsidRPr="006C19F4" w:rsidR="006C19F4" w:rsidP="006C19F4" w:rsidRDefault="006C19F4" w14:paraId="7765EB4C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+32 2 546 97 95</w:t>
            </w:r>
          </w:p>
        </w:tc>
      </w:tr>
      <w:tr w:rsidRPr="006C19F4" w:rsidR="006C19F4" w:rsidTr="00663C12" w14:paraId="13E41AD9" w14:textId="77777777">
        <w:tc>
          <w:tcPr>
            <w:tcW w:w="1951" w:type="dxa"/>
          </w:tcPr>
          <w:p w:rsidRPr="006C19F4" w:rsidR="006C19F4" w:rsidP="006C19F4" w:rsidRDefault="006C19F4" w14:paraId="606A5A69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Endereço eletrónico</w:t>
            </w:r>
          </w:p>
        </w:tc>
        <w:tc>
          <w:tcPr>
            <w:tcW w:w="5137" w:type="dxa"/>
          </w:tcPr>
          <w:p w:rsidRPr="006C19F4" w:rsidR="006C19F4" w:rsidP="006C19F4" w:rsidRDefault="003C4B9D" w14:paraId="6B1B5DA3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hyperlink w:history="1" r:id="rId21">
              <w:r w:rsidR="00897970">
                <w:rPr>
                  <w:i/>
                  <w:color w:val="0000FF"/>
                  <w:u w:val="single"/>
                </w:rPr>
                <w:t>Georgios.Meleas@eesc.europa.eu</w:t>
              </w:r>
            </w:hyperlink>
          </w:p>
        </w:tc>
      </w:tr>
    </w:tbl>
    <w:p w:rsidR="001A5EC5" w:rsidP="00770F41" w:rsidRDefault="001A5EC5" w14:paraId="3A3398AC" w14:textId="4B0EF5D3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sz w:val="24"/>
          <w:szCs w:val="24"/>
        </w:rPr>
      </w:pPr>
    </w:p>
    <w:p w:rsidR="001A5EC5" w:rsidRDefault="001A5EC5" w14:paraId="17F9882E" w14:textId="77777777">
      <w:pPr>
        <w:spacing w:after="160" w:line="259" w:lineRule="auto"/>
        <w:jc w:val="left"/>
        <w:rPr>
          <w:b/>
          <w:sz w:val="24"/>
          <w:szCs w:val="24"/>
        </w:rPr>
      </w:pPr>
      <w:r>
        <w:br w:type="page"/>
      </w:r>
    </w:p>
    <w:p w:rsidRPr="00DC0FAE" w:rsidR="001A5EC5" w:rsidP="00C26C81" w:rsidRDefault="003C4B9D" w14:paraId="5AEA0F19" w14:textId="7A5418D6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120"/>
        <w:ind w:left="283"/>
        <w:textAlignment w:val="baseline"/>
        <w:rPr>
          <w:b/>
          <w:i/>
          <w:iCs/>
          <w:sz w:val="28"/>
          <w:szCs w:val="28"/>
        </w:rPr>
      </w:pPr>
      <w:hyperlink w:history="1" r:id="rId22">
        <w:r w:rsidR="00897970">
          <w:rPr>
            <w:b/>
            <w:i/>
            <w:color w:val="0000FF"/>
            <w:sz w:val="28"/>
            <w:u w:val="single"/>
          </w:rPr>
          <w:t>Nono relatório sobre a coesão eco</w:t>
        </w:r>
        <w:r w:rsidR="00897970">
          <w:rPr>
            <w:b/>
            <w:i/>
            <w:color w:val="0000FF"/>
            <w:sz w:val="28"/>
            <w:u w:val="single"/>
          </w:rPr>
          <w:t>nómica, social e territorial</w:t>
        </w:r>
      </w:hyperlink>
    </w:p>
    <w:p w:rsidRPr="001A5EC5" w:rsidR="00444F0D" w:rsidP="00DC0FAE" w:rsidRDefault="00444F0D" w14:paraId="5992C072" w14:textId="77777777">
      <w:pPr>
        <w:widowControl w:val="0"/>
        <w:overflowPunct w:val="0"/>
        <w:autoSpaceDE w:val="0"/>
        <w:autoSpaceDN w:val="0"/>
        <w:adjustRightInd w:val="0"/>
        <w:spacing w:after="120"/>
        <w:ind w:left="284"/>
        <w:textAlignment w:val="baseline"/>
        <w:rPr>
          <w:b/>
          <w:i/>
          <w:iCs/>
          <w:sz w:val="28"/>
          <w:szCs w:val="28"/>
        </w:rPr>
      </w:pPr>
    </w:p>
    <w:tbl>
      <w:tblPr>
        <w:tblStyle w:val="TableGrid21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01"/>
        <w:gridCol w:w="5387"/>
      </w:tblGrid>
      <w:tr w:rsidRPr="001A5EC5" w:rsidR="001A5EC5" w:rsidTr="00DC0FAE" w14:paraId="44793051" w14:textId="77777777">
        <w:tc>
          <w:tcPr>
            <w:tcW w:w="1701" w:type="dxa"/>
          </w:tcPr>
          <w:p w:rsidRPr="001A5EC5" w:rsidR="001A5EC5" w:rsidP="00DC0FAE" w:rsidRDefault="001A5EC5" w14:paraId="463E72CE" w14:textId="77777777">
            <w:pPr>
              <w:overflowPunct w:val="0"/>
              <w:autoSpaceDE w:val="0"/>
              <w:autoSpaceDN w:val="0"/>
              <w:adjustRightInd w:val="0"/>
              <w:ind w:left="174" w:hanging="266"/>
              <w:textAlignment w:val="baseline"/>
              <w:rPr>
                <w:b/>
              </w:rPr>
            </w:pPr>
            <w:r>
              <w:rPr>
                <w:b/>
              </w:rPr>
              <w:t>Relator</w:t>
            </w:r>
          </w:p>
        </w:tc>
        <w:tc>
          <w:tcPr>
            <w:tcW w:w="5387" w:type="dxa"/>
          </w:tcPr>
          <w:p w:rsidRPr="001A5EC5" w:rsidR="001A5EC5" w:rsidP="00DC0FAE" w:rsidRDefault="001A5EC5" w14:paraId="64C714E3" w14:textId="77777777">
            <w:pPr>
              <w:overflowPunct w:val="0"/>
              <w:autoSpaceDE w:val="0"/>
              <w:autoSpaceDN w:val="0"/>
              <w:adjustRightInd w:val="0"/>
              <w:ind w:left="174" w:hanging="266"/>
              <w:textAlignment w:val="baseline"/>
              <w:rPr>
                <w:bCs/>
              </w:rPr>
            </w:pPr>
            <w:r>
              <w:t>Matteo Carlo Borsani (IT – Grupo dos Empregadores)</w:t>
            </w:r>
          </w:p>
        </w:tc>
      </w:tr>
      <w:tr w:rsidRPr="001A5EC5" w:rsidR="001A5EC5" w:rsidTr="00FE3058" w14:paraId="32E56BAC" w14:textId="77777777">
        <w:tc>
          <w:tcPr>
            <w:tcW w:w="7088" w:type="dxa"/>
            <w:gridSpan w:val="2"/>
          </w:tcPr>
          <w:p w:rsidRPr="001A5EC5" w:rsidR="001A5EC5" w:rsidP="00DC0FAE" w:rsidRDefault="001A5EC5" w14:paraId="783F63D2" w14:textId="77777777">
            <w:pPr>
              <w:overflowPunct w:val="0"/>
              <w:autoSpaceDE w:val="0"/>
              <w:autoSpaceDN w:val="0"/>
              <w:adjustRightInd w:val="0"/>
              <w:spacing w:line="160" w:lineRule="exact"/>
              <w:ind w:left="174" w:hanging="266"/>
              <w:textAlignment w:val="baseline"/>
            </w:pPr>
          </w:p>
        </w:tc>
      </w:tr>
      <w:tr w:rsidRPr="001A5EC5" w:rsidR="001A5EC5" w:rsidTr="00FE3058" w14:paraId="2A351EBF" w14:textId="77777777">
        <w:tc>
          <w:tcPr>
            <w:tcW w:w="1701" w:type="dxa"/>
          </w:tcPr>
          <w:p w:rsidRPr="001A5EC5" w:rsidR="001A5EC5" w:rsidP="00DC0FAE" w:rsidRDefault="001A5EC5" w14:paraId="26606D0B" w14:textId="77777777">
            <w:pPr>
              <w:overflowPunct w:val="0"/>
              <w:autoSpaceDE w:val="0"/>
              <w:autoSpaceDN w:val="0"/>
              <w:adjustRightInd w:val="0"/>
              <w:ind w:left="174" w:hanging="266"/>
              <w:textAlignment w:val="baseline"/>
              <w:rPr>
                <w:b/>
              </w:rPr>
            </w:pPr>
            <w:r>
              <w:rPr>
                <w:b/>
              </w:rPr>
              <w:t>Referências</w:t>
            </w:r>
          </w:p>
        </w:tc>
        <w:tc>
          <w:tcPr>
            <w:tcW w:w="5387" w:type="dxa"/>
          </w:tcPr>
          <w:p w:rsidRPr="001A5EC5" w:rsidR="001A5EC5" w:rsidP="00DC0FAE" w:rsidRDefault="001A5EC5" w14:paraId="5C440461" w14:textId="77777777">
            <w:pPr>
              <w:overflowPunct w:val="0"/>
              <w:autoSpaceDE w:val="0"/>
              <w:autoSpaceDN w:val="0"/>
              <w:adjustRightInd w:val="0"/>
              <w:ind w:left="174" w:hanging="266"/>
              <w:textAlignment w:val="baseline"/>
            </w:pPr>
            <w:r>
              <w:t>COM(2024) 149 final</w:t>
            </w:r>
          </w:p>
          <w:p w:rsidRPr="001A5EC5" w:rsidR="001A5EC5" w:rsidP="00DC0FAE" w:rsidRDefault="001A5EC5" w14:paraId="3868DEB9" w14:textId="77777777">
            <w:pPr>
              <w:overflowPunct w:val="0"/>
              <w:autoSpaceDE w:val="0"/>
              <w:autoSpaceDN w:val="0"/>
              <w:adjustRightInd w:val="0"/>
              <w:ind w:left="174" w:hanging="266"/>
              <w:textAlignment w:val="baseline"/>
            </w:pPr>
            <w:r>
              <w:t>EESC-2024-00987-00-00-AC</w:t>
            </w:r>
          </w:p>
        </w:tc>
      </w:tr>
    </w:tbl>
    <w:p w:rsidRPr="001A5EC5" w:rsidR="001A5EC5" w:rsidP="001A5EC5" w:rsidRDefault="001A5EC5" w14:paraId="52E9606C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spacing w:before="120"/>
        <w:ind w:left="266" w:hanging="266"/>
        <w:textAlignment w:val="baseline"/>
        <w:rPr>
          <w:b/>
        </w:rPr>
      </w:pPr>
      <w:r>
        <w:rPr>
          <w:b/>
        </w:rPr>
        <w:t>Pontos principais</w:t>
      </w:r>
    </w:p>
    <w:p w:rsidRPr="001A5EC5" w:rsidR="001A5EC5" w:rsidP="001A5EC5" w:rsidRDefault="001A5EC5" w14:paraId="5E2503AC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</w:p>
    <w:p w:rsidR="001A5EC5" w:rsidP="001A5EC5" w:rsidRDefault="001A5EC5" w14:paraId="4D0AC1AA" w14:textId="6DEDCE45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O Comité Económico e Social Europeu:</w:t>
      </w:r>
    </w:p>
    <w:p w:rsidRPr="001A5EC5" w:rsidR="00444F0D" w:rsidP="001A5EC5" w:rsidRDefault="00444F0D" w14:paraId="570F2CBE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</w:p>
    <w:p w:rsidRPr="001A5EC5" w:rsidR="001A5EC5" w:rsidP="00DC0FAE" w:rsidRDefault="001A5EC5" w14:paraId="1478D8F5" w14:textId="77777777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left"/>
        <w:textAlignment w:val="baseline"/>
        <w:rPr>
          <w:bCs/>
          <w:iCs/>
        </w:rPr>
      </w:pPr>
      <w:r>
        <w:t xml:space="preserve">congratula-se com a apresentação do nono relatório sobre a coesão e considera que a descrição dos seus resultados é exaustiva, constituindo igualmente um bom ponto de partida para fazer um balanço dos ensinamentos retirados; </w:t>
      </w:r>
    </w:p>
    <w:p w:rsidRPr="001A5EC5" w:rsidR="001A5EC5" w:rsidP="00DC0FAE" w:rsidRDefault="001A5EC5" w14:paraId="7B27E433" w14:textId="77777777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200" w:line="276" w:lineRule="auto"/>
        <w:contextualSpacing/>
        <w:textAlignment w:val="baseline"/>
        <w:rPr>
          <w:bCs/>
          <w:iCs/>
        </w:rPr>
      </w:pPr>
      <w:r>
        <w:t xml:space="preserve">recomenda que os investimentos e as políticas se centrem no reforço da base da indústria transformadora, a fim de reforçar a coesão territorial ascendente, salientando que a correlação positiva entre o crescimento da produtividade e o aumento do PIB </w:t>
      </w:r>
      <w:r>
        <w:rPr>
          <w:i/>
        </w:rPr>
        <w:t>per capita</w:t>
      </w:r>
      <w:r>
        <w:t xml:space="preserve"> constituiu o único elemento em comum no crescimento de todos os tipos de regiões;</w:t>
      </w:r>
    </w:p>
    <w:p w:rsidRPr="001A5EC5" w:rsidR="001A5EC5" w:rsidP="00DC0FAE" w:rsidRDefault="001A5EC5" w14:paraId="446A7762" w14:textId="77777777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200" w:line="276" w:lineRule="auto"/>
        <w:contextualSpacing/>
        <w:textAlignment w:val="baseline"/>
        <w:rPr>
          <w:rFonts w:ascii="Calibri" w:hAnsi="Calibri"/>
        </w:rPr>
      </w:pPr>
      <w:r>
        <w:t>destaca a importância da competitividade para promover a coesão económica e dos investimentos produtivos para estimular a referida competitividade e o crescimento económico, o que, por sua vez, se repercute de forma positiva na coesão territorial e social. Sublinha igualmente a importância de alargar o acesso aos fundos da política de coesão para investimentos produtivos às grandes empresas que fazem parte do ecossistema das PME, com a condição de esses investimentos criarem um efeito em cascata nos territórios e na sociedade. Os resultados da coesão económica não devem ser medidos apenas pelo montante dos investimentos económicos numa determinada zona, mas também pelos seus resultados territoriais e sociais;</w:t>
      </w:r>
    </w:p>
    <w:p w:rsidRPr="001A5EC5" w:rsidR="001A5EC5" w:rsidP="00DC0FAE" w:rsidRDefault="001A5EC5" w14:paraId="4372B202" w14:textId="77777777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200" w:line="276" w:lineRule="auto"/>
        <w:contextualSpacing/>
        <w:textAlignment w:val="baseline"/>
        <w:rPr>
          <w:bCs/>
          <w:iCs/>
        </w:rPr>
      </w:pPr>
      <w:r>
        <w:t>salienta a importância de um mercado de trabalho inclusivo e eficiente para aumentar a coesão social, recorrendo a medidas que visem munir os cidadãos e os trabalhadores da UE do conjunto adequado de competências para entrarem e circularem no mercado de trabalho. Neste contexto, recomenda uma conjugação de políticas que promovam o emprego e estimulem a empregabilidade, nomeadamente centrando-se nos grupos da sociedade que correm o risco de ficar para trás e promovendo a inclusão de pessoas que não estão atualmente inseridas no mercado de trabalho;</w:t>
      </w:r>
    </w:p>
    <w:p w:rsidRPr="001A5EC5" w:rsidR="001A5EC5" w:rsidP="00DC0FAE" w:rsidRDefault="001A5EC5" w14:paraId="2223D48A" w14:textId="77777777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200" w:line="276" w:lineRule="auto"/>
        <w:contextualSpacing/>
        <w:textAlignment w:val="baseline"/>
        <w:rPr>
          <w:bCs/>
          <w:iCs/>
        </w:rPr>
      </w:pPr>
      <w:r>
        <w:t>recomenda a promoção de investimentos estratégicos na administração local e regional, a fim de reforçar o sistema que desempenha um papel central na execução dos programas. Com efeito, não é possível assegurar a coesão social, económica e territorial sem antes garantir a coesão na capacidade das administrações públicas;</w:t>
      </w:r>
    </w:p>
    <w:p w:rsidRPr="001A5EC5" w:rsidR="001A5EC5" w:rsidP="00DC0FAE" w:rsidRDefault="001A5EC5" w14:paraId="539D757E" w14:textId="77777777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200" w:line="276" w:lineRule="auto"/>
        <w:contextualSpacing/>
        <w:textAlignment w:val="baseline"/>
        <w:rPr>
          <w:bCs/>
          <w:iCs/>
        </w:rPr>
      </w:pPr>
      <w:r>
        <w:t>recomenda que se assegure a participação dos órgãos de poder local e regional, respeitando o princípio da parceria e envolvendo os parceiros sociais e as organizações da sociedade civil em qualquer reflexão sobre o futuro da política de coesão;</w:t>
      </w:r>
    </w:p>
    <w:p w:rsidRPr="001A5EC5" w:rsidR="001A5EC5" w:rsidP="00DC0FAE" w:rsidRDefault="001A5EC5" w14:paraId="5AB147ED" w14:textId="77777777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200" w:line="276" w:lineRule="auto"/>
        <w:contextualSpacing/>
        <w:textAlignment w:val="baseline"/>
        <w:rPr>
          <w:bCs/>
          <w:iCs/>
        </w:rPr>
      </w:pPr>
      <w:r>
        <w:t>insta os colegisladores a tornarem o orçamento global do quadro financeiro plurianual mais ambicioso e a assegurarem um financiamento adequado para a política de coesão, nomeadamente à luz da necessidade futura de investimento da UE em defesa e de uma União Europeia com mais de 27 Estados-Membros;</w:t>
      </w:r>
    </w:p>
    <w:p w:rsidR="001A5EC5" w:rsidP="00444F0D" w:rsidRDefault="001A5EC5" w14:paraId="5E21312D" w14:textId="7C3462A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200" w:line="276" w:lineRule="auto"/>
        <w:contextualSpacing/>
        <w:textAlignment w:val="baseline"/>
        <w:rPr>
          <w:bCs/>
          <w:iCs/>
        </w:rPr>
      </w:pPr>
      <w:r>
        <w:t xml:space="preserve">recomenda, neste contexto, que se tenham em conta os futuros alargamentos previstos pela UE, os quais exigirão uma política de coesão eficaz e eficiente, a fim de garantir a integração </w:t>
      </w:r>
      <w:r>
        <w:lastRenderedPageBreak/>
        <w:t>harmoniosa dos futuros Estados-Membros, sem comprometer os investimentos nas atuais regiões em desenvolvimento;</w:t>
      </w:r>
    </w:p>
    <w:p w:rsidRPr="001A5EC5" w:rsidR="00444F0D" w:rsidP="00DC0FAE" w:rsidRDefault="00444F0D" w14:paraId="00B923D2" w14:textId="77777777">
      <w:pPr>
        <w:overflowPunct w:val="0"/>
        <w:autoSpaceDE w:val="0"/>
        <w:autoSpaceDN w:val="0"/>
        <w:adjustRightInd w:val="0"/>
        <w:spacing w:after="200" w:line="276" w:lineRule="auto"/>
        <w:contextualSpacing/>
        <w:textAlignment w:val="baseline"/>
        <w:rPr>
          <w:bCs/>
          <w:iCs/>
        </w:rPr>
      </w:pPr>
    </w:p>
    <w:p w:rsidRPr="00DC0FAE" w:rsidR="001A5EC5" w:rsidP="00444F0D" w:rsidRDefault="001A5EC5" w14:paraId="3A6882A2" w14:textId="6ED2155C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200" w:line="276" w:lineRule="auto"/>
        <w:contextualSpacing/>
        <w:textAlignment w:val="baseline"/>
        <w:rPr>
          <w:bCs/>
          <w:iCs/>
        </w:rPr>
      </w:pPr>
      <w:r>
        <w:t>recomenda, por último, a utilização de instrumentos de investimento automáticos e de fácil aplicação para a transição para uma Europa mais inteligente e mais ecológica. Os desafios decorrentes das transições ecológica e digital justas e das suas metas ambiciosas exigem rapidez e prontidão na resposta.</w:t>
      </w:r>
      <w:r>
        <w:rPr>
          <w:rFonts w:ascii="Calibri" w:hAnsi="Calibri"/>
        </w:rPr>
        <w:t xml:space="preserve"> </w:t>
      </w:r>
    </w:p>
    <w:p w:rsidRPr="001A5EC5" w:rsidR="00444F0D" w:rsidP="00DC0FAE" w:rsidRDefault="00444F0D" w14:paraId="0C8A63CF" w14:textId="77777777">
      <w:pPr>
        <w:overflowPunct w:val="0"/>
        <w:autoSpaceDE w:val="0"/>
        <w:autoSpaceDN w:val="0"/>
        <w:adjustRightInd w:val="0"/>
        <w:spacing w:after="200" w:line="276" w:lineRule="auto"/>
        <w:contextualSpacing/>
        <w:textAlignment w:val="baseline"/>
        <w:rPr>
          <w:bCs/>
          <w:iCs/>
        </w:rPr>
      </w:pPr>
    </w:p>
    <w:tbl>
      <w:tblPr>
        <w:tblStyle w:val="TableGrid21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51"/>
        <w:gridCol w:w="5137"/>
      </w:tblGrid>
      <w:tr w:rsidRPr="001A5EC5" w:rsidR="001A5EC5" w:rsidTr="00663C12" w14:paraId="3FFBD53A" w14:textId="77777777">
        <w:tc>
          <w:tcPr>
            <w:tcW w:w="1951" w:type="dxa"/>
          </w:tcPr>
          <w:p w:rsidRPr="001A5EC5" w:rsidR="001A5EC5" w:rsidP="001A5EC5" w:rsidRDefault="001A5EC5" w14:paraId="56686149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b/>
                <w:i/>
              </w:rPr>
              <w:t>Contacto</w:t>
            </w:r>
          </w:p>
        </w:tc>
        <w:tc>
          <w:tcPr>
            <w:tcW w:w="5137" w:type="dxa"/>
          </w:tcPr>
          <w:p w:rsidRPr="001A5EC5" w:rsidR="001A5EC5" w:rsidP="001A5EC5" w:rsidRDefault="001A5EC5" w14:paraId="7D68FE97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Georgios Meleas</w:t>
            </w:r>
          </w:p>
        </w:tc>
      </w:tr>
      <w:tr w:rsidRPr="001A5EC5" w:rsidR="001A5EC5" w:rsidTr="00663C12" w14:paraId="654D5086" w14:textId="77777777">
        <w:tc>
          <w:tcPr>
            <w:tcW w:w="1951" w:type="dxa"/>
          </w:tcPr>
          <w:p w:rsidRPr="001A5EC5" w:rsidR="001A5EC5" w:rsidP="001A5EC5" w:rsidRDefault="001A5EC5" w14:paraId="3B2FDAFA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Tel.</w:t>
            </w:r>
          </w:p>
        </w:tc>
        <w:tc>
          <w:tcPr>
            <w:tcW w:w="5137" w:type="dxa"/>
          </w:tcPr>
          <w:p w:rsidRPr="001A5EC5" w:rsidR="001A5EC5" w:rsidP="001A5EC5" w:rsidRDefault="001A5EC5" w14:paraId="35F0788C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+32 2 546 97 95</w:t>
            </w:r>
          </w:p>
        </w:tc>
      </w:tr>
      <w:tr w:rsidRPr="001A5EC5" w:rsidR="001A5EC5" w:rsidTr="00663C12" w14:paraId="710F66DA" w14:textId="77777777">
        <w:tc>
          <w:tcPr>
            <w:tcW w:w="1951" w:type="dxa"/>
          </w:tcPr>
          <w:p w:rsidRPr="001A5EC5" w:rsidR="001A5EC5" w:rsidP="001A5EC5" w:rsidRDefault="001A5EC5" w14:paraId="62171153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Endereço eletrónico</w:t>
            </w:r>
          </w:p>
        </w:tc>
        <w:tc>
          <w:tcPr>
            <w:tcW w:w="5137" w:type="dxa"/>
          </w:tcPr>
          <w:p w:rsidRPr="001A5EC5" w:rsidR="001A5EC5" w:rsidP="001A5EC5" w:rsidRDefault="003C4B9D" w14:paraId="2A008587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hyperlink w:history="1" r:id="rId23">
              <w:r w:rsidR="00897970">
                <w:rPr>
                  <w:i/>
                  <w:color w:val="0000FF"/>
                  <w:u w:val="single"/>
                </w:rPr>
                <w:t>Georgios.Meleas@eesc.europa.eu</w:t>
              </w:r>
            </w:hyperlink>
            <w:r w:rsidR="00897970">
              <w:rPr>
                <w:i/>
              </w:rPr>
              <w:t xml:space="preserve"> </w:t>
            </w:r>
          </w:p>
        </w:tc>
      </w:tr>
    </w:tbl>
    <w:p w:rsidR="005C28F2" w:rsidP="00770F41" w:rsidRDefault="005C28F2" w14:paraId="75A160E4" w14:textId="4CAAFB00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sz w:val="24"/>
          <w:szCs w:val="24"/>
        </w:rPr>
      </w:pPr>
    </w:p>
    <w:p w:rsidR="005C28F2" w:rsidRDefault="005C28F2" w14:paraId="566BFFD9" w14:textId="77777777">
      <w:pPr>
        <w:spacing w:after="160" w:line="259" w:lineRule="auto"/>
        <w:jc w:val="left"/>
        <w:rPr>
          <w:b/>
          <w:sz w:val="24"/>
          <w:szCs w:val="24"/>
        </w:rPr>
      </w:pPr>
      <w:r>
        <w:br w:type="page"/>
      </w:r>
    </w:p>
    <w:p w:rsidRPr="00502E1F" w:rsidR="00502E1F" w:rsidP="00DC0FAE" w:rsidRDefault="005C28F2" w14:paraId="26F82B31" w14:textId="13D21940">
      <w:pPr>
        <w:pStyle w:val="Heading1"/>
        <w:tabs>
          <w:tab w:val="clear" w:pos="440"/>
          <w:tab w:val="left" w:pos="567"/>
        </w:tabs>
        <w:ind w:left="567" w:hanging="567"/>
        <w:rPr>
          <w:color w:val="000000" w:themeColor="text1"/>
        </w:rPr>
      </w:pPr>
      <w:bookmarkStart w:name="_Toc169614961" w:id="1"/>
      <w:r>
        <w:rPr>
          <w:rStyle w:val="Hyperlink"/>
          <w:b/>
          <w:color w:val="000000" w:themeColor="text1"/>
          <w:u w:val="none"/>
        </w:rPr>
        <w:lastRenderedPageBreak/>
        <w:t>EMPREGO, ASSUNTOS SOCIAIS E CIDADANIA</w:t>
      </w:r>
      <w:bookmarkEnd w:id="1"/>
    </w:p>
    <w:p w:rsidR="00502E1F" w:rsidP="00502E1F" w:rsidRDefault="00502E1F" w14:paraId="7FCC1962" w14:textId="6F84DBB9"/>
    <w:p w:rsidR="005C28F2" w:rsidP="00502E1F" w:rsidRDefault="005C28F2" w14:paraId="56EE42DD" w14:textId="77777777"/>
    <w:p w:rsidRPr="00F34555" w:rsidR="004E7105" w:rsidP="00C26C81" w:rsidRDefault="003C4B9D" w14:paraId="7766257F" w14:textId="179076F9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ind w:hanging="567"/>
        <w:textAlignment w:val="baseline"/>
        <w:rPr>
          <w:b/>
          <w:bCs/>
          <w:i/>
          <w:iCs/>
          <w:color w:val="0000FF"/>
          <w:sz w:val="28"/>
          <w:szCs w:val="28"/>
          <w:u w:val="single"/>
        </w:rPr>
      </w:pPr>
      <w:hyperlink w:history="1" r:id="rId24">
        <w:r w:rsidR="00897970">
          <w:rPr>
            <w:b/>
            <w:i/>
            <w:color w:val="0000FF"/>
            <w:sz w:val="28"/>
            <w:u w:val="single"/>
          </w:rPr>
          <w:t>Cancros preveníveis por</w:t>
        </w:r>
        <w:r w:rsidR="00897970">
          <w:rPr>
            <w:b/>
            <w:i/>
            <w:color w:val="0000FF"/>
            <w:sz w:val="28"/>
            <w:u w:val="single"/>
          </w:rPr>
          <w:t xml:space="preserve"> vacinação</w:t>
        </w:r>
      </w:hyperlink>
    </w:p>
    <w:p w:rsidRPr="004E7105" w:rsidR="00F34555" w:rsidP="00F34555" w:rsidRDefault="00F34555" w14:paraId="1C30E0F6" w14:textId="77777777">
      <w:pPr>
        <w:widowControl w:val="0"/>
        <w:overflowPunct w:val="0"/>
        <w:autoSpaceDE w:val="0"/>
        <w:autoSpaceDN w:val="0"/>
        <w:adjustRightInd w:val="0"/>
        <w:ind w:left="567"/>
        <w:textAlignment w:val="baseline"/>
        <w:rPr>
          <w:b/>
          <w:bCs/>
          <w:i/>
          <w:iCs/>
          <w:color w:val="0000FF"/>
          <w:sz w:val="28"/>
          <w:szCs w:val="28"/>
          <w:u w:val="single"/>
        </w:rPr>
      </w:pPr>
    </w:p>
    <w:tbl>
      <w:tblPr>
        <w:tblStyle w:val="TableGrid214"/>
        <w:tblW w:w="3594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01"/>
        <w:gridCol w:w="4572"/>
      </w:tblGrid>
      <w:tr w:rsidRPr="004E7105" w:rsidR="004E7105" w:rsidTr="00FE3058" w14:paraId="71118AAD" w14:textId="77777777">
        <w:tc>
          <w:tcPr>
            <w:tcW w:w="1522" w:type="pct"/>
          </w:tcPr>
          <w:p w:rsidRPr="004E7105" w:rsidR="004E7105" w:rsidP="004E7105" w:rsidRDefault="004E7105" w14:paraId="7C033E3E" w14:textId="77777777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textAlignment w:val="baseline"/>
              <w:rPr>
                <w:b/>
              </w:rPr>
            </w:pPr>
            <w:r>
              <w:rPr>
                <w:b/>
              </w:rPr>
              <w:t>Relatora</w:t>
            </w:r>
          </w:p>
          <w:p w:rsidRPr="004E7105" w:rsidR="004E7105" w:rsidP="004E7105" w:rsidRDefault="004E7105" w14:paraId="2377D5BF" w14:textId="77777777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textAlignment w:val="baseline"/>
              <w:rPr>
                <w:b/>
              </w:rPr>
            </w:pPr>
            <w:r>
              <w:rPr>
                <w:b/>
              </w:rPr>
              <w:t>Correlatora</w:t>
            </w:r>
          </w:p>
          <w:p w:rsidRPr="004E7105" w:rsidR="004E7105" w:rsidP="004E7105" w:rsidRDefault="004E7105" w14:paraId="474FD8BA" w14:textId="77777777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textAlignment w:val="baseline"/>
              <w:rPr>
                <w:b/>
              </w:rPr>
            </w:pPr>
          </w:p>
        </w:tc>
        <w:tc>
          <w:tcPr>
            <w:tcW w:w="3478" w:type="pct"/>
          </w:tcPr>
          <w:p w:rsidRPr="004E7105" w:rsidR="004E7105" w:rsidP="004E7105" w:rsidRDefault="004E7105" w14:paraId="5D3A3754" w14:textId="77777777">
            <w:pPr>
              <w:widowControl w:val="0"/>
              <w:tabs>
                <w:tab w:val="left" w:pos="4572"/>
              </w:tabs>
              <w:overflowPunct w:val="0"/>
              <w:autoSpaceDE w:val="0"/>
              <w:autoSpaceDN w:val="0"/>
              <w:adjustRightInd w:val="0"/>
              <w:ind w:left="-113" w:right="-823"/>
              <w:textAlignment w:val="baseline"/>
            </w:pPr>
            <w:r>
              <w:t>Milena Angelova (BG – Grupo dos Empregadores)</w:t>
            </w:r>
          </w:p>
          <w:p w:rsidRPr="004E7105" w:rsidR="004E7105" w:rsidP="004E7105" w:rsidRDefault="004E7105" w14:paraId="1D69709A" w14:textId="77777777">
            <w:pPr>
              <w:widowControl w:val="0"/>
              <w:tabs>
                <w:tab w:val="left" w:pos="4572"/>
              </w:tabs>
              <w:overflowPunct w:val="0"/>
              <w:autoSpaceDE w:val="0"/>
              <w:autoSpaceDN w:val="0"/>
              <w:adjustRightInd w:val="0"/>
              <w:ind w:left="-113" w:right="-823"/>
              <w:textAlignment w:val="baseline"/>
            </w:pPr>
            <w:r>
              <w:t>Sára Felszeghi (HU – Grupo dos Trabalhadores)</w:t>
            </w:r>
          </w:p>
        </w:tc>
      </w:tr>
      <w:tr w:rsidRPr="004E7105" w:rsidR="004E7105" w:rsidTr="00FE3058" w14:paraId="7E7454B0" w14:textId="77777777">
        <w:tc>
          <w:tcPr>
            <w:tcW w:w="1522" w:type="pct"/>
            <w:vMerge w:val="restart"/>
          </w:tcPr>
          <w:p w:rsidRPr="004E7105" w:rsidR="004E7105" w:rsidP="004E7105" w:rsidRDefault="004E7105" w14:paraId="4901FAAB" w14:textId="77777777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textAlignment w:val="baseline"/>
              <w:rPr>
                <w:b/>
              </w:rPr>
            </w:pPr>
            <w:r>
              <w:rPr>
                <w:b/>
              </w:rPr>
              <w:t>Referências</w:t>
            </w:r>
          </w:p>
        </w:tc>
        <w:tc>
          <w:tcPr>
            <w:tcW w:w="3478" w:type="pct"/>
          </w:tcPr>
          <w:p w:rsidRPr="004E7105" w:rsidR="004E7105" w:rsidP="004E7105" w:rsidRDefault="004E7105" w14:paraId="6BFA5AA5" w14:textId="77777777">
            <w:pPr>
              <w:widowControl w:val="0"/>
              <w:tabs>
                <w:tab w:val="left" w:pos="4430"/>
              </w:tabs>
              <w:overflowPunct w:val="0"/>
              <w:autoSpaceDE w:val="0"/>
              <w:autoSpaceDN w:val="0"/>
              <w:adjustRightInd w:val="0"/>
              <w:ind w:left="-113" w:right="-823"/>
              <w:textAlignment w:val="baseline"/>
            </w:pPr>
            <w:r>
              <w:t>COM(2024) 45 final</w:t>
            </w:r>
          </w:p>
        </w:tc>
      </w:tr>
      <w:tr w:rsidRPr="004E7105" w:rsidR="004E7105" w:rsidTr="00FE3058" w14:paraId="75B0E482" w14:textId="77777777">
        <w:tc>
          <w:tcPr>
            <w:tcW w:w="1522" w:type="pct"/>
            <w:vMerge/>
          </w:tcPr>
          <w:p w:rsidRPr="004E7105" w:rsidR="004E7105" w:rsidP="004E7105" w:rsidRDefault="004E7105" w14:paraId="4FE1E1BE" w14:textId="77777777">
            <w:pPr>
              <w:widowControl w:val="0"/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3478" w:type="pct"/>
          </w:tcPr>
          <w:p w:rsidRPr="004E7105" w:rsidR="004E7105" w:rsidP="004E7105" w:rsidRDefault="004E7105" w14:paraId="279E0EF7" w14:textId="0692B6D4">
            <w:pPr>
              <w:widowControl w:val="0"/>
              <w:tabs>
                <w:tab w:val="center" w:pos="38"/>
                <w:tab w:val="left" w:pos="4430"/>
              </w:tabs>
              <w:overflowPunct w:val="0"/>
              <w:autoSpaceDE w:val="0"/>
              <w:autoSpaceDN w:val="0"/>
              <w:adjustRightInd w:val="0"/>
              <w:ind w:left="266" w:right="-823" w:hanging="370"/>
              <w:textAlignment w:val="baseline"/>
            </w:pPr>
            <w:r>
              <w:t>EESC-2024-00425-00-00-AC</w:t>
            </w:r>
          </w:p>
        </w:tc>
      </w:tr>
    </w:tbl>
    <w:p w:rsidRPr="004E7105" w:rsidR="004E7105" w:rsidP="004E7105" w:rsidRDefault="004E7105" w14:paraId="1E3B33B5" w14:textId="77777777">
      <w:pPr>
        <w:widowControl w:val="0"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4E7105" w:rsidR="004E7105" w:rsidP="004E7105" w:rsidRDefault="004E7105" w14:paraId="603B708E" w14:textId="77777777">
      <w:pPr>
        <w:widowControl w:val="0"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Pontos principais</w:t>
      </w:r>
    </w:p>
    <w:p w:rsidRPr="004E7105" w:rsidR="004E7105" w:rsidP="004E7105" w:rsidRDefault="004E7105" w14:paraId="6359F491" w14:textId="77777777">
      <w:pPr>
        <w:widowControl w:val="0"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4E7105" w:rsidR="004E7105" w:rsidP="004E7105" w:rsidRDefault="004E7105" w14:paraId="0D08379E" w14:textId="77777777">
      <w:pPr>
        <w:widowControl w:val="0"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szCs w:val="20"/>
        </w:rPr>
      </w:pPr>
      <w:r>
        <w:t>O Comité Económico e Social Europeu:</w:t>
      </w:r>
    </w:p>
    <w:p w:rsidRPr="004E7105" w:rsidR="004E7105" w:rsidP="004E7105" w:rsidRDefault="004E7105" w14:paraId="0F4A732E" w14:textId="77777777">
      <w:pPr>
        <w:widowControl w:val="0"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szCs w:val="20"/>
        </w:rPr>
      </w:pPr>
    </w:p>
    <w:p w:rsidRPr="00C17044" w:rsidR="004E7105" w:rsidP="00DC0FAE" w:rsidRDefault="004E7105" w14:paraId="20B5B3BF" w14:textId="574475D7">
      <w:pPr>
        <w:widowControl w:val="0"/>
        <w:numPr>
          <w:ilvl w:val="0"/>
          <w:numId w:val="15"/>
        </w:numPr>
        <w:tabs>
          <w:tab w:val="center" w:pos="284"/>
        </w:tabs>
        <w:overflowPunct w:val="0"/>
        <w:autoSpaceDE w:val="0"/>
        <w:autoSpaceDN w:val="0"/>
        <w:adjustRightInd w:val="0"/>
        <w:ind w:left="284" w:hanging="284"/>
        <w:contextualSpacing/>
        <w:textAlignment w:val="baseline"/>
        <w:rPr>
          <w:szCs w:val="20"/>
        </w:rPr>
      </w:pPr>
      <w:r>
        <w:t>incentiva a partilha de experiências e de boas práticas bem como uma cooperação intensa entre os Estados-Membros;</w:t>
      </w:r>
    </w:p>
    <w:p w:rsidRPr="00C17044" w:rsidR="004E7105" w:rsidP="00DC0FAE" w:rsidRDefault="004E7105" w14:paraId="00661456" w14:textId="7869AB85">
      <w:pPr>
        <w:widowControl w:val="0"/>
        <w:numPr>
          <w:ilvl w:val="0"/>
          <w:numId w:val="15"/>
        </w:numPr>
        <w:tabs>
          <w:tab w:val="center" w:pos="284"/>
        </w:tabs>
        <w:overflowPunct w:val="0"/>
        <w:autoSpaceDE w:val="0"/>
        <w:autoSpaceDN w:val="0"/>
        <w:adjustRightInd w:val="0"/>
        <w:ind w:left="284" w:hanging="284"/>
        <w:contextualSpacing/>
        <w:textAlignment w:val="baseline"/>
        <w:rPr>
          <w:szCs w:val="20"/>
        </w:rPr>
      </w:pPr>
      <w:r>
        <w:t>recomenda o reforço da procura e da oferta da vacinação, salienta a necessidade de uma informação, educação e comunicação adequadas e sublinha o papel do sistema de saúde escolar e dos pais neste esforço. A prevenção do cancro deve tornar-se uma prioridade a nível político e ser acompanhada dos recursos financeiros, materiais e humanos necessários;</w:t>
      </w:r>
    </w:p>
    <w:p w:rsidRPr="00C17044" w:rsidR="004E7105" w:rsidP="00DC0FAE" w:rsidRDefault="004E7105" w14:paraId="565730E6" w14:textId="08E5F52C">
      <w:pPr>
        <w:widowControl w:val="0"/>
        <w:numPr>
          <w:ilvl w:val="0"/>
          <w:numId w:val="15"/>
        </w:numPr>
        <w:tabs>
          <w:tab w:val="center" w:pos="284"/>
        </w:tabs>
        <w:overflowPunct w:val="0"/>
        <w:autoSpaceDE w:val="0"/>
        <w:autoSpaceDN w:val="0"/>
        <w:adjustRightInd w:val="0"/>
        <w:ind w:left="284" w:hanging="284"/>
        <w:contextualSpacing/>
        <w:textAlignment w:val="baseline"/>
        <w:rPr>
          <w:szCs w:val="20"/>
        </w:rPr>
      </w:pPr>
      <w:r>
        <w:t>defende a necessidade de envidar esforços redobrados na luta contra a informação incorreta e a desinformação através da aquisição de provas científicas e da divulgação de informações baseadas em factos através de diferentes canais, com especial atenção para as redes sociais;</w:t>
      </w:r>
    </w:p>
    <w:p w:rsidRPr="00C17044" w:rsidR="004E7105" w:rsidP="00DC0FAE" w:rsidRDefault="004E7105" w14:paraId="7BCF3EFF" w14:textId="78FB432A">
      <w:pPr>
        <w:widowControl w:val="0"/>
        <w:numPr>
          <w:ilvl w:val="0"/>
          <w:numId w:val="15"/>
        </w:numPr>
        <w:tabs>
          <w:tab w:val="center" w:pos="284"/>
        </w:tabs>
        <w:overflowPunct w:val="0"/>
        <w:autoSpaceDE w:val="0"/>
        <w:autoSpaceDN w:val="0"/>
        <w:adjustRightInd w:val="0"/>
        <w:ind w:left="284" w:hanging="284"/>
        <w:contextualSpacing/>
        <w:textAlignment w:val="baseline"/>
        <w:rPr>
          <w:szCs w:val="20"/>
        </w:rPr>
      </w:pPr>
      <w:r>
        <w:t>considera que os médicos de clínica geral, os médicos de família e os médicos escolares, bem como as organizações da sociedade civil, desempenham um papel importante na prestação de informações adequadas, diminuindo os receios e o ceticismo e orientando as pessoas para serem vacinadas. A fim de assegurar que as mensagens são cativantes para os jovens, o CESE preconiza que se intensifiquem os esforços de comunicação através de organizações lideradas por jovens;</w:t>
      </w:r>
    </w:p>
    <w:p w:rsidRPr="00C17044" w:rsidR="004E7105" w:rsidP="00DC0FAE" w:rsidRDefault="004E7105" w14:paraId="0DC26772" w14:textId="5A4CAC93">
      <w:pPr>
        <w:widowControl w:val="0"/>
        <w:numPr>
          <w:ilvl w:val="0"/>
          <w:numId w:val="15"/>
        </w:numPr>
        <w:tabs>
          <w:tab w:val="center" w:pos="284"/>
        </w:tabs>
        <w:overflowPunct w:val="0"/>
        <w:autoSpaceDE w:val="0"/>
        <w:autoSpaceDN w:val="0"/>
        <w:adjustRightInd w:val="0"/>
        <w:ind w:left="284" w:hanging="284"/>
        <w:contextualSpacing/>
        <w:textAlignment w:val="baseline"/>
        <w:rPr>
          <w:szCs w:val="20"/>
        </w:rPr>
      </w:pPr>
      <w:r>
        <w:t>salienta a necessidade de propugnar a igualdade de género nas medidas de prevenção do cancro e apela para a vacinação contra o VPH de todos os rapazes e raparigas de uma determinada idade, para a intensificação da comunicação sobre a disponibilidade da vacinação contra o VPH para os rapazes e para a recolha e a publicação de informações sobre as taxas de vacinação tanto dos rapazes como das raparigas nos vários Estados-Membros;</w:t>
      </w:r>
    </w:p>
    <w:p w:rsidRPr="004E7105" w:rsidR="004E7105" w:rsidP="00DC0FAE" w:rsidRDefault="004E7105" w14:paraId="76072B6C" w14:textId="77777777">
      <w:pPr>
        <w:keepNext/>
        <w:keepLines/>
        <w:numPr>
          <w:ilvl w:val="0"/>
          <w:numId w:val="15"/>
        </w:numPr>
        <w:tabs>
          <w:tab w:val="center" w:pos="284"/>
        </w:tabs>
        <w:overflowPunct w:val="0"/>
        <w:autoSpaceDE w:val="0"/>
        <w:autoSpaceDN w:val="0"/>
        <w:adjustRightInd w:val="0"/>
        <w:ind w:left="284" w:hanging="284"/>
        <w:contextualSpacing/>
        <w:textAlignment w:val="baseline"/>
      </w:pPr>
      <w:r>
        <w:t>insiste na importância de um acesso fácil à vacinação em termos de localização geográfica, bem como na necessidade de medidas específicas para chegar a pessoas de vários grupos desfavorecidos e pessoas com riscos específicos.</w:t>
      </w:r>
    </w:p>
    <w:p w:rsidRPr="004E7105" w:rsidR="004E7105" w:rsidP="004E7105" w:rsidRDefault="004E7105" w14:paraId="451AD803" w14:textId="77777777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sz w:val="16"/>
          <w:szCs w:val="16"/>
        </w:rPr>
      </w:pPr>
    </w:p>
    <w:tbl>
      <w:tblPr>
        <w:tblStyle w:val="TableGrid214"/>
        <w:tblW w:w="351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01"/>
        <w:gridCol w:w="4430"/>
      </w:tblGrid>
      <w:tr w:rsidRPr="004E7105" w:rsidR="004E7105" w:rsidTr="00FE3058" w14:paraId="649C5F6D" w14:textId="77777777">
        <w:tc>
          <w:tcPr>
            <w:tcW w:w="1556" w:type="pct"/>
          </w:tcPr>
          <w:p w:rsidRPr="004E7105" w:rsidR="004E7105" w:rsidP="004E7105" w:rsidRDefault="004E7105" w14:paraId="31DDC109" w14:textId="777777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b/>
                <w:i/>
              </w:rPr>
              <w:t>Contacto</w:t>
            </w:r>
          </w:p>
        </w:tc>
        <w:tc>
          <w:tcPr>
            <w:tcW w:w="3444" w:type="pct"/>
          </w:tcPr>
          <w:p w:rsidRPr="004E7105" w:rsidR="004E7105" w:rsidP="004E7105" w:rsidRDefault="004E7105" w14:paraId="234336DC" w14:textId="3DE0317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Valeria Atzori</w:t>
            </w:r>
          </w:p>
        </w:tc>
      </w:tr>
      <w:tr w:rsidRPr="004E7105" w:rsidR="004E7105" w:rsidTr="00FE3058" w14:paraId="77487634" w14:textId="77777777">
        <w:tc>
          <w:tcPr>
            <w:tcW w:w="1556" w:type="pct"/>
          </w:tcPr>
          <w:p w:rsidRPr="004E7105" w:rsidR="004E7105" w:rsidP="004E7105" w:rsidRDefault="004E7105" w14:paraId="5E05B9B4" w14:textId="777777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Tel.</w:t>
            </w:r>
          </w:p>
        </w:tc>
        <w:tc>
          <w:tcPr>
            <w:tcW w:w="3444" w:type="pct"/>
          </w:tcPr>
          <w:p w:rsidRPr="004E7105" w:rsidR="004E7105" w:rsidP="004E7105" w:rsidRDefault="004E7105" w14:paraId="1CB217D1" w14:textId="777777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+32 2 546 87 74</w:t>
            </w:r>
          </w:p>
        </w:tc>
      </w:tr>
      <w:tr w:rsidRPr="004E7105" w:rsidR="004E7105" w:rsidTr="00FE3058" w14:paraId="00AFAE0F" w14:textId="77777777">
        <w:tc>
          <w:tcPr>
            <w:tcW w:w="1556" w:type="pct"/>
          </w:tcPr>
          <w:p w:rsidRPr="004E7105" w:rsidR="004E7105" w:rsidP="004E7105" w:rsidRDefault="004E7105" w14:paraId="31EB9B75" w14:textId="777777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Endereço eletrónico</w:t>
            </w:r>
          </w:p>
        </w:tc>
        <w:tc>
          <w:tcPr>
            <w:tcW w:w="3444" w:type="pct"/>
          </w:tcPr>
          <w:p w:rsidRPr="004E7105" w:rsidR="004E7105" w:rsidP="004E7105" w:rsidRDefault="003C4B9D" w14:paraId="36B7A701" w14:textId="777777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FF"/>
                <w:u w:val="single"/>
              </w:rPr>
            </w:pPr>
            <w:hyperlink w:history="1" r:id="rId25">
              <w:r w:rsidR="00897970">
                <w:rPr>
                  <w:i/>
                  <w:color w:val="0000FF"/>
                  <w:u w:val="single"/>
                </w:rPr>
                <w:t>Valeria.Atzori@eesc.europa.eu</w:t>
              </w:r>
            </w:hyperlink>
          </w:p>
          <w:p w:rsidRPr="004E7105" w:rsidR="004E7105" w:rsidP="004E7105" w:rsidRDefault="004E7105" w14:paraId="3E8EA07D" w14:textId="777777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FF"/>
                <w:u w:val="single"/>
              </w:rPr>
            </w:pPr>
          </w:p>
        </w:tc>
      </w:tr>
    </w:tbl>
    <w:p w:rsidR="0010484C" w:rsidRDefault="0010484C" w14:paraId="6CA58907" w14:textId="77777777">
      <w:pPr>
        <w:spacing w:after="160" w:line="259" w:lineRule="auto"/>
        <w:jc w:val="left"/>
        <w:rPr>
          <w:sz w:val="14"/>
          <w:szCs w:val="14"/>
        </w:rPr>
      </w:pPr>
    </w:p>
    <w:p w:rsidR="0010484C" w:rsidRDefault="0010484C" w14:paraId="3C32ABDC" w14:textId="77777777">
      <w:pPr>
        <w:spacing w:after="160" w:line="259" w:lineRule="auto"/>
        <w:jc w:val="left"/>
        <w:rPr>
          <w:sz w:val="14"/>
          <w:szCs w:val="14"/>
        </w:rPr>
      </w:pPr>
      <w:r>
        <w:br w:type="page"/>
      </w:r>
    </w:p>
    <w:p w:rsidRPr="0010484C" w:rsidR="0010484C" w:rsidP="00F34555" w:rsidRDefault="003C4B9D" w14:paraId="3ECE05AC" w14:textId="7B22D080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40" w:lineRule="auto"/>
        <w:ind w:hanging="567"/>
        <w:textAlignment w:val="baseline"/>
        <w:rPr>
          <w:sz w:val="24"/>
          <w:szCs w:val="24"/>
        </w:rPr>
      </w:pPr>
      <w:hyperlink w:history="1" r:id="rId26">
        <w:r w:rsidR="00897970">
          <w:rPr>
            <w:b/>
            <w:i/>
            <w:color w:val="0000FF"/>
            <w:sz w:val="28"/>
            <w:u w:val="single"/>
          </w:rPr>
          <w:t>Revisão da Diretiva Con</w:t>
        </w:r>
        <w:r w:rsidR="00897970">
          <w:rPr>
            <w:b/>
            <w:i/>
            <w:color w:val="0000FF"/>
            <w:sz w:val="28"/>
            <w:u w:val="single"/>
          </w:rPr>
          <w:t>selho de Empresa Europeu</w:t>
        </w:r>
      </w:hyperlink>
    </w:p>
    <w:p w:rsidRPr="00DC0FAE" w:rsidR="0010484C" w:rsidP="00F34555" w:rsidRDefault="0010484C" w14:paraId="00BC5CCC" w14:textId="690E0BC3">
      <w:pPr>
        <w:tabs>
          <w:tab w:val="center" w:pos="284"/>
        </w:tabs>
        <w:overflowPunct w:val="0"/>
        <w:autoSpaceDE w:val="0"/>
        <w:autoSpaceDN w:val="0"/>
        <w:adjustRightInd w:val="0"/>
        <w:spacing w:line="240" w:lineRule="auto"/>
        <w:ind w:left="266" w:hanging="266"/>
        <w:textAlignment w:val="baseline"/>
        <w:rPr>
          <w:b/>
          <w:sz w:val="18"/>
          <w:szCs w:val="18"/>
        </w:rPr>
      </w:pPr>
    </w:p>
    <w:tbl>
      <w:tblPr>
        <w:tblStyle w:val="TableGrid21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01"/>
        <w:gridCol w:w="5387"/>
      </w:tblGrid>
      <w:tr w:rsidRPr="0010484C" w:rsidR="0010484C" w:rsidTr="00FE3058" w14:paraId="561F7E20" w14:textId="77777777">
        <w:tc>
          <w:tcPr>
            <w:tcW w:w="1701" w:type="dxa"/>
          </w:tcPr>
          <w:p w:rsidRPr="0010484C" w:rsidR="0010484C" w:rsidP="00DC0FAE" w:rsidRDefault="0010484C" w14:paraId="5540B242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376"/>
              <w:textAlignment w:val="baseline"/>
              <w:rPr>
                <w:b/>
              </w:rPr>
            </w:pPr>
            <w:r>
              <w:rPr>
                <w:b/>
              </w:rPr>
              <w:t>Relatora</w:t>
            </w:r>
          </w:p>
        </w:tc>
        <w:tc>
          <w:tcPr>
            <w:tcW w:w="5387" w:type="dxa"/>
          </w:tcPr>
          <w:p w:rsidRPr="0010484C" w:rsidR="0010484C" w:rsidP="00DC0FAE" w:rsidRDefault="0010484C" w14:paraId="2E037801" w14:textId="01A5B710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376"/>
              <w:textAlignment w:val="baseline"/>
            </w:pPr>
            <w:r>
              <w:t>Sophia Reisecker (AT – Grupo dos Trabalhadores)</w:t>
            </w:r>
          </w:p>
        </w:tc>
      </w:tr>
      <w:tr w:rsidRPr="0010484C" w:rsidR="0010484C" w:rsidTr="00FE3058" w14:paraId="73157FC0" w14:textId="77777777">
        <w:tc>
          <w:tcPr>
            <w:tcW w:w="7088" w:type="dxa"/>
            <w:gridSpan w:val="2"/>
          </w:tcPr>
          <w:p w:rsidRPr="0010484C" w:rsidR="0010484C" w:rsidP="00DC0FAE" w:rsidRDefault="0010484C" w14:paraId="11368192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376"/>
              <w:textAlignment w:val="baseline"/>
            </w:pPr>
          </w:p>
        </w:tc>
      </w:tr>
      <w:tr w:rsidRPr="0010484C" w:rsidR="0010484C" w:rsidTr="00FE3058" w14:paraId="08B719B5" w14:textId="77777777">
        <w:tc>
          <w:tcPr>
            <w:tcW w:w="1701" w:type="dxa"/>
            <w:vMerge w:val="restart"/>
          </w:tcPr>
          <w:p w:rsidRPr="0010484C" w:rsidR="0010484C" w:rsidP="00DC0FAE" w:rsidRDefault="0010484C" w14:paraId="1AD2CE0E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376"/>
              <w:textAlignment w:val="baseline"/>
              <w:rPr>
                <w:b/>
              </w:rPr>
            </w:pPr>
            <w:r>
              <w:rPr>
                <w:b/>
              </w:rPr>
              <w:t>Referências</w:t>
            </w:r>
          </w:p>
        </w:tc>
        <w:tc>
          <w:tcPr>
            <w:tcW w:w="5387" w:type="dxa"/>
          </w:tcPr>
          <w:p w:rsidRPr="0010484C" w:rsidR="0010484C" w:rsidP="00DC0FAE" w:rsidRDefault="0010484C" w14:paraId="2437B8BE" w14:textId="4FE3213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376"/>
              <w:textAlignment w:val="baseline"/>
            </w:pPr>
            <w:r>
              <w:t>COM(2024) 14 final</w:t>
            </w:r>
          </w:p>
        </w:tc>
      </w:tr>
      <w:tr w:rsidRPr="0010484C" w:rsidR="0010484C" w:rsidTr="00FE3058" w14:paraId="5820FB7B" w14:textId="77777777">
        <w:tc>
          <w:tcPr>
            <w:tcW w:w="1701" w:type="dxa"/>
            <w:vMerge/>
          </w:tcPr>
          <w:p w:rsidRPr="0010484C" w:rsidR="0010484C" w:rsidP="00DC0FAE" w:rsidRDefault="0010484C" w14:paraId="7361EF92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376"/>
              <w:textAlignment w:val="baseline"/>
              <w:rPr>
                <w:b/>
              </w:rPr>
            </w:pPr>
          </w:p>
        </w:tc>
        <w:tc>
          <w:tcPr>
            <w:tcW w:w="5387" w:type="dxa"/>
          </w:tcPr>
          <w:p w:rsidRPr="0010484C" w:rsidR="0010484C" w:rsidP="00DC0FAE" w:rsidRDefault="0010484C" w14:paraId="0F30A46F" w14:textId="4D6C9E54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376"/>
              <w:textAlignment w:val="baseline"/>
            </w:pPr>
            <w:r>
              <w:t>EESC-2024-00543-00-00-AC</w:t>
            </w:r>
          </w:p>
        </w:tc>
      </w:tr>
    </w:tbl>
    <w:p w:rsidRPr="00DC0FAE" w:rsidR="0010484C" w:rsidP="00F34555" w:rsidRDefault="0010484C" w14:paraId="045C90A1" w14:textId="77777777">
      <w:pPr>
        <w:tabs>
          <w:tab w:val="center" w:pos="284"/>
        </w:tabs>
        <w:overflowPunct w:val="0"/>
        <w:autoSpaceDE w:val="0"/>
        <w:autoSpaceDN w:val="0"/>
        <w:adjustRightInd w:val="0"/>
        <w:spacing w:line="240" w:lineRule="auto"/>
        <w:ind w:left="266" w:hanging="266"/>
        <w:textAlignment w:val="baseline"/>
        <w:rPr>
          <w:sz w:val="18"/>
          <w:szCs w:val="18"/>
        </w:rPr>
      </w:pPr>
    </w:p>
    <w:p w:rsidRPr="0010484C" w:rsidR="0010484C" w:rsidP="00F34555" w:rsidRDefault="0010484C" w14:paraId="6E251606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spacing w:line="240" w:lineRule="auto"/>
        <w:ind w:left="266" w:hanging="266"/>
        <w:textAlignment w:val="baseline"/>
        <w:rPr>
          <w:b/>
        </w:rPr>
      </w:pPr>
      <w:r>
        <w:rPr>
          <w:b/>
        </w:rPr>
        <w:t>Pontos principais</w:t>
      </w:r>
    </w:p>
    <w:p w:rsidRPr="00DC0FAE" w:rsidR="0010484C" w:rsidP="00F34555" w:rsidRDefault="0010484C" w14:paraId="1FCAE476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spacing w:line="240" w:lineRule="auto"/>
        <w:ind w:left="266" w:hanging="266"/>
        <w:textAlignment w:val="baseline"/>
        <w:rPr>
          <w:b/>
          <w:sz w:val="16"/>
          <w:szCs w:val="16"/>
        </w:rPr>
      </w:pPr>
    </w:p>
    <w:p w:rsidR="0010484C" w:rsidP="00F34555" w:rsidRDefault="0010484C" w14:paraId="45AB3525" w14:textId="1202BA3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bCs/>
          <w:iCs/>
        </w:rPr>
      </w:pPr>
      <w:r>
        <w:t>O Comité Económico e Social Europeu:</w:t>
      </w:r>
    </w:p>
    <w:p w:rsidRPr="00DC0FAE" w:rsidR="002F6E84" w:rsidP="00F34555" w:rsidRDefault="002F6E84" w14:paraId="0DAE7107" w14:textId="7777777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bCs/>
          <w:iCs/>
          <w:sz w:val="16"/>
          <w:szCs w:val="16"/>
        </w:rPr>
      </w:pPr>
    </w:p>
    <w:p w:rsidRPr="00DC0FAE" w:rsidR="0010484C" w:rsidP="00DC0FAE" w:rsidRDefault="0010484C" w14:paraId="5422A1B5" w14:textId="77777777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szCs w:val="20"/>
        </w:rPr>
      </w:pPr>
      <w:r>
        <w:t>aplaude as medidas legislativas adotadas pela Comissão Europeia para rever a Diretiva 2009/38/CE no que diz respeito aos requisitos mínimos para a criação de conselhos de empresa europeus (CEE) e para assegurar o seu funcionamento eficaz;</w:t>
      </w:r>
    </w:p>
    <w:p w:rsidRPr="00DC0FAE" w:rsidR="0010484C" w:rsidP="00DC0FAE" w:rsidRDefault="0010484C" w14:paraId="4FA291B7" w14:textId="77777777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szCs w:val="20"/>
        </w:rPr>
      </w:pPr>
      <w:r>
        <w:t>regista o objetivo de aumentar a eficácia e a aplicação dos direitos dos CEE, a fim de proporcionar segurança jurídica, clarificando conceitos fundamentais da Diretiva Conselho de Empresa Europeu. Trata-se, nomeadamente, da definição de transnacionalidade, da disponibilização dos recursos adequados aos CEE, do acesso à justiça e do reforço do compromisso dos Estados-Membros de preverem sanções eficazes e suficientemente dissuasivas em caso de violação dos direitos dos CEE;</w:t>
      </w:r>
    </w:p>
    <w:p w:rsidRPr="00DC0FAE" w:rsidR="0010484C" w:rsidP="00DC0FAE" w:rsidRDefault="0010484C" w14:paraId="2ABD0814" w14:textId="77777777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szCs w:val="20"/>
        </w:rPr>
      </w:pPr>
      <w:r>
        <w:t>congratula-se com os objetivos da Comissão de rever a norma para um processo de informação e consulta mais eficiente e significativo, propondo aditamentos às disposições supletivas, de aumentar a frequência das reuniões regulares dos CEE e de introduzir a obrigação de uma resposta fundamentada por parte da direção aos pareceres dos CEE. Reconhece igualmente o reforço do papel dos representantes sindicais enquanto peritos que prestam assistência aos CEE;</w:t>
      </w:r>
    </w:p>
    <w:p w:rsidRPr="005C28F2" w:rsidR="0010484C" w:rsidP="00DC0FAE" w:rsidRDefault="0010484C" w14:paraId="30EB9EA4" w14:textId="77777777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szCs w:val="20"/>
        </w:rPr>
      </w:pPr>
      <w:r>
        <w:t>apoia alterações importantes relativas à capacidade dos CEE e dos seus membros de cumprirem as suas funções. Tal diz respeito, em especial, aos recursos a fornecer pela direção, cujos pormenores têm de ser determinados conjuntamente no acordo de CEE pertinente no que respeita à formação, aos peritos e à representação jurídica, bem como aos esclarecimentos pretendidos em matéria de confidencialidade;</w:t>
      </w:r>
    </w:p>
    <w:p w:rsidRPr="00DC0FAE" w:rsidR="0010484C" w:rsidP="00DC0FAE" w:rsidRDefault="0010484C" w14:paraId="5A31B5F8" w14:textId="77777777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szCs w:val="20"/>
        </w:rPr>
      </w:pPr>
      <w:r>
        <w:t>insta as instituições legislativas a procederem rapidamente à revisão da Diretiva Conselho de Empresa Europeu, em conformidade com a proposta da Comissão, tendo igualmente em conta as recomendações propostas no presente parecer;</w:t>
      </w:r>
    </w:p>
    <w:p w:rsidRPr="00DC0FAE" w:rsidR="0010484C" w:rsidP="00DC0FAE" w:rsidRDefault="0010484C" w14:paraId="401ED45E" w14:textId="77777777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szCs w:val="20"/>
        </w:rPr>
      </w:pPr>
      <w:r>
        <w:t>salienta a necessidade de a Comissão garantir uma transposição e execução adequadas da diretiva revista com instrumentos eficazes de acompanhamento e execução.</w:t>
      </w:r>
    </w:p>
    <w:p w:rsidRPr="00DC0FAE" w:rsidR="0010484C" w:rsidP="00F34555" w:rsidRDefault="0010484C" w14:paraId="79C5FBDA" w14:textId="77777777">
      <w:pPr>
        <w:widowControl w:val="0"/>
        <w:overflowPunct w:val="0"/>
        <w:autoSpaceDE w:val="0"/>
        <w:autoSpaceDN w:val="0"/>
        <w:adjustRightInd w:val="0"/>
        <w:spacing w:line="240" w:lineRule="auto"/>
        <w:ind w:left="709"/>
        <w:textAlignment w:val="baseline"/>
        <w:rPr>
          <w:sz w:val="12"/>
          <w:szCs w:val="10"/>
        </w:rPr>
      </w:pPr>
    </w:p>
    <w:p w:rsidRPr="005C28F2" w:rsidR="0010484C" w:rsidP="0010484C" w:rsidRDefault="0010484C" w14:paraId="3B5BD501" w14:textId="77777777">
      <w:pPr>
        <w:widowControl w:val="0"/>
        <w:overflowPunct w:val="0"/>
        <w:autoSpaceDE w:val="0"/>
        <w:autoSpaceDN w:val="0"/>
        <w:adjustRightInd w:val="0"/>
        <w:textAlignment w:val="baseline"/>
        <w:rPr>
          <w:b/>
          <w:bCs/>
          <w:szCs w:val="20"/>
        </w:rPr>
      </w:pPr>
      <w:r>
        <w:rPr>
          <w:b/>
        </w:rPr>
        <w:t>As organizações patronais opuseram-se a estes pontos de vista pelo que os membros do Grupo dos Empregadores do CESE apresentaram um contraparecer. Mais especificamente, manifestaram a sua preocupação pelo facto de a revisão da diretiva ser suscetível de complicar o funcionamento dos CEE, podendo transformar aquilo que é um canal eficaz de informação e consulta nas empresas numa fonte de litígio e insegurança jurídica. O Grupo dos Empregadores do CESE considera que tal pode comprometer o indispensável espírito de cooperação e confiança no local de trabalho. O contraparecer, embora rejeitado pelo CESE (104 votos a favor, 125 contra e 11 abstenções), recolheu mais de um quarto dos sufrágios expressos, pelo que, em conformidade com o Regimento, figura em anexo ao parecer.</w:t>
      </w:r>
    </w:p>
    <w:p w:rsidR="0010484C" w:rsidP="00F34555" w:rsidRDefault="0010484C" w14:paraId="4D07561D" w14:textId="10666C39">
      <w:pPr>
        <w:widowControl w:val="0"/>
        <w:overflowPunct w:val="0"/>
        <w:autoSpaceDE w:val="0"/>
        <w:autoSpaceDN w:val="0"/>
        <w:adjustRightInd w:val="0"/>
        <w:spacing w:line="192" w:lineRule="auto"/>
        <w:textAlignment w:val="baseline"/>
        <w:rPr>
          <w:sz w:val="18"/>
          <w:szCs w:val="16"/>
        </w:rPr>
      </w:pPr>
    </w:p>
    <w:tbl>
      <w:tblPr>
        <w:tblStyle w:val="TableGrid21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09"/>
        <w:gridCol w:w="5279"/>
      </w:tblGrid>
      <w:tr w:rsidRPr="0010484C" w:rsidR="005C28F2" w:rsidTr="00F34555" w14:paraId="60D176FD" w14:textId="77777777">
        <w:tc>
          <w:tcPr>
            <w:tcW w:w="1809" w:type="dxa"/>
          </w:tcPr>
          <w:p w:rsidRPr="0010484C" w:rsidR="005C28F2" w:rsidP="00405FFF" w:rsidRDefault="005C28F2" w14:paraId="585CB7BA" w14:textId="77777777">
            <w:pPr>
              <w:overflowPunct w:val="0"/>
              <w:autoSpaceDE w:val="0"/>
              <w:autoSpaceDN w:val="0"/>
              <w:adjustRightInd w:val="0"/>
              <w:ind w:hanging="110"/>
              <w:textAlignment w:val="baseline"/>
              <w:rPr>
                <w:i/>
              </w:rPr>
            </w:pPr>
            <w:r>
              <w:rPr>
                <w:b/>
                <w:i/>
              </w:rPr>
              <w:t>Contacto</w:t>
            </w:r>
          </w:p>
        </w:tc>
        <w:tc>
          <w:tcPr>
            <w:tcW w:w="5279" w:type="dxa"/>
          </w:tcPr>
          <w:p w:rsidRPr="0010484C" w:rsidR="005C28F2" w:rsidP="00405FFF" w:rsidRDefault="005C28F2" w14:paraId="78013169" w14:textId="77777777">
            <w:pPr>
              <w:overflowPunct w:val="0"/>
              <w:autoSpaceDE w:val="0"/>
              <w:autoSpaceDN w:val="0"/>
              <w:adjustRightInd w:val="0"/>
              <w:ind w:hanging="110"/>
              <w:textAlignment w:val="baseline"/>
              <w:rPr>
                <w:i/>
              </w:rPr>
            </w:pPr>
            <w:r>
              <w:rPr>
                <w:i/>
              </w:rPr>
              <w:t>Bartek Bednarowicz</w:t>
            </w:r>
          </w:p>
        </w:tc>
      </w:tr>
      <w:tr w:rsidRPr="0010484C" w:rsidR="005C28F2" w:rsidTr="00F34555" w14:paraId="02718472" w14:textId="77777777">
        <w:tc>
          <w:tcPr>
            <w:tcW w:w="1809" w:type="dxa"/>
          </w:tcPr>
          <w:p w:rsidRPr="0010484C" w:rsidR="005C28F2" w:rsidP="00405FFF" w:rsidRDefault="005C28F2" w14:paraId="5ECEACD6" w14:textId="77777777">
            <w:pPr>
              <w:overflowPunct w:val="0"/>
              <w:autoSpaceDE w:val="0"/>
              <w:autoSpaceDN w:val="0"/>
              <w:adjustRightInd w:val="0"/>
              <w:ind w:hanging="110"/>
              <w:textAlignment w:val="baseline"/>
              <w:rPr>
                <w:i/>
              </w:rPr>
            </w:pPr>
            <w:r>
              <w:rPr>
                <w:i/>
              </w:rPr>
              <w:t>Tel.</w:t>
            </w:r>
          </w:p>
        </w:tc>
        <w:tc>
          <w:tcPr>
            <w:tcW w:w="5279" w:type="dxa"/>
          </w:tcPr>
          <w:p w:rsidRPr="0010484C" w:rsidR="005C28F2" w:rsidP="00405FFF" w:rsidRDefault="005C28F2" w14:paraId="39C98148" w14:textId="77777777">
            <w:pPr>
              <w:overflowPunct w:val="0"/>
              <w:autoSpaceDE w:val="0"/>
              <w:autoSpaceDN w:val="0"/>
              <w:adjustRightInd w:val="0"/>
              <w:ind w:hanging="110"/>
              <w:textAlignment w:val="baseline"/>
              <w:rPr>
                <w:i/>
              </w:rPr>
            </w:pPr>
            <w:r>
              <w:rPr>
                <w:i/>
              </w:rPr>
              <w:t>+32 2 546 92 29</w:t>
            </w:r>
          </w:p>
        </w:tc>
      </w:tr>
      <w:tr w:rsidRPr="0010484C" w:rsidR="005C28F2" w:rsidTr="00F34555" w14:paraId="6D0F78E9" w14:textId="77777777">
        <w:tc>
          <w:tcPr>
            <w:tcW w:w="1809" w:type="dxa"/>
          </w:tcPr>
          <w:p w:rsidRPr="0010484C" w:rsidR="005C28F2" w:rsidP="00405FFF" w:rsidRDefault="005C28F2" w14:paraId="57F2C25C" w14:textId="77777777">
            <w:pPr>
              <w:overflowPunct w:val="0"/>
              <w:autoSpaceDE w:val="0"/>
              <w:autoSpaceDN w:val="0"/>
              <w:adjustRightInd w:val="0"/>
              <w:ind w:hanging="110"/>
              <w:textAlignment w:val="baseline"/>
              <w:rPr>
                <w:i/>
              </w:rPr>
            </w:pPr>
            <w:r>
              <w:rPr>
                <w:i/>
              </w:rPr>
              <w:t>Endereço eletrónico</w:t>
            </w:r>
          </w:p>
        </w:tc>
        <w:tc>
          <w:tcPr>
            <w:tcW w:w="5279" w:type="dxa"/>
          </w:tcPr>
          <w:p w:rsidRPr="0010484C" w:rsidR="005C28F2" w:rsidP="00405FFF" w:rsidRDefault="003C4B9D" w14:paraId="17171F10" w14:textId="77777777">
            <w:pPr>
              <w:overflowPunct w:val="0"/>
              <w:autoSpaceDE w:val="0"/>
              <w:autoSpaceDN w:val="0"/>
              <w:adjustRightInd w:val="0"/>
              <w:ind w:hanging="110"/>
              <w:textAlignment w:val="baseline"/>
              <w:rPr>
                <w:i/>
                <w:iCs/>
              </w:rPr>
            </w:pPr>
            <w:hyperlink w:history="1" r:id="rId27">
              <w:r w:rsidR="005C28F2">
                <w:rPr>
                  <w:i/>
                  <w:color w:val="0000FF"/>
                  <w:u w:val="single"/>
                </w:rPr>
                <w:t>Bartek.Bednarowicz@eesc.europa.eu</w:t>
              </w:r>
            </w:hyperlink>
          </w:p>
        </w:tc>
      </w:tr>
    </w:tbl>
    <w:p w:rsidRPr="005C28F2" w:rsidR="00025343" w:rsidP="00DC0FAE" w:rsidRDefault="003C4B9D" w14:paraId="05A78CB9" w14:textId="19CDB86F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ind w:hanging="567"/>
        <w:textAlignment w:val="baseline"/>
        <w:rPr>
          <w:b/>
        </w:rPr>
      </w:pPr>
      <w:hyperlink w:history="1" r:id="rId28">
        <w:r w:rsidR="005C28F2">
          <w:rPr>
            <w:b/>
            <w:i/>
            <w:color w:val="0000FF"/>
            <w:sz w:val="28"/>
            <w:u w:val="single"/>
          </w:rPr>
          <w:t>Não ao ódio: uma Europa unida c</w:t>
        </w:r>
        <w:r w:rsidR="005C28F2">
          <w:rPr>
            <w:b/>
            <w:i/>
            <w:color w:val="0000FF"/>
            <w:sz w:val="28"/>
            <w:u w:val="single"/>
          </w:rPr>
          <w:t>ontra o ódio</w:t>
        </w:r>
      </w:hyperlink>
    </w:p>
    <w:p w:rsidRPr="00025343" w:rsidR="00025343" w:rsidP="00F34555" w:rsidRDefault="00025343" w14:paraId="07CE56B3" w14:textId="576C118A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b/>
        </w:rPr>
      </w:pPr>
    </w:p>
    <w:tbl>
      <w:tblPr>
        <w:tblStyle w:val="TableGrid216"/>
        <w:tblW w:w="4532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172"/>
        <w:gridCol w:w="6117"/>
      </w:tblGrid>
      <w:tr w:rsidRPr="00025343" w:rsidR="00025343" w:rsidTr="00FE3058" w14:paraId="2AF8F4F0" w14:textId="77777777">
        <w:trPr>
          <w:trHeight w:val="337"/>
        </w:trPr>
        <w:tc>
          <w:tcPr>
            <w:tcW w:w="1310" w:type="pct"/>
          </w:tcPr>
          <w:p w:rsidRPr="00025343" w:rsidR="00025343" w:rsidP="00DC0FAE" w:rsidRDefault="00025343" w14:paraId="11E0BB11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92"/>
              <w:textAlignment w:val="baseline"/>
              <w:rPr>
                <w:b/>
              </w:rPr>
            </w:pPr>
            <w:r>
              <w:rPr>
                <w:b/>
              </w:rPr>
              <w:t>Relator</w:t>
            </w:r>
          </w:p>
        </w:tc>
        <w:tc>
          <w:tcPr>
            <w:tcW w:w="3690" w:type="pct"/>
          </w:tcPr>
          <w:p w:rsidRPr="00025343" w:rsidR="00025343" w:rsidP="00DC0FAE" w:rsidRDefault="00025343" w14:paraId="75752AD4" w14:textId="7ACD3C64">
            <w:pPr>
              <w:tabs>
                <w:tab w:val="center" w:pos="0"/>
              </w:tabs>
              <w:overflowPunct w:val="0"/>
              <w:autoSpaceDE w:val="0"/>
              <w:autoSpaceDN w:val="0"/>
              <w:adjustRightInd w:val="0"/>
              <w:ind w:hanging="92"/>
              <w:textAlignment w:val="baseline"/>
            </w:pPr>
            <w:r>
              <w:t>Cristian Pîrvulescu (RO – Grupo das Organizações da Sociedade Civil)</w:t>
            </w:r>
          </w:p>
        </w:tc>
      </w:tr>
      <w:tr w:rsidRPr="00025343" w:rsidR="00025343" w:rsidTr="00FE3058" w14:paraId="1760181D" w14:textId="77777777">
        <w:trPr>
          <w:trHeight w:val="350"/>
        </w:trPr>
        <w:tc>
          <w:tcPr>
            <w:tcW w:w="1310" w:type="pct"/>
          </w:tcPr>
          <w:p w:rsidRPr="00025343" w:rsidR="00025343" w:rsidP="00DC0FAE" w:rsidRDefault="00025343" w14:paraId="2BD960A6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92"/>
              <w:textAlignment w:val="baseline"/>
              <w:rPr>
                <w:b/>
              </w:rPr>
            </w:pPr>
            <w:r>
              <w:rPr>
                <w:b/>
              </w:rPr>
              <w:t>Correlatora</w:t>
            </w:r>
          </w:p>
        </w:tc>
        <w:tc>
          <w:tcPr>
            <w:tcW w:w="3690" w:type="pct"/>
          </w:tcPr>
          <w:p w:rsidRPr="00025343" w:rsidR="00025343" w:rsidP="00DC0FAE" w:rsidRDefault="00025343" w14:paraId="4D5D8264" w14:textId="0F078110">
            <w:pPr>
              <w:overflowPunct w:val="0"/>
              <w:autoSpaceDE w:val="0"/>
              <w:autoSpaceDN w:val="0"/>
              <w:adjustRightInd w:val="0"/>
              <w:ind w:hanging="92"/>
              <w:textAlignment w:val="baseline"/>
            </w:pPr>
            <w:r>
              <w:t>Milena Angelova (BG – Grupo dos Empregadores)</w:t>
            </w:r>
          </w:p>
        </w:tc>
      </w:tr>
      <w:tr w:rsidRPr="00025343" w:rsidR="00025343" w:rsidTr="00FE3058" w14:paraId="2C6DD60C" w14:textId="77777777">
        <w:trPr>
          <w:trHeight w:val="180"/>
        </w:trPr>
        <w:tc>
          <w:tcPr>
            <w:tcW w:w="5000" w:type="pct"/>
            <w:gridSpan w:val="2"/>
          </w:tcPr>
          <w:p w:rsidRPr="00025343" w:rsidR="00025343" w:rsidP="00DC0FAE" w:rsidRDefault="00025343" w14:paraId="5C89C595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92"/>
              <w:textAlignment w:val="baseline"/>
            </w:pPr>
          </w:p>
        </w:tc>
      </w:tr>
      <w:tr w:rsidRPr="00025343" w:rsidR="00025343" w:rsidTr="00FE3058" w14:paraId="6FBC34E5" w14:textId="77777777">
        <w:trPr>
          <w:trHeight w:val="337"/>
        </w:trPr>
        <w:tc>
          <w:tcPr>
            <w:tcW w:w="1310" w:type="pct"/>
          </w:tcPr>
          <w:p w:rsidRPr="00025343" w:rsidR="00025343" w:rsidP="00DC0FAE" w:rsidRDefault="00025343" w14:paraId="0CB959F0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92"/>
              <w:textAlignment w:val="baseline"/>
              <w:rPr>
                <w:b/>
              </w:rPr>
            </w:pPr>
            <w:r>
              <w:rPr>
                <w:b/>
              </w:rPr>
              <w:t>Referências</w:t>
            </w:r>
          </w:p>
        </w:tc>
        <w:tc>
          <w:tcPr>
            <w:tcW w:w="3690" w:type="pct"/>
          </w:tcPr>
          <w:p w:rsidR="00073B39" w:rsidRDefault="00073B39" w14:paraId="4E56704D" w14:textId="77D55C36">
            <w:pPr>
              <w:overflowPunct w:val="0"/>
              <w:autoSpaceDE w:val="0"/>
              <w:autoSpaceDN w:val="0"/>
              <w:adjustRightInd w:val="0"/>
              <w:ind w:left="38" w:hanging="92"/>
              <w:textAlignment w:val="baseline"/>
            </w:pPr>
            <w:r>
              <w:t>JOIN(2023) 51 final</w:t>
            </w:r>
          </w:p>
          <w:p w:rsidRPr="00025343" w:rsidR="00025343" w:rsidP="00DC0FAE" w:rsidRDefault="00025343" w14:paraId="3DBBFBEB" w14:textId="41A0BBEE">
            <w:pPr>
              <w:overflowPunct w:val="0"/>
              <w:autoSpaceDE w:val="0"/>
              <w:autoSpaceDN w:val="0"/>
              <w:adjustRightInd w:val="0"/>
              <w:ind w:left="38" w:hanging="92"/>
              <w:textAlignment w:val="baseline"/>
            </w:pPr>
            <w:r>
              <w:t>EESC-2024-00795-00-00-AC</w:t>
            </w:r>
          </w:p>
        </w:tc>
      </w:tr>
    </w:tbl>
    <w:p w:rsidRPr="00025343" w:rsidR="00025343" w:rsidP="00F34555" w:rsidRDefault="00025343" w14:paraId="22461CD2" w14:textId="7777777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b/>
        </w:rPr>
      </w:pPr>
    </w:p>
    <w:p w:rsidRPr="00025343" w:rsidR="00025343" w:rsidP="00025343" w:rsidRDefault="00025343" w14:paraId="76CC5FDB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Pontos principais</w:t>
      </w:r>
    </w:p>
    <w:p w:rsidRPr="00025343" w:rsidR="00025343" w:rsidP="00F34555" w:rsidRDefault="00025343" w14:paraId="19863DE9" w14:textId="7777777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b/>
        </w:rPr>
      </w:pPr>
    </w:p>
    <w:p w:rsidR="00025343" w:rsidP="00F34555" w:rsidRDefault="00025343" w14:paraId="4E01D61B" w14:textId="1C55CBF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bCs/>
          <w:iCs/>
        </w:rPr>
      </w:pPr>
      <w:r>
        <w:t>O Comité Económico e Social Europeu:</w:t>
      </w:r>
    </w:p>
    <w:p w:rsidRPr="00025343" w:rsidR="00360C2F" w:rsidP="00F34555" w:rsidRDefault="00360C2F" w14:paraId="227E2908" w14:textId="7777777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bCs/>
          <w:iCs/>
        </w:rPr>
      </w:pPr>
    </w:p>
    <w:p w:rsidRPr="00025343" w:rsidR="00025343" w:rsidP="00DC0FAE" w:rsidRDefault="00025343" w14:paraId="377FA812" w14:textId="77777777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>congratula-se com a comunicação e salienta a necessidade de uma parceria mais abrangente com as organizações da sociedade civil. Defende a realização de campanhas de sensibilização, solicita que se envidem esforços para combater os «ecossistemas» de ódio em linha e fora de linha e recorda que os políticos têm a responsabilidade de evitar uma linguagem que promova o ódio;</w:t>
      </w:r>
    </w:p>
    <w:p w:rsidRPr="00025343" w:rsidR="00025343" w:rsidP="00DC0FAE" w:rsidRDefault="00025343" w14:paraId="375F8159" w14:textId="77777777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>insta a UE a adotar uma abordagem abrangente e a combater os atos de ódio que visam características humanas protegidas, a executar eficazmente as estratégias e iniciativas que promovem a igualdade e a não discriminação e a adotar essencialmente a mesma abordagem para combater todos os tipos de ódio. Insta os Estados-Membros a reprimirem os crimes de ódio, a incentivarem a sua denúncia e a formarem os agentes dos serviços responsáveis pela aplicação da lei para que tratem esses casos de forma adequada, no devido respeito pelas vítimas;</w:t>
      </w:r>
    </w:p>
    <w:p w:rsidRPr="00025343" w:rsidR="00025343" w:rsidP="00DC0FAE" w:rsidRDefault="00025343" w14:paraId="65F1FFC2" w14:textId="77777777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>lamenta que o esforço de luta contra o ódio nas plataformas em linha esteja aquém do necessário em termos de escala e de impacto. Cabe alargar o papel e os conhecimentos especializados dos sinalizadores, de modo a abranger sistematicamente todos os tipos de preconceitos que estão na base dos atos de ódio em linha. Há que melhorar a literacia mediática e digital, a fim de garantir uma denúncia mais eficaz;</w:t>
      </w:r>
    </w:p>
    <w:p w:rsidRPr="00025343" w:rsidR="00025343" w:rsidP="00DC0FAE" w:rsidRDefault="00025343" w14:paraId="0FED99CF" w14:textId="77777777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>considera que cumpre operacionalizar melhor o trabalho do Grupo de Alto Nível sobre a luta contra o discurso de ódio e os crimes de ódio, intensificar a formação e o reforço das capacidades da sociedade civil e melhorar a eficácia das denúncias. Importa elaborar relatórios e avaliações comparativas para identificar os progressos realizados. A denúncia de crimes de ódio deve ser normalizada e institucionalizada a nível da UE. É necessário dispor de mecanismos de denúncia acessíveis, pelo que se incentiva a Comissão a criar uma plataforma em linha que permita às organizações da sociedade civil e aos defensores dos direitos humanos denunciarem rapidamente os incidentes;</w:t>
      </w:r>
    </w:p>
    <w:p w:rsidRPr="00025343" w:rsidR="00025343" w:rsidP="00DC0FAE" w:rsidRDefault="00025343" w14:paraId="293255FE" w14:textId="77777777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>sublinha que a Comissão deve levar a cabo uma análise do trabalho das organizações da sociedade civil e dos sinalizadores de confiança e propor medidas para melhorar a sua eficácia e tornar o seu trabalho mais adaptado aos desafios atuais. A UE deve insistir na necessidade de as grandes plataformas em linha impedirem os seus algoritmos de amplificar o ódio e utilizar fundos do Programa Cidadãos, Igualdade, Direitos e Valores e do Horizonte Europa para identificar e combater ecossistemas de ódio em linha, permitindo que as capacidades educativas e de investigação existentes contribuam para esse objetivo. O Erasmus+ destinado à educação para a cidadania também pode dar um contributo neste domínio.</w:t>
      </w:r>
    </w:p>
    <w:p w:rsidRPr="00025343" w:rsidR="00025343" w:rsidP="00F34555" w:rsidRDefault="00025343" w14:paraId="0B19C92B" w14:textId="77777777">
      <w:pPr>
        <w:widowControl w:val="0"/>
        <w:overflowPunct w:val="0"/>
        <w:autoSpaceDE w:val="0"/>
        <w:autoSpaceDN w:val="0"/>
        <w:adjustRightInd w:val="0"/>
        <w:spacing w:line="240" w:lineRule="auto"/>
        <w:ind w:left="425"/>
        <w:textAlignment w:val="baseline"/>
        <w:rPr>
          <w:bCs/>
          <w:iCs/>
        </w:rPr>
      </w:pPr>
    </w:p>
    <w:tbl>
      <w:tblPr>
        <w:tblStyle w:val="TableGrid216"/>
        <w:tblW w:w="351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01"/>
        <w:gridCol w:w="4430"/>
      </w:tblGrid>
      <w:tr w:rsidRPr="00025343" w:rsidR="00025343" w:rsidTr="00FE3058" w14:paraId="2383B5F9" w14:textId="77777777">
        <w:trPr>
          <w:trHeight w:val="60"/>
        </w:trPr>
        <w:tc>
          <w:tcPr>
            <w:tcW w:w="1556" w:type="pct"/>
          </w:tcPr>
          <w:p w:rsidRPr="00025343" w:rsidR="00025343" w:rsidP="00025343" w:rsidRDefault="00025343" w14:paraId="77472C91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b/>
                <w:i/>
              </w:rPr>
              <w:t>Contacto</w:t>
            </w:r>
          </w:p>
        </w:tc>
        <w:tc>
          <w:tcPr>
            <w:tcW w:w="3444" w:type="pct"/>
          </w:tcPr>
          <w:p w:rsidRPr="00025343" w:rsidR="00025343" w:rsidP="00025343" w:rsidRDefault="00025343" w14:paraId="0085AE7E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June Bedaton</w:t>
            </w:r>
          </w:p>
        </w:tc>
      </w:tr>
      <w:tr w:rsidRPr="00025343" w:rsidR="00025343" w:rsidTr="00FE3058" w14:paraId="5D5A7669" w14:textId="77777777">
        <w:tc>
          <w:tcPr>
            <w:tcW w:w="1556" w:type="pct"/>
          </w:tcPr>
          <w:p w:rsidRPr="00025343" w:rsidR="00025343" w:rsidP="00025343" w:rsidRDefault="00025343" w14:paraId="0EE8CCA8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Tel.</w:t>
            </w:r>
          </w:p>
        </w:tc>
        <w:tc>
          <w:tcPr>
            <w:tcW w:w="3444" w:type="pct"/>
          </w:tcPr>
          <w:p w:rsidRPr="00025343" w:rsidR="00025343" w:rsidP="00025343" w:rsidRDefault="00025343" w14:paraId="13FFF4AE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+32 2 546 81 34</w:t>
            </w:r>
          </w:p>
        </w:tc>
      </w:tr>
      <w:tr w:rsidRPr="00025343" w:rsidR="00025343" w:rsidTr="00FE3058" w14:paraId="3F8348DB" w14:textId="77777777">
        <w:tc>
          <w:tcPr>
            <w:tcW w:w="1556" w:type="pct"/>
          </w:tcPr>
          <w:p w:rsidRPr="00025343" w:rsidR="00025343" w:rsidP="00025343" w:rsidRDefault="00025343" w14:paraId="727D8F5E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Endereço eletrónico</w:t>
            </w:r>
          </w:p>
        </w:tc>
        <w:tc>
          <w:tcPr>
            <w:tcW w:w="3444" w:type="pct"/>
          </w:tcPr>
          <w:p w:rsidRPr="00025343" w:rsidR="00025343" w:rsidP="00025343" w:rsidRDefault="003C4B9D" w14:paraId="55F1FCFD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hyperlink w:history="1" r:id="rId29">
              <w:r w:rsidR="00897970">
                <w:rPr>
                  <w:i/>
                  <w:color w:val="0000FF"/>
                  <w:u w:val="single"/>
                </w:rPr>
                <w:t>June.Bedaton@eesc.europa.eu</w:t>
              </w:r>
            </w:hyperlink>
          </w:p>
        </w:tc>
      </w:tr>
    </w:tbl>
    <w:p w:rsidRPr="00D71D11" w:rsidR="00502E1F" w:rsidP="00F34555" w:rsidRDefault="00502E1F" w14:paraId="3D58FF9D" w14:textId="2586B74C">
      <w:pPr>
        <w:spacing w:after="160" w:line="192" w:lineRule="auto"/>
        <w:jc w:val="left"/>
        <w:rPr>
          <w:sz w:val="14"/>
          <w:szCs w:val="14"/>
        </w:rPr>
      </w:pPr>
      <w:r>
        <w:br w:type="page"/>
      </w:r>
    </w:p>
    <w:p w:rsidRPr="00EE2FBD" w:rsidR="004C3902" w:rsidP="00770F41" w:rsidRDefault="008E2A59" w14:paraId="7AD922B6" w14:textId="2BABB602">
      <w:pPr>
        <w:pStyle w:val="Heading1"/>
        <w:tabs>
          <w:tab w:val="clear" w:pos="440"/>
          <w:tab w:val="left" w:pos="567"/>
        </w:tabs>
        <w:ind w:left="567" w:hanging="567"/>
        <w:rPr>
          <w:b/>
          <w:bCs/>
        </w:rPr>
      </w:pPr>
      <w:bookmarkStart w:name="_Toc166847134" w:id="2"/>
      <w:bookmarkStart w:name="_Toc169614962" w:id="3"/>
      <w:bookmarkEnd w:id="2"/>
      <w:r>
        <w:rPr>
          <w:b/>
        </w:rPr>
        <w:lastRenderedPageBreak/>
        <w:t>AGRICULTURA, DESENVOLVIMENTO RURAL E AMBIENTE</w:t>
      </w:r>
      <w:bookmarkEnd w:id="3"/>
    </w:p>
    <w:p w:rsidR="005C28F2" w:rsidRDefault="005C28F2" w14:paraId="70C7CB4F" w14:textId="77777777">
      <w:pPr>
        <w:spacing w:after="160" w:line="259" w:lineRule="auto"/>
        <w:jc w:val="left"/>
        <w:rPr>
          <w:b/>
          <w:bCs/>
        </w:rPr>
      </w:pPr>
    </w:p>
    <w:p w:rsidR="00A329C8" w:rsidRDefault="00A329C8" w14:paraId="207163CE" w14:textId="67E9BB6A">
      <w:pPr>
        <w:spacing w:after="160" w:line="259" w:lineRule="auto"/>
        <w:jc w:val="left"/>
        <w:rPr>
          <w:b/>
          <w:bCs/>
        </w:rPr>
      </w:pPr>
    </w:p>
    <w:p w:rsidRPr="00A329C8" w:rsidR="00A329C8" w:rsidP="00DC0FAE" w:rsidRDefault="003C4B9D" w14:paraId="54725696" w14:textId="5958EFA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contextualSpacing/>
        <w:jc w:val="left"/>
        <w:textAlignment w:val="baseline"/>
        <w:rPr>
          <w:i/>
          <w:iCs/>
        </w:rPr>
      </w:pPr>
      <w:hyperlink w:history="1" r:id="rId30">
        <w:r w:rsidR="004C1520">
          <w:rPr>
            <w:b/>
            <w:i/>
            <w:color w:val="0000FF"/>
            <w:sz w:val="28"/>
            <w:u w:val="single"/>
          </w:rPr>
          <w:t>Meta climática da UE p</w:t>
        </w:r>
        <w:r w:rsidR="004C1520">
          <w:rPr>
            <w:b/>
            <w:i/>
            <w:color w:val="0000FF"/>
            <w:sz w:val="28"/>
            <w:u w:val="single"/>
          </w:rPr>
          <w:t>ara 2040</w:t>
        </w:r>
      </w:hyperlink>
    </w:p>
    <w:p w:rsidRPr="00A329C8" w:rsidR="00A329C8" w:rsidP="00A329C8" w:rsidRDefault="00A329C8" w14:paraId="41709063" w14:textId="77777777">
      <w:pPr>
        <w:widowControl w:val="0"/>
        <w:overflowPunct w:val="0"/>
        <w:autoSpaceDE w:val="0"/>
        <w:autoSpaceDN w:val="0"/>
        <w:adjustRightInd w:val="0"/>
        <w:ind w:left="567"/>
        <w:textAlignment w:val="baseline"/>
        <w:rPr>
          <w:bCs/>
          <w:sz w:val="16"/>
          <w:szCs w:val="16"/>
        </w:rPr>
      </w:pPr>
    </w:p>
    <w:tbl>
      <w:tblPr>
        <w:tblStyle w:val="TableGrid21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01"/>
        <w:gridCol w:w="6096"/>
      </w:tblGrid>
      <w:tr w:rsidRPr="00A329C8" w:rsidR="00A329C8" w:rsidTr="00FE3058" w14:paraId="1072566D" w14:textId="77777777">
        <w:tc>
          <w:tcPr>
            <w:tcW w:w="1701" w:type="dxa"/>
          </w:tcPr>
          <w:p w:rsidRPr="00A329C8" w:rsidR="00A329C8" w:rsidRDefault="00A329C8" w14:paraId="165FF2EB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Relator</w:t>
            </w:r>
          </w:p>
        </w:tc>
        <w:tc>
          <w:tcPr>
            <w:tcW w:w="6096" w:type="dxa"/>
          </w:tcPr>
          <w:p w:rsidRPr="00A329C8" w:rsidR="00A329C8" w:rsidRDefault="00A329C8" w14:paraId="79F6E9C0" w14:textId="43EDADDC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Cs/>
              </w:rPr>
            </w:pPr>
            <w:r>
              <w:rPr>
                <w:b/>
              </w:rPr>
              <w:t xml:space="preserve">Teppo Säkkinen </w:t>
            </w:r>
            <w:r>
              <w:t>(FI – Grupo dos Empregadores)</w:t>
            </w:r>
          </w:p>
        </w:tc>
      </w:tr>
      <w:tr w:rsidRPr="00A329C8" w:rsidR="00A329C8" w:rsidTr="00FE3058" w14:paraId="41523448" w14:textId="77777777">
        <w:tc>
          <w:tcPr>
            <w:tcW w:w="7797" w:type="dxa"/>
            <w:gridSpan w:val="2"/>
          </w:tcPr>
          <w:p w:rsidRPr="00A329C8" w:rsidR="00A329C8" w:rsidRDefault="00A329C8" w14:paraId="0D6A47D3" w14:textId="77777777">
            <w:pPr>
              <w:tabs>
                <w:tab w:val="left" w:pos="2690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  <w:rPr>
                <w:sz w:val="10"/>
                <w:szCs w:val="10"/>
              </w:rPr>
            </w:pPr>
          </w:p>
        </w:tc>
      </w:tr>
      <w:tr w:rsidRPr="00A329C8" w:rsidR="00A329C8" w:rsidTr="00FE3058" w14:paraId="4CD963E6" w14:textId="77777777">
        <w:tc>
          <w:tcPr>
            <w:tcW w:w="1701" w:type="dxa"/>
            <w:vMerge w:val="restart"/>
          </w:tcPr>
          <w:p w:rsidRPr="00A329C8" w:rsidR="00A329C8" w:rsidRDefault="00A329C8" w14:paraId="09AC84B4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Referências</w:t>
            </w:r>
          </w:p>
        </w:tc>
        <w:tc>
          <w:tcPr>
            <w:tcW w:w="6096" w:type="dxa"/>
          </w:tcPr>
          <w:p w:rsidRPr="00A329C8" w:rsidR="00A329C8" w:rsidRDefault="00A329C8" w14:paraId="3A6B9900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COM(2024) 63 final</w:t>
            </w:r>
          </w:p>
        </w:tc>
      </w:tr>
      <w:tr w:rsidRPr="00A329C8" w:rsidR="00A329C8" w:rsidTr="00FE3058" w14:paraId="42B3A032" w14:textId="77777777">
        <w:tc>
          <w:tcPr>
            <w:tcW w:w="1701" w:type="dxa"/>
            <w:vMerge/>
          </w:tcPr>
          <w:p w:rsidRPr="00A329C8" w:rsidR="00A329C8" w:rsidRDefault="00A329C8" w14:paraId="4ADA52A9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6096" w:type="dxa"/>
          </w:tcPr>
          <w:p w:rsidRPr="00A329C8" w:rsidR="00A329C8" w:rsidRDefault="00A329C8" w14:paraId="34A1EAA6" w14:textId="10339782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EESC-2024-00418-00-00-AC</w:t>
            </w:r>
          </w:p>
        </w:tc>
      </w:tr>
    </w:tbl>
    <w:p w:rsidRPr="00A329C8" w:rsidR="00A329C8" w:rsidP="00A329C8" w:rsidRDefault="00A329C8" w14:paraId="0015795B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sz w:val="10"/>
          <w:szCs w:val="10"/>
        </w:rPr>
      </w:pPr>
    </w:p>
    <w:p w:rsidRPr="00A329C8" w:rsidR="00A329C8" w:rsidP="00A329C8" w:rsidRDefault="00A329C8" w14:paraId="52DD4DB5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spacing w:line="276" w:lineRule="auto"/>
        <w:ind w:left="266" w:hanging="266"/>
        <w:textAlignment w:val="baseline"/>
        <w:rPr>
          <w:b/>
        </w:rPr>
      </w:pPr>
      <w:r>
        <w:rPr>
          <w:b/>
        </w:rPr>
        <w:t>Pontos principais</w:t>
      </w:r>
    </w:p>
    <w:p w:rsidRPr="00A329C8" w:rsidR="00A329C8" w:rsidP="00A329C8" w:rsidRDefault="00A329C8" w14:paraId="0EFAF4B2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spacing w:line="276" w:lineRule="auto"/>
        <w:ind w:left="266" w:hanging="266"/>
        <w:textAlignment w:val="baseline"/>
        <w:rPr>
          <w:bCs/>
          <w:sz w:val="16"/>
          <w:szCs w:val="16"/>
        </w:rPr>
      </w:pPr>
    </w:p>
    <w:p w:rsidR="00A329C8" w:rsidP="00A329C8" w:rsidRDefault="00A329C8" w14:paraId="4C8A0CE8" w14:textId="68F5BE8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bCs/>
          <w:iCs/>
        </w:rPr>
      </w:pPr>
      <w:r>
        <w:t>O Comité Económico e Social Europeu:</w:t>
      </w:r>
    </w:p>
    <w:p w:rsidRPr="00A329C8" w:rsidR="00D12B39" w:rsidP="00A329C8" w:rsidRDefault="00D12B39" w14:paraId="369B2779" w14:textId="7777777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bCs/>
          <w:iCs/>
        </w:rPr>
      </w:pPr>
    </w:p>
    <w:p w:rsidRPr="00DC0FAE" w:rsidR="00A329C8" w:rsidP="00DC0FAE" w:rsidRDefault="00A329C8" w14:paraId="044AC65A" w14:textId="77777777">
      <w:pPr>
        <w:pStyle w:val="ListParagraph"/>
        <w:numPr>
          <w:ilvl w:val="0"/>
          <w:numId w:val="18"/>
        </w:numPr>
        <w:overflowPunct w:val="0"/>
        <w:autoSpaceDE w:val="0"/>
        <w:autoSpaceDN w:val="0"/>
        <w:adjustRightInd w:val="0"/>
        <w:ind w:left="284" w:hanging="284"/>
        <w:textAlignment w:val="baseline"/>
        <w:outlineLvl w:val="1"/>
        <w:rPr>
          <w:spacing w:val="-4"/>
          <w:szCs w:val="20"/>
        </w:rPr>
      </w:pPr>
      <w:r>
        <w:rPr>
          <w:b/>
        </w:rPr>
        <w:t>apoia a meta recomendada de 90% até 2040</w:t>
      </w:r>
      <w:r>
        <w:t xml:space="preserve">, uma vez que está em consonância com os dados científicos relativos à quota-parte equitativa da Europa para alcançar o objetivo de 1,5 ºC. O CESE salienta que </w:t>
      </w:r>
      <w:r>
        <w:rPr>
          <w:b/>
        </w:rPr>
        <w:t>a meta é exigente</w:t>
      </w:r>
      <w:r>
        <w:t xml:space="preserve"> e só pode ser alcançada se houver políticas favoráveis que assegurem a </w:t>
      </w:r>
      <w:r>
        <w:rPr>
          <w:b/>
        </w:rPr>
        <w:t>competitividade das indústrias europeias</w:t>
      </w:r>
      <w:r>
        <w:t xml:space="preserve"> e uma </w:t>
      </w:r>
      <w:r>
        <w:rPr>
          <w:b/>
        </w:rPr>
        <w:t>transição justa</w:t>
      </w:r>
      <w:r>
        <w:t>, a par da utilização custo-eficaz de todas as tecnologias de emissões nulas ou hipocarbónicas;</w:t>
      </w:r>
    </w:p>
    <w:p w:rsidRPr="00DC0FAE" w:rsidR="00A329C8" w:rsidP="00DC0FAE" w:rsidRDefault="00A329C8" w14:paraId="43A81807" w14:textId="77777777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ind w:left="284" w:hanging="284"/>
        <w:textAlignment w:val="baseline"/>
        <w:outlineLvl w:val="1"/>
        <w:rPr>
          <w:spacing w:val="-4"/>
          <w:szCs w:val="20"/>
        </w:rPr>
      </w:pPr>
      <w:r>
        <w:rPr>
          <w:b/>
        </w:rPr>
        <w:t>preconiza a redução efetiva das emissões através da eliminação progressiva dos combustíveis fósseis</w:t>
      </w:r>
      <w:r>
        <w:t>. Embora as remoções de dióxido de carbono desempenhem um papel crescente na consecução das metas climáticas da UE, uma dependência excessiva dos sumidouros implica incertezas e riscos de vinculação aos combustíveis fósseis ou de perda de sumidouros devido a incêndios florestais, pragas e outros perigos;</w:t>
      </w:r>
    </w:p>
    <w:p w:rsidRPr="00DC0FAE" w:rsidR="00A329C8" w:rsidP="00DC0FAE" w:rsidRDefault="00A329C8" w14:paraId="22AE9A43" w14:textId="77777777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ind w:left="284" w:hanging="284"/>
        <w:textAlignment w:val="baseline"/>
        <w:outlineLvl w:val="1"/>
        <w:rPr>
          <w:szCs w:val="20"/>
        </w:rPr>
      </w:pPr>
      <w:r>
        <w:t xml:space="preserve">insta a Comissão a proceder a uma avaliação científica e económica do </w:t>
      </w:r>
      <w:r>
        <w:rPr>
          <w:b/>
        </w:rPr>
        <w:t>balanço entre as reduções e as remoções</w:t>
      </w:r>
      <w:r>
        <w:t>;</w:t>
      </w:r>
    </w:p>
    <w:p w:rsidRPr="00DC0FAE" w:rsidR="00A329C8" w:rsidP="00DC0FAE" w:rsidRDefault="00A329C8" w14:paraId="1F60CE63" w14:textId="77777777">
      <w:pPr>
        <w:pStyle w:val="ListParagraph"/>
        <w:numPr>
          <w:ilvl w:val="0"/>
          <w:numId w:val="20"/>
        </w:numPr>
        <w:overflowPunct w:val="0"/>
        <w:autoSpaceDE w:val="0"/>
        <w:autoSpaceDN w:val="0"/>
        <w:adjustRightInd w:val="0"/>
        <w:ind w:left="284" w:hanging="284"/>
        <w:textAlignment w:val="baseline"/>
        <w:outlineLvl w:val="1"/>
        <w:rPr>
          <w:szCs w:val="20"/>
        </w:rPr>
      </w:pPr>
      <w:r>
        <w:t>salienta que importa colocar a tónica na aplicação da legislação do pacote Objetivo 55 e no apoio às empresas e aos agregados familiares europeus para se adaptarem ao novo quadro regulamentar;</w:t>
      </w:r>
    </w:p>
    <w:p w:rsidRPr="00DC0FAE" w:rsidR="00A329C8" w:rsidP="00DC0FAE" w:rsidRDefault="00A329C8" w14:paraId="5FDA81D5" w14:textId="26480DC0">
      <w:pPr>
        <w:pStyle w:val="ListParagraph"/>
        <w:numPr>
          <w:ilvl w:val="0"/>
          <w:numId w:val="20"/>
        </w:numPr>
        <w:overflowPunct w:val="0"/>
        <w:autoSpaceDE w:val="0"/>
        <w:autoSpaceDN w:val="0"/>
        <w:adjustRightInd w:val="0"/>
        <w:ind w:left="284" w:hanging="284"/>
        <w:textAlignment w:val="baseline"/>
        <w:outlineLvl w:val="1"/>
        <w:rPr>
          <w:szCs w:val="20"/>
        </w:rPr>
      </w:pPr>
      <w:r>
        <w:t xml:space="preserve">observa que as metas climáticas exigem um </w:t>
      </w:r>
      <w:r>
        <w:rPr>
          <w:b/>
          <w:bCs/>
        </w:rPr>
        <w:t>nível sem precedentes de investimento na descarbonização</w:t>
      </w:r>
      <w:r>
        <w:t>;</w:t>
      </w:r>
    </w:p>
    <w:p w:rsidRPr="00DC0FAE" w:rsidR="00A329C8" w:rsidP="00DC0FAE" w:rsidRDefault="00A329C8" w14:paraId="5CB3A85C" w14:textId="77777777">
      <w:pPr>
        <w:pStyle w:val="ListParagraph"/>
        <w:numPr>
          <w:ilvl w:val="0"/>
          <w:numId w:val="20"/>
        </w:numPr>
        <w:overflowPunct w:val="0"/>
        <w:autoSpaceDE w:val="0"/>
        <w:autoSpaceDN w:val="0"/>
        <w:adjustRightInd w:val="0"/>
        <w:ind w:left="284" w:hanging="284"/>
        <w:textAlignment w:val="baseline"/>
        <w:outlineLvl w:val="1"/>
        <w:rPr>
          <w:szCs w:val="20"/>
        </w:rPr>
      </w:pPr>
      <w:r>
        <w:t>insta a Comissão a acompanhar e estabelecer objetivos para o aumento das exportações de produtos e serviços europeus de tecnologias limpas;</w:t>
      </w:r>
    </w:p>
    <w:p w:rsidRPr="00DC0FAE" w:rsidR="00A329C8" w:rsidP="00DC0FAE" w:rsidRDefault="00A329C8" w14:paraId="734EC568" w14:textId="77777777">
      <w:pPr>
        <w:pStyle w:val="ListParagraph"/>
        <w:numPr>
          <w:ilvl w:val="0"/>
          <w:numId w:val="20"/>
        </w:numPr>
        <w:overflowPunct w:val="0"/>
        <w:autoSpaceDE w:val="0"/>
        <w:autoSpaceDN w:val="0"/>
        <w:adjustRightInd w:val="0"/>
        <w:ind w:left="284" w:hanging="284"/>
        <w:textAlignment w:val="baseline"/>
        <w:outlineLvl w:val="1"/>
        <w:rPr>
          <w:spacing w:val="-6"/>
          <w:szCs w:val="20"/>
        </w:rPr>
      </w:pPr>
      <w:r>
        <w:t xml:space="preserve">apela para a </w:t>
      </w:r>
      <w:r>
        <w:rPr>
          <w:b/>
        </w:rPr>
        <w:t>descarbonização total</w:t>
      </w:r>
      <w:r>
        <w:t xml:space="preserve"> da </w:t>
      </w:r>
      <w:r>
        <w:rPr>
          <w:b/>
        </w:rPr>
        <w:t>produção de eletricidade</w:t>
      </w:r>
      <w:r>
        <w:t xml:space="preserve"> na UE</w:t>
      </w:r>
      <w:r>
        <w:rPr>
          <w:b/>
        </w:rPr>
        <w:t xml:space="preserve"> até 2040</w:t>
      </w:r>
      <w:r>
        <w:t xml:space="preserve"> e, pouco depois, dos sistemas de aquecimento e arrefecimento. A disponibilidade de energia limpa a preços acessíveis e de uma infraestrutura energética preparada para o futuro constitui a base para a descarbonização de outros setores, como a indústria, os edifícios e os transportes;</w:t>
      </w:r>
    </w:p>
    <w:p w:rsidRPr="00DC0FAE" w:rsidR="00A329C8" w:rsidP="00DC0FAE" w:rsidRDefault="00A329C8" w14:paraId="2FF82DE1" w14:textId="77777777">
      <w:pPr>
        <w:pStyle w:val="ListParagraph"/>
        <w:numPr>
          <w:ilvl w:val="0"/>
          <w:numId w:val="20"/>
        </w:numPr>
        <w:overflowPunct w:val="0"/>
        <w:autoSpaceDE w:val="0"/>
        <w:autoSpaceDN w:val="0"/>
        <w:adjustRightInd w:val="0"/>
        <w:ind w:left="284" w:hanging="284"/>
        <w:textAlignment w:val="baseline"/>
        <w:outlineLvl w:val="1"/>
        <w:rPr>
          <w:szCs w:val="20"/>
        </w:rPr>
      </w:pPr>
      <w:r>
        <w:t xml:space="preserve">propõe o estabelecimento de uma </w:t>
      </w:r>
      <w:r>
        <w:rPr>
          <w:b/>
        </w:rPr>
        <w:t>meta indicativa de redução das emissões para o setor agroalimentar</w:t>
      </w:r>
      <w:r>
        <w:t xml:space="preserve"> através de um diálogo estreito com os agricultores e outras partes interessadas, assente em dados científicos, que garanta a segurança alimentar europeia e tenha em conta as diversas condições naturais na UE;</w:t>
      </w:r>
    </w:p>
    <w:p w:rsidRPr="00DC0FAE" w:rsidR="00A329C8" w:rsidP="00DC0FAE" w:rsidRDefault="00A329C8" w14:paraId="5F04D765" w14:textId="77777777">
      <w:pPr>
        <w:pStyle w:val="ListParagraph"/>
        <w:numPr>
          <w:ilvl w:val="0"/>
          <w:numId w:val="21"/>
        </w:numPr>
        <w:overflowPunct w:val="0"/>
        <w:autoSpaceDE w:val="0"/>
        <w:autoSpaceDN w:val="0"/>
        <w:adjustRightInd w:val="0"/>
        <w:ind w:left="284" w:hanging="284"/>
        <w:textAlignment w:val="baseline"/>
        <w:outlineLvl w:val="1"/>
        <w:rPr>
          <w:spacing w:val="-6"/>
          <w:szCs w:val="20"/>
        </w:rPr>
      </w:pPr>
      <w:r>
        <w:t>sublinha que importa estabelecer um amplo diálogo com as partes interessadas, nomeadamente com os parceiros sociais e a sociedade civil, bem como assegurar a participação dos cidadãos na definição da meta para 2040 e na elaboração das políticas de acompanhamento;</w:t>
      </w:r>
    </w:p>
    <w:p w:rsidRPr="00DC0FAE" w:rsidR="00A329C8" w:rsidP="00DC0FAE" w:rsidRDefault="00A329C8" w14:paraId="57C8228B" w14:textId="77777777">
      <w:pPr>
        <w:pStyle w:val="ListParagraph"/>
        <w:numPr>
          <w:ilvl w:val="0"/>
          <w:numId w:val="21"/>
        </w:numPr>
        <w:overflowPunct w:val="0"/>
        <w:autoSpaceDE w:val="0"/>
        <w:autoSpaceDN w:val="0"/>
        <w:adjustRightInd w:val="0"/>
        <w:ind w:left="284" w:hanging="284"/>
        <w:textAlignment w:val="baseline"/>
        <w:outlineLvl w:val="1"/>
        <w:rPr>
          <w:szCs w:val="20"/>
        </w:rPr>
      </w:pPr>
      <w:r>
        <w:t xml:space="preserve">chama a atenção para a possibilidade de intensificar a redução das emissões e diminuir a procura de materiais e de energia através da </w:t>
      </w:r>
      <w:r>
        <w:rPr>
          <w:b/>
        </w:rPr>
        <w:t>capacitação dos consumidores para a escolha de estilos de vida sustentáveis</w:t>
      </w:r>
      <w:r>
        <w:t>;</w:t>
      </w:r>
    </w:p>
    <w:p w:rsidRPr="00DC0FAE" w:rsidR="00A329C8" w:rsidP="00DC0FAE" w:rsidRDefault="00A329C8" w14:paraId="33E21B11" w14:textId="77777777">
      <w:pPr>
        <w:pStyle w:val="ListParagraph"/>
        <w:numPr>
          <w:ilvl w:val="0"/>
          <w:numId w:val="21"/>
        </w:numPr>
        <w:overflowPunct w:val="0"/>
        <w:autoSpaceDE w:val="0"/>
        <w:autoSpaceDN w:val="0"/>
        <w:adjustRightInd w:val="0"/>
        <w:spacing w:line="240" w:lineRule="auto"/>
        <w:ind w:left="284" w:hanging="284"/>
        <w:textAlignment w:val="baseline"/>
        <w:outlineLvl w:val="1"/>
        <w:rPr>
          <w:szCs w:val="20"/>
        </w:rPr>
      </w:pPr>
      <w:r>
        <w:lastRenderedPageBreak/>
        <w:t xml:space="preserve">apela para que a Comissão </w:t>
      </w:r>
      <w:r>
        <w:rPr>
          <w:b/>
        </w:rPr>
        <w:t>alargue o controlo da competitividade</w:t>
      </w:r>
      <w:r>
        <w:t xml:space="preserve"> a outras grandes economias, incluindo as suas políticas em matéria de clima, energia e indústria e os seus indicadores económicos, a fim de apresentar propostas sobre a forma de reforçar a competitividade global e a base industrial da Europa e salvaguardar o nosso modelo de economia de mercado aberta com elevados padrões ambientais e sociais.</w:t>
      </w:r>
    </w:p>
    <w:p w:rsidRPr="00A329C8" w:rsidR="0073462A" w:rsidP="00A329C8" w:rsidRDefault="0073462A" w14:paraId="0EED3D8E" w14:textId="7777777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sz w:val="18"/>
          <w:szCs w:val="18"/>
        </w:rPr>
      </w:pPr>
    </w:p>
    <w:tbl>
      <w:tblPr>
        <w:tblStyle w:val="TableGrid21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09"/>
        <w:gridCol w:w="5495"/>
      </w:tblGrid>
      <w:tr w:rsidRPr="00A329C8" w:rsidR="00A329C8" w:rsidTr="00F34555" w14:paraId="2C0A0929" w14:textId="77777777">
        <w:tc>
          <w:tcPr>
            <w:tcW w:w="1809" w:type="dxa"/>
          </w:tcPr>
          <w:p w:rsidRPr="00A329C8" w:rsidR="00A329C8" w:rsidP="00DC0FAE" w:rsidRDefault="00A329C8" w14:paraId="0961FF11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ind w:left="709" w:hanging="819"/>
              <w:textAlignment w:val="baseline"/>
              <w:rPr>
                <w:i/>
              </w:rPr>
            </w:pPr>
            <w:r>
              <w:rPr>
                <w:b/>
                <w:i/>
              </w:rPr>
              <w:t>Contacto</w:t>
            </w:r>
          </w:p>
        </w:tc>
        <w:tc>
          <w:tcPr>
            <w:tcW w:w="5495" w:type="dxa"/>
          </w:tcPr>
          <w:p w:rsidRPr="00DC0FAE" w:rsidR="00A329C8" w:rsidP="00DC0FAE" w:rsidRDefault="00A329C8" w14:paraId="0F82E7FA" w14:textId="268094B7">
            <w:pPr>
              <w:overflowPunct w:val="0"/>
              <w:autoSpaceDE w:val="0"/>
              <w:autoSpaceDN w:val="0"/>
              <w:adjustRightInd w:val="0"/>
              <w:spacing w:line="240" w:lineRule="auto"/>
              <w:ind w:left="709" w:hanging="819"/>
              <w:textAlignment w:val="baseline"/>
              <w:rPr>
                <w:i/>
                <w:iCs/>
              </w:rPr>
            </w:pPr>
            <w:r>
              <w:rPr>
                <w:i/>
              </w:rPr>
              <w:t>Judit Carreras Garcia</w:t>
            </w:r>
          </w:p>
        </w:tc>
      </w:tr>
      <w:tr w:rsidRPr="00A329C8" w:rsidR="00A329C8" w:rsidTr="00F34555" w14:paraId="1A5C453D" w14:textId="77777777">
        <w:tc>
          <w:tcPr>
            <w:tcW w:w="1809" w:type="dxa"/>
          </w:tcPr>
          <w:p w:rsidRPr="00A329C8" w:rsidR="00A329C8" w:rsidP="00DC0FAE" w:rsidRDefault="00A329C8" w14:paraId="180E2B3C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ind w:left="709" w:hanging="819"/>
              <w:textAlignment w:val="baseline"/>
              <w:rPr>
                <w:i/>
              </w:rPr>
            </w:pPr>
            <w:r>
              <w:rPr>
                <w:i/>
              </w:rPr>
              <w:t>Tel.</w:t>
            </w:r>
          </w:p>
        </w:tc>
        <w:tc>
          <w:tcPr>
            <w:tcW w:w="5495" w:type="dxa"/>
          </w:tcPr>
          <w:p w:rsidRPr="00A329C8" w:rsidR="00A329C8" w:rsidP="00DC0FAE" w:rsidRDefault="00A329C8" w14:paraId="729D5F41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ind w:left="709" w:hanging="819"/>
              <w:textAlignment w:val="baseline"/>
              <w:rPr>
                <w:i/>
                <w:iCs/>
              </w:rPr>
            </w:pPr>
            <w:r>
              <w:rPr>
                <w:i/>
              </w:rPr>
              <w:t>+32 2 546 84 21</w:t>
            </w:r>
          </w:p>
        </w:tc>
      </w:tr>
      <w:tr w:rsidRPr="00A329C8" w:rsidR="00A329C8" w:rsidTr="00F34555" w14:paraId="4404176D" w14:textId="77777777">
        <w:tc>
          <w:tcPr>
            <w:tcW w:w="1809" w:type="dxa"/>
          </w:tcPr>
          <w:p w:rsidRPr="00A329C8" w:rsidR="00A329C8" w:rsidP="00DC0FAE" w:rsidRDefault="007607A9" w14:paraId="60D8FC1E" w14:textId="35444914">
            <w:pPr>
              <w:overflowPunct w:val="0"/>
              <w:autoSpaceDE w:val="0"/>
              <w:autoSpaceDN w:val="0"/>
              <w:adjustRightInd w:val="0"/>
              <w:spacing w:line="240" w:lineRule="auto"/>
              <w:ind w:left="709" w:hanging="819"/>
              <w:textAlignment w:val="baseline"/>
              <w:rPr>
                <w:i/>
              </w:rPr>
            </w:pPr>
            <w:r>
              <w:rPr>
                <w:i/>
              </w:rPr>
              <w:t>Endereço eletrónico</w:t>
            </w:r>
          </w:p>
        </w:tc>
        <w:tc>
          <w:tcPr>
            <w:tcW w:w="5495" w:type="dxa"/>
          </w:tcPr>
          <w:p w:rsidRPr="00A329C8" w:rsidR="00A329C8" w:rsidP="00DC0FAE" w:rsidRDefault="003C4B9D" w14:paraId="7F4CE542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ind w:left="709" w:hanging="819"/>
              <w:textAlignment w:val="baseline"/>
              <w:rPr>
                <w:i/>
                <w:iCs/>
                <w:color w:val="0000FF"/>
                <w:u w:val="single"/>
              </w:rPr>
            </w:pPr>
            <w:hyperlink w:history="1" r:id="rId31">
              <w:r w:rsidR="00D63208">
                <w:rPr>
                  <w:i/>
                  <w:color w:val="0000FF"/>
                  <w:u w:val="single"/>
                </w:rPr>
                <w:t>Judit.CarrerasGarcia@eesc.europa.eu</w:t>
              </w:r>
            </w:hyperlink>
          </w:p>
        </w:tc>
      </w:tr>
    </w:tbl>
    <w:p w:rsidR="00A329C8" w:rsidRDefault="00A329C8" w14:paraId="78CB8038" w14:textId="77777777">
      <w:pPr>
        <w:spacing w:after="160" w:line="259" w:lineRule="auto"/>
        <w:jc w:val="left"/>
        <w:rPr>
          <w:b/>
          <w:bCs/>
        </w:rPr>
      </w:pPr>
      <w:r>
        <w:br w:type="page"/>
      </w:r>
    </w:p>
    <w:p w:rsidRPr="00A14846" w:rsidR="00A329C8" w:rsidP="00C26C81" w:rsidRDefault="003C4B9D" w14:paraId="29FCBD43" w14:textId="33791494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b/>
          <w:i/>
          <w:sz w:val="28"/>
          <w:szCs w:val="20"/>
        </w:rPr>
      </w:pPr>
      <w:hyperlink w:history="1" r:id="rId32">
        <w:r w:rsidR="00897970">
          <w:rPr>
            <w:b/>
            <w:i/>
            <w:color w:val="0000FF"/>
            <w:sz w:val="28"/>
            <w:u w:val="single"/>
          </w:rPr>
          <w:t xml:space="preserve">Revisão da legislação sobre </w:t>
        </w:r>
        <w:r w:rsidR="00897970">
          <w:rPr>
            <w:b/>
            <w:i/>
            <w:color w:val="0000FF"/>
            <w:sz w:val="28"/>
            <w:u w:val="single"/>
          </w:rPr>
          <w:t>o bem-estar dos animais</w:t>
        </w:r>
      </w:hyperlink>
    </w:p>
    <w:p w:rsidRPr="00A14846" w:rsidR="00A329C8" w:rsidP="00A329C8" w:rsidRDefault="00A329C8" w14:paraId="5FF571D4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</w:pPr>
    </w:p>
    <w:tbl>
      <w:tblPr>
        <w:tblStyle w:val="TableGrid217"/>
        <w:tblW w:w="89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127"/>
        <w:gridCol w:w="6804"/>
      </w:tblGrid>
      <w:tr w:rsidRPr="00A14846" w:rsidR="00A329C8" w:rsidTr="00FE3058" w14:paraId="5D60937D" w14:textId="77777777">
        <w:tc>
          <w:tcPr>
            <w:tcW w:w="2127" w:type="dxa"/>
          </w:tcPr>
          <w:p w:rsidRPr="00A14846" w:rsidR="00A329C8" w:rsidP="00FE3058" w:rsidRDefault="00A329C8" w14:paraId="661CBE96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 xml:space="preserve">Relator </w:t>
            </w:r>
          </w:p>
        </w:tc>
        <w:tc>
          <w:tcPr>
            <w:tcW w:w="6804" w:type="dxa"/>
          </w:tcPr>
          <w:p w:rsidRPr="00A14846" w:rsidR="00A329C8" w:rsidP="00FE3058" w:rsidRDefault="00A329C8" w14:paraId="77C861E5" w14:textId="47173DAB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Jaume Bernis Castells (ES – Grupo das Organizações da Sociedade Civil)</w:t>
            </w:r>
          </w:p>
        </w:tc>
      </w:tr>
      <w:tr w:rsidRPr="00A14846" w:rsidR="00A329C8" w:rsidTr="00FE3058" w14:paraId="70D6EB9C" w14:textId="77777777">
        <w:tc>
          <w:tcPr>
            <w:tcW w:w="8931" w:type="dxa"/>
            <w:gridSpan w:val="2"/>
          </w:tcPr>
          <w:p w:rsidRPr="00A14846" w:rsidR="00A329C8" w:rsidP="00FE3058" w:rsidRDefault="00A329C8" w14:paraId="5D0701A4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  <w:rPr>
                <w:lang w:val="en-US"/>
              </w:rPr>
            </w:pPr>
          </w:p>
        </w:tc>
      </w:tr>
      <w:tr w:rsidRPr="00A14846" w:rsidR="00A329C8" w:rsidTr="00FE3058" w14:paraId="67C57163" w14:textId="77777777">
        <w:tc>
          <w:tcPr>
            <w:tcW w:w="2127" w:type="dxa"/>
          </w:tcPr>
          <w:p w:rsidRPr="00A14846" w:rsidR="00A329C8" w:rsidP="00FE3058" w:rsidRDefault="00A329C8" w14:paraId="0019A341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Referências</w:t>
            </w:r>
          </w:p>
        </w:tc>
        <w:tc>
          <w:tcPr>
            <w:tcW w:w="6804" w:type="dxa"/>
          </w:tcPr>
          <w:p w:rsidR="00D704BD" w:rsidP="00FE3058" w:rsidRDefault="00D704BD" w14:paraId="466B0FCB" w14:textId="138FF29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COM(2023) 770 final</w:t>
            </w:r>
          </w:p>
          <w:p w:rsidRPr="00A14846" w:rsidR="00A329C8" w:rsidP="00FE3058" w:rsidRDefault="00A329C8" w14:paraId="7298B786" w14:textId="063BFD24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EESC-2023-05464-00-00-AC</w:t>
            </w:r>
          </w:p>
        </w:tc>
      </w:tr>
    </w:tbl>
    <w:p w:rsidRPr="00A14846" w:rsidR="00A329C8" w:rsidP="00A329C8" w:rsidRDefault="00A329C8" w14:paraId="1C9BC533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szCs w:val="20"/>
        </w:rPr>
      </w:pPr>
    </w:p>
    <w:p w:rsidRPr="00A14846" w:rsidR="00A329C8" w:rsidP="00A329C8" w:rsidRDefault="00A329C8" w14:paraId="1EE8EE07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Pontos principais</w:t>
      </w:r>
    </w:p>
    <w:p w:rsidRPr="00A14846" w:rsidR="00A329C8" w:rsidP="00A329C8" w:rsidRDefault="00A329C8" w14:paraId="6900345E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</w:pPr>
    </w:p>
    <w:p w:rsidR="00A329C8" w:rsidP="00A329C8" w:rsidRDefault="00A329C8" w14:paraId="47E5F255" w14:textId="145A9A92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szCs w:val="20"/>
        </w:rPr>
      </w:pPr>
      <w:r>
        <w:t>O Comité Económico e Social Europeu:</w:t>
      </w:r>
    </w:p>
    <w:p w:rsidRPr="00A14846" w:rsidR="00D704BD" w:rsidP="00A329C8" w:rsidRDefault="00D704BD" w14:paraId="72E89559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</w:pPr>
    </w:p>
    <w:p w:rsidRPr="00A14846" w:rsidR="00A329C8" w:rsidP="00DC0FAE" w:rsidRDefault="00A329C8" w14:paraId="5B8E8E34" w14:textId="77777777">
      <w:pPr>
        <w:numPr>
          <w:ilvl w:val="0"/>
          <w:numId w:val="22"/>
        </w:numPr>
        <w:overflowPunct w:val="0"/>
        <w:autoSpaceDE w:val="0"/>
        <w:autoSpaceDN w:val="0"/>
        <w:adjustRightInd w:val="0"/>
        <w:textAlignment w:val="baseline"/>
        <w:outlineLvl w:val="1"/>
        <w:rPr>
          <w:szCs w:val="20"/>
        </w:rPr>
      </w:pPr>
      <w:r>
        <w:t>estima que a Comissão deve ter em conta os conhecimentos práticos dos agricultores, dos transportadores e dos veterinários quando da aplicação e harmonização das regras;</w:t>
      </w:r>
    </w:p>
    <w:p w:rsidRPr="00A14846" w:rsidR="00A329C8" w:rsidP="00DC0FAE" w:rsidRDefault="00A329C8" w14:paraId="06F24D3E" w14:textId="6F1A6419">
      <w:pPr>
        <w:numPr>
          <w:ilvl w:val="0"/>
          <w:numId w:val="22"/>
        </w:numPr>
        <w:overflowPunct w:val="0"/>
        <w:autoSpaceDE w:val="0"/>
        <w:autoSpaceDN w:val="0"/>
        <w:adjustRightInd w:val="0"/>
        <w:textAlignment w:val="baseline"/>
        <w:outlineLvl w:val="1"/>
        <w:rPr>
          <w:szCs w:val="20"/>
        </w:rPr>
      </w:pPr>
      <w:r>
        <w:t xml:space="preserve">considera que </w:t>
      </w:r>
      <w:r>
        <w:rPr>
          <w:b/>
        </w:rPr>
        <w:t>uma regulamentação não adaptável</w:t>
      </w:r>
      <w:r>
        <w:t xml:space="preserve"> às diferentes realidades dos 27 Estados</w:t>
      </w:r>
      <w:r w:rsidR="00663C12">
        <w:rPr>
          <w:lang w:val="fr-BE"/>
        </w:rPr>
        <w:noBreakHyphen/>
      </w:r>
      <w:r>
        <w:t xml:space="preserve">Membros </w:t>
      </w:r>
      <w:r>
        <w:rPr>
          <w:b/>
        </w:rPr>
        <w:t>abrirá a porta a situações assimétricas</w:t>
      </w:r>
      <w:r>
        <w:t>;</w:t>
      </w:r>
    </w:p>
    <w:p w:rsidRPr="00A14846" w:rsidR="00A329C8" w:rsidP="00DC0FAE" w:rsidRDefault="00A329C8" w14:paraId="1889E9AA" w14:textId="77777777">
      <w:pPr>
        <w:numPr>
          <w:ilvl w:val="0"/>
          <w:numId w:val="22"/>
        </w:numPr>
        <w:overflowPunct w:val="0"/>
        <w:autoSpaceDE w:val="0"/>
        <w:autoSpaceDN w:val="0"/>
        <w:adjustRightInd w:val="0"/>
        <w:textAlignment w:val="baseline"/>
        <w:outlineLvl w:val="1"/>
        <w:rPr>
          <w:szCs w:val="20"/>
        </w:rPr>
      </w:pPr>
      <w:r>
        <w:t xml:space="preserve">insta a Comissão a </w:t>
      </w:r>
      <w:r>
        <w:rPr>
          <w:b/>
        </w:rPr>
        <w:t>assegurar</w:t>
      </w:r>
      <w:r>
        <w:t xml:space="preserve"> que </w:t>
      </w:r>
      <w:r>
        <w:rPr>
          <w:b/>
        </w:rPr>
        <w:t>os custos relacionados com a aplicação</w:t>
      </w:r>
      <w:r>
        <w:t xml:space="preserve"> destas regras </w:t>
      </w:r>
      <w:r>
        <w:rPr>
          <w:b/>
        </w:rPr>
        <w:t>não sejam suportados pelos operadores</w:t>
      </w:r>
      <w:r>
        <w:t xml:space="preserve"> do setor;</w:t>
      </w:r>
    </w:p>
    <w:p w:rsidRPr="00A14846" w:rsidR="00A329C8" w:rsidP="00DC0FAE" w:rsidRDefault="00A329C8" w14:paraId="7DD5E3B0" w14:textId="77777777">
      <w:pPr>
        <w:numPr>
          <w:ilvl w:val="0"/>
          <w:numId w:val="22"/>
        </w:numPr>
        <w:overflowPunct w:val="0"/>
        <w:autoSpaceDE w:val="0"/>
        <w:autoSpaceDN w:val="0"/>
        <w:adjustRightInd w:val="0"/>
        <w:textAlignment w:val="baseline"/>
        <w:outlineLvl w:val="1"/>
        <w:rPr>
          <w:szCs w:val="20"/>
        </w:rPr>
      </w:pPr>
      <w:r>
        <w:t xml:space="preserve">recorda que as </w:t>
      </w:r>
      <w:r>
        <w:rPr>
          <w:b/>
        </w:rPr>
        <w:t>disposições</w:t>
      </w:r>
      <w:r>
        <w:t xml:space="preserve"> da proposta de regulamento </w:t>
      </w:r>
      <w:r>
        <w:rPr>
          <w:b/>
        </w:rPr>
        <w:t>obrigam os operadores a trabalhar em turnos noturnos</w:t>
      </w:r>
      <w:r>
        <w:t xml:space="preserve"> (nomeadamente os agricultores, os condutores e os veterinários);</w:t>
      </w:r>
    </w:p>
    <w:p w:rsidRPr="00A14846" w:rsidR="00A329C8" w:rsidP="00DC0FAE" w:rsidRDefault="00A329C8" w14:paraId="118CDB57" w14:textId="77777777">
      <w:pPr>
        <w:numPr>
          <w:ilvl w:val="0"/>
          <w:numId w:val="22"/>
        </w:numPr>
        <w:overflowPunct w:val="0"/>
        <w:autoSpaceDE w:val="0"/>
        <w:autoSpaceDN w:val="0"/>
        <w:adjustRightInd w:val="0"/>
        <w:textAlignment w:val="baseline"/>
        <w:outlineLvl w:val="1"/>
        <w:rPr>
          <w:szCs w:val="20"/>
        </w:rPr>
      </w:pPr>
      <w:r>
        <w:t xml:space="preserve">solicita à Comissão que </w:t>
      </w:r>
      <w:r>
        <w:rPr>
          <w:b/>
        </w:rPr>
        <w:t>considere o impacto que esta proposta terá nas cadeias de abastecimento</w:t>
      </w:r>
      <w:r>
        <w:t xml:space="preserve"> que foram construídas e distribuídas ao longo dos anos com base nas atuais restrições temporais;</w:t>
      </w:r>
    </w:p>
    <w:p w:rsidRPr="00A14846" w:rsidR="00A329C8" w:rsidP="00DC0FAE" w:rsidRDefault="00A329C8" w14:paraId="63C74A95" w14:textId="77777777">
      <w:pPr>
        <w:numPr>
          <w:ilvl w:val="0"/>
          <w:numId w:val="22"/>
        </w:numPr>
        <w:overflowPunct w:val="0"/>
        <w:autoSpaceDE w:val="0"/>
        <w:autoSpaceDN w:val="0"/>
        <w:adjustRightInd w:val="0"/>
        <w:textAlignment w:val="baseline"/>
        <w:outlineLvl w:val="1"/>
        <w:rPr>
          <w:szCs w:val="20"/>
        </w:rPr>
      </w:pPr>
      <w:r>
        <w:t>alerta para o impacto de limitar a viagens curtas, inferiores a nove horas, o transporte de animais para abate;</w:t>
      </w:r>
    </w:p>
    <w:p w:rsidRPr="00A14846" w:rsidR="00A329C8" w:rsidP="00DC0FAE" w:rsidRDefault="00A329C8" w14:paraId="6F8515E2" w14:textId="77777777">
      <w:pPr>
        <w:numPr>
          <w:ilvl w:val="0"/>
          <w:numId w:val="22"/>
        </w:numPr>
        <w:overflowPunct w:val="0"/>
        <w:autoSpaceDE w:val="0"/>
        <w:autoSpaceDN w:val="0"/>
        <w:adjustRightInd w:val="0"/>
        <w:textAlignment w:val="baseline"/>
        <w:outlineLvl w:val="1"/>
        <w:rPr>
          <w:szCs w:val="20"/>
        </w:rPr>
      </w:pPr>
      <w:r>
        <w:t xml:space="preserve">considera que as novas </w:t>
      </w:r>
      <w:r>
        <w:rPr>
          <w:b/>
        </w:rPr>
        <w:t>regras técnicas propostas</w:t>
      </w:r>
      <w:r>
        <w:t xml:space="preserve"> sobre a aptidão para o transporte de animais terrestres </w:t>
      </w:r>
      <w:r>
        <w:rPr>
          <w:b/>
        </w:rPr>
        <w:t>podem levar ao encerramento de muitas explorações pecuárias</w:t>
      </w:r>
      <w:r>
        <w:t>;</w:t>
      </w:r>
    </w:p>
    <w:p w:rsidRPr="00A14846" w:rsidR="00A329C8" w:rsidP="00DC0FAE" w:rsidRDefault="00A329C8" w14:paraId="5FA5848C" w14:textId="77777777">
      <w:pPr>
        <w:numPr>
          <w:ilvl w:val="0"/>
          <w:numId w:val="22"/>
        </w:numPr>
        <w:overflowPunct w:val="0"/>
        <w:autoSpaceDE w:val="0"/>
        <w:autoSpaceDN w:val="0"/>
        <w:adjustRightInd w:val="0"/>
        <w:textAlignment w:val="baseline"/>
        <w:outlineLvl w:val="1"/>
        <w:rPr>
          <w:szCs w:val="20"/>
        </w:rPr>
      </w:pPr>
      <w:r>
        <w:t xml:space="preserve">considera que a </w:t>
      </w:r>
      <w:r>
        <w:rPr>
          <w:b/>
        </w:rPr>
        <w:t>proibição do transporte rodoviário de animais jovens</w:t>
      </w:r>
      <w:r>
        <w:t xml:space="preserve">, como vitelos, borregos, cabritos, leitões e potros não desmamados, </w:t>
      </w:r>
      <w:r>
        <w:rPr>
          <w:b/>
        </w:rPr>
        <w:t>em viagens de longo curso, tem um impacto significativo na importação de raças animais</w:t>
      </w:r>
      <w:r>
        <w:t xml:space="preserve"> de outros Estados-Membros da UE;</w:t>
      </w:r>
    </w:p>
    <w:p w:rsidRPr="00A14846" w:rsidR="00A329C8" w:rsidP="00DC0FAE" w:rsidRDefault="00A329C8" w14:paraId="6BDADC07" w14:textId="77777777">
      <w:pPr>
        <w:numPr>
          <w:ilvl w:val="0"/>
          <w:numId w:val="22"/>
        </w:numPr>
        <w:overflowPunct w:val="0"/>
        <w:autoSpaceDE w:val="0"/>
        <w:autoSpaceDN w:val="0"/>
        <w:adjustRightInd w:val="0"/>
        <w:textAlignment w:val="baseline"/>
        <w:outlineLvl w:val="1"/>
        <w:rPr>
          <w:szCs w:val="20"/>
        </w:rPr>
      </w:pPr>
      <w:r>
        <w:t xml:space="preserve">insta a Comissão a </w:t>
      </w:r>
      <w:r>
        <w:rPr>
          <w:b/>
        </w:rPr>
        <w:t>ter em conta as especificidades climáticas</w:t>
      </w:r>
      <w:r>
        <w:t xml:space="preserve"> de cada Estado-Membro em relação às disposições do artigo 31.º da proposta;</w:t>
      </w:r>
    </w:p>
    <w:p w:rsidRPr="00A14846" w:rsidR="00A329C8" w:rsidP="00DC0FAE" w:rsidRDefault="00A329C8" w14:paraId="4637EB55" w14:textId="77777777">
      <w:pPr>
        <w:numPr>
          <w:ilvl w:val="0"/>
          <w:numId w:val="22"/>
        </w:numPr>
        <w:overflowPunct w:val="0"/>
        <w:autoSpaceDE w:val="0"/>
        <w:autoSpaceDN w:val="0"/>
        <w:adjustRightInd w:val="0"/>
        <w:textAlignment w:val="baseline"/>
        <w:outlineLvl w:val="1"/>
        <w:rPr>
          <w:szCs w:val="20"/>
        </w:rPr>
      </w:pPr>
      <w:r>
        <w:t xml:space="preserve">defende que é essencial </w:t>
      </w:r>
      <w:r>
        <w:rPr>
          <w:b/>
        </w:rPr>
        <w:t>promover os circuitos curtos de comercialização</w:t>
      </w:r>
      <w:r>
        <w:t xml:space="preserve"> como uma solução eficaz para reduzir a necessidade de viagens de transporte longas, encurtando a distância entre os locais de criação, de engorda, de abate e de consumo;</w:t>
      </w:r>
    </w:p>
    <w:p w:rsidRPr="00A14846" w:rsidR="00A329C8" w:rsidP="00DC0FAE" w:rsidRDefault="00A329C8" w14:paraId="6A4C0035" w14:textId="77777777">
      <w:pPr>
        <w:numPr>
          <w:ilvl w:val="0"/>
          <w:numId w:val="22"/>
        </w:numPr>
        <w:overflowPunct w:val="0"/>
        <w:autoSpaceDE w:val="0"/>
        <w:autoSpaceDN w:val="0"/>
        <w:adjustRightInd w:val="0"/>
        <w:textAlignment w:val="baseline"/>
        <w:outlineLvl w:val="1"/>
      </w:pPr>
      <w:r>
        <w:t xml:space="preserve">apoia iniciativas que promovam alavancas sanitárias, económicas e jurídicas para </w:t>
      </w:r>
      <w:r>
        <w:rPr>
          <w:b/>
        </w:rPr>
        <w:t>preservar os matadouros locais e incentivar o abate na exploração</w:t>
      </w:r>
      <w:r>
        <w:t>, sempre que adequado à escala da exploração e ao contexto local.</w:t>
      </w:r>
    </w:p>
    <w:p w:rsidRPr="00A14846" w:rsidR="00A329C8" w:rsidP="00A329C8" w:rsidRDefault="00A329C8" w14:paraId="00B0D36A" w14:textId="77777777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16"/>
          <w:szCs w:val="16"/>
        </w:rPr>
      </w:pPr>
    </w:p>
    <w:tbl>
      <w:tblPr>
        <w:tblStyle w:val="TableGrid217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127"/>
        <w:gridCol w:w="4252"/>
      </w:tblGrid>
      <w:tr w:rsidRPr="00A14846" w:rsidR="00A329C8" w:rsidTr="00FE3058" w14:paraId="6B2AC513" w14:textId="77777777">
        <w:tc>
          <w:tcPr>
            <w:tcW w:w="2127" w:type="dxa"/>
          </w:tcPr>
          <w:p w:rsidRPr="00A14846" w:rsidR="00A329C8" w:rsidP="00FE3058" w:rsidRDefault="00A329C8" w14:paraId="1AAB3B0A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b/>
                <w:i/>
              </w:rPr>
              <w:t xml:space="preserve">Contacto </w:t>
            </w:r>
          </w:p>
        </w:tc>
        <w:tc>
          <w:tcPr>
            <w:tcW w:w="4252" w:type="dxa"/>
          </w:tcPr>
          <w:p w:rsidRPr="00A14846" w:rsidR="00A329C8" w:rsidP="00FE3058" w:rsidRDefault="00A329C8" w14:paraId="3604A495" w14:textId="158CA49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Arturo Íñiguez</w:t>
            </w:r>
          </w:p>
        </w:tc>
      </w:tr>
      <w:tr w:rsidRPr="00A14846" w:rsidR="00A329C8" w:rsidTr="00FE3058" w14:paraId="54FCBA8B" w14:textId="77777777">
        <w:tc>
          <w:tcPr>
            <w:tcW w:w="2127" w:type="dxa"/>
          </w:tcPr>
          <w:p w:rsidRPr="00A14846" w:rsidR="00A329C8" w:rsidP="00FE3058" w:rsidRDefault="00A329C8" w14:paraId="62D7636F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Tel.</w:t>
            </w:r>
          </w:p>
        </w:tc>
        <w:tc>
          <w:tcPr>
            <w:tcW w:w="4252" w:type="dxa"/>
          </w:tcPr>
          <w:p w:rsidRPr="00A14846" w:rsidR="00A329C8" w:rsidP="00FE3058" w:rsidRDefault="00A329C8" w14:paraId="7C0E8B23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+32 2 546 87 68</w:t>
            </w:r>
          </w:p>
        </w:tc>
      </w:tr>
      <w:tr w:rsidRPr="00A14846" w:rsidR="00A329C8" w:rsidTr="00FE3058" w14:paraId="485043FF" w14:textId="77777777">
        <w:tc>
          <w:tcPr>
            <w:tcW w:w="2127" w:type="dxa"/>
          </w:tcPr>
          <w:p w:rsidRPr="00A14846" w:rsidR="00A329C8" w:rsidP="00FE3058" w:rsidRDefault="00D704BD" w14:paraId="7E8D5802" w14:textId="61A5A30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Endereço eletrónico</w:t>
            </w:r>
          </w:p>
        </w:tc>
        <w:tc>
          <w:tcPr>
            <w:tcW w:w="4252" w:type="dxa"/>
          </w:tcPr>
          <w:p w:rsidRPr="00A14846" w:rsidR="00A329C8" w:rsidP="00FE3058" w:rsidRDefault="003C4B9D" w14:paraId="0F764C0D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iCs/>
              </w:rPr>
            </w:pPr>
            <w:hyperlink w:history="1" r:id="rId33">
              <w:r w:rsidR="00897970">
                <w:rPr>
                  <w:i/>
                  <w:color w:val="0000FF"/>
                  <w:u w:val="single"/>
                </w:rPr>
                <w:t>Arturo.Iniguez@eesc.europa.eu</w:t>
              </w:r>
            </w:hyperlink>
          </w:p>
        </w:tc>
      </w:tr>
    </w:tbl>
    <w:p w:rsidR="00A329C8" w:rsidP="00A329C8" w:rsidRDefault="00A329C8" w14:paraId="4A4D6D18" w14:textId="77777777">
      <w:pPr>
        <w:spacing w:after="160" w:line="259" w:lineRule="auto"/>
        <w:jc w:val="left"/>
        <w:rPr>
          <w:b/>
          <w:bCs/>
        </w:rPr>
      </w:pPr>
    </w:p>
    <w:p w:rsidR="00386C01" w:rsidRDefault="00386C01" w14:paraId="783F6CD8" w14:textId="765D6A7F">
      <w:pPr>
        <w:spacing w:after="160" w:line="259" w:lineRule="auto"/>
        <w:jc w:val="left"/>
        <w:rPr>
          <w:b/>
          <w:bCs/>
        </w:rPr>
      </w:pPr>
      <w:r>
        <w:br w:type="page"/>
      </w:r>
    </w:p>
    <w:p w:rsidR="00895853" w:rsidP="00770F41" w:rsidRDefault="00895853" w14:paraId="1C46B2C3" w14:textId="7E834008">
      <w:pPr>
        <w:pStyle w:val="Heading1"/>
        <w:tabs>
          <w:tab w:val="clear" w:pos="440"/>
          <w:tab w:val="left" w:pos="567"/>
        </w:tabs>
        <w:ind w:left="567" w:hanging="567"/>
        <w:rPr>
          <w:b/>
          <w:bCs/>
        </w:rPr>
      </w:pPr>
      <w:bookmarkStart w:name="_Toc166847138" w:id="4"/>
      <w:bookmarkStart w:name="_Toc169614963" w:id="5"/>
      <w:bookmarkEnd w:id="4"/>
      <w:r>
        <w:rPr>
          <w:b/>
        </w:rPr>
        <w:lastRenderedPageBreak/>
        <w:t>TRANSPORTES, ENERGIA, INFRAESTRUTURAS E SOCIEDADE DA INFORMAÇÃO</w:t>
      </w:r>
      <w:bookmarkEnd w:id="5"/>
    </w:p>
    <w:p w:rsidR="005C28F2" w:rsidP="00895853" w:rsidRDefault="005C28F2" w14:paraId="089CB383" w14:textId="77777777"/>
    <w:p w:rsidR="00EC48BE" w:rsidP="00895853" w:rsidRDefault="00EC48BE" w14:paraId="2F9D2873" w14:textId="2ADBE64F"/>
    <w:p w:rsidRPr="00EC48BE" w:rsidR="00EC48BE" w:rsidP="00C26C81" w:rsidRDefault="003C4B9D" w14:paraId="50FF3C6A" w14:textId="1C0187EA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  <w:szCs w:val="20"/>
        </w:rPr>
      </w:pPr>
      <w:hyperlink w:history="1" r:id="rId34">
        <w:r w:rsidR="00897970">
          <w:rPr>
            <w:b/>
            <w:i/>
            <w:color w:val="0000FF"/>
            <w:sz w:val="28"/>
            <w:u w:val="single"/>
          </w:rPr>
          <w:t>Plano Europeu de Luta contra o Cancro:</w:t>
        </w:r>
        <w:r w:rsidR="00897970">
          <w:rPr>
            <w:color w:val="0000FF"/>
            <w:u w:val="single"/>
          </w:rPr>
          <w:t xml:space="preserve"> </w:t>
        </w:r>
        <w:r w:rsidR="00897970">
          <w:rPr>
            <w:b/>
            <w:i/>
            <w:color w:val="0000FF"/>
            <w:sz w:val="28"/>
            <w:u w:val="single"/>
          </w:rPr>
          <w:t>assegurar um aprovisionament</w:t>
        </w:r>
        <w:r w:rsidR="00897970">
          <w:rPr>
            <w:b/>
            <w:i/>
            <w:color w:val="0000FF"/>
            <w:sz w:val="28"/>
            <w:u w:val="single"/>
          </w:rPr>
          <w:t>o seguro de radioisótopos médicos</w:t>
        </w:r>
      </w:hyperlink>
    </w:p>
    <w:p w:rsidRPr="00EC48BE" w:rsidR="00EC48BE" w:rsidP="00EC48BE" w:rsidRDefault="00EC48BE" w14:paraId="6ABD95D5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tbl>
      <w:tblPr>
        <w:tblStyle w:val="TableGrid219"/>
        <w:tblW w:w="4287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01"/>
        <w:gridCol w:w="5840"/>
      </w:tblGrid>
      <w:tr w:rsidRPr="00EC48BE" w:rsidR="00EC48BE" w:rsidTr="00DC0FAE" w14:paraId="5D69D1D6" w14:textId="77777777">
        <w:tc>
          <w:tcPr>
            <w:tcW w:w="1276" w:type="pct"/>
          </w:tcPr>
          <w:p w:rsidRPr="00EC48BE" w:rsidR="00EC48BE" w:rsidP="00EC48BE" w:rsidRDefault="00EC48BE" w14:paraId="0629F8BB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318" w:hanging="266"/>
              <w:textAlignment w:val="baseline"/>
              <w:rPr>
                <w:b/>
              </w:rPr>
            </w:pPr>
            <w:r>
              <w:rPr>
                <w:b/>
              </w:rPr>
              <w:t>Relatora</w:t>
            </w:r>
          </w:p>
        </w:tc>
        <w:tc>
          <w:tcPr>
            <w:tcW w:w="3724" w:type="pct"/>
          </w:tcPr>
          <w:p w:rsidRPr="00EC48BE" w:rsidR="00EC48BE" w:rsidP="00EC48BE" w:rsidRDefault="00EC48BE" w14:paraId="1337C413" w14:textId="6D802AE6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Alena Mastantuono (CZ – Grupo dos Empregadores)</w:t>
            </w:r>
          </w:p>
        </w:tc>
      </w:tr>
      <w:tr w:rsidRPr="00EC48BE" w:rsidR="00EC48BE" w:rsidTr="00DC0FAE" w14:paraId="63F1C4BD" w14:textId="77777777">
        <w:tc>
          <w:tcPr>
            <w:tcW w:w="1276" w:type="pct"/>
          </w:tcPr>
          <w:p w:rsidRPr="00EC48BE" w:rsidR="00EC48BE" w:rsidP="00EC48BE" w:rsidRDefault="00EC48BE" w14:paraId="3FA3DCC7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Correlator</w:t>
            </w:r>
          </w:p>
        </w:tc>
        <w:tc>
          <w:tcPr>
            <w:tcW w:w="3724" w:type="pct"/>
          </w:tcPr>
          <w:p w:rsidRPr="00EC48BE" w:rsidR="00EC48BE" w:rsidP="00EC48BE" w:rsidRDefault="00EC48BE" w14:paraId="0C599690" w14:textId="764AA96C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Philippe Charry (FR – Grupo dos Trabalhadores)</w:t>
            </w:r>
          </w:p>
        </w:tc>
      </w:tr>
      <w:tr w:rsidRPr="00EC48BE" w:rsidR="00EC48BE" w:rsidTr="00DC0FAE" w14:paraId="498B3001" w14:textId="77777777">
        <w:tc>
          <w:tcPr>
            <w:tcW w:w="5000" w:type="pct"/>
            <w:gridSpan w:val="2"/>
          </w:tcPr>
          <w:p w:rsidRPr="00EC48BE" w:rsidR="00EC48BE" w:rsidP="00EC48BE" w:rsidRDefault="00EC48BE" w14:paraId="4D1569DD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</w:pPr>
          </w:p>
        </w:tc>
      </w:tr>
      <w:tr w:rsidRPr="00EC48BE" w:rsidR="00EC48BE" w:rsidTr="00DC0FAE" w14:paraId="3524C066" w14:textId="77777777">
        <w:tc>
          <w:tcPr>
            <w:tcW w:w="1276" w:type="pct"/>
            <w:vMerge w:val="restart"/>
          </w:tcPr>
          <w:p w:rsidRPr="00EC48BE" w:rsidR="00EC48BE" w:rsidP="00EC48BE" w:rsidRDefault="00EC48BE" w14:paraId="7BBD85B4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Referências</w:t>
            </w:r>
          </w:p>
        </w:tc>
        <w:tc>
          <w:tcPr>
            <w:tcW w:w="3724" w:type="pct"/>
          </w:tcPr>
          <w:p w:rsidR="00802E2B" w:rsidP="00EC48BE" w:rsidRDefault="00802E2B" w14:paraId="3EA8129C" w14:textId="253FD17D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Parecer de iniciativa</w:t>
            </w:r>
          </w:p>
          <w:p w:rsidRPr="00EC48BE" w:rsidR="00EC48BE" w:rsidP="00EC48BE" w:rsidRDefault="00EC48BE" w14:paraId="30BF4772" w14:textId="5A3BAEA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EESC-2024-00265-00-00-AC</w:t>
            </w:r>
          </w:p>
        </w:tc>
      </w:tr>
      <w:tr w:rsidRPr="00EC48BE" w:rsidR="00EC48BE" w:rsidTr="00DC0FAE" w14:paraId="2F6C577F" w14:textId="77777777">
        <w:tc>
          <w:tcPr>
            <w:tcW w:w="1276" w:type="pct"/>
            <w:vMerge/>
          </w:tcPr>
          <w:p w:rsidRPr="00EC48BE" w:rsidR="00EC48BE" w:rsidP="00EC48BE" w:rsidRDefault="00EC48BE" w14:paraId="5DF5D6AE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3724" w:type="pct"/>
          </w:tcPr>
          <w:p w:rsidRPr="00EC48BE" w:rsidR="00EC48BE" w:rsidP="00EC48BE" w:rsidRDefault="00EC48BE" w14:paraId="3B39B1F2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</w:p>
        </w:tc>
      </w:tr>
    </w:tbl>
    <w:p w:rsidRPr="00EC48BE" w:rsidR="00EC48BE" w:rsidP="00EC48BE" w:rsidRDefault="00EC48BE" w14:paraId="6A658105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</w:pPr>
    </w:p>
    <w:p w:rsidRPr="00EC48BE" w:rsidR="00EC48BE" w:rsidP="00EC48BE" w:rsidRDefault="00EC48BE" w14:paraId="53138D82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Pontos principais</w:t>
      </w:r>
    </w:p>
    <w:p w:rsidRPr="00EC48BE" w:rsidR="00EC48BE" w:rsidP="00EC48BE" w:rsidRDefault="00EC48BE" w14:paraId="30289543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EC48BE" w:rsidR="00EC48BE" w:rsidP="00EC48BE" w:rsidRDefault="00EC48BE" w14:paraId="1FF2E76F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O Comité Económico e Social Europeu:</w:t>
      </w:r>
    </w:p>
    <w:p w:rsidRPr="00EC48BE" w:rsidR="00EC48BE" w:rsidP="00EC48BE" w:rsidRDefault="00EC48BE" w14:paraId="44A55ABA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</w:p>
    <w:p w:rsidRPr="00EC48BE" w:rsidR="00EC48BE" w:rsidP="00DC0FAE" w:rsidRDefault="00EC48BE" w14:paraId="16965D67" w14:textId="77777777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>realça que a medicina nuclear salva milhões de vidas, sendo uma grande esperança no combate ao cancro. Salienta que importa responder às necessidades dos doentes na Europa e assegurar a igualdade de acesso aos tratamentos oncológicos;</w:t>
      </w:r>
    </w:p>
    <w:p w:rsidRPr="00EC48BE" w:rsidR="00EC48BE" w:rsidP="00DC0FAE" w:rsidRDefault="00EC48BE" w14:paraId="2189E501" w14:textId="77777777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>assinala que, na Europa, efetuam-se todos os anos 10 milhões de intervenções com base em radiofármacos de diagnóstico e terapêuticos. Cumpre dar prioridade às terapêuticas dirigidas com radionuclídeos, uma vez que são mais precisas e frequentemente menos nocivas do que outros tratamentos;</w:t>
      </w:r>
    </w:p>
    <w:p w:rsidRPr="00EC48BE" w:rsidR="00EC48BE" w:rsidP="00DC0FAE" w:rsidRDefault="00EC48BE" w14:paraId="42230DC3" w14:textId="77777777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>apela para a criação de incentivos à produção que garantam uma maior autonomia estratégica no aprovisionamento de radioisótopos. A Europa é líder mundial no aprovisionamento de radioisótopos para fins médicos. Ao mesmo tempo, está altamente dependente de países terceiros no que diz respeito a matérias-primas essenciais e a operações de transformação específicas. Por conseguinte, insta a Aliança para os Medicamentos Críticos a acompanhar atentamente o aprovisionamento de radioisótopos na Europa e a apoiar o reforço da competitividade industrial neste setor;</w:t>
      </w:r>
    </w:p>
    <w:p w:rsidRPr="00EC48BE" w:rsidR="00EC48BE" w:rsidP="00DC0FAE" w:rsidRDefault="00EC48BE" w14:paraId="55D3C6BC" w14:textId="77777777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>insta a que se assegure o cumprimento das medidas de segurança e proteção do pessoal em toda a cadeia de aprovisionamento e apela para que se invista urgentemente na planificação, educação e formação das pessoas de que este setor necessita, bem como na mobilidade do pessoal.</w:t>
      </w:r>
    </w:p>
    <w:p w:rsidRPr="00EC48BE" w:rsidR="00EC48BE" w:rsidP="00EC48BE" w:rsidRDefault="00EC48BE" w14:paraId="387BEC6B" w14:textId="77777777">
      <w:pPr>
        <w:widowControl w:val="0"/>
        <w:overflowPunct w:val="0"/>
        <w:autoSpaceDE w:val="0"/>
        <w:autoSpaceDN w:val="0"/>
        <w:adjustRightInd w:val="0"/>
        <w:ind w:left="709"/>
        <w:textAlignment w:val="baseline"/>
      </w:pPr>
    </w:p>
    <w:p w:rsidRPr="00EC48BE" w:rsidR="00EC48BE" w:rsidP="00EC48BE" w:rsidRDefault="00EC48BE" w14:paraId="0529A1B6" w14:textId="77777777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szCs w:val="20"/>
        </w:rPr>
      </w:pPr>
    </w:p>
    <w:tbl>
      <w:tblPr>
        <w:tblStyle w:val="TableGrid219"/>
        <w:tblW w:w="351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01"/>
        <w:gridCol w:w="4430"/>
      </w:tblGrid>
      <w:tr w:rsidRPr="00EC48BE" w:rsidR="00EC48BE" w:rsidTr="00FE3058" w14:paraId="4FEA0D44" w14:textId="77777777">
        <w:tc>
          <w:tcPr>
            <w:tcW w:w="1556" w:type="pct"/>
          </w:tcPr>
          <w:p w:rsidRPr="00EC48BE" w:rsidR="00EC48BE" w:rsidP="00EC48BE" w:rsidRDefault="00EC48BE" w14:paraId="292D789E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b/>
                <w:i/>
              </w:rPr>
              <w:t>Contacto</w:t>
            </w:r>
          </w:p>
        </w:tc>
        <w:tc>
          <w:tcPr>
            <w:tcW w:w="3444" w:type="pct"/>
          </w:tcPr>
          <w:p w:rsidRPr="00EC48BE" w:rsidR="00EC48BE" w:rsidP="00EC48BE" w:rsidRDefault="00EC48BE" w14:paraId="50791366" w14:textId="2071A68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Maja Radman</w:t>
            </w:r>
          </w:p>
        </w:tc>
      </w:tr>
      <w:tr w:rsidRPr="00EC48BE" w:rsidR="00EC48BE" w:rsidTr="00FE3058" w14:paraId="35A36E33" w14:textId="77777777">
        <w:tc>
          <w:tcPr>
            <w:tcW w:w="1556" w:type="pct"/>
          </w:tcPr>
          <w:p w:rsidRPr="00EC48BE" w:rsidR="00EC48BE" w:rsidP="00EC48BE" w:rsidRDefault="00EC48BE" w14:paraId="610BC20B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Tel.</w:t>
            </w:r>
          </w:p>
        </w:tc>
        <w:tc>
          <w:tcPr>
            <w:tcW w:w="3444" w:type="pct"/>
          </w:tcPr>
          <w:p w:rsidRPr="00EC48BE" w:rsidR="00EC48BE" w:rsidP="00EC48BE" w:rsidRDefault="00EC48BE" w14:paraId="1B1FFFC2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+32 2 546 90 51</w:t>
            </w:r>
          </w:p>
        </w:tc>
      </w:tr>
      <w:tr w:rsidRPr="00EC48BE" w:rsidR="00EC48BE" w:rsidTr="00FE3058" w14:paraId="6456D68F" w14:textId="77777777">
        <w:tc>
          <w:tcPr>
            <w:tcW w:w="1556" w:type="pct"/>
          </w:tcPr>
          <w:p w:rsidRPr="00EC48BE" w:rsidR="00EC48BE" w:rsidP="00EC48BE" w:rsidRDefault="00EC48BE" w14:paraId="59C76142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Endereço eletrónico</w:t>
            </w:r>
          </w:p>
        </w:tc>
        <w:tc>
          <w:tcPr>
            <w:tcW w:w="3444" w:type="pct"/>
          </w:tcPr>
          <w:p w:rsidRPr="00EC48BE" w:rsidR="00EC48BE" w:rsidP="00EC48BE" w:rsidRDefault="003C4B9D" w14:paraId="50EB0CCC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hyperlink w:history="1" r:id="rId35">
              <w:r w:rsidR="00897970">
                <w:rPr>
                  <w:i/>
                  <w:color w:val="0000FF"/>
                  <w:u w:val="single"/>
                </w:rPr>
                <w:t>Maja.Radman@eesc.europa.eu</w:t>
              </w:r>
            </w:hyperlink>
            <w:r w:rsidR="00897970">
              <w:rPr>
                <w:i/>
              </w:rPr>
              <w:t xml:space="preserve"> </w:t>
            </w:r>
          </w:p>
        </w:tc>
      </w:tr>
    </w:tbl>
    <w:p w:rsidR="00516A59" w:rsidRDefault="00516A59" w14:paraId="7DD6A790" w14:textId="77777777">
      <w:pPr>
        <w:spacing w:after="160" w:line="259" w:lineRule="auto"/>
        <w:jc w:val="left"/>
      </w:pPr>
    </w:p>
    <w:p w:rsidR="00516A59" w:rsidRDefault="00516A59" w14:paraId="77C764C5" w14:textId="77777777">
      <w:pPr>
        <w:spacing w:after="160" w:line="259" w:lineRule="auto"/>
        <w:jc w:val="left"/>
      </w:pPr>
      <w:r>
        <w:br w:type="page"/>
      </w:r>
    </w:p>
    <w:p w:rsidRPr="000B1C30" w:rsidR="00E110D0" w:rsidP="00770F41" w:rsidRDefault="00895853" w14:paraId="268D0B18" w14:textId="09AC0A5F">
      <w:pPr>
        <w:pStyle w:val="Heading1"/>
        <w:tabs>
          <w:tab w:val="clear" w:pos="440"/>
          <w:tab w:val="left" w:pos="567"/>
        </w:tabs>
        <w:ind w:left="567" w:hanging="567"/>
        <w:rPr>
          <w:b/>
          <w:bCs/>
        </w:rPr>
      </w:pPr>
      <w:bookmarkStart w:name="_Toc166847140" w:id="6"/>
      <w:bookmarkStart w:name="_Toc169614964" w:id="7"/>
      <w:bookmarkEnd w:id="6"/>
      <w:r>
        <w:rPr>
          <w:b/>
        </w:rPr>
        <w:lastRenderedPageBreak/>
        <w:t>COMISSÃO CONSULTIVA DAS MUTAÇÕES INDUSTRIAIS</w:t>
      </w:r>
      <w:bookmarkEnd w:id="7"/>
    </w:p>
    <w:p w:rsidR="004351D4" w:rsidP="00895853" w:rsidRDefault="004351D4" w14:paraId="0AE04AB9" w14:textId="7E9F637B">
      <w:pPr>
        <w:overflowPunct w:val="0"/>
        <w:autoSpaceDE w:val="0"/>
        <w:autoSpaceDN w:val="0"/>
        <w:adjustRightInd w:val="0"/>
        <w:jc w:val="left"/>
        <w:textAlignment w:val="baseline"/>
        <w:rPr>
          <w:lang w:val="nl-BE"/>
        </w:rPr>
      </w:pPr>
    </w:p>
    <w:p w:rsidR="005C28F2" w:rsidP="00895853" w:rsidRDefault="005C28F2" w14:paraId="43B85D0B" w14:textId="77777777">
      <w:pPr>
        <w:overflowPunct w:val="0"/>
        <w:autoSpaceDE w:val="0"/>
        <w:autoSpaceDN w:val="0"/>
        <w:adjustRightInd w:val="0"/>
        <w:jc w:val="left"/>
        <w:textAlignment w:val="baseline"/>
        <w:rPr>
          <w:lang w:val="nl-BE"/>
        </w:rPr>
      </w:pPr>
    </w:p>
    <w:p w:rsidRPr="00B612CA" w:rsidR="00B612CA" w:rsidP="00C26C81" w:rsidRDefault="003C4B9D" w14:paraId="3FFD2060" w14:textId="4C32F184">
      <w:pPr>
        <w:widowControl w:val="0"/>
        <w:numPr>
          <w:ilvl w:val="0"/>
          <w:numId w:val="4"/>
        </w:numPr>
        <w:tabs>
          <w:tab w:val="center" w:pos="567"/>
        </w:tabs>
        <w:overflowPunct w:val="0"/>
        <w:autoSpaceDE w:val="0"/>
        <w:autoSpaceDN w:val="0"/>
        <w:adjustRightInd w:val="0"/>
        <w:spacing w:after="160" w:line="259" w:lineRule="auto"/>
        <w:ind w:left="567" w:hanging="567"/>
        <w:contextualSpacing/>
        <w:jc w:val="left"/>
        <w:textAlignment w:val="baseline"/>
        <w:rPr>
          <w:rFonts w:eastAsiaTheme="minorHAnsi"/>
          <w:b/>
          <w:i/>
          <w:iCs/>
          <w:sz w:val="28"/>
          <w:szCs w:val="28"/>
        </w:rPr>
      </w:pPr>
      <w:hyperlink w:history="1" r:id="rId36">
        <w:r w:rsidR="00897970">
          <w:rPr>
            <w:b/>
            <w:i/>
            <w:color w:val="0000FF"/>
            <w:sz w:val="28"/>
            <w:u w:val="single"/>
          </w:rPr>
          <w:t>Programa da Indústria de Defesa</w:t>
        </w:r>
        <w:r w:rsidR="00897970">
          <w:rPr>
            <w:b/>
            <w:i/>
            <w:color w:val="0000FF"/>
            <w:sz w:val="28"/>
            <w:u w:val="single"/>
          </w:rPr>
          <w:t xml:space="preserve"> Europeia</w:t>
        </w:r>
      </w:hyperlink>
    </w:p>
    <w:p w:rsidRPr="00B612CA" w:rsidR="00B612CA" w:rsidP="00B612CA" w:rsidRDefault="00B612CA" w14:paraId="6CCFE10F" w14:textId="59BC7F1E">
      <w:pPr>
        <w:widowControl w:val="0"/>
        <w:tabs>
          <w:tab w:val="center" w:pos="284"/>
        </w:tabs>
        <w:overflowPunct w:val="0"/>
        <w:autoSpaceDE w:val="0"/>
        <w:autoSpaceDN w:val="0"/>
        <w:adjustRightInd w:val="0"/>
        <w:textAlignment w:val="baseline"/>
        <w:rPr>
          <w:rFonts w:eastAsiaTheme="minorHAnsi"/>
          <w:b/>
          <w:lang w:val="en-US"/>
        </w:rPr>
      </w:pPr>
    </w:p>
    <w:tbl>
      <w:tblPr>
        <w:tblStyle w:val="TableGrid220"/>
        <w:tblW w:w="4349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01"/>
        <w:gridCol w:w="5953"/>
      </w:tblGrid>
      <w:tr w:rsidRPr="00B612CA" w:rsidR="00B612CA" w:rsidTr="00FE3058" w14:paraId="18CAAF03" w14:textId="77777777">
        <w:tc>
          <w:tcPr>
            <w:tcW w:w="1258" w:type="pct"/>
          </w:tcPr>
          <w:p w:rsidRPr="00DC0FAE" w:rsidR="00B612CA" w:rsidP="00DC0FAE" w:rsidRDefault="00B612CA" w14:paraId="7DF9E2A6" w14:textId="77777777">
            <w:pPr>
              <w:tabs>
                <w:tab w:val="center" w:pos="284"/>
              </w:tabs>
              <w:spacing w:line="259" w:lineRule="auto"/>
              <w:ind w:left="266" w:hanging="266"/>
              <w:jc w:val="left"/>
              <w:rPr>
                <w:rFonts w:eastAsiaTheme="minorHAnsi"/>
                <w:b/>
                <w:szCs w:val="24"/>
              </w:rPr>
            </w:pPr>
            <w:r>
              <w:rPr>
                <w:b/>
              </w:rPr>
              <w:t>Relator</w:t>
            </w:r>
          </w:p>
        </w:tc>
        <w:tc>
          <w:tcPr>
            <w:tcW w:w="3742" w:type="pct"/>
          </w:tcPr>
          <w:p w:rsidRPr="00DC0FAE" w:rsidR="00B612CA" w:rsidP="00DC0FAE" w:rsidRDefault="00B612CA" w14:paraId="7678F137" w14:textId="77777777">
            <w:pPr>
              <w:tabs>
                <w:tab w:val="center" w:pos="33"/>
              </w:tabs>
              <w:spacing w:line="259" w:lineRule="auto"/>
              <w:ind w:left="33" w:hanging="33"/>
              <w:jc w:val="left"/>
              <w:rPr>
                <w:rFonts w:eastAsiaTheme="minorHAnsi"/>
                <w:szCs w:val="24"/>
              </w:rPr>
            </w:pPr>
            <w:r>
              <w:t>Tomasz Andrzej Wróblewski (Grupo dos Empregadores – PL)</w:t>
            </w:r>
          </w:p>
        </w:tc>
      </w:tr>
      <w:tr w:rsidRPr="00B612CA" w:rsidR="00B612CA" w:rsidTr="00FE3058" w14:paraId="02CD892C" w14:textId="77777777">
        <w:tc>
          <w:tcPr>
            <w:tcW w:w="1258" w:type="pct"/>
          </w:tcPr>
          <w:p w:rsidRPr="00DC0FAE" w:rsidR="00B612CA" w:rsidP="00DC0FAE" w:rsidRDefault="00B612CA" w14:paraId="32A8CC73" w14:textId="77777777">
            <w:pPr>
              <w:tabs>
                <w:tab w:val="center" w:pos="284"/>
              </w:tabs>
              <w:spacing w:line="259" w:lineRule="auto"/>
              <w:ind w:left="266" w:hanging="266"/>
              <w:jc w:val="left"/>
              <w:rPr>
                <w:rFonts w:eastAsiaTheme="minorHAnsi"/>
                <w:b/>
                <w:szCs w:val="24"/>
              </w:rPr>
            </w:pPr>
            <w:r>
              <w:rPr>
                <w:b/>
              </w:rPr>
              <w:t>Correlator</w:t>
            </w:r>
          </w:p>
        </w:tc>
        <w:tc>
          <w:tcPr>
            <w:tcW w:w="3742" w:type="pct"/>
          </w:tcPr>
          <w:p w:rsidRPr="00DC0FAE" w:rsidR="00B612CA" w:rsidP="00DC0FAE" w:rsidRDefault="00B612CA" w14:paraId="10B820C3" w14:textId="4AB00E12">
            <w:pPr>
              <w:tabs>
                <w:tab w:val="center" w:pos="284"/>
              </w:tabs>
              <w:spacing w:line="259" w:lineRule="auto"/>
              <w:ind w:left="266" w:hanging="266"/>
              <w:jc w:val="left"/>
              <w:rPr>
                <w:rFonts w:eastAsiaTheme="minorHAnsi"/>
                <w:szCs w:val="24"/>
              </w:rPr>
            </w:pPr>
            <w:r>
              <w:t>Franck Uhlig (FR-Cat. 2)</w:t>
            </w:r>
          </w:p>
        </w:tc>
      </w:tr>
      <w:tr w:rsidRPr="00B612CA" w:rsidR="00B612CA" w:rsidTr="00FE3058" w14:paraId="77B12610" w14:textId="77777777">
        <w:tc>
          <w:tcPr>
            <w:tcW w:w="5000" w:type="pct"/>
            <w:gridSpan w:val="2"/>
          </w:tcPr>
          <w:p w:rsidRPr="00DC0FAE" w:rsidR="00B612CA" w:rsidP="00B612CA" w:rsidRDefault="00B612CA" w14:paraId="22141688" w14:textId="77777777">
            <w:pPr>
              <w:tabs>
                <w:tab w:val="center" w:pos="284"/>
              </w:tabs>
              <w:spacing w:after="160" w:line="160" w:lineRule="exact"/>
              <w:ind w:left="266" w:hanging="266"/>
              <w:jc w:val="left"/>
              <w:rPr>
                <w:rFonts w:eastAsiaTheme="minorHAnsi"/>
                <w:szCs w:val="24"/>
              </w:rPr>
            </w:pPr>
          </w:p>
        </w:tc>
      </w:tr>
      <w:tr w:rsidRPr="00B612CA" w:rsidR="00B612CA" w:rsidTr="00FE3058" w14:paraId="366D3A3A" w14:textId="77777777">
        <w:tc>
          <w:tcPr>
            <w:tcW w:w="1258" w:type="pct"/>
            <w:vMerge w:val="restart"/>
          </w:tcPr>
          <w:p w:rsidRPr="00DC0FAE" w:rsidR="00B612CA" w:rsidP="00DC0FAE" w:rsidRDefault="00B612CA" w14:paraId="620E2FAB" w14:textId="77777777">
            <w:pPr>
              <w:tabs>
                <w:tab w:val="center" w:pos="284"/>
              </w:tabs>
              <w:spacing w:line="259" w:lineRule="auto"/>
              <w:ind w:left="266" w:hanging="266"/>
              <w:jc w:val="left"/>
              <w:rPr>
                <w:rFonts w:eastAsiaTheme="minorHAnsi"/>
                <w:b/>
                <w:szCs w:val="24"/>
              </w:rPr>
            </w:pPr>
            <w:r>
              <w:rPr>
                <w:b/>
              </w:rPr>
              <w:t>Referências</w:t>
            </w:r>
          </w:p>
        </w:tc>
        <w:tc>
          <w:tcPr>
            <w:tcW w:w="3742" w:type="pct"/>
          </w:tcPr>
          <w:p w:rsidRPr="00DC0FAE" w:rsidR="00B612CA" w:rsidP="00DC0FAE" w:rsidRDefault="00B612CA" w14:paraId="554796B3" w14:textId="77777777">
            <w:pPr>
              <w:tabs>
                <w:tab w:val="center" w:pos="284"/>
              </w:tabs>
              <w:spacing w:line="259" w:lineRule="auto"/>
              <w:ind w:left="266" w:hanging="266"/>
              <w:jc w:val="left"/>
              <w:rPr>
                <w:rFonts w:eastAsiaTheme="minorHAnsi"/>
                <w:szCs w:val="24"/>
              </w:rPr>
            </w:pPr>
            <w:r>
              <w:t>COM(2024) 150 final</w:t>
            </w:r>
          </w:p>
        </w:tc>
      </w:tr>
      <w:tr w:rsidRPr="00B612CA" w:rsidR="00B612CA" w:rsidTr="00FE3058" w14:paraId="10E2BB82" w14:textId="77777777">
        <w:tc>
          <w:tcPr>
            <w:tcW w:w="1258" w:type="pct"/>
            <w:vMerge/>
          </w:tcPr>
          <w:p w:rsidRPr="00DC0FAE" w:rsidR="00B612CA" w:rsidP="00DC0FAE" w:rsidRDefault="00B612CA" w14:paraId="175F9DD0" w14:textId="77777777">
            <w:pPr>
              <w:tabs>
                <w:tab w:val="center" w:pos="284"/>
              </w:tabs>
              <w:spacing w:line="259" w:lineRule="auto"/>
              <w:ind w:left="266" w:hanging="266"/>
              <w:jc w:val="left"/>
              <w:rPr>
                <w:rFonts w:eastAsiaTheme="minorHAnsi"/>
                <w:b/>
                <w:szCs w:val="24"/>
              </w:rPr>
            </w:pPr>
          </w:p>
        </w:tc>
        <w:tc>
          <w:tcPr>
            <w:tcW w:w="3742" w:type="pct"/>
          </w:tcPr>
          <w:p w:rsidRPr="00DC0FAE" w:rsidR="00B612CA" w:rsidP="00DC0FAE" w:rsidRDefault="00B612CA" w14:paraId="4A35E6C4" w14:textId="77777777">
            <w:pPr>
              <w:tabs>
                <w:tab w:val="center" w:pos="284"/>
              </w:tabs>
              <w:spacing w:line="259" w:lineRule="auto"/>
              <w:ind w:left="266" w:hanging="266"/>
              <w:jc w:val="left"/>
              <w:rPr>
                <w:rFonts w:eastAsiaTheme="minorHAnsi"/>
                <w:szCs w:val="24"/>
              </w:rPr>
            </w:pPr>
            <w:r>
              <w:t>EESC-2024-00813-00-00-AC</w:t>
            </w:r>
          </w:p>
        </w:tc>
      </w:tr>
    </w:tbl>
    <w:p w:rsidRPr="00B612CA" w:rsidR="00B612CA" w:rsidP="00B612CA" w:rsidRDefault="00B612CA" w14:paraId="65401695" w14:textId="77777777">
      <w:pPr>
        <w:widowControl w:val="0"/>
        <w:tabs>
          <w:tab w:val="center" w:pos="284"/>
        </w:tabs>
        <w:overflowPunct w:val="0"/>
        <w:autoSpaceDE w:val="0"/>
        <w:autoSpaceDN w:val="0"/>
        <w:adjustRightInd w:val="0"/>
        <w:textAlignment w:val="baseline"/>
        <w:rPr>
          <w:rFonts w:eastAsiaTheme="minorHAnsi"/>
          <w:b/>
          <w:lang w:val="en-US"/>
        </w:rPr>
      </w:pPr>
    </w:p>
    <w:p w:rsidR="00B612CA" w:rsidP="00B612CA" w:rsidRDefault="00B612CA" w14:paraId="66AF4059" w14:textId="103542FE">
      <w:pPr>
        <w:keepNext/>
        <w:keepLines/>
        <w:spacing w:after="160" w:line="259" w:lineRule="auto"/>
        <w:ind w:left="142" w:hanging="142"/>
        <w:jc w:val="left"/>
        <w:rPr>
          <w:rFonts w:eastAsiaTheme="minorHAnsi"/>
          <w:b/>
        </w:rPr>
      </w:pPr>
      <w:r>
        <w:rPr>
          <w:b/>
        </w:rPr>
        <w:t>Pontos principais</w:t>
      </w:r>
    </w:p>
    <w:p w:rsidRPr="00B612CA" w:rsidR="007724A0" w:rsidP="00B612CA" w:rsidRDefault="007724A0" w14:paraId="6657CF81" w14:textId="77777777">
      <w:pPr>
        <w:keepNext/>
        <w:keepLines/>
        <w:spacing w:after="160" w:line="259" w:lineRule="auto"/>
        <w:ind w:left="142" w:hanging="142"/>
        <w:jc w:val="left"/>
        <w:rPr>
          <w:rFonts w:eastAsiaTheme="minorHAnsi"/>
          <w:b/>
          <w:lang w:val="en-US"/>
        </w:rPr>
      </w:pPr>
    </w:p>
    <w:p w:rsidR="00B612CA" w:rsidP="00DC0FAE" w:rsidRDefault="00B612CA" w14:paraId="6C447796" w14:textId="188E9CB3">
      <w:pPr>
        <w:spacing w:after="160" w:line="259" w:lineRule="auto"/>
        <w:ind w:left="142" w:hanging="142"/>
        <w:jc w:val="left"/>
        <w:rPr>
          <w:rFonts w:eastAsiaTheme="minorHAnsi"/>
        </w:rPr>
      </w:pPr>
      <w:r>
        <w:t>O Comité Económico e Social Europeu:</w:t>
      </w:r>
    </w:p>
    <w:p w:rsidRPr="00B612CA" w:rsidR="00B612CA" w:rsidP="00DC0FAE" w:rsidRDefault="00B612CA" w14:paraId="19ACACDB" w14:textId="77777777">
      <w:pPr>
        <w:numPr>
          <w:ilvl w:val="0"/>
          <w:numId w:val="24"/>
        </w:numPr>
        <w:spacing w:after="160" w:line="259" w:lineRule="auto"/>
        <w:ind w:left="284" w:hanging="284"/>
        <w:contextualSpacing/>
        <w:rPr>
          <w:rFonts w:eastAsiaTheme="minorHAnsi"/>
        </w:rPr>
      </w:pPr>
      <w:r>
        <w:t xml:space="preserve">recomenda que a Comissão Europeia </w:t>
      </w:r>
      <w:r>
        <w:rPr>
          <w:b/>
        </w:rPr>
        <w:t>comunique exaustivamente com os cidadãos europeus, a fim de transmitir amplamente os desafios do financiamento conjunto da defesa</w:t>
      </w:r>
      <w:r>
        <w:t xml:space="preserve"> no atual contexto geopolítico e com vista a construir uma segurança comum, continuando simultaneamente a basear a integração europeia num projeto de paz e solidariedade;</w:t>
      </w:r>
    </w:p>
    <w:p w:rsidRPr="00B612CA" w:rsidR="00B612CA" w:rsidP="00DC0FAE" w:rsidRDefault="00B612CA" w14:paraId="10700EAD" w14:textId="77777777">
      <w:pPr>
        <w:numPr>
          <w:ilvl w:val="0"/>
          <w:numId w:val="24"/>
        </w:numPr>
        <w:spacing w:after="160" w:line="259" w:lineRule="auto"/>
        <w:ind w:left="284" w:hanging="284"/>
        <w:contextualSpacing/>
        <w:rPr>
          <w:rFonts w:eastAsiaTheme="minorHAnsi"/>
        </w:rPr>
      </w:pPr>
      <w:r>
        <w:t xml:space="preserve">solicita um </w:t>
      </w:r>
      <w:r>
        <w:rPr>
          <w:b/>
        </w:rPr>
        <w:t>aumento</w:t>
      </w:r>
      <w:r>
        <w:t xml:space="preserve"> a médio prazo </w:t>
      </w:r>
      <w:r>
        <w:rPr>
          <w:b/>
        </w:rPr>
        <w:t>do atual financiamento limitado (1,5 mil milhões de euros)</w:t>
      </w:r>
      <w:r>
        <w:t>;</w:t>
      </w:r>
    </w:p>
    <w:p w:rsidRPr="00B612CA" w:rsidR="00B612CA" w:rsidP="00DC0FAE" w:rsidRDefault="00B612CA" w14:paraId="35EFB068" w14:textId="77777777">
      <w:pPr>
        <w:numPr>
          <w:ilvl w:val="0"/>
          <w:numId w:val="24"/>
        </w:numPr>
        <w:spacing w:after="160" w:line="259" w:lineRule="auto"/>
        <w:ind w:left="284" w:hanging="284"/>
        <w:contextualSpacing/>
        <w:rPr>
          <w:rFonts w:eastAsiaTheme="minorHAnsi"/>
        </w:rPr>
      </w:pPr>
      <w:r>
        <w:t xml:space="preserve">salienta que o Programa da Indústria de Defesa Europeia (PIDEUR) deve, não só responder, como se impõe, às necessidades urgentes da Ucrânia, mas também conduzir a uma </w:t>
      </w:r>
      <w:r>
        <w:rPr>
          <w:b/>
        </w:rPr>
        <w:t>evolução estrutural da abordagem europeia da defesa</w:t>
      </w:r>
      <w:r>
        <w:t xml:space="preserve"> e da respetiva base tecnológica e industrial de defesa europeia (BTIDE);</w:t>
      </w:r>
    </w:p>
    <w:p w:rsidRPr="00B612CA" w:rsidR="00B612CA" w:rsidP="00DC0FAE" w:rsidRDefault="00B612CA" w14:paraId="474F4A0A" w14:textId="77777777">
      <w:pPr>
        <w:numPr>
          <w:ilvl w:val="0"/>
          <w:numId w:val="24"/>
        </w:numPr>
        <w:spacing w:after="160" w:line="259" w:lineRule="auto"/>
        <w:ind w:left="284" w:hanging="284"/>
        <w:contextualSpacing/>
        <w:rPr>
          <w:rFonts w:eastAsiaTheme="minorHAnsi"/>
        </w:rPr>
      </w:pPr>
      <w:r>
        <w:t xml:space="preserve">recomenda que o Parlamento Europeu, os Estados-Membros, os setores financeiros público e privado e a Comissão Europeia definam um </w:t>
      </w:r>
      <w:r>
        <w:rPr>
          <w:b/>
        </w:rPr>
        <w:t>plano a longo prazo para aumentar a despesa e a aquisição de armamento</w:t>
      </w:r>
      <w:r>
        <w:t>, que facilite o investimento a longo prazo do setor privado, apoie os planos de produção de equipamento militar pela BTIDE e ajude a base tecnológica e industrial de defesa destinada à Ucrânia;</w:t>
      </w:r>
    </w:p>
    <w:p w:rsidRPr="00B612CA" w:rsidR="00B612CA" w:rsidP="00DC0FAE" w:rsidRDefault="00B612CA" w14:paraId="47D84DAE" w14:textId="77777777">
      <w:pPr>
        <w:numPr>
          <w:ilvl w:val="0"/>
          <w:numId w:val="24"/>
        </w:numPr>
        <w:spacing w:after="160" w:line="259" w:lineRule="auto"/>
        <w:ind w:left="284" w:hanging="284"/>
        <w:contextualSpacing/>
        <w:rPr>
          <w:rFonts w:eastAsiaTheme="minorHAnsi"/>
        </w:rPr>
      </w:pPr>
      <w:r>
        <w:t xml:space="preserve">recomenda que a Comissão Europeia </w:t>
      </w:r>
      <w:r>
        <w:rPr>
          <w:b/>
        </w:rPr>
        <w:t>esclareça a origem e a utilização dos fundos destinados ao PIDEUR</w:t>
      </w:r>
      <w:r>
        <w:t>;</w:t>
      </w:r>
    </w:p>
    <w:p w:rsidRPr="00B612CA" w:rsidR="00B612CA" w:rsidP="00DC0FAE" w:rsidRDefault="00B612CA" w14:paraId="5028E334" w14:textId="77777777">
      <w:pPr>
        <w:numPr>
          <w:ilvl w:val="0"/>
          <w:numId w:val="24"/>
        </w:numPr>
        <w:spacing w:after="160" w:line="259" w:lineRule="auto"/>
        <w:ind w:left="284" w:hanging="284"/>
        <w:contextualSpacing/>
        <w:rPr>
          <w:rFonts w:eastAsiaTheme="minorHAnsi"/>
        </w:rPr>
      </w:pPr>
      <w:r>
        <w:t xml:space="preserve">recomenda que as </w:t>
      </w:r>
      <w:r>
        <w:rPr>
          <w:b/>
        </w:rPr>
        <w:t>empresas que compõem a BTIDE reforcem a cooperação, especialmente com as PME e a nível transfronteiriço</w:t>
      </w:r>
      <w:r>
        <w:t>;</w:t>
      </w:r>
    </w:p>
    <w:p w:rsidRPr="00B612CA" w:rsidR="00B612CA" w:rsidP="00DC0FAE" w:rsidRDefault="00B612CA" w14:paraId="4BA1174F" w14:textId="77777777">
      <w:pPr>
        <w:numPr>
          <w:ilvl w:val="0"/>
          <w:numId w:val="24"/>
        </w:numPr>
        <w:spacing w:after="160" w:line="259" w:lineRule="auto"/>
        <w:ind w:left="284" w:hanging="284"/>
        <w:contextualSpacing/>
        <w:rPr>
          <w:rFonts w:eastAsiaTheme="minorHAnsi"/>
        </w:rPr>
      </w:pPr>
      <w:r>
        <w:t xml:space="preserve">salienta a importância da </w:t>
      </w:r>
      <w:r>
        <w:rPr>
          <w:b/>
        </w:rPr>
        <w:t>cooperação industrial com a Ucrânia</w:t>
      </w:r>
      <w:r>
        <w:t xml:space="preserve"> no âmbito do PIDEUR;</w:t>
      </w:r>
    </w:p>
    <w:p w:rsidRPr="00B612CA" w:rsidR="00B612CA" w:rsidP="00DC0FAE" w:rsidRDefault="00B612CA" w14:paraId="7E080E3B" w14:textId="77777777">
      <w:pPr>
        <w:numPr>
          <w:ilvl w:val="0"/>
          <w:numId w:val="24"/>
        </w:numPr>
        <w:spacing w:after="160" w:line="259" w:lineRule="auto"/>
        <w:ind w:left="284" w:hanging="284"/>
        <w:contextualSpacing/>
        <w:rPr>
          <w:rFonts w:eastAsiaTheme="minorHAnsi"/>
        </w:rPr>
      </w:pPr>
      <w:r>
        <w:t xml:space="preserve">propõe que se continuem a promover as </w:t>
      </w:r>
      <w:r>
        <w:rPr>
          <w:b/>
        </w:rPr>
        <w:t>sinergias entre a indústria da defesa e a indústria civil</w:t>
      </w:r>
      <w:r>
        <w:t>, incluindo as PME e as empresas em fase de arranque;</w:t>
      </w:r>
    </w:p>
    <w:p w:rsidRPr="00B612CA" w:rsidR="00B612CA" w:rsidP="00DC0FAE" w:rsidRDefault="00B612CA" w14:paraId="1616FA27" w14:textId="77777777">
      <w:pPr>
        <w:numPr>
          <w:ilvl w:val="0"/>
          <w:numId w:val="24"/>
        </w:numPr>
        <w:spacing w:after="160" w:line="259" w:lineRule="auto"/>
        <w:ind w:left="284" w:hanging="284"/>
        <w:contextualSpacing/>
        <w:rPr>
          <w:rFonts w:eastAsiaTheme="minorHAnsi"/>
        </w:rPr>
      </w:pPr>
      <w:r>
        <w:t xml:space="preserve">recomenda que os </w:t>
      </w:r>
      <w:r>
        <w:rPr>
          <w:b/>
        </w:rPr>
        <w:t>objetivos percentuais de aquisição cooperativa e intraeuropeia</w:t>
      </w:r>
      <w:r>
        <w:t xml:space="preserve"> definidos na comunicação sobre a estratégia industrial de defesa europeia </w:t>
      </w:r>
      <w:r>
        <w:rPr>
          <w:b/>
        </w:rPr>
        <w:t>sejam integrados</w:t>
      </w:r>
      <w:r>
        <w:t xml:space="preserve"> no documento regulamentar do PIDEUR.</w:t>
      </w:r>
    </w:p>
    <w:p w:rsidR="00B612CA" w:rsidP="007724A0" w:rsidRDefault="00B612CA" w14:paraId="0A876271" w14:textId="1EEC993C">
      <w:pPr>
        <w:spacing w:after="160" w:line="259" w:lineRule="auto"/>
        <w:ind w:left="720"/>
        <w:contextualSpacing/>
        <w:rPr>
          <w:rFonts w:eastAsiaTheme="minorHAnsi"/>
        </w:rPr>
      </w:pPr>
    </w:p>
    <w:p w:rsidRPr="00B612CA" w:rsidR="007724A0" w:rsidP="00DC0FAE" w:rsidRDefault="007724A0" w14:paraId="75BF54F5" w14:textId="77777777">
      <w:pPr>
        <w:spacing w:after="160" w:line="259" w:lineRule="auto"/>
        <w:ind w:left="720"/>
        <w:contextualSpacing/>
        <w:rPr>
          <w:rFonts w:eastAsiaTheme="minorHAnsi"/>
        </w:rPr>
      </w:pPr>
    </w:p>
    <w:tbl>
      <w:tblPr>
        <w:tblStyle w:val="TableGrid220"/>
        <w:tblW w:w="3624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847"/>
        <w:gridCol w:w="3781"/>
      </w:tblGrid>
      <w:tr w:rsidRPr="00B612CA" w:rsidR="00B612CA" w:rsidTr="00DC0FAE" w14:paraId="0A0E04CE" w14:textId="77777777">
        <w:tc>
          <w:tcPr>
            <w:tcW w:w="2148" w:type="pct"/>
          </w:tcPr>
          <w:p w:rsidRPr="00DC0FAE" w:rsidR="00B612CA" w:rsidP="00DC0FAE" w:rsidRDefault="00B612CA" w14:paraId="06D84C57" w14:textId="77777777">
            <w:pPr>
              <w:spacing w:line="240" w:lineRule="auto"/>
              <w:jc w:val="left"/>
              <w:rPr>
                <w:rFonts w:eastAsiaTheme="minorHAnsi"/>
                <w:i/>
              </w:rPr>
            </w:pPr>
            <w:r>
              <w:rPr>
                <w:b/>
                <w:i/>
              </w:rPr>
              <w:t>Contacto</w:t>
            </w:r>
          </w:p>
        </w:tc>
        <w:tc>
          <w:tcPr>
            <w:tcW w:w="2852" w:type="pct"/>
            <w:tcBorders>
              <w:left w:val="nil"/>
            </w:tcBorders>
          </w:tcPr>
          <w:p w:rsidRPr="00DC0FAE" w:rsidR="00B612CA" w:rsidP="00DC0FAE" w:rsidRDefault="00B612CA" w14:paraId="32F55D6E" w14:textId="496A8A95">
            <w:pPr>
              <w:spacing w:line="240" w:lineRule="auto"/>
              <w:ind w:firstLine="177"/>
              <w:jc w:val="left"/>
              <w:rPr>
                <w:rFonts w:eastAsiaTheme="minorHAnsi"/>
                <w:i/>
              </w:rPr>
            </w:pPr>
            <w:r>
              <w:rPr>
                <w:i/>
              </w:rPr>
              <w:t>Ioannis Diamantopoulos</w:t>
            </w:r>
          </w:p>
        </w:tc>
      </w:tr>
      <w:tr w:rsidRPr="00B612CA" w:rsidR="00B612CA" w:rsidTr="00DC0FAE" w14:paraId="170A473F" w14:textId="77777777">
        <w:tc>
          <w:tcPr>
            <w:tcW w:w="2148" w:type="pct"/>
          </w:tcPr>
          <w:p w:rsidRPr="00DC0FAE" w:rsidR="00B612CA" w:rsidP="00DC0FAE" w:rsidRDefault="00B612CA" w14:paraId="56DAFD05" w14:textId="77777777">
            <w:pPr>
              <w:spacing w:line="240" w:lineRule="auto"/>
              <w:jc w:val="left"/>
              <w:rPr>
                <w:rFonts w:eastAsiaTheme="minorHAnsi"/>
                <w:i/>
              </w:rPr>
            </w:pPr>
            <w:r>
              <w:rPr>
                <w:i/>
              </w:rPr>
              <w:t xml:space="preserve">Tel. </w:t>
            </w:r>
          </w:p>
        </w:tc>
        <w:tc>
          <w:tcPr>
            <w:tcW w:w="2852" w:type="pct"/>
            <w:tcBorders>
              <w:left w:val="nil"/>
            </w:tcBorders>
          </w:tcPr>
          <w:p w:rsidRPr="00DC0FAE" w:rsidR="00B612CA" w:rsidP="00DC0FAE" w:rsidRDefault="00B612CA" w14:paraId="2A298CC6" w14:textId="77777777">
            <w:pPr>
              <w:spacing w:line="240" w:lineRule="auto"/>
              <w:ind w:firstLine="177"/>
              <w:jc w:val="left"/>
              <w:rPr>
                <w:rFonts w:eastAsiaTheme="minorHAnsi"/>
                <w:i/>
              </w:rPr>
            </w:pPr>
            <w:r>
              <w:rPr>
                <w:i/>
              </w:rPr>
              <w:t>+32 2 546 91 70</w:t>
            </w:r>
          </w:p>
        </w:tc>
      </w:tr>
      <w:tr w:rsidRPr="00B612CA" w:rsidR="00B612CA" w:rsidTr="00DC0FAE" w14:paraId="279B24AC" w14:textId="77777777">
        <w:tc>
          <w:tcPr>
            <w:tcW w:w="2148" w:type="pct"/>
          </w:tcPr>
          <w:p w:rsidRPr="00DC0FAE" w:rsidR="00B612CA" w:rsidP="00DC0FAE" w:rsidRDefault="007724A0" w14:paraId="005C0206" w14:textId="59684306">
            <w:pPr>
              <w:spacing w:line="240" w:lineRule="auto"/>
              <w:jc w:val="left"/>
              <w:rPr>
                <w:rFonts w:eastAsiaTheme="minorHAnsi"/>
                <w:i/>
                <w:iCs/>
              </w:rPr>
            </w:pPr>
            <w:r>
              <w:rPr>
                <w:i/>
              </w:rPr>
              <w:t>Endereço eletrónico</w:t>
            </w:r>
          </w:p>
        </w:tc>
        <w:tc>
          <w:tcPr>
            <w:tcW w:w="2852" w:type="pct"/>
            <w:tcBorders>
              <w:left w:val="nil"/>
            </w:tcBorders>
          </w:tcPr>
          <w:p w:rsidRPr="00DC0FAE" w:rsidR="00B612CA" w:rsidP="00DC0FAE" w:rsidRDefault="003C4B9D" w14:paraId="64C65441" w14:textId="2972B3EB">
            <w:pPr>
              <w:spacing w:line="240" w:lineRule="auto"/>
              <w:ind w:firstLine="177"/>
              <w:jc w:val="left"/>
              <w:rPr>
                <w:rFonts w:eastAsiaTheme="minorHAnsi"/>
                <w:i/>
                <w:iCs/>
              </w:rPr>
            </w:pPr>
            <w:hyperlink w:history="1" r:id="rId37">
              <w:r w:rsidR="005C28F2">
                <w:rPr>
                  <w:rStyle w:val="Hyperlink"/>
                </w:rPr>
                <w:t>Ioannis.Diamantopoulos@eesc.europa.eu</w:t>
              </w:r>
            </w:hyperlink>
          </w:p>
        </w:tc>
      </w:tr>
    </w:tbl>
    <w:p w:rsidR="00B612CA" w:rsidP="00895853" w:rsidRDefault="00B612CA" w14:paraId="1175548C" w14:textId="715AB7C7">
      <w:pPr>
        <w:overflowPunct w:val="0"/>
        <w:autoSpaceDE w:val="0"/>
        <w:autoSpaceDN w:val="0"/>
        <w:adjustRightInd w:val="0"/>
        <w:jc w:val="left"/>
        <w:textAlignment w:val="baseline"/>
        <w:rPr>
          <w:lang w:val="nl-BE"/>
        </w:rPr>
      </w:pPr>
    </w:p>
    <w:p w:rsidR="00B612CA" w:rsidRDefault="00B612CA" w14:paraId="4049531D" w14:textId="77777777">
      <w:pPr>
        <w:spacing w:after="160" w:line="259" w:lineRule="auto"/>
        <w:jc w:val="left"/>
      </w:pPr>
      <w:r>
        <w:br w:type="page"/>
      </w:r>
    </w:p>
    <w:p w:rsidRPr="00663C12" w:rsidR="00B612CA" w:rsidP="00C26C81" w:rsidRDefault="003C4B9D" w14:paraId="2A9B1900" w14:textId="09925451">
      <w:pPr>
        <w:widowControl w:val="0"/>
        <w:numPr>
          <w:ilvl w:val="0"/>
          <w:numId w:val="4"/>
        </w:numPr>
        <w:tabs>
          <w:tab w:val="center" w:pos="567"/>
        </w:tabs>
        <w:overflowPunct w:val="0"/>
        <w:autoSpaceDE w:val="0"/>
        <w:autoSpaceDN w:val="0"/>
        <w:adjustRightInd w:val="0"/>
        <w:spacing w:after="160" w:line="259" w:lineRule="auto"/>
        <w:ind w:left="567" w:hanging="567"/>
        <w:jc w:val="left"/>
        <w:textAlignment w:val="baseline"/>
        <w:rPr>
          <w:rFonts w:eastAsiaTheme="minorHAnsi"/>
          <w:b/>
          <w:i/>
          <w:iCs/>
          <w:sz w:val="28"/>
          <w:szCs w:val="28"/>
        </w:rPr>
      </w:pPr>
      <w:hyperlink w:history="1" r:id="rId38">
        <w:r w:rsidRPr="00663C12" w:rsidR="00897970">
          <w:rPr>
            <w:b/>
            <w:i/>
            <w:iCs/>
            <w:color w:val="0000FF"/>
            <w:sz w:val="28"/>
            <w:u w:val="single"/>
          </w:rPr>
          <w:t>Indústria de fabrico de drones: estudo de caso para uma autonomia estratégica</w:t>
        </w:r>
      </w:hyperlink>
    </w:p>
    <w:p w:rsidRPr="00B612CA" w:rsidR="00DD6D07" w:rsidP="00DC0FAE" w:rsidRDefault="00DD6D07" w14:paraId="4DADB4F0" w14:textId="77777777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Theme="minorHAnsi"/>
          <w:b/>
          <w:sz w:val="16"/>
          <w:szCs w:val="16"/>
          <w:lang w:val="en-US"/>
        </w:rPr>
      </w:pPr>
    </w:p>
    <w:tbl>
      <w:tblPr>
        <w:tblStyle w:val="TableGrid221"/>
        <w:tblW w:w="4349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01"/>
        <w:gridCol w:w="5953"/>
      </w:tblGrid>
      <w:tr w:rsidRPr="00B612CA" w:rsidR="00B612CA" w:rsidTr="00FE3058" w14:paraId="3BDDEC70" w14:textId="77777777">
        <w:tc>
          <w:tcPr>
            <w:tcW w:w="1258" w:type="pct"/>
          </w:tcPr>
          <w:p w:rsidRPr="00DC0FAE" w:rsidR="00B612CA" w:rsidP="00DC0FAE" w:rsidRDefault="00B612CA" w14:paraId="72524AE6" w14:textId="77777777">
            <w:pPr>
              <w:tabs>
                <w:tab w:val="center" w:pos="284"/>
              </w:tabs>
              <w:ind w:left="266" w:hanging="266"/>
              <w:jc w:val="left"/>
              <w:rPr>
                <w:rFonts w:eastAsiaTheme="minorHAnsi"/>
                <w:b/>
                <w:szCs w:val="24"/>
              </w:rPr>
            </w:pPr>
            <w:r>
              <w:rPr>
                <w:b/>
              </w:rPr>
              <w:t>Relator</w:t>
            </w:r>
          </w:p>
        </w:tc>
        <w:tc>
          <w:tcPr>
            <w:tcW w:w="3742" w:type="pct"/>
          </w:tcPr>
          <w:p w:rsidRPr="00DC0FAE" w:rsidR="00B612CA" w:rsidP="00DC0FAE" w:rsidRDefault="00B612CA" w14:paraId="5A103C16" w14:textId="77777777">
            <w:pPr>
              <w:tabs>
                <w:tab w:val="center" w:pos="0"/>
              </w:tabs>
              <w:ind w:left="27" w:hanging="27"/>
              <w:jc w:val="left"/>
              <w:rPr>
                <w:rFonts w:eastAsiaTheme="minorHAnsi"/>
                <w:szCs w:val="24"/>
              </w:rPr>
            </w:pPr>
            <w:r>
              <w:t>Panagiotis Gkofas (EL – Grupo das Organizações da Sociedade Civil)</w:t>
            </w:r>
          </w:p>
        </w:tc>
      </w:tr>
      <w:tr w:rsidRPr="00B612CA" w:rsidR="00B612CA" w:rsidTr="00FE3058" w14:paraId="4789CE29" w14:textId="77777777">
        <w:tc>
          <w:tcPr>
            <w:tcW w:w="1258" w:type="pct"/>
          </w:tcPr>
          <w:p w:rsidRPr="00DC0FAE" w:rsidR="00B612CA" w:rsidP="00DC0FAE" w:rsidRDefault="00B612CA" w14:paraId="4BC4535D" w14:textId="77777777">
            <w:pPr>
              <w:tabs>
                <w:tab w:val="center" w:pos="284"/>
              </w:tabs>
              <w:ind w:left="266" w:hanging="266"/>
              <w:jc w:val="left"/>
              <w:rPr>
                <w:rFonts w:eastAsiaTheme="minorHAnsi"/>
                <w:b/>
                <w:szCs w:val="24"/>
              </w:rPr>
            </w:pPr>
            <w:r>
              <w:rPr>
                <w:b/>
              </w:rPr>
              <w:t>Correlator</w:t>
            </w:r>
          </w:p>
        </w:tc>
        <w:tc>
          <w:tcPr>
            <w:tcW w:w="3742" w:type="pct"/>
          </w:tcPr>
          <w:p w:rsidRPr="00DC0FAE" w:rsidR="00B612CA" w:rsidP="00DC0FAE" w:rsidRDefault="00B612CA" w14:paraId="45BEE5FC" w14:textId="77777777">
            <w:pPr>
              <w:tabs>
                <w:tab w:val="center" w:pos="284"/>
              </w:tabs>
              <w:ind w:left="266" w:hanging="266"/>
              <w:jc w:val="left"/>
              <w:rPr>
                <w:rFonts w:eastAsiaTheme="minorHAnsi"/>
                <w:szCs w:val="24"/>
              </w:rPr>
            </w:pPr>
            <w:r>
              <w:t>Patrice Chazerand (FR-Cat. 1)</w:t>
            </w:r>
          </w:p>
        </w:tc>
      </w:tr>
      <w:tr w:rsidRPr="00B612CA" w:rsidR="00B612CA" w:rsidTr="00FE3058" w14:paraId="5E7071EE" w14:textId="77777777">
        <w:tc>
          <w:tcPr>
            <w:tcW w:w="5000" w:type="pct"/>
            <w:gridSpan w:val="2"/>
          </w:tcPr>
          <w:p w:rsidRPr="00DC0FAE" w:rsidR="00B612CA" w:rsidP="00B612CA" w:rsidRDefault="00B612CA" w14:paraId="0CB6DE07" w14:textId="77777777">
            <w:pPr>
              <w:tabs>
                <w:tab w:val="center" w:pos="284"/>
              </w:tabs>
              <w:spacing w:after="160"/>
              <w:ind w:left="266" w:hanging="266"/>
              <w:jc w:val="left"/>
              <w:rPr>
                <w:rFonts w:eastAsiaTheme="minorHAnsi"/>
                <w:sz w:val="16"/>
                <w:szCs w:val="18"/>
              </w:rPr>
            </w:pPr>
          </w:p>
        </w:tc>
      </w:tr>
      <w:tr w:rsidRPr="00B612CA" w:rsidR="00B612CA" w:rsidTr="00FE3058" w14:paraId="5C97F1F0" w14:textId="77777777">
        <w:tc>
          <w:tcPr>
            <w:tcW w:w="1258" w:type="pct"/>
            <w:vMerge w:val="restart"/>
          </w:tcPr>
          <w:p w:rsidRPr="00DC0FAE" w:rsidR="00B612CA" w:rsidP="00B612CA" w:rsidRDefault="00B612CA" w14:paraId="1ACFAAEE" w14:textId="77777777">
            <w:pPr>
              <w:tabs>
                <w:tab w:val="center" w:pos="284"/>
              </w:tabs>
              <w:spacing w:after="160"/>
              <w:ind w:left="266" w:hanging="266"/>
              <w:jc w:val="left"/>
              <w:rPr>
                <w:rFonts w:eastAsiaTheme="minorHAnsi"/>
                <w:b/>
                <w:szCs w:val="24"/>
              </w:rPr>
            </w:pPr>
            <w:r>
              <w:rPr>
                <w:b/>
              </w:rPr>
              <w:t>Referências</w:t>
            </w:r>
          </w:p>
        </w:tc>
        <w:tc>
          <w:tcPr>
            <w:tcW w:w="3742" w:type="pct"/>
          </w:tcPr>
          <w:p w:rsidR="008E5F1F" w:rsidP="00DC0FAE" w:rsidRDefault="008E5F1F" w14:paraId="4FD72709" w14:textId="77777777">
            <w:pPr>
              <w:tabs>
                <w:tab w:val="center" w:pos="284"/>
              </w:tabs>
              <w:ind w:left="266" w:hanging="266"/>
              <w:jc w:val="left"/>
              <w:rPr>
                <w:rFonts w:eastAsiaTheme="minorHAnsi"/>
                <w:szCs w:val="24"/>
              </w:rPr>
            </w:pPr>
            <w:r>
              <w:t>Parecer de iniciativa</w:t>
            </w:r>
          </w:p>
          <w:p w:rsidRPr="00DC0FAE" w:rsidR="00B612CA" w:rsidP="00DC0FAE" w:rsidRDefault="00B612CA" w14:paraId="2BDD1C6B" w14:textId="29BCECDA">
            <w:pPr>
              <w:tabs>
                <w:tab w:val="center" w:pos="284"/>
              </w:tabs>
              <w:ind w:left="266" w:hanging="266"/>
              <w:jc w:val="left"/>
              <w:rPr>
                <w:rFonts w:eastAsiaTheme="minorHAnsi"/>
                <w:szCs w:val="24"/>
              </w:rPr>
            </w:pPr>
            <w:r>
              <w:t>EESC-2024-00046-00-00-AC</w:t>
            </w:r>
          </w:p>
        </w:tc>
      </w:tr>
      <w:tr w:rsidRPr="00B612CA" w:rsidR="00B612CA" w:rsidTr="00FE3058" w14:paraId="262D674B" w14:textId="77777777">
        <w:tc>
          <w:tcPr>
            <w:tcW w:w="1258" w:type="pct"/>
            <w:vMerge/>
          </w:tcPr>
          <w:p w:rsidRPr="00B612CA" w:rsidR="00B612CA" w:rsidP="00B612CA" w:rsidRDefault="00B612CA" w14:paraId="4C295F73" w14:textId="77777777">
            <w:pPr>
              <w:tabs>
                <w:tab w:val="center" w:pos="284"/>
              </w:tabs>
              <w:spacing w:after="160"/>
              <w:ind w:left="266" w:hanging="266"/>
              <w:jc w:val="left"/>
              <w:rPr>
                <w:rFonts w:asciiTheme="minorHAnsi" w:hAnsiTheme="minorHAnsi" w:eastAsiaTheme="minorHAnsi" w:cstheme="minorBidi"/>
                <w:b/>
                <w:szCs w:val="24"/>
              </w:rPr>
            </w:pPr>
          </w:p>
        </w:tc>
        <w:tc>
          <w:tcPr>
            <w:tcW w:w="3742" w:type="pct"/>
          </w:tcPr>
          <w:p w:rsidRPr="00B612CA" w:rsidR="00B612CA" w:rsidP="00B612CA" w:rsidRDefault="00B612CA" w14:paraId="6A3FA1C1" w14:textId="77777777">
            <w:pPr>
              <w:tabs>
                <w:tab w:val="center" w:pos="284"/>
              </w:tabs>
              <w:spacing w:after="160"/>
              <w:ind w:left="266" w:hanging="266"/>
              <w:jc w:val="left"/>
              <w:rPr>
                <w:rFonts w:asciiTheme="minorHAnsi" w:hAnsiTheme="minorHAnsi" w:eastAsiaTheme="minorHAnsi" w:cstheme="minorBidi"/>
                <w:szCs w:val="24"/>
              </w:rPr>
            </w:pPr>
          </w:p>
        </w:tc>
      </w:tr>
    </w:tbl>
    <w:p w:rsidRPr="00B612CA" w:rsidR="00B612CA" w:rsidP="00B612CA" w:rsidRDefault="00B612CA" w14:paraId="5D3EDF6C" w14:textId="77777777">
      <w:pPr>
        <w:keepNext/>
        <w:keepLines/>
        <w:spacing w:after="160"/>
        <w:ind w:left="142" w:hanging="142"/>
        <w:jc w:val="left"/>
        <w:rPr>
          <w:rFonts w:eastAsiaTheme="minorHAnsi"/>
          <w:b/>
        </w:rPr>
      </w:pPr>
      <w:r>
        <w:rPr>
          <w:b/>
        </w:rPr>
        <w:t>Pontos principais</w:t>
      </w:r>
    </w:p>
    <w:p w:rsidR="00B612CA" w:rsidP="002F57E9" w:rsidRDefault="00B612CA" w14:paraId="500E1CB5" w14:textId="1961B0BC">
      <w:pPr>
        <w:spacing w:after="160"/>
        <w:ind w:left="142" w:hanging="142"/>
        <w:jc w:val="left"/>
        <w:rPr>
          <w:rFonts w:eastAsiaTheme="minorHAnsi"/>
        </w:rPr>
      </w:pPr>
      <w:r>
        <w:t>O Comité Económico e Social Europeu:</w:t>
      </w:r>
    </w:p>
    <w:p w:rsidRPr="00B612CA" w:rsidR="00B612CA" w:rsidP="00DC0FAE" w:rsidRDefault="00B612CA" w14:paraId="487029DD" w14:textId="77777777">
      <w:pPr>
        <w:numPr>
          <w:ilvl w:val="0"/>
          <w:numId w:val="25"/>
        </w:numPr>
        <w:spacing w:line="259" w:lineRule="auto"/>
        <w:ind w:left="284" w:hanging="284"/>
        <w:rPr>
          <w:rFonts w:eastAsiaTheme="minorHAnsi"/>
        </w:rPr>
      </w:pPr>
      <w:r>
        <w:t xml:space="preserve">considera que a ligação entre a </w:t>
      </w:r>
      <w:r>
        <w:rPr>
          <w:b/>
        </w:rPr>
        <w:t>Estratégia Drone europeia</w:t>
      </w:r>
      <w:r>
        <w:t xml:space="preserve"> e a </w:t>
      </w:r>
      <w:r>
        <w:rPr>
          <w:b/>
        </w:rPr>
        <w:t>Estratégia Industrial de Defesa Europeia</w:t>
      </w:r>
      <w:r>
        <w:t xml:space="preserve">, a par da integração da </w:t>
      </w:r>
      <w:r>
        <w:rPr>
          <w:b/>
        </w:rPr>
        <w:t>base tecnológica e industrial de defesa europeia (BTIDE)</w:t>
      </w:r>
      <w:r>
        <w:t xml:space="preserve"> para apoiar a produção interna de drones de elevada qualidade/capacidade através de um </w:t>
      </w:r>
      <w:r>
        <w:rPr>
          <w:b/>
        </w:rPr>
        <w:t>fluxo contínuo de contratos públicos</w:t>
      </w:r>
      <w:r>
        <w:t>, é essencial para a independência crítica da Europa;</w:t>
      </w:r>
    </w:p>
    <w:p w:rsidRPr="00B612CA" w:rsidR="00B612CA" w:rsidP="00DC0FAE" w:rsidRDefault="00B612CA" w14:paraId="1202E286" w14:textId="77777777">
      <w:pPr>
        <w:numPr>
          <w:ilvl w:val="0"/>
          <w:numId w:val="25"/>
        </w:numPr>
        <w:spacing w:line="259" w:lineRule="auto"/>
        <w:ind w:left="284" w:hanging="284"/>
        <w:rPr>
          <w:rFonts w:eastAsiaTheme="minorHAnsi"/>
        </w:rPr>
      </w:pPr>
      <w:r>
        <w:t xml:space="preserve">continua a defender o </w:t>
      </w:r>
      <w:r>
        <w:rPr>
          <w:b/>
        </w:rPr>
        <w:t>reforço da colaboração e da inovação</w:t>
      </w:r>
      <w:r>
        <w:t xml:space="preserve">, e propõe que se tire partido de atos legislativos como o Regulamento Inteligência Artificial e o Regulamento Circuitos Integrados para </w:t>
      </w:r>
      <w:r>
        <w:rPr>
          <w:b/>
        </w:rPr>
        <w:t>melhorar a autonomia estratégica</w:t>
      </w:r>
      <w:r>
        <w:t xml:space="preserve"> e reforçar a segurança nacional e o crescimento económico;</w:t>
      </w:r>
    </w:p>
    <w:p w:rsidRPr="00B612CA" w:rsidR="00B612CA" w:rsidP="00DC0FAE" w:rsidRDefault="00B612CA" w14:paraId="13B8DCFD" w14:textId="77777777">
      <w:pPr>
        <w:numPr>
          <w:ilvl w:val="0"/>
          <w:numId w:val="25"/>
        </w:numPr>
        <w:spacing w:line="259" w:lineRule="auto"/>
        <w:ind w:left="284" w:hanging="284"/>
        <w:rPr>
          <w:rFonts w:eastAsiaTheme="minorHAnsi"/>
        </w:rPr>
      </w:pPr>
      <w:r>
        <w:t xml:space="preserve">salienta que a </w:t>
      </w:r>
      <w:r>
        <w:rPr>
          <w:b/>
        </w:rPr>
        <w:t>necessidade de coerência entre a investigação e desenvolvimento (I&amp;D) militares e civis</w:t>
      </w:r>
      <w:r>
        <w:t xml:space="preserve"> continuará a aumentar, uma vez que os drones recorrerão a mais automatização, aprendizagem automática e inteligência artificial (IA);</w:t>
      </w:r>
    </w:p>
    <w:p w:rsidRPr="00B612CA" w:rsidR="00B612CA" w:rsidP="00DC0FAE" w:rsidRDefault="00B612CA" w14:paraId="36029321" w14:textId="77777777">
      <w:pPr>
        <w:numPr>
          <w:ilvl w:val="0"/>
          <w:numId w:val="25"/>
        </w:numPr>
        <w:spacing w:line="259" w:lineRule="auto"/>
        <w:ind w:left="284" w:hanging="284"/>
        <w:rPr>
          <w:rFonts w:eastAsiaTheme="minorHAnsi"/>
        </w:rPr>
      </w:pPr>
      <w:r>
        <w:t xml:space="preserve">entende que um </w:t>
      </w:r>
      <w:r>
        <w:rPr>
          <w:b/>
        </w:rPr>
        <w:t>roteiro estratégico europeu para as tecnologias de drones</w:t>
      </w:r>
      <w:r>
        <w:t xml:space="preserve"> é indispensável para as tecnologias críticas de drones e para os sistemas de drones de dupla utilização suscetíveis de proporcionar uma abordagem estruturada para fazer avançar a tecnologia de drones;</w:t>
      </w:r>
    </w:p>
    <w:p w:rsidRPr="00B612CA" w:rsidR="00B612CA" w:rsidP="00DC0FAE" w:rsidRDefault="00B612CA" w14:paraId="1BD31BD4" w14:textId="77777777">
      <w:pPr>
        <w:numPr>
          <w:ilvl w:val="0"/>
          <w:numId w:val="25"/>
        </w:numPr>
        <w:spacing w:line="259" w:lineRule="auto"/>
        <w:ind w:left="284" w:hanging="284"/>
        <w:rPr>
          <w:rFonts w:eastAsiaTheme="minorHAnsi"/>
        </w:rPr>
      </w:pPr>
      <w:r>
        <w:t xml:space="preserve">sublinha que deve ser devidamente analisada a possibilidade de </w:t>
      </w:r>
      <w:r>
        <w:rPr>
          <w:b/>
        </w:rPr>
        <w:t>prestar apoio financeiro a potenciais investimentos na produção de drones e na integração das cadeias de abastecimento e de valor</w:t>
      </w:r>
      <w:r>
        <w:t>;</w:t>
      </w:r>
    </w:p>
    <w:p w:rsidRPr="00B612CA" w:rsidR="00B612CA" w:rsidP="00DC0FAE" w:rsidRDefault="00B612CA" w14:paraId="0CDF4865" w14:textId="77777777">
      <w:pPr>
        <w:numPr>
          <w:ilvl w:val="0"/>
          <w:numId w:val="25"/>
        </w:numPr>
        <w:spacing w:line="259" w:lineRule="auto"/>
        <w:ind w:left="284" w:hanging="284"/>
        <w:rPr>
          <w:rFonts w:eastAsiaTheme="minorHAnsi"/>
        </w:rPr>
      </w:pPr>
      <w:r>
        <w:t>salienta que a UE deve empenhar-se mais ativamente a nível mundial, sobretudo no que toca aos procedimentos de certificação;</w:t>
      </w:r>
    </w:p>
    <w:p w:rsidRPr="00B612CA" w:rsidR="00B612CA" w:rsidP="00DC0FAE" w:rsidRDefault="00B612CA" w14:paraId="6CE8FCE4" w14:textId="77777777">
      <w:pPr>
        <w:numPr>
          <w:ilvl w:val="0"/>
          <w:numId w:val="25"/>
        </w:numPr>
        <w:spacing w:line="259" w:lineRule="auto"/>
        <w:ind w:left="284" w:hanging="284"/>
        <w:rPr>
          <w:rFonts w:eastAsiaTheme="minorHAnsi"/>
        </w:rPr>
      </w:pPr>
      <w:r>
        <w:t xml:space="preserve">observa que a </w:t>
      </w:r>
      <w:r>
        <w:rPr>
          <w:b/>
        </w:rPr>
        <w:t>aceitação, pela sociedade,</w:t>
      </w:r>
      <w:r>
        <w:t xml:space="preserve"> de operações inovadoras de mobilidade aérea é crucial: o apoio da UE pode impulsionar o ecossistema global da aviação, contribuindo para o seu crescimento e sustentabilidade;</w:t>
      </w:r>
    </w:p>
    <w:p w:rsidRPr="00B612CA" w:rsidR="00B612CA" w:rsidP="00DC0FAE" w:rsidRDefault="00B612CA" w14:paraId="413AAB7E" w14:textId="77777777">
      <w:pPr>
        <w:numPr>
          <w:ilvl w:val="0"/>
          <w:numId w:val="25"/>
        </w:numPr>
        <w:spacing w:line="259" w:lineRule="auto"/>
        <w:ind w:left="284" w:hanging="284"/>
        <w:rPr>
          <w:rFonts w:eastAsiaTheme="minorHAnsi"/>
        </w:rPr>
      </w:pPr>
      <w:r>
        <w:t xml:space="preserve">salienta que a UE deve também estar preparada para elaborar uma </w:t>
      </w:r>
      <w:r>
        <w:rPr>
          <w:b/>
        </w:rPr>
        <w:t>estratégia consolidada para o desenvolvimento de um quadro comum de combate aos drones</w:t>
      </w:r>
      <w:r>
        <w:t xml:space="preserve"> para fazer face a múltiplos riscos relacionados com ameaças híbridas, ações terroristas, agressões por parte de outros Estados e mesmo abusos a nível civil.</w:t>
      </w:r>
    </w:p>
    <w:p w:rsidRPr="00B612CA" w:rsidR="00B612CA" w:rsidP="00B612CA" w:rsidRDefault="00B612CA" w14:paraId="02D1D393" w14:textId="77777777">
      <w:pPr>
        <w:ind w:left="714"/>
        <w:rPr>
          <w:rFonts w:eastAsiaTheme="minorHAnsi"/>
        </w:rPr>
      </w:pPr>
    </w:p>
    <w:p w:rsidRPr="00B612CA" w:rsidR="00B612CA" w:rsidP="00B612CA" w:rsidRDefault="00B612CA" w14:paraId="46AE56DD" w14:textId="77777777">
      <w:pPr>
        <w:ind w:left="714"/>
        <w:rPr>
          <w:rFonts w:eastAsiaTheme="minorHAnsi"/>
        </w:rPr>
      </w:pPr>
    </w:p>
    <w:tbl>
      <w:tblPr>
        <w:tblStyle w:val="TableGrid221"/>
        <w:tblW w:w="351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687"/>
        <w:gridCol w:w="3744"/>
      </w:tblGrid>
      <w:tr w:rsidRPr="00B612CA" w:rsidR="00B612CA" w:rsidTr="00FE3058" w14:paraId="4B20577C" w14:textId="77777777">
        <w:tc>
          <w:tcPr>
            <w:tcW w:w="2089" w:type="pct"/>
          </w:tcPr>
          <w:p w:rsidRPr="00DC0FAE" w:rsidR="00B612CA" w:rsidP="00DC0FAE" w:rsidRDefault="00B612CA" w14:paraId="2947396D" w14:textId="77777777">
            <w:pPr>
              <w:spacing w:line="259" w:lineRule="auto"/>
              <w:jc w:val="left"/>
              <w:rPr>
                <w:rFonts w:eastAsiaTheme="minorHAnsi"/>
                <w:i/>
              </w:rPr>
            </w:pPr>
            <w:r>
              <w:rPr>
                <w:b/>
                <w:i/>
              </w:rPr>
              <w:t>Contacto</w:t>
            </w:r>
          </w:p>
        </w:tc>
        <w:tc>
          <w:tcPr>
            <w:tcW w:w="2911" w:type="pct"/>
            <w:tcBorders>
              <w:left w:val="nil"/>
            </w:tcBorders>
          </w:tcPr>
          <w:p w:rsidRPr="00DC0FAE" w:rsidR="00B612CA" w:rsidP="00DC0FAE" w:rsidRDefault="00B612CA" w14:paraId="2C72CC9C" w14:textId="59DEF34B">
            <w:pPr>
              <w:spacing w:line="259" w:lineRule="auto"/>
              <w:jc w:val="left"/>
              <w:rPr>
                <w:rFonts w:eastAsiaTheme="minorHAnsi"/>
                <w:i/>
              </w:rPr>
            </w:pPr>
            <w:r>
              <w:rPr>
                <w:i/>
              </w:rPr>
              <w:t>Ioannis Diamantopoulos</w:t>
            </w:r>
          </w:p>
        </w:tc>
      </w:tr>
      <w:tr w:rsidRPr="00B612CA" w:rsidR="00B612CA" w:rsidTr="00FE3058" w14:paraId="2E3E56CC" w14:textId="77777777">
        <w:tc>
          <w:tcPr>
            <w:tcW w:w="2089" w:type="pct"/>
          </w:tcPr>
          <w:p w:rsidRPr="00DC0FAE" w:rsidR="00B612CA" w:rsidP="00DC0FAE" w:rsidRDefault="00B612CA" w14:paraId="32C90F95" w14:textId="77777777">
            <w:pPr>
              <w:spacing w:line="259" w:lineRule="auto"/>
              <w:jc w:val="left"/>
              <w:rPr>
                <w:rFonts w:eastAsiaTheme="minorHAnsi"/>
                <w:i/>
              </w:rPr>
            </w:pPr>
            <w:r>
              <w:rPr>
                <w:i/>
              </w:rPr>
              <w:t xml:space="preserve">Tel. </w:t>
            </w:r>
          </w:p>
        </w:tc>
        <w:tc>
          <w:tcPr>
            <w:tcW w:w="2911" w:type="pct"/>
            <w:tcBorders>
              <w:left w:val="nil"/>
            </w:tcBorders>
          </w:tcPr>
          <w:p w:rsidRPr="00DC0FAE" w:rsidR="00B612CA" w:rsidP="00DC0FAE" w:rsidRDefault="00B612CA" w14:paraId="6667914E" w14:textId="77777777">
            <w:pPr>
              <w:spacing w:line="259" w:lineRule="auto"/>
              <w:jc w:val="left"/>
              <w:rPr>
                <w:rFonts w:eastAsiaTheme="minorHAnsi"/>
                <w:i/>
              </w:rPr>
            </w:pPr>
            <w:r>
              <w:rPr>
                <w:i/>
              </w:rPr>
              <w:t>+32 2 546 91 70</w:t>
            </w:r>
          </w:p>
        </w:tc>
      </w:tr>
      <w:tr w:rsidRPr="00B612CA" w:rsidR="00B612CA" w:rsidTr="00FE3058" w14:paraId="5E62AD0C" w14:textId="77777777">
        <w:tc>
          <w:tcPr>
            <w:tcW w:w="2089" w:type="pct"/>
          </w:tcPr>
          <w:p w:rsidRPr="00DC0FAE" w:rsidR="00B612CA" w:rsidP="00DC0FAE" w:rsidRDefault="00B612CA" w14:paraId="28949472" w14:textId="77777777">
            <w:pPr>
              <w:spacing w:line="259" w:lineRule="auto"/>
              <w:jc w:val="left"/>
              <w:rPr>
                <w:rFonts w:eastAsiaTheme="minorHAnsi"/>
                <w:i/>
                <w:iCs/>
              </w:rPr>
            </w:pPr>
            <w:r>
              <w:rPr>
                <w:i/>
              </w:rPr>
              <w:t>Endereço eletrónico</w:t>
            </w:r>
          </w:p>
        </w:tc>
        <w:tc>
          <w:tcPr>
            <w:tcW w:w="2911" w:type="pct"/>
            <w:tcBorders>
              <w:left w:val="nil"/>
            </w:tcBorders>
          </w:tcPr>
          <w:p w:rsidRPr="00DC0FAE" w:rsidR="00B612CA" w:rsidP="00DC0FAE" w:rsidRDefault="003C4B9D" w14:paraId="670FA610" w14:textId="3DD50747">
            <w:pPr>
              <w:spacing w:line="259" w:lineRule="auto"/>
              <w:jc w:val="left"/>
              <w:rPr>
                <w:rFonts w:eastAsiaTheme="minorHAnsi"/>
                <w:i/>
                <w:iCs/>
              </w:rPr>
            </w:pPr>
            <w:hyperlink w:history="1" r:id="rId39">
              <w:r w:rsidR="005C28F2">
                <w:rPr>
                  <w:rStyle w:val="Hyperlink"/>
                </w:rPr>
                <w:t>Ioannis.Diamantopoulos@eesc.europa.eu</w:t>
              </w:r>
            </w:hyperlink>
          </w:p>
        </w:tc>
      </w:tr>
    </w:tbl>
    <w:p w:rsidR="00DD6D07" w:rsidP="00895853" w:rsidRDefault="00DD6D07" w14:paraId="4B14A069" w14:textId="5E80731A">
      <w:pPr>
        <w:overflowPunct w:val="0"/>
        <w:autoSpaceDE w:val="0"/>
        <w:autoSpaceDN w:val="0"/>
        <w:adjustRightInd w:val="0"/>
        <w:jc w:val="left"/>
        <w:textAlignment w:val="baseline"/>
        <w:rPr>
          <w:lang w:val="nl-BE"/>
        </w:rPr>
      </w:pPr>
    </w:p>
    <w:p w:rsidR="00DD6D07" w:rsidRDefault="00DD6D07" w14:paraId="00CC9B58" w14:textId="77777777">
      <w:pPr>
        <w:spacing w:after="160" w:line="259" w:lineRule="auto"/>
        <w:jc w:val="left"/>
      </w:pPr>
      <w:r>
        <w:br w:type="page"/>
      </w:r>
    </w:p>
    <w:p w:rsidR="00B612CA" w:rsidP="00895853" w:rsidRDefault="00B612CA" w14:paraId="57B89030" w14:textId="77777777">
      <w:pPr>
        <w:overflowPunct w:val="0"/>
        <w:autoSpaceDE w:val="0"/>
        <w:autoSpaceDN w:val="0"/>
        <w:adjustRightInd w:val="0"/>
        <w:jc w:val="left"/>
        <w:textAlignment w:val="baseline"/>
        <w:rPr>
          <w:lang w:val="nl-BE"/>
        </w:rPr>
      </w:pPr>
    </w:p>
    <w:p w:rsidRPr="000120E1" w:rsidR="000120E1" w:rsidP="00C26C81" w:rsidRDefault="003C4B9D" w14:paraId="55A70BD2" w14:textId="705E33C5">
      <w:pPr>
        <w:widowControl w:val="0"/>
        <w:numPr>
          <w:ilvl w:val="0"/>
          <w:numId w:val="4"/>
        </w:numPr>
        <w:tabs>
          <w:tab w:val="center" w:pos="567"/>
        </w:tabs>
        <w:overflowPunct w:val="0"/>
        <w:autoSpaceDE w:val="0"/>
        <w:autoSpaceDN w:val="0"/>
        <w:adjustRightInd w:val="0"/>
        <w:spacing w:after="160" w:line="259" w:lineRule="auto"/>
        <w:ind w:left="567" w:hanging="567"/>
        <w:contextualSpacing/>
        <w:jc w:val="left"/>
        <w:textAlignment w:val="baseline"/>
        <w:rPr>
          <w:rFonts w:eastAsiaTheme="minorHAnsi"/>
          <w:b/>
          <w:i/>
          <w:iCs/>
          <w:sz w:val="28"/>
          <w:szCs w:val="28"/>
        </w:rPr>
      </w:pPr>
      <w:hyperlink w:history="1" r:id="rId40">
        <w:r w:rsidR="00897970">
          <w:rPr>
            <w:b/>
            <w:i/>
            <w:color w:val="0000FF"/>
            <w:sz w:val="28"/>
            <w:u w:val="single"/>
          </w:rPr>
          <w:t>Comunica</w:t>
        </w:r>
        <w:r w:rsidR="00897970">
          <w:rPr>
            <w:b/>
            <w:i/>
            <w:color w:val="0000FF"/>
            <w:sz w:val="28"/>
            <w:u w:val="single"/>
          </w:rPr>
          <w:t>ção sobre a gestão industrial do dióxido de carbono</w:t>
        </w:r>
      </w:hyperlink>
    </w:p>
    <w:p w:rsidRPr="000120E1" w:rsidR="000120E1" w:rsidP="000120E1" w:rsidRDefault="000120E1" w14:paraId="047D66DC" w14:textId="726FFD6D">
      <w:pPr>
        <w:widowControl w:val="0"/>
        <w:tabs>
          <w:tab w:val="center" w:pos="284"/>
        </w:tabs>
        <w:overflowPunct w:val="0"/>
        <w:autoSpaceDE w:val="0"/>
        <w:autoSpaceDN w:val="0"/>
        <w:adjustRightInd w:val="0"/>
        <w:textAlignment w:val="baseline"/>
        <w:rPr>
          <w:rFonts w:eastAsiaTheme="minorHAnsi"/>
          <w:b/>
          <w:lang w:val="en-US"/>
        </w:rPr>
      </w:pPr>
    </w:p>
    <w:tbl>
      <w:tblPr>
        <w:tblStyle w:val="TableGrid222"/>
        <w:tblW w:w="4497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00"/>
        <w:gridCol w:w="6225"/>
      </w:tblGrid>
      <w:tr w:rsidRPr="000120E1" w:rsidR="000120E1" w:rsidTr="00FE3058" w14:paraId="7AA7740B" w14:textId="77777777">
        <w:tc>
          <w:tcPr>
            <w:tcW w:w="1216" w:type="pct"/>
          </w:tcPr>
          <w:p w:rsidRPr="00DC0FAE" w:rsidR="000120E1" w:rsidP="00DC0FAE" w:rsidRDefault="000120E1" w14:paraId="59DFCB28" w14:textId="77777777">
            <w:pPr>
              <w:tabs>
                <w:tab w:val="center" w:pos="284"/>
              </w:tabs>
              <w:spacing w:line="259" w:lineRule="auto"/>
              <w:ind w:left="266" w:hanging="266"/>
              <w:jc w:val="left"/>
              <w:rPr>
                <w:rFonts w:eastAsiaTheme="minorHAnsi"/>
                <w:b/>
                <w:szCs w:val="24"/>
              </w:rPr>
            </w:pPr>
            <w:r>
              <w:rPr>
                <w:b/>
              </w:rPr>
              <w:t>Relator</w:t>
            </w:r>
          </w:p>
        </w:tc>
        <w:tc>
          <w:tcPr>
            <w:tcW w:w="3784" w:type="pct"/>
          </w:tcPr>
          <w:p w:rsidRPr="00DC0FAE" w:rsidR="000120E1" w:rsidP="00DC0FAE" w:rsidRDefault="000120E1" w14:paraId="79819113" w14:textId="39706A0C">
            <w:pPr>
              <w:tabs>
                <w:tab w:val="center" w:pos="284"/>
              </w:tabs>
              <w:spacing w:line="259" w:lineRule="auto"/>
              <w:ind w:left="266" w:hanging="266"/>
              <w:jc w:val="left"/>
              <w:rPr>
                <w:rFonts w:eastAsiaTheme="minorHAnsi"/>
                <w:szCs w:val="24"/>
              </w:rPr>
            </w:pPr>
            <w:r>
              <w:t>Gonçalo Lobo Xavier (PT</w:t>
            </w:r>
            <w:r w:rsidR="00663C12">
              <w:t xml:space="preserve"> – </w:t>
            </w:r>
            <w:r>
              <w:t>Grupo dos Empregadores)</w:t>
            </w:r>
          </w:p>
        </w:tc>
      </w:tr>
      <w:tr w:rsidRPr="000120E1" w:rsidR="000120E1" w:rsidTr="00FE3058" w14:paraId="2A3124EA" w14:textId="77777777">
        <w:tc>
          <w:tcPr>
            <w:tcW w:w="1216" w:type="pct"/>
          </w:tcPr>
          <w:p w:rsidRPr="00DC0FAE" w:rsidR="000120E1" w:rsidP="00DC0FAE" w:rsidRDefault="000120E1" w14:paraId="051BCACD" w14:textId="77777777">
            <w:pPr>
              <w:tabs>
                <w:tab w:val="center" w:pos="284"/>
              </w:tabs>
              <w:spacing w:line="259" w:lineRule="auto"/>
              <w:ind w:left="266" w:hanging="266"/>
              <w:jc w:val="left"/>
              <w:rPr>
                <w:rFonts w:eastAsiaTheme="minorHAnsi"/>
                <w:b/>
                <w:szCs w:val="24"/>
              </w:rPr>
            </w:pPr>
            <w:r>
              <w:rPr>
                <w:b/>
              </w:rPr>
              <w:t>Correlator</w:t>
            </w:r>
          </w:p>
        </w:tc>
        <w:tc>
          <w:tcPr>
            <w:tcW w:w="3784" w:type="pct"/>
          </w:tcPr>
          <w:p w:rsidRPr="00DC0FAE" w:rsidR="000120E1" w:rsidP="00DC0FAE" w:rsidRDefault="000120E1" w14:paraId="163FD73E" w14:textId="77777777">
            <w:pPr>
              <w:tabs>
                <w:tab w:val="center" w:pos="284"/>
              </w:tabs>
              <w:spacing w:line="259" w:lineRule="auto"/>
              <w:ind w:left="266" w:hanging="266"/>
              <w:jc w:val="left"/>
              <w:rPr>
                <w:rFonts w:eastAsiaTheme="minorHAnsi"/>
                <w:szCs w:val="24"/>
              </w:rPr>
            </w:pPr>
            <w:r>
              <w:t>Jean-Michel Pourteau (FR-Cat. 2)</w:t>
            </w:r>
          </w:p>
        </w:tc>
      </w:tr>
      <w:tr w:rsidRPr="000120E1" w:rsidR="000120E1" w:rsidTr="00FE3058" w14:paraId="5A91F27D" w14:textId="77777777">
        <w:tc>
          <w:tcPr>
            <w:tcW w:w="5000" w:type="pct"/>
            <w:gridSpan w:val="2"/>
          </w:tcPr>
          <w:p w:rsidRPr="00DC0FAE" w:rsidR="000120E1" w:rsidP="000120E1" w:rsidRDefault="000120E1" w14:paraId="3A61F21C" w14:textId="77777777">
            <w:pPr>
              <w:tabs>
                <w:tab w:val="center" w:pos="284"/>
              </w:tabs>
              <w:spacing w:after="160" w:line="160" w:lineRule="exact"/>
              <w:ind w:left="266" w:hanging="266"/>
              <w:jc w:val="left"/>
              <w:rPr>
                <w:rFonts w:eastAsiaTheme="minorHAnsi"/>
                <w:szCs w:val="24"/>
              </w:rPr>
            </w:pPr>
          </w:p>
        </w:tc>
      </w:tr>
      <w:tr w:rsidRPr="000120E1" w:rsidR="000120E1" w:rsidTr="00FE3058" w14:paraId="70AFA820" w14:textId="77777777">
        <w:tc>
          <w:tcPr>
            <w:tcW w:w="1216" w:type="pct"/>
            <w:vMerge w:val="restart"/>
          </w:tcPr>
          <w:p w:rsidRPr="00DC0FAE" w:rsidR="000120E1" w:rsidP="00DC0FAE" w:rsidRDefault="000120E1" w14:paraId="2C1088D7" w14:textId="77777777">
            <w:pPr>
              <w:tabs>
                <w:tab w:val="center" w:pos="284"/>
              </w:tabs>
              <w:spacing w:line="259" w:lineRule="auto"/>
              <w:ind w:left="266" w:hanging="266"/>
              <w:jc w:val="left"/>
              <w:rPr>
                <w:rFonts w:eastAsiaTheme="minorHAnsi"/>
                <w:b/>
                <w:szCs w:val="24"/>
              </w:rPr>
            </w:pPr>
            <w:r>
              <w:rPr>
                <w:b/>
              </w:rPr>
              <w:t>Referências</w:t>
            </w:r>
          </w:p>
        </w:tc>
        <w:tc>
          <w:tcPr>
            <w:tcW w:w="3784" w:type="pct"/>
          </w:tcPr>
          <w:p w:rsidRPr="00DC0FAE" w:rsidR="000120E1" w:rsidP="00DC0FAE" w:rsidRDefault="000120E1" w14:paraId="115E7B5F" w14:textId="77777777">
            <w:pPr>
              <w:tabs>
                <w:tab w:val="center" w:pos="284"/>
              </w:tabs>
              <w:spacing w:line="259" w:lineRule="auto"/>
              <w:ind w:left="266" w:hanging="266"/>
              <w:jc w:val="left"/>
              <w:rPr>
                <w:rFonts w:eastAsiaTheme="minorHAnsi"/>
                <w:szCs w:val="24"/>
              </w:rPr>
            </w:pPr>
            <w:r>
              <w:t>COM(2024) 62 final</w:t>
            </w:r>
          </w:p>
        </w:tc>
      </w:tr>
      <w:tr w:rsidRPr="000120E1" w:rsidR="000120E1" w:rsidTr="00FE3058" w14:paraId="36B63748" w14:textId="77777777">
        <w:tc>
          <w:tcPr>
            <w:tcW w:w="1216" w:type="pct"/>
            <w:vMerge/>
          </w:tcPr>
          <w:p w:rsidRPr="000120E1" w:rsidR="000120E1" w:rsidP="00DC0FAE" w:rsidRDefault="000120E1" w14:paraId="1DD1D1CF" w14:textId="77777777">
            <w:pPr>
              <w:tabs>
                <w:tab w:val="center" w:pos="284"/>
              </w:tabs>
              <w:spacing w:line="259" w:lineRule="auto"/>
              <w:ind w:left="266" w:hanging="266"/>
              <w:jc w:val="left"/>
              <w:rPr>
                <w:rFonts w:asciiTheme="minorHAnsi" w:hAnsiTheme="minorHAnsi" w:eastAsiaTheme="minorHAnsi" w:cstheme="minorBidi"/>
                <w:b/>
                <w:szCs w:val="24"/>
              </w:rPr>
            </w:pPr>
          </w:p>
        </w:tc>
        <w:tc>
          <w:tcPr>
            <w:tcW w:w="3784" w:type="pct"/>
          </w:tcPr>
          <w:p w:rsidRPr="00DC0FAE" w:rsidR="000120E1" w:rsidP="00DC0FAE" w:rsidRDefault="000120E1" w14:paraId="156AA12F" w14:textId="77777777">
            <w:pPr>
              <w:tabs>
                <w:tab w:val="center" w:pos="284"/>
              </w:tabs>
              <w:spacing w:line="259" w:lineRule="auto"/>
              <w:ind w:left="266" w:hanging="266"/>
              <w:jc w:val="left"/>
              <w:rPr>
                <w:rFonts w:eastAsiaTheme="minorHAnsi"/>
                <w:szCs w:val="24"/>
              </w:rPr>
            </w:pPr>
            <w:r>
              <w:t>EESC-2024-00878-00-00-AC</w:t>
            </w:r>
          </w:p>
        </w:tc>
      </w:tr>
    </w:tbl>
    <w:p w:rsidRPr="000120E1" w:rsidR="000120E1" w:rsidP="000120E1" w:rsidRDefault="000120E1" w14:paraId="07738945" w14:textId="77777777">
      <w:pPr>
        <w:widowControl w:val="0"/>
        <w:tabs>
          <w:tab w:val="left" w:pos="1843"/>
        </w:tabs>
        <w:overflowPunct w:val="0"/>
        <w:autoSpaceDE w:val="0"/>
        <w:autoSpaceDN w:val="0"/>
        <w:adjustRightInd w:val="0"/>
        <w:textAlignment w:val="baseline"/>
        <w:rPr>
          <w:rFonts w:eastAsiaTheme="minorHAnsi"/>
          <w:b/>
          <w:lang w:val="en-US"/>
        </w:rPr>
      </w:pPr>
    </w:p>
    <w:p w:rsidRPr="000120E1" w:rsidR="000120E1" w:rsidP="000120E1" w:rsidRDefault="000120E1" w14:paraId="7665D3CF" w14:textId="77777777">
      <w:pPr>
        <w:keepNext/>
        <w:keepLines/>
        <w:spacing w:after="160" w:line="259" w:lineRule="auto"/>
        <w:ind w:left="142" w:hanging="142"/>
        <w:jc w:val="left"/>
        <w:rPr>
          <w:rFonts w:eastAsiaTheme="minorHAnsi"/>
          <w:b/>
        </w:rPr>
      </w:pPr>
      <w:r>
        <w:rPr>
          <w:b/>
        </w:rPr>
        <w:t>Pontos principais</w:t>
      </w:r>
    </w:p>
    <w:p w:rsidRPr="000120E1" w:rsidR="000120E1" w:rsidP="00DC0FAE" w:rsidRDefault="000120E1" w14:paraId="3B7BB1CC" w14:textId="77777777">
      <w:pPr>
        <w:spacing w:after="160" w:line="259" w:lineRule="auto"/>
        <w:jc w:val="left"/>
        <w:rPr>
          <w:rFonts w:eastAsiaTheme="minorHAnsi"/>
        </w:rPr>
      </w:pPr>
      <w:r>
        <w:t>O Comité Económico e Social Europeu:</w:t>
      </w:r>
    </w:p>
    <w:p w:rsidRPr="000120E1" w:rsidR="000120E1" w:rsidP="00DC0FAE" w:rsidRDefault="000120E1" w14:paraId="1360B3DB" w14:textId="77777777">
      <w:pPr>
        <w:numPr>
          <w:ilvl w:val="0"/>
          <w:numId w:val="26"/>
        </w:numPr>
        <w:spacing w:after="160" w:line="259" w:lineRule="auto"/>
        <w:ind w:left="284" w:hanging="284"/>
        <w:contextualSpacing/>
        <w:rPr>
          <w:rFonts w:eastAsiaTheme="minorHAnsi"/>
        </w:rPr>
      </w:pPr>
      <w:r>
        <w:t xml:space="preserve">considera que a </w:t>
      </w:r>
      <w:r>
        <w:rPr>
          <w:b/>
        </w:rPr>
        <w:t>Estratégia de Gestão Industrial do Dióxido de Carbono é muito positiva e equilibrada</w:t>
      </w:r>
      <w:r>
        <w:t xml:space="preserve">, ao abranger elementos cruciais para a </w:t>
      </w:r>
      <w:r>
        <w:rPr>
          <w:b/>
        </w:rPr>
        <w:t>implantação dos processos de captura e armazenamento de dióxido de carbono (CAC) e captura e utilização de dióxido de carbono (CUC) à escala industrial na UE</w:t>
      </w:r>
      <w:r>
        <w:t>;</w:t>
      </w:r>
    </w:p>
    <w:p w:rsidRPr="000120E1" w:rsidR="000120E1" w:rsidP="00DC0FAE" w:rsidRDefault="000120E1" w14:paraId="7FE09CBD" w14:textId="77777777">
      <w:pPr>
        <w:numPr>
          <w:ilvl w:val="0"/>
          <w:numId w:val="26"/>
        </w:numPr>
        <w:spacing w:after="160" w:line="259" w:lineRule="auto"/>
        <w:ind w:left="284" w:hanging="284"/>
        <w:contextualSpacing/>
        <w:rPr>
          <w:rFonts w:eastAsiaTheme="minorHAnsi"/>
        </w:rPr>
      </w:pPr>
      <w:r>
        <w:t xml:space="preserve">concorda que para construir um </w:t>
      </w:r>
      <w:r>
        <w:rPr>
          <w:b/>
        </w:rPr>
        <w:t>mercado único do carbono</w:t>
      </w:r>
      <w:r>
        <w:t xml:space="preserve"> é necessário</w:t>
      </w:r>
      <w:r>
        <w:rPr>
          <w:b/>
        </w:rPr>
        <w:t xml:space="preserve"> criar infraestruturas de armazenamento e transporte (incluindo transfronteiriças)</w:t>
      </w:r>
      <w:r>
        <w:t xml:space="preserve"> e </w:t>
      </w:r>
      <w:r>
        <w:rPr>
          <w:b/>
        </w:rPr>
        <w:t>estabelecer regras de mercado</w:t>
      </w:r>
      <w:r>
        <w:t xml:space="preserve">; </w:t>
      </w:r>
    </w:p>
    <w:p w:rsidRPr="000120E1" w:rsidR="000120E1" w:rsidP="00DC0FAE" w:rsidRDefault="000120E1" w14:paraId="66EA0A1A" w14:textId="77777777">
      <w:pPr>
        <w:numPr>
          <w:ilvl w:val="0"/>
          <w:numId w:val="26"/>
        </w:numPr>
        <w:spacing w:after="160" w:line="259" w:lineRule="auto"/>
        <w:ind w:left="284" w:hanging="284"/>
        <w:contextualSpacing/>
        <w:rPr>
          <w:rFonts w:eastAsiaTheme="minorHAnsi"/>
        </w:rPr>
      </w:pPr>
      <w:r>
        <w:t xml:space="preserve">chama a atenção para a necessidade de </w:t>
      </w:r>
      <w:r>
        <w:rPr>
          <w:b/>
        </w:rPr>
        <w:t>adaptar as estratégias de gestão do dióxido de carbono aos setores industriais específicos</w:t>
      </w:r>
      <w:r>
        <w:t>;</w:t>
      </w:r>
    </w:p>
    <w:p w:rsidRPr="000120E1" w:rsidR="000120E1" w:rsidP="00DC0FAE" w:rsidRDefault="000120E1" w14:paraId="3B9262A2" w14:textId="77777777">
      <w:pPr>
        <w:numPr>
          <w:ilvl w:val="0"/>
          <w:numId w:val="26"/>
        </w:numPr>
        <w:spacing w:after="160" w:line="259" w:lineRule="auto"/>
        <w:ind w:left="284" w:hanging="284"/>
        <w:contextualSpacing/>
        <w:rPr>
          <w:rFonts w:eastAsiaTheme="minorHAnsi"/>
        </w:rPr>
      </w:pPr>
      <w:r>
        <w:t xml:space="preserve">defende que é fundamental </w:t>
      </w:r>
      <w:r>
        <w:rPr>
          <w:b/>
        </w:rPr>
        <w:t>identificar os obstáculos que comprometem a aplicação eficaz das práticas de gestão do dióxido de carbono existentes</w:t>
      </w:r>
      <w:r>
        <w:t>, a fim de introduzir alterações e definir estratégias;</w:t>
      </w:r>
    </w:p>
    <w:p w:rsidRPr="000120E1" w:rsidR="000120E1" w:rsidP="00DC0FAE" w:rsidRDefault="000120E1" w14:paraId="79DEBCDC" w14:textId="77777777">
      <w:pPr>
        <w:numPr>
          <w:ilvl w:val="0"/>
          <w:numId w:val="26"/>
        </w:numPr>
        <w:spacing w:after="160" w:line="259" w:lineRule="auto"/>
        <w:ind w:left="284" w:hanging="284"/>
        <w:contextualSpacing/>
        <w:rPr>
          <w:rFonts w:eastAsiaTheme="minorHAnsi"/>
        </w:rPr>
      </w:pPr>
      <w:r>
        <w:t xml:space="preserve">considera que a UE precisa de uma </w:t>
      </w:r>
      <w:r>
        <w:rPr>
          <w:b/>
        </w:rPr>
        <w:t>estratégia industrial para o dióxido de carbono que</w:t>
      </w:r>
      <w:r>
        <w:t xml:space="preserve"> não só</w:t>
      </w:r>
      <w:r>
        <w:rPr>
          <w:b/>
        </w:rPr>
        <w:t xml:space="preserve"> promova o crescimento de forma sustentável e concretize o Pacto Ecológico</w:t>
      </w:r>
      <w:r>
        <w:t xml:space="preserve">, como também </w:t>
      </w:r>
      <w:r>
        <w:rPr>
          <w:b/>
        </w:rPr>
        <w:t>assegure empregos de qualidade e uma transição justa para os trabalhadores</w:t>
      </w:r>
      <w:r>
        <w:t xml:space="preserve"> e identifique </w:t>
      </w:r>
      <w:r>
        <w:rPr>
          <w:b/>
        </w:rPr>
        <w:t>lacunas na disponibilidade de mão de obra e de competências suscetíveis de ser atenuadas pela requalificação e a melhoria das competências</w:t>
      </w:r>
      <w:r>
        <w:t>;</w:t>
      </w:r>
    </w:p>
    <w:p w:rsidRPr="000120E1" w:rsidR="000120E1" w:rsidP="00DC0FAE" w:rsidRDefault="000120E1" w14:paraId="71004638" w14:textId="77777777">
      <w:pPr>
        <w:numPr>
          <w:ilvl w:val="0"/>
          <w:numId w:val="26"/>
        </w:numPr>
        <w:spacing w:after="160" w:line="259" w:lineRule="auto"/>
        <w:ind w:left="284" w:hanging="284"/>
        <w:contextualSpacing/>
        <w:rPr>
          <w:rFonts w:eastAsiaTheme="minorHAnsi"/>
        </w:rPr>
      </w:pPr>
      <w:r>
        <w:t xml:space="preserve">recomenda a elaboração de um </w:t>
      </w:r>
      <w:r>
        <w:rPr>
          <w:b/>
        </w:rPr>
        <w:t>plano de investimento claro para o desenvolvimento de tecnologias CAC/CUC</w:t>
      </w:r>
      <w:r>
        <w:t xml:space="preserve"> e defende que </w:t>
      </w:r>
      <w:r>
        <w:rPr>
          <w:b/>
        </w:rPr>
        <w:t>as fontes de financiamento público devem dispor de um mecanismo de condicionalidade social orientado para a criação e a manutenção de empregos de qualidade</w:t>
      </w:r>
      <w:r>
        <w:t>;</w:t>
      </w:r>
    </w:p>
    <w:p w:rsidRPr="000120E1" w:rsidR="000120E1" w:rsidP="00DC0FAE" w:rsidRDefault="000120E1" w14:paraId="3292CDC0" w14:textId="77777777">
      <w:pPr>
        <w:numPr>
          <w:ilvl w:val="0"/>
          <w:numId w:val="26"/>
        </w:numPr>
        <w:spacing w:after="160" w:line="259" w:lineRule="auto"/>
        <w:ind w:left="284" w:hanging="284"/>
        <w:contextualSpacing/>
        <w:rPr>
          <w:rFonts w:eastAsiaTheme="minorHAnsi"/>
        </w:rPr>
      </w:pPr>
      <w:r>
        <w:t xml:space="preserve">considera que os projetos de descarbonização devem abranger, de forma equilibrada, a </w:t>
      </w:r>
      <w:r>
        <w:rPr>
          <w:b/>
        </w:rPr>
        <w:t xml:space="preserve">remoção de carbono e </w:t>
      </w:r>
      <w:r>
        <w:t xml:space="preserve">a </w:t>
      </w:r>
      <w:r>
        <w:rPr>
          <w:b/>
        </w:rPr>
        <w:t>prevenção das emissões de carbono</w:t>
      </w:r>
      <w:r>
        <w:t xml:space="preserve">, embora </w:t>
      </w:r>
      <w:r>
        <w:rPr>
          <w:b/>
        </w:rPr>
        <w:t>esta última não beneficie atualmente de apoio suficiente</w:t>
      </w:r>
      <w:r>
        <w:t>;</w:t>
      </w:r>
    </w:p>
    <w:p w:rsidRPr="000120E1" w:rsidR="000120E1" w:rsidP="00DC0FAE" w:rsidRDefault="000120E1" w14:paraId="44EC1EE2" w14:textId="77777777">
      <w:pPr>
        <w:numPr>
          <w:ilvl w:val="0"/>
          <w:numId w:val="26"/>
        </w:numPr>
        <w:spacing w:after="160" w:line="259" w:lineRule="auto"/>
        <w:ind w:left="284" w:hanging="284"/>
        <w:contextualSpacing/>
        <w:rPr>
          <w:rFonts w:eastAsiaTheme="minorHAnsi"/>
        </w:rPr>
      </w:pPr>
      <w:r>
        <w:t xml:space="preserve">recomenda a </w:t>
      </w:r>
      <w:r>
        <w:rPr>
          <w:b/>
        </w:rPr>
        <w:t>criação de um novo sistema de créditos independente, bem concebido, de elevada fiabilidade e eficaz para prevenir as emissões de carbono</w:t>
      </w:r>
      <w:r>
        <w:t>, que proporcione incentivos à descarbonização;</w:t>
      </w:r>
    </w:p>
    <w:p w:rsidRPr="000120E1" w:rsidR="000120E1" w:rsidP="00DC0FAE" w:rsidRDefault="000120E1" w14:paraId="31699FAA" w14:textId="77777777">
      <w:pPr>
        <w:numPr>
          <w:ilvl w:val="0"/>
          <w:numId w:val="26"/>
        </w:numPr>
        <w:spacing w:after="160" w:line="259" w:lineRule="auto"/>
        <w:ind w:left="284" w:hanging="284"/>
        <w:contextualSpacing/>
        <w:rPr>
          <w:rFonts w:eastAsiaTheme="minorHAnsi"/>
        </w:rPr>
      </w:pPr>
      <w:r>
        <w:t xml:space="preserve">defende que </w:t>
      </w:r>
      <w:r>
        <w:rPr>
          <w:b/>
        </w:rPr>
        <w:t>as licenças de emissão do Sistema de Comércio de Licenças de Emissão da União Europeia (CELE) não devem ser utilizadas como «créditos»</w:t>
      </w:r>
      <w:r>
        <w:t>, uma vez que tal poderia comprometer a atual lógica de mercado do CELE.</w:t>
      </w:r>
    </w:p>
    <w:p w:rsidR="000120E1" w:rsidP="000120E1" w:rsidRDefault="000120E1" w14:paraId="3C1F1540" w14:textId="33153725">
      <w:pPr>
        <w:spacing w:after="160" w:line="259" w:lineRule="auto"/>
        <w:ind w:left="720"/>
        <w:contextualSpacing/>
        <w:jc w:val="left"/>
        <w:rPr>
          <w:rFonts w:eastAsiaTheme="minorHAnsi"/>
        </w:rPr>
      </w:pPr>
    </w:p>
    <w:p w:rsidRPr="000120E1" w:rsidR="00DD6D07" w:rsidP="000120E1" w:rsidRDefault="00DD6D07" w14:paraId="4FF166B9" w14:textId="77777777">
      <w:pPr>
        <w:spacing w:after="160" w:line="259" w:lineRule="auto"/>
        <w:ind w:left="720"/>
        <w:contextualSpacing/>
        <w:jc w:val="left"/>
        <w:rPr>
          <w:rFonts w:eastAsiaTheme="minorHAnsi"/>
        </w:rPr>
      </w:pPr>
    </w:p>
    <w:tbl>
      <w:tblPr>
        <w:tblStyle w:val="TableGrid222"/>
        <w:tblW w:w="351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392"/>
        <w:gridCol w:w="3039"/>
      </w:tblGrid>
      <w:tr w:rsidRPr="000120E1" w:rsidR="000120E1" w:rsidTr="00FE3058" w14:paraId="5D2D90F0" w14:textId="77777777">
        <w:tc>
          <w:tcPr>
            <w:tcW w:w="3998" w:type="pct"/>
          </w:tcPr>
          <w:p w:rsidRPr="00DC0FAE" w:rsidR="000120E1" w:rsidP="00DC0FAE" w:rsidRDefault="000120E1" w14:paraId="0F7EFF96" w14:textId="77777777">
            <w:pPr>
              <w:spacing w:line="259" w:lineRule="auto"/>
              <w:jc w:val="left"/>
              <w:rPr>
                <w:rFonts w:eastAsiaTheme="minorHAnsi"/>
                <w:i/>
              </w:rPr>
            </w:pPr>
            <w:r>
              <w:rPr>
                <w:b/>
                <w:i/>
              </w:rPr>
              <w:t>Contacto</w:t>
            </w:r>
          </w:p>
        </w:tc>
        <w:tc>
          <w:tcPr>
            <w:tcW w:w="1002" w:type="pct"/>
            <w:tcBorders>
              <w:left w:val="nil"/>
            </w:tcBorders>
          </w:tcPr>
          <w:p w:rsidRPr="00DC0FAE" w:rsidR="000120E1" w:rsidP="00DC0FAE" w:rsidRDefault="000120E1" w14:paraId="161FCDF9" w14:textId="041A1233">
            <w:pPr>
              <w:spacing w:line="259" w:lineRule="auto"/>
              <w:jc w:val="left"/>
              <w:rPr>
                <w:rFonts w:eastAsiaTheme="minorHAnsi"/>
                <w:i/>
              </w:rPr>
            </w:pPr>
            <w:r>
              <w:rPr>
                <w:i/>
              </w:rPr>
              <w:t>Adam Dorywalski</w:t>
            </w:r>
          </w:p>
        </w:tc>
      </w:tr>
      <w:tr w:rsidRPr="000120E1" w:rsidR="000120E1" w:rsidTr="00FE3058" w14:paraId="4F400A68" w14:textId="77777777">
        <w:tc>
          <w:tcPr>
            <w:tcW w:w="3998" w:type="pct"/>
          </w:tcPr>
          <w:p w:rsidRPr="00DC0FAE" w:rsidR="000120E1" w:rsidP="00DC0FAE" w:rsidRDefault="000120E1" w14:paraId="381E2BF8" w14:textId="77777777">
            <w:pPr>
              <w:spacing w:line="259" w:lineRule="auto"/>
              <w:jc w:val="left"/>
              <w:rPr>
                <w:rFonts w:eastAsiaTheme="minorHAnsi"/>
                <w:i/>
              </w:rPr>
            </w:pPr>
            <w:r>
              <w:rPr>
                <w:i/>
              </w:rPr>
              <w:t xml:space="preserve">Tel. </w:t>
            </w:r>
          </w:p>
        </w:tc>
        <w:tc>
          <w:tcPr>
            <w:tcW w:w="1002" w:type="pct"/>
            <w:tcBorders>
              <w:left w:val="nil"/>
            </w:tcBorders>
          </w:tcPr>
          <w:p w:rsidRPr="00DC0FAE" w:rsidR="000120E1" w:rsidP="00DC0FAE" w:rsidRDefault="000120E1" w14:paraId="78898855" w14:textId="77777777">
            <w:pPr>
              <w:spacing w:line="259" w:lineRule="auto"/>
              <w:jc w:val="left"/>
              <w:rPr>
                <w:rFonts w:eastAsiaTheme="minorHAnsi"/>
                <w:i/>
              </w:rPr>
            </w:pPr>
            <w:r>
              <w:rPr>
                <w:i/>
              </w:rPr>
              <w:t>+32 2 546 93 97</w:t>
            </w:r>
          </w:p>
        </w:tc>
      </w:tr>
      <w:tr w:rsidRPr="000120E1" w:rsidR="000120E1" w:rsidTr="00FE3058" w14:paraId="63DC3EB7" w14:textId="77777777">
        <w:tc>
          <w:tcPr>
            <w:tcW w:w="3998" w:type="pct"/>
          </w:tcPr>
          <w:p w:rsidRPr="00DC0FAE" w:rsidR="000120E1" w:rsidP="00DC0FAE" w:rsidRDefault="00DD6D07" w14:paraId="66DC166A" w14:textId="68F50A4B">
            <w:pPr>
              <w:spacing w:line="259" w:lineRule="auto"/>
              <w:jc w:val="left"/>
              <w:rPr>
                <w:rFonts w:eastAsiaTheme="minorHAnsi"/>
                <w:i/>
                <w:iCs/>
              </w:rPr>
            </w:pPr>
            <w:r>
              <w:rPr>
                <w:i/>
              </w:rPr>
              <w:t>Endereço eletrónico</w:t>
            </w:r>
          </w:p>
        </w:tc>
        <w:tc>
          <w:tcPr>
            <w:tcW w:w="1002" w:type="pct"/>
            <w:tcBorders>
              <w:left w:val="nil"/>
            </w:tcBorders>
          </w:tcPr>
          <w:p w:rsidRPr="00DC0FAE" w:rsidR="000120E1" w:rsidP="00DC0FAE" w:rsidRDefault="003C4B9D" w14:paraId="2454CA29" w14:textId="77777777">
            <w:pPr>
              <w:spacing w:line="259" w:lineRule="auto"/>
              <w:jc w:val="left"/>
              <w:rPr>
                <w:rFonts w:eastAsiaTheme="minorHAnsi"/>
                <w:i/>
                <w:iCs/>
              </w:rPr>
            </w:pPr>
            <w:hyperlink w:history="1" r:id="rId41">
              <w:r w:rsidR="00D63208">
                <w:rPr>
                  <w:i/>
                  <w:color w:val="0000FF"/>
                  <w:u w:val="single"/>
                </w:rPr>
                <w:t>Adam.Dorywalski@eesc.europa.eu</w:t>
              </w:r>
            </w:hyperlink>
          </w:p>
        </w:tc>
      </w:tr>
    </w:tbl>
    <w:p w:rsidR="00B612CA" w:rsidP="00895853" w:rsidRDefault="00B612CA" w14:paraId="761EE0FB" w14:textId="19A9F226">
      <w:pPr>
        <w:overflowPunct w:val="0"/>
        <w:autoSpaceDE w:val="0"/>
        <w:autoSpaceDN w:val="0"/>
        <w:adjustRightInd w:val="0"/>
        <w:jc w:val="left"/>
        <w:textAlignment w:val="baseline"/>
        <w:rPr>
          <w:lang w:val="nl-BE"/>
        </w:rPr>
      </w:pPr>
    </w:p>
    <w:p w:rsidR="003C2FB3" w:rsidRDefault="003C2FB3" w14:paraId="27BB641D" w14:textId="1147CAD7">
      <w:pPr>
        <w:spacing w:after="160" w:line="259" w:lineRule="auto"/>
        <w:jc w:val="left"/>
      </w:pPr>
      <w:r>
        <w:br w:type="page"/>
      </w:r>
    </w:p>
    <w:p w:rsidRPr="003C2FB3" w:rsidR="003C2FB3" w:rsidP="00C26C81" w:rsidRDefault="003C4B9D" w14:paraId="2D57F018" w14:textId="51961DE6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  <w:szCs w:val="20"/>
        </w:rPr>
      </w:pPr>
      <w:hyperlink w:history="1" r:id="rId42">
        <w:r w:rsidR="00897970">
          <w:rPr>
            <w:b/>
            <w:i/>
            <w:color w:val="0000FF"/>
            <w:sz w:val="28"/>
            <w:u w:val="single"/>
          </w:rPr>
          <w:t>Estratégia Industrial de Defesa Europeia</w:t>
        </w:r>
      </w:hyperlink>
    </w:p>
    <w:p w:rsidR="003C2FB3" w:rsidP="003C2FB3" w:rsidRDefault="003C2FB3" w14:paraId="21A2A52F" w14:textId="2BFA8D76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3C2FB3" w:rsidR="003C2FB3" w:rsidP="003C2FB3" w:rsidRDefault="003C2FB3" w14:paraId="4611B857" w14:textId="0220734C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tbl>
      <w:tblPr>
        <w:tblStyle w:val="TableGrid223"/>
        <w:tblW w:w="476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01"/>
        <w:gridCol w:w="6716"/>
      </w:tblGrid>
      <w:tr w:rsidRPr="003C2FB3" w:rsidR="003C2FB3" w:rsidTr="00FE3058" w14:paraId="30A6177E" w14:textId="77777777">
        <w:tc>
          <w:tcPr>
            <w:tcW w:w="1148" w:type="pct"/>
          </w:tcPr>
          <w:p w:rsidRPr="003C2FB3" w:rsidR="003C2FB3" w:rsidP="003C2FB3" w:rsidRDefault="003C2FB3" w14:paraId="77A7B517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Relator</w:t>
            </w:r>
          </w:p>
        </w:tc>
        <w:tc>
          <w:tcPr>
            <w:tcW w:w="3852" w:type="pct"/>
          </w:tcPr>
          <w:p w:rsidRPr="00DC0FAE" w:rsidR="003C2FB3" w:rsidP="003C2FB3" w:rsidRDefault="003C2FB3" w14:paraId="77DB3C52" w14:textId="0705E08B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Maurizio Mensi (IT – Grupo das Organizações da Sociedade Civil)</w:t>
            </w:r>
          </w:p>
        </w:tc>
      </w:tr>
      <w:tr w:rsidRPr="003C2FB3" w:rsidR="003C2FB3" w:rsidTr="00FE3058" w14:paraId="4330C7A8" w14:textId="77777777">
        <w:tc>
          <w:tcPr>
            <w:tcW w:w="1148" w:type="pct"/>
          </w:tcPr>
          <w:p w:rsidRPr="003C2FB3" w:rsidR="003C2FB3" w:rsidP="003C2FB3" w:rsidRDefault="003C2FB3" w14:paraId="6EE0006E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Correlator</w:t>
            </w:r>
          </w:p>
        </w:tc>
        <w:tc>
          <w:tcPr>
            <w:tcW w:w="3852" w:type="pct"/>
          </w:tcPr>
          <w:p w:rsidRPr="00DC0FAE" w:rsidR="003C2FB3" w:rsidP="003C2FB3" w:rsidRDefault="003C2FB3" w14:paraId="227D7CFD" w14:textId="0783DBC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Jan Pie (SE-Cat. 1)</w:t>
            </w:r>
          </w:p>
        </w:tc>
      </w:tr>
      <w:tr w:rsidRPr="003C2FB3" w:rsidR="003C2FB3" w:rsidTr="00FE3058" w14:paraId="5B13BE6E" w14:textId="77777777">
        <w:tc>
          <w:tcPr>
            <w:tcW w:w="5000" w:type="pct"/>
            <w:gridSpan w:val="2"/>
          </w:tcPr>
          <w:p w:rsidRPr="003C2FB3" w:rsidR="003C2FB3" w:rsidP="003C2FB3" w:rsidRDefault="003C2FB3" w14:paraId="41685864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</w:pPr>
          </w:p>
        </w:tc>
      </w:tr>
      <w:tr w:rsidRPr="003C2FB3" w:rsidR="003C2FB3" w:rsidTr="00FE3058" w14:paraId="53790FDC" w14:textId="77777777">
        <w:tc>
          <w:tcPr>
            <w:tcW w:w="1148" w:type="pct"/>
          </w:tcPr>
          <w:p w:rsidRPr="003C2FB3" w:rsidR="003C2FB3" w:rsidP="003C2FB3" w:rsidRDefault="003C2FB3" w14:paraId="1F7D7474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Referências</w:t>
            </w:r>
          </w:p>
        </w:tc>
        <w:tc>
          <w:tcPr>
            <w:tcW w:w="3852" w:type="pct"/>
          </w:tcPr>
          <w:p w:rsidR="00DD6911" w:rsidP="003C2FB3" w:rsidRDefault="00DD6911" w14:paraId="716A7B7A" w14:textId="397FFFB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JOIN(2024) 10 final</w:t>
            </w:r>
          </w:p>
          <w:p w:rsidRPr="003C2FB3" w:rsidR="003C2FB3" w:rsidP="003C2FB3" w:rsidRDefault="003C2FB3" w14:paraId="2AE94E99" w14:textId="68928235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EESC-2024-00782-00-00-AC</w:t>
            </w:r>
          </w:p>
        </w:tc>
      </w:tr>
    </w:tbl>
    <w:p w:rsidRPr="003C2FB3" w:rsidR="003C2FB3" w:rsidP="003C2FB3" w:rsidRDefault="003C2FB3" w14:paraId="66624150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</w:pPr>
    </w:p>
    <w:p w:rsidRPr="003C2FB3" w:rsidR="003C2FB3" w:rsidP="003C2FB3" w:rsidRDefault="003C2FB3" w14:paraId="62708475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Pontos principais</w:t>
      </w:r>
    </w:p>
    <w:p w:rsidRPr="003C2FB3" w:rsidR="003C2FB3" w:rsidP="003C2FB3" w:rsidRDefault="003C2FB3" w14:paraId="11967A03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3C2FB3" w:rsidR="003C2FB3" w:rsidP="003C2FB3" w:rsidRDefault="003C2FB3" w14:paraId="54D38215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O Comité Económico e Social Europeu:</w:t>
      </w:r>
    </w:p>
    <w:p w:rsidRPr="003C2FB3" w:rsidR="003C2FB3" w:rsidP="003C2FB3" w:rsidRDefault="003C2FB3" w14:paraId="513233EC" w14:textId="77777777">
      <w:pPr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</w:p>
    <w:p w:rsidRPr="003C2FB3" w:rsidR="003C2FB3" w:rsidP="00DC0FAE" w:rsidRDefault="003C2FB3" w14:paraId="0DFECBD7" w14:textId="77777777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>congratula-se com a Estratégia Industrial de Defesa Europeia enquanto passo importante para reforçar a prontidão da Europa em matéria de defesa e, por conseguinte, a sua capacidade de proteger os seus cidadãos, o seu território e os seus valores fundamentais e modo de vida;</w:t>
      </w:r>
    </w:p>
    <w:p w:rsidRPr="003C2FB3" w:rsidR="003C2FB3" w:rsidP="00DC0FAE" w:rsidRDefault="003C2FB3" w14:paraId="02DEA830" w14:textId="77777777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>congratula-se com a mudança de abordagem, passando das medidas de emergência para uma resposta estrutural a mais longo prazo. Congratula-se, em particular, com a ênfase colocada na necessidade de reforçar o aprovisionamento europeu para dar resposta às necessidades europeias;</w:t>
      </w:r>
    </w:p>
    <w:p w:rsidRPr="003C2FB3" w:rsidR="003C2FB3" w:rsidP="00DC0FAE" w:rsidRDefault="003C2FB3" w14:paraId="32E6EBF1" w14:textId="77777777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>salienta a importância de mobilizar parcerias com países amigos que partilhem de valores comuns para cumprir os objetivos da estratégia;</w:t>
      </w:r>
    </w:p>
    <w:p w:rsidRPr="003C2FB3" w:rsidR="003C2FB3" w:rsidP="00DC0FAE" w:rsidRDefault="003C2FB3" w14:paraId="5FF6405D" w14:textId="77777777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>lamenta que a estratégia não tenha em conta a opinião pública, que é um fator-chave nas sociedades democráticas;</w:t>
      </w:r>
    </w:p>
    <w:p w:rsidRPr="003C2FB3" w:rsidR="003C2FB3" w:rsidP="00DC0FAE" w:rsidRDefault="003C2FB3" w14:paraId="05100907" w14:textId="77777777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>observa que é pouco provável que o instrumento-chave para a execução da estratégia (Programa da Indústria de Defesa Europeia – PIDEUR) esteja operacional antes do final de 2025. A estratégia deve, portanto, ser complementada por outras medidas a curto prazo que visem as necessidades imediatas.</w:t>
      </w:r>
    </w:p>
    <w:p w:rsidRPr="003C2FB3" w:rsidR="003C2FB3" w:rsidP="00DC0FAE" w:rsidRDefault="003C2FB3" w14:paraId="533711D5" w14:textId="77777777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>insta os Estados-Membros a aceitarem o convite da Comissão no sentido de procurar, a curto prazo, opções para impulsionar, através dos instrumentos disponíveis, a contratação pública conjunta em grande escala no domínio da defesa, a expansão significativa da BTIDE e o lançamento de projetos emblemáticos no domínio da defesa;</w:t>
      </w:r>
    </w:p>
    <w:p w:rsidRPr="003C2FB3" w:rsidR="003C2FB3" w:rsidP="00DC0FAE" w:rsidRDefault="003C2FB3" w14:paraId="02B3EC61" w14:textId="77777777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>considera crucial do ponto de vista industrial e estratégico assegurar o acesso da indústria de defesa às competências, à tecnologia e à investigação;</w:t>
      </w:r>
    </w:p>
    <w:p w:rsidRPr="003C2FB3" w:rsidR="003C2FB3" w:rsidP="00DC0FAE" w:rsidRDefault="003C2FB3" w14:paraId="4B7FEA1A" w14:textId="3B5F3F61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>sublinha que o êxito da estratégia dependerá, em primeiro lugar, do pleno empenho dos Estados</w:t>
      </w:r>
      <w:r w:rsidR="00663C12">
        <w:noBreakHyphen/>
      </w:r>
      <w:r>
        <w:t>Membros e do seu reconhecimento do valor acrescentado de uma abordagem europeia.</w:t>
      </w:r>
    </w:p>
    <w:p w:rsidRPr="003C2FB3" w:rsidR="003C2FB3" w:rsidP="003C2FB3" w:rsidRDefault="003C2FB3" w14:paraId="0544CF61" w14:textId="77777777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szCs w:val="20"/>
        </w:rPr>
      </w:pPr>
    </w:p>
    <w:tbl>
      <w:tblPr>
        <w:tblStyle w:val="TableGrid223"/>
        <w:tblW w:w="351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01"/>
        <w:gridCol w:w="4430"/>
      </w:tblGrid>
      <w:tr w:rsidRPr="003C2FB3" w:rsidR="003C2FB3" w:rsidTr="00FE3058" w14:paraId="0D2CEC95" w14:textId="77777777">
        <w:tc>
          <w:tcPr>
            <w:tcW w:w="1556" w:type="pct"/>
          </w:tcPr>
          <w:p w:rsidRPr="003C2FB3" w:rsidR="003C2FB3" w:rsidP="003C2FB3" w:rsidRDefault="003C2FB3" w14:paraId="3BD45DE2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b/>
                <w:i/>
              </w:rPr>
              <w:t>Contacto</w:t>
            </w:r>
          </w:p>
        </w:tc>
        <w:tc>
          <w:tcPr>
            <w:tcW w:w="3444" w:type="pct"/>
          </w:tcPr>
          <w:p w:rsidRPr="00DC0FAE" w:rsidR="003C2FB3" w:rsidP="003C2FB3" w:rsidRDefault="003C2FB3" w14:paraId="5D226FEE" w14:textId="7F8C40F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Ioannis Diamantopoulos</w:t>
            </w:r>
          </w:p>
        </w:tc>
      </w:tr>
      <w:tr w:rsidRPr="003C2FB3" w:rsidR="003C2FB3" w:rsidTr="00FE3058" w14:paraId="596191B0" w14:textId="77777777">
        <w:tc>
          <w:tcPr>
            <w:tcW w:w="1556" w:type="pct"/>
          </w:tcPr>
          <w:p w:rsidRPr="003C2FB3" w:rsidR="003C2FB3" w:rsidP="003C2FB3" w:rsidRDefault="003C2FB3" w14:paraId="0F7CD1EB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Tel.</w:t>
            </w:r>
          </w:p>
        </w:tc>
        <w:tc>
          <w:tcPr>
            <w:tcW w:w="3444" w:type="pct"/>
          </w:tcPr>
          <w:p w:rsidRPr="003C2FB3" w:rsidR="003C2FB3" w:rsidP="003C2FB3" w:rsidRDefault="003C2FB3" w14:paraId="428DEA48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+32 2 546 91 70</w:t>
            </w:r>
          </w:p>
        </w:tc>
      </w:tr>
      <w:tr w:rsidRPr="003C2FB3" w:rsidR="003C2FB3" w:rsidTr="00FE3058" w14:paraId="2628CAA2" w14:textId="77777777">
        <w:tc>
          <w:tcPr>
            <w:tcW w:w="1556" w:type="pct"/>
          </w:tcPr>
          <w:p w:rsidRPr="003C2FB3" w:rsidR="003C2FB3" w:rsidP="003C2FB3" w:rsidRDefault="003C2FB3" w14:paraId="0F1EFC5C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Endereço eletrónico</w:t>
            </w:r>
          </w:p>
        </w:tc>
        <w:tc>
          <w:tcPr>
            <w:tcW w:w="3444" w:type="pct"/>
          </w:tcPr>
          <w:p w:rsidRPr="003C2FB3" w:rsidR="003C2FB3" w:rsidP="003C2FB3" w:rsidRDefault="003C4B9D" w14:paraId="32C40CB8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hyperlink w:history="1" r:id="rId43">
              <w:r w:rsidR="00897970">
                <w:rPr>
                  <w:i/>
                  <w:color w:val="0000FF"/>
                  <w:u w:val="single"/>
                </w:rPr>
                <w:t>Ioannis.Diamantopoulos@eesc.europa.eu</w:t>
              </w:r>
            </w:hyperlink>
          </w:p>
        </w:tc>
      </w:tr>
    </w:tbl>
    <w:p w:rsidR="00B612CA" w:rsidP="00895853" w:rsidRDefault="00B612CA" w14:paraId="0A3D4AF6" w14:textId="77777777">
      <w:pPr>
        <w:overflowPunct w:val="0"/>
        <w:autoSpaceDE w:val="0"/>
        <w:autoSpaceDN w:val="0"/>
        <w:adjustRightInd w:val="0"/>
        <w:jc w:val="left"/>
        <w:textAlignment w:val="baseline"/>
        <w:rPr>
          <w:lang w:val="nl-BE"/>
        </w:rPr>
      </w:pPr>
    </w:p>
    <w:p w:rsidR="00C26C81" w:rsidRDefault="00C26C81" w14:paraId="209CF203" w14:textId="6268DD8D">
      <w:pPr>
        <w:spacing w:after="160" w:line="259" w:lineRule="auto"/>
        <w:jc w:val="left"/>
      </w:pPr>
      <w:r>
        <w:br w:type="page"/>
      </w:r>
    </w:p>
    <w:p w:rsidRPr="00C26C81" w:rsidR="00C26C81" w:rsidP="00C26C81" w:rsidRDefault="003C4B9D" w14:paraId="216DA7D4" w14:textId="4D9F3A69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  <w:szCs w:val="20"/>
        </w:rPr>
      </w:pPr>
      <w:hyperlink w:history="1" r:id="rId44">
        <w:r w:rsidR="00897970">
          <w:rPr>
            <w:b/>
            <w:i/>
            <w:color w:val="0000FF"/>
            <w:sz w:val="28"/>
            <w:u w:val="single"/>
          </w:rPr>
          <w:t xml:space="preserve">Abordagens e boas práticas industriais e tecnológicas para uma sociedade </w:t>
        </w:r>
        <w:r w:rsidR="00897970">
          <w:rPr>
            <w:b/>
            <w:i/>
            <w:color w:val="0000FF"/>
            <w:sz w:val="28"/>
            <w:u w:val="single"/>
          </w:rPr>
          <w:t>resiliente do ponto de vista hídrico</w:t>
        </w:r>
      </w:hyperlink>
    </w:p>
    <w:p w:rsidR="00DF1937" w:rsidP="00C26C81" w:rsidRDefault="00DF1937" w14:paraId="48918DB7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sz w:val="16"/>
          <w:szCs w:val="16"/>
        </w:rPr>
      </w:pPr>
    </w:p>
    <w:tbl>
      <w:tblPr>
        <w:tblStyle w:val="TableGrid224"/>
        <w:tblW w:w="476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01"/>
        <w:gridCol w:w="6716"/>
      </w:tblGrid>
      <w:tr w:rsidRPr="00C26C81" w:rsidR="00C26C81" w:rsidTr="00FE3058" w14:paraId="120DFBE2" w14:textId="77777777">
        <w:tc>
          <w:tcPr>
            <w:tcW w:w="1148" w:type="pct"/>
          </w:tcPr>
          <w:p w:rsidRPr="00C26C81" w:rsidR="00C26C81" w:rsidP="00C26C81" w:rsidRDefault="00C26C81" w14:paraId="622F56C9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Relator</w:t>
            </w:r>
          </w:p>
        </w:tc>
        <w:tc>
          <w:tcPr>
            <w:tcW w:w="3852" w:type="pct"/>
          </w:tcPr>
          <w:p w:rsidRPr="00DC0FAE" w:rsidR="00C26C81" w:rsidP="00C26C81" w:rsidRDefault="00C26C81" w14:paraId="4D21502F" w14:textId="7090BED6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Florian Marin (RO – Grupo dos Trabalhadores)</w:t>
            </w:r>
          </w:p>
        </w:tc>
      </w:tr>
      <w:tr w:rsidRPr="00C26C81" w:rsidR="00C26C81" w:rsidTr="00FE3058" w14:paraId="1F60F708" w14:textId="77777777">
        <w:tc>
          <w:tcPr>
            <w:tcW w:w="1148" w:type="pct"/>
          </w:tcPr>
          <w:p w:rsidRPr="00C26C81" w:rsidR="00C26C81" w:rsidP="00C26C81" w:rsidRDefault="00C26C81" w14:paraId="3D84DAA7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Correlator</w:t>
            </w:r>
          </w:p>
        </w:tc>
        <w:tc>
          <w:tcPr>
            <w:tcW w:w="3852" w:type="pct"/>
          </w:tcPr>
          <w:p w:rsidRPr="00DC0FAE" w:rsidR="00C26C81" w:rsidP="00C26C81" w:rsidRDefault="00C26C81" w14:paraId="2CC5126F" w14:textId="7BF5F8C5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John Bryan (IE-Cat. 3)</w:t>
            </w:r>
          </w:p>
        </w:tc>
      </w:tr>
      <w:tr w:rsidRPr="00C26C81" w:rsidR="00C26C81" w:rsidTr="00FE3058" w14:paraId="0255D7F1" w14:textId="77777777">
        <w:tc>
          <w:tcPr>
            <w:tcW w:w="5000" w:type="pct"/>
            <w:gridSpan w:val="2"/>
          </w:tcPr>
          <w:p w:rsidRPr="00C26C81" w:rsidR="00C26C81" w:rsidP="00C26C81" w:rsidRDefault="00C26C81" w14:paraId="65F1A50D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</w:pPr>
          </w:p>
        </w:tc>
      </w:tr>
      <w:tr w:rsidRPr="00C26C81" w:rsidR="00C26C81" w:rsidTr="00FE3058" w14:paraId="6490CDCA" w14:textId="77777777">
        <w:tc>
          <w:tcPr>
            <w:tcW w:w="1148" w:type="pct"/>
            <w:vMerge w:val="restart"/>
          </w:tcPr>
          <w:p w:rsidRPr="00C26C81" w:rsidR="00C26C81" w:rsidP="00C26C81" w:rsidRDefault="00C26C81" w14:paraId="3249E176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Referências</w:t>
            </w:r>
          </w:p>
        </w:tc>
        <w:tc>
          <w:tcPr>
            <w:tcW w:w="3852" w:type="pct"/>
          </w:tcPr>
          <w:p w:rsidR="00DF1937" w:rsidP="00C26C81" w:rsidRDefault="00DF1937" w14:paraId="62B42CB3" w14:textId="689EBFFE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Parecer exploratório a pedido da Comissão Europeia</w:t>
            </w:r>
          </w:p>
          <w:p w:rsidRPr="00C26C81" w:rsidR="00C26C81" w:rsidP="00C26C81" w:rsidRDefault="00C26C81" w14:paraId="575B4C73" w14:textId="570E829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EESC-2024-00209-00-00-AC</w:t>
            </w:r>
          </w:p>
        </w:tc>
      </w:tr>
      <w:tr w:rsidRPr="00C26C81" w:rsidR="00C26C81" w:rsidTr="00FE3058" w14:paraId="7D13EFEC" w14:textId="77777777">
        <w:tc>
          <w:tcPr>
            <w:tcW w:w="1148" w:type="pct"/>
            <w:vMerge/>
          </w:tcPr>
          <w:p w:rsidRPr="00C26C81" w:rsidR="00C26C81" w:rsidP="00C26C81" w:rsidRDefault="00C26C81" w14:paraId="22339B72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3852" w:type="pct"/>
          </w:tcPr>
          <w:p w:rsidRPr="00C26C81" w:rsidR="00C26C81" w:rsidP="00C26C81" w:rsidRDefault="00C26C81" w14:paraId="30DF2ED2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</w:p>
        </w:tc>
      </w:tr>
    </w:tbl>
    <w:p w:rsidRPr="00C26C81" w:rsidR="00C26C81" w:rsidP="00C26C81" w:rsidRDefault="00C26C81" w14:paraId="6756B12C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Pontos principais</w:t>
      </w:r>
    </w:p>
    <w:p w:rsidRPr="00C26C81" w:rsidR="00C26C81" w:rsidP="00C26C81" w:rsidRDefault="00C26C81" w14:paraId="03D7DAA1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sz w:val="16"/>
          <w:szCs w:val="16"/>
        </w:rPr>
      </w:pPr>
    </w:p>
    <w:p w:rsidR="00C26C81" w:rsidP="00C26C81" w:rsidRDefault="00C26C81" w14:paraId="0AEAF1D0" w14:textId="370DE955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O Comité Económico e Social Europeu:</w:t>
      </w:r>
    </w:p>
    <w:p w:rsidRPr="00C26C81" w:rsidR="002B7841" w:rsidP="00C26C81" w:rsidRDefault="002B7841" w14:paraId="2BBD3487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</w:p>
    <w:p w:rsidRPr="00C26C81" w:rsidR="00C26C81" w:rsidP="00DC0FAE" w:rsidRDefault="00C26C81" w14:paraId="724B6930" w14:textId="77777777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200" w:line="276" w:lineRule="auto"/>
        <w:ind w:left="284" w:hanging="284"/>
        <w:contextualSpacing/>
        <w:textAlignment w:val="baseline"/>
        <w:rPr>
          <w:bCs/>
          <w:iCs/>
        </w:rPr>
      </w:pPr>
      <w:r>
        <w:t xml:space="preserve">insta a uma </w:t>
      </w:r>
      <w:r>
        <w:rPr>
          <w:b/>
        </w:rPr>
        <w:t>estratégia autónoma</w:t>
      </w:r>
      <w:r>
        <w:t xml:space="preserve"> – um Pacto Azul Europeu – e a um plano de ação </w:t>
      </w:r>
      <w:r>
        <w:rPr>
          <w:b/>
        </w:rPr>
        <w:t>para a água, a fim de garantir a resiliência, a segurança e a sustentabilidade dos recursos hídricos, que complementarão o Pacto Ecológico Europeu</w:t>
      </w:r>
      <w:r>
        <w:t>;</w:t>
      </w:r>
    </w:p>
    <w:p w:rsidRPr="00C26C81" w:rsidR="00C26C81" w:rsidP="00DC0FAE" w:rsidRDefault="00C26C81" w14:paraId="520F5238" w14:textId="77777777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200" w:line="276" w:lineRule="auto"/>
        <w:ind w:left="284" w:hanging="284"/>
        <w:contextualSpacing/>
        <w:textAlignment w:val="baseline"/>
        <w:rPr>
          <w:bCs/>
          <w:iCs/>
        </w:rPr>
      </w:pPr>
      <w:r>
        <w:t xml:space="preserve">exorta a UE a </w:t>
      </w:r>
      <w:r>
        <w:rPr>
          <w:b/>
        </w:rPr>
        <w:t>integrar a água num quadro estratégico industrial revisto</w:t>
      </w:r>
      <w:r>
        <w:t xml:space="preserve"> e nas vias de transição através de uma abordagem setorial;</w:t>
      </w:r>
    </w:p>
    <w:p w:rsidRPr="00C26C81" w:rsidR="00C26C81" w:rsidP="00DC0FAE" w:rsidRDefault="00C26C81" w14:paraId="30D20AE2" w14:textId="77777777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200" w:line="276" w:lineRule="auto"/>
        <w:ind w:left="284" w:hanging="284"/>
        <w:contextualSpacing/>
        <w:textAlignment w:val="baseline"/>
        <w:rPr>
          <w:bCs/>
          <w:iCs/>
        </w:rPr>
      </w:pPr>
      <w:r>
        <w:t xml:space="preserve">considera que tal revisão deve constituir a oportunidade de propor um </w:t>
      </w:r>
      <w:r>
        <w:rPr>
          <w:b/>
        </w:rPr>
        <w:t>novo acordo industrial, oferecendo à indústria europeia uma estratégia consolidada</w:t>
      </w:r>
      <w:r>
        <w:t xml:space="preserve"> que responda aos múltiplos desafios que enfrenta (água, energia, matérias-primas críticas, digitalização e autonomia estratégica) no prazo de quatro anos;</w:t>
      </w:r>
    </w:p>
    <w:p w:rsidRPr="00C26C81" w:rsidR="00C26C81" w:rsidP="00DC0FAE" w:rsidRDefault="00C26C81" w14:paraId="04F84018" w14:textId="77777777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200" w:line="276" w:lineRule="auto"/>
        <w:ind w:left="284" w:hanging="284"/>
        <w:contextualSpacing/>
        <w:textAlignment w:val="baseline"/>
        <w:rPr>
          <w:bCs/>
          <w:iCs/>
        </w:rPr>
      </w:pPr>
      <w:r>
        <w:t xml:space="preserve">salienta que as abordagens industriais e tecnológicas para uma sociedade inteligente na utilização da água devem estar firmemente estruturadas em torno de </w:t>
      </w:r>
      <w:r>
        <w:rPr>
          <w:b/>
        </w:rPr>
        <w:t>uma política abrangente de gestão sustentável da água para uma indústria</w:t>
      </w:r>
      <w:r>
        <w:t xml:space="preserve"> que se baseie na redução, reutilização e reciclagem da água, na diminuição da poluição das águas e que preveja a introdução gradual e a utilização de tecnologias eficientes em termos hídricos, garantindo simultaneamente uma transição justa que </w:t>
      </w:r>
      <w:r>
        <w:rPr>
          <w:b/>
        </w:rPr>
        <w:t>salvaguarde a competitividade industrial</w:t>
      </w:r>
      <w:r>
        <w:t>;</w:t>
      </w:r>
    </w:p>
    <w:p w:rsidRPr="00C26C81" w:rsidR="00C26C81" w:rsidP="00DC0FAE" w:rsidRDefault="00C26C81" w14:paraId="42BF90D7" w14:textId="77777777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200" w:line="276" w:lineRule="auto"/>
        <w:ind w:left="284" w:hanging="284"/>
        <w:contextualSpacing/>
        <w:textAlignment w:val="baseline"/>
        <w:rPr>
          <w:bCs/>
          <w:iCs/>
        </w:rPr>
      </w:pPr>
      <w:r>
        <w:t xml:space="preserve">destaca a necessidade de desenvolver um </w:t>
      </w:r>
      <w:r>
        <w:rPr>
          <w:b/>
        </w:rPr>
        <w:t>ecossistema europeu de gestão de dados sobre a água</w:t>
      </w:r>
      <w:r>
        <w:t>, medir o consumo de água ao longo dos processos de produção e minimizar a utilização de água potável para fins industriais;</w:t>
      </w:r>
    </w:p>
    <w:p w:rsidRPr="00C26C81" w:rsidR="00C26C81" w:rsidP="00DC0FAE" w:rsidRDefault="00C26C81" w14:paraId="4A2463D1" w14:textId="77777777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200" w:line="276" w:lineRule="auto"/>
        <w:ind w:left="284" w:hanging="284"/>
        <w:contextualSpacing/>
        <w:textAlignment w:val="baseline"/>
        <w:rPr>
          <w:bCs/>
          <w:iCs/>
        </w:rPr>
      </w:pPr>
      <w:r>
        <w:t xml:space="preserve">sublinha a necessidade de </w:t>
      </w:r>
      <w:r>
        <w:rPr>
          <w:b/>
        </w:rPr>
        <w:t>garantir o acesso à água para os setores mais críticos em situações de crise</w:t>
      </w:r>
      <w:r>
        <w:t>;</w:t>
      </w:r>
    </w:p>
    <w:p w:rsidRPr="00C26C81" w:rsidR="00C26C81" w:rsidP="00DC0FAE" w:rsidRDefault="00C26C81" w14:paraId="71162F5A" w14:textId="77777777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200" w:line="276" w:lineRule="auto"/>
        <w:ind w:left="284" w:hanging="284"/>
        <w:contextualSpacing/>
        <w:textAlignment w:val="baseline"/>
        <w:rPr>
          <w:bCs/>
          <w:iCs/>
        </w:rPr>
      </w:pPr>
      <w:r>
        <w:t xml:space="preserve">apela para uma </w:t>
      </w:r>
      <w:r>
        <w:rPr>
          <w:b/>
        </w:rPr>
        <w:t>via de transição para desenvolver o setor das tecnologias limpas e eficientes na utilização da água</w:t>
      </w:r>
      <w:r>
        <w:t>, incluindo um roteiro para a dimensão humana, a fim de assegurar a disponibilidade das competências necessárias, empregos de qualidade e condições de trabalho dignas;</w:t>
      </w:r>
    </w:p>
    <w:p w:rsidRPr="00C26C81" w:rsidR="00C26C81" w:rsidP="00DC0FAE" w:rsidRDefault="00C26C81" w14:paraId="7B237525" w14:textId="77777777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200" w:line="276" w:lineRule="auto"/>
        <w:ind w:left="284" w:hanging="284"/>
        <w:contextualSpacing/>
        <w:textAlignment w:val="baseline"/>
        <w:rPr>
          <w:bCs/>
          <w:iCs/>
        </w:rPr>
      </w:pPr>
      <w:r>
        <w:t xml:space="preserve">propõe medidas para a </w:t>
      </w:r>
      <w:r>
        <w:rPr>
          <w:b/>
        </w:rPr>
        <w:t>execução do fundo de transição no âmbito do Pacto Azul Europeu</w:t>
      </w:r>
      <w:r>
        <w:t xml:space="preserve"> no domínio industrial;</w:t>
      </w:r>
    </w:p>
    <w:p w:rsidRPr="00C26C81" w:rsidR="00C26C81" w:rsidP="00DC0FAE" w:rsidRDefault="00C26C81" w14:paraId="1A520A8C" w14:textId="77777777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40" w:line="276" w:lineRule="auto"/>
        <w:ind w:left="284" w:hanging="284"/>
        <w:contextualSpacing/>
        <w:textAlignment w:val="baseline"/>
        <w:rPr>
          <w:bCs/>
          <w:iCs/>
        </w:rPr>
      </w:pPr>
      <w:r>
        <w:t xml:space="preserve">apoia a criação da </w:t>
      </w:r>
      <w:r>
        <w:rPr>
          <w:b/>
        </w:rPr>
        <w:t>Comunidade de Conhecimento e Inovação (CCI) Água</w:t>
      </w:r>
      <w:r>
        <w:t xml:space="preserve"> pelo Instituto Europeu de Inovação e Tecnologia (EIT).</w:t>
      </w:r>
    </w:p>
    <w:p w:rsidRPr="00C26C81" w:rsidR="00C26C81" w:rsidP="00C26C81" w:rsidRDefault="00C26C81" w14:paraId="586B6B4F" w14:textId="6B11469E">
      <w:pPr>
        <w:spacing w:after="40" w:line="276" w:lineRule="auto"/>
        <w:ind w:left="1276"/>
        <w:contextualSpacing/>
        <w:rPr>
          <w:bCs/>
          <w:iCs/>
          <w:lang w:eastAsia="zh-CN"/>
        </w:rPr>
      </w:pPr>
    </w:p>
    <w:tbl>
      <w:tblPr>
        <w:tblStyle w:val="TableGrid223"/>
        <w:tblW w:w="351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01"/>
        <w:gridCol w:w="4430"/>
      </w:tblGrid>
      <w:tr w:rsidRPr="003C2FB3" w:rsidR="004F1302" w:rsidTr="0066006A" w14:paraId="598DD9AC" w14:textId="77777777">
        <w:tc>
          <w:tcPr>
            <w:tcW w:w="1556" w:type="pct"/>
          </w:tcPr>
          <w:p w:rsidRPr="003C2FB3" w:rsidR="004F1302" w:rsidP="0066006A" w:rsidRDefault="004F1302" w14:paraId="15B56178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b/>
                <w:i/>
              </w:rPr>
              <w:t>Contacto</w:t>
            </w:r>
          </w:p>
        </w:tc>
        <w:tc>
          <w:tcPr>
            <w:tcW w:w="3444" w:type="pct"/>
          </w:tcPr>
          <w:p w:rsidRPr="0066006A" w:rsidR="004F1302" w:rsidP="0066006A" w:rsidRDefault="004F1302" w14:paraId="6A690265" w14:textId="1C17A6F4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Heli Niemelä-Farrer</w:t>
            </w:r>
          </w:p>
        </w:tc>
      </w:tr>
      <w:tr w:rsidRPr="003C2FB3" w:rsidR="004F1302" w:rsidTr="0066006A" w14:paraId="2972FB5B" w14:textId="77777777">
        <w:tc>
          <w:tcPr>
            <w:tcW w:w="1556" w:type="pct"/>
          </w:tcPr>
          <w:p w:rsidRPr="003C2FB3" w:rsidR="004F1302" w:rsidP="0066006A" w:rsidRDefault="004F1302" w14:paraId="31E4746D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Tel.</w:t>
            </w:r>
          </w:p>
        </w:tc>
        <w:tc>
          <w:tcPr>
            <w:tcW w:w="3444" w:type="pct"/>
          </w:tcPr>
          <w:p w:rsidRPr="003C2FB3" w:rsidR="004F1302" w:rsidP="0066006A" w:rsidRDefault="004F1302" w14:paraId="24534461" w14:textId="0D1989E1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+32 2 282 24 64</w:t>
            </w:r>
          </w:p>
        </w:tc>
      </w:tr>
      <w:tr w:rsidRPr="003C2FB3" w:rsidR="004F1302" w:rsidTr="0066006A" w14:paraId="40A463F8" w14:textId="77777777">
        <w:tc>
          <w:tcPr>
            <w:tcW w:w="1556" w:type="pct"/>
          </w:tcPr>
          <w:p w:rsidRPr="003C2FB3" w:rsidR="004F1302" w:rsidP="0066006A" w:rsidRDefault="004F1302" w14:paraId="3B219BCA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Endereço eletrónico</w:t>
            </w:r>
          </w:p>
        </w:tc>
        <w:tc>
          <w:tcPr>
            <w:tcW w:w="3444" w:type="pct"/>
          </w:tcPr>
          <w:p w:rsidR="004F1302" w:rsidP="0066006A" w:rsidRDefault="003C4B9D" w14:paraId="0FED9690" w14:textId="7A8281D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color w:val="0000FF"/>
                <w:u w:val="single"/>
              </w:rPr>
            </w:pPr>
            <w:hyperlink w:history="1" r:id="rId45">
              <w:r w:rsidR="004F1302">
                <w:rPr>
                  <w:rStyle w:val="Hyperlink"/>
                </w:rPr>
                <w:t>Heli.Niemela-Farrer</w:t>
              </w:r>
              <w:r w:rsidR="004F1302">
                <w:rPr>
                  <w:rStyle w:val="Hyperlink"/>
                  <w:i/>
                </w:rPr>
                <w:t>@eesc.europa.eu</w:t>
              </w:r>
            </w:hyperlink>
          </w:p>
          <w:p w:rsidRPr="003C2FB3" w:rsidR="004F1302" w:rsidP="0066006A" w:rsidRDefault="004F1302" w14:paraId="13626409" w14:textId="51178F9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</w:p>
        </w:tc>
      </w:tr>
    </w:tbl>
    <w:p w:rsidRPr="006C7863" w:rsidR="0092772D" w:rsidP="006C7863" w:rsidRDefault="00556EDF" w14:paraId="7379A588" w14:textId="3EDEF816">
      <w:pPr>
        <w:overflowPunct w:val="0"/>
        <w:autoSpaceDE w:val="0"/>
        <w:autoSpaceDN w:val="0"/>
        <w:adjustRightInd w:val="0"/>
        <w:jc w:val="center"/>
        <w:textAlignment w:val="baseline"/>
      </w:pPr>
      <w:r>
        <w:t>_____________</w:t>
      </w:r>
    </w:p>
    <w:sectPr w:rsidRPr="006C7863" w:rsidR="0092772D" w:rsidSect="00386C01">
      <w:headerReference w:type="even" r:id="rId46"/>
      <w:headerReference w:type="default" r:id="rId47"/>
      <w:footerReference w:type="even" r:id="rId48"/>
      <w:footerReference w:type="default" r:id="rId49"/>
      <w:headerReference w:type="first" r:id="rId50"/>
      <w:footerReference w:type="first" r:id="rId51"/>
      <w:pgSz w:w="11907" w:h="16839" w:code="9"/>
      <w:pgMar w:top="1418" w:right="1418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20479" w14:textId="77777777" w:rsidR="002578F2" w:rsidRDefault="002578F2" w:rsidP="003B0516">
      <w:pPr>
        <w:spacing w:line="240" w:lineRule="auto"/>
      </w:pPr>
      <w:r>
        <w:separator/>
      </w:r>
    </w:p>
  </w:endnote>
  <w:endnote w:type="continuationSeparator" w:id="0">
    <w:p w14:paraId="18869CFE" w14:textId="77777777" w:rsidR="002578F2" w:rsidRDefault="002578F2" w:rsidP="003B05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66391" w14:textId="77777777" w:rsidR="00631992" w:rsidRDefault="00631992" w:rsidP="005C28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89D38" w14:textId="0DCC470F" w:rsidR="00765C4F" w:rsidRPr="005C28F2" w:rsidRDefault="005C28F2" w:rsidP="005C28F2">
    <w:pPr>
      <w:pStyle w:val="Footer"/>
    </w:pPr>
    <w:r>
      <w:t xml:space="preserve">EESC-2024-01704-00-00-TCD-TRA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DC0FAE">
      <w:t>1</w:t>
    </w:r>
    <w:r>
      <w:fldChar w:fldCharType="end"/>
    </w:r>
    <w:r>
      <w:t>/</w:t>
    </w:r>
    <w:fldSimple w:instr=" NUMPAGES ">
      <w:r w:rsidR="00DC0FAE"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F63DF" w14:textId="77777777" w:rsidR="00631992" w:rsidRDefault="00631992" w:rsidP="005C28F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08855" w14:textId="77777777" w:rsidR="00E4258F" w:rsidRPr="00386C01" w:rsidRDefault="00E4258F" w:rsidP="005C28F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2C8A9" w14:textId="6DACB8BF" w:rsidR="00E4258F" w:rsidRPr="005C28F2" w:rsidRDefault="005C28F2" w:rsidP="005C28F2">
    <w:pPr>
      <w:pStyle w:val="Footer"/>
    </w:pPr>
    <w:r>
      <w:t xml:space="preserve">EESC-2024-01704-00-00-TCD-TRA (EN) </w:t>
    </w: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  <w:r>
      <w:t>/</w:t>
    </w:r>
    <w:fldSimple w:instr=" NUMPAGES ">
      <w:r>
        <w:t>1</w:t>
      </w:r>
    </w:fldSimple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47D43" w14:textId="77777777" w:rsidR="00E4258F" w:rsidRPr="00386C01" w:rsidRDefault="00E4258F" w:rsidP="005C28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86F73" w14:textId="77777777" w:rsidR="002578F2" w:rsidRDefault="002578F2" w:rsidP="003B0516">
      <w:pPr>
        <w:spacing w:line="240" w:lineRule="auto"/>
      </w:pPr>
      <w:r>
        <w:separator/>
      </w:r>
    </w:p>
  </w:footnote>
  <w:footnote w:type="continuationSeparator" w:id="0">
    <w:p w14:paraId="5065BE47" w14:textId="77777777" w:rsidR="002578F2" w:rsidRDefault="002578F2" w:rsidP="003B05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475E2" w14:textId="77777777" w:rsidR="00631992" w:rsidRDefault="006319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55AEF" w14:textId="77777777" w:rsidR="00631992" w:rsidRDefault="006319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17C3B" w14:textId="77777777" w:rsidR="00631992" w:rsidRDefault="0063199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098DD" w14:textId="77777777" w:rsidR="00E4258F" w:rsidRPr="00386C01" w:rsidRDefault="00E4258F" w:rsidP="00386C0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A0FFF" w14:textId="6655C03D" w:rsidR="00E4258F" w:rsidRPr="00386C01" w:rsidRDefault="00E4258F" w:rsidP="00386C01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6BED8" w14:textId="77777777" w:rsidR="00E4258F" w:rsidRPr="00386C01" w:rsidRDefault="00E4258F" w:rsidP="00386C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B22EB68"/>
    <w:lvl w:ilvl="0">
      <w:numFmt w:val="decimal"/>
      <w:lvlText w:val="*"/>
      <w:lvlJc w:val="left"/>
    </w:lvl>
  </w:abstractNum>
  <w:abstractNum w:abstractNumId="1" w15:restartNumberingAfterBreak="0">
    <w:nsid w:val="033E08C8"/>
    <w:multiLevelType w:val="hybridMultilevel"/>
    <w:tmpl w:val="46905308"/>
    <w:lvl w:ilvl="0" w:tplc="F6166D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FA3C71"/>
    <w:multiLevelType w:val="hybridMultilevel"/>
    <w:tmpl w:val="43A0CD4E"/>
    <w:lvl w:ilvl="0" w:tplc="D4708380">
      <w:start w:val="1"/>
      <w:numFmt w:val="decimal"/>
      <w:pStyle w:val="Heading1"/>
      <w:lvlText w:val="%1."/>
      <w:lvlJc w:val="left"/>
      <w:pPr>
        <w:ind w:left="64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20295"/>
    <w:multiLevelType w:val="hybridMultilevel"/>
    <w:tmpl w:val="67767474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F3FE3"/>
    <w:multiLevelType w:val="hybridMultilevel"/>
    <w:tmpl w:val="39DE4EAE"/>
    <w:lvl w:ilvl="0" w:tplc="F6166D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057B6B6A"/>
    <w:multiLevelType w:val="hybridMultilevel"/>
    <w:tmpl w:val="05EC7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03388C"/>
    <w:multiLevelType w:val="hybridMultilevel"/>
    <w:tmpl w:val="274AB46A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29479D"/>
    <w:multiLevelType w:val="hybridMultilevel"/>
    <w:tmpl w:val="6F22EAF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E32A4"/>
    <w:multiLevelType w:val="hybridMultilevel"/>
    <w:tmpl w:val="D138115E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94545"/>
    <w:multiLevelType w:val="hybridMultilevel"/>
    <w:tmpl w:val="543AAAC6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45D08"/>
    <w:multiLevelType w:val="hybridMultilevel"/>
    <w:tmpl w:val="819CD394"/>
    <w:lvl w:ilvl="0" w:tplc="85C8C0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20584"/>
    <w:multiLevelType w:val="hybridMultilevel"/>
    <w:tmpl w:val="960CE05C"/>
    <w:lvl w:ilvl="0" w:tplc="F6166D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2A63C20"/>
    <w:multiLevelType w:val="hybridMultilevel"/>
    <w:tmpl w:val="EA508A0C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E5443"/>
    <w:multiLevelType w:val="hybridMultilevel"/>
    <w:tmpl w:val="CAB65DF6"/>
    <w:lvl w:ilvl="0" w:tplc="F6166D28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4" w15:restartNumberingAfterBreak="0">
    <w:nsid w:val="403C7B2A"/>
    <w:multiLevelType w:val="hybridMultilevel"/>
    <w:tmpl w:val="3264802E"/>
    <w:lvl w:ilvl="0" w:tplc="00E836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C43CC1"/>
    <w:multiLevelType w:val="hybridMultilevel"/>
    <w:tmpl w:val="0F629792"/>
    <w:lvl w:ilvl="0" w:tplc="F6166D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A57F35"/>
    <w:multiLevelType w:val="hybridMultilevel"/>
    <w:tmpl w:val="E5E40D66"/>
    <w:lvl w:ilvl="0" w:tplc="F6166D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3F84B37"/>
    <w:multiLevelType w:val="hybridMultilevel"/>
    <w:tmpl w:val="80920516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A23ACC"/>
    <w:multiLevelType w:val="hybridMultilevel"/>
    <w:tmpl w:val="E2624734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DA6B31"/>
    <w:multiLevelType w:val="hybridMultilevel"/>
    <w:tmpl w:val="028E43B8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8E1C33"/>
    <w:multiLevelType w:val="hybridMultilevel"/>
    <w:tmpl w:val="FA6CB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7022B7"/>
    <w:multiLevelType w:val="hybridMultilevel"/>
    <w:tmpl w:val="10084976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416698"/>
    <w:multiLevelType w:val="hybridMultilevel"/>
    <w:tmpl w:val="B268C39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933F59"/>
    <w:multiLevelType w:val="hybridMultilevel"/>
    <w:tmpl w:val="C854D330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F652F1"/>
    <w:multiLevelType w:val="hybridMultilevel"/>
    <w:tmpl w:val="6722E5EA"/>
    <w:lvl w:ilvl="0" w:tplc="F6166D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9336FE"/>
    <w:multiLevelType w:val="hybridMultilevel"/>
    <w:tmpl w:val="50B4875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C03F41"/>
    <w:multiLevelType w:val="hybridMultilevel"/>
    <w:tmpl w:val="069C00DC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2"/>
  </w:num>
  <w:num w:numId="4">
    <w:abstractNumId w:val="22"/>
  </w:num>
  <w:num w:numId="5">
    <w:abstractNumId w:val="7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color w:val="auto"/>
        </w:rPr>
      </w:lvl>
    </w:lvlOverride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color w:val="auto"/>
          <w:sz w:val="28"/>
          <w:szCs w:val="28"/>
        </w:rPr>
      </w:lvl>
    </w:lvlOverride>
  </w:num>
  <w:num w:numId="8">
    <w:abstractNumId w:val="21"/>
  </w:num>
  <w:num w:numId="9">
    <w:abstractNumId w:val="26"/>
  </w:num>
  <w:num w:numId="10">
    <w:abstractNumId w:val="25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424" w:hanging="283"/>
        </w:pPr>
        <w:rPr>
          <w:rFonts w:ascii="Symbol" w:hAnsi="Symbol" w:hint="default"/>
          <w:color w:val="auto"/>
        </w:rPr>
      </w:lvl>
    </w:lvlOverride>
  </w:num>
  <w:num w:numId="12">
    <w:abstractNumId w:val="20"/>
  </w:num>
  <w:num w:numId="13">
    <w:abstractNumId w:val="24"/>
  </w:num>
  <w:num w:numId="14">
    <w:abstractNumId w:val="15"/>
  </w:num>
  <w:num w:numId="15">
    <w:abstractNumId w:val="6"/>
  </w:num>
  <w:num w:numId="16">
    <w:abstractNumId w:val="11"/>
  </w:num>
  <w:num w:numId="17">
    <w:abstractNumId w:val="13"/>
  </w:num>
  <w:num w:numId="18">
    <w:abstractNumId w:val="17"/>
  </w:num>
  <w:num w:numId="19">
    <w:abstractNumId w:val="18"/>
  </w:num>
  <w:num w:numId="20">
    <w:abstractNumId w:val="23"/>
  </w:num>
  <w:num w:numId="21">
    <w:abstractNumId w:val="12"/>
  </w:num>
  <w:num w:numId="22">
    <w:abstractNumId w:val="1"/>
  </w:num>
  <w:num w:numId="23">
    <w:abstractNumId w:val="4"/>
  </w:num>
  <w:num w:numId="24">
    <w:abstractNumId w:val="9"/>
  </w:num>
  <w:num w:numId="25">
    <w:abstractNumId w:val="19"/>
  </w:num>
  <w:num w:numId="26">
    <w:abstractNumId w:val="8"/>
  </w:num>
  <w:num w:numId="27">
    <w:abstractNumId w:val="16"/>
  </w:num>
  <w:num w:numId="28">
    <w:abstractNumId w:val="3"/>
  </w:num>
  <w:num w:numId="29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0"/>
  <w:activeWritingStyle w:appName="MSWord" w:lang="en-US" w:vendorID="64" w:dllVersion="6" w:nlCheck="1" w:checkStyle="1"/>
  <w:activeWritingStyle w:appName="MSWord" w:lang="pt-PT" w:vendorID="64" w:dllVersion="6" w:nlCheck="1" w:checkStyle="0"/>
  <w:activeWritingStyle w:appName="MSWord" w:lang="de-DE" w:vendorID="64" w:dllVersion="6" w:nlCheck="1" w:checkStyle="0"/>
  <w:activeWritingStyle w:appName="MSWord" w:lang="nl-BE" w:vendorID="64" w:dllVersion="6" w:nlCheck="1" w:checkStyle="0"/>
  <w:activeWritingStyle w:appName="MSWord" w:lang="it-IT" w:vendorID="64" w:dllVersion="6" w:nlCheck="1" w:checkStyle="0"/>
  <w:activeWritingStyle w:appName="MSWord" w:lang="es-E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pt-PT" w:vendorID="64" w:dllVersion="4096" w:nlCheck="1" w:checkStyle="0"/>
  <w:activeWritingStyle w:appName="MSWord" w:lang="fr-FR" w:vendorID="64" w:dllVersion="4096" w:nlCheck="1" w:checkStyle="0"/>
  <w:activeWritingStyle w:appName="MSWord" w:lang="fr-BE" w:vendorID="64" w:dllVersion="4096" w:nlCheck="1" w:checkStyle="0"/>
  <w:activeWritingStyle w:appName="MSWord" w:lang="es-ES" w:vendorID="64" w:dllVersion="4096" w:nlCheck="1" w:checkStyle="0"/>
  <w:activeWritingStyle w:appName="MSWord" w:lang="it-IT" w:vendorID="64" w:dllVersion="4096" w:nlCheck="1" w:checkStyle="0"/>
  <w:activeWritingStyle w:appName="MSWord" w:lang="fi-FI" w:vendorID="64" w:dllVersion="4096" w:nlCheck="1" w:checkStyle="0"/>
  <w:activeWritingStyle w:appName="MSWord" w:lang="de-AT" w:vendorID="64" w:dllVersion="4096" w:nlCheck="1" w:checkStyle="0"/>
  <w:activeWritingStyle w:appName="MSWord" w:lang="nl-BE" w:vendorID="64" w:dllVersion="4096" w:nlCheck="1" w:checkStyle="0"/>
  <w:activeWritingStyle w:appName="MSWord" w:lang="da-DK" w:vendorID="64" w:dllVersion="4096" w:nlCheck="1" w:checkStyle="0"/>
  <w:activeWritingStyle w:appName="MSWord" w:lang="en-IE" w:vendorID="64" w:dllVersion="4096" w:nlCheck="1" w:checkStyle="0"/>
  <w:activeWritingStyle w:appName="MSWord" w:lang="fr-LU" w:vendorID="64" w:dllVersion="4096" w:nlCheck="1" w:checkStyle="0"/>
  <w:activeWritingStyle w:appName="MSWord" w:lang="en-AU" w:vendorID="64" w:dllVersion="4096" w:nlCheck="1" w:checkStyle="0"/>
  <w:activeWritingStyle w:appName="MSWord" w:lang="nl-NL" w:vendorID="64" w:dllVersion="4096" w:nlCheck="1" w:checkStyle="0"/>
  <w:activeWritingStyle w:appName="MSWord" w:lang="sv-SE" w:vendorID="64" w:dllVersion="4096" w:nlCheck="1" w:checkStyle="0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AC0"/>
    <w:rsid w:val="000011FC"/>
    <w:rsid w:val="00001786"/>
    <w:rsid w:val="00001A64"/>
    <w:rsid w:val="00002061"/>
    <w:rsid w:val="00002240"/>
    <w:rsid w:val="00002A4B"/>
    <w:rsid w:val="000058F8"/>
    <w:rsid w:val="00007729"/>
    <w:rsid w:val="000077FC"/>
    <w:rsid w:val="000104A6"/>
    <w:rsid w:val="00011582"/>
    <w:rsid w:val="00011846"/>
    <w:rsid w:val="00012071"/>
    <w:rsid w:val="000120E1"/>
    <w:rsid w:val="000124A6"/>
    <w:rsid w:val="00013CEE"/>
    <w:rsid w:val="00014132"/>
    <w:rsid w:val="000142E0"/>
    <w:rsid w:val="00014C93"/>
    <w:rsid w:val="00015A43"/>
    <w:rsid w:val="00015E18"/>
    <w:rsid w:val="00016015"/>
    <w:rsid w:val="00017B56"/>
    <w:rsid w:val="00020557"/>
    <w:rsid w:val="0002109C"/>
    <w:rsid w:val="00021CE3"/>
    <w:rsid w:val="000232FA"/>
    <w:rsid w:val="00023B5F"/>
    <w:rsid w:val="00023DE9"/>
    <w:rsid w:val="000243E7"/>
    <w:rsid w:val="0002450A"/>
    <w:rsid w:val="00024601"/>
    <w:rsid w:val="000247C5"/>
    <w:rsid w:val="00024D79"/>
    <w:rsid w:val="00025304"/>
    <w:rsid w:val="00025343"/>
    <w:rsid w:val="000257FE"/>
    <w:rsid w:val="00025CE3"/>
    <w:rsid w:val="0002700A"/>
    <w:rsid w:val="00027072"/>
    <w:rsid w:val="000273E5"/>
    <w:rsid w:val="00027441"/>
    <w:rsid w:val="0003047E"/>
    <w:rsid w:val="00030AA7"/>
    <w:rsid w:val="00030ED3"/>
    <w:rsid w:val="00031589"/>
    <w:rsid w:val="00031F57"/>
    <w:rsid w:val="00032038"/>
    <w:rsid w:val="0003252D"/>
    <w:rsid w:val="0003271A"/>
    <w:rsid w:val="00032BAA"/>
    <w:rsid w:val="00032C0F"/>
    <w:rsid w:val="00032DB1"/>
    <w:rsid w:val="00033456"/>
    <w:rsid w:val="00033478"/>
    <w:rsid w:val="000336F2"/>
    <w:rsid w:val="00033839"/>
    <w:rsid w:val="000349A2"/>
    <w:rsid w:val="00034E35"/>
    <w:rsid w:val="00035924"/>
    <w:rsid w:val="000359CB"/>
    <w:rsid w:val="00036505"/>
    <w:rsid w:val="0003786C"/>
    <w:rsid w:val="00037A85"/>
    <w:rsid w:val="000402AE"/>
    <w:rsid w:val="00040FE1"/>
    <w:rsid w:val="00041C4A"/>
    <w:rsid w:val="0004205F"/>
    <w:rsid w:val="000421E0"/>
    <w:rsid w:val="000422C9"/>
    <w:rsid w:val="00043287"/>
    <w:rsid w:val="00043A3F"/>
    <w:rsid w:val="00046621"/>
    <w:rsid w:val="00046E56"/>
    <w:rsid w:val="00047887"/>
    <w:rsid w:val="00050002"/>
    <w:rsid w:val="000507DF"/>
    <w:rsid w:val="0005110E"/>
    <w:rsid w:val="0005170F"/>
    <w:rsid w:val="00052BF1"/>
    <w:rsid w:val="00052DD1"/>
    <w:rsid w:val="000545A8"/>
    <w:rsid w:val="0005495B"/>
    <w:rsid w:val="00055A19"/>
    <w:rsid w:val="00055CA5"/>
    <w:rsid w:val="00055D63"/>
    <w:rsid w:val="00056079"/>
    <w:rsid w:val="00056B3E"/>
    <w:rsid w:val="00057592"/>
    <w:rsid w:val="00057A51"/>
    <w:rsid w:val="00060F9E"/>
    <w:rsid w:val="000636B3"/>
    <w:rsid w:val="00063DFF"/>
    <w:rsid w:val="00063F30"/>
    <w:rsid w:val="0006421B"/>
    <w:rsid w:val="00064442"/>
    <w:rsid w:val="00064EDE"/>
    <w:rsid w:val="000662D1"/>
    <w:rsid w:val="00066DC7"/>
    <w:rsid w:val="000676C4"/>
    <w:rsid w:val="0007015C"/>
    <w:rsid w:val="00070AAE"/>
    <w:rsid w:val="00070FEE"/>
    <w:rsid w:val="0007146F"/>
    <w:rsid w:val="00071568"/>
    <w:rsid w:val="00071B33"/>
    <w:rsid w:val="00071F4C"/>
    <w:rsid w:val="00072D9B"/>
    <w:rsid w:val="00073491"/>
    <w:rsid w:val="000736D0"/>
    <w:rsid w:val="00073B39"/>
    <w:rsid w:val="0007419A"/>
    <w:rsid w:val="0007457E"/>
    <w:rsid w:val="00075ECB"/>
    <w:rsid w:val="000764E8"/>
    <w:rsid w:val="00076BA9"/>
    <w:rsid w:val="00077FF5"/>
    <w:rsid w:val="0008270C"/>
    <w:rsid w:val="000830F4"/>
    <w:rsid w:val="00083845"/>
    <w:rsid w:val="00085082"/>
    <w:rsid w:val="00086B53"/>
    <w:rsid w:val="00086D43"/>
    <w:rsid w:val="000911BF"/>
    <w:rsid w:val="000917D8"/>
    <w:rsid w:val="00092425"/>
    <w:rsid w:val="000925AF"/>
    <w:rsid w:val="00093F23"/>
    <w:rsid w:val="00094B6B"/>
    <w:rsid w:val="000951A1"/>
    <w:rsid w:val="000956DB"/>
    <w:rsid w:val="00096786"/>
    <w:rsid w:val="00096CDE"/>
    <w:rsid w:val="000970CE"/>
    <w:rsid w:val="00097704"/>
    <w:rsid w:val="0009784F"/>
    <w:rsid w:val="000A007B"/>
    <w:rsid w:val="000A03BD"/>
    <w:rsid w:val="000A0B04"/>
    <w:rsid w:val="000A1218"/>
    <w:rsid w:val="000A1931"/>
    <w:rsid w:val="000A2953"/>
    <w:rsid w:val="000A3603"/>
    <w:rsid w:val="000A4E0B"/>
    <w:rsid w:val="000A558D"/>
    <w:rsid w:val="000A74DC"/>
    <w:rsid w:val="000A7BA8"/>
    <w:rsid w:val="000A7EC1"/>
    <w:rsid w:val="000B01F7"/>
    <w:rsid w:val="000B0B9A"/>
    <w:rsid w:val="000B1628"/>
    <w:rsid w:val="000B19C4"/>
    <w:rsid w:val="000B1AE6"/>
    <w:rsid w:val="000B1C30"/>
    <w:rsid w:val="000B1C78"/>
    <w:rsid w:val="000B25D7"/>
    <w:rsid w:val="000B2AC9"/>
    <w:rsid w:val="000B37D6"/>
    <w:rsid w:val="000B5831"/>
    <w:rsid w:val="000B5E57"/>
    <w:rsid w:val="000B652D"/>
    <w:rsid w:val="000B6A0A"/>
    <w:rsid w:val="000B79E2"/>
    <w:rsid w:val="000B7D8A"/>
    <w:rsid w:val="000C06CE"/>
    <w:rsid w:val="000C0708"/>
    <w:rsid w:val="000C18CA"/>
    <w:rsid w:val="000C2F19"/>
    <w:rsid w:val="000C3942"/>
    <w:rsid w:val="000C3E40"/>
    <w:rsid w:val="000C3E7C"/>
    <w:rsid w:val="000C43E2"/>
    <w:rsid w:val="000C4A91"/>
    <w:rsid w:val="000C4EED"/>
    <w:rsid w:val="000C5E9B"/>
    <w:rsid w:val="000C6D0B"/>
    <w:rsid w:val="000C73A6"/>
    <w:rsid w:val="000D0187"/>
    <w:rsid w:val="000D0A74"/>
    <w:rsid w:val="000D10ED"/>
    <w:rsid w:val="000D14C9"/>
    <w:rsid w:val="000D2F8F"/>
    <w:rsid w:val="000D391B"/>
    <w:rsid w:val="000D40D0"/>
    <w:rsid w:val="000D5A98"/>
    <w:rsid w:val="000D65AC"/>
    <w:rsid w:val="000D7181"/>
    <w:rsid w:val="000D72F5"/>
    <w:rsid w:val="000D754F"/>
    <w:rsid w:val="000D7878"/>
    <w:rsid w:val="000E1079"/>
    <w:rsid w:val="000E14F2"/>
    <w:rsid w:val="000E3485"/>
    <w:rsid w:val="000E37FD"/>
    <w:rsid w:val="000E437C"/>
    <w:rsid w:val="000E447F"/>
    <w:rsid w:val="000E5197"/>
    <w:rsid w:val="000E56EA"/>
    <w:rsid w:val="000E5FFD"/>
    <w:rsid w:val="000E6108"/>
    <w:rsid w:val="000E698E"/>
    <w:rsid w:val="000E75F1"/>
    <w:rsid w:val="000F21B9"/>
    <w:rsid w:val="000F2598"/>
    <w:rsid w:val="000F2BDB"/>
    <w:rsid w:val="000F2E5A"/>
    <w:rsid w:val="000F4139"/>
    <w:rsid w:val="000F442A"/>
    <w:rsid w:val="000F4825"/>
    <w:rsid w:val="000F53B7"/>
    <w:rsid w:val="000F679A"/>
    <w:rsid w:val="000F6FCF"/>
    <w:rsid w:val="000F791D"/>
    <w:rsid w:val="001000A8"/>
    <w:rsid w:val="00100FAC"/>
    <w:rsid w:val="0010109E"/>
    <w:rsid w:val="001016BE"/>
    <w:rsid w:val="00101D87"/>
    <w:rsid w:val="001023AA"/>
    <w:rsid w:val="00102A8A"/>
    <w:rsid w:val="00104302"/>
    <w:rsid w:val="0010484C"/>
    <w:rsid w:val="00104B7A"/>
    <w:rsid w:val="001052A1"/>
    <w:rsid w:val="0010535A"/>
    <w:rsid w:val="00105700"/>
    <w:rsid w:val="00105758"/>
    <w:rsid w:val="00105EF9"/>
    <w:rsid w:val="00106358"/>
    <w:rsid w:val="00110085"/>
    <w:rsid w:val="001106FB"/>
    <w:rsid w:val="00111187"/>
    <w:rsid w:val="00111BD8"/>
    <w:rsid w:val="00113B00"/>
    <w:rsid w:val="001140AE"/>
    <w:rsid w:val="00115CB3"/>
    <w:rsid w:val="00115CD7"/>
    <w:rsid w:val="00115FCA"/>
    <w:rsid w:val="001167A1"/>
    <w:rsid w:val="001168D6"/>
    <w:rsid w:val="00116A1C"/>
    <w:rsid w:val="001179DB"/>
    <w:rsid w:val="00117AA8"/>
    <w:rsid w:val="00120215"/>
    <w:rsid w:val="00120BA5"/>
    <w:rsid w:val="00121BCE"/>
    <w:rsid w:val="00123FF3"/>
    <w:rsid w:val="00124D7C"/>
    <w:rsid w:val="00124D9E"/>
    <w:rsid w:val="0012548F"/>
    <w:rsid w:val="001264CB"/>
    <w:rsid w:val="00126BB5"/>
    <w:rsid w:val="00126D3E"/>
    <w:rsid w:val="00126D40"/>
    <w:rsid w:val="001271C3"/>
    <w:rsid w:val="001275C6"/>
    <w:rsid w:val="0013052F"/>
    <w:rsid w:val="00132B56"/>
    <w:rsid w:val="001332A2"/>
    <w:rsid w:val="00133C08"/>
    <w:rsid w:val="001348CC"/>
    <w:rsid w:val="00135610"/>
    <w:rsid w:val="00135769"/>
    <w:rsid w:val="00137686"/>
    <w:rsid w:val="00137BCC"/>
    <w:rsid w:val="001400C7"/>
    <w:rsid w:val="0014322B"/>
    <w:rsid w:val="001435E4"/>
    <w:rsid w:val="001445A7"/>
    <w:rsid w:val="001455A1"/>
    <w:rsid w:val="0014589C"/>
    <w:rsid w:val="00145DCD"/>
    <w:rsid w:val="00147108"/>
    <w:rsid w:val="00147442"/>
    <w:rsid w:val="00150AD8"/>
    <w:rsid w:val="00150B75"/>
    <w:rsid w:val="00150E51"/>
    <w:rsid w:val="001513FD"/>
    <w:rsid w:val="00151EDB"/>
    <w:rsid w:val="0015211E"/>
    <w:rsid w:val="00153032"/>
    <w:rsid w:val="00153F0C"/>
    <w:rsid w:val="00153FB4"/>
    <w:rsid w:val="001543FE"/>
    <w:rsid w:val="00154EC7"/>
    <w:rsid w:val="00155B53"/>
    <w:rsid w:val="001563F6"/>
    <w:rsid w:val="00157F0F"/>
    <w:rsid w:val="001606AD"/>
    <w:rsid w:val="00163106"/>
    <w:rsid w:val="00164813"/>
    <w:rsid w:val="0016534C"/>
    <w:rsid w:val="00165EA2"/>
    <w:rsid w:val="00172541"/>
    <w:rsid w:val="0017287C"/>
    <w:rsid w:val="00173E94"/>
    <w:rsid w:val="00174253"/>
    <w:rsid w:val="001744F9"/>
    <w:rsid w:val="00174763"/>
    <w:rsid w:val="001755E0"/>
    <w:rsid w:val="001756D1"/>
    <w:rsid w:val="00175EC3"/>
    <w:rsid w:val="001760E9"/>
    <w:rsid w:val="00176786"/>
    <w:rsid w:val="001800DA"/>
    <w:rsid w:val="001801FC"/>
    <w:rsid w:val="00180F0B"/>
    <w:rsid w:val="00180F59"/>
    <w:rsid w:val="0018231C"/>
    <w:rsid w:val="00182F92"/>
    <w:rsid w:val="0018432F"/>
    <w:rsid w:val="00184D19"/>
    <w:rsid w:val="001861B4"/>
    <w:rsid w:val="001865D3"/>
    <w:rsid w:val="00186A73"/>
    <w:rsid w:val="00187F8B"/>
    <w:rsid w:val="00190D28"/>
    <w:rsid w:val="00191584"/>
    <w:rsid w:val="00191597"/>
    <w:rsid w:val="00192911"/>
    <w:rsid w:val="00192BCD"/>
    <w:rsid w:val="00193D92"/>
    <w:rsid w:val="00194870"/>
    <w:rsid w:val="001951FD"/>
    <w:rsid w:val="00195380"/>
    <w:rsid w:val="001965D5"/>
    <w:rsid w:val="0019674A"/>
    <w:rsid w:val="00196909"/>
    <w:rsid w:val="0019715D"/>
    <w:rsid w:val="001A0AD4"/>
    <w:rsid w:val="001A1CC5"/>
    <w:rsid w:val="001A2273"/>
    <w:rsid w:val="001A2632"/>
    <w:rsid w:val="001A2ED2"/>
    <w:rsid w:val="001A5EC5"/>
    <w:rsid w:val="001A60BB"/>
    <w:rsid w:val="001A7110"/>
    <w:rsid w:val="001A7476"/>
    <w:rsid w:val="001B10DA"/>
    <w:rsid w:val="001B146A"/>
    <w:rsid w:val="001B612B"/>
    <w:rsid w:val="001B643B"/>
    <w:rsid w:val="001B6460"/>
    <w:rsid w:val="001B79F5"/>
    <w:rsid w:val="001C087D"/>
    <w:rsid w:val="001C08F2"/>
    <w:rsid w:val="001C1786"/>
    <w:rsid w:val="001C226F"/>
    <w:rsid w:val="001C3412"/>
    <w:rsid w:val="001C3C0F"/>
    <w:rsid w:val="001C4219"/>
    <w:rsid w:val="001C4A5D"/>
    <w:rsid w:val="001C4EDC"/>
    <w:rsid w:val="001C4EFA"/>
    <w:rsid w:val="001C5776"/>
    <w:rsid w:val="001C5D5C"/>
    <w:rsid w:val="001C643F"/>
    <w:rsid w:val="001C64EB"/>
    <w:rsid w:val="001C6DC3"/>
    <w:rsid w:val="001C72AB"/>
    <w:rsid w:val="001C7B41"/>
    <w:rsid w:val="001D1F54"/>
    <w:rsid w:val="001D2636"/>
    <w:rsid w:val="001D31CF"/>
    <w:rsid w:val="001D357A"/>
    <w:rsid w:val="001D3D0A"/>
    <w:rsid w:val="001D6EF9"/>
    <w:rsid w:val="001D6FFF"/>
    <w:rsid w:val="001D770D"/>
    <w:rsid w:val="001E0F0C"/>
    <w:rsid w:val="001E1489"/>
    <w:rsid w:val="001E1833"/>
    <w:rsid w:val="001E2286"/>
    <w:rsid w:val="001E347B"/>
    <w:rsid w:val="001E3DFE"/>
    <w:rsid w:val="001E418F"/>
    <w:rsid w:val="001E6413"/>
    <w:rsid w:val="001E6AE6"/>
    <w:rsid w:val="001E6F69"/>
    <w:rsid w:val="001E715B"/>
    <w:rsid w:val="001E71D7"/>
    <w:rsid w:val="001F0687"/>
    <w:rsid w:val="001F1433"/>
    <w:rsid w:val="001F1862"/>
    <w:rsid w:val="001F3E4F"/>
    <w:rsid w:val="001F47B5"/>
    <w:rsid w:val="001F56CE"/>
    <w:rsid w:val="001F5A42"/>
    <w:rsid w:val="001F6FD5"/>
    <w:rsid w:val="001F773D"/>
    <w:rsid w:val="00200222"/>
    <w:rsid w:val="0020062C"/>
    <w:rsid w:val="0020064C"/>
    <w:rsid w:val="00200823"/>
    <w:rsid w:val="00200BE9"/>
    <w:rsid w:val="0020199E"/>
    <w:rsid w:val="00201A37"/>
    <w:rsid w:val="00202D9A"/>
    <w:rsid w:val="002037FC"/>
    <w:rsid w:val="00203B0B"/>
    <w:rsid w:val="00203BF4"/>
    <w:rsid w:val="002040E7"/>
    <w:rsid w:val="002043D7"/>
    <w:rsid w:val="002048F7"/>
    <w:rsid w:val="002049FA"/>
    <w:rsid w:val="00204FE8"/>
    <w:rsid w:val="00205D0D"/>
    <w:rsid w:val="002062DF"/>
    <w:rsid w:val="00206D17"/>
    <w:rsid w:val="00207025"/>
    <w:rsid w:val="00207B3C"/>
    <w:rsid w:val="00210F85"/>
    <w:rsid w:val="002119AD"/>
    <w:rsid w:val="00214437"/>
    <w:rsid w:val="00215520"/>
    <w:rsid w:val="0021590B"/>
    <w:rsid w:val="00215FAB"/>
    <w:rsid w:val="00217695"/>
    <w:rsid w:val="002205F3"/>
    <w:rsid w:val="00221313"/>
    <w:rsid w:val="002213A3"/>
    <w:rsid w:val="002216CC"/>
    <w:rsid w:val="00221854"/>
    <w:rsid w:val="00223179"/>
    <w:rsid w:val="00224583"/>
    <w:rsid w:val="002247DC"/>
    <w:rsid w:val="00224E52"/>
    <w:rsid w:val="00224F73"/>
    <w:rsid w:val="0022582C"/>
    <w:rsid w:val="00225BCA"/>
    <w:rsid w:val="00225C52"/>
    <w:rsid w:val="002264B1"/>
    <w:rsid w:val="002268A5"/>
    <w:rsid w:val="00226A74"/>
    <w:rsid w:val="00226DC1"/>
    <w:rsid w:val="002274AE"/>
    <w:rsid w:val="0022774F"/>
    <w:rsid w:val="00227E12"/>
    <w:rsid w:val="00230910"/>
    <w:rsid w:val="00231571"/>
    <w:rsid w:val="00232374"/>
    <w:rsid w:val="002326F4"/>
    <w:rsid w:val="00232868"/>
    <w:rsid w:val="002328D2"/>
    <w:rsid w:val="0023415A"/>
    <w:rsid w:val="00234EA0"/>
    <w:rsid w:val="00235B94"/>
    <w:rsid w:val="00237481"/>
    <w:rsid w:val="00240C09"/>
    <w:rsid w:val="00240D4D"/>
    <w:rsid w:val="002419CA"/>
    <w:rsid w:val="00241C29"/>
    <w:rsid w:val="00242666"/>
    <w:rsid w:val="00242952"/>
    <w:rsid w:val="0024324E"/>
    <w:rsid w:val="00243BC0"/>
    <w:rsid w:val="0024479A"/>
    <w:rsid w:val="00245136"/>
    <w:rsid w:val="002457A2"/>
    <w:rsid w:val="00245A60"/>
    <w:rsid w:val="00245CD4"/>
    <w:rsid w:val="00246F51"/>
    <w:rsid w:val="002479AC"/>
    <w:rsid w:val="00247E02"/>
    <w:rsid w:val="00251418"/>
    <w:rsid w:val="002525C2"/>
    <w:rsid w:val="002525F9"/>
    <w:rsid w:val="002527F0"/>
    <w:rsid w:val="00252D9C"/>
    <w:rsid w:val="00252DA5"/>
    <w:rsid w:val="00254776"/>
    <w:rsid w:val="00255669"/>
    <w:rsid w:val="0025617D"/>
    <w:rsid w:val="00256BEC"/>
    <w:rsid w:val="00256F0A"/>
    <w:rsid w:val="002571FC"/>
    <w:rsid w:val="002578F2"/>
    <w:rsid w:val="00260129"/>
    <w:rsid w:val="00260907"/>
    <w:rsid w:val="00260B0A"/>
    <w:rsid w:val="00261903"/>
    <w:rsid w:val="00261EA6"/>
    <w:rsid w:val="00261FDB"/>
    <w:rsid w:val="002634CF"/>
    <w:rsid w:val="002635C7"/>
    <w:rsid w:val="00263616"/>
    <w:rsid w:val="00267ABD"/>
    <w:rsid w:val="002706AD"/>
    <w:rsid w:val="00270828"/>
    <w:rsid w:val="00270AEC"/>
    <w:rsid w:val="002713AA"/>
    <w:rsid w:val="002713F4"/>
    <w:rsid w:val="002725D3"/>
    <w:rsid w:val="002736DF"/>
    <w:rsid w:val="002737D4"/>
    <w:rsid w:val="00274160"/>
    <w:rsid w:val="00274765"/>
    <w:rsid w:val="00274C1C"/>
    <w:rsid w:val="00274DCF"/>
    <w:rsid w:val="00275718"/>
    <w:rsid w:val="00275A32"/>
    <w:rsid w:val="002761B2"/>
    <w:rsid w:val="0027698E"/>
    <w:rsid w:val="00276CC9"/>
    <w:rsid w:val="002776B9"/>
    <w:rsid w:val="00277FEC"/>
    <w:rsid w:val="0028000C"/>
    <w:rsid w:val="00280603"/>
    <w:rsid w:val="00280A90"/>
    <w:rsid w:val="0028403D"/>
    <w:rsid w:val="002852F7"/>
    <w:rsid w:val="002859C4"/>
    <w:rsid w:val="00285E58"/>
    <w:rsid w:val="002879B4"/>
    <w:rsid w:val="00287B4A"/>
    <w:rsid w:val="002908E2"/>
    <w:rsid w:val="00291154"/>
    <w:rsid w:val="0029132C"/>
    <w:rsid w:val="00292D44"/>
    <w:rsid w:val="00293765"/>
    <w:rsid w:val="0029379B"/>
    <w:rsid w:val="00293E9C"/>
    <w:rsid w:val="0029442A"/>
    <w:rsid w:val="00295B31"/>
    <w:rsid w:val="00295B97"/>
    <w:rsid w:val="002962DA"/>
    <w:rsid w:val="0029725F"/>
    <w:rsid w:val="00297B9F"/>
    <w:rsid w:val="002A0BCA"/>
    <w:rsid w:val="002A1827"/>
    <w:rsid w:val="002A2F38"/>
    <w:rsid w:val="002A3076"/>
    <w:rsid w:val="002A417C"/>
    <w:rsid w:val="002A417D"/>
    <w:rsid w:val="002A48B1"/>
    <w:rsid w:val="002A48BC"/>
    <w:rsid w:val="002A6192"/>
    <w:rsid w:val="002A696A"/>
    <w:rsid w:val="002A7009"/>
    <w:rsid w:val="002B0317"/>
    <w:rsid w:val="002B09A7"/>
    <w:rsid w:val="002B15F3"/>
    <w:rsid w:val="002B1961"/>
    <w:rsid w:val="002B2BA3"/>
    <w:rsid w:val="002B4E93"/>
    <w:rsid w:val="002B5031"/>
    <w:rsid w:val="002B5510"/>
    <w:rsid w:val="002B6D6C"/>
    <w:rsid w:val="002B75A5"/>
    <w:rsid w:val="002B7841"/>
    <w:rsid w:val="002B7981"/>
    <w:rsid w:val="002B7C5C"/>
    <w:rsid w:val="002B7F3A"/>
    <w:rsid w:val="002C016E"/>
    <w:rsid w:val="002C07E4"/>
    <w:rsid w:val="002C08B8"/>
    <w:rsid w:val="002C0E2F"/>
    <w:rsid w:val="002C2466"/>
    <w:rsid w:val="002C24B9"/>
    <w:rsid w:val="002C2B80"/>
    <w:rsid w:val="002C4B6E"/>
    <w:rsid w:val="002C5F52"/>
    <w:rsid w:val="002C704D"/>
    <w:rsid w:val="002D03B9"/>
    <w:rsid w:val="002D10D5"/>
    <w:rsid w:val="002D1175"/>
    <w:rsid w:val="002D3D63"/>
    <w:rsid w:val="002D3FFF"/>
    <w:rsid w:val="002D4382"/>
    <w:rsid w:val="002D4A78"/>
    <w:rsid w:val="002D4C38"/>
    <w:rsid w:val="002D4C63"/>
    <w:rsid w:val="002D4D5D"/>
    <w:rsid w:val="002D5381"/>
    <w:rsid w:val="002D5A51"/>
    <w:rsid w:val="002D691D"/>
    <w:rsid w:val="002D6C8A"/>
    <w:rsid w:val="002E01B5"/>
    <w:rsid w:val="002E211F"/>
    <w:rsid w:val="002E29B4"/>
    <w:rsid w:val="002E44D6"/>
    <w:rsid w:val="002E459D"/>
    <w:rsid w:val="002E5473"/>
    <w:rsid w:val="002E615C"/>
    <w:rsid w:val="002E62B0"/>
    <w:rsid w:val="002E7F30"/>
    <w:rsid w:val="002F0853"/>
    <w:rsid w:val="002F0F3E"/>
    <w:rsid w:val="002F31FD"/>
    <w:rsid w:val="002F32E6"/>
    <w:rsid w:val="002F4AF0"/>
    <w:rsid w:val="002F5750"/>
    <w:rsid w:val="002F57AC"/>
    <w:rsid w:val="002F57E9"/>
    <w:rsid w:val="002F5819"/>
    <w:rsid w:val="002F5EE1"/>
    <w:rsid w:val="002F63EB"/>
    <w:rsid w:val="002F6997"/>
    <w:rsid w:val="002F6E84"/>
    <w:rsid w:val="002F6FA0"/>
    <w:rsid w:val="00300ABA"/>
    <w:rsid w:val="0030158A"/>
    <w:rsid w:val="00302E45"/>
    <w:rsid w:val="003036D0"/>
    <w:rsid w:val="00304E20"/>
    <w:rsid w:val="00305834"/>
    <w:rsid w:val="00306A12"/>
    <w:rsid w:val="00311562"/>
    <w:rsid w:val="003123CB"/>
    <w:rsid w:val="003131BA"/>
    <w:rsid w:val="00313D86"/>
    <w:rsid w:val="003165A9"/>
    <w:rsid w:val="0031681F"/>
    <w:rsid w:val="00316B72"/>
    <w:rsid w:val="00320F33"/>
    <w:rsid w:val="0032128B"/>
    <w:rsid w:val="00321539"/>
    <w:rsid w:val="0032154F"/>
    <w:rsid w:val="0032266E"/>
    <w:rsid w:val="003227CC"/>
    <w:rsid w:val="0032340F"/>
    <w:rsid w:val="0032356C"/>
    <w:rsid w:val="00323A05"/>
    <w:rsid w:val="00323D28"/>
    <w:rsid w:val="00325509"/>
    <w:rsid w:val="00325F6C"/>
    <w:rsid w:val="003262D8"/>
    <w:rsid w:val="00326919"/>
    <w:rsid w:val="00326F5F"/>
    <w:rsid w:val="00327162"/>
    <w:rsid w:val="0033098C"/>
    <w:rsid w:val="0033099B"/>
    <w:rsid w:val="00330A97"/>
    <w:rsid w:val="00331ACB"/>
    <w:rsid w:val="00331C12"/>
    <w:rsid w:val="00331F0C"/>
    <w:rsid w:val="00331F6F"/>
    <w:rsid w:val="00332490"/>
    <w:rsid w:val="00333BE7"/>
    <w:rsid w:val="00333F1A"/>
    <w:rsid w:val="00334052"/>
    <w:rsid w:val="00335DF3"/>
    <w:rsid w:val="00336A36"/>
    <w:rsid w:val="00337140"/>
    <w:rsid w:val="00337D94"/>
    <w:rsid w:val="00337F36"/>
    <w:rsid w:val="00340D07"/>
    <w:rsid w:val="00340F46"/>
    <w:rsid w:val="003429F9"/>
    <w:rsid w:val="00342F72"/>
    <w:rsid w:val="00343E1E"/>
    <w:rsid w:val="003447C3"/>
    <w:rsid w:val="00344B13"/>
    <w:rsid w:val="00344BCF"/>
    <w:rsid w:val="00344D4D"/>
    <w:rsid w:val="003465B5"/>
    <w:rsid w:val="00346B57"/>
    <w:rsid w:val="00347160"/>
    <w:rsid w:val="00347F9A"/>
    <w:rsid w:val="003505DD"/>
    <w:rsid w:val="00350A12"/>
    <w:rsid w:val="00350F5C"/>
    <w:rsid w:val="00351248"/>
    <w:rsid w:val="003512EC"/>
    <w:rsid w:val="0035145B"/>
    <w:rsid w:val="00351E31"/>
    <w:rsid w:val="00351F56"/>
    <w:rsid w:val="003527B4"/>
    <w:rsid w:val="003529C2"/>
    <w:rsid w:val="00353184"/>
    <w:rsid w:val="00353D37"/>
    <w:rsid w:val="00354714"/>
    <w:rsid w:val="00356BAD"/>
    <w:rsid w:val="00356CCD"/>
    <w:rsid w:val="003604AE"/>
    <w:rsid w:val="00360C2F"/>
    <w:rsid w:val="00360C81"/>
    <w:rsid w:val="00361E48"/>
    <w:rsid w:val="00361F46"/>
    <w:rsid w:val="00363F5C"/>
    <w:rsid w:val="003641AD"/>
    <w:rsid w:val="003661D3"/>
    <w:rsid w:val="0036641A"/>
    <w:rsid w:val="00370548"/>
    <w:rsid w:val="00370CCB"/>
    <w:rsid w:val="003746E1"/>
    <w:rsid w:val="003748B6"/>
    <w:rsid w:val="00374BB8"/>
    <w:rsid w:val="003754CD"/>
    <w:rsid w:val="00375E65"/>
    <w:rsid w:val="00375F51"/>
    <w:rsid w:val="003761C7"/>
    <w:rsid w:val="00376574"/>
    <w:rsid w:val="00376592"/>
    <w:rsid w:val="00376B0A"/>
    <w:rsid w:val="003770B5"/>
    <w:rsid w:val="0037718B"/>
    <w:rsid w:val="00381901"/>
    <w:rsid w:val="003819C7"/>
    <w:rsid w:val="00381EF4"/>
    <w:rsid w:val="0038273B"/>
    <w:rsid w:val="00382C37"/>
    <w:rsid w:val="0038348C"/>
    <w:rsid w:val="00386954"/>
    <w:rsid w:val="00386C01"/>
    <w:rsid w:val="003873CF"/>
    <w:rsid w:val="00390587"/>
    <w:rsid w:val="00391B98"/>
    <w:rsid w:val="0039201C"/>
    <w:rsid w:val="00394949"/>
    <w:rsid w:val="00395070"/>
    <w:rsid w:val="003953F0"/>
    <w:rsid w:val="00395762"/>
    <w:rsid w:val="00396061"/>
    <w:rsid w:val="0039613E"/>
    <w:rsid w:val="003965BB"/>
    <w:rsid w:val="00396707"/>
    <w:rsid w:val="00396CC5"/>
    <w:rsid w:val="003A0DB7"/>
    <w:rsid w:val="003A2251"/>
    <w:rsid w:val="003A2E3A"/>
    <w:rsid w:val="003A37C0"/>
    <w:rsid w:val="003A3C4C"/>
    <w:rsid w:val="003A5C4C"/>
    <w:rsid w:val="003A7071"/>
    <w:rsid w:val="003B01EE"/>
    <w:rsid w:val="003B0516"/>
    <w:rsid w:val="003B2007"/>
    <w:rsid w:val="003B301F"/>
    <w:rsid w:val="003B3C5F"/>
    <w:rsid w:val="003B3D68"/>
    <w:rsid w:val="003B48B7"/>
    <w:rsid w:val="003B496D"/>
    <w:rsid w:val="003B6100"/>
    <w:rsid w:val="003B6160"/>
    <w:rsid w:val="003B62FD"/>
    <w:rsid w:val="003B6653"/>
    <w:rsid w:val="003B6760"/>
    <w:rsid w:val="003B6EB5"/>
    <w:rsid w:val="003C07C5"/>
    <w:rsid w:val="003C0D9C"/>
    <w:rsid w:val="003C0E5B"/>
    <w:rsid w:val="003C0FF2"/>
    <w:rsid w:val="003C179C"/>
    <w:rsid w:val="003C2647"/>
    <w:rsid w:val="003C2F64"/>
    <w:rsid w:val="003C2FB3"/>
    <w:rsid w:val="003C3C73"/>
    <w:rsid w:val="003C3F66"/>
    <w:rsid w:val="003C4172"/>
    <w:rsid w:val="003C4B9D"/>
    <w:rsid w:val="003C4D5B"/>
    <w:rsid w:val="003C5614"/>
    <w:rsid w:val="003C5C25"/>
    <w:rsid w:val="003C5D97"/>
    <w:rsid w:val="003C7345"/>
    <w:rsid w:val="003C7843"/>
    <w:rsid w:val="003D219D"/>
    <w:rsid w:val="003D2CA9"/>
    <w:rsid w:val="003D33F7"/>
    <w:rsid w:val="003D4576"/>
    <w:rsid w:val="003D4F68"/>
    <w:rsid w:val="003D5339"/>
    <w:rsid w:val="003D55E1"/>
    <w:rsid w:val="003D5625"/>
    <w:rsid w:val="003D57BD"/>
    <w:rsid w:val="003D5824"/>
    <w:rsid w:val="003D5CC0"/>
    <w:rsid w:val="003D76E2"/>
    <w:rsid w:val="003D7B91"/>
    <w:rsid w:val="003E15E3"/>
    <w:rsid w:val="003E15FD"/>
    <w:rsid w:val="003E1AFA"/>
    <w:rsid w:val="003E2373"/>
    <w:rsid w:val="003E262D"/>
    <w:rsid w:val="003E2757"/>
    <w:rsid w:val="003E3BA4"/>
    <w:rsid w:val="003E5137"/>
    <w:rsid w:val="003E5470"/>
    <w:rsid w:val="003E60EC"/>
    <w:rsid w:val="003E674F"/>
    <w:rsid w:val="003E692C"/>
    <w:rsid w:val="003F0013"/>
    <w:rsid w:val="003F0159"/>
    <w:rsid w:val="003F0594"/>
    <w:rsid w:val="003F07E1"/>
    <w:rsid w:val="003F0FDD"/>
    <w:rsid w:val="003F17D6"/>
    <w:rsid w:val="003F240C"/>
    <w:rsid w:val="003F25CD"/>
    <w:rsid w:val="003F2D36"/>
    <w:rsid w:val="003F437F"/>
    <w:rsid w:val="003F4F94"/>
    <w:rsid w:val="003F510A"/>
    <w:rsid w:val="003F549A"/>
    <w:rsid w:val="003F5575"/>
    <w:rsid w:val="003F5D7F"/>
    <w:rsid w:val="003F6382"/>
    <w:rsid w:val="003F6762"/>
    <w:rsid w:val="003F6EE3"/>
    <w:rsid w:val="003F78A9"/>
    <w:rsid w:val="0040019C"/>
    <w:rsid w:val="00400842"/>
    <w:rsid w:val="00400A1F"/>
    <w:rsid w:val="004028F0"/>
    <w:rsid w:val="00402A19"/>
    <w:rsid w:val="004031E2"/>
    <w:rsid w:val="00403406"/>
    <w:rsid w:val="004047A6"/>
    <w:rsid w:val="004047B1"/>
    <w:rsid w:val="00405802"/>
    <w:rsid w:val="00405A32"/>
    <w:rsid w:val="00405FD9"/>
    <w:rsid w:val="0040654F"/>
    <w:rsid w:val="004068A5"/>
    <w:rsid w:val="00406DDB"/>
    <w:rsid w:val="00407760"/>
    <w:rsid w:val="00410782"/>
    <w:rsid w:val="00410811"/>
    <w:rsid w:val="004109E7"/>
    <w:rsid w:val="00412749"/>
    <w:rsid w:val="00412C56"/>
    <w:rsid w:val="004134ED"/>
    <w:rsid w:val="00413EA0"/>
    <w:rsid w:val="004146D0"/>
    <w:rsid w:val="0041498C"/>
    <w:rsid w:val="00414E65"/>
    <w:rsid w:val="00415CFC"/>
    <w:rsid w:val="00416136"/>
    <w:rsid w:val="00420A3B"/>
    <w:rsid w:val="00420AB5"/>
    <w:rsid w:val="00421CBB"/>
    <w:rsid w:val="004220CA"/>
    <w:rsid w:val="004228C2"/>
    <w:rsid w:val="00423D72"/>
    <w:rsid w:val="00424F1B"/>
    <w:rsid w:val="00424FBB"/>
    <w:rsid w:val="00425793"/>
    <w:rsid w:val="00425B4A"/>
    <w:rsid w:val="004268C7"/>
    <w:rsid w:val="00426B8F"/>
    <w:rsid w:val="00426ECD"/>
    <w:rsid w:val="00427161"/>
    <w:rsid w:val="00427D31"/>
    <w:rsid w:val="004305AF"/>
    <w:rsid w:val="0043160A"/>
    <w:rsid w:val="004331B4"/>
    <w:rsid w:val="00433439"/>
    <w:rsid w:val="0043387F"/>
    <w:rsid w:val="004351D4"/>
    <w:rsid w:val="00435C78"/>
    <w:rsid w:val="00436853"/>
    <w:rsid w:val="004408E6"/>
    <w:rsid w:val="004412D5"/>
    <w:rsid w:val="004415E2"/>
    <w:rsid w:val="00441A37"/>
    <w:rsid w:val="00441E1B"/>
    <w:rsid w:val="00441E45"/>
    <w:rsid w:val="004429E2"/>
    <w:rsid w:val="0044393A"/>
    <w:rsid w:val="0044394C"/>
    <w:rsid w:val="00443C4F"/>
    <w:rsid w:val="00444114"/>
    <w:rsid w:val="004442D3"/>
    <w:rsid w:val="00444F0D"/>
    <w:rsid w:val="00447339"/>
    <w:rsid w:val="004477C9"/>
    <w:rsid w:val="00447EE5"/>
    <w:rsid w:val="00450E5A"/>
    <w:rsid w:val="004511AE"/>
    <w:rsid w:val="004516BD"/>
    <w:rsid w:val="0045193E"/>
    <w:rsid w:val="004529D8"/>
    <w:rsid w:val="004539DA"/>
    <w:rsid w:val="00455312"/>
    <w:rsid w:val="0045690D"/>
    <w:rsid w:val="00456E3C"/>
    <w:rsid w:val="00456FC2"/>
    <w:rsid w:val="00461AB2"/>
    <w:rsid w:val="004625BD"/>
    <w:rsid w:val="00462B31"/>
    <w:rsid w:val="00462FB3"/>
    <w:rsid w:val="00463300"/>
    <w:rsid w:val="00463D55"/>
    <w:rsid w:val="004646AF"/>
    <w:rsid w:val="00464E60"/>
    <w:rsid w:val="00465427"/>
    <w:rsid w:val="004655F9"/>
    <w:rsid w:val="004656EF"/>
    <w:rsid w:val="0046592D"/>
    <w:rsid w:val="0046631E"/>
    <w:rsid w:val="00466CD9"/>
    <w:rsid w:val="00467BE4"/>
    <w:rsid w:val="00470719"/>
    <w:rsid w:val="00472A79"/>
    <w:rsid w:val="00472ACA"/>
    <w:rsid w:val="00472C23"/>
    <w:rsid w:val="00472E72"/>
    <w:rsid w:val="004732C2"/>
    <w:rsid w:val="004734C7"/>
    <w:rsid w:val="0047416F"/>
    <w:rsid w:val="004743D6"/>
    <w:rsid w:val="00474FF0"/>
    <w:rsid w:val="004755C3"/>
    <w:rsid w:val="00475D3E"/>
    <w:rsid w:val="0047677D"/>
    <w:rsid w:val="00477361"/>
    <w:rsid w:val="00477848"/>
    <w:rsid w:val="00477E0A"/>
    <w:rsid w:val="00480DF5"/>
    <w:rsid w:val="004823CB"/>
    <w:rsid w:val="00482F34"/>
    <w:rsid w:val="00483DD5"/>
    <w:rsid w:val="00484ECA"/>
    <w:rsid w:val="00485EA6"/>
    <w:rsid w:val="00490086"/>
    <w:rsid w:val="004904F9"/>
    <w:rsid w:val="00491C8D"/>
    <w:rsid w:val="00492374"/>
    <w:rsid w:val="00492ED3"/>
    <w:rsid w:val="0049347F"/>
    <w:rsid w:val="004940E4"/>
    <w:rsid w:val="004940F8"/>
    <w:rsid w:val="00495110"/>
    <w:rsid w:val="004955DA"/>
    <w:rsid w:val="004961BF"/>
    <w:rsid w:val="004971E8"/>
    <w:rsid w:val="004972FA"/>
    <w:rsid w:val="004A3CBD"/>
    <w:rsid w:val="004A46D9"/>
    <w:rsid w:val="004A5563"/>
    <w:rsid w:val="004A5CD7"/>
    <w:rsid w:val="004A6166"/>
    <w:rsid w:val="004A654F"/>
    <w:rsid w:val="004A66EE"/>
    <w:rsid w:val="004A688A"/>
    <w:rsid w:val="004A6B7F"/>
    <w:rsid w:val="004B1BC7"/>
    <w:rsid w:val="004B2250"/>
    <w:rsid w:val="004B32D3"/>
    <w:rsid w:val="004B344F"/>
    <w:rsid w:val="004B3B56"/>
    <w:rsid w:val="004B4150"/>
    <w:rsid w:val="004B45B8"/>
    <w:rsid w:val="004B4B28"/>
    <w:rsid w:val="004B7248"/>
    <w:rsid w:val="004B72DD"/>
    <w:rsid w:val="004C0C1D"/>
    <w:rsid w:val="004C1520"/>
    <w:rsid w:val="004C1E12"/>
    <w:rsid w:val="004C1EDE"/>
    <w:rsid w:val="004C2872"/>
    <w:rsid w:val="004C383F"/>
    <w:rsid w:val="004C3902"/>
    <w:rsid w:val="004C40E4"/>
    <w:rsid w:val="004C4101"/>
    <w:rsid w:val="004C48DA"/>
    <w:rsid w:val="004C583B"/>
    <w:rsid w:val="004C76BE"/>
    <w:rsid w:val="004C7B29"/>
    <w:rsid w:val="004D0366"/>
    <w:rsid w:val="004D0940"/>
    <w:rsid w:val="004D09EB"/>
    <w:rsid w:val="004D1910"/>
    <w:rsid w:val="004D2E64"/>
    <w:rsid w:val="004D3247"/>
    <w:rsid w:val="004D3E27"/>
    <w:rsid w:val="004D65FF"/>
    <w:rsid w:val="004D7AC0"/>
    <w:rsid w:val="004D7CB8"/>
    <w:rsid w:val="004D7F08"/>
    <w:rsid w:val="004E0C44"/>
    <w:rsid w:val="004E114D"/>
    <w:rsid w:val="004E1AA1"/>
    <w:rsid w:val="004E3304"/>
    <w:rsid w:val="004E34ED"/>
    <w:rsid w:val="004E41B9"/>
    <w:rsid w:val="004E5A3A"/>
    <w:rsid w:val="004E5DC9"/>
    <w:rsid w:val="004E7105"/>
    <w:rsid w:val="004E77E1"/>
    <w:rsid w:val="004F0CF5"/>
    <w:rsid w:val="004F1302"/>
    <w:rsid w:val="004F2430"/>
    <w:rsid w:val="004F271C"/>
    <w:rsid w:val="004F3158"/>
    <w:rsid w:val="004F32CD"/>
    <w:rsid w:val="004F4CD9"/>
    <w:rsid w:val="004F4CE0"/>
    <w:rsid w:val="004F68A8"/>
    <w:rsid w:val="004F7FE1"/>
    <w:rsid w:val="00500031"/>
    <w:rsid w:val="00501036"/>
    <w:rsid w:val="00501B49"/>
    <w:rsid w:val="00502092"/>
    <w:rsid w:val="0050211A"/>
    <w:rsid w:val="00502B04"/>
    <w:rsid w:val="00502C82"/>
    <w:rsid w:val="00502C92"/>
    <w:rsid w:val="00502E1F"/>
    <w:rsid w:val="005030F7"/>
    <w:rsid w:val="00503E8A"/>
    <w:rsid w:val="00504D3B"/>
    <w:rsid w:val="0050513B"/>
    <w:rsid w:val="00505C07"/>
    <w:rsid w:val="00507FBD"/>
    <w:rsid w:val="00510903"/>
    <w:rsid w:val="00510B95"/>
    <w:rsid w:val="00510F71"/>
    <w:rsid w:val="0051254E"/>
    <w:rsid w:val="005127F5"/>
    <w:rsid w:val="00512A34"/>
    <w:rsid w:val="0051658B"/>
    <w:rsid w:val="00516A59"/>
    <w:rsid w:val="00516CCE"/>
    <w:rsid w:val="00516FB9"/>
    <w:rsid w:val="0052028C"/>
    <w:rsid w:val="00520709"/>
    <w:rsid w:val="00520B85"/>
    <w:rsid w:val="005214D2"/>
    <w:rsid w:val="00521B5A"/>
    <w:rsid w:val="005224FE"/>
    <w:rsid w:val="00523057"/>
    <w:rsid w:val="005232B5"/>
    <w:rsid w:val="005232C6"/>
    <w:rsid w:val="0052394F"/>
    <w:rsid w:val="00523A8E"/>
    <w:rsid w:val="005241A2"/>
    <w:rsid w:val="00524649"/>
    <w:rsid w:val="00524960"/>
    <w:rsid w:val="00525B98"/>
    <w:rsid w:val="00525BE4"/>
    <w:rsid w:val="00530644"/>
    <w:rsid w:val="005318CD"/>
    <w:rsid w:val="00531E0B"/>
    <w:rsid w:val="00533AA9"/>
    <w:rsid w:val="00533BF2"/>
    <w:rsid w:val="0053502B"/>
    <w:rsid w:val="005374D2"/>
    <w:rsid w:val="0054010D"/>
    <w:rsid w:val="0054035C"/>
    <w:rsid w:val="005414B4"/>
    <w:rsid w:val="00542A74"/>
    <w:rsid w:val="00542AB1"/>
    <w:rsid w:val="00542C6F"/>
    <w:rsid w:val="005445DD"/>
    <w:rsid w:val="00544D95"/>
    <w:rsid w:val="00546217"/>
    <w:rsid w:val="005463FF"/>
    <w:rsid w:val="0054651F"/>
    <w:rsid w:val="00546842"/>
    <w:rsid w:val="00546843"/>
    <w:rsid w:val="00546B94"/>
    <w:rsid w:val="005475DA"/>
    <w:rsid w:val="00550800"/>
    <w:rsid w:val="0055106D"/>
    <w:rsid w:val="00552022"/>
    <w:rsid w:val="005522C8"/>
    <w:rsid w:val="0055236A"/>
    <w:rsid w:val="005523A0"/>
    <w:rsid w:val="005531A7"/>
    <w:rsid w:val="00554499"/>
    <w:rsid w:val="00555A39"/>
    <w:rsid w:val="00555C58"/>
    <w:rsid w:val="00556279"/>
    <w:rsid w:val="005563A9"/>
    <w:rsid w:val="00556EDF"/>
    <w:rsid w:val="005573FE"/>
    <w:rsid w:val="00560174"/>
    <w:rsid w:val="00560A05"/>
    <w:rsid w:val="005611EB"/>
    <w:rsid w:val="00562757"/>
    <w:rsid w:val="00563B99"/>
    <w:rsid w:val="00563F1B"/>
    <w:rsid w:val="00564493"/>
    <w:rsid w:val="0056457F"/>
    <w:rsid w:val="00564924"/>
    <w:rsid w:val="00564B9E"/>
    <w:rsid w:val="0056552C"/>
    <w:rsid w:val="00565C6E"/>
    <w:rsid w:val="00566896"/>
    <w:rsid w:val="00566919"/>
    <w:rsid w:val="00570527"/>
    <w:rsid w:val="005706B8"/>
    <w:rsid w:val="00570DDC"/>
    <w:rsid w:val="00571BCD"/>
    <w:rsid w:val="00571FEB"/>
    <w:rsid w:val="00572679"/>
    <w:rsid w:val="00572735"/>
    <w:rsid w:val="005727A8"/>
    <w:rsid w:val="00574403"/>
    <w:rsid w:val="00574E5A"/>
    <w:rsid w:val="0057560E"/>
    <w:rsid w:val="00577672"/>
    <w:rsid w:val="00582A42"/>
    <w:rsid w:val="00584D91"/>
    <w:rsid w:val="00585857"/>
    <w:rsid w:val="0058593B"/>
    <w:rsid w:val="0058593F"/>
    <w:rsid w:val="00586967"/>
    <w:rsid w:val="00586B4B"/>
    <w:rsid w:val="005874AF"/>
    <w:rsid w:val="00587FA5"/>
    <w:rsid w:val="00590BDD"/>
    <w:rsid w:val="00593F1B"/>
    <w:rsid w:val="00594140"/>
    <w:rsid w:val="005941E3"/>
    <w:rsid w:val="00594760"/>
    <w:rsid w:val="0059541C"/>
    <w:rsid w:val="0059647B"/>
    <w:rsid w:val="005967FB"/>
    <w:rsid w:val="005A0D46"/>
    <w:rsid w:val="005A1FA3"/>
    <w:rsid w:val="005A297E"/>
    <w:rsid w:val="005A29D5"/>
    <w:rsid w:val="005A31A4"/>
    <w:rsid w:val="005A3AC1"/>
    <w:rsid w:val="005A3DF8"/>
    <w:rsid w:val="005A3E6D"/>
    <w:rsid w:val="005A4945"/>
    <w:rsid w:val="005A4ABB"/>
    <w:rsid w:val="005A4E72"/>
    <w:rsid w:val="005A622F"/>
    <w:rsid w:val="005A67F3"/>
    <w:rsid w:val="005A6946"/>
    <w:rsid w:val="005A755F"/>
    <w:rsid w:val="005A7D66"/>
    <w:rsid w:val="005B0E27"/>
    <w:rsid w:val="005B3012"/>
    <w:rsid w:val="005B3E1F"/>
    <w:rsid w:val="005B3E41"/>
    <w:rsid w:val="005B4680"/>
    <w:rsid w:val="005B4EE6"/>
    <w:rsid w:val="005B5038"/>
    <w:rsid w:val="005B5D8B"/>
    <w:rsid w:val="005B6007"/>
    <w:rsid w:val="005B7660"/>
    <w:rsid w:val="005C0363"/>
    <w:rsid w:val="005C0454"/>
    <w:rsid w:val="005C078D"/>
    <w:rsid w:val="005C28F2"/>
    <w:rsid w:val="005C6297"/>
    <w:rsid w:val="005C63F8"/>
    <w:rsid w:val="005C6A74"/>
    <w:rsid w:val="005C6F8B"/>
    <w:rsid w:val="005C72B5"/>
    <w:rsid w:val="005C7902"/>
    <w:rsid w:val="005C7C47"/>
    <w:rsid w:val="005D0AE8"/>
    <w:rsid w:val="005D326D"/>
    <w:rsid w:val="005D3431"/>
    <w:rsid w:val="005D55F5"/>
    <w:rsid w:val="005D5876"/>
    <w:rsid w:val="005D610D"/>
    <w:rsid w:val="005D621C"/>
    <w:rsid w:val="005D6E4D"/>
    <w:rsid w:val="005D76AC"/>
    <w:rsid w:val="005D7939"/>
    <w:rsid w:val="005D7A1C"/>
    <w:rsid w:val="005E0555"/>
    <w:rsid w:val="005E1D60"/>
    <w:rsid w:val="005E23CD"/>
    <w:rsid w:val="005E2C02"/>
    <w:rsid w:val="005E3426"/>
    <w:rsid w:val="005E3A6F"/>
    <w:rsid w:val="005E3EE4"/>
    <w:rsid w:val="005E4970"/>
    <w:rsid w:val="005E547D"/>
    <w:rsid w:val="005E56F3"/>
    <w:rsid w:val="005E60E1"/>
    <w:rsid w:val="005E682E"/>
    <w:rsid w:val="005E764B"/>
    <w:rsid w:val="005E7838"/>
    <w:rsid w:val="005E7B87"/>
    <w:rsid w:val="005E7FD6"/>
    <w:rsid w:val="005F12E9"/>
    <w:rsid w:val="005F1C0F"/>
    <w:rsid w:val="005F2042"/>
    <w:rsid w:val="005F2736"/>
    <w:rsid w:val="005F2E1D"/>
    <w:rsid w:val="005F41C5"/>
    <w:rsid w:val="005F4CC1"/>
    <w:rsid w:val="005F4FFC"/>
    <w:rsid w:val="005F5847"/>
    <w:rsid w:val="005F6816"/>
    <w:rsid w:val="005F755E"/>
    <w:rsid w:val="005F78D7"/>
    <w:rsid w:val="005F7E48"/>
    <w:rsid w:val="00600087"/>
    <w:rsid w:val="00600511"/>
    <w:rsid w:val="00600A25"/>
    <w:rsid w:val="00600E0A"/>
    <w:rsid w:val="00601E6B"/>
    <w:rsid w:val="00602107"/>
    <w:rsid w:val="006025C9"/>
    <w:rsid w:val="00604D64"/>
    <w:rsid w:val="00605135"/>
    <w:rsid w:val="0060527D"/>
    <w:rsid w:val="00607759"/>
    <w:rsid w:val="00607A25"/>
    <w:rsid w:val="00607F17"/>
    <w:rsid w:val="00610B3B"/>
    <w:rsid w:val="0061132E"/>
    <w:rsid w:val="006119BD"/>
    <w:rsid w:val="00612458"/>
    <w:rsid w:val="006125A8"/>
    <w:rsid w:val="00613467"/>
    <w:rsid w:val="0061692F"/>
    <w:rsid w:val="00616DD7"/>
    <w:rsid w:val="00617140"/>
    <w:rsid w:val="0061753E"/>
    <w:rsid w:val="006178CC"/>
    <w:rsid w:val="006203CD"/>
    <w:rsid w:val="0062050F"/>
    <w:rsid w:val="00621329"/>
    <w:rsid w:val="0062138E"/>
    <w:rsid w:val="00621E7B"/>
    <w:rsid w:val="00622199"/>
    <w:rsid w:val="00622822"/>
    <w:rsid w:val="00623469"/>
    <w:rsid w:val="00624785"/>
    <w:rsid w:val="00624CAC"/>
    <w:rsid w:val="00625885"/>
    <w:rsid w:val="006262F2"/>
    <w:rsid w:val="006263FF"/>
    <w:rsid w:val="00626B92"/>
    <w:rsid w:val="00627B8F"/>
    <w:rsid w:val="00627D71"/>
    <w:rsid w:val="00630047"/>
    <w:rsid w:val="0063079B"/>
    <w:rsid w:val="00630928"/>
    <w:rsid w:val="00631509"/>
    <w:rsid w:val="0063176E"/>
    <w:rsid w:val="00631992"/>
    <w:rsid w:val="00631A84"/>
    <w:rsid w:val="00632139"/>
    <w:rsid w:val="0063245C"/>
    <w:rsid w:val="006324DA"/>
    <w:rsid w:val="006334BE"/>
    <w:rsid w:val="00633FC6"/>
    <w:rsid w:val="00636F0E"/>
    <w:rsid w:val="00637ED7"/>
    <w:rsid w:val="00637F76"/>
    <w:rsid w:val="00640656"/>
    <w:rsid w:val="00640B6E"/>
    <w:rsid w:val="00640E92"/>
    <w:rsid w:val="00641262"/>
    <w:rsid w:val="00641B9B"/>
    <w:rsid w:val="006432CF"/>
    <w:rsid w:val="006433A5"/>
    <w:rsid w:val="0064343F"/>
    <w:rsid w:val="00643A22"/>
    <w:rsid w:val="00643DBB"/>
    <w:rsid w:val="00644C57"/>
    <w:rsid w:val="00644EFD"/>
    <w:rsid w:val="00645178"/>
    <w:rsid w:val="00645723"/>
    <w:rsid w:val="00647FEA"/>
    <w:rsid w:val="00650972"/>
    <w:rsid w:val="00650DB1"/>
    <w:rsid w:val="0065109B"/>
    <w:rsid w:val="00651653"/>
    <w:rsid w:val="006549AE"/>
    <w:rsid w:val="00654C06"/>
    <w:rsid w:val="00655945"/>
    <w:rsid w:val="00656506"/>
    <w:rsid w:val="006568C6"/>
    <w:rsid w:val="006568C8"/>
    <w:rsid w:val="006604D8"/>
    <w:rsid w:val="00661542"/>
    <w:rsid w:val="00662436"/>
    <w:rsid w:val="00662475"/>
    <w:rsid w:val="00662D95"/>
    <w:rsid w:val="00663C12"/>
    <w:rsid w:val="0066408C"/>
    <w:rsid w:val="006669FA"/>
    <w:rsid w:val="00666A72"/>
    <w:rsid w:val="00667E70"/>
    <w:rsid w:val="00670347"/>
    <w:rsid w:val="00670387"/>
    <w:rsid w:val="006705DE"/>
    <w:rsid w:val="00671753"/>
    <w:rsid w:val="006722E8"/>
    <w:rsid w:val="0067337A"/>
    <w:rsid w:val="006736F5"/>
    <w:rsid w:val="006749D4"/>
    <w:rsid w:val="00674A47"/>
    <w:rsid w:val="00675177"/>
    <w:rsid w:val="00675C3E"/>
    <w:rsid w:val="00676CBB"/>
    <w:rsid w:val="00677979"/>
    <w:rsid w:val="0068132C"/>
    <w:rsid w:val="00681B23"/>
    <w:rsid w:val="0068241A"/>
    <w:rsid w:val="00682943"/>
    <w:rsid w:val="00682B1D"/>
    <w:rsid w:val="00682BBF"/>
    <w:rsid w:val="0068439A"/>
    <w:rsid w:val="006849A6"/>
    <w:rsid w:val="00685937"/>
    <w:rsid w:val="00685C57"/>
    <w:rsid w:val="00685CF8"/>
    <w:rsid w:val="00686FAC"/>
    <w:rsid w:val="00687437"/>
    <w:rsid w:val="00687C49"/>
    <w:rsid w:val="0069051C"/>
    <w:rsid w:val="00691253"/>
    <w:rsid w:val="00691356"/>
    <w:rsid w:val="006917E2"/>
    <w:rsid w:val="00692875"/>
    <w:rsid w:val="006929F2"/>
    <w:rsid w:val="0069379F"/>
    <w:rsid w:val="006938FA"/>
    <w:rsid w:val="00693DE6"/>
    <w:rsid w:val="0069443F"/>
    <w:rsid w:val="00695E6A"/>
    <w:rsid w:val="006967AE"/>
    <w:rsid w:val="00697BC4"/>
    <w:rsid w:val="006A08B9"/>
    <w:rsid w:val="006A09C4"/>
    <w:rsid w:val="006A1317"/>
    <w:rsid w:val="006A15F8"/>
    <w:rsid w:val="006A3A88"/>
    <w:rsid w:val="006A42C1"/>
    <w:rsid w:val="006A497B"/>
    <w:rsid w:val="006A5171"/>
    <w:rsid w:val="006A5764"/>
    <w:rsid w:val="006A5AA8"/>
    <w:rsid w:val="006A66F5"/>
    <w:rsid w:val="006A6D9B"/>
    <w:rsid w:val="006A6FE4"/>
    <w:rsid w:val="006A737A"/>
    <w:rsid w:val="006A7FB4"/>
    <w:rsid w:val="006B050A"/>
    <w:rsid w:val="006B106B"/>
    <w:rsid w:val="006B13C2"/>
    <w:rsid w:val="006B265F"/>
    <w:rsid w:val="006B318C"/>
    <w:rsid w:val="006B3316"/>
    <w:rsid w:val="006B5025"/>
    <w:rsid w:val="006B58ED"/>
    <w:rsid w:val="006B5D99"/>
    <w:rsid w:val="006B6D88"/>
    <w:rsid w:val="006B73D6"/>
    <w:rsid w:val="006C1160"/>
    <w:rsid w:val="006C19F4"/>
    <w:rsid w:val="006C23B2"/>
    <w:rsid w:val="006C24B2"/>
    <w:rsid w:val="006C25B5"/>
    <w:rsid w:val="006C2C92"/>
    <w:rsid w:val="006C2EB9"/>
    <w:rsid w:val="006C4311"/>
    <w:rsid w:val="006C4ED2"/>
    <w:rsid w:val="006C61EF"/>
    <w:rsid w:val="006C7863"/>
    <w:rsid w:val="006D0A58"/>
    <w:rsid w:val="006D1EA4"/>
    <w:rsid w:val="006D32E3"/>
    <w:rsid w:val="006D3464"/>
    <w:rsid w:val="006D3C90"/>
    <w:rsid w:val="006D4847"/>
    <w:rsid w:val="006D498C"/>
    <w:rsid w:val="006D6086"/>
    <w:rsid w:val="006D7794"/>
    <w:rsid w:val="006D7F35"/>
    <w:rsid w:val="006E0BCE"/>
    <w:rsid w:val="006E0E88"/>
    <w:rsid w:val="006E10B5"/>
    <w:rsid w:val="006E1137"/>
    <w:rsid w:val="006E16D5"/>
    <w:rsid w:val="006E1DD7"/>
    <w:rsid w:val="006E224A"/>
    <w:rsid w:val="006E245B"/>
    <w:rsid w:val="006E3078"/>
    <w:rsid w:val="006E3F60"/>
    <w:rsid w:val="006E4430"/>
    <w:rsid w:val="006E489B"/>
    <w:rsid w:val="006E4F6C"/>
    <w:rsid w:val="006E6434"/>
    <w:rsid w:val="006E679C"/>
    <w:rsid w:val="006E6D23"/>
    <w:rsid w:val="006F016B"/>
    <w:rsid w:val="006F04AD"/>
    <w:rsid w:val="006F1193"/>
    <w:rsid w:val="006F11B8"/>
    <w:rsid w:val="006F1B2E"/>
    <w:rsid w:val="006F2BFD"/>
    <w:rsid w:val="006F2FC6"/>
    <w:rsid w:val="006F3089"/>
    <w:rsid w:val="006F31A0"/>
    <w:rsid w:val="006F3409"/>
    <w:rsid w:val="006F598E"/>
    <w:rsid w:val="006F62F8"/>
    <w:rsid w:val="006F775D"/>
    <w:rsid w:val="00700030"/>
    <w:rsid w:val="00700916"/>
    <w:rsid w:val="00701076"/>
    <w:rsid w:val="00701CBA"/>
    <w:rsid w:val="00702E62"/>
    <w:rsid w:val="007037CE"/>
    <w:rsid w:val="00703B85"/>
    <w:rsid w:val="00704442"/>
    <w:rsid w:val="00704C1E"/>
    <w:rsid w:val="0070525C"/>
    <w:rsid w:val="00705674"/>
    <w:rsid w:val="00705DFB"/>
    <w:rsid w:val="0070622E"/>
    <w:rsid w:val="0070640A"/>
    <w:rsid w:val="0070675C"/>
    <w:rsid w:val="0070677E"/>
    <w:rsid w:val="007105B2"/>
    <w:rsid w:val="007133BE"/>
    <w:rsid w:val="0071398A"/>
    <w:rsid w:val="007150C5"/>
    <w:rsid w:val="007155A0"/>
    <w:rsid w:val="00715A60"/>
    <w:rsid w:val="007179BC"/>
    <w:rsid w:val="00720D22"/>
    <w:rsid w:val="00721342"/>
    <w:rsid w:val="00721386"/>
    <w:rsid w:val="00721B7D"/>
    <w:rsid w:val="007220B3"/>
    <w:rsid w:val="00724702"/>
    <w:rsid w:val="00724D6D"/>
    <w:rsid w:val="00727B0D"/>
    <w:rsid w:val="00730A22"/>
    <w:rsid w:val="00730BCC"/>
    <w:rsid w:val="00730BDD"/>
    <w:rsid w:val="00730F46"/>
    <w:rsid w:val="007313E4"/>
    <w:rsid w:val="007327CD"/>
    <w:rsid w:val="00732CC4"/>
    <w:rsid w:val="00733A55"/>
    <w:rsid w:val="00734181"/>
    <w:rsid w:val="0073462A"/>
    <w:rsid w:val="00735256"/>
    <w:rsid w:val="00737766"/>
    <w:rsid w:val="007406C8"/>
    <w:rsid w:val="007425D2"/>
    <w:rsid w:val="0074379C"/>
    <w:rsid w:val="00743FAB"/>
    <w:rsid w:val="0074419C"/>
    <w:rsid w:val="00744C0A"/>
    <w:rsid w:val="00745EAA"/>
    <w:rsid w:val="00746B35"/>
    <w:rsid w:val="007473E6"/>
    <w:rsid w:val="00747CE3"/>
    <w:rsid w:val="00750BF7"/>
    <w:rsid w:val="00750F31"/>
    <w:rsid w:val="0075182B"/>
    <w:rsid w:val="00751D4A"/>
    <w:rsid w:val="007521F2"/>
    <w:rsid w:val="0075250B"/>
    <w:rsid w:val="00753F2A"/>
    <w:rsid w:val="00754DC5"/>
    <w:rsid w:val="00754E93"/>
    <w:rsid w:val="0075541F"/>
    <w:rsid w:val="00756490"/>
    <w:rsid w:val="00756AF7"/>
    <w:rsid w:val="00756F3D"/>
    <w:rsid w:val="0075779D"/>
    <w:rsid w:val="007607A9"/>
    <w:rsid w:val="00760B02"/>
    <w:rsid w:val="00760C0A"/>
    <w:rsid w:val="0076429F"/>
    <w:rsid w:val="007650A7"/>
    <w:rsid w:val="00765480"/>
    <w:rsid w:val="00765C4F"/>
    <w:rsid w:val="00766372"/>
    <w:rsid w:val="00766B65"/>
    <w:rsid w:val="0076753A"/>
    <w:rsid w:val="00770B2E"/>
    <w:rsid w:val="00770F41"/>
    <w:rsid w:val="00771110"/>
    <w:rsid w:val="007717CB"/>
    <w:rsid w:val="007724A0"/>
    <w:rsid w:val="00772F61"/>
    <w:rsid w:val="00775FC4"/>
    <w:rsid w:val="00775FDA"/>
    <w:rsid w:val="007764A8"/>
    <w:rsid w:val="007770B2"/>
    <w:rsid w:val="0077736D"/>
    <w:rsid w:val="0077792F"/>
    <w:rsid w:val="00777F11"/>
    <w:rsid w:val="007818B3"/>
    <w:rsid w:val="00781991"/>
    <w:rsid w:val="00781B32"/>
    <w:rsid w:val="007830DD"/>
    <w:rsid w:val="007833BB"/>
    <w:rsid w:val="00783680"/>
    <w:rsid w:val="00784DB5"/>
    <w:rsid w:val="00785F4A"/>
    <w:rsid w:val="00786430"/>
    <w:rsid w:val="00786AC6"/>
    <w:rsid w:val="00786FF5"/>
    <w:rsid w:val="00787855"/>
    <w:rsid w:val="00791A8F"/>
    <w:rsid w:val="00791FDF"/>
    <w:rsid w:val="007931C2"/>
    <w:rsid w:val="00794BA0"/>
    <w:rsid w:val="00796F98"/>
    <w:rsid w:val="00797088"/>
    <w:rsid w:val="00797232"/>
    <w:rsid w:val="00797F54"/>
    <w:rsid w:val="007A04EA"/>
    <w:rsid w:val="007A0970"/>
    <w:rsid w:val="007A1548"/>
    <w:rsid w:val="007A19B8"/>
    <w:rsid w:val="007A1E2D"/>
    <w:rsid w:val="007A26B7"/>
    <w:rsid w:val="007A300E"/>
    <w:rsid w:val="007A4DC4"/>
    <w:rsid w:val="007A4F58"/>
    <w:rsid w:val="007A51DE"/>
    <w:rsid w:val="007A52BD"/>
    <w:rsid w:val="007A63CB"/>
    <w:rsid w:val="007B081C"/>
    <w:rsid w:val="007B20AF"/>
    <w:rsid w:val="007B21C5"/>
    <w:rsid w:val="007B231B"/>
    <w:rsid w:val="007B2CAF"/>
    <w:rsid w:val="007B4C34"/>
    <w:rsid w:val="007B4C38"/>
    <w:rsid w:val="007B4EBE"/>
    <w:rsid w:val="007B6259"/>
    <w:rsid w:val="007B6B96"/>
    <w:rsid w:val="007B76EB"/>
    <w:rsid w:val="007B7C40"/>
    <w:rsid w:val="007C0BDC"/>
    <w:rsid w:val="007C11A7"/>
    <w:rsid w:val="007C1E20"/>
    <w:rsid w:val="007C2536"/>
    <w:rsid w:val="007C29B9"/>
    <w:rsid w:val="007C35CD"/>
    <w:rsid w:val="007C41DA"/>
    <w:rsid w:val="007C58EA"/>
    <w:rsid w:val="007C58EF"/>
    <w:rsid w:val="007C6BC9"/>
    <w:rsid w:val="007C72B5"/>
    <w:rsid w:val="007C76FF"/>
    <w:rsid w:val="007C7CE2"/>
    <w:rsid w:val="007D02CE"/>
    <w:rsid w:val="007D0718"/>
    <w:rsid w:val="007D0B3B"/>
    <w:rsid w:val="007D1564"/>
    <w:rsid w:val="007D2E29"/>
    <w:rsid w:val="007D42D1"/>
    <w:rsid w:val="007D4D61"/>
    <w:rsid w:val="007D5174"/>
    <w:rsid w:val="007D5BEA"/>
    <w:rsid w:val="007D5F7F"/>
    <w:rsid w:val="007D7F66"/>
    <w:rsid w:val="007E0A57"/>
    <w:rsid w:val="007E0CE8"/>
    <w:rsid w:val="007E1970"/>
    <w:rsid w:val="007E3E0D"/>
    <w:rsid w:val="007E3E60"/>
    <w:rsid w:val="007E3FFA"/>
    <w:rsid w:val="007E4667"/>
    <w:rsid w:val="007E48C6"/>
    <w:rsid w:val="007E4D33"/>
    <w:rsid w:val="007E5A06"/>
    <w:rsid w:val="007E682E"/>
    <w:rsid w:val="007E70D2"/>
    <w:rsid w:val="007E7610"/>
    <w:rsid w:val="007E7A4F"/>
    <w:rsid w:val="007E7DE3"/>
    <w:rsid w:val="007F0BB7"/>
    <w:rsid w:val="007F13A9"/>
    <w:rsid w:val="007F1BDF"/>
    <w:rsid w:val="007F1F20"/>
    <w:rsid w:val="007F2119"/>
    <w:rsid w:val="007F211C"/>
    <w:rsid w:val="007F292F"/>
    <w:rsid w:val="007F2C09"/>
    <w:rsid w:val="007F68CA"/>
    <w:rsid w:val="007F6922"/>
    <w:rsid w:val="007F6CE1"/>
    <w:rsid w:val="007F7DBA"/>
    <w:rsid w:val="007F7E38"/>
    <w:rsid w:val="00800DE9"/>
    <w:rsid w:val="00802A53"/>
    <w:rsid w:val="00802E2B"/>
    <w:rsid w:val="008033DC"/>
    <w:rsid w:val="00804736"/>
    <w:rsid w:val="0080501D"/>
    <w:rsid w:val="00806BBC"/>
    <w:rsid w:val="0080771B"/>
    <w:rsid w:val="00807FBF"/>
    <w:rsid w:val="008102E2"/>
    <w:rsid w:val="008103DE"/>
    <w:rsid w:val="008106AA"/>
    <w:rsid w:val="00810736"/>
    <w:rsid w:val="00810CA6"/>
    <w:rsid w:val="00810E21"/>
    <w:rsid w:val="00812594"/>
    <w:rsid w:val="00813A00"/>
    <w:rsid w:val="00813C58"/>
    <w:rsid w:val="00814E33"/>
    <w:rsid w:val="008159E1"/>
    <w:rsid w:val="00816A45"/>
    <w:rsid w:val="008171DA"/>
    <w:rsid w:val="008172B0"/>
    <w:rsid w:val="0081741E"/>
    <w:rsid w:val="00817B23"/>
    <w:rsid w:val="00820120"/>
    <w:rsid w:val="00821220"/>
    <w:rsid w:val="008220BD"/>
    <w:rsid w:val="00822289"/>
    <w:rsid w:val="0082285A"/>
    <w:rsid w:val="00822ED8"/>
    <w:rsid w:val="0082354F"/>
    <w:rsid w:val="00824647"/>
    <w:rsid w:val="00824DCF"/>
    <w:rsid w:val="00824E86"/>
    <w:rsid w:val="0082509A"/>
    <w:rsid w:val="00825787"/>
    <w:rsid w:val="0082786A"/>
    <w:rsid w:val="00827902"/>
    <w:rsid w:val="008279D0"/>
    <w:rsid w:val="00827B0E"/>
    <w:rsid w:val="00830C03"/>
    <w:rsid w:val="00830DE0"/>
    <w:rsid w:val="008327B1"/>
    <w:rsid w:val="00832A5A"/>
    <w:rsid w:val="00833016"/>
    <w:rsid w:val="008335B0"/>
    <w:rsid w:val="00833E27"/>
    <w:rsid w:val="008342AA"/>
    <w:rsid w:val="00835925"/>
    <w:rsid w:val="00836740"/>
    <w:rsid w:val="00841374"/>
    <w:rsid w:val="00841FE4"/>
    <w:rsid w:val="0084226D"/>
    <w:rsid w:val="00842465"/>
    <w:rsid w:val="00842BDD"/>
    <w:rsid w:val="00842C71"/>
    <w:rsid w:val="00843201"/>
    <w:rsid w:val="008433C9"/>
    <w:rsid w:val="00843588"/>
    <w:rsid w:val="00844B87"/>
    <w:rsid w:val="00845AE2"/>
    <w:rsid w:val="008469D4"/>
    <w:rsid w:val="00847288"/>
    <w:rsid w:val="0084732A"/>
    <w:rsid w:val="00847B19"/>
    <w:rsid w:val="00850767"/>
    <w:rsid w:val="0085096C"/>
    <w:rsid w:val="00854D9C"/>
    <w:rsid w:val="00855196"/>
    <w:rsid w:val="00855772"/>
    <w:rsid w:val="00855F0B"/>
    <w:rsid w:val="008561C7"/>
    <w:rsid w:val="0085737F"/>
    <w:rsid w:val="00857688"/>
    <w:rsid w:val="0086045C"/>
    <w:rsid w:val="008608BA"/>
    <w:rsid w:val="00861942"/>
    <w:rsid w:val="00862DC9"/>
    <w:rsid w:val="0086458A"/>
    <w:rsid w:val="008653E0"/>
    <w:rsid w:val="008663D5"/>
    <w:rsid w:val="00866533"/>
    <w:rsid w:val="008667D8"/>
    <w:rsid w:val="00866A9D"/>
    <w:rsid w:val="00870153"/>
    <w:rsid w:val="00871481"/>
    <w:rsid w:val="00871B5A"/>
    <w:rsid w:val="00871ED8"/>
    <w:rsid w:val="008737C0"/>
    <w:rsid w:val="00873B6F"/>
    <w:rsid w:val="00873B93"/>
    <w:rsid w:val="00873BFE"/>
    <w:rsid w:val="00873E2F"/>
    <w:rsid w:val="008742E0"/>
    <w:rsid w:val="008745F7"/>
    <w:rsid w:val="00874AE5"/>
    <w:rsid w:val="00875684"/>
    <w:rsid w:val="00875906"/>
    <w:rsid w:val="00876E46"/>
    <w:rsid w:val="008772F9"/>
    <w:rsid w:val="00877395"/>
    <w:rsid w:val="008776C0"/>
    <w:rsid w:val="00877776"/>
    <w:rsid w:val="008778E2"/>
    <w:rsid w:val="00877DC5"/>
    <w:rsid w:val="008811C8"/>
    <w:rsid w:val="00881C83"/>
    <w:rsid w:val="00881E9B"/>
    <w:rsid w:val="0088219D"/>
    <w:rsid w:val="00882D7E"/>
    <w:rsid w:val="00883640"/>
    <w:rsid w:val="00883682"/>
    <w:rsid w:val="0088465F"/>
    <w:rsid w:val="00884879"/>
    <w:rsid w:val="008854AE"/>
    <w:rsid w:val="00885CFC"/>
    <w:rsid w:val="00886448"/>
    <w:rsid w:val="008866A5"/>
    <w:rsid w:val="008870B6"/>
    <w:rsid w:val="008878CF"/>
    <w:rsid w:val="00891F6E"/>
    <w:rsid w:val="008927A3"/>
    <w:rsid w:val="00892C1A"/>
    <w:rsid w:val="00892D6C"/>
    <w:rsid w:val="0089304B"/>
    <w:rsid w:val="0089333A"/>
    <w:rsid w:val="008944AD"/>
    <w:rsid w:val="008946BF"/>
    <w:rsid w:val="00894BA8"/>
    <w:rsid w:val="00895853"/>
    <w:rsid w:val="00895C48"/>
    <w:rsid w:val="008968EE"/>
    <w:rsid w:val="00896F71"/>
    <w:rsid w:val="00897970"/>
    <w:rsid w:val="008A0298"/>
    <w:rsid w:val="008A0B15"/>
    <w:rsid w:val="008A0C54"/>
    <w:rsid w:val="008A0E09"/>
    <w:rsid w:val="008A16E3"/>
    <w:rsid w:val="008A275F"/>
    <w:rsid w:val="008A4B7D"/>
    <w:rsid w:val="008A4C14"/>
    <w:rsid w:val="008A4D3B"/>
    <w:rsid w:val="008A55B6"/>
    <w:rsid w:val="008A6537"/>
    <w:rsid w:val="008A6871"/>
    <w:rsid w:val="008A6EC7"/>
    <w:rsid w:val="008A72A1"/>
    <w:rsid w:val="008A72F9"/>
    <w:rsid w:val="008A755A"/>
    <w:rsid w:val="008A7B98"/>
    <w:rsid w:val="008B2544"/>
    <w:rsid w:val="008B26C6"/>
    <w:rsid w:val="008B2708"/>
    <w:rsid w:val="008B4283"/>
    <w:rsid w:val="008B47C5"/>
    <w:rsid w:val="008B4C8C"/>
    <w:rsid w:val="008B5703"/>
    <w:rsid w:val="008B659D"/>
    <w:rsid w:val="008B66DD"/>
    <w:rsid w:val="008B7198"/>
    <w:rsid w:val="008B72DD"/>
    <w:rsid w:val="008B792B"/>
    <w:rsid w:val="008C18DE"/>
    <w:rsid w:val="008C3DBE"/>
    <w:rsid w:val="008C3E09"/>
    <w:rsid w:val="008C4B50"/>
    <w:rsid w:val="008C4FD1"/>
    <w:rsid w:val="008C5358"/>
    <w:rsid w:val="008C5DFD"/>
    <w:rsid w:val="008C790D"/>
    <w:rsid w:val="008D089A"/>
    <w:rsid w:val="008D1E60"/>
    <w:rsid w:val="008D2131"/>
    <w:rsid w:val="008D315D"/>
    <w:rsid w:val="008D3A30"/>
    <w:rsid w:val="008D5168"/>
    <w:rsid w:val="008D5213"/>
    <w:rsid w:val="008D6032"/>
    <w:rsid w:val="008E0931"/>
    <w:rsid w:val="008E0C2D"/>
    <w:rsid w:val="008E0C2F"/>
    <w:rsid w:val="008E0E80"/>
    <w:rsid w:val="008E2A59"/>
    <w:rsid w:val="008E2BA0"/>
    <w:rsid w:val="008E2CDC"/>
    <w:rsid w:val="008E2CDD"/>
    <w:rsid w:val="008E32A8"/>
    <w:rsid w:val="008E4427"/>
    <w:rsid w:val="008E499D"/>
    <w:rsid w:val="008E5076"/>
    <w:rsid w:val="008E5F1F"/>
    <w:rsid w:val="008E639A"/>
    <w:rsid w:val="008E679C"/>
    <w:rsid w:val="008E7C2A"/>
    <w:rsid w:val="008F1627"/>
    <w:rsid w:val="008F1F79"/>
    <w:rsid w:val="008F2744"/>
    <w:rsid w:val="008F54DF"/>
    <w:rsid w:val="008F6A2D"/>
    <w:rsid w:val="008F7402"/>
    <w:rsid w:val="009005D1"/>
    <w:rsid w:val="00900BFC"/>
    <w:rsid w:val="009011ED"/>
    <w:rsid w:val="00901C97"/>
    <w:rsid w:val="009021C2"/>
    <w:rsid w:val="009042F3"/>
    <w:rsid w:val="009049FC"/>
    <w:rsid w:val="00905566"/>
    <w:rsid w:val="00906550"/>
    <w:rsid w:val="009103B0"/>
    <w:rsid w:val="0091091E"/>
    <w:rsid w:val="009109F5"/>
    <w:rsid w:val="00910A44"/>
    <w:rsid w:val="0091101B"/>
    <w:rsid w:val="009113FB"/>
    <w:rsid w:val="00911587"/>
    <w:rsid w:val="00911804"/>
    <w:rsid w:val="00912E0E"/>
    <w:rsid w:val="00912F6B"/>
    <w:rsid w:val="0091310A"/>
    <w:rsid w:val="009134F0"/>
    <w:rsid w:val="00914265"/>
    <w:rsid w:val="009150E9"/>
    <w:rsid w:val="009173E7"/>
    <w:rsid w:val="009177FF"/>
    <w:rsid w:val="009200A8"/>
    <w:rsid w:val="009209AC"/>
    <w:rsid w:val="00921660"/>
    <w:rsid w:val="00921C81"/>
    <w:rsid w:val="0092322D"/>
    <w:rsid w:val="00923439"/>
    <w:rsid w:val="00924AC1"/>
    <w:rsid w:val="00924B37"/>
    <w:rsid w:val="0092675E"/>
    <w:rsid w:val="00927055"/>
    <w:rsid w:val="009274B5"/>
    <w:rsid w:val="0092772D"/>
    <w:rsid w:val="00931577"/>
    <w:rsid w:val="00931584"/>
    <w:rsid w:val="00932DBC"/>
    <w:rsid w:val="00934472"/>
    <w:rsid w:val="009357C2"/>
    <w:rsid w:val="0093588F"/>
    <w:rsid w:val="00935B1C"/>
    <w:rsid w:val="00937D7A"/>
    <w:rsid w:val="009401A5"/>
    <w:rsid w:val="00940899"/>
    <w:rsid w:val="00940972"/>
    <w:rsid w:val="00941018"/>
    <w:rsid w:val="00942238"/>
    <w:rsid w:val="00942F41"/>
    <w:rsid w:val="00943A69"/>
    <w:rsid w:val="009444A2"/>
    <w:rsid w:val="00944A54"/>
    <w:rsid w:val="00945B9E"/>
    <w:rsid w:val="0094733C"/>
    <w:rsid w:val="009476EF"/>
    <w:rsid w:val="00947E08"/>
    <w:rsid w:val="009508AD"/>
    <w:rsid w:val="00950C4F"/>
    <w:rsid w:val="009530C5"/>
    <w:rsid w:val="0095386D"/>
    <w:rsid w:val="0095396D"/>
    <w:rsid w:val="0095532C"/>
    <w:rsid w:val="00957B83"/>
    <w:rsid w:val="00957CBF"/>
    <w:rsid w:val="0096099A"/>
    <w:rsid w:val="00960F6E"/>
    <w:rsid w:val="00961956"/>
    <w:rsid w:val="00961F3C"/>
    <w:rsid w:val="00964B58"/>
    <w:rsid w:val="00964DE8"/>
    <w:rsid w:val="00965516"/>
    <w:rsid w:val="00965822"/>
    <w:rsid w:val="00965B61"/>
    <w:rsid w:val="0096721E"/>
    <w:rsid w:val="00967517"/>
    <w:rsid w:val="009679A9"/>
    <w:rsid w:val="00967B0B"/>
    <w:rsid w:val="00967CEC"/>
    <w:rsid w:val="00970971"/>
    <w:rsid w:val="00971495"/>
    <w:rsid w:val="00971842"/>
    <w:rsid w:val="00971A18"/>
    <w:rsid w:val="00972A8C"/>
    <w:rsid w:val="009737C7"/>
    <w:rsid w:val="009744BD"/>
    <w:rsid w:val="00974EE4"/>
    <w:rsid w:val="00975A67"/>
    <w:rsid w:val="0097659B"/>
    <w:rsid w:val="009775B8"/>
    <w:rsid w:val="00980E41"/>
    <w:rsid w:val="00983920"/>
    <w:rsid w:val="0098510D"/>
    <w:rsid w:val="00986C7F"/>
    <w:rsid w:val="00987332"/>
    <w:rsid w:val="00987507"/>
    <w:rsid w:val="00987A9E"/>
    <w:rsid w:val="009916B2"/>
    <w:rsid w:val="009954A1"/>
    <w:rsid w:val="0099551B"/>
    <w:rsid w:val="009960A0"/>
    <w:rsid w:val="00996E9C"/>
    <w:rsid w:val="009A1011"/>
    <w:rsid w:val="009A1B51"/>
    <w:rsid w:val="009A3E0E"/>
    <w:rsid w:val="009A61EE"/>
    <w:rsid w:val="009A6D65"/>
    <w:rsid w:val="009A7B62"/>
    <w:rsid w:val="009B0CDF"/>
    <w:rsid w:val="009B0E36"/>
    <w:rsid w:val="009B17D8"/>
    <w:rsid w:val="009B2ADD"/>
    <w:rsid w:val="009B2FE9"/>
    <w:rsid w:val="009B37E5"/>
    <w:rsid w:val="009B3AF4"/>
    <w:rsid w:val="009B4A5B"/>
    <w:rsid w:val="009B5944"/>
    <w:rsid w:val="009B6043"/>
    <w:rsid w:val="009B6587"/>
    <w:rsid w:val="009B65B1"/>
    <w:rsid w:val="009B6B5D"/>
    <w:rsid w:val="009B70E7"/>
    <w:rsid w:val="009B72AB"/>
    <w:rsid w:val="009C00E9"/>
    <w:rsid w:val="009C1329"/>
    <w:rsid w:val="009C2227"/>
    <w:rsid w:val="009C2562"/>
    <w:rsid w:val="009C2ADA"/>
    <w:rsid w:val="009C4996"/>
    <w:rsid w:val="009C513E"/>
    <w:rsid w:val="009C53DA"/>
    <w:rsid w:val="009C574C"/>
    <w:rsid w:val="009C75E4"/>
    <w:rsid w:val="009C7E57"/>
    <w:rsid w:val="009D07F4"/>
    <w:rsid w:val="009D0FCC"/>
    <w:rsid w:val="009D1CA2"/>
    <w:rsid w:val="009D1E59"/>
    <w:rsid w:val="009D2CD0"/>
    <w:rsid w:val="009D388E"/>
    <w:rsid w:val="009D5CC6"/>
    <w:rsid w:val="009D5F27"/>
    <w:rsid w:val="009D6767"/>
    <w:rsid w:val="009D6A81"/>
    <w:rsid w:val="009D7824"/>
    <w:rsid w:val="009E03F3"/>
    <w:rsid w:val="009E2696"/>
    <w:rsid w:val="009E2B66"/>
    <w:rsid w:val="009E433D"/>
    <w:rsid w:val="009E4E92"/>
    <w:rsid w:val="009E57A4"/>
    <w:rsid w:val="009E6BA2"/>
    <w:rsid w:val="009E6ED2"/>
    <w:rsid w:val="009E70A3"/>
    <w:rsid w:val="009E7942"/>
    <w:rsid w:val="009E7E30"/>
    <w:rsid w:val="009F09BE"/>
    <w:rsid w:val="009F1CFA"/>
    <w:rsid w:val="009F1E9D"/>
    <w:rsid w:val="009F300A"/>
    <w:rsid w:val="009F3768"/>
    <w:rsid w:val="009F39C6"/>
    <w:rsid w:val="009F3BC5"/>
    <w:rsid w:val="009F4E26"/>
    <w:rsid w:val="009F4EF7"/>
    <w:rsid w:val="009F5F78"/>
    <w:rsid w:val="009F61D9"/>
    <w:rsid w:val="009F6227"/>
    <w:rsid w:val="009F62CB"/>
    <w:rsid w:val="009F673E"/>
    <w:rsid w:val="009F706B"/>
    <w:rsid w:val="009F775F"/>
    <w:rsid w:val="009F7EDF"/>
    <w:rsid w:val="00A00F37"/>
    <w:rsid w:val="00A01DB8"/>
    <w:rsid w:val="00A039A1"/>
    <w:rsid w:val="00A03B0F"/>
    <w:rsid w:val="00A0410F"/>
    <w:rsid w:val="00A048E9"/>
    <w:rsid w:val="00A049D5"/>
    <w:rsid w:val="00A04A52"/>
    <w:rsid w:val="00A04BE8"/>
    <w:rsid w:val="00A05429"/>
    <w:rsid w:val="00A05F39"/>
    <w:rsid w:val="00A06825"/>
    <w:rsid w:val="00A06E9E"/>
    <w:rsid w:val="00A1036D"/>
    <w:rsid w:val="00A10A98"/>
    <w:rsid w:val="00A10B0E"/>
    <w:rsid w:val="00A10C1C"/>
    <w:rsid w:val="00A11AB2"/>
    <w:rsid w:val="00A12627"/>
    <w:rsid w:val="00A12A65"/>
    <w:rsid w:val="00A13493"/>
    <w:rsid w:val="00A13A09"/>
    <w:rsid w:val="00A1414A"/>
    <w:rsid w:val="00A14846"/>
    <w:rsid w:val="00A15A99"/>
    <w:rsid w:val="00A17267"/>
    <w:rsid w:val="00A1771A"/>
    <w:rsid w:val="00A2086E"/>
    <w:rsid w:val="00A20E9D"/>
    <w:rsid w:val="00A2120F"/>
    <w:rsid w:val="00A2178F"/>
    <w:rsid w:val="00A21FFA"/>
    <w:rsid w:val="00A22B10"/>
    <w:rsid w:val="00A23F52"/>
    <w:rsid w:val="00A24264"/>
    <w:rsid w:val="00A26217"/>
    <w:rsid w:val="00A3013F"/>
    <w:rsid w:val="00A3055E"/>
    <w:rsid w:val="00A30792"/>
    <w:rsid w:val="00A30B84"/>
    <w:rsid w:val="00A31DC8"/>
    <w:rsid w:val="00A3262A"/>
    <w:rsid w:val="00A329C8"/>
    <w:rsid w:val="00A3344B"/>
    <w:rsid w:val="00A33973"/>
    <w:rsid w:val="00A35436"/>
    <w:rsid w:val="00A35FF9"/>
    <w:rsid w:val="00A367AA"/>
    <w:rsid w:val="00A37880"/>
    <w:rsid w:val="00A400BF"/>
    <w:rsid w:val="00A41A3E"/>
    <w:rsid w:val="00A43CE0"/>
    <w:rsid w:val="00A4413F"/>
    <w:rsid w:val="00A44394"/>
    <w:rsid w:val="00A45B92"/>
    <w:rsid w:val="00A45EC3"/>
    <w:rsid w:val="00A46122"/>
    <w:rsid w:val="00A478BD"/>
    <w:rsid w:val="00A47CF5"/>
    <w:rsid w:val="00A5032A"/>
    <w:rsid w:val="00A50AC9"/>
    <w:rsid w:val="00A51F03"/>
    <w:rsid w:val="00A51F67"/>
    <w:rsid w:val="00A522D4"/>
    <w:rsid w:val="00A5367D"/>
    <w:rsid w:val="00A5507B"/>
    <w:rsid w:val="00A57D98"/>
    <w:rsid w:val="00A61524"/>
    <w:rsid w:val="00A62F57"/>
    <w:rsid w:val="00A63413"/>
    <w:rsid w:val="00A6488B"/>
    <w:rsid w:val="00A6556C"/>
    <w:rsid w:val="00A659B5"/>
    <w:rsid w:val="00A65A66"/>
    <w:rsid w:val="00A661BB"/>
    <w:rsid w:val="00A67327"/>
    <w:rsid w:val="00A70D6E"/>
    <w:rsid w:val="00A715F7"/>
    <w:rsid w:val="00A720CF"/>
    <w:rsid w:val="00A72192"/>
    <w:rsid w:val="00A72B07"/>
    <w:rsid w:val="00A73BB9"/>
    <w:rsid w:val="00A73D4A"/>
    <w:rsid w:val="00A743EB"/>
    <w:rsid w:val="00A7450E"/>
    <w:rsid w:val="00A74B4C"/>
    <w:rsid w:val="00A7552F"/>
    <w:rsid w:val="00A76236"/>
    <w:rsid w:val="00A763E7"/>
    <w:rsid w:val="00A77796"/>
    <w:rsid w:val="00A81862"/>
    <w:rsid w:val="00A8187F"/>
    <w:rsid w:val="00A8271E"/>
    <w:rsid w:val="00A827D2"/>
    <w:rsid w:val="00A847C3"/>
    <w:rsid w:val="00A855CF"/>
    <w:rsid w:val="00A85A01"/>
    <w:rsid w:val="00A86128"/>
    <w:rsid w:val="00A86D6A"/>
    <w:rsid w:val="00A86E2C"/>
    <w:rsid w:val="00A8766D"/>
    <w:rsid w:val="00A90F72"/>
    <w:rsid w:val="00A91E27"/>
    <w:rsid w:val="00A93DC3"/>
    <w:rsid w:val="00A9462E"/>
    <w:rsid w:val="00A94E45"/>
    <w:rsid w:val="00A950A5"/>
    <w:rsid w:val="00A978B6"/>
    <w:rsid w:val="00A97929"/>
    <w:rsid w:val="00AA05F8"/>
    <w:rsid w:val="00AA1167"/>
    <w:rsid w:val="00AA22BE"/>
    <w:rsid w:val="00AA44A3"/>
    <w:rsid w:val="00AA5C1D"/>
    <w:rsid w:val="00AA5C61"/>
    <w:rsid w:val="00AA5CBB"/>
    <w:rsid w:val="00AA5F9C"/>
    <w:rsid w:val="00AA6795"/>
    <w:rsid w:val="00AA69BF"/>
    <w:rsid w:val="00AA6CC7"/>
    <w:rsid w:val="00AA70B6"/>
    <w:rsid w:val="00AA7709"/>
    <w:rsid w:val="00AA7DA3"/>
    <w:rsid w:val="00AB0B18"/>
    <w:rsid w:val="00AB0B62"/>
    <w:rsid w:val="00AB192A"/>
    <w:rsid w:val="00AB20C0"/>
    <w:rsid w:val="00AB3045"/>
    <w:rsid w:val="00AB416F"/>
    <w:rsid w:val="00AB425F"/>
    <w:rsid w:val="00AB4300"/>
    <w:rsid w:val="00AB4D68"/>
    <w:rsid w:val="00AB4FD0"/>
    <w:rsid w:val="00AB5E6A"/>
    <w:rsid w:val="00AB72EB"/>
    <w:rsid w:val="00AC0D5E"/>
    <w:rsid w:val="00AC0EBD"/>
    <w:rsid w:val="00AC19E3"/>
    <w:rsid w:val="00AC1E71"/>
    <w:rsid w:val="00AC3116"/>
    <w:rsid w:val="00AC316A"/>
    <w:rsid w:val="00AC373B"/>
    <w:rsid w:val="00AC567A"/>
    <w:rsid w:val="00AC6D50"/>
    <w:rsid w:val="00AC7690"/>
    <w:rsid w:val="00AC76CE"/>
    <w:rsid w:val="00AD0527"/>
    <w:rsid w:val="00AD1524"/>
    <w:rsid w:val="00AD1CA2"/>
    <w:rsid w:val="00AD37AD"/>
    <w:rsid w:val="00AD3DB1"/>
    <w:rsid w:val="00AD49F7"/>
    <w:rsid w:val="00AD4AF8"/>
    <w:rsid w:val="00AD5B94"/>
    <w:rsid w:val="00AD66C7"/>
    <w:rsid w:val="00AD6708"/>
    <w:rsid w:val="00AD75EB"/>
    <w:rsid w:val="00AD762D"/>
    <w:rsid w:val="00AE0239"/>
    <w:rsid w:val="00AE0A52"/>
    <w:rsid w:val="00AE0E0E"/>
    <w:rsid w:val="00AE0F6C"/>
    <w:rsid w:val="00AE2E3C"/>
    <w:rsid w:val="00AE4A8E"/>
    <w:rsid w:val="00AE4F16"/>
    <w:rsid w:val="00AE6038"/>
    <w:rsid w:val="00AE6E34"/>
    <w:rsid w:val="00AE6F01"/>
    <w:rsid w:val="00AF07E3"/>
    <w:rsid w:val="00AF0BE2"/>
    <w:rsid w:val="00AF10D4"/>
    <w:rsid w:val="00AF1233"/>
    <w:rsid w:val="00AF1A9F"/>
    <w:rsid w:val="00AF27D5"/>
    <w:rsid w:val="00AF2C37"/>
    <w:rsid w:val="00AF45AD"/>
    <w:rsid w:val="00AF4F10"/>
    <w:rsid w:val="00AF562C"/>
    <w:rsid w:val="00AF58C6"/>
    <w:rsid w:val="00AF5A72"/>
    <w:rsid w:val="00B00DCF"/>
    <w:rsid w:val="00B0112A"/>
    <w:rsid w:val="00B0112B"/>
    <w:rsid w:val="00B01501"/>
    <w:rsid w:val="00B020DA"/>
    <w:rsid w:val="00B0229E"/>
    <w:rsid w:val="00B02467"/>
    <w:rsid w:val="00B028A4"/>
    <w:rsid w:val="00B06EFC"/>
    <w:rsid w:val="00B0753C"/>
    <w:rsid w:val="00B07DA6"/>
    <w:rsid w:val="00B07E5D"/>
    <w:rsid w:val="00B10582"/>
    <w:rsid w:val="00B10934"/>
    <w:rsid w:val="00B11496"/>
    <w:rsid w:val="00B11964"/>
    <w:rsid w:val="00B12489"/>
    <w:rsid w:val="00B1292A"/>
    <w:rsid w:val="00B13B9C"/>
    <w:rsid w:val="00B1403C"/>
    <w:rsid w:val="00B141CC"/>
    <w:rsid w:val="00B15AA5"/>
    <w:rsid w:val="00B16284"/>
    <w:rsid w:val="00B1647B"/>
    <w:rsid w:val="00B20E83"/>
    <w:rsid w:val="00B215DF"/>
    <w:rsid w:val="00B2309B"/>
    <w:rsid w:val="00B234C6"/>
    <w:rsid w:val="00B23515"/>
    <w:rsid w:val="00B23BBB"/>
    <w:rsid w:val="00B244E9"/>
    <w:rsid w:val="00B24B60"/>
    <w:rsid w:val="00B24C28"/>
    <w:rsid w:val="00B24DF3"/>
    <w:rsid w:val="00B253A1"/>
    <w:rsid w:val="00B258FA"/>
    <w:rsid w:val="00B2754C"/>
    <w:rsid w:val="00B27E17"/>
    <w:rsid w:val="00B30118"/>
    <w:rsid w:val="00B31461"/>
    <w:rsid w:val="00B31929"/>
    <w:rsid w:val="00B3199A"/>
    <w:rsid w:val="00B31B33"/>
    <w:rsid w:val="00B320F5"/>
    <w:rsid w:val="00B334FC"/>
    <w:rsid w:val="00B339AC"/>
    <w:rsid w:val="00B34E93"/>
    <w:rsid w:val="00B35908"/>
    <w:rsid w:val="00B371BD"/>
    <w:rsid w:val="00B40093"/>
    <w:rsid w:val="00B40158"/>
    <w:rsid w:val="00B408BC"/>
    <w:rsid w:val="00B41E79"/>
    <w:rsid w:val="00B42E2F"/>
    <w:rsid w:val="00B42F7B"/>
    <w:rsid w:val="00B42FA1"/>
    <w:rsid w:val="00B4330A"/>
    <w:rsid w:val="00B444D1"/>
    <w:rsid w:val="00B44B44"/>
    <w:rsid w:val="00B44BB9"/>
    <w:rsid w:val="00B44BEE"/>
    <w:rsid w:val="00B44E37"/>
    <w:rsid w:val="00B4522B"/>
    <w:rsid w:val="00B4791A"/>
    <w:rsid w:val="00B47EDE"/>
    <w:rsid w:val="00B50FAE"/>
    <w:rsid w:val="00B51AF6"/>
    <w:rsid w:val="00B51B20"/>
    <w:rsid w:val="00B51EBC"/>
    <w:rsid w:val="00B52F9C"/>
    <w:rsid w:val="00B5317E"/>
    <w:rsid w:val="00B532BD"/>
    <w:rsid w:val="00B53791"/>
    <w:rsid w:val="00B539C0"/>
    <w:rsid w:val="00B53E01"/>
    <w:rsid w:val="00B540BA"/>
    <w:rsid w:val="00B54613"/>
    <w:rsid w:val="00B54A02"/>
    <w:rsid w:val="00B54B59"/>
    <w:rsid w:val="00B54D49"/>
    <w:rsid w:val="00B55E16"/>
    <w:rsid w:val="00B56041"/>
    <w:rsid w:val="00B5606F"/>
    <w:rsid w:val="00B5652D"/>
    <w:rsid w:val="00B60CC7"/>
    <w:rsid w:val="00B612CA"/>
    <w:rsid w:val="00B61819"/>
    <w:rsid w:val="00B62D22"/>
    <w:rsid w:val="00B6406F"/>
    <w:rsid w:val="00B6512D"/>
    <w:rsid w:val="00B652A4"/>
    <w:rsid w:val="00B656FE"/>
    <w:rsid w:val="00B65C4F"/>
    <w:rsid w:val="00B66035"/>
    <w:rsid w:val="00B667ED"/>
    <w:rsid w:val="00B67C63"/>
    <w:rsid w:val="00B67EDA"/>
    <w:rsid w:val="00B721AE"/>
    <w:rsid w:val="00B7366B"/>
    <w:rsid w:val="00B73746"/>
    <w:rsid w:val="00B7530C"/>
    <w:rsid w:val="00B75BEF"/>
    <w:rsid w:val="00B767ED"/>
    <w:rsid w:val="00B76922"/>
    <w:rsid w:val="00B772EE"/>
    <w:rsid w:val="00B77513"/>
    <w:rsid w:val="00B77F1B"/>
    <w:rsid w:val="00B80349"/>
    <w:rsid w:val="00B8063B"/>
    <w:rsid w:val="00B807B4"/>
    <w:rsid w:val="00B81D0F"/>
    <w:rsid w:val="00B8331B"/>
    <w:rsid w:val="00B83A51"/>
    <w:rsid w:val="00B83E7B"/>
    <w:rsid w:val="00B83F1F"/>
    <w:rsid w:val="00B84B22"/>
    <w:rsid w:val="00B84DE4"/>
    <w:rsid w:val="00B85573"/>
    <w:rsid w:val="00B86481"/>
    <w:rsid w:val="00B873AE"/>
    <w:rsid w:val="00B876EC"/>
    <w:rsid w:val="00B90D19"/>
    <w:rsid w:val="00B90D85"/>
    <w:rsid w:val="00B92B86"/>
    <w:rsid w:val="00B93469"/>
    <w:rsid w:val="00B951E9"/>
    <w:rsid w:val="00B95972"/>
    <w:rsid w:val="00B95AE8"/>
    <w:rsid w:val="00B95B34"/>
    <w:rsid w:val="00B9707A"/>
    <w:rsid w:val="00B9776A"/>
    <w:rsid w:val="00B97839"/>
    <w:rsid w:val="00B978BC"/>
    <w:rsid w:val="00B97AA6"/>
    <w:rsid w:val="00BA0154"/>
    <w:rsid w:val="00BA0250"/>
    <w:rsid w:val="00BA051D"/>
    <w:rsid w:val="00BA123B"/>
    <w:rsid w:val="00BA189D"/>
    <w:rsid w:val="00BA2DE5"/>
    <w:rsid w:val="00BA3851"/>
    <w:rsid w:val="00BA46F3"/>
    <w:rsid w:val="00BA494E"/>
    <w:rsid w:val="00BA51ED"/>
    <w:rsid w:val="00BA579D"/>
    <w:rsid w:val="00BA6CB2"/>
    <w:rsid w:val="00BB054C"/>
    <w:rsid w:val="00BB1EE2"/>
    <w:rsid w:val="00BB219B"/>
    <w:rsid w:val="00BB29D4"/>
    <w:rsid w:val="00BB3421"/>
    <w:rsid w:val="00BB37C1"/>
    <w:rsid w:val="00BB3A55"/>
    <w:rsid w:val="00BB3AF7"/>
    <w:rsid w:val="00BB4097"/>
    <w:rsid w:val="00BB4957"/>
    <w:rsid w:val="00BB5AEC"/>
    <w:rsid w:val="00BB6CDD"/>
    <w:rsid w:val="00BB6DE1"/>
    <w:rsid w:val="00BB7297"/>
    <w:rsid w:val="00BB739D"/>
    <w:rsid w:val="00BB7B29"/>
    <w:rsid w:val="00BC0000"/>
    <w:rsid w:val="00BC0384"/>
    <w:rsid w:val="00BC156C"/>
    <w:rsid w:val="00BC1767"/>
    <w:rsid w:val="00BC1AAD"/>
    <w:rsid w:val="00BC1E78"/>
    <w:rsid w:val="00BC212E"/>
    <w:rsid w:val="00BC2966"/>
    <w:rsid w:val="00BC29C8"/>
    <w:rsid w:val="00BC3670"/>
    <w:rsid w:val="00BC375B"/>
    <w:rsid w:val="00BC376C"/>
    <w:rsid w:val="00BC39DD"/>
    <w:rsid w:val="00BC3EF9"/>
    <w:rsid w:val="00BC3FCE"/>
    <w:rsid w:val="00BC41D9"/>
    <w:rsid w:val="00BC64A6"/>
    <w:rsid w:val="00BD00EB"/>
    <w:rsid w:val="00BD0493"/>
    <w:rsid w:val="00BD073E"/>
    <w:rsid w:val="00BD08BE"/>
    <w:rsid w:val="00BD1E0C"/>
    <w:rsid w:val="00BD2877"/>
    <w:rsid w:val="00BD39A7"/>
    <w:rsid w:val="00BD436C"/>
    <w:rsid w:val="00BD43CF"/>
    <w:rsid w:val="00BD4824"/>
    <w:rsid w:val="00BD4DBF"/>
    <w:rsid w:val="00BD6A47"/>
    <w:rsid w:val="00BD6E79"/>
    <w:rsid w:val="00BD7550"/>
    <w:rsid w:val="00BD7A8C"/>
    <w:rsid w:val="00BE0775"/>
    <w:rsid w:val="00BE0D9C"/>
    <w:rsid w:val="00BE0FC6"/>
    <w:rsid w:val="00BE12B3"/>
    <w:rsid w:val="00BE233E"/>
    <w:rsid w:val="00BE40C9"/>
    <w:rsid w:val="00BE47EE"/>
    <w:rsid w:val="00BE5754"/>
    <w:rsid w:val="00BE6BBD"/>
    <w:rsid w:val="00BE6D5A"/>
    <w:rsid w:val="00BE7759"/>
    <w:rsid w:val="00BF116E"/>
    <w:rsid w:val="00BF27C9"/>
    <w:rsid w:val="00BF2DA7"/>
    <w:rsid w:val="00BF2EC2"/>
    <w:rsid w:val="00BF30F8"/>
    <w:rsid w:val="00BF314D"/>
    <w:rsid w:val="00BF32B4"/>
    <w:rsid w:val="00BF397E"/>
    <w:rsid w:val="00BF6653"/>
    <w:rsid w:val="00BF7440"/>
    <w:rsid w:val="00BF74A4"/>
    <w:rsid w:val="00C005B2"/>
    <w:rsid w:val="00C00B1F"/>
    <w:rsid w:val="00C0119D"/>
    <w:rsid w:val="00C02246"/>
    <w:rsid w:val="00C02717"/>
    <w:rsid w:val="00C02D8A"/>
    <w:rsid w:val="00C0325D"/>
    <w:rsid w:val="00C1014D"/>
    <w:rsid w:val="00C10B48"/>
    <w:rsid w:val="00C10C77"/>
    <w:rsid w:val="00C1211B"/>
    <w:rsid w:val="00C12284"/>
    <w:rsid w:val="00C129F3"/>
    <w:rsid w:val="00C14111"/>
    <w:rsid w:val="00C142B4"/>
    <w:rsid w:val="00C1585F"/>
    <w:rsid w:val="00C15B26"/>
    <w:rsid w:val="00C15C6A"/>
    <w:rsid w:val="00C16CAA"/>
    <w:rsid w:val="00C17044"/>
    <w:rsid w:val="00C1769B"/>
    <w:rsid w:val="00C17A76"/>
    <w:rsid w:val="00C20094"/>
    <w:rsid w:val="00C2260E"/>
    <w:rsid w:val="00C23477"/>
    <w:rsid w:val="00C23683"/>
    <w:rsid w:val="00C237F1"/>
    <w:rsid w:val="00C240FA"/>
    <w:rsid w:val="00C259DF"/>
    <w:rsid w:val="00C25DB3"/>
    <w:rsid w:val="00C26828"/>
    <w:rsid w:val="00C26C81"/>
    <w:rsid w:val="00C27D32"/>
    <w:rsid w:val="00C27F0C"/>
    <w:rsid w:val="00C3104C"/>
    <w:rsid w:val="00C31ED8"/>
    <w:rsid w:val="00C32763"/>
    <w:rsid w:val="00C331A1"/>
    <w:rsid w:val="00C33312"/>
    <w:rsid w:val="00C33446"/>
    <w:rsid w:val="00C34AB4"/>
    <w:rsid w:val="00C34B35"/>
    <w:rsid w:val="00C351BF"/>
    <w:rsid w:val="00C35EED"/>
    <w:rsid w:val="00C362DC"/>
    <w:rsid w:val="00C37843"/>
    <w:rsid w:val="00C37AC2"/>
    <w:rsid w:val="00C403AD"/>
    <w:rsid w:val="00C414F1"/>
    <w:rsid w:val="00C428A8"/>
    <w:rsid w:val="00C42CC4"/>
    <w:rsid w:val="00C437AB"/>
    <w:rsid w:val="00C43A44"/>
    <w:rsid w:val="00C445FE"/>
    <w:rsid w:val="00C44A5C"/>
    <w:rsid w:val="00C451B1"/>
    <w:rsid w:val="00C456EF"/>
    <w:rsid w:val="00C46E4F"/>
    <w:rsid w:val="00C46F31"/>
    <w:rsid w:val="00C47129"/>
    <w:rsid w:val="00C47ED9"/>
    <w:rsid w:val="00C5078C"/>
    <w:rsid w:val="00C508EF"/>
    <w:rsid w:val="00C50BAE"/>
    <w:rsid w:val="00C554BB"/>
    <w:rsid w:val="00C554EC"/>
    <w:rsid w:val="00C559BF"/>
    <w:rsid w:val="00C56055"/>
    <w:rsid w:val="00C600B5"/>
    <w:rsid w:val="00C60A43"/>
    <w:rsid w:val="00C60AE2"/>
    <w:rsid w:val="00C61E75"/>
    <w:rsid w:val="00C61EE5"/>
    <w:rsid w:val="00C624C7"/>
    <w:rsid w:val="00C63212"/>
    <w:rsid w:val="00C644EA"/>
    <w:rsid w:val="00C649E2"/>
    <w:rsid w:val="00C64EEF"/>
    <w:rsid w:val="00C65A95"/>
    <w:rsid w:val="00C6773B"/>
    <w:rsid w:val="00C677AD"/>
    <w:rsid w:val="00C6785F"/>
    <w:rsid w:val="00C67ABA"/>
    <w:rsid w:val="00C70714"/>
    <w:rsid w:val="00C70B4D"/>
    <w:rsid w:val="00C70E54"/>
    <w:rsid w:val="00C71AB7"/>
    <w:rsid w:val="00C73493"/>
    <w:rsid w:val="00C746FB"/>
    <w:rsid w:val="00C752C7"/>
    <w:rsid w:val="00C7574C"/>
    <w:rsid w:val="00C75B61"/>
    <w:rsid w:val="00C76C46"/>
    <w:rsid w:val="00C76D56"/>
    <w:rsid w:val="00C77DD4"/>
    <w:rsid w:val="00C80321"/>
    <w:rsid w:val="00C80462"/>
    <w:rsid w:val="00C82A3D"/>
    <w:rsid w:val="00C834A5"/>
    <w:rsid w:val="00C8431E"/>
    <w:rsid w:val="00C84B64"/>
    <w:rsid w:val="00C8544C"/>
    <w:rsid w:val="00C85FA4"/>
    <w:rsid w:val="00C86443"/>
    <w:rsid w:val="00C8697D"/>
    <w:rsid w:val="00C86ABD"/>
    <w:rsid w:val="00C86F74"/>
    <w:rsid w:val="00C87097"/>
    <w:rsid w:val="00C91A43"/>
    <w:rsid w:val="00C92102"/>
    <w:rsid w:val="00C92A72"/>
    <w:rsid w:val="00C94CB5"/>
    <w:rsid w:val="00C9562F"/>
    <w:rsid w:val="00C95751"/>
    <w:rsid w:val="00C9679B"/>
    <w:rsid w:val="00C96BF2"/>
    <w:rsid w:val="00C96DFA"/>
    <w:rsid w:val="00C971BE"/>
    <w:rsid w:val="00C972F1"/>
    <w:rsid w:val="00C97966"/>
    <w:rsid w:val="00CA07CD"/>
    <w:rsid w:val="00CA0804"/>
    <w:rsid w:val="00CA1127"/>
    <w:rsid w:val="00CA24C1"/>
    <w:rsid w:val="00CA3848"/>
    <w:rsid w:val="00CA3913"/>
    <w:rsid w:val="00CA448D"/>
    <w:rsid w:val="00CA573A"/>
    <w:rsid w:val="00CA684E"/>
    <w:rsid w:val="00CA685D"/>
    <w:rsid w:val="00CA6894"/>
    <w:rsid w:val="00CA6928"/>
    <w:rsid w:val="00CA7C5E"/>
    <w:rsid w:val="00CA7D13"/>
    <w:rsid w:val="00CB016E"/>
    <w:rsid w:val="00CB0CBA"/>
    <w:rsid w:val="00CB0EEB"/>
    <w:rsid w:val="00CB1215"/>
    <w:rsid w:val="00CB1CE5"/>
    <w:rsid w:val="00CB1D03"/>
    <w:rsid w:val="00CB2473"/>
    <w:rsid w:val="00CB2A8A"/>
    <w:rsid w:val="00CB32B2"/>
    <w:rsid w:val="00CB3305"/>
    <w:rsid w:val="00CB3335"/>
    <w:rsid w:val="00CB3574"/>
    <w:rsid w:val="00CB4448"/>
    <w:rsid w:val="00CB6509"/>
    <w:rsid w:val="00CB7CB5"/>
    <w:rsid w:val="00CB7F99"/>
    <w:rsid w:val="00CC1E5F"/>
    <w:rsid w:val="00CC25F9"/>
    <w:rsid w:val="00CC2678"/>
    <w:rsid w:val="00CC31B2"/>
    <w:rsid w:val="00CC42B6"/>
    <w:rsid w:val="00CC521C"/>
    <w:rsid w:val="00CC7E96"/>
    <w:rsid w:val="00CD1976"/>
    <w:rsid w:val="00CD1982"/>
    <w:rsid w:val="00CD1F25"/>
    <w:rsid w:val="00CD252F"/>
    <w:rsid w:val="00CD2E0F"/>
    <w:rsid w:val="00CD3079"/>
    <w:rsid w:val="00CD47E9"/>
    <w:rsid w:val="00CD56E9"/>
    <w:rsid w:val="00CD6C2F"/>
    <w:rsid w:val="00CD6EAD"/>
    <w:rsid w:val="00CD7C4D"/>
    <w:rsid w:val="00CD7E1B"/>
    <w:rsid w:val="00CD7F66"/>
    <w:rsid w:val="00CE03FB"/>
    <w:rsid w:val="00CE0EA4"/>
    <w:rsid w:val="00CE12DB"/>
    <w:rsid w:val="00CE23CC"/>
    <w:rsid w:val="00CE2689"/>
    <w:rsid w:val="00CE2A4F"/>
    <w:rsid w:val="00CE405A"/>
    <w:rsid w:val="00CE423B"/>
    <w:rsid w:val="00CE48CB"/>
    <w:rsid w:val="00CE4DAE"/>
    <w:rsid w:val="00CE5119"/>
    <w:rsid w:val="00CE692D"/>
    <w:rsid w:val="00CE7111"/>
    <w:rsid w:val="00CF0005"/>
    <w:rsid w:val="00CF0261"/>
    <w:rsid w:val="00CF0270"/>
    <w:rsid w:val="00CF1F97"/>
    <w:rsid w:val="00CF2B24"/>
    <w:rsid w:val="00CF2F88"/>
    <w:rsid w:val="00CF309F"/>
    <w:rsid w:val="00CF3D01"/>
    <w:rsid w:val="00CF42E9"/>
    <w:rsid w:val="00CF5398"/>
    <w:rsid w:val="00CF53D9"/>
    <w:rsid w:val="00CF5AC7"/>
    <w:rsid w:val="00CF7381"/>
    <w:rsid w:val="00CF7F58"/>
    <w:rsid w:val="00D0023B"/>
    <w:rsid w:val="00D007F3"/>
    <w:rsid w:val="00D00BF8"/>
    <w:rsid w:val="00D014A8"/>
    <w:rsid w:val="00D01E10"/>
    <w:rsid w:val="00D02411"/>
    <w:rsid w:val="00D02FBA"/>
    <w:rsid w:val="00D0461E"/>
    <w:rsid w:val="00D04678"/>
    <w:rsid w:val="00D0477D"/>
    <w:rsid w:val="00D05789"/>
    <w:rsid w:val="00D070A6"/>
    <w:rsid w:val="00D076AE"/>
    <w:rsid w:val="00D07ABE"/>
    <w:rsid w:val="00D10C4D"/>
    <w:rsid w:val="00D115CF"/>
    <w:rsid w:val="00D11DE8"/>
    <w:rsid w:val="00D12B14"/>
    <w:rsid w:val="00D12B39"/>
    <w:rsid w:val="00D13F40"/>
    <w:rsid w:val="00D145C1"/>
    <w:rsid w:val="00D157B9"/>
    <w:rsid w:val="00D157BB"/>
    <w:rsid w:val="00D1580E"/>
    <w:rsid w:val="00D16F69"/>
    <w:rsid w:val="00D205F2"/>
    <w:rsid w:val="00D20C54"/>
    <w:rsid w:val="00D22BC5"/>
    <w:rsid w:val="00D231D0"/>
    <w:rsid w:val="00D243A3"/>
    <w:rsid w:val="00D24601"/>
    <w:rsid w:val="00D26D53"/>
    <w:rsid w:val="00D30B88"/>
    <w:rsid w:val="00D327F0"/>
    <w:rsid w:val="00D32A81"/>
    <w:rsid w:val="00D330E1"/>
    <w:rsid w:val="00D35512"/>
    <w:rsid w:val="00D35C97"/>
    <w:rsid w:val="00D36CE6"/>
    <w:rsid w:val="00D41D3C"/>
    <w:rsid w:val="00D41F72"/>
    <w:rsid w:val="00D423EB"/>
    <w:rsid w:val="00D442EE"/>
    <w:rsid w:val="00D468A2"/>
    <w:rsid w:val="00D47085"/>
    <w:rsid w:val="00D47589"/>
    <w:rsid w:val="00D50A85"/>
    <w:rsid w:val="00D5178D"/>
    <w:rsid w:val="00D51D0A"/>
    <w:rsid w:val="00D525F9"/>
    <w:rsid w:val="00D534BA"/>
    <w:rsid w:val="00D53537"/>
    <w:rsid w:val="00D554E6"/>
    <w:rsid w:val="00D55B4C"/>
    <w:rsid w:val="00D56AAA"/>
    <w:rsid w:val="00D56C99"/>
    <w:rsid w:val="00D57060"/>
    <w:rsid w:val="00D61100"/>
    <w:rsid w:val="00D61B08"/>
    <w:rsid w:val="00D623C0"/>
    <w:rsid w:val="00D62FA5"/>
    <w:rsid w:val="00D630B8"/>
    <w:rsid w:val="00D63208"/>
    <w:rsid w:val="00D6320E"/>
    <w:rsid w:val="00D633D2"/>
    <w:rsid w:val="00D63656"/>
    <w:rsid w:val="00D6423D"/>
    <w:rsid w:val="00D64E2D"/>
    <w:rsid w:val="00D65CD6"/>
    <w:rsid w:val="00D67943"/>
    <w:rsid w:val="00D67B5F"/>
    <w:rsid w:val="00D67CAD"/>
    <w:rsid w:val="00D704BD"/>
    <w:rsid w:val="00D706C3"/>
    <w:rsid w:val="00D707A3"/>
    <w:rsid w:val="00D70F4B"/>
    <w:rsid w:val="00D710CF"/>
    <w:rsid w:val="00D71D11"/>
    <w:rsid w:val="00D7226F"/>
    <w:rsid w:val="00D725C2"/>
    <w:rsid w:val="00D7608C"/>
    <w:rsid w:val="00D761CD"/>
    <w:rsid w:val="00D76363"/>
    <w:rsid w:val="00D80558"/>
    <w:rsid w:val="00D805B3"/>
    <w:rsid w:val="00D80C88"/>
    <w:rsid w:val="00D8145F"/>
    <w:rsid w:val="00D81C25"/>
    <w:rsid w:val="00D82C3A"/>
    <w:rsid w:val="00D82E7E"/>
    <w:rsid w:val="00D83C26"/>
    <w:rsid w:val="00D84FBD"/>
    <w:rsid w:val="00D85838"/>
    <w:rsid w:val="00D85D67"/>
    <w:rsid w:val="00D86432"/>
    <w:rsid w:val="00D91EA9"/>
    <w:rsid w:val="00D92EBC"/>
    <w:rsid w:val="00D93D43"/>
    <w:rsid w:val="00D944B2"/>
    <w:rsid w:val="00D94C7B"/>
    <w:rsid w:val="00D94DE4"/>
    <w:rsid w:val="00D9545B"/>
    <w:rsid w:val="00D95CCF"/>
    <w:rsid w:val="00D9691F"/>
    <w:rsid w:val="00D96DF6"/>
    <w:rsid w:val="00D97364"/>
    <w:rsid w:val="00D979E8"/>
    <w:rsid w:val="00D97AE5"/>
    <w:rsid w:val="00D97E9C"/>
    <w:rsid w:val="00DA134D"/>
    <w:rsid w:val="00DA20F0"/>
    <w:rsid w:val="00DA2D88"/>
    <w:rsid w:val="00DA4A4C"/>
    <w:rsid w:val="00DA4A76"/>
    <w:rsid w:val="00DA5622"/>
    <w:rsid w:val="00DA608B"/>
    <w:rsid w:val="00DB26C7"/>
    <w:rsid w:val="00DB2B61"/>
    <w:rsid w:val="00DB34D6"/>
    <w:rsid w:val="00DB3C05"/>
    <w:rsid w:val="00DB3DBA"/>
    <w:rsid w:val="00DB4124"/>
    <w:rsid w:val="00DB5B6E"/>
    <w:rsid w:val="00DB678B"/>
    <w:rsid w:val="00DB6D98"/>
    <w:rsid w:val="00DC057E"/>
    <w:rsid w:val="00DC097D"/>
    <w:rsid w:val="00DC0FAE"/>
    <w:rsid w:val="00DC15A9"/>
    <w:rsid w:val="00DC1607"/>
    <w:rsid w:val="00DC17CF"/>
    <w:rsid w:val="00DC2874"/>
    <w:rsid w:val="00DC28F0"/>
    <w:rsid w:val="00DC2D49"/>
    <w:rsid w:val="00DC3563"/>
    <w:rsid w:val="00DC3717"/>
    <w:rsid w:val="00DC53E9"/>
    <w:rsid w:val="00DC6FA7"/>
    <w:rsid w:val="00DD0146"/>
    <w:rsid w:val="00DD1B28"/>
    <w:rsid w:val="00DD1B77"/>
    <w:rsid w:val="00DD23A2"/>
    <w:rsid w:val="00DD2512"/>
    <w:rsid w:val="00DD289C"/>
    <w:rsid w:val="00DD2DEA"/>
    <w:rsid w:val="00DD3466"/>
    <w:rsid w:val="00DD42DD"/>
    <w:rsid w:val="00DD511D"/>
    <w:rsid w:val="00DD53BA"/>
    <w:rsid w:val="00DD53BD"/>
    <w:rsid w:val="00DD578E"/>
    <w:rsid w:val="00DD66B2"/>
    <w:rsid w:val="00DD6911"/>
    <w:rsid w:val="00DD6D07"/>
    <w:rsid w:val="00DD7044"/>
    <w:rsid w:val="00DE010C"/>
    <w:rsid w:val="00DE0F02"/>
    <w:rsid w:val="00DE2301"/>
    <w:rsid w:val="00DE29AC"/>
    <w:rsid w:val="00DE2C99"/>
    <w:rsid w:val="00DE308B"/>
    <w:rsid w:val="00DE3CA7"/>
    <w:rsid w:val="00DE43CE"/>
    <w:rsid w:val="00DE4A3B"/>
    <w:rsid w:val="00DE4C21"/>
    <w:rsid w:val="00DE4C77"/>
    <w:rsid w:val="00DE5DA2"/>
    <w:rsid w:val="00DE65D0"/>
    <w:rsid w:val="00DE69CB"/>
    <w:rsid w:val="00DE78E2"/>
    <w:rsid w:val="00DF132B"/>
    <w:rsid w:val="00DF1937"/>
    <w:rsid w:val="00DF2015"/>
    <w:rsid w:val="00DF25DF"/>
    <w:rsid w:val="00DF2640"/>
    <w:rsid w:val="00DF2B94"/>
    <w:rsid w:val="00DF305C"/>
    <w:rsid w:val="00DF349B"/>
    <w:rsid w:val="00DF3AB4"/>
    <w:rsid w:val="00DF3AB5"/>
    <w:rsid w:val="00DF3ABC"/>
    <w:rsid w:val="00DF3E74"/>
    <w:rsid w:val="00DF590D"/>
    <w:rsid w:val="00DF6944"/>
    <w:rsid w:val="00DF7BC0"/>
    <w:rsid w:val="00E00CD3"/>
    <w:rsid w:val="00E01B9A"/>
    <w:rsid w:val="00E01EE3"/>
    <w:rsid w:val="00E0226B"/>
    <w:rsid w:val="00E02818"/>
    <w:rsid w:val="00E02E1A"/>
    <w:rsid w:val="00E02F7F"/>
    <w:rsid w:val="00E038A6"/>
    <w:rsid w:val="00E03BF2"/>
    <w:rsid w:val="00E060CF"/>
    <w:rsid w:val="00E0620E"/>
    <w:rsid w:val="00E062AC"/>
    <w:rsid w:val="00E06456"/>
    <w:rsid w:val="00E074E2"/>
    <w:rsid w:val="00E07A49"/>
    <w:rsid w:val="00E07B22"/>
    <w:rsid w:val="00E102AB"/>
    <w:rsid w:val="00E10736"/>
    <w:rsid w:val="00E110D0"/>
    <w:rsid w:val="00E11669"/>
    <w:rsid w:val="00E119DF"/>
    <w:rsid w:val="00E11C18"/>
    <w:rsid w:val="00E11CA9"/>
    <w:rsid w:val="00E1312A"/>
    <w:rsid w:val="00E13E01"/>
    <w:rsid w:val="00E1409A"/>
    <w:rsid w:val="00E1449B"/>
    <w:rsid w:val="00E14907"/>
    <w:rsid w:val="00E15330"/>
    <w:rsid w:val="00E15813"/>
    <w:rsid w:val="00E15965"/>
    <w:rsid w:val="00E20065"/>
    <w:rsid w:val="00E20508"/>
    <w:rsid w:val="00E20579"/>
    <w:rsid w:val="00E207F0"/>
    <w:rsid w:val="00E20D7C"/>
    <w:rsid w:val="00E20E7D"/>
    <w:rsid w:val="00E20FC5"/>
    <w:rsid w:val="00E211D9"/>
    <w:rsid w:val="00E21482"/>
    <w:rsid w:val="00E227B2"/>
    <w:rsid w:val="00E22C3B"/>
    <w:rsid w:val="00E22F64"/>
    <w:rsid w:val="00E24300"/>
    <w:rsid w:val="00E24CDF"/>
    <w:rsid w:val="00E25AC4"/>
    <w:rsid w:val="00E26B20"/>
    <w:rsid w:val="00E26F29"/>
    <w:rsid w:val="00E302BC"/>
    <w:rsid w:val="00E31152"/>
    <w:rsid w:val="00E3132D"/>
    <w:rsid w:val="00E31954"/>
    <w:rsid w:val="00E32E37"/>
    <w:rsid w:val="00E33923"/>
    <w:rsid w:val="00E33D03"/>
    <w:rsid w:val="00E34279"/>
    <w:rsid w:val="00E35F6C"/>
    <w:rsid w:val="00E36007"/>
    <w:rsid w:val="00E36C7E"/>
    <w:rsid w:val="00E36EA1"/>
    <w:rsid w:val="00E3738B"/>
    <w:rsid w:val="00E37A8F"/>
    <w:rsid w:val="00E40125"/>
    <w:rsid w:val="00E4107B"/>
    <w:rsid w:val="00E4196E"/>
    <w:rsid w:val="00E4258F"/>
    <w:rsid w:val="00E42A19"/>
    <w:rsid w:val="00E42E80"/>
    <w:rsid w:val="00E4355F"/>
    <w:rsid w:val="00E43B90"/>
    <w:rsid w:val="00E44E96"/>
    <w:rsid w:val="00E451AC"/>
    <w:rsid w:val="00E461E1"/>
    <w:rsid w:val="00E46C3B"/>
    <w:rsid w:val="00E46D7D"/>
    <w:rsid w:val="00E47B45"/>
    <w:rsid w:val="00E5373B"/>
    <w:rsid w:val="00E53870"/>
    <w:rsid w:val="00E53EED"/>
    <w:rsid w:val="00E53F9A"/>
    <w:rsid w:val="00E54548"/>
    <w:rsid w:val="00E54B8B"/>
    <w:rsid w:val="00E54EEC"/>
    <w:rsid w:val="00E55AD5"/>
    <w:rsid w:val="00E568E1"/>
    <w:rsid w:val="00E56E9F"/>
    <w:rsid w:val="00E576E9"/>
    <w:rsid w:val="00E57EF5"/>
    <w:rsid w:val="00E61540"/>
    <w:rsid w:val="00E61582"/>
    <w:rsid w:val="00E62B5E"/>
    <w:rsid w:val="00E63571"/>
    <w:rsid w:val="00E63AC7"/>
    <w:rsid w:val="00E6407A"/>
    <w:rsid w:val="00E642C0"/>
    <w:rsid w:val="00E64300"/>
    <w:rsid w:val="00E653B3"/>
    <w:rsid w:val="00E65C6F"/>
    <w:rsid w:val="00E65D01"/>
    <w:rsid w:val="00E65DF1"/>
    <w:rsid w:val="00E66A9B"/>
    <w:rsid w:val="00E66AAC"/>
    <w:rsid w:val="00E66BE0"/>
    <w:rsid w:val="00E67282"/>
    <w:rsid w:val="00E70CCC"/>
    <w:rsid w:val="00E71209"/>
    <w:rsid w:val="00E72E7D"/>
    <w:rsid w:val="00E73B1E"/>
    <w:rsid w:val="00E7466E"/>
    <w:rsid w:val="00E75479"/>
    <w:rsid w:val="00E75514"/>
    <w:rsid w:val="00E7553B"/>
    <w:rsid w:val="00E77453"/>
    <w:rsid w:val="00E775D4"/>
    <w:rsid w:val="00E80149"/>
    <w:rsid w:val="00E81287"/>
    <w:rsid w:val="00E81FA5"/>
    <w:rsid w:val="00E81FDD"/>
    <w:rsid w:val="00E822C7"/>
    <w:rsid w:val="00E827E1"/>
    <w:rsid w:val="00E82B6C"/>
    <w:rsid w:val="00E84D9E"/>
    <w:rsid w:val="00E84DEC"/>
    <w:rsid w:val="00E84ED0"/>
    <w:rsid w:val="00E86232"/>
    <w:rsid w:val="00E86421"/>
    <w:rsid w:val="00E865BD"/>
    <w:rsid w:val="00E86F1E"/>
    <w:rsid w:val="00E86F8B"/>
    <w:rsid w:val="00E87122"/>
    <w:rsid w:val="00E87965"/>
    <w:rsid w:val="00E90E50"/>
    <w:rsid w:val="00E91000"/>
    <w:rsid w:val="00E926A5"/>
    <w:rsid w:val="00E93ED5"/>
    <w:rsid w:val="00E94AE8"/>
    <w:rsid w:val="00E94F65"/>
    <w:rsid w:val="00E96E30"/>
    <w:rsid w:val="00E9788D"/>
    <w:rsid w:val="00E9792C"/>
    <w:rsid w:val="00E97B50"/>
    <w:rsid w:val="00EA1181"/>
    <w:rsid w:val="00EA2799"/>
    <w:rsid w:val="00EA2EC0"/>
    <w:rsid w:val="00EA3D3D"/>
    <w:rsid w:val="00EA403A"/>
    <w:rsid w:val="00EA46F7"/>
    <w:rsid w:val="00EA72E8"/>
    <w:rsid w:val="00EA74E6"/>
    <w:rsid w:val="00EA76FF"/>
    <w:rsid w:val="00EB051C"/>
    <w:rsid w:val="00EB0645"/>
    <w:rsid w:val="00EB0A27"/>
    <w:rsid w:val="00EB0AB5"/>
    <w:rsid w:val="00EB0D7B"/>
    <w:rsid w:val="00EB1ADA"/>
    <w:rsid w:val="00EB3927"/>
    <w:rsid w:val="00EB3D32"/>
    <w:rsid w:val="00EB46E1"/>
    <w:rsid w:val="00EB473F"/>
    <w:rsid w:val="00EB49CC"/>
    <w:rsid w:val="00EB7883"/>
    <w:rsid w:val="00EB7972"/>
    <w:rsid w:val="00EC0628"/>
    <w:rsid w:val="00EC13BB"/>
    <w:rsid w:val="00EC1820"/>
    <w:rsid w:val="00EC3E58"/>
    <w:rsid w:val="00EC48BE"/>
    <w:rsid w:val="00EC533C"/>
    <w:rsid w:val="00EC5A06"/>
    <w:rsid w:val="00EC6543"/>
    <w:rsid w:val="00EC69D1"/>
    <w:rsid w:val="00EC6B43"/>
    <w:rsid w:val="00EC6D3A"/>
    <w:rsid w:val="00EC7156"/>
    <w:rsid w:val="00EC74A8"/>
    <w:rsid w:val="00EC77F1"/>
    <w:rsid w:val="00EC78C3"/>
    <w:rsid w:val="00EC79EC"/>
    <w:rsid w:val="00ED005C"/>
    <w:rsid w:val="00ED0F23"/>
    <w:rsid w:val="00ED1206"/>
    <w:rsid w:val="00ED13C3"/>
    <w:rsid w:val="00ED18AB"/>
    <w:rsid w:val="00ED1C41"/>
    <w:rsid w:val="00ED20B6"/>
    <w:rsid w:val="00ED29C6"/>
    <w:rsid w:val="00ED2A6A"/>
    <w:rsid w:val="00ED315A"/>
    <w:rsid w:val="00ED377B"/>
    <w:rsid w:val="00ED441B"/>
    <w:rsid w:val="00ED545E"/>
    <w:rsid w:val="00ED5F1D"/>
    <w:rsid w:val="00ED7BC2"/>
    <w:rsid w:val="00EE0235"/>
    <w:rsid w:val="00EE03C2"/>
    <w:rsid w:val="00EE1D94"/>
    <w:rsid w:val="00EE1E04"/>
    <w:rsid w:val="00EE1FFA"/>
    <w:rsid w:val="00EE27EF"/>
    <w:rsid w:val="00EE2FBD"/>
    <w:rsid w:val="00EE3B11"/>
    <w:rsid w:val="00EE478C"/>
    <w:rsid w:val="00EE5280"/>
    <w:rsid w:val="00EE5E80"/>
    <w:rsid w:val="00EE6158"/>
    <w:rsid w:val="00EE7CEB"/>
    <w:rsid w:val="00EE7E4C"/>
    <w:rsid w:val="00EE7F61"/>
    <w:rsid w:val="00EF0853"/>
    <w:rsid w:val="00EF15B8"/>
    <w:rsid w:val="00EF1699"/>
    <w:rsid w:val="00EF1C3A"/>
    <w:rsid w:val="00EF262D"/>
    <w:rsid w:val="00EF2B87"/>
    <w:rsid w:val="00EF3946"/>
    <w:rsid w:val="00EF4117"/>
    <w:rsid w:val="00EF5C0C"/>
    <w:rsid w:val="00EF5F9E"/>
    <w:rsid w:val="00EF6631"/>
    <w:rsid w:val="00EF688F"/>
    <w:rsid w:val="00EF6D80"/>
    <w:rsid w:val="00EF76EA"/>
    <w:rsid w:val="00F00603"/>
    <w:rsid w:val="00F0060E"/>
    <w:rsid w:val="00F01119"/>
    <w:rsid w:val="00F0175A"/>
    <w:rsid w:val="00F01CF2"/>
    <w:rsid w:val="00F01E91"/>
    <w:rsid w:val="00F023F8"/>
    <w:rsid w:val="00F0250C"/>
    <w:rsid w:val="00F03155"/>
    <w:rsid w:val="00F03666"/>
    <w:rsid w:val="00F0373A"/>
    <w:rsid w:val="00F03950"/>
    <w:rsid w:val="00F049D6"/>
    <w:rsid w:val="00F057DB"/>
    <w:rsid w:val="00F06237"/>
    <w:rsid w:val="00F0646E"/>
    <w:rsid w:val="00F1199A"/>
    <w:rsid w:val="00F12428"/>
    <w:rsid w:val="00F12491"/>
    <w:rsid w:val="00F13607"/>
    <w:rsid w:val="00F1544C"/>
    <w:rsid w:val="00F161F9"/>
    <w:rsid w:val="00F172C5"/>
    <w:rsid w:val="00F173C9"/>
    <w:rsid w:val="00F20511"/>
    <w:rsid w:val="00F2127E"/>
    <w:rsid w:val="00F223D7"/>
    <w:rsid w:val="00F23C66"/>
    <w:rsid w:val="00F24CA0"/>
    <w:rsid w:val="00F25B83"/>
    <w:rsid w:val="00F25F17"/>
    <w:rsid w:val="00F27A84"/>
    <w:rsid w:val="00F30AAD"/>
    <w:rsid w:val="00F3172E"/>
    <w:rsid w:val="00F3200A"/>
    <w:rsid w:val="00F324AC"/>
    <w:rsid w:val="00F32577"/>
    <w:rsid w:val="00F332F0"/>
    <w:rsid w:val="00F33863"/>
    <w:rsid w:val="00F33C79"/>
    <w:rsid w:val="00F33D9F"/>
    <w:rsid w:val="00F33DD2"/>
    <w:rsid w:val="00F33E24"/>
    <w:rsid w:val="00F34555"/>
    <w:rsid w:val="00F34DAF"/>
    <w:rsid w:val="00F355B5"/>
    <w:rsid w:val="00F359DE"/>
    <w:rsid w:val="00F3644C"/>
    <w:rsid w:val="00F36987"/>
    <w:rsid w:val="00F37CBC"/>
    <w:rsid w:val="00F37E4A"/>
    <w:rsid w:val="00F41E00"/>
    <w:rsid w:val="00F423CE"/>
    <w:rsid w:val="00F42580"/>
    <w:rsid w:val="00F43ACE"/>
    <w:rsid w:val="00F443A0"/>
    <w:rsid w:val="00F44B50"/>
    <w:rsid w:val="00F453DD"/>
    <w:rsid w:val="00F4549F"/>
    <w:rsid w:val="00F471FB"/>
    <w:rsid w:val="00F47818"/>
    <w:rsid w:val="00F508B3"/>
    <w:rsid w:val="00F512BB"/>
    <w:rsid w:val="00F51327"/>
    <w:rsid w:val="00F52B9D"/>
    <w:rsid w:val="00F54023"/>
    <w:rsid w:val="00F54247"/>
    <w:rsid w:val="00F545CF"/>
    <w:rsid w:val="00F5682F"/>
    <w:rsid w:val="00F569A1"/>
    <w:rsid w:val="00F5763E"/>
    <w:rsid w:val="00F6157E"/>
    <w:rsid w:val="00F63F2A"/>
    <w:rsid w:val="00F646EF"/>
    <w:rsid w:val="00F64B0A"/>
    <w:rsid w:val="00F6655D"/>
    <w:rsid w:val="00F66741"/>
    <w:rsid w:val="00F70268"/>
    <w:rsid w:val="00F70851"/>
    <w:rsid w:val="00F71024"/>
    <w:rsid w:val="00F71666"/>
    <w:rsid w:val="00F716BD"/>
    <w:rsid w:val="00F71BA0"/>
    <w:rsid w:val="00F71BFF"/>
    <w:rsid w:val="00F72D85"/>
    <w:rsid w:val="00F73CF6"/>
    <w:rsid w:val="00F73DFC"/>
    <w:rsid w:val="00F74001"/>
    <w:rsid w:val="00F7706A"/>
    <w:rsid w:val="00F804C6"/>
    <w:rsid w:val="00F80F0A"/>
    <w:rsid w:val="00F80F3B"/>
    <w:rsid w:val="00F82691"/>
    <w:rsid w:val="00F83DF2"/>
    <w:rsid w:val="00F841DB"/>
    <w:rsid w:val="00F84BD4"/>
    <w:rsid w:val="00F84F81"/>
    <w:rsid w:val="00F856AC"/>
    <w:rsid w:val="00F86531"/>
    <w:rsid w:val="00F86EB5"/>
    <w:rsid w:val="00F86F23"/>
    <w:rsid w:val="00F9075B"/>
    <w:rsid w:val="00F90DB0"/>
    <w:rsid w:val="00F90E07"/>
    <w:rsid w:val="00F910F0"/>
    <w:rsid w:val="00F916E1"/>
    <w:rsid w:val="00F91B9A"/>
    <w:rsid w:val="00F926E7"/>
    <w:rsid w:val="00F929FB"/>
    <w:rsid w:val="00F93E07"/>
    <w:rsid w:val="00F941D5"/>
    <w:rsid w:val="00F946E1"/>
    <w:rsid w:val="00F94A84"/>
    <w:rsid w:val="00F94EC7"/>
    <w:rsid w:val="00F9553E"/>
    <w:rsid w:val="00F95D18"/>
    <w:rsid w:val="00F96EAF"/>
    <w:rsid w:val="00FA0183"/>
    <w:rsid w:val="00FA0704"/>
    <w:rsid w:val="00FA0D13"/>
    <w:rsid w:val="00FA357F"/>
    <w:rsid w:val="00FA4722"/>
    <w:rsid w:val="00FA5643"/>
    <w:rsid w:val="00FA64F1"/>
    <w:rsid w:val="00FA7D3C"/>
    <w:rsid w:val="00FB044B"/>
    <w:rsid w:val="00FB086F"/>
    <w:rsid w:val="00FB0F92"/>
    <w:rsid w:val="00FB17EA"/>
    <w:rsid w:val="00FB19D4"/>
    <w:rsid w:val="00FB1C7A"/>
    <w:rsid w:val="00FB24BA"/>
    <w:rsid w:val="00FB2A49"/>
    <w:rsid w:val="00FB2D9C"/>
    <w:rsid w:val="00FB39E6"/>
    <w:rsid w:val="00FB4955"/>
    <w:rsid w:val="00FB55E3"/>
    <w:rsid w:val="00FB65AC"/>
    <w:rsid w:val="00FB6C43"/>
    <w:rsid w:val="00FB7788"/>
    <w:rsid w:val="00FC0102"/>
    <w:rsid w:val="00FC0C7B"/>
    <w:rsid w:val="00FC2BE8"/>
    <w:rsid w:val="00FC39BA"/>
    <w:rsid w:val="00FC436F"/>
    <w:rsid w:val="00FC5914"/>
    <w:rsid w:val="00FC6799"/>
    <w:rsid w:val="00FC6EDF"/>
    <w:rsid w:val="00FC7765"/>
    <w:rsid w:val="00FD0F60"/>
    <w:rsid w:val="00FD118E"/>
    <w:rsid w:val="00FD2AB0"/>
    <w:rsid w:val="00FD3685"/>
    <w:rsid w:val="00FD3A69"/>
    <w:rsid w:val="00FD3D66"/>
    <w:rsid w:val="00FD3EB9"/>
    <w:rsid w:val="00FD4593"/>
    <w:rsid w:val="00FD4CB4"/>
    <w:rsid w:val="00FD4EF0"/>
    <w:rsid w:val="00FD5455"/>
    <w:rsid w:val="00FD63A1"/>
    <w:rsid w:val="00FD6E31"/>
    <w:rsid w:val="00FE044C"/>
    <w:rsid w:val="00FE1093"/>
    <w:rsid w:val="00FE16D2"/>
    <w:rsid w:val="00FE234C"/>
    <w:rsid w:val="00FE394E"/>
    <w:rsid w:val="00FE6288"/>
    <w:rsid w:val="00FE67BB"/>
    <w:rsid w:val="00FE68B2"/>
    <w:rsid w:val="00FE6ADF"/>
    <w:rsid w:val="00FE7250"/>
    <w:rsid w:val="00FE7D7E"/>
    <w:rsid w:val="00FF0AB7"/>
    <w:rsid w:val="00FF16D1"/>
    <w:rsid w:val="00FF24B5"/>
    <w:rsid w:val="00FF2BA0"/>
    <w:rsid w:val="00FF3C13"/>
    <w:rsid w:val="00FF528C"/>
    <w:rsid w:val="00FF5A6D"/>
    <w:rsid w:val="00FF64D0"/>
    <w:rsid w:val="00FF693C"/>
    <w:rsid w:val="00FF6A4B"/>
    <w:rsid w:val="1EBA9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00C22DD5"/>
  <w15:chartTrackingRefBased/>
  <w15:docId w15:val="{2780E67D-1E37-4497-8D85-9F512E74B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2F9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17287C"/>
    <w:pPr>
      <w:numPr>
        <w:numId w:val="3"/>
      </w:numPr>
      <w:tabs>
        <w:tab w:val="left" w:pos="440"/>
        <w:tab w:val="right" w:leader="dot" w:pos="9063"/>
      </w:tabs>
      <w:spacing w:before="240"/>
      <w:ind w:right="-284"/>
      <w:outlineLvl w:val="0"/>
    </w:pPr>
  </w:style>
  <w:style w:type="paragraph" w:styleId="Heading2">
    <w:name w:val="heading 2"/>
    <w:basedOn w:val="Normal"/>
    <w:next w:val="Normal"/>
    <w:link w:val="Heading2Char"/>
    <w:qFormat/>
    <w:rsid w:val="004D7AC0"/>
    <w:p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4D7AC0"/>
    <w:pPr>
      <w:outlineLvl w:val="2"/>
    </w:pPr>
  </w:style>
  <w:style w:type="paragraph" w:styleId="Heading4">
    <w:name w:val="heading 4"/>
    <w:basedOn w:val="Normal"/>
    <w:next w:val="Normal"/>
    <w:link w:val="Heading4Char"/>
    <w:qFormat/>
    <w:rsid w:val="004D7AC0"/>
    <w:pPr>
      <w:outlineLvl w:val="3"/>
    </w:pPr>
  </w:style>
  <w:style w:type="paragraph" w:styleId="Heading5">
    <w:name w:val="heading 5"/>
    <w:basedOn w:val="Normal"/>
    <w:next w:val="Normal"/>
    <w:link w:val="Heading5Char"/>
    <w:qFormat/>
    <w:rsid w:val="004D7AC0"/>
    <w:pPr>
      <w:outlineLvl w:val="4"/>
    </w:pPr>
  </w:style>
  <w:style w:type="paragraph" w:styleId="Heading6">
    <w:name w:val="heading 6"/>
    <w:basedOn w:val="Normal"/>
    <w:next w:val="Normal"/>
    <w:link w:val="Heading6Char"/>
    <w:qFormat/>
    <w:rsid w:val="004D7AC0"/>
    <w:p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4D7AC0"/>
    <w:pPr>
      <w:outlineLvl w:val="6"/>
    </w:pPr>
  </w:style>
  <w:style w:type="paragraph" w:styleId="Heading8">
    <w:name w:val="heading 8"/>
    <w:basedOn w:val="Normal"/>
    <w:next w:val="Normal"/>
    <w:link w:val="Heading8Char"/>
    <w:qFormat/>
    <w:rsid w:val="004D7AC0"/>
    <w:pPr>
      <w:outlineLvl w:val="7"/>
    </w:pPr>
  </w:style>
  <w:style w:type="paragraph" w:styleId="Heading9">
    <w:name w:val="heading 9"/>
    <w:basedOn w:val="Normal"/>
    <w:next w:val="Normal"/>
    <w:link w:val="Heading9Char"/>
    <w:qFormat/>
    <w:rsid w:val="004D7AC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287C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rsid w:val="004D7AC0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rsid w:val="004D7AC0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rsid w:val="004D7AC0"/>
    <w:rPr>
      <w:rFonts w:ascii="Times New Roman" w:eastAsia="Times New Roman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4D7AC0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rsid w:val="004D7AC0"/>
    <w:rPr>
      <w:rFonts w:ascii="Times New Roman" w:eastAsia="Times New Roman" w:hAnsi="Times New Roman" w:cs="Times New Roman"/>
    </w:rPr>
  </w:style>
  <w:style w:type="character" w:customStyle="1" w:styleId="Heading7Char">
    <w:name w:val="Heading 7 Char"/>
    <w:basedOn w:val="DefaultParagraphFont"/>
    <w:link w:val="Heading7"/>
    <w:rsid w:val="004D7AC0"/>
    <w:rPr>
      <w:rFonts w:ascii="Times New Roman" w:eastAsia="Times New Roman" w:hAnsi="Times New Roman" w:cs="Times New Roman"/>
    </w:rPr>
  </w:style>
  <w:style w:type="character" w:customStyle="1" w:styleId="Heading8Char">
    <w:name w:val="Heading 8 Char"/>
    <w:basedOn w:val="DefaultParagraphFont"/>
    <w:link w:val="Heading8"/>
    <w:rsid w:val="004D7AC0"/>
    <w:rPr>
      <w:rFonts w:ascii="Times New Roman" w:eastAsia="Times New Roman" w:hAnsi="Times New Roman" w:cs="Times New Roman"/>
    </w:rPr>
  </w:style>
  <w:style w:type="character" w:customStyle="1" w:styleId="Heading9Char">
    <w:name w:val="Heading 9 Char"/>
    <w:basedOn w:val="DefaultParagraphFont"/>
    <w:link w:val="Heading9"/>
    <w:rsid w:val="004D7AC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qFormat/>
    <w:rsid w:val="004D7AC0"/>
  </w:style>
  <w:style w:type="character" w:customStyle="1" w:styleId="FooterChar">
    <w:name w:val="Footer Char"/>
    <w:basedOn w:val="DefaultParagraphFont"/>
    <w:link w:val="Footer"/>
    <w:rsid w:val="004D7AC0"/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qFormat/>
    <w:rsid w:val="004D7AC0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qFormat/>
    <w:rsid w:val="004D7AC0"/>
    <w:rPr>
      <w:rFonts w:ascii="Times New Roman" w:eastAsia="Times New Roman" w:hAnsi="Times New Roman" w:cs="Times New Roman"/>
      <w:sz w:val="16"/>
    </w:rPr>
  </w:style>
  <w:style w:type="paragraph" w:styleId="Header">
    <w:name w:val="header"/>
    <w:basedOn w:val="Normal"/>
    <w:link w:val="HeaderChar"/>
    <w:qFormat/>
    <w:rsid w:val="004D7AC0"/>
  </w:style>
  <w:style w:type="character" w:customStyle="1" w:styleId="HeaderChar">
    <w:name w:val="Header Char"/>
    <w:basedOn w:val="DefaultParagraphFont"/>
    <w:link w:val="Header"/>
    <w:rsid w:val="004D7AC0"/>
    <w:rPr>
      <w:rFonts w:ascii="Times New Roman" w:eastAsia="Times New Roman" w:hAnsi="Times New Roman" w:cs="Times New Roman"/>
    </w:rPr>
  </w:style>
  <w:style w:type="paragraph" w:customStyle="1" w:styleId="quotes">
    <w:name w:val="quotes"/>
    <w:basedOn w:val="Normal"/>
    <w:next w:val="Normal"/>
    <w:rsid w:val="004D7AC0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4D7AC0"/>
    <w:rPr>
      <w:sz w:val="24"/>
      <w:vertAlign w:val="superscript"/>
    </w:rPr>
  </w:style>
  <w:style w:type="character" w:styleId="Hyperlink">
    <w:name w:val="Hyperlink"/>
    <w:basedOn w:val="DefaultParagraphFont"/>
    <w:uiPriority w:val="99"/>
    <w:rsid w:val="004D7AC0"/>
    <w:rPr>
      <w:rFonts w:ascii="Times New Roman" w:hAnsi="Times New Roman"/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4D7AC0"/>
    <w:pPr>
      <w:ind w:left="720"/>
      <w:contextualSpacing/>
    </w:pPr>
  </w:style>
  <w:style w:type="table" w:styleId="TableGrid">
    <w:name w:val="Table Grid"/>
    <w:basedOn w:val="TableNormal"/>
    <w:rsid w:val="004D7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D7AC0"/>
    <w:pPr>
      <w:keepNext/>
      <w:keepLines/>
      <w:spacing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8B5703"/>
    <w:pPr>
      <w:tabs>
        <w:tab w:val="left" w:pos="440"/>
        <w:tab w:val="right" w:leader="dot" w:pos="9063"/>
      </w:tabs>
      <w:spacing w:before="240"/>
      <w:ind w:right="-284"/>
      <w:outlineLvl w:val="0"/>
    </w:pPr>
    <w:rPr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7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7A1"/>
    <w:rPr>
      <w:rFonts w:ascii="Tahoma" w:eastAsia="Times New Roman" w:hAnsi="Tahoma" w:cs="Tahoma"/>
      <w:sz w:val="16"/>
      <w:szCs w:val="16"/>
      <w:lang w:val="pt-PT"/>
    </w:rPr>
  </w:style>
  <w:style w:type="character" w:styleId="CommentReference">
    <w:name w:val="annotation reference"/>
    <w:unhideWhenUsed/>
    <w:rsid w:val="001167A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531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531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1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17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317E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rsid w:val="002E01B5"/>
    <w:pPr>
      <w:spacing w:after="100" w:line="259" w:lineRule="auto"/>
      <w:ind w:left="220"/>
      <w:jc w:val="left"/>
    </w:pPr>
    <w:rPr>
      <w:rFonts w:asciiTheme="minorHAnsi" w:eastAsiaTheme="minorEastAsia" w:hAnsiTheme="minorHAnsi"/>
    </w:rPr>
  </w:style>
  <w:style w:type="paragraph" w:styleId="TOC3">
    <w:name w:val="toc 3"/>
    <w:basedOn w:val="Normal"/>
    <w:next w:val="Normal"/>
    <w:autoRedefine/>
    <w:uiPriority w:val="39"/>
    <w:unhideWhenUsed/>
    <w:rsid w:val="002E01B5"/>
    <w:pPr>
      <w:spacing w:after="100" w:line="259" w:lineRule="auto"/>
      <w:ind w:left="440"/>
      <w:jc w:val="left"/>
    </w:pPr>
    <w:rPr>
      <w:rFonts w:asciiTheme="minorHAnsi" w:eastAsiaTheme="minorEastAsia" w:hAnsiTheme="minorHAnsi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12F6B"/>
    <w:pPr>
      <w:spacing w:after="100"/>
      <w:ind w:left="1100"/>
    </w:pPr>
  </w:style>
  <w:style w:type="table" w:customStyle="1" w:styleId="TableGrid1">
    <w:name w:val="Table Grid1"/>
    <w:basedOn w:val="TableNormal"/>
    <w:next w:val="TableGrid"/>
    <w:uiPriority w:val="39"/>
    <w:rsid w:val="006C4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F0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F0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D53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781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096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096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39"/>
    <w:rsid w:val="00715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D7E1B"/>
    <w:rPr>
      <w:color w:val="954F72" w:themeColor="followedHyperlink"/>
      <w:u w:val="single"/>
    </w:rPr>
  </w:style>
  <w:style w:type="table" w:customStyle="1" w:styleId="TableGrid21">
    <w:name w:val="Table Grid21"/>
    <w:basedOn w:val="TableNormal"/>
    <w:next w:val="TableGrid"/>
    <w:uiPriority w:val="39"/>
    <w:rsid w:val="006E3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39"/>
    <w:rsid w:val="006E3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912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39"/>
    <w:rsid w:val="00F32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qFormat/>
    <w:locked/>
    <w:rsid w:val="00225C52"/>
    <w:rPr>
      <w:rFonts w:ascii="Times New Roman" w:eastAsia="Times New Roman" w:hAnsi="Times New Roman" w:cs="Times New Roman"/>
    </w:rPr>
  </w:style>
  <w:style w:type="table" w:customStyle="1" w:styleId="TableGrid6">
    <w:name w:val="Table Grid6"/>
    <w:basedOn w:val="TableNormal"/>
    <w:next w:val="TableGrid"/>
    <w:uiPriority w:val="39"/>
    <w:rsid w:val="006E3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64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39"/>
    <w:rsid w:val="00032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A30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9E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3F30"/>
    <w:rPr>
      <w:color w:val="605E5C"/>
      <w:shd w:val="clear" w:color="auto" w:fill="E1DFDD"/>
    </w:rPr>
  </w:style>
  <w:style w:type="table" w:customStyle="1" w:styleId="TableGrid10">
    <w:name w:val="Table Grid10"/>
    <w:basedOn w:val="TableNormal"/>
    <w:next w:val="TableGrid"/>
    <w:uiPriority w:val="39"/>
    <w:rsid w:val="00F03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2D3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FA0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FA0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FD3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F3AB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859C4"/>
    <w:rPr>
      <w:color w:val="605E5C"/>
      <w:shd w:val="clear" w:color="auto" w:fill="E1DFDD"/>
    </w:rPr>
  </w:style>
  <w:style w:type="table" w:customStyle="1" w:styleId="TableGrid17">
    <w:name w:val="Table Grid17"/>
    <w:basedOn w:val="TableNormal"/>
    <w:next w:val="TableGrid"/>
    <w:uiPriority w:val="39"/>
    <w:rsid w:val="00C87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742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rsid w:val="00B807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rsid w:val="004E1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4E1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rsid w:val="004E1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rsid w:val="004E1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rsid w:val="004E1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rsid w:val="004E1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rsid w:val="00C141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rsid w:val="00C141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rsid w:val="00C141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rsid w:val="008E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8E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8E2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rsid w:val="00043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043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next w:val="TableGrid"/>
    <w:rsid w:val="00E110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rsid w:val="00240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rsid w:val="00E53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rsid w:val="009113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rsid w:val="00B66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DC28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rsid w:val="009042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rsid w:val="006E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rsid w:val="00921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rsid w:val="009D6A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rsid w:val="008E4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1A2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TableNormal"/>
    <w:next w:val="TableGrid"/>
    <w:rsid w:val="007675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rsid w:val="00E55A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rsid w:val="00344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rsid w:val="00344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A1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rsid w:val="00330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rsid w:val="00330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rsid w:val="00330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TableNormal"/>
    <w:next w:val="TableGrid"/>
    <w:rsid w:val="00330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">
    <w:name w:val="Table Grid57"/>
    <w:basedOn w:val="TableNormal"/>
    <w:next w:val="TableGrid"/>
    <w:rsid w:val="00046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rsid w:val="00806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">
    <w:name w:val="Table Grid59"/>
    <w:basedOn w:val="TableNormal"/>
    <w:next w:val="TableGrid"/>
    <w:rsid w:val="00697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next w:val="TableGrid"/>
    <w:rsid w:val="00B371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rsid w:val="00973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rsid w:val="00973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rsid w:val="005A3A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rsid w:val="000349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5">
    <w:name w:val="Table Grid65"/>
    <w:basedOn w:val="TableNormal"/>
    <w:next w:val="TableGrid"/>
    <w:rsid w:val="00F453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next w:val="TableGrid"/>
    <w:rsid w:val="00F453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TableNormal"/>
    <w:next w:val="TableGrid"/>
    <w:rsid w:val="002040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next w:val="TableGrid"/>
    <w:rsid w:val="00023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TableNormal"/>
    <w:next w:val="TableGrid"/>
    <w:rsid w:val="002736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0"/>
    <w:basedOn w:val="TableNormal"/>
    <w:next w:val="TableGrid"/>
    <w:rsid w:val="007F2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next w:val="TableGrid"/>
    <w:rsid w:val="00C33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rsid w:val="00402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4">
    <w:name w:val="Table Grid74"/>
    <w:basedOn w:val="TableNormal"/>
    <w:next w:val="TableGrid"/>
    <w:rsid w:val="002C0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next w:val="TableGrid"/>
    <w:rsid w:val="003E23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next w:val="TableGrid"/>
    <w:rsid w:val="002879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TableNormal"/>
    <w:next w:val="TableGrid"/>
    <w:rsid w:val="00C14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8">
    <w:name w:val="Table Grid78"/>
    <w:basedOn w:val="TableNormal"/>
    <w:next w:val="TableGrid"/>
    <w:rsid w:val="00344B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9">
    <w:name w:val="Table Grid79"/>
    <w:basedOn w:val="TableNormal"/>
    <w:next w:val="TableGrid"/>
    <w:rsid w:val="002D4C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 Grid80"/>
    <w:basedOn w:val="TableNormal"/>
    <w:next w:val="TableGrid"/>
    <w:rsid w:val="00FB4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rsid w:val="00F27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95380"/>
    <w:rPr>
      <w:color w:val="605E5C"/>
      <w:shd w:val="clear" w:color="auto" w:fill="E1DFDD"/>
    </w:rPr>
  </w:style>
  <w:style w:type="table" w:customStyle="1" w:styleId="TableGrid82">
    <w:name w:val="Table Grid82"/>
    <w:basedOn w:val="TableNormal"/>
    <w:next w:val="TableGrid"/>
    <w:rsid w:val="004625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">
    <w:name w:val="Table Grid83"/>
    <w:basedOn w:val="TableNormal"/>
    <w:next w:val="TableGrid"/>
    <w:rsid w:val="00D633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">
    <w:name w:val="Table Grid84"/>
    <w:basedOn w:val="TableNormal"/>
    <w:next w:val="TableGrid"/>
    <w:rsid w:val="001653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TableNormal"/>
    <w:next w:val="TableGrid"/>
    <w:rsid w:val="00BC2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6">
    <w:name w:val="Table Grid86"/>
    <w:basedOn w:val="TableNormal"/>
    <w:next w:val="TableGrid"/>
    <w:rsid w:val="00874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7">
    <w:name w:val="Table Grid87"/>
    <w:basedOn w:val="TableNormal"/>
    <w:next w:val="TableGrid"/>
    <w:rsid w:val="004B3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8">
    <w:name w:val="Table Grid88"/>
    <w:basedOn w:val="TableNormal"/>
    <w:next w:val="TableGrid"/>
    <w:rsid w:val="00DE4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9">
    <w:name w:val="Table Grid89"/>
    <w:basedOn w:val="TableNormal"/>
    <w:next w:val="TableGrid"/>
    <w:rsid w:val="00490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0">
    <w:name w:val="Table Grid90"/>
    <w:basedOn w:val="TableNormal"/>
    <w:next w:val="TableGrid"/>
    <w:rsid w:val="002315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rsid w:val="00673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E56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rsid w:val="004743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rsid w:val="007C41DA"/>
    <w:pPr>
      <w:spacing w:after="0" w:line="240" w:lineRule="auto"/>
    </w:pPr>
    <w:rPr>
      <w:rFonts w:ascii="Times New Roman" w:eastAsia="Times New Roman" w:hAnsi="Times New Roman" w:cs="Times New Roman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locked/>
    <w:rsid w:val="008A55B6"/>
    <w:pPr>
      <w:spacing w:after="0" w:line="240" w:lineRule="auto"/>
    </w:pPr>
    <w:rPr>
      <w:rFonts w:ascii="Times New Roman" w:eastAsia="Times New Roman" w:hAnsi="Times New Roman" w:cs="Times New Roman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rsid w:val="001305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rsid w:val="00786F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rsid w:val="00730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9">
    <w:name w:val="Table Grid99"/>
    <w:basedOn w:val="TableNormal"/>
    <w:next w:val="TableGrid"/>
    <w:rsid w:val="00352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0"/>
    <w:basedOn w:val="TableNormal"/>
    <w:next w:val="TableGrid"/>
    <w:rsid w:val="00744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5E4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rsid w:val="00B52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rsid w:val="00BE47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BE47EE"/>
    <w:rPr>
      <w:color w:val="605E5C"/>
      <w:shd w:val="clear" w:color="auto" w:fill="E1DFDD"/>
    </w:rPr>
  </w:style>
  <w:style w:type="table" w:customStyle="1" w:styleId="TableGrid104">
    <w:name w:val="Table Grid104"/>
    <w:basedOn w:val="TableNormal"/>
    <w:next w:val="TableGrid"/>
    <w:rsid w:val="00F90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5">
    <w:name w:val="Table Grid105"/>
    <w:basedOn w:val="TableNormal"/>
    <w:next w:val="TableGrid"/>
    <w:rsid w:val="00563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6">
    <w:name w:val="Table Grid106"/>
    <w:basedOn w:val="TableNormal"/>
    <w:next w:val="TableGrid"/>
    <w:rsid w:val="003B0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7">
    <w:name w:val="Table Grid107"/>
    <w:basedOn w:val="TableNormal"/>
    <w:next w:val="TableGrid"/>
    <w:rsid w:val="003B6E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8">
    <w:name w:val="Table Grid108"/>
    <w:basedOn w:val="TableNormal"/>
    <w:next w:val="TableGrid"/>
    <w:rsid w:val="00BF2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9">
    <w:name w:val="Table Grid109"/>
    <w:basedOn w:val="TableNormal"/>
    <w:next w:val="TableGrid"/>
    <w:rsid w:val="003D5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BC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rsid w:val="005B3E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820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rsid w:val="005F4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rsid w:val="005F4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154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rsid w:val="005523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115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rsid w:val="00C97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">
    <w:name w:val="Table Grid120"/>
    <w:basedOn w:val="TableNormal"/>
    <w:next w:val="TableGrid"/>
    <w:rsid w:val="00587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rsid w:val="00A441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locked/>
    <w:rsid w:val="005B4EE6"/>
    <w:pPr>
      <w:spacing w:after="0" w:line="240" w:lineRule="auto"/>
    </w:pPr>
    <w:rPr>
      <w:rFonts w:ascii="Times New Roman" w:eastAsia="Times New Roman" w:hAnsi="Times New Roman" w:cs="Times New Roman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rsid w:val="005B4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rsid w:val="005B4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rsid w:val="005B4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6">
    <w:name w:val="Table Grid136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7">
    <w:name w:val="Table Grid137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8">
    <w:name w:val="Table Grid138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9">
    <w:name w:val="Table Grid139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0">
    <w:name w:val="Table Grid140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5">
    <w:name w:val="Table Grid145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6">
    <w:name w:val="Table Grid146"/>
    <w:basedOn w:val="TableNormal"/>
    <w:next w:val="TableGrid"/>
    <w:rsid w:val="00927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7">
    <w:name w:val="Table Grid147"/>
    <w:basedOn w:val="TableNormal"/>
    <w:next w:val="TableGrid"/>
    <w:rsid w:val="00927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8">
    <w:name w:val="Table Grid148"/>
    <w:basedOn w:val="TableNormal"/>
    <w:next w:val="TableGrid"/>
    <w:rsid w:val="00927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9">
    <w:name w:val="Table Grid149"/>
    <w:basedOn w:val="TableNormal"/>
    <w:next w:val="TableGrid"/>
    <w:rsid w:val="00927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rsid w:val="00927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rsid w:val="00101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rsid w:val="00335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">
    <w:name w:val="Table Grid130"/>
    <w:basedOn w:val="TableNormal"/>
    <w:next w:val="TableGrid"/>
    <w:rsid w:val="002C07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0">
    <w:name w:val="Table Grid150"/>
    <w:basedOn w:val="TableNormal"/>
    <w:next w:val="TableGrid"/>
    <w:rsid w:val="002C07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">
    <w:name w:val="Table Grid153"/>
    <w:basedOn w:val="TableNormal"/>
    <w:next w:val="TableGrid"/>
    <w:rsid w:val="005A3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4">
    <w:name w:val="Table Grid154"/>
    <w:basedOn w:val="TableNormal"/>
    <w:next w:val="TableGrid"/>
    <w:rsid w:val="005A3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TableNormal"/>
    <w:next w:val="TableGrid"/>
    <w:rsid w:val="005A3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6">
    <w:name w:val="Table Grid156"/>
    <w:basedOn w:val="TableNormal"/>
    <w:next w:val="TableGrid"/>
    <w:rsid w:val="007009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7">
    <w:name w:val="Table Grid157"/>
    <w:basedOn w:val="TableNormal"/>
    <w:next w:val="TableGrid"/>
    <w:rsid w:val="005E6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8">
    <w:name w:val="Table Grid158"/>
    <w:basedOn w:val="TableNormal"/>
    <w:next w:val="TableGrid"/>
    <w:rsid w:val="006E16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9">
    <w:name w:val="Table Grid159"/>
    <w:basedOn w:val="TableNormal"/>
    <w:next w:val="TableGrid"/>
    <w:rsid w:val="00033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0">
    <w:name w:val="Table Grid160"/>
    <w:basedOn w:val="TableNormal"/>
    <w:next w:val="TableGrid"/>
    <w:rsid w:val="00BE0F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rsid w:val="00150B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rsid w:val="00150B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rsid w:val="005F4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rsid w:val="006B50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next w:val="TableGrid"/>
    <w:rsid w:val="00E20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next w:val="TableGrid"/>
    <w:rsid w:val="00E20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next w:val="TableGrid"/>
    <w:rsid w:val="006A49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next w:val="TableGrid"/>
    <w:rsid w:val="002D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9">
    <w:name w:val="Table Grid169"/>
    <w:basedOn w:val="TableNormal"/>
    <w:next w:val="TableGrid"/>
    <w:rsid w:val="002D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0">
    <w:name w:val="Table Grid170"/>
    <w:basedOn w:val="TableNormal"/>
    <w:next w:val="TableGrid"/>
    <w:rsid w:val="001C08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rsid w:val="00ED18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next w:val="TableGrid"/>
    <w:uiPriority w:val="59"/>
    <w:rsid w:val="004107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3">
    <w:name w:val="Table Grid173"/>
    <w:basedOn w:val="TableNormal"/>
    <w:next w:val="TableGrid"/>
    <w:rsid w:val="00693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4">
    <w:name w:val="Table Grid174"/>
    <w:basedOn w:val="TableNormal"/>
    <w:next w:val="TableGrid"/>
    <w:rsid w:val="003F6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5">
    <w:name w:val="Table Grid175"/>
    <w:basedOn w:val="TableNormal"/>
    <w:next w:val="TableGrid"/>
    <w:rsid w:val="003F6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6">
    <w:name w:val="Table Grid176"/>
    <w:basedOn w:val="TableNormal"/>
    <w:next w:val="TableGrid"/>
    <w:rsid w:val="00C27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7">
    <w:name w:val="Table Grid177"/>
    <w:basedOn w:val="TableNormal"/>
    <w:next w:val="TableGrid"/>
    <w:rsid w:val="00910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8">
    <w:name w:val="Table Grid178"/>
    <w:basedOn w:val="TableNormal"/>
    <w:next w:val="TableGrid"/>
    <w:rsid w:val="00910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9">
    <w:name w:val="Table Grid179"/>
    <w:basedOn w:val="TableNormal"/>
    <w:next w:val="TableGrid"/>
    <w:rsid w:val="00E26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0">
    <w:name w:val="Table Grid180"/>
    <w:basedOn w:val="TableNormal"/>
    <w:next w:val="TableGrid"/>
    <w:rsid w:val="00FB08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rsid w:val="00F96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">
    <w:name w:val="Table Grid182"/>
    <w:basedOn w:val="TableNormal"/>
    <w:next w:val="TableGrid"/>
    <w:rsid w:val="007F6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9E433D"/>
    <w:rPr>
      <w:color w:val="605E5C"/>
      <w:shd w:val="clear" w:color="auto" w:fill="E1DFDD"/>
    </w:rPr>
  </w:style>
  <w:style w:type="table" w:customStyle="1" w:styleId="TableGrid183">
    <w:name w:val="Table Grid183"/>
    <w:basedOn w:val="TableNormal"/>
    <w:next w:val="TableGrid"/>
    <w:rsid w:val="00810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4">
    <w:name w:val="Table Grid184"/>
    <w:basedOn w:val="TableNormal"/>
    <w:next w:val="TableGrid"/>
    <w:rsid w:val="00940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">
    <w:name w:val="Table Grid185"/>
    <w:basedOn w:val="TableNormal"/>
    <w:next w:val="TableGrid"/>
    <w:rsid w:val="00940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6">
    <w:name w:val="Table Grid186"/>
    <w:basedOn w:val="TableNormal"/>
    <w:next w:val="TableGrid"/>
    <w:rsid w:val="00940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7">
    <w:name w:val="Table Grid187"/>
    <w:basedOn w:val="TableNormal"/>
    <w:next w:val="TableGrid"/>
    <w:rsid w:val="00CC7E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8">
    <w:name w:val="Table Grid188"/>
    <w:basedOn w:val="TableNormal"/>
    <w:next w:val="TableGrid"/>
    <w:rsid w:val="0083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9">
    <w:name w:val="Table Grid189"/>
    <w:basedOn w:val="TableNormal"/>
    <w:next w:val="TableGrid"/>
    <w:rsid w:val="00332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0">
    <w:name w:val="Table Grid190"/>
    <w:basedOn w:val="TableNormal"/>
    <w:next w:val="TableGrid"/>
    <w:rsid w:val="0035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rsid w:val="0035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rsid w:val="0035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rsid w:val="0035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4">
    <w:name w:val="Table Grid194"/>
    <w:basedOn w:val="TableNormal"/>
    <w:next w:val="TableGrid"/>
    <w:rsid w:val="00435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5">
    <w:name w:val="Table Grid195"/>
    <w:basedOn w:val="TableNormal"/>
    <w:next w:val="TableGrid"/>
    <w:rsid w:val="00EC06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6">
    <w:name w:val="Table Grid196"/>
    <w:basedOn w:val="TableNormal"/>
    <w:next w:val="TableGrid"/>
    <w:rsid w:val="005C6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7">
    <w:name w:val="Table Grid197"/>
    <w:basedOn w:val="TableNormal"/>
    <w:next w:val="TableGrid"/>
    <w:rsid w:val="00A91E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8">
    <w:name w:val="Table Grid198"/>
    <w:basedOn w:val="TableNormal"/>
    <w:next w:val="TableGrid"/>
    <w:rsid w:val="00174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9">
    <w:name w:val="Table Grid199"/>
    <w:basedOn w:val="TableNormal"/>
    <w:next w:val="TableGrid"/>
    <w:rsid w:val="00C122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0">
    <w:name w:val="Table Grid200"/>
    <w:basedOn w:val="TableNormal"/>
    <w:next w:val="TableGrid"/>
    <w:rsid w:val="00C02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">
    <w:name w:val="Table Grid201"/>
    <w:basedOn w:val="TableNormal"/>
    <w:next w:val="TableGrid"/>
    <w:rsid w:val="00E038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2">
    <w:name w:val="Table Grid202"/>
    <w:basedOn w:val="TableNormal"/>
    <w:next w:val="TableGrid"/>
    <w:rsid w:val="000F41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3">
    <w:name w:val="Table Grid203"/>
    <w:basedOn w:val="TableNormal"/>
    <w:next w:val="TableGrid"/>
    <w:rsid w:val="00EC6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4">
    <w:name w:val="Table Grid204"/>
    <w:basedOn w:val="TableNormal"/>
    <w:next w:val="TableGrid"/>
    <w:rsid w:val="005E3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5">
    <w:name w:val="Table Grid205"/>
    <w:basedOn w:val="TableNormal"/>
    <w:next w:val="TableGrid"/>
    <w:rsid w:val="00180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6">
    <w:name w:val="Table Grid206"/>
    <w:basedOn w:val="TableNormal"/>
    <w:next w:val="TableGrid"/>
    <w:rsid w:val="009A6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7">
    <w:name w:val="Table Grid207"/>
    <w:basedOn w:val="TableNormal"/>
    <w:next w:val="TableGrid"/>
    <w:rsid w:val="006F0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8">
    <w:name w:val="Table Grid208"/>
    <w:basedOn w:val="TableNormal"/>
    <w:next w:val="TableGrid"/>
    <w:rsid w:val="006F0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9">
    <w:name w:val="Table Grid209"/>
    <w:basedOn w:val="TableNormal"/>
    <w:next w:val="TableGrid"/>
    <w:rsid w:val="00E20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rsid w:val="00A17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rsid w:val="003C73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3A2E3A"/>
    <w:rPr>
      <w:color w:val="605E5C"/>
      <w:shd w:val="clear" w:color="auto" w:fill="E1DFDD"/>
    </w:rPr>
  </w:style>
  <w:style w:type="table" w:customStyle="1" w:styleId="TableGrid212">
    <w:name w:val="Table Grid212"/>
    <w:basedOn w:val="TableNormal"/>
    <w:next w:val="TableGrid"/>
    <w:rsid w:val="006C19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">
    <w:name w:val="Table Grid213"/>
    <w:basedOn w:val="TableNormal"/>
    <w:next w:val="TableGrid"/>
    <w:rsid w:val="001A5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">
    <w:name w:val="Table Grid214"/>
    <w:basedOn w:val="TableNormal"/>
    <w:next w:val="TableGrid"/>
    <w:rsid w:val="004E71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">
    <w:name w:val="Table Grid215"/>
    <w:basedOn w:val="TableNormal"/>
    <w:next w:val="TableGrid"/>
    <w:rsid w:val="00104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">
    <w:name w:val="Table Grid216"/>
    <w:basedOn w:val="TableNormal"/>
    <w:next w:val="TableGrid"/>
    <w:rsid w:val="00025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rsid w:val="00A148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uiPriority w:val="59"/>
    <w:rsid w:val="00A329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rsid w:val="00EC48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">
    <w:name w:val="Table Grid220"/>
    <w:basedOn w:val="TableNormal"/>
    <w:next w:val="TableGrid"/>
    <w:rsid w:val="00B612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rsid w:val="00B612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rsid w:val="00012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rsid w:val="003C2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rsid w:val="00C26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D5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4F1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20250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1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48796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271744">
                  <w:marLeft w:val="0"/>
                  <w:marRight w:val="0"/>
                  <w:marTop w:val="0"/>
                  <w:marBottom w:val="0"/>
                  <w:divBdr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divBdr>
                  <w:divsChild>
                    <w:div w:id="42685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75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2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62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037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97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57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436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387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374249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3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869606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2796">
                  <w:marLeft w:val="0"/>
                  <w:marRight w:val="0"/>
                  <w:marTop w:val="0"/>
                  <w:marBottom w:val="0"/>
                  <w:divBdr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divBdr>
                  <w:divsChild>
                    <w:div w:id="20312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60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93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52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msearch.eesc.europa.eu/search/opinion" TargetMode="External"/><Relationship Id="rId18" Type="http://schemas.openxmlformats.org/officeDocument/2006/relationships/header" Target="header3.xml"/><Relationship Id="rId26" Type="http://schemas.openxmlformats.org/officeDocument/2006/relationships/hyperlink" Target="https://www.eesc.europa.eu/pt/our-work/opinions-information-reports/opinions/revision-de-la-directive-relative-au-comite-dentreprise-europeen" TargetMode="External"/><Relationship Id="rId39" Type="http://schemas.openxmlformats.org/officeDocument/2006/relationships/hyperlink" Target="mailto:Ioannis.Diamantopoulos@eesc.europa.eu" TargetMode="External"/><Relationship Id="rId21" Type="http://schemas.openxmlformats.org/officeDocument/2006/relationships/hyperlink" Target="mailto:Georgios.Meleas@eesc.europa.eu" TargetMode="External"/><Relationship Id="rId34" Type="http://schemas.openxmlformats.org/officeDocument/2006/relationships/hyperlink" Target="https://www.eesc.europa.eu/pt/our-work/opinions-information-reports/opinions/plan-europeen-pour-vaincre-le-cancer-vers-un-approvisionnement-sur-en-radio-isotopes-usage-medical" TargetMode="External"/><Relationship Id="rId42" Type="http://schemas.openxmlformats.org/officeDocument/2006/relationships/hyperlink" Target="https://www.eesc.europa.eu/pt/our-work/opinions-information-reports/opinions/european-defence-industrial-strategy" TargetMode="External"/><Relationship Id="rId47" Type="http://schemas.openxmlformats.org/officeDocument/2006/relationships/header" Target="header5.xml"/><Relationship Id="rId50" Type="http://schemas.openxmlformats.org/officeDocument/2006/relationships/header" Target="header6.xml"/><Relationship Id="rId55" Type="http://schemas.openxmlformats.org/officeDocument/2006/relationships/customXml" Target="../customXml/item2.xml"/><Relationship Id="rId7" Type="http://schemas.openxmlformats.org/officeDocument/2006/relationships/settings" Target="settings.xml"/><Relationship Id="rId16" Type="http://schemas.openxmlformats.org/officeDocument/2006/relationships/footer" Target="footer1.xml"/><Relationship Id="rId29" Type="http://schemas.openxmlformats.org/officeDocument/2006/relationships/hyperlink" Target="mailto:June.Bedaton@eesc.europa.eu" TargetMode="External"/><Relationship Id="rId11" Type="http://schemas.openxmlformats.org/officeDocument/2006/relationships/image" Target="media/image1.jpeg"/><Relationship Id="rId24" Type="http://schemas.openxmlformats.org/officeDocument/2006/relationships/hyperlink" Target="https://www.eesc.europa.eu/pt/our-work/opinions-information-reports/opinions/vaccine-preventable-cancers" TargetMode="External"/><Relationship Id="rId32" Type="http://schemas.openxmlformats.org/officeDocument/2006/relationships/hyperlink" Target="https://www.eesc.europa.eu/pt/our-work/opinions-information-reports/opinions/revision-animal-welfare-legislation" TargetMode="External"/><Relationship Id="rId37" Type="http://schemas.openxmlformats.org/officeDocument/2006/relationships/hyperlink" Target="mailto:Ioannis.Diamantopoulos@eesc.europa.eu" TargetMode="External"/><Relationship Id="rId40" Type="http://schemas.openxmlformats.org/officeDocument/2006/relationships/hyperlink" Target="https://www.eesc.europa.eu/pt/our-work/opinions-information-reports/opinions/communication-sur-la-gestion-industrielle-du-carbone" TargetMode="External"/><Relationship Id="rId45" Type="http://schemas.openxmlformats.org/officeDocument/2006/relationships/hyperlink" Target="mailto:Heli.Niemela-Farrer@eesc.europa.eu" TargetMode="External"/><Relationship Id="rId53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31" Type="http://schemas.openxmlformats.org/officeDocument/2006/relationships/hyperlink" Target="mailto:Judit.CarrerasGarcia@eesc.europa.eu" TargetMode="External"/><Relationship Id="rId44" Type="http://schemas.openxmlformats.org/officeDocument/2006/relationships/hyperlink" Target="https://www.eesc.europa.eu/pt/our-work/opinions-information-reports/opinions/industrial-and-technological-approaches-and-best-practices-supporting-water-resilient-society" TargetMode="External"/><Relationship Id="rId52" Type="http://schemas.openxmlformats.org/officeDocument/2006/relationships/fontTable" Target="fontTable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s://www.eesc.europa.eu/pt/our-work/opinions-information-reports/opinions/ninth-report-economic-social-and-territorial-cohesion" TargetMode="External"/><Relationship Id="rId27" Type="http://schemas.openxmlformats.org/officeDocument/2006/relationships/hyperlink" Target="mailto:Bartek.Bednarowicz@eesc.europa.eu" TargetMode="External"/><Relationship Id="rId30" Type="http://schemas.openxmlformats.org/officeDocument/2006/relationships/hyperlink" Target="https://www.eesc.europa.eu/pt/our-work/opinions-information-reports/opinions/eu-climate-target-2040" TargetMode="External"/><Relationship Id="rId35" Type="http://schemas.openxmlformats.org/officeDocument/2006/relationships/hyperlink" Target="mailto:Maja.Radman@eesc.europa.eu" TargetMode="External"/><Relationship Id="rId43" Type="http://schemas.openxmlformats.org/officeDocument/2006/relationships/hyperlink" Target="mailto:Ioannis.Diamantopoulos@eesc.europa.eu" TargetMode="External"/><Relationship Id="rId48" Type="http://schemas.openxmlformats.org/officeDocument/2006/relationships/footer" Target="footer4.xml"/><Relationship Id="rId56" Type="http://schemas.openxmlformats.org/officeDocument/2006/relationships/customXml" Target="../customXml/item3.xml"/><Relationship Id="rId8" Type="http://schemas.openxmlformats.org/officeDocument/2006/relationships/webSettings" Target="webSettings.xml"/><Relationship Id="rId51" Type="http://schemas.openxmlformats.org/officeDocument/2006/relationships/footer" Target="footer6.xml"/><Relationship Id="rId12" Type="http://schemas.openxmlformats.org/officeDocument/2006/relationships/hyperlink" Target="https://www.eesc.europa.eu/en/our-work/opinions-information-reports/plenary-session-summaries" TargetMode="External"/><Relationship Id="rId17" Type="http://schemas.openxmlformats.org/officeDocument/2006/relationships/footer" Target="footer2.xml"/><Relationship Id="rId25" Type="http://schemas.openxmlformats.org/officeDocument/2006/relationships/hyperlink" Target="mailto:Valeria.Atzori@eesc.europa.eu" TargetMode="External"/><Relationship Id="rId33" Type="http://schemas.openxmlformats.org/officeDocument/2006/relationships/hyperlink" Target="mailto:Arturo.Iniguez@eesc.europa.eu" TargetMode="External"/><Relationship Id="rId38" Type="http://schemas.openxmlformats.org/officeDocument/2006/relationships/hyperlink" Target="https://www.eesc.europa.eu/pt/our-work/opinions-information-reports/opinions/drone-manufacturing-industry-case-study-assess-outcome-strategic-sector-different-policies-place-enhance-european" TargetMode="External"/><Relationship Id="rId46" Type="http://schemas.openxmlformats.org/officeDocument/2006/relationships/header" Target="header4.xml"/><Relationship Id="rId20" Type="http://schemas.openxmlformats.org/officeDocument/2006/relationships/hyperlink" Target="https://www.eesc.europa.eu/pt/our-work/opinions-information-reports/opinions/role-cohesion-policy-upcoming-rounds-eu-enlargement" TargetMode="External"/><Relationship Id="rId41" Type="http://schemas.openxmlformats.org/officeDocument/2006/relationships/hyperlink" Target="mailto:Adam.Dorywalski@eesc.europa.eu" TargetMode="External"/><Relationship Id="rId54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mailto:Georgios.Meleas@eesc.europa.eu" TargetMode="External"/><Relationship Id="rId28" Type="http://schemas.openxmlformats.org/officeDocument/2006/relationships/hyperlink" Target="https://www.eesc.europa.eu/pt/our-work/opinions-information-reports/opinions/un-lieu-ou-il-est-exclu-de-hair-une-europe-unie-contre-la-haine" TargetMode="External"/><Relationship Id="rId36" Type="http://schemas.openxmlformats.org/officeDocument/2006/relationships/hyperlink" Target="https://www.eesc.europa.eu/pt/our-work/opinions-information-reports/opinions/european-defence-industry-programme" TargetMode="External"/><Relationship Id="rId49" Type="http://schemas.openxmlformats.org/officeDocument/2006/relationships/footer" Target="footer5.xml"/><Relationship Id="rId57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9ace41b-6786-4ce3-be71-52c27066c6ef">F7M6YNZUATRX-917472228-5906</_dlc_DocId>
    <_dlc_DocIdUrl xmlns="59ace41b-6786-4ce3-be71-52c27066c6ef">
      <Url>http://dm/eesc/2024/_layouts/15/DocIdRedir.aspx?ID=F7M6YNZUATRX-917472228-5906</Url>
      <Description>F7M6YNZUATRX-917472228-5906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TCD</TermName>
          <TermId xmlns="http://schemas.microsoft.com/office/infopath/2007/PartnerControls">cd9d6eb6-3f4f-424a-b2d1-57c9d450eaaf</TermId>
        </TermInfo>
      </Terms>
    </DocumentType_0>
    <Procedure xmlns="59ace41b-6786-4ce3-be71-52c27066c6ef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59ace41b-6786-4ce3-be71-52c27066c6ef">2024-06-18T12:00:00+00:00</ProductionDate>
    <DocumentNumber xmlns="14d11ec3-fd82-4994-a217-1a91de9b2d2a">1704</DocumentNumber>
    <FicheYear xmlns="59ace41b-6786-4ce3-be71-52c27066c6ef" xsi:nil="true"/>
    <DossierNumber xmlns="59ace41b-6786-4ce3-be71-52c27066c6ef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59ace41b-6786-4ce3-be71-52c27066c6ef">2024-07-10T12:00:00+00:00</MeetingDate>
    <TaxCatchAll xmlns="59ace41b-6786-4ce3-be71-52c27066c6ef">
      <Value>43</Value>
      <Value>37</Value>
      <Value>36</Value>
      <Value>35</Value>
      <Value>34</Value>
      <Value>33</Value>
      <Value>32</Value>
      <Value>31</Value>
      <Value>30</Value>
      <Value>29</Value>
      <Value>28</Value>
      <Value>27</Value>
      <Value>26</Value>
      <Value>25</Value>
      <Value>24</Value>
      <Value>22</Value>
      <Value>21</Value>
      <Value>17</Value>
      <Value>16</Value>
      <Value>14</Value>
      <Value>13</Value>
      <Value>12</Value>
      <Value>8</Value>
      <Value>7</Value>
      <Value>6</Value>
      <Value>5</Value>
      <Value>3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59ace41b-6786-4ce3-be71-52c27066c6ef" xsi:nil="true"/>
    <DocumentYear xmlns="59ace41b-6786-4ce3-be71-52c27066c6ef">2024</DocumentYear>
    <FicheNumber xmlns="59ace41b-6786-4ce3-be71-52c27066c6ef">6412</FicheNumber>
    <OriginalSender xmlns="59ace41b-6786-4ce3-be71-52c27066c6ef">
      <UserInfo>
        <DisplayName>Rubano Noroes Silvana</DisplayName>
        <AccountId>1622</AccountId>
        <AccountType/>
      </UserInfo>
    </OriginalSender>
    <DocumentPart xmlns="59ace41b-6786-4ce3-be71-52c27066c6ef">0</DocumentPart>
    <AdoptionDate xmlns="59ace41b-6786-4ce3-be71-52c27066c6ef" xsi:nil="true"/>
    <RequestingService xmlns="59ace41b-6786-4ce3-be71-52c27066c6ef">Greffe</RequestingService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SPL-CES</TermName>
          <TermId xmlns="http://schemas.microsoft.com/office/infopath/2007/PartnerControls">32d8cb1f-c9ec-4365-95c7-8385a18618ac</TermId>
        </TermInfo>
      </Terms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14d11ec3-fd82-4994-a217-1a91de9b2d2a">589</MeetingNumber>
    <DossierName_0 xmlns="http://schemas.microsoft.com/sharepoint/v3/fields">
      <Terms xmlns="http://schemas.microsoft.com/office/infopath/2007/PartnerControls"/>
    </DossierName_0>
    <DocumentVersion xmlns="59ace41b-6786-4ce3-be71-52c27066c6ef">0</DocumentVersion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C3F19A95DDE2574C950D6652ED703BFE" ma:contentTypeVersion="4" ma:contentTypeDescription="Defines the documents for Document Manager V2" ma:contentTypeScope="" ma:versionID="aa4a52a6a5593ecd1041875929ead8f4">
  <xsd:schema xmlns:xsd="http://www.w3.org/2001/XMLSchema" xmlns:xs="http://www.w3.org/2001/XMLSchema" xmlns:p="http://schemas.microsoft.com/office/2006/metadata/properties" xmlns:ns2="59ace41b-6786-4ce3-be71-52c27066c6ef" xmlns:ns3="http://schemas.microsoft.com/sharepoint/v3/fields" xmlns:ns4="14d11ec3-fd82-4994-a217-1a91de9b2d2a" targetNamespace="http://schemas.microsoft.com/office/2006/metadata/properties" ma:root="true" ma:fieldsID="0d1ccbad9410dd1ff387d7952c9a9f44" ns2:_="" ns3:_="" ns4:_="">
    <xsd:import namespace="59ace41b-6786-4ce3-be71-52c27066c6ef"/>
    <xsd:import namespace="http://schemas.microsoft.com/sharepoint/v3/fields"/>
    <xsd:import namespace="14d11ec3-fd82-4994-a217-1a91de9b2d2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ce41b-6786-4ce3-be71-52c27066c6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2fb5ba9-5e53-4066-9f9c-cd35b339bd62}" ma:internalName="TaxCatchAll" ma:showField="CatchAllData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2fb5ba9-5e53-4066-9f9c-cd35b339bd62}" ma:internalName="TaxCatchAllLabel" ma:readOnly="true" ma:showField="CatchAllDataLabel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11ec3-fd82-4994-a217-1a91de9b2d2a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92F8FA-9C91-41C8-8B26-4CF8D36390CA}"/>
</file>

<file path=customXml/itemProps2.xml><?xml version="1.0" encoding="utf-8"?>
<ds:datastoreItem xmlns:ds="http://schemas.openxmlformats.org/officeDocument/2006/customXml" ds:itemID="{A2475E1F-808F-4C8D-876B-64DF9D6E8357}"/>
</file>

<file path=customXml/itemProps3.xml><?xml version="1.0" encoding="utf-8"?>
<ds:datastoreItem xmlns:ds="http://schemas.openxmlformats.org/officeDocument/2006/customXml" ds:itemID="{A720F80E-8645-4BED-A232-DBDE0BDDB9CE}"/>
</file>

<file path=customXml/itemProps4.xml><?xml version="1.0" encoding="utf-8"?>
<ds:datastoreItem xmlns:ds="http://schemas.openxmlformats.org/officeDocument/2006/customXml" ds:itemID="{B24E8242-E200-477C-9593-2EBB820656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5934</Words>
  <Characters>33824</Characters>
  <Application>Microsoft Office Word</Application>
  <DocSecurity>0</DocSecurity>
  <Lines>281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opinions - 587th plenary session - April 2024</vt:lpstr>
    </vt:vector>
  </TitlesOfParts>
  <Company>CESE-CdR</Company>
  <LinksUpToDate>false</LinksUpToDate>
  <CharactersWithSpaces>39679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Síntese dos Pareceres - 588.ª reunião plenária - Maio de 2024</dc:title>
  <dc:subject>TCD</dc:subject>
  <dc:creator>Nieddu Emma</dc:creator>
  <cp:keywords>EESC-2024-01704-00-00-TCD-TRA-EN</cp:keywords>
  <dc:description>Rapporteur:  - Original language: EN - Date of document: 18/06/2024 - Date of meeting: 30/10/2024 14:30 - External documents:  - Administrator: MME TAMASAUSKIENE Julija</dc:description>
  <cp:lastModifiedBy>Rubano Noroes Silvana</cp:lastModifiedBy>
  <cp:revision>10</cp:revision>
  <cp:lastPrinted>2023-06-15T08:00:00Z</cp:lastPrinted>
  <dcterms:created xsi:type="dcterms:W3CDTF">2024-06-14T14:52:00Z</dcterms:created>
  <dcterms:modified xsi:type="dcterms:W3CDTF">2024-06-18T12:56:00Z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14/06/2024, 17/05/2024, 13/05/2024, 09/04/2024, 27/03/2024, 03/01/2024, 13/11/2023, 25/09/2023, 25/07/2023, 30/06/2023, 23/06/2023, 26/05/2023, 07/03/2023, 11/01/2023, 10/01/2023, 29/03/2022, 04/03/2022, 15/12/2021, 13/09/2021, 03/09/2021, 28/06/2021</vt:lpwstr>
  </property>
  <property fmtid="{D5CDD505-2E9C-101B-9397-08002B2CF9AE}" pid="4" name="Pref_Time">
    <vt:lpwstr>16:44:05, 13:50:35, 15:20:37, 17:11:40, 12:24:19, 15:02:18, 17:01:12, 16:07:19, 11:58:41, 14:00:08, 12:39:02, 15:12:50, 10:27:54, 10:12:15, 11:41:25, 14:21:50, 16:54:06, 17:56:36, 14:13:00, 10:08:10, 08:41:48</vt:lpwstr>
  </property>
  <property fmtid="{D5CDD505-2E9C-101B-9397-08002B2CF9AE}" pid="5" name="Pref_User">
    <vt:lpwstr>pacup, pacup, jhvi, jhvi, pacup, enied, amett, amett, jhvi, pacup, jhvi, pacup, enied, pacup, enied, jhvi, enied, hnic, amett, enied, enied</vt:lpwstr>
  </property>
  <property fmtid="{D5CDD505-2E9C-101B-9397-08002B2CF9AE}" pid="6" name="Pref_FileName">
    <vt:lpwstr>EESC-2024-01704-00-00-TCD-TRA.docx, EESC-2024-01233-00-01-TCD-TRA.docx, eesc-2024-01233-00-00-tcd-ori.docx, EESC-2024-00740-00-01-TCD-ORI.docx, EESC-2024-00740-00-00-TCD-TRA.docx, EESC-2023-04915-00-00-TCD-ORI.docx, EESC-2023-04201-00-00-TCD-ORI.docx, EES</vt:lpwstr>
  </property>
  <property fmtid="{D5CDD505-2E9C-101B-9397-08002B2CF9AE}" pid="7" name="ContentTypeId">
    <vt:lpwstr>0x010100EA97B91038054C99906057A708A1480A00C3F19A95DDE2574C950D6652ED703BFE</vt:lpwstr>
  </property>
  <property fmtid="{D5CDD505-2E9C-101B-9397-08002B2CF9AE}" pid="8" name="_dlc_DocIdItemGuid">
    <vt:lpwstr>c2bca9a4-a48d-4a9e-8018-a9ac34956a19</vt:lpwstr>
  </property>
  <property fmtid="{D5CDD505-2E9C-101B-9397-08002B2CF9AE}" pid="9" name="AvailableTranslations">
    <vt:lpwstr>5;#EN|f2175f21-25d7-44a3-96da-d6a61b075e1b;#37;#RO|feb747a2-64cd-4299-af12-4833ddc30497;#31;#NL|55c6556c-b4f4-441d-9acf-c498d4f838bd;#12;#IT|0774613c-01ed-4e5d-a25d-11d2388de825;#21;#SV|c2ed69e7-a339-43d7-8f22-d93680a92aa0;#24;#ES|e7a6b05b-ae16-40c8-add9-68b64b03aeba;#25;#DE|f6b31e5a-26fa-4935-b661-318e46daf27e;#28;#LV|46f7e311-5d9f-4663-b433-18aeccb7ace7;#43;#CS|72f9705b-0217-4fd3-bea2-cbc7ed80e26e;#30;#HR|2f555653-ed1a-4fe6-8362-9082d95989e5;#35;#FI|87606a43-d45f-42d6-b8c9-e1a3457db5b7;#36;#PT|50ccc04a-eadd-42ae-a0cb-acaf45f812ba;#22;#BG|1a1b3951-7821-4e6a-85f5-5673fc08bd2c;#33;#ET|ff6c3f4c-b02c-4c3c-ab07-2c37995a7a0a;#14;#FR|d2afafd3-4c81-4f60-8f52-ee33f2f54ff3;#29;#EL|6d4f4d51-af9b-4650-94b4-4276bee85c91;#16;#DA|5d49c027-8956-412b-aa16-e85a0f96ad0e;#27;#SL|98a412ae-eb01-49e9-ae3d-585a81724cfc;#26;#SK|46d9fce0-ef79-4f71-b89b-cd6aa82426b8;#34;#LT|a7ff5ce7-6123-4f68-865a-a57c31810414;#32;#HU|6b229040-c589-4408-b4c1-4285663d20a8;#17;#PL|1e03da61-4678-4e07-b136-b5024ca9197b</vt:lpwstr>
  </property>
  <property fmtid="{D5CDD505-2E9C-101B-9397-08002B2CF9AE}" pid="10" name="DocumentType_0">
    <vt:lpwstr>TCD|cd9d6eb6-3f4f-424a-b2d1-57c9d450eaaf</vt:lpwstr>
  </property>
  <property fmtid="{D5CDD505-2E9C-101B-9397-08002B2CF9AE}" pid="11" name="MeetingNumber">
    <vt:i4>589</vt:i4>
  </property>
  <property fmtid="{D5CDD505-2E9C-101B-9397-08002B2CF9AE}" pid="12" name="DossierName_0">
    <vt:lpwstr/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1704</vt:i4>
  </property>
  <property fmtid="{D5CDD505-2E9C-101B-9397-08002B2CF9AE}" pid="15" name="DocumentVersion">
    <vt:i4>0</vt:i4>
  </property>
  <property fmtid="{D5CDD505-2E9C-101B-9397-08002B2CF9AE}" pid="16" name="DocumentStatus">
    <vt:lpwstr>3;#TRA|150d2a88-1431-44e6-a8ca-0bb753ab8672</vt:lpwstr>
  </property>
  <property fmtid="{D5CDD505-2E9C-101B-9397-08002B2CF9AE}" pid="17" name="DocumentPart">
    <vt:i4>0</vt:i4>
  </property>
  <property fmtid="{D5CDD505-2E9C-101B-9397-08002B2CF9AE}" pid="18" name="DossierName">
    <vt:lpwstr/>
  </property>
  <property fmtid="{D5CDD505-2E9C-101B-9397-08002B2CF9AE}" pid="19" name="DocumentSource">
    <vt:lpwstr>1;#EESC|422833ec-8d7e-4e65-8e4e-8bed07ffb729</vt:lpwstr>
  </property>
  <property fmtid="{D5CDD505-2E9C-101B-9397-08002B2CF9AE}" pid="21" name="DocumentType">
    <vt:lpwstr>13;#TCD|cd9d6eb6-3f4f-424a-b2d1-57c9d450eaaf</vt:lpwstr>
  </property>
  <property fmtid="{D5CDD505-2E9C-101B-9397-08002B2CF9AE}" pid="22" name="RequestingService">
    <vt:lpwstr>Greffe</vt:lpwstr>
  </property>
  <property fmtid="{D5CDD505-2E9C-101B-9397-08002B2CF9AE}" pid="23" name="Confidentiality">
    <vt:lpwstr>6;#Unrestricted|826e22d7-d029-4ec0-a450-0c28ff673572</vt:lpwstr>
  </property>
  <property fmtid="{D5CDD505-2E9C-101B-9397-08002B2CF9AE}" pid="24" name="MeetingName_0">
    <vt:lpwstr>SPL-CES|32d8cb1f-c9ec-4365-95c7-8385a18618ac</vt:lpwstr>
  </property>
  <property fmtid="{D5CDD505-2E9C-101B-9397-08002B2CF9AE}" pid="25" name="Confidentiality_0">
    <vt:lpwstr>Unrestricted|826e22d7-d029-4ec0-a450-0c28ff673572</vt:lpwstr>
  </property>
  <property fmtid="{D5CDD505-2E9C-101B-9397-08002B2CF9AE}" pid="26" name="OriginalLanguage">
    <vt:lpwstr>5;#EN|f2175f21-25d7-44a3-96da-d6a61b075e1b</vt:lpwstr>
  </property>
  <property fmtid="{D5CDD505-2E9C-101B-9397-08002B2CF9AE}" pid="27" name="MeetingName">
    <vt:lpwstr>7;#SPL-CES|32d8cb1f-c9ec-4365-95c7-8385a18618ac</vt:lpwstr>
  </property>
  <property fmtid="{D5CDD505-2E9C-101B-9397-08002B2CF9AE}" pid="28" name="MeetingDate">
    <vt:filetime>2024-07-10T12:00:00Z</vt:filetime>
  </property>
  <property fmtid="{D5CDD505-2E9C-101B-9397-08002B2CF9AE}" pid="29" name="AvailableTranslations_0">
    <vt:lpwstr>EN|f2175f21-25d7-44a3-96da-d6a61b075e1b;SV|c2ed69e7-a339-43d7-8f22-d93680a92aa0;DE|f6b31e5a-26fa-4935-b661-318e46daf27e;EL|6d4f4d51-af9b-4650-94b4-4276bee85c91;SL|98a412ae-eb01-49e9-ae3d-585a81724cfc</vt:lpwstr>
  </property>
  <property fmtid="{D5CDD505-2E9C-101B-9397-08002B2CF9AE}" pid="30" name="DocumentStatus_0">
    <vt:lpwstr>TRA|150d2a88-1431-44e6-a8ca-0bb753ab8672</vt:lpwstr>
  </property>
  <property fmtid="{D5CDD505-2E9C-101B-9397-08002B2CF9AE}" pid="31" name="OriginalLanguage_0">
    <vt:lpwstr>EN|f2175f21-25d7-44a3-96da-d6a61b075e1b</vt:lpwstr>
  </property>
  <property fmtid="{D5CDD505-2E9C-101B-9397-08002B2CF9AE}" pid="32" name="TaxCatchAll">
    <vt:lpwstr>13;#TCD|cd9d6eb6-3f4f-424a-b2d1-57c9d450eaaf;#29;#EL|6d4f4d51-af9b-4650-94b4-4276bee85c91;#27;#SL|98a412ae-eb01-49e9-ae3d-585a81724cfc;#8;#Final|ea5e6674-7b27-4bac-b091-73adbb394efe;#7;#SPL-CES|32d8cb1f-c9ec-4365-95c7-8385a18618ac;#6;#Unrestricted|826e22d7-d029-4ec0-a450-0c28ff673572;#5;#EN|f2175f21-25d7-44a3-96da-d6a61b075e1b;#21;#SV|c2ed69e7-a339-43d7-8f22-d93680a92aa0;#3;#TRA|150d2a88-1431-44e6-a8ca-0bb753ab8672;#25;#DE|f6b31e5a-26fa-4935-b661-318e46daf27e;#1;#EESC|422833ec-8d7e-4e65-8e4e-8bed07ffb729</vt:lpwstr>
  </property>
  <property fmtid="{D5CDD505-2E9C-101B-9397-08002B2CF9AE}" pid="33" name="VersionStatus_0">
    <vt:lpwstr>Final|ea5e6674-7b27-4bac-b091-73adbb394efe</vt:lpwstr>
  </property>
  <property fmtid="{D5CDD505-2E9C-101B-9397-08002B2CF9AE}" pid="34" name="VersionStatus">
    <vt:lpwstr>8;#Final|ea5e6674-7b27-4bac-b091-73adbb394efe</vt:lpwstr>
  </property>
  <property fmtid="{D5CDD505-2E9C-101B-9397-08002B2CF9AE}" pid="35" name="DocumentYear">
    <vt:i4>2024</vt:i4>
  </property>
  <property fmtid="{D5CDD505-2E9C-101B-9397-08002B2CF9AE}" pid="36" name="FicheNumber">
    <vt:i4>6412</vt:i4>
  </property>
  <property fmtid="{D5CDD505-2E9C-101B-9397-08002B2CF9AE}" pid="37" name="DocumentLanguage">
    <vt:lpwstr>36;#PT|50ccc04a-eadd-42ae-a0cb-acaf45f812ba</vt:lpwstr>
  </property>
  <property fmtid="{D5CDD505-2E9C-101B-9397-08002B2CF9AE}" pid="38" name="_docset_NoMedatataSyncRequired">
    <vt:lpwstr>False</vt:lpwstr>
  </property>
</Properties>
</file>