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660BE3" w14:paraId="785AE44C" w14:textId="6693DB59">
      <w:pPr>
        <w:jc w:val="center"/>
      </w:pPr>
      <w:r>
        <w:rPr>
          <w:noProof/>
        </w:rPr>
        <w:drawing>
          <wp:inline distT="0" distB="0" distL="0" distR="0" wp14:anchorId="1E5DEC07" wp14:editId="6149C83E">
            <wp:extent cx="1792605" cy="1239520"/>
            <wp:effectExtent l="0" t="0" r="0" b="0"/>
            <wp:docPr id="2" name="Picture 2" title="EESCLogo_PL"/>
            <wp:cNvGraphicFramePr/>
            <a:graphic xmlns:a="http://schemas.openxmlformats.org/drawingml/2006/main">
              <a:graphicData uri="http://schemas.openxmlformats.org/drawingml/2006/picture">
                <pic:pic xmlns:pic="http://schemas.openxmlformats.org/drawingml/2006/picture">
                  <pic:nvPicPr>
                    <pic:cNvPr id="2" name="Picture 2" title="EESCLogo_P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5152C397"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PL</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Bruksela, 21 czerwca 2024 r.</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 SESJA PLENARNA</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30 i 31 maja 2024 r.</w:t>
            </w:r>
          </w:p>
          <w:p w:rsidRPr="00094B6B" w:rsidR="001760E9" w:rsidP="00775FC4" w:rsidRDefault="001760E9" w14:paraId="0C44BD01" w14:textId="2F8EBB07">
            <w:pPr>
              <w:snapToGrid w:val="0"/>
              <w:jc w:val="center"/>
              <w:rPr>
                <w:b/>
                <w:sz w:val="32"/>
              </w:rPr>
            </w:pPr>
          </w:p>
          <w:p w:rsidRPr="00094B6B" w:rsidR="004D7AC0" w:rsidP="00775FC4" w:rsidRDefault="00014C73" w14:paraId="114106CC" w14:textId="4BD6F65C">
            <w:pPr>
              <w:snapToGrid w:val="0"/>
              <w:jc w:val="center"/>
              <w:rPr>
                <w:rFonts w:eastAsia="MS Mincho"/>
                <w:b/>
                <w:sz w:val="32"/>
                <w:szCs w:val="32"/>
              </w:rPr>
            </w:pPr>
            <w:r>
              <w:rPr>
                <w:b/>
                <w:sz w:val="32"/>
              </w:rPr>
              <w:t>Streszczenie przyjętych opinii, rezolucji</w:t>
            </w:r>
            <w:r w:rsidR="00CF2F88">
              <w:rPr>
                <w:b/>
                <w:sz w:val="32"/>
              </w:rPr>
              <w:br/>
              <w:t>ORAZ RAPORTÓW INFORMACYJNYCH / RAPORTÓW Z</w:t>
            </w:r>
            <w:r w:rsidR="00336F25">
              <w:rPr>
                <w:b/>
                <w:sz w:val="32"/>
              </w:rPr>
              <w:t> </w:t>
            </w:r>
            <w:r w:rsidR="00CF2F88">
              <w:rPr>
                <w:b/>
                <w:sz w:val="32"/>
              </w:rPr>
              <w:t>OCENY</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Niniejszy dokument jest dostępny w językach urzędowych Unii Europejskiej na stronie internetowej EKES-u pod adresem:</w:t>
            </w:r>
          </w:p>
          <w:p w:rsidRPr="00094B6B" w:rsidR="00B16284" w:rsidP="00775FC4" w:rsidRDefault="00B16284" w14:paraId="4F26A4CE" w14:textId="77777777">
            <w:pPr>
              <w:snapToGrid w:val="0"/>
              <w:jc w:val="center"/>
            </w:pPr>
          </w:p>
          <w:p w:rsidRPr="00094B6B" w:rsidR="004D7AC0" w:rsidP="00775FC4" w:rsidRDefault="0096037A" w14:paraId="2A9352A2" w14:textId="0680ADB6">
            <w:pPr>
              <w:snapToGrid w:val="0"/>
              <w:jc w:val="center"/>
            </w:pPr>
            <w:hyperlink w:history="1" r:id="rId12">
              <w:r w:rsidR="00660BE3">
                <w:rPr>
                  <w:rStyle w:val="Hyperlink"/>
                  <w:highlight w:val="yellow"/>
                </w:rPr>
                <w:t>https://www.eesc.europa.eu/pl/our-work/opinions-information-reports/plenary-session-summaries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Niżej wymienione opinie można także znaleźć w formie elektronicznej za pomocą internetowej wyszukiwarki EKES-u:</w:t>
            </w:r>
          </w:p>
          <w:p w:rsidRPr="00094B6B" w:rsidR="00B16284" w:rsidP="00775FC4" w:rsidRDefault="00B16284" w14:paraId="7A5411A5" w14:textId="77777777">
            <w:pPr>
              <w:snapToGrid w:val="0"/>
              <w:jc w:val="center"/>
            </w:pPr>
          </w:p>
          <w:p w:rsidRPr="00094B6B" w:rsidR="004D7AC0" w:rsidP="00775FC4" w:rsidRDefault="0096037A" w14:paraId="441AC4DD" w14:textId="1194D751">
            <w:pPr>
              <w:snapToGrid w:val="0"/>
              <w:jc w:val="center"/>
            </w:pPr>
            <w:hyperlink w:history="1" r:id="rId13">
              <w:r w:rsidR="00660BE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Spis treści:</w:t>
      </w:r>
    </w:p>
    <w:p w:rsidR="008B7113" w:rsidRDefault="008772F9" w14:paraId="01A7A0CF" w14:textId="197657ED">
      <w:pPr>
        <w:pStyle w:val="TOC1"/>
        <w:rPr>
          <w:rFonts w:asciiTheme="minorHAnsi" w:hAnsiTheme="minorHAnsi" w:eastAsiaTheme="minorEastAsia" w:cstheme="minorBidi"/>
          <w:bCs w:val="0"/>
          <w:sz w:val="22"/>
          <w:szCs w:val="22"/>
          <w:lang w:val="fr-FR" w:eastAsia="fr-FR"/>
        </w:rPr>
      </w:pPr>
      <w:r>
        <w:fldChar w:fldCharType="begin"/>
      </w:r>
      <w:r>
        <w:instrText xml:space="preserve"> TOC \o "1-1" \h \z \u </w:instrText>
      </w:r>
      <w:r>
        <w:fldChar w:fldCharType="separate"/>
      </w:r>
      <w:hyperlink w:history="1" w:anchor="_Toc169707926">
        <w:r w:rsidRPr="00326CAF" w:rsidR="008B7113">
          <w:rPr>
            <w:rStyle w:val="Hyperlink"/>
            <w14:scene3d>
              <w14:camera w14:prst="orthographicFront"/>
              <w14:lightRig w14:rig="threePt" w14:dir="t">
                <w14:rot w14:lat="0" w14:lon="0" w14:rev="0"/>
              </w14:lightRig>
            </w14:scene3d>
          </w:rPr>
          <w:t>1.</w:t>
        </w:r>
        <w:r w:rsidR="008B7113">
          <w:rPr>
            <w:rFonts w:asciiTheme="minorHAnsi" w:hAnsiTheme="minorHAnsi" w:eastAsiaTheme="minorEastAsia" w:cstheme="minorBidi"/>
            <w:bCs w:val="0"/>
            <w:sz w:val="22"/>
            <w:szCs w:val="22"/>
            <w:lang w:val="fr-FR" w:eastAsia="fr-FR"/>
          </w:rPr>
          <w:tab/>
        </w:r>
        <w:r w:rsidRPr="00326CAF" w:rsidR="008B7113">
          <w:rPr>
            <w:rStyle w:val="Hyperlink"/>
            <w:b/>
          </w:rPr>
          <w:t>UNIA GOSPODARCZA I WALUTOWA ORAZ SPÓJNOŚĆ GOSPODARCZA I SPOŁECZNA</w:t>
        </w:r>
        <w:r w:rsidR="008B7113">
          <w:rPr>
            <w:webHidden/>
          </w:rPr>
          <w:tab/>
        </w:r>
        <w:r w:rsidR="008B7113">
          <w:rPr>
            <w:webHidden/>
          </w:rPr>
          <w:fldChar w:fldCharType="begin"/>
        </w:r>
        <w:r w:rsidR="008B7113">
          <w:rPr>
            <w:webHidden/>
          </w:rPr>
          <w:instrText xml:space="preserve"> PAGEREF _Toc169707926 \h </w:instrText>
        </w:r>
        <w:r w:rsidR="008B7113">
          <w:rPr>
            <w:webHidden/>
          </w:rPr>
        </w:r>
        <w:r w:rsidR="008B7113">
          <w:rPr>
            <w:webHidden/>
          </w:rPr>
          <w:fldChar w:fldCharType="separate"/>
        </w:r>
        <w:r w:rsidR="00FF07F1">
          <w:rPr>
            <w:webHidden/>
          </w:rPr>
          <w:t>3</w:t>
        </w:r>
        <w:r w:rsidR="008B7113">
          <w:rPr>
            <w:webHidden/>
          </w:rPr>
          <w:fldChar w:fldCharType="end"/>
        </w:r>
      </w:hyperlink>
    </w:p>
    <w:p w:rsidR="008B7113" w:rsidRDefault="008B7113" w14:paraId="16D0D528" w14:textId="6B602744">
      <w:pPr>
        <w:pStyle w:val="TOC1"/>
        <w:rPr>
          <w:rFonts w:asciiTheme="minorHAnsi" w:hAnsiTheme="minorHAnsi" w:eastAsiaTheme="minorEastAsia" w:cstheme="minorBidi"/>
          <w:bCs w:val="0"/>
          <w:sz w:val="22"/>
          <w:szCs w:val="22"/>
          <w:lang w:val="fr-FR" w:eastAsia="fr-FR"/>
        </w:rPr>
      </w:pPr>
      <w:hyperlink w:history="1" w:anchor="_Toc169707927">
        <w:r w:rsidRPr="00326CAF">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FR" w:eastAsia="fr-FR"/>
          </w:rPr>
          <w:tab/>
        </w:r>
        <w:r w:rsidRPr="00326CAF">
          <w:rPr>
            <w:rStyle w:val="Hyperlink"/>
            <w:b/>
          </w:rPr>
          <w:t>ZATRUDNIENIE, SPRAWY SPOŁECZNE I OBYWATELSTWO</w:t>
        </w:r>
        <w:r>
          <w:rPr>
            <w:webHidden/>
          </w:rPr>
          <w:tab/>
        </w:r>
        <w:r>
          <w:rPr>
            <w:webHidden/>
          </w:rPr>
          <w:fldChar w:fldCharType="begin"/>
        </w:r>
        <w:r>
          <w:rPr>
            <w:webHidden/>
          </w:rPr>
          <w:instrText xml:space="preserve"> PAGEREF _Toc169707927 \h </w:instrText>
        </w:r>
        <w:r>
          <w:rPr>
            <w:webHidden/>
          </w:rPr>
        </w:r>
        <w:r>
          <w:rPr>
            <w:webHidden/>
          </w:rPr>
          <w:fldChar w:fldCharType="separate"/>
        </w:r>
        <w:r w:rsidR="00FF07F1">
          <w:rPr>
            <w:webHidden/>
          </w:rPr>
          <w:t>7</w:t>
        </w:r>
        <w:r>
          <w:rPr>
            <w:webHidden/>
          </w:rPr>
          <w:fldChar w:fldCharType="end"/>
        </w:r>
      </w:hyperlink>
    </w:p>
    <w:p w:rsidR="008B7113" w:rsidRDefault="008B7113" w14:paraId="648E1C99" w14:textId="476A6C03">
      <w:pPr>
        <w:pStyle w:val="TOC1"/>
        <w:rPr>
          <w:rFonts w:asciiTheme="minorHAnsi" w:hAnsiTheme="minorHAnsi" w:eastAsiaTheme="minorEastAsia" w:cstheme="minorBidi"/>
          <w:bCs w:val="0"/>
          <w:sz w:val="22"/>
          <w:szCs w:val="22"/>
          <w:lang w:val="fr-FR" w:eastAsia="fr-FR"/>
        </w:rPr>
      </w:pPr>
      <w:hyperlink w:history="1" w:anchor="_Toc169707928">
        <w:r w:rsidRPr="00326CAF">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FR" w:eastAsia="fr-FR"/>
          </w:rPr>
          <w:tab/>
        </w:r>
        <w:r w:rsidRPr="00326CAF">
          <w:rPr>
            <w:rStyle w:val="Hyperlink"/>
            <w:b/>
          </w:rPr>
          <w:t>ROLNICTWO, ROZWÓJ WSI I ŚRODOWISKO NATURALNE</w:t>
        </w:r>
        <w:r>
          <w:rPr>
            <w:webHidden/>
          </w:rPr>
          <w:tab/>
        </w:r>
        <w:r>
          <w:rPr>
            <w:webHidden/>
          </w:rPr>
          <w:fldChar w:fldCharType="begin"/>
        </w:r>
        <w:r>
          <w:rPr>
            <w:webHidden/>
          </w:rPr>
          <w:instrText xml:space="preserve"> PAGEREF _Toc169707928 \h </w:instrText>
        </w:r>
        <w:r>
          <w:rPr>
            <w:webHidden/>
          </w:rPr>
        </w:r>
        <w:r>
          <w:rPr>
            <w:webHidden/>
          </w:rPr>
          <w:fldChar w:fldCharType="separate"/>
        </w:r>
        <w:r w:rsidR="00FF07F1">
          <w:rPr>
            <w:webHidden/>
          </w:rPr>
          <w:t>11</w:t>
        </w:r>
        <w:r>
          <w:rPr>
            <w:webHidden/>
          </w:rPr>
          <w:fldChar w:fldCharType="end"/>
        </w:r>
      </w:hyperlink>
    </w:p>
    <w:p w:rsidR="008B7113" w:rsidRDefault="008B7113" w14:paraId="3AEC0059" w14:textId="206CC613">
      <w:pPr>
        <w:pStyle w:val="TOC1"/>
        <w:rPr>
          <w:rFonts w:asciiTheme="minorHAnsi" w:hAnsiTheme="minorHAnsi" w:eastAsiaTheme="minorEastAsia" w:cstheme="minorBidi"/>
          <w:bCs w:val="0"/>
          <w:sz w:val="22"/>
          <w:szCs w:val="22"/>
          <w:lang w:val="fr-FR" w:eastAsia="fr-FR"/>
        </w:rPr>
      </w:pPr>
      <w:hyperlink w:history="1" w:anchor="_Toc169707929">
        <w:r w:rsidRPr="00326CAF">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FR" w:eastAsia="fr-FR"/>
          </w:rPr>
          <w:tab/>
        </w:r>
        <w:r w:rsidRPr="00326CAF">
          <w:rPr>
            <w:rStyle w:val="Hyperlink"/>
            <w:b/>
          </w:rPr>
          <w:t>TRANSPORT, ENERGIA, INFRASTRUKTURA, SPOŁECZEŃSTWO INFORMACYJNE</w:t>
        </w:r>
        <w:r>
          <w:rPr>
            <w:webHidden/>
          </w:rPr>
          <w:tab/>
        </w:r>
        <w:r>
          <w:rPr>
            <w:webHidden/>
          </w:rPr>
          <w:fldChar w:fldCharType="begin"/>
        </w:r>
        <w:r>
          <w:rPr>
            <w:webHidden/>
          </w:rPr>
          <w:instrText xml:space="preserve"> PAGEREF _Toc169707929 \h </w:instrText>
        </w:r>
        <w:r>
          <w:rPr>
            <w:webHidden/>
          </w:rPr>
        </w:r>
        <w:r>
          <w:rPr>
            <w:webHidden/>
          </w:rPr>
          <w:fldChar w:fldCharType="separate"/>
        </w:r>
        <w:r w:rsidR="00FF07F1">
          <w:rPr>
            <w:webHidden/>
          </w:rPr>
          <w:t>14</w:t>
        </w:r>
        <w:r>
          <w:rPr>
            <w:webHidden/>
          </w:rPr>
          <w:fldChar w:fldCharType="end"/>
        </w:r>
      </w:hyperlink>
    </w:p>
    <w:p w:rsidR="008B7113" w:rsidRDefault="008B7113" w14:paraId="0AD62190" w14:textId="3F912535">
      <w:pPr>
        <w:pStyle w:val="TOC1"/>
        <w:rPr>
          <w:rFonts w:asciiTheme="minorHAnsi" w:hAnsiTheme="minorHAnsi" w:eastAsiaTheme="minorEastAsia" w:cstheme="minorBidi"/>
          <w:bCs w:val="0"/>
          <w:sz w:val="22"/>
          <w:szCs w:val="22"/>
          <w:lang w:val="fr-FR" w:eastAsia="fr-FR"/>
        </w:rPr>
      </w:pPr>
      <w:hyperlink w:history="1" w:anchor="_Toc169707930">
        <w:r w:rsidRPr="00326CAF">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FR" w:eastAsia="fr-FR"/>
          </w:rPr>
          <w:tab/>
        </w:r>
        <w:r w:rsidRPr="00326CAF">
          <w:rPr>
            <w:rStyle w:val="Hyperlink"/>
            <w:b/>
          </w:rPr>
          <w:t>KOMISJA KONSULTACYJNA DS. PRZEMIAN W PRZEMYŚLE</w:t>
        </w:r>
        <w:r>
          <w:rPr>
            <w:webHidden/>
          </w:rPr>
          <w:tab/>
        </w:r>
        <w:r>
          <w:rPr>
            <w:webHidden/>
          </w:rPr>
          <w:fldChar w:fldCharType="begin"/>
        </w:r>
        <w:r>
          <w:rPr>
            <w:webHidden/>
          </w:rPr>
          <w:instrText xml:space="preserve"> PAGEREF _Toc169707930 \h </w:instrText>
        </w:r>
        <w:r>
          <w:rPr>
            <w:webHidden/>
          </w:rPr>
        </w:r>
        <w:r>
          <w:rPr>
            <w:webHidden/>
          </w:rPr>
          <w:fldChar w:fldCharType="separate"/>
        </w:r>
        <w:r w:rsidR="00FF07F1">
          <w:rPr>
            <w:webHidden/>
          </w:rPr>
          <w:t>15</w:t>
        </w:r>
        <w:r>
          <w:rPr>
            <w:webHidden/>
          </w:rPr>
          <w:fldChar w:fldCharType="end"/>
        </w:r>
      </w:hyperlink>
    </w:p>
    <w:p w:rsidR="00C86ABD" w:rsidRDefault="008772F9" w14:paraId="4EDE006A" w14:textId="53D252E0">
      <w:pPr>
        <w:jc w:val="left"/>
      </w:pPr>
      <w:r>
        <w:fldChar w:fldCharType="end"/>
      </w:r>
      <w:r>
        <w:br w:type="page"/>
      </w:r>
    </w:p>
    <w:p w:rsidRPr="00EE2FBD" w:rsidR="0038273B" w:rsidP="00770F41" w:rsidRDefault="0038273B" w14:paraId="62CE6920" w14:textId="59A151AD">
      <w:pPr>
        <w:pStyle w:val="Heading1"/>
        <w:tabs>
          <w:tab w:val="clear" w:pos="440"/>
          <w:tab w:val="left" w:pos="567"/>
        </w:tabs>
        <w:ind w:left="567" w:hanging="567"/>
        <w:rPr>
          <w:b/>
          <w:bCs/>
        </w:rPr>
      </w:pPr>
      <w:bookmarkStart w:name="_Toc169707926" w:id="0"/>
      <w:r>
        <w:rPr>
          <w:b/>
        </w:rPr>
        <w:lastRenderedPageBreak/>
        <w:t>UNIA GOSPODARCZA I WALUTOWA ORAZ SPÓJNOŚĆ GOSPODARCZA I</w:t>
      </w:r>
      <w:r w:rsidR="00336F25">
        <w:rPr>
          <w:b/>
        </w:rPr>
        <w:t> </w:t>
      </w:r>
      <w:r>
        <w:rPr>
          <w:b/>
        </w:rPr>
        <w:t>SPOŁECZNA</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96037A"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00660BE3">
          <w:rPr>
            <w:b/>
            <w:i/>
            <w:color w:val="0000FF"/>
            <w:sz w:val="28"/>
            <w:u w:val="single"/>
          </w:rPr>
          <w:t>Rola polityki spójności w kolejnych rundach rozszerzenia UE</w:t>
        </w:r>
      </w:hyperlink>
    </w:p>
    <w:p w:rsidRPr="006C19F4" w:rsidR="00190D28" w:rsidP="00336F25" w:rsidRDefault="00190D28" w14:paraId="647D4419" w14:textId="77777777">
      <w:pPr>
        <w:widowControl w:val="0"/>
        <w:overflowPunct w:val="0"/>
        <w:autoSpaceDE w:val="0"/>
        <w:autoSpaceDN w:val="0"/>
        <w:adjustRightInd w:val="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15"/>
        <w:gridCol w:w="7407"/>
      </w:tblGrid>
      <w:tr w:rsidRPr="00FF07F1" w:rsidR="006C19F4" w:rsidTr="00FE3058" w14:paraId="7BA389F8" w14:textId="77777777">
        <w:tc>
          <w:tcPr>
            <w:tcW w:w="1701" w:type="dxa"/>
          </w:tcPr>
          <w:p w:rsidRPr="00FF07F1" w:rsidR="006C19F4" w:rsidP="00336F25" w:rsidRDefault="006C19F4" w14:paraId="4187F6BE" w14:textId="77777777">
            <w:pPr>
              <w:tabs>
                <w:tab w:val="center" w:pos="284"/>
              </w:tabs>
              <w:overflowPunct w:val="0"/>
              <w:autoSpaceDE w:val="0"/>
              <w:autoSpaceDN w:val="0"/>
              <w:adjustRightInd w:val="0"/>
              <w:ind w:left="266" w:hanging="266"/>
              <w:textAlignment w:val="baseline"/>
              <w:rPr>
                <w:b/>
                <w:sz w:val="22"/>
                <w:szCs w:val="22"/>
              </w:rPr>
            </w:pPr>
            <w:r w:rsidRPr="00FF07F1">
              <w:rPr>
                <w:b/>
                <w:sz w:val="22"/>
                <w:szCs w:val="22"/>
              </w:rPr>
              <w:t>Sprawozdawczyni</w:t>
            </w:r>
          </w:p>
        </w:tc>
        <w:tc>
          <w:tcPr>
            <w:tcW w:w="7621" w:type="dxa"/>
          </w:tcPr>
          <w:p w:rsidRPr="00FF07F1" w:rsidR="006C19F4" w:rsidP="00336F25" w:rsidRDefault="006C19F4" w14:paraId="1811BD9A" w14:textId="77777777">
            <w:pPr>
              <w:tabs>
                <w:tab w:val="center" w:pos="284"/>
              </w:tabs>
              <w:overflowPunct w:val="0"/>
              <w:autoSpaceDE w:val="0"/>
              <w:autoSpaceDN w:val="0"/>
              <w:adjustRightInd w:val="0"/>
              <w:ind w:left="266" w:hanging="266"/>
              <w:textAlignment w:val="baseline"/>
              <w:rPr>
                <w:bCs/>
                <w:sz w:val="22"/>
                <w:szCs w:val="22"/>
              </w:rPr>
            </w:pPr>
            <w:r w:rsidRPr="00FF07F1">
              <w:rPr>
                <w:sz w:val="22"/>
                <w:szCs w:val="22"/>
              </w:rPr>
              <w:t>Maria del Carmen BARRERA CHAMORRO (Grupa Pracowników – ES)</w:t>
            </w:r>
          </w:p>
        </w:tc>
      </w:tr>
      <w:tr w:rsidRPr="00FF07F1" w:rsidR="006C19F4" w:rsidTr="00FE3058" w14:paraId="73869A75" w14:textId="77777777">
        <w:tc>
          <w:tcPr>
            <w:tcW w:w="9322" w:type="dxa"/>
            <w:gridSpan w:val="2"/>
          </w:tcPr>
          <w:p w:rsidRPr="00FF07F1" w:rsidR="006C19F4" w:rsidP="00336F25" w:rsidRDefault="006C19F4" w14:paraId="4BF0E4CE"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F07F1" w:rsidR="006C19F4" w:rsidTr="00FE3058" w14:paraId="232B8808" w14:textId="77777777">
        <w:tc>
          <w:tcPr>
            <w:tcW w:w="1701" w:type="dxa"/>
          </w:tcPr>
          <w:p w:rsidRPr="00FF07F1" w:rsidR="006C19F4" w:rsidP="00336F25" w:rsidRDefault="006C19F4" w14:paraId="0DE082BA" w14:textId="77777777">
            <w:pPr>
              <w:tabs>
                <w:tab w:val="center" w:pos="284"/>
              </w:tabs>
              <w:overflowPunct w:val="0"/>
              <w:autoSpaceDE w:val="0"/>
              <w:autoSpaceDN w:val="0"/>
              <w:adjustRightInd w:val="0"/>
              <w:ind w:left="266" w:hanging="266"/>
              <w:textAlignment w:val="baseline"/>
              <w:rPr>
                <w:b/>
                <w:sz w:val="22"/>
                <w:szCs w:val="22"/>
              </w:rPr>
            </w:pPr>
            <w:r w:rsidRPr="00FF07F1">
              <w:rPr>
                <w:b/>
                <w:sz w:val="22"/>
                <w:szCs w:val="22"/>
              </w:rPr>
              <w:t>Dokumenty</w:t>
            </w:r>
          </w:p>
        </w:tc>
        <w:tc>
          <w:tcPr>
            <w:tcW w:w="7621" w:type="dxa"/>
          </w:tcPr>
          <w:p w:rsidRPr="00FF07F1" w:rsidR="00ED5F1D" w:rsidP="00336F25" w:rsidRDefault="00ED5F1D" w14:paraId="6C26CE56" w14:textId="7EC335DB">
            <w:pPr>
              <w:pStyle w:val="Default"/>
              <w:jc w:val="both"/>
              <w:rPr>
                <w:sz w:val="22"/>
                <w:szCs w:val="22"/>
              </w:rPr>
            </w:pPr>
            <w:r w:rsidRPr="00FF07F1">
              <w:rPr>
                <w:sz w:val="22"/>
                <w:szCs w:val="22"/>
              </w:rPr>
              <w:t xml:space="preserve">Opinia rozpoznawcza na wniosek Komisji Europejskiej </w:t>
            </w:r>
          </w:p>
          <w:p w:rsidRPr="00FF07F1" w:rsidR="006C19F4" w:rsidP="00336F25" w:rsidRDefault="006C19F4" w14:paraId="7903D5BC" w14:textId="592052F7">
            <w:pPr>
              <w:tabs>
                <w:tab w:val="center" w:pos="284"/>
              </w:tabs>
              <w:overflowPunct w:val="0"/>
              <w:autoSpaceDE w:val="0"/>
              <w:autoSpaceDN w:val="0"/>
              <w:adjustRightInd w:val="0"/>
              <w:ind w:left="266" w:hanging="266"/>
              <w:textAlignment w:val="baseline"/>
              <w:rPr>
                <w:sz w:val="22"/>
                <w:szCs w:val="22"/>
              </w:rPr>
            </w:pPr>
            <w:r w:rsidRPr="00FF07F1">
              <w:rPr>
                <w:sz w:val="22"/>
                <w:szCs w:val="22"/>
              </w:rPr>
              <w:t>EESC-2024-00535-00-00-AC</w:t>
            </w:r>
          </w:p>
        </w:tc>
      </w:tr>
    </w:tbl>
    <w:p w:rsidR="00556279" w:rsidP="00336F25" w:rsidRDefault="00556279" w14:paraId="3EB4A714" w14:textId="77777777">
      <w:pPr>
        <w:keepNext/>
        <w:keepLines/>
        <w:tabs>
          <w:tab w:val="center" w:pos="284"/>
        </w:tabs>
        <w:overflowPunct w:val="0"/>
        <w:autoSpaceDE w:val="0"/>
        <w:autoSpaceDN w:val="0"/>
        <w:adjustRightInd w:val="0"/>
        <w:ind w:left="266" w:hanging="266"/>
        <w:textAlignment w:val="baseline"/>
        <w:rPr>
          <w:b/>
        </w:rPr>
      </w:pPr>
    </w:p>
    <w:p w:rsidR="006C19F4" w:rsidP="00336F25" w:rsidRDefault="006C19F4" w14:paraId="580E62C3" w14:textId="193AC286">
      <w:pPr>
        <w:keepNext/>
        <w:keepLines/>
        <w:tabs>
          <w:tab w:val="center" w:pos="284"/>
        </w:tabs>
        <w:overflowPunct w:val="0"/>
        <w:autoSpaceDE w:val="0"/>
        <w:autoSpaceDN w:val="0"/>
        <w:adjustRightInd w:val="0"/>
        <w:ind w:left="266" w:hanging="266"/>
        <w:textAlignment w:val="baseline"/>
        <w:rPr>
          <w:b/>
        </w:rPr>
      </w:pPr>
      <w:r>
        <w:rPr>
          <w:b/>
        </w:rPr>
        <w:t>Główne punkty</w:t>
      </w:r>
    </w:p>
    <w:p w:rsidRPr="006C19F4" w:rsidR="00ED5F1D" w:rsidP="00336F25" w:rsidRDefault="00ED5F1D" w14:paraId="7E453C4F" w14:textId="77777777">
      <w:pPr>
        <w:keepNext/>
        <w:keepLines/>
        <w:tabs>
          <w:tab w:val="center" w:pos="284"/>
        </w:tabs>
        <w:overflowPunct w:val="0"/>
        <w:autoSpaceDE w:val="0"/>
        <w:autoSpaceDN w:val="0"/>
        <w:adjustRightInd w:val="0"/>
        <w:ind w:left="266" w:hanging="266"/>
        <w:textAlignment w:val="baseline"/>
        <w:rPr>
          <w:b/>
        </w:rPr>
      </w:pPr>
    </w:p>
    <w:p w:rsidR="006C19F4" w:rsidP="00336F25" w:rsidRDefault="006C19F4" w14:paraId="3AEFB419" w14:textId="78037879">
      <w:pPr>
        <w:overflowPunct w:val="0"/>
        <w:autoSpaceDE w:val="0"/>
        <w:autoSpaceDN w:val="0"/>
        <w:adjustRightInd w:val="0"/>
        <w:textAlignment w:val="baseline"/>
        <w:rPr>
          <w:bCs/>
          <w:iCs/>
        </w:rPr>
      </w:pPr>
      <w:r>
        <w:t>EKES:</w:t>
      </w:r>
    </w:p>
    <w:p w:rsidRPr="006C19F4" w:rsidR="007A51DE" w:rsidP="00336F25" w:rsidRDefault="007A51DE" w14:paraId="3831A5EE" w14:textId="77777777">
      <w:pPr>
        <w:overflowPunct w:val="0"/>
        <w:autoSpaceDE w:val="0"/>
        <w:autoSpaceDN w:val="0"/>
        <w:adjustRightInd w:val="0"/>
        <w:textAlignment w:val="baseline"/>
        <w:rPr>
          <w:bCs/>
          <w:iCs/>
        </w:rPr>
      </w:pPr>
    </w:p>
    <w:p w:rsidRPr="006C19F4"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t>Podkreśla, że polityka pomocy przedakcesyjnej jest niezbędnym narzędziem polityki rozszerzenia, którego wpływ można zwiększyć, aby promować pokój i dobrobyt na całym kontynencie europejskim, zwłaszcza w regionach, w których pokój i stabilność zostały ostatnio wystawione na próbę.</w:t>
      </w:r>
    </w:p>
    <w:p w:rsidRPr="006C19F4"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t>Zauważa, że aby można było przygotować państwa kandydujące do pełnego wdrożenia instrumentów polityki spójności w przyszłości, polityka pomocy przedakcesyjnej powinna lepiej uwzględniać mocne strony, wyzwania i potrzeby poszczególnych regionów, a także regionów graniczących z państwami członkowskimi UE.</w:t>
      </w:r>
    </w:p>
    <w:p w:rsidRPr="006C19F4" w:rsidR="006C19F4" w:rsidP="00DC0FAE" w:rsidRDefault="006C19F4" w14:paraId="7DB08F12" w14:textId="6BFA2269">
      <w:pPr>
        <w:numPr>
          <w:ilvl w:val="0"/>
          <w:numId w:val="13"/>
        </w:numPr>
        <w:overflowPunct w:val="0"/>
        <w:autoSpaceDE w:val="0"/>
        <w:autoSpaceDN w:val="0"/>
        <w:adjustRightInd w:val="0"/>
        <w:spacing w:after="200" w:line="276" w:lineRule="auto"/>
        <w:contextualSpacing/>
        <w:textAlignment w:val="baseline"/>
        <w:rPr>
          <w:bCs/>
          <w:iCs/>
        </w:rPr>
      </w:pPr>
      <w:r>
        <w:t>Zaleca, aby polityka pomocy przedakcesyjnej w państwach kandydujących polegała na bardziej systematycznym inwestowaniu w rozwój kapitału ludzkiego, edukację i integrację społeczną w</w:t>
      </w:r>
      <w:r w:rsidR="00336F25">
        <w:t> </w:t>
      </w:r>
      <w:r>
        <w:t>celu zapobiegania nierównościom społecznym i ich łagodzenia. Niezbędne jest promowanie powiązań z organizacjami społeczeństwa obywatelskiego na rzecz lepszego planowania polityki pomocy przedakcesyjnej.</w:t>
      </w:r>
    </w:p>
    <w:p w:rsidRPr="006C19F4" w:rsidR="006C19F4" w:rsidP="00DC0FAE" w:rsidRDefault="006C19F4" w14:paraId="796D945B" w14:textId="06DD5E15">
      <w:pPr>
        <w:numPr>
          <w:ilvl w:val="0"/>
          <w:numId w:val="13"/>
        </w:numPr>
        <w:overflowPunct w:val="0"/>
        <w:autoSpaceDE w:val="0"/>
        <w:autoSpaceDN w:val="0"/>
        <w:adjustRightInd w:val="0"/>
        <w:spacing w:after="200" w:line="276" w:lineRule="auto"/>
        <w:contextualSpacing/>
        <w:textAlignment w:val="baseline"/>
        <w:rPr>
          <w:bCs/>
          <w:iCs/>
        </w:rPr>
      </w:pPr>
      <w:r>
        <w:t>Uważa, że w przyszłej polityce spójności należy priorytetowo traktować ochronę wrażliwych grup, które borykają się z dodatkowymi i poważnymi przeszkodami w rozwoju gospodarczym i</w:t>
      </w:r>
      <w:r w:rsidR="00336F25">
        <w:t> </w:t>
      </w:r>
      <w:r>
        <w:t>społecznym oraz mogą stanąć przed dodatkowymi wyzwaniami w przyszłym procesie akcesyjnym.</w:t>
      </w:r>
    </w:p>
    <w:p w:rsidRPr="006C19F4"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t>Podkreśla, że silniejsze partnerstwa z organizacjami społeczeństwa obywatelskiego w państwach kandydujących są bezcenne nie tylko z punktu widzenia promowania celów rozszerzenia; są one także zgodne ze skutecznymi i włączającymi strategiami rozwoju, gdyż działają na ustalonych zasadach silnego partnerstwa i wspólnego zarządzania.</w:t>
      </w:r>
    </w:p>
    <w:p w:rsidRPr="006C19F4"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t>Kładzie nacisk na fakt, że rola polityki spójności musi wykraczać daleko poza inwestycje podstawowe. Musi skupiać się na budowaniu instytucji i potencjału, w tym na programach współpracy partnerskiej oraz wsparciu dla społeczeństwa obywatelskiego i partnerów społecznych.</w:t>
      </w:r>
    </w:p>
    <w:p w:rsidRPr="006C19F4"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t>Podkreśla, że kolejne fale rozszerzenia wywarły również wpływ na obecne państwa członkowskie i ich regiony – nowe państwa członkowskie przyłączają się bowiem do jednolitego rynku i wpływają na międzynarodowy łańcuch wartości oraz migrację zarobkową w UE. Potrzebne są zatem dodatkowe fundusze na inwestycje w regionach graniczących z krajami kandydującymi, a także w regionach obecnych państw członkowskich poważnie dotkniętych zmianami w UE i globalnych łańcuchach wartości wynikającymi z rozszerzenia.</w:t>
      </w:r>
    </w:p>
    <w:p w:rsidRPr="006C19F4" w:rsidR="006C19F4" w:rsidP="00DC0FAE" w:rsidRDefault="006C19F4" w14:paraId="371A7D2C" w14:textId="3F8AF17B">
      <w:pPr>
        <w:numPr>
          <w:ilvl w:val="0"/>
          <w:numId w:val="13"/>
        </w:numPr>
        <w:overflowPunct w:val="0"/>
        <w:autoSpaceDE w:val="0"/>
        <w:autoSpaceDN w:val="0"/>
        <w:adjustRightInd w:val="0"/>
        <w:spacing w:after="200" w:line="276" w:lineRule="auto"/>
        <w:contextualSpacing/>
        <w:textAlignment w:val="baseline"/>
        <w:rPr>
          <w:bCs/>
          <w:iCs/>
        </w:rPr>
      </w:pPr>
      <w:r>
        <w:lastRenderedPageBreak/>
        <w:t>Sądzi, że Komisja Europejska powinna ukierunkować swoje reformy przyszłej polityki spójności na zwiększenie efektywności obecnych polityk, równolegle z procesem rozszerzenia, dzięki wprowadzeniu większej specjalizacji i dywersyfikacji, w powiązaniu z większą elastycznością i</w:t>
      </w:r>
      <w:r w:rsidR="00336F25">
        <w:t> </w:t>
      </w:r>
      <w:r>
        <w:t>specjalizacją finansową. Żadna pomoc finansowa nie może doprowadzić do dobrobytu gospodarczego bez równoczesnych wysiłków na rzecz rozwoju instytucjonalnego, reformy zarządzania i zaangażowania społeczeństwa obywatelskiego.</w:t>
      </w:r>
    </w:p>
    <w:p w:rsidRPr="006C19F4" w:rsidR="006C19F4" w:rsidP="00DC0FAE" w:rsidRDefault="006C19F4" w14:paraId="0E40DD13" w14:textId="5E806663">
      <w:pPr>
        <w:numPr>
          <w:ilvl w:val="0"/>
          <w:numId w:val="13"/>
        </w:numPr>
        <w:overflowPunct w:val="0"/>
        <w:autoSpaceDE w:val="0"/>
        <w:autoSpaceDN w:val="0"/>
        <w:adjustRightInd w:val="0"/>
        <w:spacing w:after="200" w:line="276" w:lineRule="auto"/>
        <w:contextualSpacing/>
        <w:textAlignment w:val="baseline"/>
        <w:rPr>
          <w:bCs/>
          <w:iCs/>
        </w:rPr>
      </w:pPr>
      <w:r>
        <w:t>Podkreśla potrzebę podjęcia pilnych działań w celu powstrzymania fali emigracji z krajów kandydujących do UE, która grozi zniweczeniem potencjału rozwoju gospodarczego i</w:t>
      </w:r>
      <w:r w:rsidR="00336F25">
        <w:t> </w:t>
      </w:r>
      <w:r>
        <w:t>społecznego, za pomocą różnych środków politycznych, w tym inwestycji w kapitał ludzki.</w:t>
      </w:r>
    </w:p>
    <w:p w:rsidRPr="006C19F4" w:rsidR="006C19F4" w:rsidP="00DC0FAE" w:rsidRDefault="006C19F4" w14:paraId="696DDE71" w14:textId="312B5084">
      <w:pPr>
        <w:numPr>
          <w:ilvl w:val="0"/>
          <w:numId w:val="13"/>
        </w:numPr>
        <w:overflowPunct w:val="0"/>
        <w:autoSpaceDE w:val="0"/>
        <w:autoSpaceDN w:val="0"/>
        <w:adjustRightInd w:val="0"/>
        <w:spacing w:after="200" w:line="276" w:lineRule="auto"/>
        <w:contextualSpacing/>
        <w:textAlignment w:val="baseline"/>
        <w:rPr>
          <w:bCs/>
          <w:iCs/>
        </w:rPr>
      </w:pPr>
      <w:r>
        <w:t>Uważa, że zasadnicze znaczenie ma poprawa sytuacji młodzieży w krajach kandydujących. Konieczne są wysiłki na rzecz poprawy umiejętności i zatrudnienia młodych ludzi oraz ich możliwości w zakresie kształcenia, jak i znalezienia wysokiej jakości pracy, równolegle z</w:t>
      </w:r>
      <w:r w:rsidR="00336F25">
        <w:t> </w:t>
      </w:r>
      <w:r>
        <w:t>rozwiązaniami w dziedzinie mieszkalnictwa. Należy również zachęcać ich do dialogu i</w:t>
      </w:r>
      <w:r w:rsidR="00336F25">
        <w:t> </w:t>
      </w:r>
      <w:r>
        <w:t>uczestnictwa w inicjatywach gwarancji dla młodzieży.</w:t>
      </w:r>
    </w:p>
    <w:p w:rsidR="006C19F4" w:rsidP="00ED5F1D" w:rsidRDefault="006C19F4" w14:paraId="36FB8C43" w14:textId="0FE9EDDB">
      <w:pPr>
        <w:numPr>
          <w:ilvl w:val="0"/>
          <w:numId w:val="13"/>
        </w:numPr>
        <w:overflowPunct w:val="0"/>
        <w:autoSpaceDE w:val="0"/>
        <w:autoSpaceDN w:val="0"/>
        <w:adjustRightInd w:val="0"/>
        <w:spacing w:after="200" w:line="276" w:lineRule="auto"/>
        <w:contextualSpacing/>
        <w:textAlignment w:val="baseline"/>
        <w:rPr>
          <w:bCs/>
          <w:iCs/>
        </w:rPr>
      </w:pPr>
      <w:r>
        <w:t>Zaleca zwiększenie wysiłków na rzecz osób znajdujących się w najtrudniejszej sytuacji i</w:t>
      </w:r>
      <w:r w:rsidR="00336F25">
        <w:t> </w:t>
      </w:r>
      <w:r>
        <w:t>słabszych grup społecznych w krajach kandydujących poprzez włączenie ich nie tylko do systemów ochrony, ale także uwzględnienie ich w procesie decyzyjnym, co jest najlepszym sposobem realizacji podstawowej zasady polityki spójności, zgodnie z którą nikt nie może zostać pominięty.</w:t>
      </w:r>
    </w:p>
    <w:p w:rsidRPr="006C19F4"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C19F4" w:rsidR="006C19F4" w:rsidTr="00FE3058" w14:paraId="7A7F559C" w14:textId="77777777">
        <w:tc>
          <w:tcPr>
            <w:tcW w:w="1418" w:type="dxa"/>
          </w:tcPr>
          <w:p w:rsidRPr="006C19F4" w:rsidR="006C19F4" w:rsidP="006C19F4" w:rsidRDefault="006C19F4" w14:paraId="6B40BFCD" w14:textId="77777777">
            <w:pPr>
              <w:overflowPunct w:val="0"/>
              <w:autoSpaceDE w:val="0"/>
              <w:autoSpaceDN w:val="0"/>
              <w:adjustRightInd w:val="0"/>
              <w:spacing w:line="240" w:lineRule="auto"/>
              <w:textAlignment w:val="baseline"/>
              <w:rPr>
                <w:i/>
              </w:rPr>
            </w:pPr>
            <w:r>
              <w:rPr>
                <w:b/>
                <w:i/>
              </w:rPr>
              <w:t>Kontakt</w:t>
            </w:r>
          </w:p>
        </w:tc>
        <w:tc>
          <w:tcPr>
            <w:tcW w:w="5670"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r>
              <w:rPr>
                <w:i/>
              </w:rPr>
              <w:t>Georgios Meleas</w:t>
            </w:r>
          </w:p>
        </w:tc>
      </w:tr>
      <w:tr w:rsidRPr="006C19F4" w:rsidR="006C19F4" w:rsidTr="00FE3058" w14:paraId="1C00A944" w14:textId="77777777">
        <w:tc>
          <w:tcPr>
            <w:tcW w:w="1418"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Pr>
                <w:i/>
              </w:rPr>
              <w:t>tel.</w:t>
            </w:r>
          </w:p>
        </w:tc>
        <w:tc>
          <w:tcPr>
            <w:tcW w:w="5670"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Pr>
                <w:i/>
              </w:rPr>
              <w:t>+32 25469795</w:t>
            </w:r>
          </w:p>
        </w:tc>
      </w:tr>
      <w:tr w:rsidRPr="006C19F4" w:rsidR="006C19F4" w:rsidTr="00FE3058" w14:paraId="13E41AD9" w14:textId="77777777">
        <w:tc>
          <w:tcPr>
            <w:tcW w:w="1418"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Pr>
                <w:i/>
              </w:rPr>
              <w:t>e-mail</w:t>
            </w:r>
          </w:p>
        </w:tc>
        <w:tc>
          <w:tcPr>
            <w:tcW w:w="5670" w:type="dxa"/>
          </w:tcPr>
          <w:p w:rsidRPr="006C19F4" w:rsidR="006C19F4" w:rsidP="006C19F4" w:rsidRDefault="0096037A" w14:paraId="6B1B5DA3" w14:textId="77777777">
            <w:pPr>
              <w:overflowPunct w:val="0"/>
              <w:autoSpaceDE w:val="0"/>
              <w:autoSpaceDN w:val="0"/>
              <w:adjustRightInd w:val="0"/>
              <w:spacing w:line="240" w:lineRule="auto"/>
              <w:textAlignment w:val="baseline"/>
              <w:rPr>
                <w:i/>
              </w:rPr>
            </w:pPr>
            <w:hyperlink w:history="1" r:id="rId21">
              <w:r w:rsidR="00660BE3">
                <w:rPr>
                  <w:i/>
                  <w:color w:val="0000FF"/>
                  <w:u w:val="single"/>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br w:type="page"/>
      </w:r>
    </w:p>
    <w:p w:rsidRPr="00DC0FAE" w:rsidR="001A5EC5" w:rsidP="00C26C81" w:rsidRDefault="0096037A"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00660BE3">
          <w:rPr>
            <w:b/>
            <w:i/>
            <w:color w:val="0000FF"/>
            <w:sz w:val="28"/>
            <w:u w:val="single"/>
          </w:rPr>
          <w:t>9. sprawozdanie na temat spójności gospodarczej, społecznej i terytorialnej</w:t>
        </w:r>
      </w:hyperlink>
    </w:p>
    <w:p w:rsidRPr="001A5EC5" w:rsidR="00444F0D" w:rsidP="00336F25" w:rsidRDefault="00444F0D" w14:paraId="5992C072" w14:textId="77777777">
      <w:pPr>
        <w:widowControl w:val="0"/>
        <w:overflowPunct w:val="0"/>
        <w:autoSpaceDE w:val="0"/>
        <w:autoSpaceDN w:val="0"/>
        <w:adjustRightInd w:val="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FF07F1" w:rsidR="001A5EC5" w:rsidTr="00DC0FAE" w14:paraId="44793051" w14:textId="77777777">
        <w:tc>
          <w:tcPr>
            <w:tcW w:w="1701" w:type="dxa"/>
          </w:tcPr>
          <w:p w:rsidRPr="00FF07F1" w:rsidR="001A5EC5" w:rsidP="00336F25" w:rsidRDefault="001A5EC5" w14:paraId="463E72CE" w14:textId="77777777">
            <w:pPr>
              <w:overflowPunct w:val="0"/>
              <w:autoSpaceDE w:val="0"/>
              <w:autoSpaceDN w:val="0"/>
              <w:adjustRightInd w:val="0"/>
              <w:ind w:left="174" w:hanging="266"/>
              <w:textAlignment w:val="baseline"/>
              <w:rPr>
                <w:b/>
                <w:sz w:val="22"/>
                <w:szCs w:val="22"/>
              </w:rPr>
            </w:pPr>
            <w:r w:rsidRPr="00FF07F1">
              <w:rPr>
                <w:b/>
                <w:sz w:val="22"/>
                <w:szCs w:val="22"/>
              </w:rPr>
              <w:t>Sprawozdawca</w:t>
            </w:r>
          </w:p>
        </w:tc>
        <w:tc>
          <w:tcPr>
            <w:tcW w:w="5387" w:type="dxa"/>
          </w:tcPr>
          <w:p w:rsidRPr="00FF07F1" w:rsidR="001A5EC5" w:rsidP="00336F25" w:rsidRDefault="001A5EC5" w14:paraId="64C714E3" w14:textId="77777777">
            <w:pPr>
              <w:overflowPunct w:val="0"/>
              <w:autoSpaceDE w:val="0"/>
              <w:autoSpaceDN w:val="0"/>
              <w:adjustRightInd w:val="0"/>
              <w:ind w:left="174" w:hanging="266"/>
              <w:textAlignment w:val="baseline"/>
              <w:rPr>
                <w:bCs/>
                <w:sz w:val="22"/>
                <w:szCs w:val="22"/>
              </w:rPr>
            </w:pPr>
            <w:r w:rsidRPr="00FF07F1">
              <w:rPr>
                <w:sz w:val="22"/>
                <w:szCs w:val="22"/>
              </w:rPr>
              <w:t>Matteo Carlo BORSANI (Grupa Pracodawców – IT)</w:t>
            </w:r>
          </w:p>
        </w:tc>
      </w:tr>
      <w:tr w:rsidRPr="00FF07F1" w:rsidR="001A5EC5" w:rsidTr="00FE3058" w14:paraId="32E56BAC" w14:textId="77777777">
        <w:tc>
          <w:tcPr>
            <w:tcW w:w="7088" w:type="dxa"/>
            <w:gridSpan w:val="2"/>
          </w:tcPr>
          <w:p w:rsidRPr="00FF07F1" w:rsidR="001A5EC5" w:rsidP="00336F25" w:rsidRDefault="001A5EC5" w14:paraId="783F63D2" w14:textId="77777777">
            <w:pPr>
              <w:overflowPunct w:val="0"/>
              <w:autoSpaceDE w:val="0"/>
              <w:autoSpaceDN w:val="0"/>
              <w:adjustRightInd w:val="0"/>
              <w:spacing w:line="160" w:lineRule="exact"/>
              <w:ind w:left="174" w:hanging="266"/>
              <w:textAlignment w:val="baseline"/>
              <w:rPr>
                <w:sz w:val="22"/>
                <w:szCs w:val="22"/>
              </w:rPr>
            </w:pPr>
          </w:p>
        </w:tc>
      </w:tr>
      <w:tr w:rsidRPr="00FF07F1" w:rsidR="001A5EC5" w:rsidTr="00FE3058" w14:paraId="2A351EBF" w14:textId="77777777">
        <w:tc>
          <w:tcPr>
            <w:tcW w:w="1701" w:type="dxa"/>
          </w:tcPr>
          <w:p w:rsidRPr="00FF07F1" w:rsidR="001A5EC5" w:rsidP="00336F25" w:rsidRDefault="001A5EC5" w14:paraId="26606D0B" w14:textId="77777777">
            <w:pPr>
              <w:overflowPunct w:val="0"/>
              <w:autoSpaceDE w:val="0"/>
              <w:autoSpaceDN w:val="0"/>
              <w:adjustRightInd w:val="0"/>
              <w:ind w:left="174" w:hanging="266"/>
              <w:textAlignment w:val="baseline"/>
              <w:rPr>
                <w:b/>
                <w:sz w:val="22"/>
                <w:szCs w:val="22"/>
              </w:rPr>
            </w:pPr>
            <w:r w:rsidRPr="00FF07F1">
              <w:rPr>
                <w:b/>
                <w:sz w:val="22"/>
                <w:szCs w:val="22"/>
              </w:rPr>
              <w:t>Dokumenty</w:t>
            </w:r>
          </w:p>
        </w:tc>
        <w:tc>
          <w:tcPr>
            <w:tcW w:w="5387" w:type="dxa"/>
          </w:tcPr>
          <w:p w:rsidRPr="00FF07F1" w:rsidR="001A5EC5" w:rsidP="00336F25" w:rsidRDefault="001A5EC5" w14:paraId="5C440461" w14:textId="77777777">
            <w:pPr>
              <w:overflowPunct w:val="0"/>
              <w:autoSpaceDE w:val="0"/>
              <w:autoSpaceDN w:val="0"/>
              <w:adjustRightInd w:val="0"/>
              <w:ind w:left="174" w:hanging="266"/>
              <w:textAlignment w:val="baseline"/>
              <w:rPr>
                <w:sz w:val="22"/>
                <w:szCs w:val="22"/>
              </w:rPr>
            </w:pPr>
            <w:r w:rsidRPr="00FF07F1">
              <w:rPr>
                <w:sz w:val="22"/>
                <w:szCs w:val="22"/>
              </w:rPr>
              <w:t>COM(2024) 149 final</w:t>
            </w:r>
          </w:p>
          <w:p w:rsidRPr="00FF07F1" w:rsidR="001A5EC5" w:rsidP="00336F25" w:rsidRDefault="001A5EC5" w14:paraId="3868DEB9" w14:textId="77777777">
            <w:pPr>
              <w:overflowPunct w:val="0"/>
              <w:autoSpaceDE w:val="0"/>
              <w:autoSpaceDN w:val="0"/>
              <w:adjustRightInd w:val="0"/>
              <w:ind w:left="174" w:hanging="266"/>
              <w:textAlignment w:val="baseline"/>
              <w:rPr>
                <w:sz w:val="22"/>
                <w:szCs w:val="22"/>
              </w:rPr>
            </w:pPr>
            <w:r w:rsidRPr="00FF07F1">
              <w:rPr>
                <w:sz w:val="22"/>
                <w:szCs w:val="22"/>
              </w:rPr>
              <w:t>EESC-2024-00987-00-00-AC</w:t>
            </w:r>
          </w:p>
        </w:tc>
      </w:tr>
    </w:tbl>
    <w:p w:rsidRPr="001A5EC5" w:rsidR="001A5EC5" w:rsidP="00336F25" w:rsidRDefault="001A5EC5" w14:paraId="52E9606C"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1A5EC5" w:rsidR="001A5EC5" w:rsidP="00336F25" w:rsidRDefault="001A5EC5" w14:paraId="5E2503AC" w14:textId="77777777">
      <w:pPr>
        <w:overflowPunct w:val="0"/>
        <w:autoSpaceDE w:val="0"/>
        <w:autoSpaceDN w:val="0"/>
        <w:adjustRightInd w:val="0"/>
        <w:textAlignment w:val="baseline"/>
        <w:rPr>
          <w:bCs/>
          <w:iCs/>
        </w:rPr>
      </w:pPr>
    </w:p>
    <w:p w:rsidR="001A5EC5" w:rsidP="00336F25" w:rsidRDefault="001A5EC5" w14:paraId="4D0AC1AA" w14:textId="6DEDCE45">
      <w:pPr>
        <w:overflowPunct w:val="0"/>
        <w:autoSpaceDE w:val="0"/>
        <w:autoSpaceDN w:val="0"/>
        <w:adjustRightInd w:val="0"/>
        <w:textAlignment w:val="baseline"/>
        <w:rPr>
          <w:bCs/>
          <w:iCs/>
        </w:rPr>
      </w:pPr>
      <w:r>
        <w:t>EKES:</w:t>
      </w:r>
    </w:p>
    <w:p w:rsidRPr="001A5EC5" w:rsidR="00444F0D" w:rsidP="00336F25" w:rsidRDefault="00444F0D" w14:paraId="570F2CBE" w14:textId="77777777">
      <w:pPr>
        <w:overflowPunct w:val="0"/>
        <w:autoSpaceDE w:val="0"/>
        <w:autoSpaceDN w:val="0"/>
        <w:adjustRightInd w:val="0"/>
        <w:textAlignment w:val="baseline"/>
        <w:rPr>
          <w:bCs/>
          <w:iCs/>
        </w:rPr>
      </w:pPr>
    </w:p>
    <w:p w:rsidRPr="001A5EC5" w:rsidR="001A5EC5" w:rsidP="00336F25" w:rsidRDefault="001A5EC5" w14:paraId="1478D8F5" w14:textId="77777777">
      <w:pPr>
        <w:numPr>
          <w:ilvl w:val="0"/>
          <w:numId w:val="14"/>
        </w:numPr>
        <w:overflowPunct w:val="0"/>
        <w:autoSpaceDE w:val="0"/>
        <w:autoSpaceDN w:val="0"/>
        <w:adjustRightInd w:val="0"/>
        <w:spacing w:line="276" w:lineRule="auto"/>
        <w:contextualSpacing/>
        <w:jc w:val="left"/>
        <w:textAlignment w:val="baseline"/>
        <w:rPr>
          <w:bCs/>
          <w:iCs/>
        </w:rPr>
      </w:pPr>
      <w:r>
        <w:t xml:space="preserve">Z zadowoleniem przyjmuje przedstawienie 9. sprawozdania na temat spójności i uważa, że opis jego wyników jest wyczerpujący i stanowi użyteczny punkt wyjścia do podsumowania wyciągniętych wniosków. </w:t>
      </w:r>
    </w:p>
    <w:p w:rsidRPr="001A5EC5" w:rsidR="001A5EC5" w:rsidP="00DC0FAE" w:rsidRDefault="001A5EC5" w14:paraId="7B27E433" w14:textId="7F015320">
      <w:pPr>
        <w:numPr>
          <w:ilvl w:val="0"/>
          <w:numId w:val="14"/>
        </w:numPr>
        <w:overflowPunct w:val="0"/>
        <w:autoSpaceDE w:val="0"/>
        <w:autoSpaceDN w:val="0"/>
        <w:adjustRightInd w:val="0"/>
        <w:spacing w:after="200" w:line="276" w:lineRule="auto"/>
        <w:contextualSpacing/>
        <w:textAlignment w:val="baseline"/>
        <w:rPr>
          <w:bCs/>
          <w:iCs/>
        </w:rPr>
      </w:pPr>
      <w:r>
        <w:t>Zaleca skoncentrowanie inwestycji i strategii politycznych na pobudzeniu bazy produkcyjnej w</w:t>
      </w:r>
      <w:r w:rsidR="00336F25">
        <w:t> </w:t>
      </w:r>
      <w:r>
        <w:t>celu zwiększenia pozytywnej spójności terytorialnej, podkreślając, że dodatnia korelacja między wzrostem wydajności a wzrostem PKB na mieszkańca okazała się jedynym punktem wspólnym dotyczącym wzrostu we wszystkich rodzajach regionów.</w:t>
      </w:r>
    </w:p>
    <w:p w:rsidRPr="001A5EC5" w:rsidR="001A5EC5" w:rsidP="00DC0FAE" w:rsidRDefault="001A5EC5" w14:paraId="446A7762" w14:textId="78FB89D3">
      <w:pPr>
        <w:numPr>
          <w:ilvl w:val="0"/>
          <w:numId w:val="14"/>
        </w:numPr>
        <w:overflowPunct w:val="0"/>
        <w:autoSpaceDE w:val="0"/>
        <w:autoSpaceDN w:val="0"/>
        <w:adjustRightInd w:val="0"/>
        <w:spacing w:after="200" w:line="276" w:lineRule="auto"/>
        <w:contextualSpacing/>
        <w:textAlignment w:val="baseline"/>
        <w:rPr>
          <w:rFonts w:ascii="Calibri" w:hAnsi="Calibri"/>
        </w:rPr>
      </w:pPr>
      <w:r>
        <w:t>Podkreśla znaczenie konkurencyjności dla zwiększania spójności gospodarczej oraz wagę inwestycji produkcyjnych dla stymulowania konkurencyjności i wzrostu gospodarczego, co z</w:t>
      </w:r>
      <w:r w:rsidR="00336F25">
        <w:t> </w:t>
      </w:r>
      <w:r>
        <w:t>kolei ma efekt mnożnikowy dla spójności terytorialnej i społecznej. Podkreśla również znaczenie rozszerzenia dostępu do funduszy polityki spójności na inwestycje produkcyjne na duże przedsiębiorstwa należące do ekosystemu MŚP, pod pewnymi warunkami związanymi z</w:t>
      </w:r>
      <w:r w:rsidR="00336F25">
        <w:t> </w:t>
      </w:r>
      <w:r>
        <w:t>ich efektem kaskadowym w odniesieniu do terytorium i społeczeństwa. Wyniki w zakresie spójności gospodarczej powinny być mierzone nie tylko pod względem wielkości inwestycji gospodarczych w danym obszarze, ale również pod względem wyników terytorialnych i</w:t>
      </w:r>
      <w:r w:rsidR="00336F25">
        <w:t> </w:t>
      </w:r>
      <w:r>
        <w:t>społecznych.</w:t>
      </w:r>
    </w:p>
    <w:p w:rsidRPr="001A5EC5"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t>Podkreśla znaczenie funkcjonującego i sprzyjającego włączeniu społecznemu rynku pracy dla zwiększenia spójności społecznej poprzez środki mające na celu wzmocnienie pozycji obywateli i pracowników UE posiadających odpowiedni zestaw umiejętności umożliwiających wejście na rynek pracy i poruszanie się na nim. W tym kontekście zaleca połączenie polityki promującej zatrudnienie z polityką mającą na celu zwiększenie szans na zatrudnienie, w tym poprzez ukierunkowanie na odsetek społeczeństwa, który może zostać pozostawiony samemu sobie, oraz wspieranie integracji osób, które obecnie nie są częścią rynku pracy.</w:t>
      </w:r>
    </w:p>
    <w:p w:rsidRPr="001A5EC5"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t>Zaleca promowanie inwestycji strategicznych w administracji lokalnej i regionalnej w celu wzmocnienia systemu odgrywającego kluczową rolę we wdrażaniu programów. Spójności społecznej, gospodarczej i terytorialnej nie można osiągnąć bez uprzedniego zapewnienia spójności w zakresie zdolności administracji publicznych.</w:t>
      </w:r>
    </w:p>
    <w:p w:rsidRPr="001A5EC5"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t>Zaleca utrzymanie zaangażowania władz lokalnych i regionalnych, przestrzeganie zasady partnerstwa oraz włączenia partnerów społecznych i organizacji społeczeństwa obywatelskiego we wszelkie rozważania nad przyszłością polityki spójności.</w:t>
      </w:r>
    </w:p>
    <w:p w:rsidRPr="001A5EC5"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t>Wzywa współprawodawców do zwiększenia ambicji ogólnego budżetu WRF oraz do zapewnienia odpowiedniego finansowania polityki spójności, w tym w związku z przyszłymi potrzebami UE w zakresie inwestycji w obronność oraz Unii Europejskiej liczącej ponad 27 państw.</w:t>
      </w:r>
    </w:p>
    <w:p w:rsidRPr="00336F25" w:rsidR="00444F0D" w:rsidP="008B7113" w:rsidRDefault="001A5EC5" w14:paraId="00B923D2" w14:textId="45218A7E">
      <w:pPr>
        <w:keepNext/>
        <w:keepLines/>
        <w:numPr>
          <w:ilvl w:val="0"/>
          <w:numId w:val="14"/>
        </w:numPr>
        <w:overflowPunct w:val="0"/>
        <w:autoSpaceDE w:val="0"/>
        <w:autoSpaceDN w:val="0"/>
        <w:adjustRightInd w:val="0"/>
        <w:spacing w:after="200" w:line="276" w:lineRule="auto"/>
        <w:ind w:left="357" w:hanging="357"/>
        <w:contextualSpacing/>
        <w:textAlignment w:val="baseline"/>
        <w:rPr>
          <w:bCs/>
          <w:iCs/>
        </w:rPr>
      </w:pPr>
      <w:r>
        <w:lastRenderedPageBreak/>
        <w:t>W tym kontekście zaleca rozważenie przyszłych rozszerzeń przewidzianych przez Unię Europejską, które będą wymagały skutecznej i dobrze funkcjonującej polityki spójności, aby zagwarantować płynną integrację przyszłych państw członkowskich, bez uszczerbku dla inwestycji w obecnych regionach rozwijających się.</w:t>
      </w:r>
    </w:p>
    <w:p w:rsidRPr="00DC0FA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t>Wreszcie, zaleca wykorzystanie automatycznych i łatwych do wdrożenia narzędzi inwestycyjnych, tak aby umożliwić transformację w kierunku inteligentniejszej i bardziej ekologicznej Europy. Wyzwania związane ze sprawiedliwą zieloną i cyfrową transformacją i jej ambitne cele wymagają szybkości i gotowości.</w:t>
      </w:r>
      <w:r>
        <w:rPr>
          <w:rFonts w:ascii="Calibri" w:hAnsi="Calibri"/>
        </w:rPr>
        <w:t xml:space="preserve"> </w:t>
      </w:r>
    </w:p>
    <w:p w:rsidRPr="001A5EC5"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5EC5" w:rsidR="001A5EC5" w:rsidTr="00FE3058" w14:paraId="3FFBD53A" w14:textId="77777777">
        <w:tc>
          <w:tcPr>
            <w:tcW w:w="1418" w:type="dxa"/>
          </w:tcPr>
          <w:p w:rsidRPr="001A5EC5" w:rsidR="001A5EC5" w:rsidP="001A5EC5" w:rsidRDefault="001A5EC5" w14:paraId="56686149" w14:textId="77777777">
            <w:pPr>
              <w:overflowPunct w:val="0"/>
              <w:autoSpaceDE w:val="0"/>
              <w:autoSpaceDN w:val="0"/>
              <w:adjustRightInd w:val="0"/>
              <w:spacing w:line="240" w:lineRule="auto"/>
              <w:textAlignment w:val="baseline"/>
              <w:rPr>
                <w:i/>
              </w:rPr>
            </w:pPr>
            <w:r>
              <w:rPr>
                <w:b/>
                <w:i/>
              </w:rPr>
              <w:t>Kontakt</w:t>
            </w:r>
          </w:p>
        </w:tc>
        <w:tc>
          <w:tcPr>
            <w:tcW w:w="5670"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r>
              <w:rPr>
                <w:i/>
              </w:rPr>
              <w:t>Georgios Meleas</w:t>
            </w:r>
          </w:p>
        </w:tc>
      </w:tr>
      <w:tr w:rsidRPr="001A5EC5" w:rsidR="001A5EC5" w:rsidTr="00FE3058" w14:paraId="654D5086" w14:textId="77777777">
        <w:tc>
          <w:tcPr>
            <w:tcW w:w="1418"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Pr>
                <w:i/>
              </w:rPr>
              <w:t>tel.</w:t>
            </w:r>
          </w:p>
        </w:tc>
        <w:tc>
          <w:tcPr>
            <w:tcW w:w="5670"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Pr>
                <w:i/>
              </w:rPr>
              <w:t>+32 25469795</w:t>
            </w:r>
          </w:p>
        </w:tc>
      </w:tr>
      <w:tr w:rsidRPr="001A5EC5" w:rsidR="001A5EC5" w:rsidTr="00FE3058" w14:paraId="710F66DA" w14:textId="77777777">
        <w:tc>
          <w:tcPr>
            <w:tcW w:w="1418"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Pr>
                <w:i/>
              </w:rPr>
              <w:t>e-mail</w:t>
            </w:r>
          </w:p>
        </w:tc>
        <w:tc>
          <w:tcPr>
            <w:tcW w:w="5670" w:type="dxa"/>
          </w:tcPr>
          <w:p w:rsidRPr="001A5EC5" w:rsidR="001A5EC5" w:rsidP="001A5EC5" w:rsidRDefault="0096037A" w14:paraId="2A008587" w14:textId="77777777">
            <w:pPr>
              <w:overflowPunct w:val="0"/>
              <w:autoSpaceDE w:val="0"/>
              <w:autoSpaceDN w:val="0"/>
              <w:adjustRightInd w:val="0"/>
              <w:spacing w:line="240" w:lineRule="auto"/>
              <w:textAlignment w:val="baseline"/>
              <w:rPr>
                <w:i/>
              </w:rPr>
            </w:pPr>
            <w:hyperlink w:history="1" r:id="rId23">
              <w:r w:rsidR="00660BE3">
                <w:rPr>
                  <w:i/>
                  <w:color w:val="0000FF"/>
                  <w:u w:val="single"/>
                </w:rPr>
                <w:t>Georgios.Meleas@eesc.europa.eu</w:t>
              </w:r>
            </w:hyperlink>
            <w:r w:rsidR="00660BE3">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br w:type="page"/>
      </w:r>
    </w:p>
    <w:p w:rsidRPr="00502E1F" w:rsidR="00502E1F" w:rsidP="00DC0FAE" w:rsidRDefault="0096037A" w14:paraId="26F82B31" w14:textId="13D21940">
      <w:pPr>
        <w:pStyle w:val="Heading1"/>
        <w:tabs>
          <w:tab w:val="clear" w:pos="440"/>
          <w:tab w:val="left" w:pos="567"/>
        </w:tabs>
        <w:ind w:left="567" w:hanging="567"/>
        <w:rPr>
          <w:color w:val="000000" w:themeColor="text1"/>
        </w:rPr>
      </w:pPr>
      <w:hyperlink w:history="1" w:anchor="_Toc159831769">
        <w:bookmarkStart w:name="_Toc169707927" w:id="1"/>
        <w:r w:rsidR="005C28F2">
          <w:rPr>
            <w:rStyle w:val="Hyperlink"/>
            <w:b/>
            <w:color w:val="000000" w:themeColor="text1"/>
            <w:u w:val="none"/>
          </w:rPr>
          <w:t>ZATRUDNIENIE, SPRAWY SPOŁECZNE I OBYWATELSTWO</w:t>
        </w:r>
        <w:bookmarkEnd w:id="1"/>
      </w:hyperlink>
    </w:p>
    <w:p w:rsidR="00502E1F" w:rsidP="00502E1F" w:rsidRDefault="00502E1F" w14:paraId="7FCC1962" w14:textId="6F84DBB9"/>
    <w:p w:rsidR="005C28F2" w:rsidP="00502E1F" w:rsidRDefault="005C28F2" w14:paraId="56EE42DD" w14:textId="77777777"/>
    <w:p w:rsidRPr="004E7105" w:rsidR="004E7105" w:rsidP="00C26C81" w:rsidRDefault="0096037A"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sidR="00660BE3">
          <w:rPr>
            <w:b/>
            <w:i/>
            <w:color w:val="0000FF"/>
            <w:sz w:val="28"/>
            <w:u w:val="single"/>
          </w:rPr>
          <w:t>Nowotwory zwalczane drogą szczepień</w:t>
        </w:r>
      </w:hyperlink>
      <w:r w:rsidRPr="004E7105" w:rsidR="004E7105">
        <w:rPr>
          <w:b/>
          <w:i/>
          <w:sz w:val="28"/>
        </w:rPr>
        <w:fldChar w:fldCharType="begin"/>
      </w:r>
      <w:r w:rsidRPr="004E7105" w:rsidR="004E7105">
        <w:rPr>
          <w:b/>
          <w:i/>
          <w:sz w:val="28"/>
        </w:rPr>
        <w:instrText xml:space="preserve"> HYPERLINK "https://www.eesc.europa.eu/pl/our-work/opinions-information-reports/opinions/anti-smuggling-package" </w:instrText>
      </w:r>
      <w:r w:rsidRPr="004E7105" w:rsidR="004E7105">
        <w:rPr>
          <w:b/>
          <w:i/>
          <w:sz w:val="28"/>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4E7105">
        <w:rPr>
          <w:b/>
          <w:i/>
          <w:sz w:val="28"/>
        </w:rPr>
        <w:fldChar w:fldCharType="end"/>
      </w:r>
    </w:p>
    <w:tbl>
      <w:tblPr>
        <w:tblStyle w:val="TableGrid214"/>
        <w:tblW w:w="416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6"/>
        <w:gridCol w:w="5255"/>
      </w:tblGrid>
      <w:tr w:rsidRPr="00FF07F1" w:rsidR="004E7105" w:rsidTr="00FF07F1" w14:paraId="71118AAD" w14:textId="77777777">
        <w:tc>
          <w:tcPr>
            <w:tcW w:w="1552" w:type="pct"/>
          </w:tcPr>
          <w:p w:rsidRPr="00FF07F1" w:rsidR="004E7105" w:rsidP="004E7105" w:rsidRDefault="004E7105" w14:paraId="7C033E3E" w14:textId="77777777">
            <w:pPr>
              <w:widowControl w:val="0"/>
              <w:overflowPunct w:val="0"/>
              <w:autoSpaceDE w:val="0"/>
              <w:autoSpaceDN w:val="0"/>
              <w:adjustRightInd w:val="0"/>
              <w:ind w:left="-113"/>
              <w:textAlignment w:val="baseline"/>
              <w:rPr>
                <w:b/>
                <w:sz w:val="22"/>
                <w:szCs w:val="22"/>
              </w:rPr>
            </w:pPr>
            <w:r w:rsidRPr="00FF07F1">
              <w:rPr>
                <w:b/>
                <w:sz w:val="22"/>
                <w:szCs w:val="22"/>
              </w:rPr>
              <w:t>Sprawozdawczyni</w:t>
            </w:r>
          </w:p>
          <w:p w:rsidRPr="00FF07F1" w:rsidR="004E7105" w:rsidP="004E7105" w:rsidRDefault="004E7105" w14:paraId="2377D5BF" w14:textId="77777777">
            <w:pPr>
              <w:widowControl w:val="0"/>
              <w:overflowPunct w:val="0"/>
              <w:autoSpaceDE w:val="0"/>
              <w:autoSpaceDN w:val="0"/>
              <w:adjustRightInd w:val="0"/>
              <w:ind w:left="-113"/>
              <w:textAlignment w:val="baseline"/>
              <w:rPr>
                <w:b/>
                <w:sz w:val="22"/>
                <w:szCs w:val="22"/>
              </w:rPr>
            </w:pPr>
            <w:r w:rsidRPr="00FF07F1">
              <w:rPr>
                <w:b/>
                <w:sz w:val="22"/>
                <w:szCs w:val="22"/>
              </w:rPr>
              <w:t>Współsprawozdawczyni</w:t>
            </w:r>
          </w:p>
          <w:p w:rsidRPr="00FF07F1" w:rsidR="004E7105" w:rsidP="004E7105" w:rsidRDefault="004E7105" w14:paraId="474FD8BA" w14:textId="77777777">
            <w:pPr>
              <w:widowControl w:val="0"/>
              <w:overflowPunct w:val="0"/>
              <w:autoSpaceDE w:val="0"/>
              <w:autoSpaceDN w:val="0"/>
              <w:adjustRightInd w:val="0"/>
              <w:ind w:left="-113"/>
              <w:textAlignment w:val="baseline"/>
              <w:rPr>
                <w:b/>
                <w:sz w:val="22"/>
                <w:szCs w:val="22"/>
              </w:rPr>
            </w:pPr>
          </w:p>
        </w:tc>
        <w:tc>
          <w:tcPr>
            <w:tcW w:w="3448" w:type="pct"/>
          </w:tcPr>
          <w:p w:rsidRPr="00FF07F1"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rPr>
                <w:sz w:val="22"/>
                <w:szCs w:val="22"/>
              </w:rPr>
            </w:pPr>
            <w:r w:rsidRPr="00FF07F1">
              <w:rPr>
                <w:sz w:val="22"/>
                <w:szCs w:val="22"/>
              </w:rPr>
              <w:t>Milena ANGEŁOWA (Grupa Pracodawców – BG)</w:t>
            </w:r>
          </w:p>
          <w:p w:rsidRPr="00FF07F1"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rPr>
                <w:sz w:val="22"/>
                <w:szCs w:val="22"/>
              </w:rPr>
            </w:pPr>
            <w:r w:rsidRPr="00FF07F1">
              <w:rPr>
                <w:sz w:val="22"/>
                <w:szCs w:val="22"/>
              </w:rPr>
              <w:t>Sára FELSZEGHI (Grupa Pracowników – HU)</w:t>
            </w:r>
          </w:p>
        </w:tc>
      </w:tr>
      <w:tr w:rsidRPr="00FF07F1" w:rsidR="004E7105" w:rsidTr="00FF07F1" w14:paraId="7E7454B0" w14:textId="77777777">
        <w:tc>
          <w:tcPr>
            <w:tcW w:w="1552" w:type="pct"/>
            <w:vMerge w:val="restart"/>
          </w:tcPr>
          <w:p w:rsidRPr="00FF07F1" w:rsidR="004E7105" w:rsidP="004E7105" w:rsidRDefault="004E7105" w14:paraId="4901FAAB" w14:textId="77777777">
            <w:pPr>
              <w:widowControl w:val="0"/>
              <w:overflowPunct w:val="0"/>
              <w:autoSpaceDE w:val="0"/>
              <w:autoSpaceDN w:val="0"/>
              <w:adjustRightInd w:val="0"/>
              <w:ind w:left="-113"/>
              <w:textAlignment w:val="baseline"/>
              <w:rPr>
                <w:b/>
                <w:sz w:val="22"/>
                <w:szCs w:val="22"/>
              </w:rPr>
            </w:pPr>
            <w:r w:rsidRPr="00FF07F1">
              <w:rPr>
                <w:b/>
                <w:sz w:val="22"/>
                <w:szCs w:val="22"/>
              </w:rPr>
              <w:t>Dokumenty</w:t>
            </w:r>
          </w:p>
        </w:tc>
        <w:tc>
          <w:tcPr>
            <w:tcW w:w="3448" w:type="pct"/>
          </w:tcPr>
          <w:p w:rsidRPr="00FF07F1"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rPr>
                <w:sz w:val="22"/>
                <w:szCs w:val="22"/>
              </w:rPr>
            </w:pPr>
            <w:r w:rsidRPr="00FF07F1">
              <w:rPr>
                <w:sz w:val="22"/>
                <w:szCs w:val="22"/>
              </w:rPr>
              <w:t>COM(2024) 45 final</w:t>
            </w:r>
          </w:p>
        </w:tc>
      </w:tr>
      <w:tr w:rsidRPr="00FF07F1" w:rsidR="004E7105" w:rsidTr="00FF07F1" w14:paraId="75B0E482" w14:textId="77777777">
        <w:tc>
          <w:tcPr>
            <w:tcW w:w="1552" w:type="pct"/>
            <w:vMerge/>
          </w:tcPr>
          <w:p w:rsidRPr="00FF07F1"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sz w:val="22"/>
                <w:szCs w:val="22"/>
              </w:rPr>
            </w:pPr>
          </w:p>
        </w:tc>
        <w:tc>
          <w:tcPr>
            <w:tcW w:w="3448" w:type="pct"/>
          </w:tcPr>
          <w:p w:rsidRPr="00FF07F1"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rPr>
                <w:sz w:val="22"/>
                <w:szCs w:val="22"/>
              </w:rPr>
            </w:pPr>
            <w:r w:rsidRPr="00FF07F1">
              <w:rPr>
                <w:sz w:val="22"/>
                <w:szCs w:val="22"/>
              </w:rPr>
              <w:t>EESC-2024-00425-00-00-AC</w:t>
            </w:r>
          </w:p>
        </w:tc>
      </w:tr>
    </w:tbl>
    <w:p w:rsidRPr="004E7105"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Główne punkty</w:t>
      </w:r>
    </w:p>
    <w:p w:rsidRPr="004E7105"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t>EKES:</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Zachęca państwa członkowskie do wymiany doświadczeń i dobrych praktyk oraz do intensywnej współpracy.</w:t>
      </w:r>
    </w:p>
    <w:p w:rsidRPr="00C17044" w:rsidR="004E7105" w:rsidP="00DC0FAE" w:rsidRDefault="004E7105" w14:paraId="00661456" w14:textId="2ACA2B8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Zaleca zwiększenie zarówno popytu na szczepienia, jak i ich podaży i podkreśla potrzebę odpowiedniej informacji, edukacji i komunikacji oraz rolę szkolnego systemu opieki zdrowotnej i</w:t>
      </w:r>
      <w:r w:rsidR="00336F25">
        <w:t> </w:t>
      </w:r>
      <w:r>
        <w:t>rodziców w tym przedsięwzięciu. Należy natomiast uznać profilaktykę nowotworów za priorytet na szczeblu politycznym oraz przydzielić odpowiednie zasoby finansowe, materialne i ludzkie.</w:t>
      </w:r>
    </w:p>
    <w:p w:rsidRPr="00C17044"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Apeluje o dołożenie starań na rzecz walki z wprowadzaniem w błąd i dezinformacją poprzez pozyskiwanie dowodów naukowych, a także rozpowszechnianie opartych na faktach informacji za pośrednictwem różnych kanałów, w tym mediów społecznościowych.</w:t>
      </w:r>
    </w:p>
    <w:p w:rsidRPr="00C17044"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Uważa, że lekarze podstawowej opieki zdrowotnej, lekarze rodzinni i szkolni oraz organizacje społeczeństwa obywatelskiego mogą odgrywać ważną rolę w dostarczaniu odpowiednich informacji, pokonywaniu obaw i sceptycyzmu, a także kierowaniu ludzi na szczepienia. Opowiada się za intensyfikacją działań komunikacyjnych za pośrednictwem organizacji kierowanych przez młodzież, aby zapewnić atrakcyjność przekazów dla młodych ludzi.</w:t>
      </w:r>
    </w:p>
    <w:p w:rsidRPr="00C17044"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Podkreśla potrzebę równości płci w ramach środków profilaktyki nowotworów i wzywa do zapewnienia szczepień przeciwko HPV wszystkim dziewczętom i chłopcom w określonym wieku, do rozwijania komunikacji na temat dostępności szczepień przeciwko HPV dla chłopców oraz do gromadzenia i publikowania informacji o wskaźniku wyszczepienia zarówno chłopców, jak i dziewcząt w różnych państwach członkowskich.</w:t>
      </w:r>
    </w:p>
    <w:p w:rsidRPr="004E7105" w:rsidR="004E7105" w:rsidP="00DC0FAE" w:rsidRDefault="004E7105" w14:paraId="76072B6C" w14:textId="5B056841">
      <w:pPr>
        <w:keepNext/>
        <w:keepLines/>
        <w:numPr>
          <w:ilvl w:val="0"/>
          <w:numId w:val="15"/>
        </w:numPr>
        <w:tabs>
          <w:tab w:val="center" w:pos="284"/>
        </w:tabs>
        <w:overflowPunct w:val="0"/>
        <w:autoSpaceDE w:val="0"/>
        <w:autoSpaceDN w:val="0"/>
        <w:adjustRightInd w:val="0"/>
        <w:ind w:left="284" w:hanging="284"/>
        <w:contextualSpacing/>
        <w:textAlignment w:val="baseline"/>
      </w:pPr>
      <w:r>
        <w:t>Podkreśla również znaczenie łatwego dostępu do szczepień pod względem położenia geograficznego, a także potrzebę ukierunkowanych działań mających na celu dotarcie do osób z</w:t>
      </w:r>
      <w:r w:rsidR="00336F25">
        <w:t> </w:t>
      </w:r>
      <w:r>
        <w:t>różnych grup w niekorzystnej sytuacji i ludzi obarczonych konkretnym ryzykiem.</w:t>
      </w:r>
    </w:p>
    <w:p w:rsidRPr="004E7105"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4E7105" w:rsidR="004E7105" w:rsidTr="00FE3058" w14:paraId="649C5F6D" w14:textId="77777777">
        <w:tc>
          <w:tcPr>
            <w:tcW w:w="1556" w:type="pct"/>
          </w:tcPr>
          <w:p w:rsidRPr="004E7105" w:rsidR="004E7105" w:rsidP="004E7105" w:rsidRDefault="004E7105" w14:paraId="31DDC109" w14:textId="77777777">
            <w:pPr>
              <w:widowControl w:val="0"/>
              <w:overflowPunct w:val="0"/>
              <w:autoSpaceDE w:val="0"/>
              <w:autoSpaceDN w:val="0"/>
              <w:adjustRightInd w:val="0"/>
              <w:textAlignment w:val="baseline"/>
              <w:rPr>
                <w:i/>
              </w:rPr>
            </w:pPr>
            <w:r>
              <w:rPr>
                <w:b/>
                <w:i/>
              </w:rPr>
              <w:t>Kontakt</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r>
              <w:rPr>
                <w:i/>
              </w:rPr>
              <w:t>Valeria Atzori</w:t>
            </w:r>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Pr>
                <w:i/>
              </w:rPr>
              <w:t>tel.</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Pr>
                <w:i/>
              </w:rPr>
              <w:t>e-mail</w:t>
            </w:r>
          </w:p>
        </w:tc>
        <w:tc>
          <w:tcPr>
            <w:tcW w:w="3444" w:type="pct"/>
          </w:tcPr>
          <w:p w:rsidRPr="004E7105" w:rsidR="004E7105" w:rsidP="004E7105" w:rsidRDefault="0096037A" w14:paraId="36B7A701" w14:textId="77777777">
            <w:pPr>
              <w:widowControl w:val="0"/>
              <w:overflowPunct w:val="0"/>
              <w:autoSpaceDE w:val="0"/>
              <w:autoSpaceDN w:val="0"/>
              <w:adjustRightInd w:val="0"/>
              <w:textAlignment w:val="baseline"/>
              <w:rPr>
                <w:color w:val="0000FF"/>
                <w:u w:val="single"/>
              </w:rPr>
            </w:pPr>
            <w:hyperlink w:history="1" r:id="rId25">
              <w:r w:rsidR="00660BE3">
                <w:rPr>
                  <w:i/>
                  <w:color w:val="0000FF"/>
                  <w:u w:val="single"/>
                </w:rPr>
                <w:t>Valeria.Atzori@eesc.europa.eu</w:t>
              </w:r>
            </w:hyperlink>
          </w:p>
          <w:p w:rsidRPr="004E7105" w:rsidR="004E7105" w:rsidP="004E7105" w:rsidRDefault="004E7105" w14:paraId="3E8EA07D" w14:textId="77777777">
            <w:pPr>
              <w:widowControl w:val="0"/>
              <w:overflowPunct w:val="0"/>
              <w:autoSpaceDE w:val="0"/>
              <w:autoSpaceDN w:val="0"/>
              <w:adjustRightInd w:val="0"/>
              <w:textAlignment w:val="baseline"/>
              <w:rPr>
                <w:color w:val="0000FF"/>
                <w:u w:val="single"/>
              </w:rPr>
            </w:pPr>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C26C81" w:rsidRDefault="0096037A"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00660BE3">
          <w:rPr>
            <w:b/>
            <w:i/>
            <w:color w:val="0000FF"/>
            <w:sz w:val="28"/>
            <w:u w:val="single"/>
          </w:rPr>
          <w:t>Zmiana dyrektywy w sprawie europejskiej rady zakładowej</w:t>
        </w:r>
      </w:hyperlink>
    </w:p>
    <w:p w:rsidRPr="008B7113" w:rsidR="0010484C" w:rsidP="0010484C" w:rsidRDefault="0010484C" w14:paraId="00BC5CCC" w14:textId="690E0BC3">
      <w:pPr>
        <w:tabs>
          <w:tab w:val="center" w:pos="284"/>
        </w:tabs>
        <w:overflowPunct w:val="0"/>
        <w:autoSpaceDE w:val="0"/>
        <w:autoSpaceDN w:val="0"/>
        <w:adjustRightInd w:val="0"/>
        <w:ind w:left="266" w:hanging="266"/>
        <w:textAlignment w:val="baseline"/>
        <w:rPr>
          <w:b/>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5"/>
        <w:gridCol w:w="5387"/>
      </w:tblGrid>
      <w:tr w:rsidRPr="008B7113" w:rsidR="0010484C" w:rsidTr="00FE3058" w14:paraId="561F7E20" w14:textId="77777777">
        <w:tc>
          <w:tcPr>
            <w:tcW w:w="1701" w:type="dxa"/>
          </w:tcPr>
          <w:p w:rsidRPr="008B7113" w:rsidR="0010484C" w:rsidP="00DC0FAE" w:rsidRDefault="0010484C" w14:paraId="5540B242" w14:textId="77777777">
            <w:pPr>
              <w:tabs>
                <w:tab w:val="center" w:pos="284"/>
              </w:tabs>
              <w:overflowPunct w:val="0"/>
              <w:autoSpaceDE w:val="0"/>
              <w:autoSpaceDN w:val="0"/>
              <w:adjustRightInd w:val="0"/>
              <w:ind w:left="266" w:hanging="376"/>
              <w:textAlignment w:val="baseline"/>
              <w:rPr>
                <w:b/>
                <w:sz w:val="22"/>
                <w:szCs w:val="22"/>
              </w:rPr>
            </w:pPr>
            <w:r w:rsidRPr="008B7113">
              <w:rPr>
                <w:b/>
                <w:sz w:val="22"/>
                <w:szCs w:val="22"/>
              </w:rPr>
              <w:t>Sprawozdawczyni</w:t>
            </w:r>
          </w:p>
        </w:tc>
        <w:tc>
          <w:tcPr>
            <w:tcW w:w="5387" w:type="dxa"/>
          </w:tcPr>
          <w:p w:rsidRPr="008B7113" w:rsidR="0010484C" w:rsidP="00DC0FAE" w:rsidRDefault="0010484C" w14:paraId="2E037801" w14:textId="01A5B710">
            <w:pPr>
              <w:tabs>
                <w:tab w:val="center" w:pos="284"/>
              </w:tabs>
              <w:overflowPunct w:val="0"/>
              <w:autoSpaceDE w:val="0"/>
              <w:autoSpaceDN w:val="0"/>
              <w:adjustRightInd w:val="0"/>
              <w:ind w:left="266" w:hanging="376"/>
              <w:textAlignment w:val="baseline"/>
              <w:rPr>
                <w:sz w:val="22"/>
                <w:szCs w:val="22"/>
              </w:rPr>
            </w:pPr>
            <w:r w:rsidRPr="008B7113">
              <w:rPr>
                <w:sz w:val="22"/>
                <w:szCs w:val="22"/>
              </w:rPr>
              <w:t>Sophia REISECKER (Grupa Pracowników – AT)</w:t>
            </w:r>
          </w:p>
        </w:tc>
      </w:tr>
      <w:tr w:rsidRPr="008B7113" w:rsidR="0010484C" w:rsidTr="00FE3058" w14:paraId="73157FC0" w14:textId="77777777">
        <w:tc>
          <w:tcPr>
            <w:tcW w:w="7088" w:type="dxa"/>
            <w:gridSpan w:val="2"/>
          </w:tcPr>
          <w:p w:rsidRPr="008B7113" w:rsidR="0010484C" w:rsidP="00DC0FAE" w:rsidRDefault="0010484C" w14:paraId="11368192" w14:textId="77777777">
            <w:pPr>
              <w:tabs>
                <w:tab w:val="center" w:pos="284"/>
              </w:tabs>
              <w:overflowPunct w:val="0"/>
              <w:autoSpaceDE w:val="0"/>
              <w:autoSpaceDN w:val="0"/>
              <w:adjustRightInd w:val="0"/>
              <w:ind w:left="266" w:hanging="376"/>
              <w:textAlignment w:val="baseline"/>
              <w:rPr>
                <w:sz w:val="22"/>
                <w:szCs w:val="22"/>
              </w:rPr>
            </w:pPr>
          </w:p>
        </w:tc>
      </w:tr>
      <w:tr w:rsidRPr="008B7113" w:rsidR="0010484C" w:rsidTr="00FE3058" w14:paraId="08B719B5" w14:textId="77777777">
        <w:tc>
          <w:tcPr>
            <w:tcW w:w="1701" w:type="dxa"/>
            <w:vMerge w:val="restart"/>
          </w:tcPr>
          <w:p w:rsidRPr="008B7113" w:rsidR="0010484C" w:rsidP="00DC0FAE" w:rsidRDefault="0010484C" w14:paraId="1AD2CE0E" w14:textId="77777777">
            <w:pPr>
              <w:tabs>
                <w:tab w:val="center" w:pos="284"/>
              </w:tabs>
              <w:overflowPunct w:val="0"/>
              <w:autoSpaceDE w:val="0"/>
              <w:autoSpaceDN w:val="0"/>
              <w:adjustRightInd w:val="0"/>
              <w:ind w:left="266" w:hanging="376"/>
              <w:textAlignment w:val="baseline"/>
              <w:rPr>
                <w:b/>
                <w:sz w:val="22"/>
                <w:szCs w:val="22"/>
              </w:rPr>
            </w:pPr>
            <w:r w:rsidRPr="008B7113">
              <w:rPr>
                <w:b/>
                <w:sz w:val="22"/>
                <w:szCs w:val="22"/>
              </w:rPr>
              <w:t>Dokumenty</w:t>
            </w:r>
          </w:p>
        </w:tc>
        <w:tc>
          <w:tcPr>
            <w:tcW w:w="5387" w:type="dxa"/>
          </w:tcPr>
          <w:p w:rsidRPr="008B7113" w:rsidR="0010484C" w:rsidP="00DC0FAE" w:rsidRDefault="0010484C" w14:paraId="2437B8BE" w14:textId="4FE32139">
            <w:pPr>
              <w:tabs>
                <w:tab w:val="center" w:pos="284"/>
              </w:tabs>
              <w:overflowPunct w:val="0"/>
              <w:autoSpaceDE w:val="0"/>
              <w:autoSpaceDN w:val="0"/>
              <w:adjustRightInd w:val="0"/>
              <w:ind w:left="266" w:hanging="376"/>
              <w:textAlignment w:val="baseline"/>
              <w:rPr>
                <w:sz w:val="22"/>
                <w:szCs w:val="22"/>
              </w:rPr>
            </w:pPr>
            <w:r w:rsidRPr="008B7113">
              <w:rPr>
                <w:sz w:val="22"/>
                <w:szCs w:val="22"/>
              </w:rPr>
              <w:t>COM(2024) 14 final</w:t>
            </w:r>
          </w:p>
        </w:tc>
      </w:tr>
      <w:tr w:rsidRPr="008B7113" w:rsidR="0010484C" w:rsidTr="00FE3058" w14:paraId="5820FB7B" w14:textId="77777777">
        <w:tc>
          <w:tcPr>
            <w:tcW w:w="1701" w:type="dxa"/>
            <w:vMerge/>
          </w:tcPr>
          <w:p w:rsidRPr="008B7113" w:rsidR="0010484C" w:rsidP="00DC0FAE" w:rsidRDefault="0010484C" w14:paraId="7361EF92" w14:textId="77777777">
            <w:pPr>
              <w:tabs>
                <w:tab w:val="center" w:pos="284"/>
              </w:tabs>
              <w:overflowPunct w:val="0"/>
              <w:autoSpaceDE w:val="0"/>
              <w:autoSpaceDN w:val="0"/>
              <w:adjustRightInd w:val="0"/>
              <w:ind w:left="266" w:hanging="376"/>
              <w:textAlignment w:val="baseline"/>
              <w:rPr>
                <w:b/>
                <w:sz w:val="22"/>
                <w:szCs w:val="22"/>
              </w:rPr>
            </w:pPr>
          </w:p>
        </w:tc>
        <w:tc>
          <w:tcPr>
            <w:tcW w:w="5387" w:type="dxa"/>
          </w:tcPr>
          <w:p w:rsidRPr="008B7113" w:rsidR="0010484C" w:rsidP="00DC0FAE" w:rsidRDefault="0010484C" w14:paraId="0F30A46F" w14:textId="4D6C9E54">
            <w:pPr>
              <w:tabs>
                <w:tab w:val="center" w:pos="284"/>
              </w:tabs>
              <w:overflowPunct w:val="0"/>
              <w:autoSpaceDE w:val="0"/>
              <w:autoSpaceDN w:val="0"/>
              <w:adjustRightInd w:val="0"/>
              <w:ind w:left="266" w:hanging="376"/>
              <w:textAlignment w:val="baseline"/>
              <w:rPr>
                <w:sz w:val="22"/>
                <w:szCs w:val="22"/>
              </w:rPr>
            </w:pPr>
            <w:r w:rsidRPr="008B7113">
              <w:rPr>
                <w:sz w:val="22"/>
                <w:szCs w:val="22"/>
              </w:rPr>
              <w:t>EESC-2024-00543-00-00-AC</w:t>
            </w:r>
          </w:p>
        </w:tc>
      </w:tr>
    </w:tbl>
    <w:p w:rsidRPr="008B7113" w:rsidR="0010484C" w:rsidP="0010484C" w:rsidRDefault="0010484C" w14:paraId="045C90A1" w14:textId="77777777">
      <w:pPr>
        <w:tabs>
          <w:tab w:val="center" w:pos="284"/>
        </w:tabs>
        <w:overflowPunct w:val="0"/>
        <w:autoSpaceDE w:val="0"/>
        <w:autoSpaceDN w:val="0"/>
        <w:adjustRightInd w:val="0"/>
        <w:ind w:left="266" w:hanging="266"/>
        <w:textAlignment w:val="baseline"/>
      </w:pPr>
    </w:p>
    <w:p w:rsidRPr="008B7113"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sidRPr="008B7113">
        <w:rPr>
          <w:b/>
        </w:rPr>
        <w:t>Główne punkty:</w:t>
      </w:r>
    </w:p>
    <w:p w:rsidRPr="008B7113"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rPr>
      </w:pPr>
    </w:p>
    <w:p w:rsidRPr="008B7113" w:rsidR="0010484C" w:rsidP="0010484C" w:rsidRDefault="0010484C" w14:paraId="45AB3525" w14:textId="1202BA36">
      <w:pPr>
        <w:overflowPunct w:val="0"/>
        <w:autoSpaceDE w:val="0"/>
        <w:autoSpaceDN w:val="0"/>
        <w:adjustRightInd w:val="0"/>
        <w:textAlignment w:val="baseline"/>
        <w:rPr>
          <w:bCs/>
          <w:iCs/>
        </w:rPr>
      </w:pPr>
      <w:r w:rsidRPr="008B7113">
        <w:t>EKES:</w:t>
      </w:r>
    </w:p>
    <w:p w:rsidRPr="008B7113" w:rsidR="002F6E84" w:rsidP="0010484C" w:rsidRDefault="002F6E84" w14:paraId="0DAE7107" w14:textId="77777777">
      <w:pPr>
        <w:overflowPunct w:val="0"/>
        <w:autoSpaceDE w:val="0"/>
        <w:autoSpaceDN w:val="0"/>
        <w:adjustRightInd w:val="0"/>
        <w:textAlignment w:val="baseline"/>
        <w:rPr>
          <w:bCs/>
          <w:iCs/>
        </w:rPr>
      </w:pPr>
    </w:p>
    <w:p w:rsidRPr="00DC0FAE" w:rsidR="0010484C" w:rsidP="00DC0FA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t>Przyjmuje do wiadomości kroki legislacyjne podjęte przez Komisję Europejską w celu przeglądu dyrektywy 2009/38/WE w odniesieniu do minimalnych norm dotyczących tworzenia europejskich rad zakładowych i zapewniania ich skutecznego działania.</w:t>
      </w:r>
    </w:p>
    <w:p w:rsidRPr="00DC0FAE" w:rsidR="0010484C" w:rsidP="00DC0FA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t>Przyjmuje do wiadomości cel, jakim jest zwiększenie skuteczności i wdrażania praw europejskich rad zakładowych, by zagwarantować pewność prawa poprzez doprecyzowanie kluczowych pojęć dyrektywy w sprawie europejskich rad zakładowych. Dotyczy to w szczególności definicji ponadnarodowości, odpowiednich zasobów dostępnych europejskim radom zakładowym, dostępu do wymiaru sprawiedliwości i zwiększenia zaangażowania państw członkowskich w zapewnianie skutecznych i wystarczająco odstraszających sankcji za naruszenia praw europejskich rad zakładowych.</w:t>
      </w:r>
    </w:p>
    <w:p w:rsidRPr="00DC0FAE" w:rsidR="0010484C" w:rsidP="00DC0FAE" w:rsidRDefault="0010484C" w14:paraId="2ABD0814" w14:textId="5D448E76">
      <w:pPr>
        <w:widowControl w:val="0"/>
        <w:numPr>
          <w:ilvl w:val="0"/>
          <w:numId w:val="16"/>
        </w:numPr>
        <w:overflowPunct w:val="0"/>
        <w:autoSpaceDE w:val="0"/>
        <w:autoSpaceDN w:val="0"/>
        <w:adjustRightInd w:val="0"/>
        <w:ind w:left="284" w:hanging="284"/>
        <w:textAlignment w:val="baseline"/>
        <w:rPr>
          <w:szCs w:val="20"/>
        </w:rPr>
      </w:pPr>
      <w:r>
        <w:t>Z zadowoleniem przyjmuje cele Komisji, jakimi są: przegląd standardu pod kątem skuteczniejszego i bardziej znaczącego procesu informowania pracowników i konsultowania się z</w:t>
      </w:r>
      <w:r w:rsidR="00336F25">
        <w:t> </w:t>
      </w:r>
      <w:r>
        <w:t>nimi poprzez zaproponowanie uzupełnień do wymagań dodatkowych, zwiększenie częstotliwości regularnych posiedzeń europejskich rad zakładowych oraz wprowadzenie udzielania przez kierownictwo uzasadnionych odpowiedzi na opinie europejskich rad zakładowych. Odnotowuje także ugruntowanie roli przedstawicielek i przedstawicieli związków zawodowych jako wspierających ekspertów europejskich rad zakładowych.</w:t>
      </w:r>
    </w:p>
    <w:p w:rsidRPr="005C28F2" w:rsidR="0010484C" w:rsidP="00DC0FAE" w:rsidRDefault="0010484C" w14:paraId="30EB9EA4" w14:textId="49D637DF">
      <w:pPr>
        <w:widowControl w:val="0"/>
        <w:numPr>
          <w:ilvl w:val="0"/>
          <w:numId w:val="16"/>
        </w:numPr>
        <w:overflowPunct w:val="0"/>
        <w:autoSpaceDE w:val="0"/>
        <w:autoSpaceDN w:val="0"/>
        <w:adjustRightInd w:val="0"/>
        <w:ind w:left="284" w:hanging="284"/>
        <w:textAlignment w:val="baseline"/>
        <w:rPr>
          <w:szCs w:val="20"/>
        </w:rPr>
      </w:pPr>
      <w:r>
        <w:t>Szczególnie popiera ważne poprawki dotyczące możliwości wypełniania obowiązków przez europejskie rady zakładowe i ich członków. Dotyczy to przede wszystkim zasobów zapewnianych przez kierownictwo, których szczegóły muszą zostać wspólnie określone w</w:t>
      </w:r>
      <w:r w:rsidR="00336F25">
        <w:t> </w:t>
      </w:r>
      <w:r>
        <w:t>odpowiedniej umowie w sprawie europejskich rad zakładowych w odniesieniu do szkoleń, ekspertów i reprezentacji prawnej oraz planowanych wyjaśnień dotyczących poufności.</w:t>
      </w:r>
    </w:p>
    <w:p w:rsidRPr="00DC0FAE"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t>Wzywa organy legislacyjne do szybkiego przystąpienia do przeglądu dyrektywy w sprawie europejskich rad zakładowych zgodnie z propozycją Komisji, również z uwzględnieniem zaleceń zaproponowanych w opinii.</w:t>
      </w:r>
    </w:p>
    <w:p w:rsidRPr="00DC0FAE"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t>Podkreśla potrzebę zagwarantowania właściwej transpozycji i wdrożenia zmienionej dyrektywy za pomocą skutecznych narzędzi monitorowania i wdrażania, które Komisja powinna wykorzystać w tym procesie.</w:t>
      </w:r>
    </w:p>
    <w:p w:rsidRPr="00DC0FAE"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5C28F2" w:rsidR="0010484C" w:rsidP="0010484C" w:rsidRDefault="0010484C" w14:paraId="3B5BD501" w14:textId="0098AE9D">
      <w:pPr>
        <w:widowControl w:val="0"/>
        <w:overflowPunct w:val="0"/>
        <w:autoSpaceDE w:val="0"/>
        <w:autoSpaceDN w:val="0"/>
        <w:adjustRightInd w:val="0"/>
        <w:textAlignment w:val="baseline"/>
        <w:rPr>
          <w:b/>
          <w:bCs/>
          <w:szCs w:val="20"/>
        </w:rPr>
      </w:pPr>
      <w:r>
        <w:rPr>
          <w:b/>
        </w:rPr>
        <w:t>Ponieważ organizacje pracodawców mają odmienne zdanie w tej sprawie, członkowie Grupy Pracodawców w EKES-ie przedstawili kontropinię. Wyrazili w niej w szczególności obawę, że przegląd dyrektywy może skomplikować funkcjonowanie europejskich rad zakładowych i</w:t>
      </w:r>
      <w:r w:rsidR="00336F25">
        <w:rPr>
          <w:b/>
        </w:rPr>
        <w:t> </w:t>
      </w:r>
      <w:r>
        <w:rPr>
          <w:b/>
        </w:rPr>
        <w:t xml:space="preserve">stworzyć ryzyko, że ze skutecznych kanałów informowania i konsultacji na szczeblu przedsiębiorstwa zmienią się one w źródła sporów i niepewności prawa. Grupa Pracodawców EKES-u uważa, że mogłoby to potencjalnie osłabić niezbędną współpracę i zaufanie w miejscu </w:t>
      </w:r>
      <w:r>
        <w:rPr>
          <w:b/>
        </w:rPr>
        <w:lastRenderedPageBreak/>
        <w:t>pracy. Kontropinia została odrzucona przez EKES (104 głosy za / 125 głosów przeciw / 11 osób wstrzymało się od głosu), ale ponieważ uzyskała poparcie ponad jednej czwartej oddanych głosów, zgodnie z regulaminem wewnętrznym EKES-u została załączona do opinii.</w:t>
      </w:r>
    </w:p>
    <w:p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0484C" w:rsidR="005C28F2" w:rsidTr="00405FFF" w14:paraId="60D176FD" w14:textId="77777777">
        <w:tc>
          <w:tcPr>
            <w:tcW w:w="1418" w:type="dxa"/>
          </w:tcPr>
          <w:p w:rsidRPr="0010484C" w:rsidR="005C28F2" w:rsidP="00405FFF" w:rsidRDefault="005C28F2" w14:paraId="585CB7BA" w14:textId="77777777">
            <w:pPr>
              <w:overflowPunct w:val="0"/>
              <w:autoSpaceDE w:val="0"/>
              <w:autoSpaceDN w:val="0"/>
              <w:adjustRightInd w:val="0"/>
              <w:ind w:hanging="110"/>
              <w:textAlignment w:val="baseline"/>
              <w:rPr>
                <w:i/>
              </w:rPr>
            </w:pPr>
            <w:r>
              <w:rPr>
                <w:b/>
                <w:i/>
              </w:rPr>
              <w:t>Kontakt</w:t>
            </w:r>
          </w:p>
        </w:tc>
        <w:tc>
          <w:tcPr>
            <w:tcW w:w="5670" w:type="dxa"/>
          </w:tcPr>
          <w:p w:rsidRPr="0010484C" w:rsidR="005C28F2" w:rsidP="00405FFF" w:rsidRDefault="005C28F2" w14:paraId="78013169" w14:textId="77777777">
            <w:pPr>
              <w:overflowPunct w:val="0"/>
              <w:autoSpaceDE w:val="0"/>
              <w:autoSpaceDN w:val="0"/>
              <w:adjustRightInd w:val="0"/>
              <w:ind w:hanging="110"/>
              <w:textAlignment w:val="baseline"/>
              <w:rPr>
                <w:i/>
              </w:rPr>
            </w:pPr>
            <w:r>
              <w:rPr>
                <w:i/>
              </w:rPr>
              <w:t>Bartek Bednarowicz</w:t>
            </w:r>
          </w:p>
        </w:tc>
      </w:tr>
      <w:tr w:rsidRPr="0010484C" w:rsidR="005C28F2" w:rsidTr="00405FFF" w14:paraId="02718472" w14:textId="77777777">
        <w:tc>
          <w:tcPr>
            <w:tcW w:w="1418" w:type="dxa"/>
          </w:tcPr>
          <w:p w:rsidRPr="0010484C" w:rsidR="005C28F2" w:rsidP="00405FFF" w:rsidRDefault="005C28F2" w14:paraId="5ECEACD6" w14:textId="77777777">
            <w:pPr>
              <w:overflowPunct w:val="0"/>
              <w:autoSpaceDE w:val="0"/>
              <w:autoSpaceDN w:val="0"/>
              <w:adjustRightInd w:val="0"/>
              <w:ind w:hanging="110"/>
              <w:textAlignment w:val="baseline"/>
              <w:rPr>
                <w:i/>
              </w:rPr>
            </w:pPr>
            <w:r>
              <w:rPr>
                <w:i/>
              </w:rPr>
              <w:t>tel.</w:t>
            </w:r>
          </w:p>
        </w:tc>
        <w:tc>
          <w:tcPr>
            <w:tcW w:w="5670" w:type="dxa"/>
          </w:tcPr>
          <w:p w:rsidRPr="0010484C" w:rsidR="005C28F2" w:rsidP="00405FFF"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405FFF" w14:paraId="6D0F78E9" w14:textId="77777777">
        <w:tc>
          <w:tcPr>
            <w:tcW w:w="1418" w:type="dxa"/>
          </w:tcPr>
          <w:p w:rsidRPr="0010484C" w:rsidR="005C28F2" w:rsidP="00405FFF" w:rsidRDefault="005C28F2" w14:paraId="57F2C25C" w14:textId="77777777">
            <w:pPr>
              <w:overflowPunct w:val="0"/>
              <w:autoSpaceDE w:val="0"/>
              <w:autoSpaceDN w:val="0"/>
              <w:adjustRightInd w:val="0"/>
              <w:ind w:hanging="110"/>
              <w:textAlignment w:val="baseline"/>
              <w:rPr>
                <w:i/>
              </w:rPr>
            </w:pPr>
            <w:r>
              <w:rPr>
                <w:i/>
              </w:rPr>
              <w:t>e-mail</w:t>
            </w:r>
          </w:p>
        </w:tc>
        <w:tc>
          <w:tcPr>
            <w:tcW w:w="5670" w:type="dxa"/>
          </w:tcPr>
          <w:p w:rsidRPr="0010484C" w:rsidR="005C28F2" w:rsidP="00405FFF" w:rsidRDefault="0096037A" w14:paraId="17171F10" w14:textId="77777777">
            <w:pPr>
              <w:overflowPunct w:val="0"/>
              <w:autoSpaceDE w:val="0"/>
              <w:autoSpaceDN w:val="0"/>
              <w:adjustRightInd w:val="0"/>
              <w:ind w:hanging="110"/>
              <w:textAlignment w:val="baseline"/>
              <w:rPr>
                <w:i/>
                <w:iCs/>
              </w:rPr>
            </w:pPr>
            <w:hyperlink w:history="1" r:id="rId27">
              <w:r w:rsidR="005C28F2">
                <w:rPr>
                  <w:i/>
                  <w:color w:val="0000FF"/>
                  <w:u w:val="single"/>
                </w:rPr>
                <w:t>Bartek.Bednarowicz@eesc.europa.eu</w:t>
              </w:r>
            </w:hyperlink>
          </w:p>
        </w:tc>
      </w:tr>
    </w:tbl>
    <w:p w:rsidR="00336F25" w:rsidP="00336F25" w:rsidRDefault="00336F25" w14:paraId="5B9513BE" w14:textId="01234927">
      <w:pPr>
        <w:widowControl w:val="0"/>
        <w:overflowPunct w:val="0"/>
        <w:autoSpaceDE w:val="0"/>
        <w:autoSpaceDN w:val="0"/>
        <w:adjustRightInd w:val="0"/>
        <w:ind w:left="567"/>
        <w:textAlignment w:val="baseline"/>
        <w:rPr>
          <w:b/>
        </w:rPr>
      </w:pPr>
    </w:p>
    <w:p w:rsidRPr="00336F25" w:rsidR="00336F25" w:rsidP="00336F25" w:rsidRDefault="00336F25" w14:paraId="41BA0A93" w14:textId="77777777">
      <w:pPr>
        <w:widowControl w:val="0"/>
        <w:overflowPunct w:val="0"/>
        <w:autoSpaceDE w:val="0"/>
        <w:autoSpaceDN w:val="0"/>
        <w:adjustRightInd w:val="0"/>
        <w:ind w:left="567"/>
        <w:textAlignment w:val="baseline"/>
        <w:rPr>
          <w:b/>
        </w:rPr>
      </w:pPr>
    </w:p>
    <w:p w:rsidRPr="005C28F2" w:rsidR="00025343" w:rsidP="00DC0FAE" w:rsidRDefault="0096037A" w14:paraId="05A78CB9" w14:textId="7C6F7980">
      <w:pPr>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Nie ma miejsca na nienawiść: Europa zjednoczona przeciwko nienawiści</w:t>
        </w:r>
      </w:hyperlink>
    </w:p>
    <w:p w:rsidRPr="00FF07F1"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2"/>
        <w:gridCol w:w="5637"/>
      </w:tblGrid>
      <w:tr w:rsidRPr="00FF07F1" w:rsidR="00025343" w:rsidTr="00FE3058" w14:paraId="2AF8F4F0" w14:textId="77777777">
        <w:trPr>
          <w:trHeight w:val="337"/>
        </w:trPr>
        <w:tc>
          <w:tcPr>
            <w:tcW w:w="1310" w:type="pct"/>
          </w:tcPr>
          <w:p w:rsidRPr="00FF07F1" w:rsidR="00025343" w:rsidP="00DC0FAE" w:rsidRDefault="00025343" w14:paraId="11E0BB11" w14:textId="77777777">
            <w:pPr>
              <w:tabs>
                <w:tab w:val="center" w:pos="284"/>
              </w:tabs>
              <w:overflowPunct w:val="0"/>
              <w:autoSpaceDE w:val="0"/>
              <w:autoSpaceDN w:val="0"/>
              <w:adjustRightInd w:val="0"/>
              <w:ind w:left="266" w:hanging="92"/>
              <w:textAlignment w:val="baseline"/>
              <w:rPr>
                <w:b/>
                <w:sz w:val="22"/>
                <w:szCs w:val="22"/>
              </w:rPr>
            </w:pPr>
            <w:r w:rsidRPr="00FF07F1">
              <w:rPr>
                <w:b/>
                <w:sz w:val="22"/>
                <w:szCs w:val="22"/>
              </w:rPr>
              <w:t>Sprawozdawca</w:t>
            </w:r>
          </w:p>
        </w:tc>
        <w:tc>
          <w:tcPr>
            <w:tcW w:w="3690" w:type="pct"/>
          </w:tcPr>
          <w:p w:rsidRPr="00FF07F1" w:rsidR="00025343" w:rsidP="00DC0FAE" w:rsidRDefault="00025343" w14:paraId="75752AD4" w14:textId="7ACD3C64">
            <w:pPr>
              <w:tabs>
                <w:tab w:val="center" w:pos="0"/>
              </w:tabs>
              <w:overflowPunct w:val="0"/>
              <w:autoSpaceDE w:val="0"/>
              <w:autoSpaceDN w:val="0"/>
              <w:adjustRightInd w:val="0"/>
              <w:ind w:hanging="92"/>
              <w:textAlignment w:val="baseline"/>
              <w:rPr>
                <w:sz w:val="22"/>
                <w:szCs w:val="22"/>
              </w:rPr>
            </w:pPr>
            <w:r w:rsidRPr="00FF07F1">
              <w:rPr>
                <w:sz w:val="22"/>
                <w:szCs w:val="22"/>
              </w:rPr>
              <w:t>Cristian PÎRVULESCU (Grupa Organizacji Społeczeństwa Obywatelskiego – RO)</w:t>
            </w:r>
          </w:p>
        </w:tc>
      </w:tr>
      <w:tr w:rsidRPr="00FF07F1" w:rsidR="00025343" w:rsidTr="00FE3058" w14:paraId="1760181D" w14:textId="77777777">
        <w:trPr>
          <w:trHeight w:val="350"/>
        </w:trPr>
        <w:tc>
          <w:tcPr>
            <w:tcW w:w="1310" w:type="pct"/>
          </w:tcPr>
          <w:p w:rsidRPr="00FF07F1" w:rsidR="00025343" w:rsidP="00DC0FAE" w:rsidRDefault="00025343" w14:paraId="2BD960A6" w14:textId="77777777">
            <w:pPr>
              <w:tabs>
                <w:tab w:val="center" w:pos="284"/>
              </w:tabs>
              <w:overflowPunct w:val="0"/>
              <w:autoSpaceDE w:val="0"/>
              <w:autoSpaceDN w:val="0"/>
              <w:adjustRightInd w:val="0"/>
              <w:ind w:left="266" w:hanging="92"/>
              <w:textAlignment w:val="baseline"/>
              <w:rPr>
                <w:b/>
                <w:sz w:val="22"/>
                <w:szCs w:val="22"/>
              </w:rPr>
            </w:pPr>
            <w:r w:rsidRPr="00FF07F1">
              <w:rPr>
                <w:b/>
                <w:sz w:val="22"/>
                <w:szCs w:val="22"/>
              </w:rPr>
              <w:t>Współsprawozdawczyni</w:t>
            </w:r>
          </w:p>
        </w:tc>
        <w:tc>
          <w:tcPr>
            <w:tcW w:w="3690" w:type="pct"/>
          </w:tcPr>
          <w:p w:rsidRPr="00FF07F1" w:rsidR="00025343" w:rsidP="00DC0FAE" w:rsidRDefault="00025343" w14:paraId="4D5D8264" w14:textId="0F078110">
            <w:pPr>
              <w:overflowPunct w:val="0"/>
              <w:autoSpaceDE w:val="0"/>
              <w:autoSpaceDN w:val="0"/>
              <w:adjustRightInd w:val="0"/>
              <w:ind w:hanging="92"/>
              <w:textAlignment w:val="baseline"/>
              <w:rPr>
                <w:sz w:val="22"/>
                <w:szCs w:val="22"/>
              </w:rPr>
            </w:pPr>
            <w:r w:rsidRPr="00FF07F1">
              <w:rPr>
                <w:sz w:val="22"/>
                <w:szCs w:val="22"/>
              </w:rPr>
              <w:t>Milena ANGEŁOWA (Grupa Pracodawców – BG)</w:t>
            </w:r>
          </w:p>
        </w:tc>
      </w:tr>
      <w:tr w:rsidRPr="00FF07F1" w:rsidR="00025343" w:rsidTr="00FE3058" w14:paraId="2C6DD60C" w14:textId="77777777">
        <w:trPr>
          <w:trHeight w:val="180"/>
        </w:trPr>
        <w:tc>
          <w:tcPr>
            <w:tcW w:w="5000" w:type="pct"/>
            <w:gridSpan w:val="2"/>
          </w:tcPr>
          <w:p w:rsidRPr="00FF07F1"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rPr>
                <w:sz w:val="22"/>
                <w:szCs w:val="22"/>
              </w:rPr>
            </w:pPr>
          </w:p>
        </w:tc>
      </w:tr>
      <w:tr w:rsidRPr="00FF07F1" w:rsidR="00025343" w:rsidTr="00FE3058" w14:paraId="6FBC34E5" w14:textId="77777777">
        <w:trPr>
          <w:trHeight w:val="337"/>
        </w:trPr>
        <w:tc>
          <w:tcPr>
            <w:tcW w:w="1310" w:type="pct"/>
          </w:tcPr>
          <w:p w:rsidRPr="00FF07F1" w:rsidR="00025343" w:rsidP="00DC0FAE" w:rsidRDefault="00025343" w14:paraId="0CB959F0" w14:textId="77777777">
            <w:pPr>
              <w:tabs>
                <w:tab w:val="center" w:pos="284"/>
              </w:tabs>
              <w:overflowPunct w:val="0"/>
              <w:autoSpaceDE w:val="0"/>
              <w:autoSpaceDN w:val="0"/>
              <w:adjustRightInd w:val="0"/>
              <w:ind w:left="266" w:hanging="92"/>
              <w:textAlignment w:val="baseline"/>
              <w:rPr>
                <w:b/>
                <w:sz w:val="22"/>
                <w:szCs w:val="22"/>
              </w:rPr>
            </w:pPr>
            <w:r w:rsidRPr="00FF07F1">
              <w:rPr>
                <w:b/>
                <w:sz w:val="22"/>
                <w:szCs w:val="22"/>
              </w:rPr>
              <w:t>Dokumenty</w:t>
            </w:r>
          </w:p>
        </w:tc>
        <w:tc>
          <w:tcPr>
            <w:tcW w:w="3690" w:type="pct"/>
          </w:tcPr>
          <w:p w:rsidRPr="00FF07F1" w:rsidR="00073B39" w:rsidRDefault="00073B39" w14:paraId="4E56704D" w14:textId="77D55C36">
            <w:pPr>
              <w:overflowPunct w:val="0"/>
              <w:autoSpaceDE w:val="0"/>
              <w:autoSpaceDN w:val="0"/>
              <w:adjustRightInd w:val="0"/>
              <w:ind w:left="38" w:hanging="92"/>
              <w:textAlignment w:val="baseline"/>
              <w:rPr>
                <w:sz w:val="22"/>
                <w:szCs w:val="22"/>
              </w:rPr>
            </w:pPr>
            <w:r w:rsidRPr="00FF07F1">
              <w:rPr>
                <w:sz w:val="22"/>
                <w:szCs w:val="22"/>
              </w:rPr>
              <w:t>JOIN(2023) 51 final</w:t>
            </w:r>
          </w:p>
          <w:p w:rsidRPr="00FF07F1" w:rsidR="00025343" w:rsidP="00DC0FAE" w:rsidRDefault="00025343" w14:paraId="3DBBFBEB" w14:textId="41A0BBEE">
            <w:pPr>
              <w:overflowPunct w:val="0"/>
              <w:autoSpaceDE w:val="0"/>
              <w:autoSpaceDN w:val="0"/>
              <w:adjustRightInd w:val="0"/>
              <w:ind w:left="38" w:hanging="92"/>
              <w:textAlignment w:val="baseline"/>
              <w:rPr>
                <w:sz w:val="22"/>
                <w:szCs w:val="22"/>
              </w:rPr>
            </w:pPr>
            <w:r w:rsidRPr="00FF07F1">
              <w:rPr>
                <w:sz w:val="22"/>
                <w:szCs w:val="22"/>
              </w:rPr>
              <w:t>EESC-2024-00795-00-00-AC</w:t>
            </w:r>
          </w:p>
        </w:tc>
      </w:tr>
    </w:tbl>
    <w:p w:rsidRPr="00FF07F1"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Pr>
          <w:b/>
        </w:rPr>
        <w:t>Główne punkty</w:t>
      </w:r>
    </w:p>
    <w:p w:rsidRPr="00025343"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25343" w:rsidRDefault="00025343" w14:paraId="4E01D61B" w14:textId="1C55CBF5">
      <w:pPr>
        <w:overflowPunct w:val="0"/>
        <w:autoSpaceDE w:val="0"/>
        <w:autoSpaceDN w:val="0"/>
        <w:adjustRightInd w:val="0"/>
        <w:textAlignment w:val="baseline"/>
        <w:rPr>
          <w:bCs/>
          <w:iCs/>
        </w:rPr>
      </w:pPr>
      <w:r>
        <w:t>EKES:</w:t>
      </w:r>
    </w:p>
    <w:p w:rsidRPr="00025343" w:rsidR="00360C2F" w:rsidP="00025343" w:rsidRDefault="00360C2F" w14:paraId="227E2908" w14:textId="77777777">
      <w:pPr>
        <w:overflowPunct w:val="0"/>
        <w:autoSpaceDE w:val="0"/>
        <w:autoSpaceDN w:val="0"/>
        <w:adjustRightInd w:val="0"/>
        <w:textAlignment w:val="baseline"/>
        <w:rPr>
          <w:bCs/>
          <w:iCs/>
        </w:rPr>
      </w:pPr>
    </w:p>
    <w:p w:rsidRPr="00025343"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Z zadowoleniem przyjmuje komunikat, podkreślając jednocześnie potrzebę bardziej kompleksowego partnerstwa z organizacjami społeczeństwa obywatelskiego. Wzywa do prowadzenia kampanii uświadamiających i wysiłków na rzecz zwalczania „ekosystemów” nienawiści w internecie i poza nim oraz przypomina o odpowiedzialności polityków za unikanie propagowania nienawiści w języku.</w:t>
      </w:r>
    </w:p>
    <w:p w:rsidRPr="00025343" w:rsidR="00025343" w:rsidP="00DC0FAE" w:rsidRDefault="00025343" w14:paraId="375F8159" w14:textId="0F08F9C0">
      <w:pPr>
        <w:widowControl w:val="0"/>
        <w:numPr>
          <w:ilvl w:val="0"/>
          <w:numId w:val="17"/>
        </w:numPr>
        <w:overflowPunct w:val="0"/>
        <w:autoSpaceDE w:val="0"/>
        <w:autoSpaceDN w:val="0"/>
        <w:adjustRightInd w:val="0"/>
        <w:ind w:left="284" w:hanging="284"/>
        <w:textAlignment w:val="baseline"/>
        <w:rPr>
          <w:bCs/>
          <w:iCs/>
        </w:rPr>
      </w:pPr>
      <w:r>
        <w:t>Wzywa UE do przyjęcia kompleksowego podejścia i zwalczania nienawiści w oparciu o wszelkie chronione cechy ludzkie, do skutecznego wdrożenia istniejących strategii i inicjatyw promujących równość i niedyskryminację oraz do stosowania przede wszystkim tego samego podejścia do zwalczania wszelkich rodzajów nienawiści. Wzywa państwa członkowskie do ścigania przestępstw motywowanych nienawiścią, zachęcania do zgłaszania takich przestępstw i</w:t>
      </w:r>
      <w:r w:rsidR="00336F25">
        <w:t> </w:t>
      </w:r>
      <w:r>
        <w:t>szkolenia organów ścigania w zakresie właściwego rozpatrywania takich spraw, z należytym szacunkiem dla ofiar.</w:t>
      </w:r>
    </w:p>
    <w:p w:rsidRPr="00025343" w:rsidR="00025343" w:rsidP="00DC0FAE" w:rsidRDefault="00025343" w14:paraId="65F1FFC2" w14:textId="543F6CC9">
      <w:pPr>
        <w:widowControl w:val="0"/>
        <w:numPr>
          <w:ilvl w:val="0"/>
          <w:numId w:val="17"/>
        </w:numPr>
        <w:overflowPunct w:val="0"/>
        <w:autoSpaceDE w:val="0"/>
        <w:autoSpaceDN w:val="0"/>
        <w:adjustRightInd w:val="0"/>
        <w:ind w:left="284" w:hanging="284"/>
        <w:textAlignment w:val="baseline"/>
        <w:rPr>
          <w:bCs/>
          <w:iCs/>
        </w:rPr>
      </w:pPr>
      <w:r>
        <w:t>Ubolewa, że niewielka jest skala i wpływ przeciwdziałania nienawiści na platformach internetowych. Należy rozszerzyć rolę i wiedzę ekspercką podmiotów sygnalizujących, aby konsekwentnie przeciwdziałać wszystkim rodzajom uprzedzeń opartych na nienawiści w</w:t>
      </w:r>
      <w:r w:rsidR="00336F25">
        <w:t> </w:t>
      </w:r>
      <w:r>
        <w:t>internecie. Należy poprawić umiejętności w zakresie korzystania z mediów i technologii cyfrowych, aby zapewnić skuteczniejsze zgłaszanie przestępstw.</w:t>
      </w:r>
    </w:p>
    <w:p w:rsidRPr="00025343" w:rsidR="00025343" w:rsidP="00336F25" w:rsidRDefault="00025343" w14:paraId="0FED99CF" w14:textId="77777777">
      <w:pPr>
        <w:numPr>
          <w:ilvl w:val="0"/>
          <w:numId w:val="17"/>
        </w:numPr>
        <w:overflowPunct w:val="0"/>
        <w:autoSpaceDE w:val="0"/>
        <w:autoSpaceDN w:val="0"/>
        <w:adjustRightInd w:val="0"/>
        <w:ind w:left="284" w:hanging="284"/>
        <w:textAlignment w:val="baseline"/>
        <w:rPr>
          <w:bCs/>
          <w:iCs/>
        </w:rPr>
      </w:pPr>
      <w:r>
        <w:t xml:space="preserve">Uważa, że należy usprawnić działania grupy wysokiego szczebla ds. zwalczania nawoływania do nienawiści i przestępstw z nienawiści, usprawnić szkolenia i budowanie zdolności społeczeństwa obywatelskiego oraz zwiększyć skuteczność zgłaszania. W celu określenia postępów należy wykorzystać sprawozdawczość i analizę porównawczą. Zgłaszanie przestępstw z nienawiści powinno być znormalizowane i zinstytucjonalizowane na szczeblu UE. Mechanizmy zgłaszania muszą być dostępne. Zachęca się Komisję do stworzenia platformy internetowej umożliwiającej </w:t>
      </w:r>
      <w:r>
        <w:lastRenderedPageBreak/>
        <w:t>szybkie zgłaszanie incydentów przez organizacje społeczeństwa obywatelskiego i obrońców praw człowieka.</w:t>
      </w:r>
    </w:p>
    <w:p w:rsidRPr="00025343"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Podkreśla, że Komisja powinna zorganizować przegląd prac organizacji społeczeństwa obywatelskiego, a także zaufanych podmiotów sygnalizujących, oraz zaproponować środki mające na celu zwiększenie ich skuteczności. Należy zwiększyć skalę prac w celu sprostania obecnym wyzwaniom. UE powinna nalegać, aby duże platformy internetowe zapobiegały nagłaśnianiu nienawiści przez ich algorytmy. Powinna też wykorzystywać środki finansowe z programu CERV i programu „Horyzont Europa” do identyfikowania i zwalczania ekosystemów nienawiści w internecie. Dążąc do osiągnięcia tego celu, należy skorzystać z istniejących zdolności edukacyjnych i badawczych oraz włączyć tu edukację obywatelską w ramach programu Erasmus+.</w:t>
      </w:r>
    </w:p>
    <w:p w:rsidRPr="00025343"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Pr>
                <w:b/>
                <w:i/>
              </w:rPr>
              <w:t>Kontakt</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r>
              <w:rPr>
                <w:i/>
              </w:rPr>
              <w:t>June Bedaton</w:t>
            </w:r>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Pr>
                <w:i/>
              </w:rPr>
              <w:t>tel.</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Pr>
                <w:i/>
              </w:rPr>
              <w:t>e-mail</w:t>
            </w:r>
          </w:p>
        </w:tc>
        <w:tc>
          <w:tcPr>
            <w:tcW w:w="3444" w:type="pct"/>
          </w:tcPr>
          <w:p w:rsidRPr="00025343" w:rsidR="00025343" w:rsidP="00025343" w:rsidRDefault="0096037A" w14:paraId="55F1FCFD" w14:textId="77777777">
            <w:pPr>
              <w:overflowPunct w:val="0"/>
              <w:autoSpaceDE w:val="0"/>
              <w:autoSpaceDN w:val="0"/>
              <w:adjustRightInd w:val="0"/>
              <w:spacing w:line="240" w:lineRule="auto"/>
              <w:textAlignment w:val="baseline"/>
              <w:rPr>
                <w:i/>
              </w:rPr>
            </w:pPr>
            <w:hyperlink w:history="1" r:id="rId29">
              <w:r w:rsidR="00660BE3">
                <w:rPr>
                  <w:i/>
                  <w:color w:val="0000FF"/>
                  <w:u w:val="single"/>
                </w:rPr>
                <w:t>June.Bedaton@eesc.europa.eu</w:t>
              </w:r>
            </w:hyperlink>
          </w:p>
        </w:tc>
      </w:tr>
    </w:tbl>
    <w:p w:rsidRPr="00D71D11" w:rsidR="00502E1F" w:rsidRDefault="00502E1F" w14:paraId="3D58FF9D" w14:textId="2586B74C">
      <w:pPr>
        <w:spacing w:after="160" w:line="259" w:lineRule="auto"/>
        <w:jc w:val="left"/>
        <w:rPr>
          <w:sz w:val="14"/>
          <w:szCs w:val="14"/>
        </w:rPr>
      </w:pPr>
      <w: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707928" w:id="3"/>
      <w:bookmarkEnd w:id="2"/>
      <w:r>
        <w:rPr>
          <w:b/>
        </w:rPr>
        <w:lastRenderedPageBreak/>
        <w:t>ROLNICTWO, ROZWÓJ WSI I ŚRODOWISKO NATURALNE</w:t>
      </w:r>
      <w:bookmarkEnd w:id="3"/>
    </w:p>
    <w:p w:rsidR="005C28F2" w:rsidP="00336F25" w:rsidRDefault="005C28F2" w14:paraId="70C7CB4F" w14:textId="77777777">
      <w:pPr>
        <w:keepNext/>
        <w:keepLines/>
        <w:spacing w:line="259" w:lineRule="auto"/>
        <w:jc w:val="left"/>
        <w:rPr>
          <w:b/>
          <w:bCs/>
        </w:rPr>
      </w:pPr>
    </w:p>
    <w:p w:rsidR="00A329C8" w:rsidP="00336F25" w:rsidRDefault="00A329C8" w14:paraId="207163CE" w14:textId="67E9BB6A">
      <w:pPr>
        <w:keepNext/>
        <w:keepLines/>
        <w:spacing w:line="259" w:lineRule="auto"/>
        <w:jc w:val="left"/>
        <w:rPr>
          <w:b/>
          <w:bCs/>
        </w:rPr>
      </w:pPr>
    </w:p>
    <w:p w:rsidRPr="00A329C8" w:rsidR="00A329C8" w:rsidP="00336F25" w:rsidRDefault="0096037A" w14:paraId="54725696" w14:textId="5958EFA0">
      <w:pPr>
        <w:keepNext/>
        <w:keepLines/>
        <w:numPr>
          <w:ilvl w:val="0"/>
          <w:numId w:val="2"/>
        </w:numPr>
        <w:overflowPunct w:val="0"/>
        <w:autoSpaceDE w:val="0"/>
        <w:autoSpaceDN w:val="0"/>
        <w:adjustRightInd w:val="0"/>
        <w:spacing w:line="276" w:lineRule="auto"/>
        <w:contextualSpacing/>
        <w:jc w:val="left"/>
        <w:textAlignment w:val="baseline"/>
        <w:rPr>
          <w:i/>
          <w:iCs/>
        </w:rPr>
      </w:pPr>
      <w:hyperlink w:history="1" r:id="rId30">
        <w:r w:rsidR="004C1520">
          <w:rPr>
            <w:b/>
            <w:i/>
            <w:color w:val="0000FF"/>
            <w:sz w:val="28"/>
            <w:u w:val="single"/>
          </w:rPr>
          <w:t>Cel klimatyczny UE na 2040 r.</w:t>
        </w:r>
      </w:hyperlink>
    </w:p>
    <w:p w:rsidRPr="00336F25" w:rsidR="00A329C8" w:rsidP="00336F25" w:rsidRDefault="00A329C8" w14:paraId="41709063" w14:textId="77777777">
      <w:pPr>
        <w:keepNext/>
        <w:keepLines/>
        <w:overflowPunct w:val="0"/>
        <w:autoSpaceDE w:val="0"/>
        <w:autoSpaceDN w:val="0"/>
        <w:adjustRightInd w:val="0"/>
        <w:ind w:left="567"/>
        <w:textAlignment w:val="baseline"/>
        <w:rPr>
          <w:bCs/>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336F25" w:rsidR="00A329C8" w:rsidTr="00FE3058" w14:paraId="1072566D" w14:textId="77777777">
        <w:tc>
          <w:tcPr>
            <w:tcW w:w="1701" w:type="dxa"/>
          </w:tcPr>
          <w:p w:rsidRPr="00336F25" w:rsidR="00A329C8" w:rsidP="00336F25" w:rsidRDefault="00A329C8" w14:paraId="165FF2EB" w14:textId="77777777">
            <w:pPr>
              <w:keepNext/>
              <w:keepLines/>
              <w:tabs>
                <w:tab w:val="center" w:pos="284"/>
              </w:tabs>
              <w:overflowPunct w:val="0"/>
              <w:autoSpaceDE w:val="0"/>
              <w:autoSpaceDN w:val="0"/>
              <w:adjustRightInd w:val="0"/>
              <w:ind w:left="266" w:hanging="266"/>
              <w:textAlignment w:val="baseline"/>
              <w:rPr>
                <w:b/>
                <w:sz w:val="22"/>
                <w:szCs w:val="22"/>
              </w:rPr>
            </w:pPr>
            <w:r w:rsidRPr="00336F25">
              <w:rPr>
                <w:b/>
                <w:sz w:val="22"/>
                <w:szCs w:val="22"/>
              </w:rPr>
              <w:t>Sprawozdawca</w:t>
            </w:r>
          </w:p>
        </w:tc>
        <w:tc>
          <w:tcPr>
            <w:tcW w:w="6096" w:type="dxa"/>
          </w:tcPr>
          <w:p w:rsidRPr="00336F25" w:rsidR="00A329C8" w:rsidP="00336F25" w:rsidRDefault="00A329C8" w14:paraId="79F6E9C0" w14:textId="43EDADDC">
            <w:pPr>
              <w:keepNext/>
              <w:keepLines/>
              <w:tabs>
                <w:tab w:val="center" w:pos="284"/>
              </w:tabs>
              <w:overflowPunct w:val="0"/>
              <w:autoSpaceDE w:val="0"/>
              <w:autoSpaceDN w:val="0"/>
              <w:adjustRightInd w:val="0"/>
              <w:ind w:left="266" w:hanging="266"/>
              <w:textAlignment w:val="baseline"/>
              <w:rPr>
                <w:bCs/>
                <w:sz w:val="22"/>
                <w:szCs w:val="22"/>
              </w:rPr>
            </w:pPr>
            <w:r w:rsidRPr="00336F25">
              <w:rPr>
                <w:sz w:val="22"/>
                <w:szCs w:val="22"/>
              </w:rPr>
              <w:t>Teppo SÄKKINEN (Grupa Pracodawców – FI)</w:t>
            </w:r>
          </w:p>
        </w:tc>
      </w:tr>
      <w:tr w:rsidRPr="00336F25" w:rsidR="00A329C8" w:rsidTr="00FE3058" w14:paraId="41523448" w14:textId="77777777">
        <w:tc>
          <w:tcPr>
            <w:tcW w:w="7797" w:type="dxa"/>
            <w:gridSpan w:val="2"/>
          </w:tcPr>
          <w:p w:rsidRPr="00336F25" w:rsidR="00A329C8" w:rsidP="00336F25" w:rsidRDefault="00A329C8" w14:paraId="0D6A47D3" w14:textId="77777777">
            <w:pPr>
              <w:keepNext/>
              <w:keepLines/>
              <w:tabs>
                <w:tab w:val="left" w:pos="2690"/>
              </w:tabs>
              <w:overflowPunct w:val="0"/>
              <w:autoSpaceDE w:val="0"/>
              <w:autoSpaceDN w:val="0"/>
              <w:adjustRightInd w:val="0"/>
              <w:spacing w:line="160" w:lineRule="exact"/>
              <w:ind w:left="266" w:hanging="266"/>
              <w:textAlignment w:val="baseline"/>
              <w:rPr>
                <w:sz w:val="22"/>
                <w:szCs w:val="22"/>
              </w:rPr>
            </w:pPr>
          </w:p>
        </w:tc>
      </w:tr>
      <w:tr w:rsidRPr="00336F25" w:rsidR="00A329C8" w:rsidTr="00FE3058" w14:paraId="4CD963E6" w14:textId="77777777">
        <w:tc>
          <w:tcPr>
            <w:tcW w:w="1701" w:type="dxa"/>
            <w:vMerge w:val="restart"/>
          </w:tcPr>
          <w:p w:rsidRPr="00336F25" w:rsidR="00A329C8" w:rsidP="00336F25" w:rsidRDefault="00A329C8" w14:paraId="09AC84B4" w14:textId="77777777">
            <w:pPr>
              <w:keepNext/>
              <w:keepLines/>
              <w:tabs>
                <w:tab w:val="center" w:pos="284"/>
              </w:tabs>
              <w:overflowPunct w:val="0"/>
              <w:autoSpaceDE w:val="0"/>
              <w:autoSpaceDN w:val="0"/>
              <w:adjustRightInd w:val="0"/>
              <w:ind w:left="266" w:hanging="266"/>
              <w:textAlignment w:val="baseline"/>
              <w:rPr>
                <w:b/>
                <w:sz w:val="22"/>
                <w:szCs w:val="22"/>
              </w:rPr>
            </w:pPr>
            <w:r w:rsidRPr="00336F25">
              <w:rPr>
                <w:b/>
                <w:sz w:val="22"/>
                <w:szCs w:val="22"/>
              </w:rPr>
              <w:t>Dokumenty</w:t>
            </w:r>
          </w:p>
        </w:tc>
        <w:tc>
          <w:tcPr>
            <w:tcW w:w="6096" w:type="dxa"/>
          </w:tcPr>
          <w:p w:rsidRPr="00336F25" w:rsidR="00A329C8" w:rsidP="00336F25" w:rsidRDefault="00A329C8" w14:paraId="3A6B9900" w14:textId="77777777">
            <w:pPr>
              <w:keepNext/>
              <w:keepLines/>
              <w:tabs>
                <w:tab w:val="center" w:pos="284"/>
              </w:tabs>
              <w:overflowPunct w:val="0"/>
              <w:autoSpaceDE w:val="0"/>
              <w:autoSpaceDN w:val="0"/>
              <w:adjustRightInd w:val="0"/>
              <w:ind w:left="266" w:hanging="266"/>
              <w:textAlignment w:val="baseline"/>
              <w:rPr>
                <w:sz w:val="22"/>
                <w:szCs w:val="22"/>
              </w:rPr>
            </w:pPr>
            <w:r w:rsidRPr="00336F25">
              <w:rPr>
                <w:sz w:val="22"/>
                <w:szCs w:val="22"/>
              </w:rPr>
              <w:t>COM(2024) 63 final</w:t>
            </w:r>
          </w:p>
        </w:tc>
      </w:tr>
      <w:tr w:rsidRPr="00336F25" w:rsidR="00A329C8" w:rsidTr="00FE3058" w14:paraId="42B3A032" w14:textId="77777777">
        <w:tc>
          <w:tcPr>
            <w:tcW w:w="1701" w:type="dxa"/>
            <w:vMerge/>
          </w:tcPr>
          <w:p w:rsidRPr="00336F25" w:rsidR="00A329C8" w:rsidP="00336F25" w:rsidRDefault="00A329C8" w14:paraId="4ADA52A9" w14:textId="77777777">
            <w:pPr>
              <w:keepNext/>
              <w:keepLines/>
              <w:tabs>
                <w:tab w:val="center" w:pos="284"/>
              </w:tabs>
              <w:overflowPunct w:val="0"/>
              <w:autoSpaceDE w:val="0"/>
              <w:autoSpaceDN w:val="0"/>
              <w:adjustRightInd w:val="0"/>
              <w:ind w:left="266" w:hanging="266"/>
              <w:textAlignment w:val="baseline"/>
              <w:rPr>
                <w:b/>
                <w:sz w:val="22"/>
                <w:szCs w:val="22"/>
              </w:rPr>
            </w:pPr>
          </w:p>
        </w:tc>
        <w:tc>
          <w:tcPr>
            <w:tcW w:w="6096" w:type="dxa"/>
          </w:tcPr>
          <w:p w:rsidRPr="00336F25" w:rsidR="00A329C8" w:rsidP="00336F25" w:rsidRDefault="00A329C8" w14:paraId="34A1EAA6" w14:textId="10339782">
            <w:pPr>
              <w:keepNext/>
              <w:keepLines/>
              <w:tabs>
                <w:tab w:val="center" w:pos="284"/>
              </w:tabs>
              <w:overflowPunct w:val="0"/>
              <w:autoSpaceDE w:val="0"/>
              <w:autoSpaceDN w:val="0"/>
              <w:adjustRightInd w:val="0"/>
              <w:ind w:left="266" w:hanging="266"/>
              <w:textAlignment w:val="baseline"/>
              <w:rPr>
                <w:sz w:val="22"/>
                <w:szCs w:val="22"/>
              </w:rPr>
            </w:pPr>
            <w:r w:rsidRPr="00336F25">
              <w:rPr>
                <w:sz w:val="22"/>
                <w:szCs w:val="22"/>
              </w:rPr>
              <w:t>EESC-2024-00418-00-00-AC</w:t>
            </w:r>
          </w:p>
        </w:tc>
      </w:tr>
    </w:tbl>
    <w:p w:rsidRPr="00336F25" w:rsidR="00A329C8" w:rsidP="00336F25" w:rsidRDefault="00A329C8" w14:paraId="0015795B" w14:textId="77777777">
      <w:pPr>
        <w:keepNext/>
        <w:keepLines/>
        <w:tabs>
          <w:tab w:val="center" w:pos="284"/>
        </w:tabs>
        <w:overflowPunct w:val="0"/>
        <w:autoSpaceDE w:val="0"/>
        <w:autoSpaceDN w:val="0"/>
        <w:adjustRightInd w:val="0"/>
        <w:ind w:left="266" w:hanging="266"/>
        <w:textAlignment w:val="baseline"/>
        <w:rPr>
          <w:b/>
        </w:rPr>
      </w:pPr>
    </w:p>
    <w:p w:rsidRPr="00336F25" w:rsidR="00A329C8" w:rsidP="00336F25"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sidRPr="00336F25">
        <w:rPr>
          <w:b/>
        </w:rPr>
        <w:t>Główne punkty</w:t>
      </w:r>
    </w:p>
    <w:p w:rsidRPr="00336F25" w:rsidR="00A329C8" w:rsidP="00336F25"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rPr>
      </w:pPr>
    </w:p>
    <w:p w:rsidRPr="00336F25" w:rsidR="00A329C8" w:rsidP="00336F25" w:rsidRDefault="00A329C8" w14:paraId="4C8A0CE8" w14:textId="68F5BE87">
      <w:pPr>
        <w:keepNext/>
        <w:keepLines/>
        <w:overflowPunct w:val="0"/>
        <w:autoSpaceDE w:val="0"/>
        <w:autoSpaceDN w:val="0"/>
        <w:adjustRightInd w:val="0"/>
        <w:spacing w:line="240" w:lineRule="auto"/>
        <w:textAlignment w:val="baseline"/>
        <w:rPr>
          <w:bCs/>
          <w:iCs/>
        </w:rPr>
      </w:pPr>
      <w:r w:rsidRPr="00336F25">
        <w:t>EKES:</w:t>
      </w:r>
    </w:p>
    <w:p w:rsidRPr="00336F25" w:rsidR="00D12B39" w:rsidP="00336F25" w:rsidRDefault="00D12B39" w14:paraId="369B2779" w14:textId="77777777">
      <w:pPr>
        <w:keepNext/>
        <w:keepLines/>
        <w:overflowPunct w:val="0"/>
        <w:autoSpaceDE w:val="0"/>
        <w:autoSpaceDN w:val="0"/>
        <w:adjustRightInd w:val="0"/>
        <w:spacing w:line="240" w:lineRule="auto"/>
        <w:textAlignment w:val="baseline"/>
        <w:rPr>
          <w:bCs/>
          <w:iCs/>
        </w:rPr>
      </w:pPr>
    </w:p>
    <w:p w:rsidRPr="00DC0FAE" w:rsidR="00A329C8" w:rsidP="00DC0FAE" w:rsidRDefault="00A329C8" w14:paraId="044AC65A" w14:textId="75BDBC81">
      <w:pPr>
        <w:pStyle w:val="ListParagraph"/>
        <w:numPr>
          <w:ilvl w:val="0"/>
          <w:numId w:val="18"/>
        </w:numPr>
        <w:overflowPunct w:val="0"/>
        <w:autoSpaceDE w:val="0"/>
        <w:autoSpaceDN w:val="0"/>
        <w:adjustRightInd w:val="0"/>
        <w:ind w:left="284" w:hanging="284"/>
        <w:textAlignment w:val="baseline"/>
        <w:outlineLvl w:val="1"/>
        <w:rPr>
          <w:spacing w:val="-4"/>
          <w:szCs w:val="20"/>
        </w:rPr>
      </w:pPr>
      <w:r w:rsidRPr="00336F25">
        <w:t>Popiera zalecany cel</w:t>
      </w:r>
      <w:r>
        <w:t xml:space="preserve"> </w:t>
      </w:r>
      <w:r>
        <w:rPr>
          <w:b/>
        </w:rPr>
        <w:t>90% do 2040 r.</w:t>
      </w:r>
      <w:r>
        <w:t xml:space="preserve">, ponieważ jest on zgodny z ustaleniami nauki dotyczącymi sprawiedliwego udziału Europy w realizacji celu 1,5°C. Zaznacza, że ten </w:t>
      </w:r>
      <w:r>
        <w:rPr>
          <w:b/>
          <w:bCs/>
        </w:rPr>
        <w:t>cel jest ambitny</w:t>
      </w:r>
      <w:r>
        <w:t xml:space="preserve"> i</w:t>
      </w:r>
      <w:r w:rsidR="00336F25">
        <w:t> </w:t>
      </w:r>
      <w:r>
        <w:t xml:space="preserve">można go osiągnąć jedynie pod warunkiem, że zastosowane zostaną wspomagające strategie polityczne zapewniające </w:t>
      </w:r>
      <w:r>
        <w:rPr>
          <w:b/>
          <w:bCs/>
        </w:rPr>
        <w:t>konkurencyjność europejskiego przemysłu</w:t>
      </w:r>
      <w:r>
        <w:t xml:space="preserve"> i </w:t>
      </w:r>
      <w:r>
        <w:rPr>
          <w:b/>
          <w:bCs/>
        </w:rPr>
        <w:t>sprawiedliwą transformację</w:t>
      </w:r>
      <w:r>
        <w:t>, a także – w sposób racjonalny pod względem kosztów – wszystkie technologie bezemisyjne i niskoemisyjne.</w:t>
      </w:r>
    </w:p>
    <w:p w:rsidRPr="00DC0FAE" w:rsidR="00A329C8" w:rsidP="00DC0FAE" w:rsidRDefault="00A329C8" w14:paraId="43A81807" w14:textId="0B6D63B8">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bCs/>
        </w:rPr>
        <w:t>Podkreśla, że ważna jest faktyczna redukcja emisji poprzez stopniowe wycofywanie paliw kopalnych.</w:t>
      </w:r>
      <w:r>
        <w:t xml:space="preserve"> Chociaż usuwanie dwutlenku węgla odgrywa coraz większą rolę w osiąganiu celów klimatycznych UE, to nadmierne poleganie na pochłaniaczach wiąże się z niepewnością i</w:t>
      </w:r>
      <w:r w:rsidR="00336F25">
        <w:t> </w:t>
      </w:r>
      <w:r>
        <w:t>ryzykiem uzależnienia od paliw kopalnych lub ryzykiem utraty pochłaniaczy z powodu pożarów lasów, szkodników i innych przyczyn.</w:t>
      </w:r>
    </w:p>
    <w:p w:rsidRPr="00DC0FAE" w:rsidR="00A329C8" w:rsidP="00DC0FAE" w:rsidRDefault="00A329C8" w14:paraId="22AE9A43" w14:textId="0DD2C50A">
      <w:pPr>
        <w:pStyle w:val="ListParagraph"/>
        <w:numPr>
          <w:ilvl w:val="0"/>
          <w:numId w:val="19"/>
        </w:numPr>
        <w:overflowPunct w:val="0"/>
        <w:autoSpaceDE w:val="0"/>
        <w:autoSpaceDN w:val="0"/>
        <w:adjustRightInd w:val="0"/>
        <w:ind w:left="284" w:hanging="284"/>
        <w:textAlignment w:val="baseline"/>
        <w:outlineLvl w:val="1"/>
        <w:rPr>
          <w:szCs w:val="20"/>
        </w:rPr>
      </w:pPr>
      <w:r>
        <w:t xml:space="preserve">Wzywa Komisję do dokonania naukowej i ekonomicznej oceny </w:t>
      </w:r>
      <w:r>
        <w:rPr>
          <w:b/>
          <w:bCs/>
        </w:rPr>
        <w:t>równowagi między redukcją a</w:t>
      </w:r>
      <w:r w:rsidR="00336F25">
        <w:rPr>
          <w:b/>
          <w:bCs/>
        </w:rPr>
        <w:t> </w:t>
      </w:r>
      <w:r>
        <w:rPr>
          <w:b/>
          <w:bCs/>
        </w:rPr>
        <w:t>pochłanianiem</w:t>
      </w:r>
      <w:r>
        <w:t>.</w:t>
      </w:r>
    </w:p>
    <w:p w:rsidRPr="00DC0FAE"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Podkreśla, że należy skupić się na wdrażaniu pakietu „Gotowi na 55” oraz wspieraniu europejskich przedsiębiorstw i gospodarstw domowych w dostosowywaniu się do nowego otoczenia regulacyjnego;</w:t>
      </w:r>
    </w:p>
    <w:p w:rsidRPr="00DC0FAE" w:rsidR="00A329C8" w:rsidP="00DC0FAE" w:rsidRDefault="00A329C8" w14:paraId="5FDA81D5" w14:textId="7B127F57">
      <w:pPr>
        <w:pStyle w:val="ListParagraph"/>
        <w:numPr>
          <w:ilvl w:val="0"/>
          <w:numId w:val="20"/>
        </w:numPr>
        <w:overflowPunct w:val="0"/>
        <w:autoSpaceDE w:val="0"/>
        <w:autoSpaceDN w:val="0"/>
        <w:adjustRightInd w:val="0"/>
        <w:ind w:left="284" w:hanging="284"/>
        <w:textAlignment w:val="baseline"/>
        <w:outlineLvl w:val="1"/>
        <w:rPr>
          <w:szCs w:val="20"/>
        </w:rPr>
      </w:pPr>
      <w:r>
        <w:t xml:space="preserve">Zauważa, że cele klimatyczne wymagają </w:t>
      </w:r>
      <w:r>
        <w:rPr>
          <w:b/>
          <w:bCs/>
        </w:rPr>
        <w:t>bezprecedensowego poziomu inwestycji w</w:t>
      </w:r>
      <w:r w:rsidR="00336F25">
        <w:rPr>
          <w:b/>
          <w:bCs/>
        </w:rPr>
        <w:t> </w:t>
      </w:r>
      <w:r>
        <w:rPr>
          <w:b/>
          <w:bCs/>
        </w:rPr>
        <w:t>dekarbonizację</w:t>
      </w:r>
      <w:r>
        <w:t>.</w:t>
      </w:r>
    </w:p>
    <w:p w:rsidRPr="00DC0FAE"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Wzywa Komisję do śledzenia i wyznaczenia celów w zakresie wzrostu eksportu europejskich produktów i usług w dziedzinie czystych technologii.</w:t>
      </w:r>
    </w:p>
    <w:p w:rsidRPr="00DC0FAE" w:rsidR="00A329C8" w:rsidP="00DC0FAE" w:rsidRDefault="00A329C8" w14:paraId="734EC568" w14:textId="5C81C476">
      <w:pPr>
        <w:pStyle w:val="ListParagraph"/>
        <w:numPr>
          <w:ilvl w:val="0"/>
          <w:numId w:val="20"/>
        </w:numPr>
        <w:overflowPunct w:val="0"/>
        <w:autoSpaceDE w:val="0"/>
        <w:autoSpaceDN w:val="0"/>
        <w:adjustRightInd w:val="0"/>
        <w:ind w:left="284" w:hanging="284"/>
        <w:textAlignment w:val="baseline"/>
        <w:outlineLvl w:val="1"/>
        <w:rPr>
          <w:spacing w:val="-6"/>
          <w:szCs w:val="20"/>
        </w:rPr>
      </w:pPr>
      <w:r>
        <w:t>Wzywa, by</w:t>
      </w:r>
      <w:r>
        <w:rPr>
          <w:b/>
          <w:bCs/>
        </w:rPr>
        <w:t xml:space="preserve"> do 2040 r. produkcja energii elektrycznej</w:t>
      </w:r>
      <w:r>
        <w:t xml:space="preserve"> w UE stała się </w:t>
      </w:r>
      <w:r>
        <w:rPr>
          <w:b/>
          <w:bCs/>
        </w:rPr>
        <w:t>bezemisyjna</w:t>
      </w:r>
      <w:r>
        <w:t>, oraz by wkrótce potem osiągnięto bezemisyjność ogrzewania i chłodzenia. Dostępność czystej i</w:t>
      </w:r>
      <w:r w:rsidR="00336F25">
        <w:t> </w:t>
      </w:r>
      <w:r>
        <w:t>przystępnej cenowo energii oraz dostosowanej do przyszłości infrastruktury energetycznej jest podstawą dekarbonizacji innych sektorów, takich jak przemysł, budownictwo i transport.</w:t>
      </w:r>
    </w:p>
    <w:p w:rsidRPr="00DC0FAE" w:rsidR="00A329C8" w:rsidP="00DC0FAE" w:rsidRDefault="00A329C8" w14:paraId="2FF82DE1" w14:textId="07BC7168">
      <w:pPr>
        <w:pStyle w:val="ListParagraph"/>
        <w:numPr>
          <w:ilvl w:val="0"/>
          <w:numId w:val="20"/>
        </w:numPr>
        <w:overflowPunct w:val="0"/>
        <w:autoSpaceDE w:val="0"/>
        <w:autoSpaceDN w:val="0"/>
        <w:adjustRightInd w:val="0"/>
        <w:ind w:left="284" w:hanging="284"/>
        <w:textAlignment w:val="baseline"/>
        <w:outlineLvl w:val="1"/>
        <w:rPr>
          <w:szCs w:val="20"/>
        </w:rPr>
      </w:pPr>
      <w:r>
        <w:t xml:space="preserve">Proponuje, by orientacyjny </w:t>
      </w:r>
      <w:r>
        <w:rPr>
          <w:b/>
          <w:bCs/>
        </w:rPr>
        <w:t>cel redukcji emisji dla przemysłu rolno-spożywczego</w:t>
      </w:r>
      <w:r>
        <w:t xml:space="preserve"> wyznaczyć w</w:t>
      </w:r>
      <w:r w:rsidR="00336F25">
        <w:t> </w:t>
      </w:r>
      <w:r>
        <w:t>ścisłym dialogu z rolnikami i innymi zainteresowanymi stronami w oparciu o dane naukowe, zapewniając bezpieczeństwo żywnościowe w Europie i uwzględniając różne warunki naturalne w</w:t>
      </w:r>
      <w:r w:rsidR="00336F25">
        <w:t> </w:t>
      </w:r>
      <w:r>
        <w:t>UE.</w:t>
      </w:r>
    </w:p>
    <w:p w:rsidRPr="00DC0FAE" w:rsidR="00A329C8" w:rsidP="00DC0FAE" w:rsidRDefault="00A329C8" w14:paraId="5F04D765" w14:textId="3FDCBBB3">
      <w:pPr>
        <w:pStyle w:val="ListParagraph"/>
        <w:numPr>
          <w:ilvl w:val="0"/>
          <w:numId w:val="21"/>
        </w:numPr>
        <w:overflowPunct w:val="0"/>
        <w:autoSpaceDE w:val="0"/>
        <w:autoSpaceDN w:val="0"/>
        <w:adjustRightInd w:val="0"/>
        <w:ind w:left="284" w:hanging="284"/>
        <w:textAlignment w:val="baseline"/>
        <w:outlineLvl w:val="1"/>
        <w:rPr>
          <w:spacing w:val="-6"/>
          <w:szCs w:val="20"/>
        </w:rPr>
      </w:pPr>
      <w:r>
        <w:t>Podkreśla, że istotne jest nawiązanie szerokiego dialogu z zainteresowanymi stronami, w tym z</w:t>
      </w:r>
      <w:r w:rsidR="00336F25">
        <w:t> </w:t>
      </w:r>
      <w:r>
        <w:t>partnerami społecznymi i społeczeństwem obywatelskim, oraz włączenie obywateli w</w:t>
      </w:r>
      <w:r w:rsidR="00336F25">
        <w:t> </w:t>
      </w:r>
      <w:r>
        <w:t>określanie celu na 2040 r. i opracowywanie towarzyszących mu strategii politycznych.</w:t>
      </w:r>
    </w:p>
    <w:p w:rsidRPr="00DC0FAE" w:rsidR="00A329C8" w:rsidP="00DC0FA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lastRenderedPageBreak/>
        <w:t xml:space="preserve">Podkreśla możliwość zwiększenia redukcji emisji oraz zmniejszenia zapotrzebowania na materiały i energię dzięki </w:t>
      </w:r>
      <w:r>
        <w:rPr>
          <w:b/>
          <w:bCs/>
        </w:rPr>
        <w:t>wzmocnieniu pozycji konsumentów, tak by przekonać ich do zrównoważonych wyborów dotyczących stylu życia</w:t>
      </w:r>
      <w:r>
        <w:t>.</w:t>
      </w:r>
    </w:p>
    <w:p w:rsidRPr="00DC0FAE" w:rsidR="00A329C8" w:rsidP="00DC0FA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t xml:space="preserve">Wzywa Komisję, by </w:t>
      </w:r>
      <w:r>
        <w:rPr>
          <w:b/>
          <w:bCs/>
        </w:rPr>
        <w:t>poszerzyła sprawdzian konkurencyjności,</w:t>
      </w:r>
      <w:r>
        <w:t xml:space="preserve"> biorąc pod uwagę inne duże gospodarki, ich politykę klimatyczną, energetyczną i przemysłową, a także wskaźniki gospodarcze, oraz by przedstawiła propozycje dotyczące sposobów podniesienia konkurencyjności Europy w świecie, wzmocnienia jej bazy przemysłowej oraz zabezpieczenia unijnego modelu otwartej gospodarki rynkowej za pomocą wysokich standardów środowiskowych i społecznych.</w:t>
      </w:r>
    </w:p>
    <w:p w:rsidRPr="00A329C8"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A329C8" w:rsidR="00A329C8" w:rsidTr="00FE3058" w14:paraId="2C0A0929" w14:textId="77777777">
        <w:tc>
          <w:tcPr>
            <w:tcW w:w="1634" w:type="dxa"/>
          </w:tcPr>
          <w:p w:rsidRPr="00A329C8"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Pr>
                <w:b/>
                <w:i/>
              </w:rPr>
              <w:t>Kontakt</w:t>
            </w:r>
          </w:p>
        </w:tc>
        <w:tc>
          <w:tcPr>
            <w:tcW w:w="5670" w:type="dxa"/>
          </w:tcPr>
          <w:p w:rsidRPr="00DC0FAE"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r>
              <w:rPr>
                <w:i/>
              </w:rPr>
              <w:t>Judit Carreras Garcia</w:t>
            </w:r>
          </w:p>
        </w:tc>
      </w:tr>
      <w:tr w:rsidRPr="00A329C8" w:rsidR="00A329C8" w:rsidTr="00FE3058" w14:paraId="1A5C453D" w14:textId="77777777">
        <w:tc>
          <w:tcPr>
            <w:tcW w:w="1634" w:type="dxa"/>
          </w:tcPr>
          <w:p w:rsidRPr="00A329C8"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Pr>
                <w:i/>
              </w:rPr>
              <w:t>tel.</w:t>
            </w:r>
          </w:p>
        </w:tc>
        <w:tc>
          <w:tcPr>
            <w:tcW w:w="5670" w:type="dxa"/>
          </w:tcPr>
          <w:p w:rsidRPr="00A329C8"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Pr>
                <w:i/>
              </w:rPr>
              <w:t>+32 25468421</w:t>
            </w:r>
          </w:p>
        </w:tc>
      </w:tr>
      <w:tr w:rsidRPr="00A329C8" w:rsidR="00A329C8" w:rsidTr="00FE3058" w14:paraId="4404176D" w14:textId="77777777">
        <w:tc>
          <w:tcPr>
            <w:tcW w:w="1634" w:type="dxa"/>
          </w:tcPr>
          <w:p w:rsidRPr="00A329C8"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r>
              <w:rPr>
                <w:i/>
              </w:rPr>
              <w:t>e-mail</w:t>
            </w:r>
          </w:p>
        </w:tc>
        <w:tc>
          <w:tcPr>
            <w:tcW w:w="5670" w:type="dxa"/>
          </w:tcPr>
          <w:p w:rsidRPr="00A329C8" w:rsidR="00A329C8" w:rsidP="00DC0FAE" w:rsidRDefault="0096037A"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00D63208">
                <w:rPr>
                  <w:i/>
                  <w:color w:val="0000FF"/>
                  <w:u w:val="single"/>
                </w:rPr>
                <w:t>Judit.CarrerasGarcia@eesc.europa.eu</w:t>
              </w:r>
            </w:hyperlink>
          </w:p>
        </w:tc>
      </w:tr>
    </w:tbl>
    <w:p w:rsidR="00A329C8" w:rsidRDefault="00A329C8" w14:paraId="78CB8038" w14:textId="77777777">
      <w:pPr>
        <w:spacing w:after="160" w:line="259" w:lineRule="auto"/>
        <w:jc w:val="left"/>
        <w:rPr>
          <w:b/>
          <w:bCs/>
        </w:rPr>
      </w:pPr>
      <w:r>
        <w:br w:type="page"/>
      </w:r>
    </w:p>
    <w:p w:rsidRPr="00A14846" w:rsidR="00A329C8" w:rsidP="00C26C81" w:rsidRDefault="0096037A"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00660BE3">
          <w:rPr>
            <w:b/>
            <w:i/>
            <w:color w:val="0000FF"/>
            <w:sz w:val="28"/>
            <w:u w:val="single"/>
          </w:rPr>
          <w:t>Zmiana przepisów dotyczących dobrostanu zwierząt</w:t>
        </w:r>
      </w:hyperlink>
    </w:p>
    <w:p w:rsidRPr="00FF07F1"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FF07F1" w:rsidR="00A329C8" w:rsidTr="00FE3058" w14:paraId="5D60937D" w14:textId="77777777">
        <w:tc>
          <w:tcPr>
            <w:tcW w:w="2127" w:type="dxa"/>
          </w:tcPr>
          <w:p w:rsidRPr="00FF07F1" w:rsidR="00A329C8" w:rsidP="00FE3058" w:rsidRDefault="00A329C8" w14:paraId="661CBE96" w14:textId="77777777">
            <w:pPr>
              <w:tabs>
                <w:tab w:val="center" w:pos="284"/>
              </w:tabs>
              <w:overflowPunct w:val="0"/>
              <w:autoSpaceDE w:val="0"/>
              <w:autoSpaceDN w:val="0"/>
              <w:adjustRightInd w:val="0"/>
              <w:ind w:left="266" w:hanging="266"/>
              <w:textAlignment w:val="baseline"/>
              <w:rPr>
                <w:b/>
                <w:sz w:val="22"/>
                <w:szCs w:val="22"/>
              </w:rPr>
            </w:pPr>
            <w:r w:rsidRPr="00FF07F1">
              <w:rPr>
                <w:b/>
                <w:sz w:val="22"/>
                <w:szCs w:val="22"/>
              </w:rPr>
              <w:t xml:space="preserve">Sprawozdawca </w:t>
            </w:r>
          </w:p>
        </w:tc>
        <w:tc>
          <w:tcPr>
            <w:tcW w:w="6804" w:type="dxa"/>
          </w:tcPr>
          <w:p w:rsidRPr="00FF07F1" w:rsidR="008B7113" w:rsidP="008B7113" w:rsidRDefault="00A329C8" w14:paraId="5735F341" w14:textId="77777777">
            <w:pPr>
              <w:overflowPunct w:val="0"/>
              <w:autoSpaceDE w:val="0"/>
              <w:autoSpaceDN w:val="0"/>
              <w:adjustRightInd w:val="0"/>
              <w:ind w:left="3" w:hanging="3"/>
              <w:textAlignment w:val="baseline"/>
              <w:rPr>
                <w:sz w:val="22"/>
                <w:szCs w:val="22"/>
              </w:rPr>
            </w:pPr>
            <w:r w:rsidRPr="00FF07F1">
              <w:rPr>
                <w:sz w:val="22"/>
                <w:szCs w:val="22"/>
              </w:rPr>
              <w:t xml:space="preserve">Jaume BERNIS CASTELLS </w:t>
            </w:r>
          </w:p>
          <w:p w:rsidRPr="00FF07F1" w:rsidR="00A329C8" w:rsidP="008B7113" w:rsidRDefault="00A329C8" w14:paraId="77C861E5" w14:textId="1697C38F">
            <w:pPr>
              <w:overflowPunct w:val="0"/>
              <w:autoSpaceDE w:val="0"/>
              <w:autoSpaceDN w:val="0"/>
              <w:adjustRightInd w:val="0"/>
              <w:ind w:left="3" w:hanging="3"/>
              <w:textAlignment w:val="baseline"/>
              <w:rPr>
                <w:sz w:val="22"/>
                <w:szCs w:val="22"/>
              </w:rPr>
            </w:pPr>
            <w:r w:rsidRPr="00FF07F1">
              <w:rPr>
                <w:sz w:val="22"/>
                <w:szCs w:val="22"/>
              </w:rPr>
              <w:t>(Grupa Organizacji Społeczeństwa Obywatelskiego – ES)</w:t>
            </w:r>
          </w:p>
        </w:tc>
      </w:tr>
      <w:tr w:rsidRPr="00FF07F1" w:rsidR="00A329C8" w:rsidTr="00FE3058" w14:paraId="70D6EB9C" w14:textId="77777777">
        <w:tc>
          <w:tcPr>
            <w:tcW w:w="8931" w:type="dxa"/>
            <w:gridSpan w:val="2"/>
          </w:tcPr>
          <w:p w:rsidRPr="00FF07F1"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sz w:val="22"/>
                <w:szCs w:val="22"/>
                <w:lang w:val="en-US"/>
              </w:rPr>
            </w:pPr>
          </w:p>
        </w:tc>
      </w:tr>
      <w:tr w:rsidRPr="00FF07F1" w:rsidR="00A329C8" w:rsidTr="00FE3058" w14:paraId="67C57163" w14:textId="77777777">
        <w:tc>
          <w:tcPr>
            <w:tcW w:w="2127" w:type="dxa"/>
          </w:tcPr>
          <w:p w:rsidRPr="00FF07F1" w:rsidR="00A329C8" w:rsidP="00FE3058" w:rsidRDefault="00A329C8" w14:paraId="0019A341" w14:textId="77777777">
            <w:pPr>
              <w:tabs>
                <w:tab w:val="center" w:pos="284"/>
              </w:tabs>
              <w:overflowPunct w:val="0"/>
              <w:autoSpaceDE w:val="0"/>
              <w:autoSpaceDN w:val="0"/>
              <w:adjustRightInd w:val="0"/>
              <w:ind w:left="266" w:hanging="266"/>
              <w:textAlignment w:val="baseline"/>
              <w:rPr>
                <w:b/>
                <w:sz w:val="22"/>
                <w:szCs w:val="22"/>
              </w:rPr>
            </w:pPr>
            <w:r w:rsidRPr="00FF07F1">
              <w:rPr>
                <w:b/>
                <w:sz w:val="22"/>
                <w:szCs w:val="22"/>
              </w:rPr>
              <w:t>Dokumenty</w:t>
            </w:r>
          </w:p>
        </w:tc>
        <w:tc>
          <w:tcPr>
            <w:tcW w:w="6804" w:type="dxa"/>
          </w:tcPr>
          <w:p w:rsidRPr="00FF07F1" w:rsidR="00D704BD" w:rsidP="00FE3058" w:rsidRDefault="00D704BD" w14:paraId="466B0FCB" w14:textId="138FF299">
            <w:pPr>
              <w:tabs>
                <w:tab w:val="center" w:pos="284"/>
              </w:tabs>
              <w:overflowPunct w:val="0"/>
              <w:autoSpaceDE w:val="0"/>
              <w:autoSpaceDN w:val="0"/>
              <w:adjustRightInd w:val="0"/>
              <w:ind w:left="266" w:hanging="266"/>
              <w:textAlignment w:val="baseline"/>
              <w:rPr>
                <w:sz w:val="22"/>
                <w:szCs w:val="22"/>
              </w:rPr>
            </w:pPr>
            <w:r w:rsidRPr="00FF07F1">
              <w:rPr>
                <w:sz w:val="22"/>
                <w:szCs w:val="22"/>
              </w:rPr>
              <w:t>COM(2023) 770 final</w:t>
            </w:r>
          </w:p>
          <w:p w:rsidRPr="00FF07F1" w:rsidR="00A329C8" w:rsidP="00FE3058" w:rsidRDefault="00A329C8" w14:paraId="7298B786" w14:textId="063BFD24">
            <w:pPr>
              <w:tabs>
                <w:tab w:val="center" w:pos="284"/>
              </w:tabs>
              <w:overflowPunct w:val="0"/>
              <w:autoSpaceDE w:val="0"/>
              <w:autoSpaceDN w:val="0"/>
              <w:adjustRightInd w:val="0"/>
              <w:ind w:left="266" w:hanging="266"/>
              <w:textAlignment w:val="baseline"/>
              <w:rPr>
                <w:sz w:val="22"/>
                <w:szCs w:val="22"/>
              </w:rPr>
            </w:pPr>
            <w:r w:rsidRPr="00FF07F1">
              <w:rPr>
                <w:sz w:val="22"/>
                <w:szCs w:val="22"/>
              </w:rPr>
              <w:t>EESC-2023-05464-00-00-AC</w:t>
            </w:r>
          </w:p>
        </w:tc>
      </w:tr>
    </w:tbl>
    <w:p w:rsidRPr="00FF07F1"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t>EKES:</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t>Proponuje, aby Komisja uwzględniła praktyczną wiedzę rolników, przewoźników oraz lekarzy weterynarii z myślą o wdrożeniu i harmonizacji przepisów.</w:t>
      </w:r>
    </w:p>
    <w:p w:rsidRPr="00A14846" w:rsidR="00A329C8" w:rsidP="00DC0FAE" w:rsidRDefault="00A329C8" w14:paraId="06F24D3E" w14:textId="7D0453BB">
      <w:pPr>
        <w:numPr>
          <w:ilvl w:val="0"/>
          <w:numId w:val="22"/>
        </w:numPr>
        <w:overflowPunct w:val="0"/>
        <w:autoSpaceDE w:val="0"/>
        <w:autoSpaceDN w:val="0"/>
        <w:adjustRightInd w:val="0"/>
        <w:textAlignment w:val="baseline"/>
        <w:outlineLvl w:val="1"/>
        <w:rPr>
          <w:szCs w:val="20"/>
        </w:rPr>
      </w:pPr>
      <w:r>
        <w:t xml:space="preserve">Zdaje sobie sprawę, że </w:t>
      </w:r>
      <w:r>
        <w:rPr>
          <w:b/>
        </w:rPr>
        <w:t>przepisy, których nie będzie można dostosować</w:t>
      </w:r>
      <w:r>
        <w:t xml:space="preserve"> do różnych realiów w</w:t>
      </w:r>
      <w:r w:rsidR="00336F25">
        <w:t> </w:t>
      </w:r>
      <w:r>
        <w:t xml:space="preserve">27 państwach członkowskich, </w:t>
      </w:r>
      <w:r>
        <w:rPr>
          <w:b/>
        </w:rPr>
        <w:t>doprowadzą do asymetryczności</w:t>
      </w:r>
      <w:r>
        <w:t>.</w:t>
      </w:r>
    </w:p>
    <w:p w:rsidRPr="00A1484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Wzywa Komisję do </w:t>
      </w:r>
      <w:r>
        <w:rPr>
          <w:b/>
        </w:rPr>
        <w:t>zadbania o to</w:t>
      </w:r>
      <w:r>
        <w:t xml:space="preserve">, by </w:t>
      </w:r>
      <w:r>
        <w:rPr>
          <w:b/>
        </w:rPr>
        <w:t>kosztami związanymi z wdrażaniem</w:t>
      </w:r>
      <w:r>
        <w:t xml:space="preserve"> tych przepisów </w:t>
      </w:r>
      <w:r>
        <w:rPr>
          <w:b/>
        </w:rPr>
        <w:t>nie obciążać podmiotów</w:t>
      </w:r>
      <w:r>
        <w:t xml:space="preserve"> prowadzących działalność w tym sektorze.</w:t>
      </w:r>
    </w:p>
    <w:p w:rsidRPr="00A1484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t xml:space="preserve">Zwraca uwagę, że </w:t>
      </w:r>
      <w:r>
        <w:rPr>
          <w:b/>
        </w:rPr>
        <w:t>przepisy</w:t>
      </w:r>
      <w:r>
        <w:t xml:space="preserve"> zawarte we wniosku dotyczącym rozporządzenia </w:t>
      </w:r>
      <w:r>
        <w:rPr>
          <w:b/>
        </w:rPr>
        <w:t>zobowiązują operatorów</w:t>
      </w:r>
      <w:r>
        <w:t xml:space="preserve"> (zwłaszcza rolników, kierowców i lekarzy weterynarii) </w:t>
      </w:r>
      <w:r>
        <w:rPr>
          <w:b/>
        </w:rPr>
        <w:t>do pracy na nocnych zmianach</w:t>
      </w:r>
      <w:r>
        <w:t>.</w:t>
      </w:r>
    </w:p>
    <w:p w:rsidRPr="00A1484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Wzywa Komisję do </w:t>
      </w:r>
      <w:r>
        <w:rPr>
          <w:b/>
        </w:rPr>
        <w:t>rozważenia wpływu wniosku na łańcuchy dostaw</w:t>
      </w:r>
      <w:r>
        <w:t>, które były tworzone i rozbudowywane z biegiem lat w oparciu o obecne ograniczenia czasowe.</w:t>
      </w:r>
    </w:p>
    <w:p w:rsidRPr="00A1484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t>Ostrzega przed wpływem ograniczenia transportu zwierząt przeznaczonych do uboju do krótkotrwałych przewozów trwających mniej niż dziewięć godzin.</w:t>
      </w:r>
    </w:p>
    <w:p w:rsidRPr="00A1484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Uważa, że </w:t>
      </w:r>
      <w:r>
        <w:rPr>
          <w:b/>
        </w:rPr>
        <w:t>proponowane nowe przepisy techniczne</w:t>
      </w:r>
      <w:r>
        <w:t xml:space="preserve"> dotyczące zdolności do transportu zwierząt lądowych </w:t>
      </w:r>
      <w:r>
        <w:rPr>
          <w:b/>
        </w:rPr>
        <w:t>mogą doprowadzić do zamknięcia wielu gospodarstw chowu zwierząt</w:t>
      </w:r>
      <w:r>
        <w:t>.</w:t>
      </w:r>
    </w:p>
    <w:p w:rsidRPr="00A1484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Sądzi, że </w:t>
      </w:r>
      <w:r>
        <w:rPr>
          <w:b/>
        </w:rPr>
        <w:t>zakaz długodystansowego transportu drogowego młodych zwierząt</w:t>
      </w:r>
      <w:r>
        <w:t xml:space="preserve">, takich jak cielęta, jagnięta, koźlęta, prosięta i źrebięta, które nie zostały odsadzone, </w:t>
      </w:r>
      <w:r>
        <w:rPr>
          <w:b/>
        </w:rPr>
        <w:t>będzie mieć istotny wpływ na przywóz ras zwierząt</w:t>
      </w:r>
      <w:r>
        <w:t xml:space="preserve"> pochodzących z innych państw członkowskich Unii Europejskiej.</w:t>
      </w:r>
    </w:p>
    <w:p w:rsidRPr="00A1484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Wzywa Komisję do </w:t>
      </w:r>
      <w:r>
        <w:rPr>
          <w:b/>
        </w:rPr>
        <w:t>uwzględnienia specyfiki klimatycznej</w:t>
      </w:r>
      <w:r>
        <w:t xml:space="preserve"> każdego państwa członkowskiego odnośnie do przepisów art. 31 wniosku.</w:t>
      </w:r>
    </w:p>
    <w:p w:rsidRPr="00A1484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Utrzymuje, że należy </w:t>
      </w:r>
      <w:r>
        <w:rPr>
          <w:b/>
        </w:rPr>
        <w:t>propagować krótki obieg handlowy</w:t>
      </w:r>
      <w:r>
        <w:t>, który jest skutecznym sposobem ograniczenia potrzeby długodystansowych przejazdów, gdyż skraca odległość między miejscem hodowli, tuczu, uboju i konsumpcji.</w:t>
      </w:r>
    </w:p>
    <w:p w:rsidRPr="00A14846" w:rsidR="00A329C8" w:rsidP="00DC0FAE" w:rsidRDefault="00A329C8" w14:paraId="6A4C0035" w14:textId="77777777">
      <w:pPr>
        <w:numPr>
          <w:ilvl w:val="0"/>
          <w:numId w:val="22"/>
        </w:numPr>
        <w:overflowPunct w:val="0"/>
        <w:autoSpaceDE w:val="0"/>
        <w:autoSpaceDN w:val="0"/>
        <w:adjustRightInd w:val="0"/>
        <w:textAlignment w:val="baseline"/>
        <w:outlineLvl w:val="1"/>
      </w:pPr>
      <w:r>
        <w:t xml:space="preserve">Popiera inicjatywy promujące instrumenty zdrowotne, gospodarcze i prawne służące </w:t>
      </w:r>
      <w:r>
        <w:rPr>
          <w:b/>
        </w:rPr>
        <w:t>zachowaniu lokalnych rzeźni oraz wspieraniu uboju w gospodarstwie</w:t>
      </w:r>
      <w:r>
        <w:t>, gdy jest to adekwatne do skali gospodarstwa i warunków lokalnych.</w:t>
      </w:r>
    </w:p>
    <w:p w:rsidRPr="00A1484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FE3058" w:rsidRDefault="00A329C8" w14:paraId="1AAB3B0A" w14:textId="77777777">
            <w:pPr>
              <w:overflowPunct w:val="0"/>
              <w:autoSpaceDE w:val="0"/>
              <w:autoSpaceDN w:val="0"/>
              <w:adjustRightInd w:val="0"/>
              <w:spacing w:line="240" w:lineRule="auto"/>
              <w:textAlignment w:val="baseline"/>
              <w:rPr>
                <w:i/>
              </w:rPr>
            </w:pPr>
            <w:r>
              <w:rPr>
                <w:b/>
                <w:i/>
              </w:rPr>
              <w:t xml:space="preserve">Kontakt </w:t>
            </w:r>
          </w:p>
        </w:tc>
        <w:tc>
          <w:tcPr>
            <w:tcW w:w="4252" w:type="dxa"/>
          </w:tcPr>
          <w:p w:rsidRPr="00A14846" w:rsidR="00A329C8" w:rsidP="00FE3058" w:rsidRDefault="00A329C8" w14:paraId="3604A495" w14:textId="158CA49A">
            <w:pPr>
              <w:overflowPunct w:val="0"/>
              <w:autoSpaceDE w:val="0"/>
              <w:autoSpaceDN w:val="0"/>
              <w:adjustRightInd w:val="0"/>
              <w:spacing w:line="240" w:lineRule="auto"/>
              <w:textAlignment w:val="baseline"/>
              <w:rPr>
                <w:i/>
              </w:rPr>
            </w:pPr>
            <w:r>
              <w:rPr>
                <w:i/>
              </w:rPr>
              <w:t>Arturo Íñiguez</w:t>
            </w:r>
          </w:p>
        </w:tc>
      </w:tr>
      <w:tr w:rsidRPr="00A14846" w:rsidR="00A329C8" w:rsidTr="00FE3058" w14:paraId="54FCBA8B" w14:textId="77777777">
        <w:tc>
          <w:tcPr>
            <w:tcW w:w="2127" w:type="dxa"/>
          </w:tcPr>
          <w:p w:rsidRPr="00A14846" w:rsidR="00A329C8" w:rsidP="00FE3058" w:rsidRDefault="00A329C8" w14:paraId="62D7636F" w14:textId="77777777">
            <w:pPr>
              <w:overflowPunct w:val="0"/>
              <w:autoSpaceDE w:val="0"/>
              <w:autoSpaceDN w:val="0"/>
              <w:adjustRightInd w:val="0"/>
              <w:spacing w:line="240" w:lineRule="auto"/>
              <w:textAlignment w:val="baseline"/>
              <w:rPr>
                <w:i/>
              </w:rPr>
            </w:pPr>
            <w:r>
              <w:rPr>
                <w:i/>
              </w:rPr>
              <w:t>tel.</w:t>
            </w:r>
          </w:p>
        </w:tc>
        <w:tc>
          <w:tcPr>
            <w:tcW w:w="4252" w:type="dxa"/>
          </w:tcPr>
          <w:p w:rsidRPr="00A14846" w:rsidR="00A329C8" w:rsidP="00FE3058" w:rsidRDefault="00A329C8" w14:paraId="7C0E8B23" w14:textId="77777777">
            <w:pPr>
              <w:overflowPunct w:val="0"/>
              <w:autoSpaceDE w:val="0"/>
              <w:autoSpaceDN w:val="0"/>
              <w:adjustRightInd w:val="0"/>
              <w:spacing w:line="240" w:lineRule="auto"/>
              <w:textAlignment w:val="baseline"/>
              <w:rPr>
                <w:i/>
              </w:rPr>
            </w:pPr>
            <w:r>
              <w:rPr>
                <w:i/>
              </w:rPr>
              <w:t>+32 25468768</w:t>
            </w:r>
          </w:p>
        </w:tc>
      </w:tr>
      <w:tr w:rsidRPr="00A14846" w:rsidR="00A329C8" w:rsidTr="00FE3058" w14:paraId="485043FF" w14:textId="77777777">
        <w:tc>
          <w:tcPr>
            <w:tcW w:w="2127" w:type="dxa"/>
          </w:tcPr>
          <w:p w:rsidRPr="00A14846" w:rsidR="00A329C8" w:rsidP="00FE3058" w:rsidRDefault="00D704BD" w14:paraId="7E8D5802" w14:textId="61A5A309">
            <w:pPr>
              <w:overflowPunct w:val="0"/>
              <w:autoSpaceDE w:val="0"/>
              <w:autoSpaceDN w:val="0"/>
              <w:adjustRightInd w:val="0"/>
              <w:spacing w:line="240" w:lineRule="auto"/>
              <w:textAlignment w:val="baseline"/>
              <w:rPr>
                <w:i/>
              </w:rPr>
            </w:pPr>
            <w:r>
              <w:rPr>
                <w:i/>
              </w:rPr>
              <w:t>e-mail</w:t>
            </w:r>
          </w:p>
        </w:tc>
        <w:tc>
          <w:tcPr>
            <w:tcW w:w="4252" w:type="dxa"/>
          </w:tcPr>
          <w:p w:rsidRPr="00A14846" w:rsidR="00A329C8" w:rsidP="00FE3058" w:rsidRDefault="0096037A" w14:paraId="0F764C0D" w14:textId="77777777">
            <w:pPr>
              <w:overflowPunct w:val="0"/>
              <w:autoSpaceDE w:val="0"/>
              <w:autoSpaceDN w:val="0"/>
              <w:adjustRightInd w:val="0"/>
              <w:spacing w:line="240" w:lineRule="auto"/>
              <w:textAlignment w:val="baseline"/>
              <w:rPr>
                <w:i/>
                <w:iCs/>
              </w:rPr>
            </w:pPr>
            <w:hyperlink w:history="1" r:id="rId33">
              <w:r w:rsidR="00660BE3">
                <w:rPr>
                  <w:i/>
                  <w:color w:val="0000FF"/>
                  <w:u w:val="single"/>
                </w:rPr>
                <w:t>Arturo.Iniguez@eesc.europa.eu</w:t>
              </w:r>
            </w:hyperlink>
          </w:p>
        </w:tc>
      </w:tr>
    </w:tbl>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707929" w:id="5"/>
      <w:bookmarkEnd w:id="4"/>
      <w:r>
        <w:rPr>
          <w:b/>
        </w:rPr>
        <w:lastRenderedPageBreak/>
        <w:t>TRANSPORT, ENERGIA, INFRASTRUKTURA, SPOŁECZEŃSTWO INFORMACYJNE</w:t>
      </w:r>
      <w:bookmarkEnd w:id="5"/>
    </w:p>
    <w:p w:rsidR="005C28F2" w:rsidP="00895853" w:rsidRDefault="005C28F2" w14:paraId="089CB383" w14:textId="77777777"/>
    <w:p w:rsidR="00EC48BE" w:rsidP="00895853" w:rsidRDefault="00EC48BE" w14:paraId="2F9D2873" w14:textId="2ADBE64F"/>
    <w:p w:rsidRPr="00EC48BE" w:rsidR="00EC48BE" w:rsidP="00C26C81" w:rsidRDefault="0096037A"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660BE3">
          <w:rPr>
            <w:b/>
            <w:i/>
            <w:color w:val="0000FF"/>
            <w:sz w:val="28"/>
            <w:u w:val="single"/>
          </w:rPr>
          <w:t>Europejski plan walki z rakiem: czynniki bezpieczeństwa dostaw radioizotopów medycznych</w:t>
        </w:r>
      </w:hyperlink>
    </w:p>
    <w:p w:rsidRPr="00FF07F1"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3"/>
        <w:gridCol w:w="5608"/>
      </w:tblGrid>
      <w:tr w:rsidRPr="00FF07F1" w:rsidR="00EC48BE" w:rsidTr="00DC0FAE" w14:paraId="5D69D1D6" w14:textId="77777777">
        <w:tc>
          <w:tcPr>
            <w:tcW w:w="1276" w:type="pct"/>
          </w:tcPr>
          <w:p w:rsidRPr="00FF07F1"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sz w:val="22"/>
                <w:szCs w:val="22"/>
              </w:rPr>
            </w:pPr>
            <w:r w:rsidRPr="00FF07F1">
              <w:rPr>
                <w:b/>
                <w:sz w:val="22"/>
                <w:szCs w:val="22"/>
              </w:rPr>
              <w:t>Sprawozdawczyni</w:t>
            </w:r>
          </w:p>
        </w:tc>
        <w:tc>
          <w:tcPr>
            <w:tcW w:w="3724" w:type="pct"/>
          </w:tcPr>
          <w:p w:rsidRPr="00FF07F1" w:rsidR="00EC48BE" w:rsidP="00EC48BE" w:rsidRDefault="00EC48BE" w14:paraId="1337C413" w14:textId="6D802AE6">
            <w:pPr>
              <w:tabs>
                <w:tab w:val="center" w:pos="284"/>
              </w:tabs>
              <w:overflowPunct w:val="0"/>
              <w:autoSpaceDE w:val="0"/>
              <w:autoSpaceDN w:val="0"/>
              <w:adjustRightInd w:val="0"/>
              <w:ind w:left="266" w:hanging="266"/>
              <w:textAlignment w:val="baseline"/>
              <w:rPr>
                <w:sz w:val="22"/>
                <w:szCs w:val="22"/>
              </w:rPr>
            </w:pPr>
            <w:r w:rsidRPr="00FF07F1">
              <w:rPr>
                <w:sz w:val="22"/>
                <w:szCs w:val="22"/>
              </w:rPr>
              <w:t>Alena MASTANTUONO (Grupa Pracodawców – CZ)</w:t>
            </w:r>
          </w:p>
        </w:tc>
      </w:tr>
      <w:tr w:rsidRPr="00FF07F1" w:rsidR="00EC48BE" w:rsidTr="00DC0FAE" w14:paraId="63F1C4BD" w14:textId="77777777">
        <w:tc>
          <w:tcPr>
            <w:tcW w:w="1276" w:type="pct"/>
          </w:tcPr>
          <w:p w:rsidRPr="00FF07F1" w:rsidR="00EC48BE" w:rsidP="00EC48BE" w:rsidRDefault="00EC48BE" w14:paraId="3FA3DCC7" w14:textId="77777777">
            <w:pPr>
              <w:tabs>
                <w:tab w:val="center" w:pos="284"/>
              </w:tabs>
              <w:overflowPunct w:val="0"/>
              <w:autoSpaceDE w:val="0"/>
              <w:autoSpaceDN w:val="0"/>
              <w:adjustRightInd w:val="0"/>
              <w:ind w:left="266" w:hanging="266"/>
              <w:textAlignment w:val="baseline"/>
              <w:rPr>
                <w:b/>
                <w:sz w:val="22"/>
                <w:szCs w:val="22"/>
              </w:rPr>
            </w:pPr>
            <w:r w:rsidRPr="00FF07F1">
              <w:rPr>
                <w:b/>
                <w:sz w:val="22"/>
                <w:szCs w:val="22"/>
              </w:rPr>
              <w:t>Współsprawozdawca</w:t>
            </w:r>
          </w:p>
        </w:tc>
        <w:tc>
          <w:tcPr>
            <w:tcW w:w="3724" w:type="pct"/>
          </w:tcPr>
          <w:p w:rsidRPr="00FF07F1" w:rsidR="00EC48BE" w:rsidP="00EC48BE" w:rsidRDefault="00EC48BE" w14:paraId="0C599690" w14:textId="764AA96C">
            <w:pPr>
              <w:tabs>
                <w:tab w:val="center" w:pos="284"/>
              </w:tabs>
              <w:overflowPunct w:val="0"/>
              <w:autoSpaceDE w:val="0"/>
              <w:autoSpaceDN w:val="0"/>
              <w:adjustRightInd w:val="0"/>
              <w:ind w:left="266" w:hanging="266"/>
              <w:textAlignment w:val="baseline"/>
              <w:rPr>
                <w:sz w:val="22"/>
                <w:szCs w:val="22"/>
              </w:rPr>
            </w:pPr>
            <w:r w:rsidRPr="00FF07F1">
              <w:rPr>
                <w:sz w:val="22"/>
                <w:szCs w:val="22"/>
              </w:rPr>
              <w:t>Philippe CHARRY (Grupa Pracowników – FR)</w:t>
            </w:r>
          </w:p>
        </w:tc>
      </w:tr>
      <w:tr w:rsidRPr="00FF07F1" w:rsidR="00EC48BE" w:rsidTr="00DC0FAE" w14:paraId="498B3001" w14:textId="77777777">
        <w:tc>
          <w:tcPr>
            <w:tcW w:w="5000" w:type="pct"/>
            <w:gridSpan w:val="2"/>
          </w:tcPr>
          <w:p w:rsidRPr="00FF07F1"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F07F1" w:rsidR="00EC48BE" w:rsidTr="00DC0FAE" w14:paraId="3524C066" w14:textId="77777777">
        <w:tc>
          <w:tcPr>
            <w:tcW w:w="1276" w:type="pct"/>
            <w:vMerge w:val="restart"/>
          </w:tcPr>
          <w:p w:rsidRPr="00FF07F1" w:rsidR="00EC48BE" w:rsidP="00EC48BE" w:rsidRDefault="00EC48BE" w14:paraId="7BBD85B4" w14:textId="77777777">
            <w:pPr>
              <w:tabs>
                <w:tab w:val="center" w:pos="284"/>
              </w:tabs>
              <w:overflowPunct w:val="0"/>
              <w:autoSpaceDE w:val="0"/>
              <w:autoSpaceDN w:val="0"/>
              <w:adjustRightInd w:val="0"/>
              <w:ind w:left="266" w:hanging="266"/>
              <w:textAlignment w:val="baseline"/>
              <w:rPr>
                <w:b/>
                <w:sz w:val="22"/>
                <w:szCs w:val="22"/>
              </w:rPr>
            </w:pPr>
            <w:r w:rsidRPr="00FF07F1">
              <w:rPr>
                <w:b/>
                <w:sz w:val="22"/>
                <w:szCs w:val="22"/>
              </w:rPr>
              <w:t>Dokumenty</w:t>
            </w:r>
          </w:p>
        </w:tc>
        <w:tc>
          <w:tcPr>
            <w:tcW w:w="3724" w:type="pct"/>
          </w:tcPr>
          <w:p w:rsidRPr="00FF07F1" w:rsidR="00802E2B" w:rsidP="00EC48BE" w:rsidRDefault="00802E2B" w14:paraId="3EA8129C" w14:textId="253FD17D">
            <w:pPr>
              <w:tabs>
                <w:tab w:val="center" w:pos="284"/>
              </w:tabs>
              <w:overflowPunct w:val="0"/>
              <w:autoSpaceDE w:val="0"/>
              <w:autoSpaceDN w:val="0"/>
              <w:adjustRightInd w:val="0"/>
              <w:ind w:left="266" w:hanging="266"/>
              <w:textAlignment w:val="baseline"/>
              <w:rPr>
                <w:sz w:val="22"/>
                <w:szCs w:val="22"/>
              </w:rPr>
            </w:pPr>
            <w:r w:rsidRPr="00FF07F1">
              <w:rPr>
                <w:sz w:val="22"/>
                <w:szCs w:val="22"/>
              </w:rPr>
              <w:t>Opinia z inicjatywy własnej</w:t>
            </w:r>
          </w:p>
          <w:p w:rsidRPr="00FF07F1" w:rsidR="00EC48BE" w:rsidP="00EC48BE" w:rsidRDefault="00EC48BE" w14:paraId="30BF4772" w14:textId="5A3BAEA7">
            <w:pPr>
              <w:tabs>
                <w:tab w:val="center" w:pos="284"/>
              </w:tabs>
              <w:overflowPunct w:val="0"/>
              <w:autoSpaceDE w:val="0"/>
              <w:autoSpaceDN w:val="0"/>
              <w:adjustRightInd w:val="0"/>
              <w:ind w:left="266" w:hanging="266"/>
              <w:textAlignment w:val="baseline"/>
              <w:rPr>
                <w:sz w:val="22"/>
                <w:szCs w:val="22"/>
              </w:rPr>
            </w:pPr>
            <w:r w:rsidRPr="00FF07F1">
              <w:rPr>
                <w:sz w:val="22"/>
                <w:szCs w:val="22"/>
              </w:rPr>
              <w:t>EESC-2024-00265-00-00-AC</w:t>
            </w:r>
          </w:p>
        </w:tc>
      </w:tr>
      <w:tr w:rsidRPr="00FF07F1" w:rsidR="00EC48BE" w:rsidTr="00DC0FAE" w14:paraId="2F6C577F" w14:textId="77777777">
        <w:tc>
          <w:tcPr>
            <w:tcW w:w="1276" w:type="pct"/>
            <w:vMerge/>
          </w:tcPr>
          <w:p w:rsidRPr="00FF07F1" w:rsidR="00EC48BE" w:rsidP="00EC48BE" w:rsidRDefault="00EC48BE" w14:paraId="5DF5D6AE" w14:textId="77777777">
            <w:pPr>
              <w:tabs>
                <w:tab w:val="center" w:pos="284"/>
              </w:tabs>
              <w:overflowPunct w:val="0"/>
              <w:autoSpaceDE w:val="0"/>
              <w:autoSpaceDN w:val="0"/>
              <w:adjustRightInd w:val="0"/>
              <w:ind w:left="266" w:hanging="266"/>
              <w:textAlignment w:val="baseline"/>
              <w:rPr>
                <w:b/>
                <w:sz w:val="22"/>
                <w:szCs w:val="22"/>
              </w:rPr>
            </w:pPr>
          </w:p>
        </w:tc>
        <w:tc>
          <w:tcPr>
            <w:tcW w:w="3724" w:type="pct"/>
          </w:tcPr>
          <w:p w:rsidRPr="00FF07F1" w:rsidR="00EC48BE" w:rsidP="00EC48BE" w:rsidRDefault="00EC48BE" w14:paraId="3B39B1F2" w14:textId="77777777">
            <w:pPr>
              <w:tabs>
                <w:tab w:val="center" w:pos="284"/>
              </w:tabs>
              <w:overflowPunct w:val="0"/>
              <w:autoSpaceDE w:val="0"/>
              <w:autoSpaceDN w:val="0"/>
              <w:adjustRightInd w:val="0"/>
              <w:ind w:left="266" w:hanging="266"/>
              <w:textAlignment w:val="baseline"/>
              <w:rPr>
                <w:sz w:val="22"/>
                <w:szCs w:val="22"/>
              </w:rPr>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EC48BE"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EC48BE" w:rsidRDefault="00EC48BE" w14:paraId="1FF2E76F" w14:textId="77777777">
      <w:pPr>
        <w:overflowPunct w:val="0"/>
        <w:autoSpaceDE w:val="0"/>
        <w:autoSpaceDN w:val="0"/>
        <w:adjustRightInd w:val="0"/>
        <w:textAlignment w:val="baseline"/>
        <w:rPr>
          <w:bCs/>
          <w:iCs/>
        </w:rPr>
      </w:pPr>
      <w:r>
        <w:t>EKES:</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DC0FAE" w:rsidRDefault="00EC48BE" w14:paraId="16965D67" w14:textId="21063EB2">
      <w:pPr>
        <w:widowControl w:val="0"/>
        <w:numPr>
          <w:ilvl w:val="0"/>
          <w:numId w:val="23"/>
        </w:numPr>
        <w:overflowPunct w:val="0"/>
        <w:autoSpaceDE w:val="0"/>
        <w:autoSpaceDN w:val="0"/>
        <w:adjustRightInd w:val="0"/>
        <w:ind w:left="284" w:hanging="284"/>
        <w:textAlignment w:val="baseline"/>
        <w:rPr>
          <w:bCs/>
          <w:iCs/>
        </w:rPr>
      </w:pPr>
      <w:r>
        <w:t>Podkreśla, że medycyna jądrowa ratuje miliony ludzi i stanowi źródło wielkiej nadziei na walkę z</w:t>
      </w:r>
      <w:r w:rsidR="00336F25">
        <w:t> </w:t>
      </w:r>
      <w:r>
        <w:t>rakiem. Komitet zwraca uwagę na konieczność reagowania na potrzeby pacjentów w Europie i</w:t>
      </w:r>
      <w:r w:rsidR="00336F25">
        <w:t> </w:t>
      </w:r>
      <w:r>
        <w:t>zagwarantowania, aby wszyscy pacjenci mieli równy dostęp do leczenia nowotworów.</w:t>
      </w:r>
    </w:p>
    <w:p w:rsidRPr="00EC48BE" w:rsidR="00EC48BE" w:rsidP="00DC0FAE" w:rsidRDefault="00EC48BE" w14:paraId="2189E501" w14:textId="61B5A064">
      <w:pPr>
        <w:widowControl w:val="0"/>
        <w:numPr>
          <w:ilvl w:val="0"/>
          <w:numId w:val="23"/>
        </w:numPr>
        <w:overflowPunct w:val="0"/>
        <w:autoSpaceDE w:val="0"/>
        <w:autoSpaceDN w:val="0"/>
        <w:adjustRightInd w:val="0"/>
        <w:ind w:left="284" w:hanging="284"/>
        <w:textAlignment w:val="baseline"/>
        <w:rPr>
          <w:bCs/>
          <w:iCs/>
        </w:rPr>
      </w:pPr>
      <w:r>
        <w:t>W Europie dziesięć milionów procedur diagnostycznych i terapeutycznych rocznie opiera się na produktach radiofarmaceutycznych. Należy postawić na pierwszym miejscu terapie celowane z</w:t>
      </w:r>
      <w:r w:rsidR="00336F25">
        <w:t> </w:t>
      </w:r>
      <w:r w:rsidR="005D15AA">
        <w:t>w</w:t>
      </w:r>
      <w:r>
        <w:t>ykorzystaniem radionuklidów, które są precyzyjne i często mniej szkodliwe niż inne metody leczenia.</w:t>
      </w:r>
    </w:p>
    <w:p w:rsidRPr="00EC48BE" w:rsidR="00EC48BE" w:rsidP="00DC0FAE" w:rsidRDefault="00EC48BE" w14:paraId="42230DC3" w14:textId="74D65049">
      <w:pPr>
        <w:widowControl w:val="0"/>
        <w:numPr>
          <w:ilvl w:val="0"/>
          <w:numId w:val="23"/>
        </w:numPr>
        <w:overflowPunct w:val="0"/>
        <w:autoSpaceDE w:val="0"/>
        <w:autoSpaceDN w:val="0"/>
        <w:adjustRightInd w:val="0"/>
        <w:ind w:left="284" w:hanging="284"/>
        <w:textAlignment w:val="baseline"/>
        <w:rPr>
          <w:bCs/>
          <w:iCs/>
        </w:rPr>
      </w:pPr>
      <w:r>
        <w:t>Opowiada się za stworzeniem zachęt do produkcji, które zagwarantują większą autonomię strategiczną pod względem dostaw izotopów promieniotwórczych. Europa jest liderem w</w:t>
      </w:r>
      <w:r w:rsidR="00336F25">
        <w:t> </w:t>
      </w:r>
      <w:r>
        <w:t>dostarczaniu izotopów promieniotwórczych do potrzeb medycznych. Boryka się zarazem z</w:t>
      </w:r>
      <w:r w:rsidR="00336F25">
        <w:t> </w:t>
      </w:r>
      <w:r>
        <w:t>krytyczną zależnością od państw trzecich pod względem dostaw kluczowych materiałów podstawowych oraz konkretnych praktyk przetwórczych. Dlatego Komitet zwraca się do sojuszu na rzecz leków o krytycznym znaczeniu, by starannie monitorował dostawy izotopów promieniotwórczych w Europie oraz wspierał podnoszenie konkurencyjności przemysłu w tym sektorze.</w:t>
      </w:r>
    </w:p>
    <w:p w:rsidRPr="00EC48BE"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Domaga się dołożenia należytej staranności w celu zapewnienia przestrzegania środków bezpieczeństwa i ochrony pracowników w całym łańcuchu dostaw i wzywa do pilnych inwestycji w planowanie, kształcenie i szkolenie osób potrzebnych w tym sektorze oraz w mobilność pracowników.</w:t>
      </w: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Pr>
                <w:b/>
                <w:i/>
              </w:rPr>
              <w:t>Kontakt</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Pr>
                <w:i/>
              </w:rPr>
              <w:t>Maja Radman</w:t>
            </w:r>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Pr>
                <w:i/>
              </w:rPr>
              <w:t>tel.</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Pr>
                <w:i/>
              </w:rPr>
              <w:t>e-mail</w:t>
            </w:r>
          </w:p>
        </w:tc>
        <w:tc>
          <w:tcPr>
            <w:tcW w:w="3444" w:type="pct"/>
          </w:tcPr>
          <w:p w:rsidRPr="00EC48BE" w:rsidR="00EC48BE" w:rsidP="00EC48BE" w:rsidRDefault="0096037A" w14:paraId="50EB0CCC" w14:textId="77777777">
            <w:pPr>
              <w:overflowPunct w:val="0"/>
              <w:autoSpaceDE w:val="0"/>
              <w:autoSpaceDN w:val="0"/>
              <w:adjustRightInd w:val="0"/>
              <w:spacing w:line="240" w:lineRule="auto"/>
              <w:textAlignment w:val="baseline"/>
              <w:rPr>
                <w:i/>
              </w:rPr>
            </w:pPr>
            <w:hyperlink w:history="1" r:id="rId35">
              <w:r w:rsidR="00660BE3">
                <w:rPr>
                  <w:i/>
                  <w:color w:val="0000FF"/>
                  <w:u w:val="single"/>
                </w:rPr>
                <w:t>Maja.Radman@eesc.europa.eu</w:t>
              </w:r>
            </w:hyperlink>
            <w:r w:rsidR="00660BE3">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707930" w:id="7"/>
      <w:bookmarkEnd w:id="6"/>
      <w:r>
        <w:rPr>
          <w:b/>
        </w:rPr>
        <w:lastRenderedPageBreak/>
        <w:t>KOMISJA KONSULTACYJNA DS. PRZEMIAN W PRZEMYŚLE</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B612CA" w:rsidR="00B612CA" w:rsidP="00C26C81" w:rsidRDefault="0096037A"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6">
        <w:r w:rsidR="00660BE3">
          <w:rPr>
            <w:b/>
            <w:i/>
            <w:color w:val="0000FF"/>
            <w:sz w:val="28"/>
            <w:u w:val="single"/>
          </w:rPr>
          <w:t>Program na rzecz europejskiego przemysłu obronnego</w:t>
        </w:r>
      </w:hyperlink>
    </w:p>
    <w:p w:rsidRPr="00FF07F1"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5757"/>
      </w:tblGrid>
      <w:tr w:rsidRPr="00FF07F1" w:rsidR="00B612CA" w:rsidTr="00FE3058" w14:paraId="18CAAF03" w14:textId="77777777">
        <w:tc>
          <w:tcPr>
            <w:tcW w:w="1258" w:type="pct"/>
          </w:tcPr>
          <w:p w:rsidRPr="00FF07F1" w:rsidR="00B612CA" w:rsidP="00DC0FAE" w:rsidRDefault="00B612CA" w14:paraId="7DF9E2A6" w14:textId="77777777">
            <w:pPr>
              <w:tabs>
                <w:tab w:val="center" w:pos="284"/>
              </w:tabs>
              <w:spacing w:line="259" w:lineRule="auto"/>
              <w:ind w:left="266" w:hanging="266"/>
              <w:jc w:val="left"/>
              <w:rPr>
                <w:rFonts w:eastAsiaTheme="minorHAnsi"/>
                <w:b/>
                <w:sz w:val="22"/>
                <w:szCs w:val="22"/>
              </w:rPr>
            </w:pPr>
            <w:r w:rsidRPr="00FF07F1">
              <w:rPr>
                <w:b/>
                <w:sz w:val="22"/>
                <w:szCs w:val="22"/>
              </w:rPr>
              <w:t>Sprawozdawca</w:t>
            </w:r>
          </w:p>
        </w:tc>
        <w:tc>
          <w:tcPr>
            <w:tcW w:w="3742" w:type="pct"/>
          </w:tcPr>
          <w:p w:rsidRPr="00FF07F1" w:rsidR="00B612CA" w:rsidP="00DC0FAE" w:rsidRDefault="00B612CA" w14:paraId="7678F137" w14:textId="77777777">
            <w:pPr>
              <w:tabs>
                <w:tab w:val="center" w:pos="33"/>
              </w:tabs>
              <w:spacing w:line="259" w:lineRule="auto"/>
              <w:ind w:left="33" w:hanging="33"/>
              <w:jc w:val="left"/>
              <w:rPr>
                <w:rFonts w:eastAsiaTheme="minorHAnsi"/>
                <w:sz w:val="22"/>
                <w:szCs w:val="22"/>
              </w:rPr>
            </w:pPr>
            <w:r w:rsidRPr="00FF07F1">
              <w:rPr>
                <w:sz w:val="22"/>
                <w:szCs w:val="22"/>
              </w:rPr>
              <w:t>Tomasz Andrzej WRÓBLEWSKI (Grupa Pracodawców – PL)</w:t>
            </w:r>
          </w:p>
        </w:tc>
      </w:tr>
      <w:tr w:rsidRPr="00FF07F1" w:rsidR="00B612CA" w:rsidTr="00FE3058" w14:paraId="02CD892C" w14:textId="77777777">
        <w:tc>
          <w:tcPr>
            <w:tcW w:w="1258" w:type="pct"/>
          </w:tcPr>
          <w:p w:rsidRPr="00FF07F1" w:rsidR="00B612CA" w:rsidP="00DC0FAE" w:rsidRDefault="00B612CA" w14:paraId="32A8CC73" w14:textId="77777777">
            <w:pPr>
              <w:tabs>
                <w:tab w:val="center" w:pos="284"/>
              </w:tabs>
              <w:spacing w:line="259" w:lineRule="auto"/>
              <w:ind w:left="266" w:hanging="266"/>
              <w:jc w:val="left"/>
              <w:rPr>
                <w:rFonts w:eastAsiaTheme="minorHAnsi"/>
                <w:b/>
                <w:sz w:val="22"/>
                <w:szCs w:val="22"/>
              </w:rPr>
            </w:pPr>
            <w:r w:rsidRPr="00FF07F1">
              <w:rPr>
                <w:b/>
                <w:sz w:val="22"/>
                <w:szCs w:val="22"/>
              </w:rPr>
              <w:t>Współsprawozdawca</w:t>
            </w:r>
          </w:p>
        </w:tc>
        <w:tc>
          <w:tcPr>
            <w:tcW w:w="3742" w:type="pct"/>
          </w:tcPr>
          <w:p w:rsidRPr="00FF07F1" w:rsidR="00B612CA" w:rsidP="00DC0FAE" w:rsidRDefault="00B612CA" w14:paraId="10B820C3" w14:textId="4AB00E12">
            <w:pPr>
              <w:tabs>
                <w:tab w:val="center" w:pos="284"/>
              </w:tabs>
              <w:spacing w:line="259" w:lineRule="auto"/>
              <w:ind w:left="266" w:hanging="266"/>
              <w:jc w:val="left"/>
              <w:rPr>
                <w:rFonts w:eastAsiaTheme="minorHAnsi"/>
                <w:sz w:val="22"/>
                <w:szCs w:val="22"/>
              </w:rPr>
            </w:pPr>
            <w:r w:rsidRPr="00FF07F1">
              <w:rPr>
                <w:sz w:val="22"/>
                <w:szCs w:val="22"/>
              </w:rPr>
              <w:t>Franck UHLIG (Kat. 2 – FR)</w:t>
            </w:r>
          </w:p>
        </w:tc>
      </w:tr>
      <w:tr w:rsidRPr="00FF07F1" w:rsidR="00B612CA" w:rsidTr="00FE3058" w14:paraId="77B12610" w14:textId="77777777">
        <w:tc>
          <w:tcPr>
            <w:tcW w:w="5000" w:type="pct"/>
            <w:gridSpan w:val="2"/>
          </w:tcPr>
          <w:p w:rsidRPr="00FF07F1" w:rsidR="00B612CA" w:rsidP="00B612CA" w:rsidRDefault="00B612CA" w14:paraId="22141688" w14:textId="77777777">
            <w:pPr>
              <w:tabs>
                <w:tab w:val="center" w:pos="284"/>
              </w:tabs>
              <w:spacing w:after="160" w:line="160" w:lineRule="exact"/>
              <w:ind w:left="266" w:hanging="266"/>
              <w:jc w:val="left"/>
              <w:rPr>
                <w:rFonts w:eastAsiaTheme="minorHAnsi"/>
                <w:sz w:val="22"/>
                <w:szCs w:val="22"/>
              </w:rPr>
            </w:pPr>
          </w:p>
        </w:tc>
      </w:tr>
      <w:tr w:rsidRPr="00FF07F1" w:rsidR="00B612CA" w:rsidTr="00FE3058" w14:paraId="366D3A3A" w14:textId="77777777">
        <w:tc>
          <w:tcPr>
            <w:tcW w:w="1258" w:type="pct"/>
            <w:vMerge w:val="restart"/>
          </w:tcPr>
          <w:p w:rsidRPr="00FF07F1" w:rsidR="00B612CA" w:rsidP="00DC0FAE" w:rsidRDefault="00B612CA" w14:paraId="620E2FAB" w14:textId="77777777">
            <w:pPr>
              <w:tabs>
                <w:tab w:val="center" w:pos="284"/>
              </w:tabs>
              <w:spacing w:line="259" w:lineRule="auto"/>
              <w:ind w:left="266" w:hanging="266"/>
              <w:jc w:val="left"/>
              <w:rPr>
                <w:rFonts w:eastAsiaTheme="minorHAnsi"/>
                <w:b/>
                <w:sz w:val="22"/>
                <w:szCs w:val="22"/>
              </w:rPr>
            </w:pPr>
            <w:r w:rsidRPr="00FF07F1">
              <w:rPr>
                <w:b/>
                <w:sz w:val="22"/>
                <w:szCs w:val="22"/>
              </w:rPr>
              <w:t>Dokumenty</w:t>
            </w:r>
          </w:p>
        </w:tc>
        <w:tc>
          <w:tcPr>
            <w:tcW w:w="3742" w:type="pct"/>
          </w:tcPr>
          <w:p w:rsidRPr="00FF07F1" w:rsidR="00B612CA" w:rsidP="00DC0FAE" w:rsidRDefault="00B612CA" w14:paraId="554796B3" w14:textId="77777777">
            <w:pPr>
              <w:tabs>
                <w:tab w:val="center" w:pos="284"/>
              </w:tabs>
              <w:spacing w:line="259" w:lineRule="auto"/>
              <w:ind w:left="266" w:hanging="266"/>
              <w:jc w:val="left"/>
              <w:rPr>
                <w:rFonts w:eastAsiaTheme="minorHAnsi"/>
                <w:sz w:val="22"/>
                <w:szCs w:val="22"/>
              </w:rPr>
            </w:pPr>
            <w:r w:rsidRPr="00FF07F1">
              <w:rPr>
                <w:sz w:val="22"/>
                <w:szCs w:val="22"/>
              </w:rPr>
              <w:t>COM(2024) 150 final</w:t>
            </w:r>
          </w:p>
        </w:tc>
      </w:tr>
      <w:tr w:rsidRPr="00FF07F1" w:rsidR="00B612CA" w:rsidTr="00FE3058" w14:paraId="10E2BB82" w14:textId="77777777">
        <w:tc>
          <w:tcPr>
            <w:tcW w:w="1258" w:type="pct"/>
            <w:vMerge/>
          </w:tcPr>
          <w:p w:rsidRPr="00FF07F1" w:rsidR="00B612CA" w:rsidP="00DC0FAE" w:rsidRDefault="00B612CA" w14:paraId="175F9DD0" w14:textId="77777777">
            <w:pPr>
              <w:tabs>
                <w:tab w:val="center" w:pos="284"/>
              </w:tabs>
              <w:spacing w:line="259" w:lineRule="auto"/>
              <w:ind w:left="266" w:hanging="266"/>
              <w:jc w:val="left"/>
              <w:rPr>
                <w:rFonts w:eastAsiaTheme="minorHAnsi"/>
                <w:b/>
                <w:sz w:val="22"/>
                <w:szCs w:val="22"/>
              </w:rPr>
            </w:pPr>
          </w:p>
        </w:tc>
        <w:tc>
          <w:tcPr>
            <w:tcW w:w="3742" w:type="pct"/>
          </w:tcPr>
          <w:p w:rsidRPr="00FF07F1" w:rsidR="00B612CA" w:rsidP="00DC0FAE" w:rsidRDefault="00B612CA" w14:paraId="4A35E6C4" w14:textId="77777777">
            <w:pPr>
              <w:tabs>
                <w:tab w:val="center" w:pos="284"/>
              </w:tabs>
              <w:spacing w:line="259" w:lineRule="auto"/>
              <w:ind w:left="266" w:hanging="266"/>
              <w:jc w:val="left"/>
              <w:rPr>
                <w:rFonts w:eastAsiaTheme="minorHAnsi"/>
                <w:sz w:val="22"/>
                <w:szCs w:val="22"/>
              </w:rPr>
            </w:pPr>
            <w:r w:rsidRPr="00FF07F1">
              <w:rPr>
                <w:sz w:val="22"/>
                <w:szCs w:val="22"/>
              </w:rPr>
              <w:t>EESC-2024-00813-00-00-AC</w:t>
            </w:r>
          </w:p>
        </w:tc>
      </w:tr>
    </w:tbl>
    <w:p w:rsidRPr="00FF07F1" w:rsidR="00B612CA" w:rsidP="00336F25"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336F25" w:rsidRDefault="00B612CA" w14:paraId="66AF4059" w14:textId="103542FE">
      <w:pPr>
        <w:keepNext/>
        <w:keepLines/>
        <w:spacing w:line="259" w:lineRule="auto"/>
        <w:ind w:left="142" w:hanging="142"/>
        <w:jc w:val="left"/>
        <w:rPr>
          <w:rFonts w:eastAsiaTheme="minorHAnsi"/>
          <w:b/>
        </w:rPr>
      </w:pPr>
      <w:r>
        <w:rPr>
          <w:b/>
        </w:rPr>
        <w:t>Główne punkty</w:t>
      </w:r>
    </w:p>
    <w:p w:rsidRPr="00B612CA" w:rsidR="007724A0" w:rsidP="00336F25" w:rsidRDefault="007724A0" w14:paraId="6657CF81" w14:textId="77777777">
      <w:pPr>
        <w:keepNext/>
        <w:keepLines/>
        <w:spacing w:line="259" w:lineRule="auto"/>
        <w:ind w:left="142" w:hanging="142"/>
        <w:jc w:val="left"/>
        <w:rPr>
          <w:rFonts w:eastAsiaTheme="minorHAnsi"/>
          <w:b/>
          <w:lang w:val="en-US"/>
        </w:rPr>
      </w:pPr>
    </w:p>
    <w:p w:rsidR="00B612CA" w:rsidP="00DC0FAE" w:rsidRDefault="00B612CA" w14:paraId="6C447796" w14:textId="188E9CB3">
      <w:pPr>
        <w:spacing w:after="160" w:line="259" w:lineRule="auto"/>
        <w:ind w:left="142" w:hanging="142"/>
        <w:jc w:val="left"/>
        <w:rPr>
          <w:rFonts w:eastAsiaTheme="minorHAnsi"/>
        </w:rPr>
      </w:pPr>
      <w:r>
        <w:t>EKES:</w:t>
      </w:r>
    </w:p>
    <w:p w:rsidRPr="00B612CA" w:rsidR="00B612CA" w:rsidP="00DC0FAE" w:rsidRDefault="00B612CA" w14:paraId="19ACACDB" w14:textId="77777777">
      <w:pPr>
        <w:numPr>
          <w:ilvl w:val="0"/>
          <w:numId w:val="24"/>
        </w:numPr>
        <w:spacing w:after="160" w:line="259" w:lineRule="auto"/>
        <w:ind w:left="284" w:hanging="284"/>
        <w:contextualSpacing/>
        <w:rPr>
          <w:rFonts w:eastAsiaTheme="minorHAnsi"/>
        </w:rPr>
      </w:pPr>
      <w:r>
        <w:t xml:space="preserve">Zaleca, aby Komisja Europejska </w:t>
      </w:r>
      <w:r>
        <w:rPr>
          <w:b/>
          <w:bCs/>
        </w:rPr>
        <w:t>komunikowała się na szeroką skalę z obywatelami europejskimi, aby kompleksowo informować o wyzwaniach związanych ze wspólnym finansowaniem obronności</w:t>
      </w:r>
      <w:r>
        <w:t xml:space="preserve"> w obecnym kontekście geopolitycznym i z myślą o budowaniu wspólnego bezpieczeństwa. Jednocześnie należy nadal opierać integrację europejską ma projekcie pokoju i solidarności.</w:t>
      </w:r>
    </w:p>
    <w:p w:rsidRPr="00B612CA" w:rsidR="00B612CA" w:rsidP="00DC0FAE" w:rsidRDefault="00B612CA" w14:paraId="10700EAD" w14:textId="36E94BED">
      <w:pPr>
        <w:numPr>
          <w:ilvl w:val="0"/>
          <w:numId w:val="24"/>
        </w:numPr>
        <w:spacing w:after="160" w:line="259" w:lineRule="auto"/>
        <w:ind w:left="284" w:hanging="284"/>
        <w:contextualSpacing/>
        <w:rPr>
          <w:rFonts w:eastAsiaTheme="minorHAnsi"/>
        </w:rPr>
      </w:pPr>
      <w:r>
        <w:t xml:space="preserve">Zwraca się o </w:t>
      </w:r>
      <w:r>
        <w:rPr>
          <w:b/>
          <w:bCs/>
        </w:rPr>
        <w:t>zwiększenie obecnego ograniczonego finansowania (1,5 mld EUR)</w:t>
      </w:r>
      <w:r>
        <w:t xml:space="preserve"> w</w:t>
      </w:r>
      <w:r w:rsidR="00336F25">
        <w:t> </w:t>
      </w:r>
      <w:r>
        <w:t>perspektywie średnioterminowej.</w:t>
      </w:r>
    </w:p>
    <w:p w:rsidRPr="00B612CA" w:rsidR="00B612CA" w:rsidP="00DC0FAE" w:rsidRDefault="00B612CA" w14:paraId="35EFB068" w14:textId="77777777">
      <w:pPr>
        <w:numPr>
          <w:ilvl w:val="0"/>
          <w:numId w:val="24"/>
        </w:numPr>
        <w:spacing w:after="160" w:line="259" w:lineRule="auto"/>
        <w:ind w:left="284" w:hanging="284"/>
        <w:contextualSpacing/>
        <w:rPr>
          <w:rFonts w:eastAsiaTheme="minorHAnsi"/>
        </w:rPr>
      </w:pPr>
      <w:r>
        <w:t>Podkreśla, że Program na rzecz europejskiego przemysłu obronnego (EDIP) musi, oprócz niezbędnej reakcji na pilne potrzeby Ukrainy, prowadzić do</w:t>
      </w:r>
      <w:r>
        <w:rPr>
          <w:b/>
          <w:bCs/>
        </w:rPr>
        <w:t xml:space="preserve"> strukturalnej ewolucji europejskiego podejścia do obronności</w:t>
      </w:r>
      <w:r>
        <w:t xml:space="preserve"> i powiązanej europejskiej bazy technologiczno-przemysłowej sektora obronnego (EDTIB).</w:t>
      </w:r>
    </w:p>
    <w:p w:rsidRPr="00B612CA" w:rsidR="00B612CA" w:rsidP="00DC0FAE" w:rsidRDefault="00B612CA" w14:paraId="474F4A0A" w14:textId="77D0B838">
      <w:pPr>
        <w:numPr>
          <w:ilvl w:val="0"/>
          <w:numId w:val="24"/>
        </w:numPr>
        <w:spacing w:after="160" w:line="259" w:lineRule="auto"/>
        <w:ind w:left="284" w:hanging="284"/>
        <w:contextualSpacing/>
        <w:rPr>
          <w:rFonts w:eastAsiaTheme="minorHAnsi"/>
        </w:rPr>
      </w:pPr>
      <w:r>
        <w:t xml:space="preserve">Zaleca, aby Parlament Europejski, państwa członkowskie, publiczny i prywatny sektor finansowy oraz Komisja Europejska przedstawiły </w:t>
      </w:r>
      <w:r>
        <w:rPr>
          <w:b/>
          <w:bCs/>
        </w:rPr>
        <w:t>długoterminowy plan zwiększenia wydatków i</w:t>
      </w:r>
      <w:r w:rsidR="00336F25">
        <w:rPr>
          <w:b/>
          <w:bCs/>
        </w:rPr>
        <w:t> </w:t>
      </w:r>
      <w:r>
        <w:rPr>
          <w:b/>
          <w:bCs/>
        </w:rPr>
        <w:t>zamówień na broń</w:t>
      </w:r>
      <w:r>
        <w:t>, który ułatwi sektorowi prywatnemu długofalowe inwestycje oraz wesprze plany produkcji sprzętu wojskowego przez EDTIB, a także zapewni wsparcie dla DTIB dla Ukrainy.</w:t>
      </w:r>
    </w:p>
    <w:p w:rsidRPr="00B612CA" w:rsidR="00B612CA" w:rsidP="00DC0FAE" w:rsidRDefault="00B612CA" w14:paraId="47D84DAE" w14:textId="77777777">
      <w:pPr>
        <w:numPr>
          <w:ilvl w:val="0"/>
          <w:numId w:val="24"/>
        </w:numPr>
        <w:spacing w:after="160" w:line="259" w:lineRule="auto"/>
        <w:ind w:left="284" w:hanging="284"/>
        <w:contextualSpacing/>
        <w:rPr>
          <w:rFonts w:eastAsiaTheme="minorHAnsi"/>
        </w:rPr>
      </w:pPr>
      <w:r>
        <w:t xml:space="preserve">Zaleca, aby Komisja Europejska </w:t>
      </w:r>
      <w:r>
        <w:rPr>
          <w:b/>
          <w:bCs/>
        </w:rPr>
        <w:t>wyjaśniła pochodzenie i wykorzystanie funduszy przeznaczonych na EDIP</w:t>
      </w:r>
      <w:r>
        <w:t>.</w:t>
      </w:r>
    </w:p>
    <w:p w:rsidRPr="00B612CA" w:rsidR="00B612CA" w:rsidP="00DC0FAE" w:rsidRDefault="00B612CA" w14:paraId="5028E334" w14:textId="77777777">
      <w:pPr>
        <w:numPr>
          <w:ilvl w:val="0"/>
          <w:numId w:val="24"/>
        </w:numPr>
        <w:spacing w:after="160" w:line="259" w:lineRule="auto"/>
        <w:ind w:left="284" w:hanging="284"/>
        <w:contextualSpacing/>
        <w:rPr>
          <w:rFonts w:eastAsiaTheme="minorHAnsi"/>
        </w:rPr>
      </w:pPr>
      <w:r>
        <w:t xml:space="preserve">Zaleca, aby </w:t>
      </w:r>
      <w:r>
        <w:rPr>
          <w:b/>
          <w:bCs/>
        </w:rPr>
        <w:t>przedsiębiorstwa EDTIB zacieśniły współpracę, zwłaszcza z MŚP i w aspekcie transgranicznym</w:t>
      </w:r>
      <w:r>
        <w:t>.</w:t>
      </w:r>
    </w:p>
    <w:p w:rsidRPr="00B612CA" w:rsidR="00B612CA" w:rsidP="00DC0FAE" w:rsidRDefault="00B612CA" w14:paraId="4BA1174F" w14:textId="77777777">
      <w:pPr>
        <w:numPr>
          <w:ilvl w:val="0"/>
          <w:numId w:val="24"/>
        </w:numPr>
        <w:spacing w:after="160" w:line="259" w:lineRule="auto"/>
        <w:ind w:left="284" w:hanging="284"/>
        <w:contextualSpacing/>
        <w:rPr>
          <w:rFonts w:eastAsiaTheme="minorHAnsi"/>
        </w:rPr>
      </w:pPr>
      <w:r>
        <w:t xml:space="preserve">Podkreśla znaczenie </w:t>
      </w:r>
      <w:r>
        <w:rPr>
          <w:b/>
          <w:bCs/>
        </w:rPr>
        <w:t>współpracy przemysłowej z Ukrainą</w:t>
      </w:r>
      <w:r>
        <w:t xml:space="preserve"> w ramach EDIP.</w:t>
      </w:r>
    </w:p>
    <w:p w:rsidRPr="00B612CA" w:rsidR="00B612CA" w:rsidP="00DC0FAE" w:rsidRDefault="00B612CA" w14:paraId="7E080E3B" w14:textId="77777777">
      <w:pPr>
        <w:numPr>
          <w:ilvl w:val="0"/>
          <w:numId w:val="24"/>
        </w:numPr>
        <w:spacing w:after="160" w:line="259" w:lineRule="auto"/>
        <w:ind w:left="284" w:hanging="284"/>
        <w:contextualSpacing/>
        <w:rPr>
          <w:rFonts w:eastAsiaTheme="minorHAnsi"/>
        </w:rPr>
      </w:pPr>
      <w:r>
        <w:t xml:space="preserve">Sugeruje dalsze promowanie </w:t>
      </w:r>
      <w:r>
        <w:rPr>
          <w:b/>
          <w:bCs/>
        </w:rPr>
        <w:t>synergii między przemysłem obronnym i cywilnym</w:t>
      </w:r>
      <w:r>
        <w:t>, w tym MŚP i przedsiębiorstwami typu start-up.</w:t>
      </w:r>
    </w:p>
    <w:p w:rsidRPr="00B612CA" w:rsidR="00B612CA" w:rsidP="00DC0FAE" w:rsidRDefault="00B612CA" w14:paraId="1616FA27" w14:textId="77777777">
      <w:pPr>
        <w:numPr>
          <w:ilvl w:val="0"/>
          <w:numId w:val="24"/>
        </w:numPr>
        <w:spacing w:after="160" w:line="259" w:lineRule="auto"/>
        <w:ind w:left="284" w:hanging="284"/>
        <w:contextualSpacing/>
        <w:rPr>
          <w:rFonts w:eastAsiaTheme="minorHAnsi"/>
        </w:rPr>
      </w:pPr>
      <w:r>
        <w:t xml:space="preserve">Zaleca, by włączyć do dokumentu regulacyjnego dotyczącego EDIP </w:t>
      </w:r>
      <w:r>
        <w:rPr>
          <w:b/>
          <w:bCs/>
        </w:rPr>
        <w:t>cele dotyczące odsetka wspólnych i wewnątrzeuropejskich zakupów</w:t>
      </w:r>
      <w:r>
        <w:t>, o których mowa w komunikacie w sprawie EDIS.</w:t>
      </w:r>
    </w:p>
    <w:p w:rsidRPr="00B612CA"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3781"/>
      </w:tblGrid>
      <w:tr w:rsidRPr="00B612CA" w:rsidR="00B612CA" w:rsidTr="00DC0FAE" w14:paraId="0A0E04CE" w14:textId="77777777">
        <w:tc>
          <w:tcPr>
            <w:tcW w:w="2148" w:type="pct"/>
          </w:tcPr>
          <w:p w:rsidRPr="00DC0FAE" w:rsidR="00B612CA" w:rsidP="00DC0FAE" w:rsidRDefault="00B612CA" w14:paraId="06D84C57" w14:textId="77777777">
            <w:pPr>
              <w:spacing w:line="240" w:lineRule="auto"/>
              <w:jc w:val="left"/>
              <w:rPr>
                <w:rFonts w:eastAsiaTheme="minorHAnsi"/>
                <w:i/>
              </w:rPr>
            </w:pPr>
            <w:r>
              <w:rPr>
                <w:b/>
                <w:i/>
              </w:rPr>
              <w:t>Kontakt</w:t>
            </w:r>
          </w:p>
        </w:tc>
        <w:tc>
          <w:tcPr>
            <w:tcW w:w="2852" w:type="pct"/>
            <w:tcBorders>
              <w:left w:val="nil"/>
            </w:tcBorders>
          </w:tcPr>
          <w:p w:rsidRPr="00DC0FAE" w:rsidR="00B612CA" w:rsidP="00DC0FAE" w:rsidRDefault="00B612CA" w14:paraId="32F55D6E" w14:textId="496A8A95">
            <w:pPr>
              <w:spacing w:line="240" w:lineRule="auto"/>
              <w:ind w:firstLine="177"/>
              <w:jc w:val="left"/>
              <w:rPr>
                <w:rFonts w:eastAsiaTheme="minorHAnsi"/>
                <w:i/>
              </w:rPr>
            </w:pPr>
            <w:r>
              <w:rPr>
                <w:i/>
              </w:rPr>
              <w:t>Ioannis Diamantopoulos</w:t>
            </w:r>
          </w:p>
        </w:tc>
      </w:tr>
      <w:tr w:rsidRPr="00B612CA" w:rsidR="00B612CA" w:rsidTr="00DC0FAE" w14:paraId="170A473F" w14:textId="77777777">
        <w:tc>
          <w:tcPr>
            <w:tcW w:w="2148" w:type="pct"/>
          </w:tcPr>
          <w:p w:rsidRPr="00DC0FAE" w:rsidR="00B612CA" w:rsidP="00DC0FAE" w:rsidRDefault="00B612CA" w14:paraId="56DAFD05" w14:textId="77777777">
            <w:pPr>
              <w:spacing w:line="240" w:lineRule="auto"/>
              <w:jc w:val="left"/>
              <w:rPr>
                <w:rFonts w:eastAsiaTheme="minorHAnsi"/>
                <w:i/>
              </w:rPr>
            </w:pPr>
            <w:r>
              <w:rPr>
                <w:i/>
              </w:rPr>
              <w:t xml:space="preserve">tel. </w:t>
            </w:r>
          </w:p>
        </w:tc>
        <w:tc>
          <w:tcPr>
            <w:tcW w:w="2852" w:type="pct"/>
            <w:tcBorders>
              <w:left w:val="nil"/>
            </w:tcBorders>
          </w:tcPr>
          <w:p w:rsidRPr="00DC0FAE" w:rsidR="00B612CA" w:rsidP="00DC0FAE" w:rsidRDefault="00B612CA" w14:paraId="2A298CC6" w14:textId="77777777">
            <w:pPr>
              <w:spacing w:line="240" w:lineRule="auto"/>
              <w:ind w:firstLine="177"/>
              <w:jc w:val="left"/>
              <w:rPr>
                <w:rFonts w:eastAsiaTheme="minorHAnsi"/>
                <w:i/>
              </w:rPr>
            </w:pPr>
            <w:r>
              <w:rPr>
                <w:i/>
              </w:rPr>
              <w:t>+32 25469170</w:t>
            </w:r>
          </w:p>
        </w:tc>
      </w:tr>
      <w:tr w:rsidRPr="00B612CA" w:rsidR="00B612CA" w:rsidTr="00DC0FAE" w14:paraId="279B24AC" w14:textId="77777777">
        <w:tc>
          <w:tcPr>
            <w:tcW w:w="2148" w:type="pct"/>
          </w:tcPr>
          <w:p w:rsidRPr="00DC0FAE" w:rsidR="00B612CA" w:rsidP="00DC0FAE" w:rsidRDefault="007724A0" w14:paraId="005C0206" w14:textId="59684306">
            <w:pPr>
              <w:spacing w:line="240" w:lineRule="auto"/>
              <w:jc w:val="left"/>
              <w:rPr>
                <w:rFonts w:eastAsiaTheme="minorHAnsi"/>
                <w:i/>
                <w:iCs/>
              </w:rPr>
            </w:pPr>
            <w:r>
              <w:rPr>
                <w:i/>
              </w:rPr>
              <w:t>e-mail</w:t>
            </w:r>
          </w:p>
        </w:tc>
        <w:tc>
          <w:tcPr>
            <w:tcW w:w="2852" w:type="pct"/>
            <w:tcBorders>
              <w:left w:val="nil"/>
            </w:tcBorders>
          </w:tcPr>
          <w:p w:rsidRPr="00DC0FAE" w:rsidR="00B612CA" w:rsidP="00DC0FAE" w:rsidRDefault="0096037A" w14:paraId="64C65441" w14:textId="2972B3EB">
            <w:pPr>
              <w:spacing w:line="240" w:lineRule="auto"/>
              <w:ind w:firstLine="177"/>
              <w:jc w:val="left"/>
              <w:rPr>
                <w:rFonts w:eastAsiaTheme="minorHAnsi"/>
                <w:i/>
                <w:iCs/>
              </w:rPr>
            </w:pPr>
            <w:hyperlink w:history="1" r:id="rId37">
              <w:r w:rsidR="005C28F2">
                <w:rPr>
                  <w:rStyle w:val="Hyperlink"/>
                </w:rPr>
                <w:t>Ioannis.Diamantopoulos@eesc.europa.eu</w:t>
              </w:r>
            </w:hyperlink>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B612CA" w:rsidR="00B612CA" w:rsidP="00C26C81" w:rsidRDefault="0096037A" w14:paraId="2A9B1900" w14:textId="09925451">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rPr>
      </w:pPr>
      <w:hyperlink w:history="1" r:id="rId38">
        <w:r w:rsidR="00660BE3">
          <w:rPr>
            <w:b/>
            <w:color w:val="0000FF"/>
            <w:sz w:val="28"/>
            <w:u w:val="single"/>
          </w:rPr>
          <w:t>Sektor dronów: studium przypadku dotyczące strategicznej autonomii</w:t>
        </w:r>
      </w:hyperlink>
    </w:p>
    <w:p w:rsidRPr="008B7113" w:rsidR="00DD6D07" w:rsidP="00DC0FAE" w:rsidRDefault="00DD6D07" w14:paraId="4DADB4F0" w14:textId="77777777">
      <w:pPr>
        <w:widowControl w:val="0"/>
        <w:overflowPunct w:val="0"/>
        <w:autoSpaceDE w:val="0"/>
        <w:autoSpaceDN w:val="0"/>
        <w:adjustRightInd w:val="0"/>
        <w:textAlignment w:val="baseline"/>
        <w:rPr>
          <w:rFonts w:eastAsiaTheme="minorHAnsi"/>
          <w:b/>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5757"/>
      </w:tblGrid>
      <w:tr w:rsidRPr="008B7113" w:rsidR="00B612CA" w:rsidTr="00FE3058" w14:paraId="3BDDEC70" w14:textId="77777777">
        <w:tc>
          <w:tcPr>
            <w:tcW w:w="1258" w:type="pct"/>
          </w:tcPr>
          <w:p w:rsidRPr="008B7113" w:rsidR="00B612CA" w:rsidP="00DC0FAE" w:rsidRDefault="00B612CA" w14:paraId="72524AE6" w14:textId="77777777">
            <w:pPr>
              <w:tabs>
                <w:tab w:val="center" w:pos="284"/>
              </w:tabs>
              <w:ind w:left="266" w:hanging="266"/>
              <w:jc w:val="left"/>
              <w:rPr>
                <w:rFonts w:eastAsiaTheme="minorHAnsi"/>
                <w:b/>
                <w:sz w:val="22"/>
                <w:szCs w:val="22"/>
              </w:rPr>
            </w:pPr>
            <w:r w:rsidRPr="008B7113">
              <w:rPr>
                <w:b/>
                <w:sz w:val="22"/>
                <w:szCs w:val="22"/>
              </w:rPr>
              <w:t>Sprawozdawca</w:t>
            </w:r>
          </w:p>
        </w:tc>
        <w:tc>
          <w:tcPr>
            <w:tcW w:w="3742" w:type="pct"/>
          </w:tcPr>
          <w:p w:rsidRPr="008B7113" w:rsidR="00B612CA" w:rsidP="00DC0FAE" w:rsidRDefault="00B612CA" w14:paraId="5A103C16" w14:textId="77777777">
            <w:pPr>
              <w:tabs>
                <w:tab w:val="center" w:pos="0"/>
              </w:tabs>
              <w:ind w:left="27" w:hanging="27"/>
              <w:jc w:val="left"/>
              <w:rPr>
                <w:rFonts w:eastAsiaTheme="minorHAnsi"/>
                <w:sz w:val="22"/>
                <w:szCs w:val="22"/>
              </w:rPr>
            </w:pPr>
            <w:r w:rsidRPr="008B7113">
              <w:rPr>
                <w:sz w:val="22"/>
                <w:szCs w:val="22"/>
              </w:rPr>
              <w:t>Panagiotis GKOFAS (Grupa Organizacji Społeczeństwa Obywatelskiego – EL)</w:t>
            </w:r>
          </w:p>
        </w:tc>
      </w:tr>
      <w:tr w:rsidRPr="008B7113" w:rsidR="00B612CA" w:rsidTr="00FE3058" w14:paraId="4789CE29" w14:textId="77777777">
        <w:tc>
          <w:tcPr>
            <w:tcW w:w="1258" w:type="pct"/>
          </w:tcPr>
          <w:p w:rsidRPr="008B7113" w:rsidR="00B612CA" w:rsidP="00DC0FAE" w:rsidRDefault="00B612CA" w14:paraId="4BC4535D" w14:textId="77777777">
            <w:pPr>
              <w:tabs>
                <w:tab w:val="center" w:pos="284"/>
              </w:tabs>
              <w:ind w:left="266" w:hanging="266"/>
              <w:jc w:val="left"/>
              <w:rPr>
                <w:rFonts w:eastAsiaTheme="minorHAnsi"/>
                <w:b/>
                <w:sz w:val="22"/>
                <w:szCs w:val="22"/>
              </w:rPr>
            </w:pPr>
            <w:r w:rsidRPr="008B7113">
              <w:rPr>
                <w:b/>
                <w:sz w:val="22"/>
                <w:szCs w:val="22"/>
              </w:rPr>
              <w:t>Współsprawozdawca</w:t>
            </w:r>
          </w:p>
        </w:tc>
        <w:tc>
          <w:tcPr>
            <w:tcW w:w="3742" w:type="pct"/>
          </w:tcPr>
          <w:p w:rsidRPr="008B7113" w:rsidR="00B612CA" w:rsidP="00DC0FAE" w:rsidRDefault="00B612CA" w14:paraId="45BEE5FC" w14:textId="77777777">
            <w:pPr>
              <w:tabs>
                <w:tab w:val="center" w:pos="284"/>
              </w:tabs>
              <w:ind w:left="266" w:hanging="266"/>
              <w:jc w:val="left"/>
              <w:rPr>
                <w:rFonts w:eastAsiaTheme="minorHAnsi"/>
                <w:sz w:val="22"/>
                <w:szCs w:val="22"/>
              </w:rPr>
            </w:pPr>
            <w:r w:rsidRPr="008B7113">
              <w:rPr>
                <w:sz w:val="22"/>
                <w:szCs w:val="22"/>
              </w:rPr>
              <w:t>Patrice François CHAZERAND (Kat. 1 – FR)</w:t>
            </w:r>
          </w:p>
        </w:tc>
      </w:tr>
      <w:tr w:rsidRPr="008B7113" w:rsidR="00B612CA" w:rsidTr="00FE3058" w14:paraId="5E7071EE" w14:textId="77777777">
        <w:tc>
          <w:tcPr>
            <w:tcW w:w="5000" w:type="pct"/>
            <w:gridSpan w:val="2"/>
          </w:tcPr>
          <w:p w:rsidRPr="008B7113" w:rsidR="00B612CA" w:rsidP="00B612CA" w:rsidRDefault="00B612CA" w14:paraId="0CB6DE07" w14:textId="77777777">
            <w:pPr>
              <w:tabs>
                <w:tab w:val="center" w:pos="284"/>
              </w:tabs>
              <w:spacing w:after="160"/>
              <w:ind w:left="266" w:hanging="266"/>
              <w:jc w:val="left"/>
              <w:rPr>
                <w:rFonts w:eastAsiaTheme="minorHAnsi"/>
                <w:sz w:val="22"/>
                <w:szCs w:val="22"/>
              </w:rPr>
            </w:pPr>
          </w:p>
        </w:tc>
      </w:tr>
      <w:tr w:rsidRPr="008B7113" w:rsidR="00B612CA" w:rsidTr="00FE3058" w14:paraId="5C97F1F0" w14:textId="77777777">
        <w:tc>
          <w:tcPr>
            <w:tcW w:w="1258" w:type="pct"/>
            <w:vMerge w:val="restart"/>
          </w:tcPr>
          <w:p w:rsidRPr="008B7113" w:rsidR="00B612CA" w:rsidP="00B612CA" w:rsidRDefault="00B612CA" w14:paraId="1ACFAAEE" w14:textId="77777777">
            <w:pPr>
              <w:tabs>
                <w:tab w:val="center" w:pos="284"/>
              </w:tabs>
              <w:spacing w:after="160"/>
              <w:ind w:left="266" w:hanging="266"/>
              <w:jc w:val="left"/>
              <w:rPr>
                <w:rFonts w:eastAsiaTheme="minorHAnsi"/>
                <w:b/>
                <w:sz w:val="22"/>
                <w:szCs w:val="22"/>
              </w:rPr>
            </w:pPr>
            <w:r w:rsidRPr="008B7113">
              <w:rPr>
                <w:b/>
                <w:sz w:val="22"/>
                <w:szCs w:val="22"/>
              </w:rPr>
              <w:t>Dokumenty</w:t>
            </w:r>
          </w:p>
        </w:tc>
        <w:tc>
          <w:tcPr>
            <w:tcW w:w="3742" w:type="pct"/>
          </w:tcPr>
          <w:p w:rsidRPr="008B7113" w:rsidR="008E5F1F" w:rsidP="00DC0FAE" w:rsidRDefault="008E5F1F" w14:paraId="4FD72709" w14:textId="77777777">
            <w:pPr>
              <w:tabs>
                <w:tab w:val="center" w:pos="284"/>
              </w:tabs>
              <w:ind w:left="266" w:hanging="266"/>
              <w:jc w:val="left"/>
              <w:rPr>
                <w:rFonts w:eastAsiaTheme="minorHAnsi"/>
                <w:sz w:val="22"/>
                <w:szCs w:val="22"/>
              </w:rPr>
            </w:pPr>
            <w:r w:rsidRPr="008B7113">
              <w:rPr>
                <w:sz w:val="22"/>
                <w:szCs w:val="22"/>
              </w:rPr>
              <w:t>Opinia z inicjatywy własnej</w:t>
            </w:r>
          </w:p>
          <w:p w:rsidRPr="008B7113" w:rsidR="00B612CA" w:rsidP="00DC0FAE" w:rsidRDefault="00B612CA" w14:paraId="2BDD1C6B" w14:textId="29BCECDA">
            <w:pPr>
              <w:tabs>
                <w:tab w:val="center" w:pos="284"/>
              </w:tabs>
              <w:ind w:left="266" w:hanging="266"/>
              <w:jc w:val="left"/>
              <w:rPr>
                <w:rFonts w:eastAsiaTheme="minorHAnsi"/>
                <w:sz w:val="22"/>
                <w:szCs w:val="22"/>
              </w:rPr>
            </w:pPr>
            <w:r w:rsidRPr="008B7113">
              <w:rPr>
                <w:sz w:val="22"/>
                <w:szCs w:val="22"/>
              </w:rPr>
              <w:t>EESC-2024-00046-00-00-AC</w:t>
            </w:r>
          </w:p>
        </w:tc>
      </w:tr>
      <w:tr w:rsidRPr="008B7113" w:rsidR="00B612CA" w:rsidTr="00FE3058" w14:paraId="262D674B" w14:textId="77777777">
        <w:tc>
          <w:tcPr>
            <w:tcW w:w="1258" w:type="pct"/>
            <w:vMerge/>
          </w:tcPr>
          <w:p w:rsidRPr="008B7113"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 w:val="22"/>
                <w:szCs w:val="22"/>
              </w:rPr>
            </w:pPr>
          </w:p>
        </w:tc>
        <w:tc>
          <w:tcPr>
            <w:tcW w:w="3742" w:type="pct"/>
          </w:tcPr>
          <w:p w:rsidRPr="008B7113"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 w:val="22"/>
                <w:szCs w:val="22"/>
              </w:rPr>
            </w:pPr>
          </w:p>
        </w:tc>
      </w:tr>
    </w:tbl>
    <w:p w:rsidRPr="008B7113" w:rsidR="00B612CA" w:rsidP="00B612CA" w:rsidRDefault="00B612CA" w14:paraId="5D3EDF6C" w14:textId="77777777">
      <w:pPr>
        <w:keepNext/>
        <w:keepLines/>
        <w:spacing w:after="160"/>
        <w:ind w:left="142" w:hanging="142"/>
        <w:jc w:val="left"/>
        <w:rPr>
          <w:rFonts w:eastAsiaTheme="minorHAnsi"/>
          <w:b/>
        </w:rPr>
      </w:pPr>
      <w:r w:rsidRPr="008B7113">
        <w:rPr>
          <w:b/>
        </w:rPr>
        <w:t>Główne punkty</w:t>
      </w:r>
    </w:p>
    <w:p w:rsidR="00B612CA" w:rsidP="002F57E9" w:rsidRDefault="00B612CA" w14:paraId="500E1CB5" w14:textId="1961B0BC">
      <w:pPr>
        <w:spacing w:after="160"/>
        <w:ind w:left="142" w:hanging="142"/>
        <w:jc w:val="left"/>
        <w:rPr>
          <w:rFonts w:eastAsiaTheme="minorHAnsi"/>
        </w:rPr>
      </w:pPr>
      <w:r>
        <w:t>EKES:</w:t>
      </w:r>
    </w:p>
    <w:p w:rsidRPr="00B612CA" w:rsidR="00B612CA" w:rsidP="00DC0FAE" w:rsidRDefault="00B612CA" w14:paraId="487029DD" w14:textId="43F14455">
      <w:pPr>
        <w:numPr>
          <w:ilvl w:val="0"/>
          <w:numId w:val="25"/>
        </w:numPr>
        <w:spacing w:line="259" w:lineRule="auto"/>
        <w:ind w:left="284" w:hanging="284"/>
        <w:rPr>
          <w:rFonts w:eastAsiaTheme="minorHAnsi"/>
        </w:rPr>
      </w:pPr>
      <w:r>
        <w:t xml:space="preserve">Jest zdania, że połączenie </w:t>
      </w:r>
      <w:r>
        <w:rPr>
          <w:b/>
        </w:rPr>
        <w:t>europejskiej strategii dotyczącej</w:t>
      </w:r>
      <w:r>
        <w:t xml:space="preserve"> </w:t>
      </w:r>
      <w:r>
        <w:rPr>
          <w:b/>
        </w:rPr>
        <w:t>dronów z Europejską strategią</w:t>
      </w:r>
      <w:r>
        <w:t xml:space="preserve"> przemysłową w dziedzinie obronności oraz integracja </w:t>
      </w:r>
      <w:r>
        <w:rPr>
          <w:b/>
        </w:rPr>
        <w:t>europejskiej bazy technologiczno-przemysłowej sektora obronnego</w:t>
      </w:r>
      <w:r>
        <w:t xml:space="preserve"> </w:t>
      </w:r>
      <w:r>
        <w:rPr>
          <w:b/>
        </w:rPr>
        <w:t>(EDTIB)</w:t>
      </w:r>
      <w:r>
        <w:t xml:space="preserve"> w celu wspierania </w:t>
      </w:r>
      <w:r>
        <w:rPr>
          <w:b/>
        </w:rPr>
        <w:t>krajowej produkcji dronów o</w:t>
      </w:r>
      <w:r w:rsidR="00336F25">
        <w:rPr>
          <w:b/>
        </w:rPr>
        <w:t> </w:t>
      </w:r>
      <w:r>
        <w:rPr>
          <w:b/>
        </w:rPr>
        <w:t>wysokiej jakości/dużej zdolności</w:t>
      </w:r>
      <w:r>
        <w:t xml:space="preserve"> dzięki </w:t>
      </w:r>
      <w:r>
        <w:rPr>
          <w:b/>
        </w:rPr>
        <w:t>stabilnemu przepływowi zamówień publicznych</w:t>
      </w:r>
      <w:r>
        <w:t xml:space="preserve"> ma zasadnicze znaczenie dla krytycznej niezależności Europy.</w:t>
      </w:r>
    </w:p>
    <w:p w:rsidRPr="00B612CA" w:rsidR="00B612CA" w:rsidP="00DC0FAE" w:rsidRDefault="00B612CA" w14:paraId="1202E286" w14:textId="77777777">
      <w:pPr>
        <w:numPr>
          <w:ilvl w:val="0"/>
          <w:numId w:val="25"/>
        </w:numPr>
        <w:spacing w:line="259" w:lineRule="auto"/>
        <w:ind w:left="284" w:hanging="284"/>
        <w:rPr>
          <w:rFonts w:eastAsiaTheme="minorHAnsi"/>
        </w:rPr>
      </w:pPr>
      <w:r>
        <w:t xml:space="preserve">Nadal opowiada się za </w:t>
      </w:r>
      <w:r>
        <w:rPr>
          <w:b/>
        </w:rPr>
        <w:t>lepszą współpracą i innowacjami</w:t>
      </w:r>
      <w:r>
        <w:t xml:space="preserve"> oraz za wykorzystywaniem przepisów, takich jak akt w sprawie sztucznej inteligencji i akt w sprawie czipów, w celu </w:t>
      </w:r>
      <w:r>
        <w:rPr>
          <w:b/>
        </w:rPr>
        <w:t>zwiększenia strategicznej</w:t>
      </w:r>
      <w:r>
        <w:t xml:space="preserve"> </w:t>
      </w:r>
      <w:r>
        <w:rPr>
          <w:b/>
        </w:rPr>
        <w:t>autonomii</w:t>
      </w:r>
      <w:r>
        <w:t xml:space="preserve"> oraz wzmocnienia bezpieczeństwa narodowego i wzrostu gospodarczego;</w:t>
      </w:r>
    </w:p>
    <w:p w:rsidRPr="00B612CA" w:rsidR="00B612CA" w:rsidP="00DC0FAE" w:rsidRDefault="00B612CA" w14:paraId="13B8DCFD" w14:textId="77777777">
      <w:pPr>
        <w:numPr>
          <w:ilvl w:val="0"/>
          <w:numId w:val="25"/>
        </w:numPr>
        <w:spacing w:line="259" w:lineRule="auto"/>
        <w:ind w:left="284" w:hanging="284"/>
        <w:rPr>
          <w:rFonts w:eastAsiaTheme="minorHAnsi"/>
        </w:rPr>
      </w:pPr>
      <w:r>
        <w:t xml:space="preserve">Podkreśla, że potrzeba </w:t>
      </w:r>
      <w:r>
        <w:rPr>
          <w:b/>
        </w:rPr>
        <w:t>spójności między wojskowymi i cywilnymi badaniami i rozwojem</w:t>
      </w:r>
      <w:r>
        <w:t xml:space="preserve"> będzie rosnąć, gdyż drony będą w większym stopniu wykorzystywać automatyzację, uczenie się maszyn i sztuczną inteligencję (AI).</w:t>
      </w:r>
    </w:p>
    <w:p w:rsidRPr="00B612CA" w:rsidR="00B612CA" w:rsidP="00DC0FAE" w:rsidRDefault="00B612CA" w14:paraId="36029321" w14:textId="77777777">
      <w:pPr>
        <w:numPr>
          <w:ilvl w:val="0"/>
          <w:numId w:val="25"/>
        </w:numPr>
        <w:spacing w:line="259" w:lineRule="auto"/>
        <w:ind w:left="284" w:hanging="284"/>
        <w:rPr>
          <w:rFonts w:eastAsiaTheme="minorHAnsi"/>
        </w:rPr>
      </w:pPr>
      <w:r>
        <w:t xml:space="preserve">Sądzi, że </w:t>
      </w:r>
      <w:r>
        <w:rPr>
          <w:b/>
        </w:rPr>
        <w:t>strategiczny plan działania w zakresie technologii dronów dla Europy</w:t>
      </w:r>
      <w:r>
        <w:t xml:space="preserve"> ma zasadnicze znaczenie dla krytycznych technologii dronów i systemów dronów podwójnego zastosowania, które mogą zapewnić uporządkowane podejście do rozwoju technologii dronów.</w:t>
      </w:r>
    </w:p>
    <w:p w:rsidRPr="00B612CA" w:rsidR="00B612CA" w:rsidP="00DC0FAE" w:rsidRDefault="00B612CA" w14:paraId="1BD31BD4" w14:textId="73C1C1DB">
      <w:pPr>
        <w:numPr>
          <w:ilvl w:val="0"/>
          <w:numId w:val="25"/>
        </w:numPr>
        <w:spacing w:line="259" w:lineRule="auto"/>
        <w:ind w:left="284" w:hanging="284"/>
        <w:rPr>
          <w:rFonts w:eastAsiaTheme="minorHAnsi"/>
        </w:rPr>
      </w:pPr>
      <w:r>
        <w:t xml:space="preserve">Podkreśla, że należy dokładnie rozważyć </w:t>
      </w:r>
      <w:r>
        <w:rPr>
          <w:b/>
        </w:rPr>
        <w:t>wsparcie finansowe potencjalnych inwestycji w</w:t>
      </w:r>
      <w:r w:rsidR="00336F25">
        <w:rPr>
          <w:b/>
        </w:rPr>
        <w:t> </w:t>
      </w:r>
      <w:r>
        <w:rPr>
          <w:b/>
        </w:rPr>
        <w:t>produkcję dronów oraz integrację łańcuchów dostaw i wartości</w:t>
      </w:r>
      <w:r>
        <w:t>.</w:t>
      </w:r>
    </w:p>
    <w:p w:rsidRPr="00B612CA" w:rsidR="00B612CA" w:rsidP="00DC0FAE" w:rsidRDefault="00B612CA" w14:paraId="0CDF4865" w14:textId="3624B892">
      <w:pPr>
        <w:numPr>
          <w:ilvl w:val="0"/>
          <w:numId w:val="25"/>
        </w:numPr>
        <w:spacing w:line="259" w:lineRule="auto"/>
        <w:ind w:left="284" w:hanging="284"/>
        <w:rPr>
          <w:rFonts w:eastAsiaTheme="minorHAnsi"/>
        </w:rPr>
      </w:pPr>
      <w:r>
        <w:t>Zaznacza, że UE powinna aktywniej angażować się na szczeblu globalnym, zwłaszcza w</w:t>
      </w:r>
      <w:r w:rsidR="00336F25">
        <w:t> </w:t>
      </w:r>
      <w:r>
        <w:t>odniesieniu do procedur certyfikacji.</w:t>
      </w:r>
    </w:p>
    <w:p w:rsidRPr="00B612CA" w:rsidR="00B612CA" w:rsidP="00DC0FAE" w:rsidRDefault="00B612CA" w14:paraId="6CE8FCE4" w14:textId="77777777">
      <w:pPr>
        <w:numPr>
          <w:ilvl w:val="0"/>
          <w:numId w:val="25"/>
        </w:numPr>
        <w:spacing w:line="259" w:lineRule="auto"/>
        <w:ind w:left="284" w:hanging="284"/>
        <w:rPr>
          <w:rFonts w:eastAsiaTheme="minorHAnsi"/>
        </w:rPr>
      </w:pPr>
      <w:r>
        <w:t xml:space="preserve">Odnotowuje, że zasadnicze znaczenie ma </w:t>
      </w:r>
      <w:r>
        <w:rPr>
          <w:b/>
        </w:rPr>
        <w:t>społeczna akceptacja</w:t>
      </w:r>
      <w:r>
        <w:t xml:space="preserve"> dla innowacyjnych operacji mobilności powietrznej: wsparcie UE może wzmocnić cały ekosystem lotnictwa i przyczynić się do jego wzrostu i zrównoważoności.</w:t>
      </w:r>
    </w:p>
    <w:p w:rsidRPr="00B612CA" w:rsidR="00B612CA" w:rsidP="00DC0FAE" w:rsidRDefault="00B612CA" w14:paraId="413AAB7E" w14:textId="77777777">
      <w:pPr>
        <w:numPr>
          <w:ilvl w:val="0"/>
          <w:numId w:val="25"/>
        </w:numPr>
        <w:spacing w:line="259" w:lineRule="auto"/>
        <w:ind w:left="284" w:hanging="284"/>
        <w:rPr>
          <w:rFonts w:eastAsiaTheme="minorHAnsi"/>
        </w:rPr>
      </w:pPr>
      <w:r>
        <w:t xml:space="preserve">Zaznacza, że UE powinna być również gotowa do opracowania skonsolidowanej </w:t>
      </w:r>
      <w:r>
        <w:rPr>
          <w:b/>
        </w:rPr>
        <w:t>strategii na rzecz wspólnej tarczy antydronowej</w:t>
      </w:r>
      <w:r>
        <w:t>, która pozwoli stawiać czoła licznym zagrożeniom związanym z zagrożeniami hybrydowymi, działaniami terrorystycznymi, agresją ze strony innych państw, a nawet nadużyciami popełnianymi w kontekście cywilnym.</w:t>
      </w: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7"/>
        <w:gridCol w:w="3744"/>
      </w:tblGrid>
      <w:tr w:rsidRPr="00B612CA" w:rsidR="00B612CA" w:rsidTr="00FE3058" w14:paraId="4B20577C" w14:textId="77777777">
        <w:tc>
          <w:tcPr>
            <w:tcW w:w="2089" w:type="pct"/>
          </w:tcPr>
          <w:p w:rsidRPr="00DC0FAE" w:rsidR="00B612CA" w:rsidP="00DC0FAE" w:rsidRDefault="00B612CA" w14:paraId="2947396D" w14:textId="77777777">
            <w:pPr>
              <w:spacing w:line="259" w:lineRule="auto"/>
              <w:jc w:val="left"/>
              <w:rPr>
                <w:rFonts w:eastAsiaTheme="minorHAnsi"/>
                <w:i/>
              </w:rPr>
            </w:pPr>
            <w:r>
              <w:rPr>
                <w:b/>
                <w:i/>
              </w:rPr>
              <w:t>Kontakt</w:t>
            </w:r>
          </w:p>
        </w:tc>
        <w:tc>
          <w:tcPr>
            <w:tcW w:w="2911" w:type="pct"/>
            <w:tcBorders>
              <w:left w:val="nil"/>
            </w:tcBorders>
          </w:tcPr>
          <w:p w:rsidRPr="00DC0FAE" w:rsidR="00B612CA" w:rsidP="00DC0FAE" w:rsidRDefault="00B612CA" w14:paraId="2C72CC9C" w14:textId="59DEF34B">
            <w:pPr>
              <w:spacing w:line="259" w:lineRule="auto"/>
              <w:jc w:val="left"/>
              <w:rPr>
                <w:rFonts w:eastAsiaTheme="minorHAnsi"/>
                <w:i/>
              </w:rPr>
            </w:pPr>
            <w:r>
              <w:rPr>
                <w:i/>
              </w:rPr>
              <w:t>Ioannis Diamantopoulos</w:t>
            </w:r>
          </w:p>
        </w:tc>
      </w:tr>
      <w:tr w:rsidRPr="00B612CA" w:rsidR="00B612CA" w:rsidTr="00FE3058" w14:paraId="2E3E56CC" w14:textId="77777777">
        <w:tc>
          <w:tcPr>
            <w:tcW w:w="2089" w:type="pct"/>
          </w:tcPr>
          <w:p w:rsidRPr="00DC0FAE" w:rsidR="00B612CA" w:rsidP="00DC0FAE" w:rsidRDefault="00B612CA" w14:paraId="32C90F95" w14:textId="77777777">
            <w:pPr>
              <w:spacing w:line="259" w:lineRule="auto"/>
              <w:jc w:val="left"/>
              <w:rPr>
                <w:rFonts w:eastAsiaTheme="minorHAnsi"/>
                <w:i/>
              </w:rPr>
            </w:pPr>
            <w:r>
              <w:rPr>
                <w:i/>
              </w:rPr>
              <w:t xml:space="preserve">tel. </w:t>
            </w:r>
          </w:p>
        </w:tc>
        <w:tc>
          <w:tcPr>
            <w:tcW w:w="2911" w:type="pct"/>
            <w:tcBorders>
              <w:left w:val="nil"/>
            </w:tcBorders>
          </w:tcPr>
          <w:p w:rsidRPr="00DC0FAE" w:rsidR="00B612CA" w:rsidP="00DC0FAE" w:rsidRDefault="00B612CA" w14:paraId="6667914E" w14:textId="77777777">
            <w:pPr>
              <w:spacing w:line="259" w:lineRule="auto"/>
              <w:jc w:val="left"/>
              <w:rPr>
                <w:rFonts w:eastAsiaTheme="minorHAnsi"/>
                <w:i/>
              </w:rPr>
            </w:pPr>
            <w:r>
              <w:rPr>
                <w:i/>
              </w:rPr>
              <w:t>+32 25469170</w:t>
            </w:r>
          </w:p>
        </w:tc>
      </w:tr>
      <w:tr w:rsidRPr="00B612CA" w:rsidR="00B612CA" w:rsidTr="00FE3058" w14:paraId="5E62AD0C" w14:textId="77777777">
        <w:tc>
          <w:tcPr>
            <w:tcW w:w="2089" w:type="pct"/>
          </w:tcPr>
          <w:p w:rsidRPr="00DC0FAE" w:rsidR="00B612CA" w:rsidP="00DC0FAE" w:rsidRDefault="00B612CA" w14:paraId="28949472" w14:textId="77777777">
            <w:pPr>
              <w:spacing w:line="259" w:lineRule="auto"/>
              <w:jc w:val="left"/>
              <w:rPr>
                <w:rFonts w:eastAsiaTheme="minorHAnsi"/>
                <w:i/>
                <w:iCs/>
              </w:rPr>
            </w:pPr>
            <w:r>
              <w:rPr>
                <w:i/>
              </w:rPr>
              <w:t>e-mail</w:t>
            </w:r>
          </w:p>
        </w:tc>
        <w:tc>
          <w:tcPr>
            <w:tcW w:w="2911" w:type="pct"/>
            <w:tcBorders>
              <w:left w:val="nil"/>
            </w:tcBorders>
          </w:tcPr>
          <w:p w:rsidRPr="00DC0FAE" w:rsidR="00B612CA" w:rsidP="00DC0FAE" w:rsidRDefault="0096037A" w14:paraId="670FA610" w14:textId="3DD50747">
            <w:pPr>
              <w:spacing w:line="259" w:lineRule="auto"/>
              <w:jc w:val="left"/>
              <w:rPr>
                <w:rFonts w:eastAsiaTheme="minorHAnsi"/>
                <w:i/>
                <w:iCs/>
              </w:rPr>
            </w:pPr>
            <w:hyperlink w:history="1" r:id="rId39">
              <w:r w:rsidR="005C28F2">
                <w:rPr>
                  <w:rStyle w:val="Hyperlink"/>
                </w:rPr>
                <w:t>Ioannis.Diamantopoulos@eesc.europa.eu</w:t>
              </w:r>
            </w:hyperlink>
          </w:p>
        </w:tc>
      </w:tr>
    </w:tbl>
    <w:p w:rsidR="00DD6D07" w:rsidP="00895853" w:rsidRDefault="00DD6D07" w14:paraId="4B14A069" w14:textId="5E80731A">
      <w:pPr>
        <w:overflowPunct w:val="0"/>
        <w:autoSpaceDE w:val="0"/>
        <w:autoSpaceDN w:val="0"/>
        <w:adjustRightInd w:val="0"/>
        <w:jc w:val="left"/>
        <w:textAlignment w:val="baseline"/>
        <w:rPr>
          <w:lang w:val="nl-BE"/>
        </w:rPr>
      </w:pPr>
    </w:p>
    <w:p w:rsidR="00DD6D07" w:rsidRDefault="00DD6D07" w14:paraId="00CC9B58" w14:textId="77777777">
      <w:pPr>
        <w:spacing w:after="160" w:line="259" w:lineRule="auto"/>
        <w:jc w:val="left"/>
      </w:pPr>
      <w:r>
        <w:br w:type="page"/>
      </w:r>
    </w:p>
    <w:p w:rsidR="00B612CA" w:rsidP="00895853" w:rsidRDefault="00B612CA" w14:paraId="57B89030" w14:textId="77777777">
      <w:pPr>
        <w:overflowPunct w:val="0"/>
        <w:autoSpaceDE w:val="0"/>
        <w:autoSpaceDN w:val="0"/>
        <w:adjustRightInd w:val="0"/>
        <w:jc w:val="left"/>
        <w:textAlignment w:val="baseline"/>
        <w:rPr>
          <w:lang w:val="nl-BE"/>
        </w:rPr>
      </w:pPr>
    </w:p>
    <w:p w:rsidRPr="000120E1" w:rsidR="000120E1" w:rsidP="00C26C81" w:rsidRDefault="0096037A"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40">
        <w:r w:rsidR="00660BE3">
          <w:rPr>
            <w:b/>
            <w:i/>
            <w:color w:val="0000FF"/>
            <w:sz w:val="28"/>
            <w:u w:val="single"/>
          </w:rPr>
          <w:t>Komunikat w sprawie przemysłowego zarządzania emisjami dwutlenku węgla</w:t>
        </w:r>
      </w:hyperlink>
    </w:p>
    <w:p w:rsidRPr="008B7113"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6028"/>
      </w:tblGrid>
      <w:tr w:rsidRPr="008B7113" w:rsidR="000120E1" w:rsidTr="00FE3058" w14:paraId="7AA7740B" w14:textId="77777777">
        <w:tc>
          <w:tcPr>
            <w:tcW w:w="1216" w:type="pct"/>
          </w:tcPr>
          <w:p w:rsidRPr="008B7113" w:rsidR="000120E1" w:rsidP="00DC0FAE" w:rsidRDefault="000120E1" w14:paraId="59DFCB28" w14:textId="77777777">
            <w:pPr>
              <w:tabs>
                <w:tab w:val="center" w:pos="284"/>
              </w:tabs>
              <w:spacing w:line="259" w:lineRule="auto"/>
              <w:ind w:left="266" w:hanging="266"/>
              <w:jc w:val="left"/>
              <w:rPr>
                <w:rFonts w:eastAsiaTheme="minorHAnsi"/>
                <w:b/>
                <w:sz w:val="22"/>
                <w:szCs w:val="22"/>
              </w:rPr>
            </w:pPr>
            <w:r w:rsidRPr="008B7113">
              <w:rPr>
                <w:b/>
                <w:sz w:val="22"/>
                <w:szCs w:val="22"/>
              </w:rPr>
              <w:t>Sprawozdawca</w:t>
            </w:r>
          </w:p>
        </w:tc>
        <w:tc>
          <w:tcPr>
            <w:tcW w:w="3784" w:type="pct"/>
          </w:tcPr>
          <w:p w:rsidRPr="008B7113" w:rsidR="000120E1" w:rsidP="00DC0FAE" w:rsidRDefault="000120E1" w14:paraId="79819113" w14:textId="77777777">
            <w:pPr>
              <w:tabs>
                <w:tab w:val="center" w:pos="284"/>
              </w:tabs>
              <w:spacing w:line="259" w:lineRule="auto"/>
              <w:ind w:left="266" w:hanging="266"/>
              <w:jc w:val="left"/>
              <w:rPr>
                <w:rFonts w:eastAsiaTheme="minorHAnsi"/>
                <w:sz w:val="22"/>
                <w:szCs w:val="22"/>
              </w:rPr>
            </w:pPr>
            <w:r w:rsidRPr="008B7113">
              <w:rPr>
                <w:sz w:val="22"/>
                <w:szCs w:val="22"/>
              </w:rPr>
              <w:t>Gonçalo LOBO XAVIER (Grupa Pracodawców – PT)</w:t>
            </w:r>
          </w:p>
        </w:tc>
      </w:tr>
      <w:tr w:rsidRPr="008B7113" w:rsidR="000120E1" w:rsidTr="00FE3058" w14:paraId="2A3124EA" w14:textId="77777777">
        <w:tc>
          <w:tcPr>
            <w:tcW w:w="1216" w:type="pct"/>
          </w:tcPr>
          <w:p w:rsidRPr="008B7113" w:rsidR="000120E1" w:rsidP="00DC0FAE" w:rsidRDefault="000120E1" w14:paraId="051BCACD" w14:textId="77777777">
            <w:pPr>
              <w:tabs>
                <w:tab w:val="center" w:pos="284"/>
              </w:tabs>
              <w:spacing w:line="259" w:lineRule="auto"/>
              <w:ind w:left="266" w:hanging="266"/>
              <w:jc w:val="left"/>
              <w:rPr>
                <w:rFonts w:eastAsiaTheme="minorHAnsi"/>
                <w:b/>
                <w:sz w:val="22"/>
                <w:szCs w:val="22"/>
              </w:rPr>
            </w:pPr>
            <w:r w:rsidRPr="008B7113">
              <w:rPr>
                <w:b/>
                <w:sz w:val="22"/>
                <w:szCs w:val="22"/>
              </w:rPr>
              <w:t>Współsprawozdawca</w:t>
            </w:r>
          </w:p>
        </w:tc>
        <w:tc>
          <w:tcPr>
            <w:tcW w:w="3784" w:type="pct"/>
          </w:tcPr>
          <w:p w:rsidRPr="008B7113" w:rsidR="000120E1" w:rsidP="00DC0FAE" w:rsidRDefault="000120E1" w14:paraId="163FD73E" w14:textId="77777777">
            <w:pPr>
              <w:tabs>
                <w:tab w:val="center" w:pos="284"/>
              </w:tabs>
              <w:spacing w:line="259" w:lineRule="auto"/>
              <w:ind w:left="266" w:hanging="266"/>
              <w:jc w:val="left"/>
              <w:rPr>
                <w:rFonts w:eastAsiaTheme="minorHAnsi"/>
                <w:sz w:val="22"/>
                <w:szCs w:val="22"/>
              </w:rPr>
            </w:pPr>
            <w:r w:rsidRPr="008B7113">
              <w:rPr>
                <w:sz w:val="22"/>
                <w:szCs w:val="22"/>
              </w:rPr>
              <w:t>Jean-Michel POURTEAU (Kat. 2 – FR)</w:t>
            </w:r>
          </w:p>
        </w:tc>
      </w:tr>
      <w:tr w:rsidRPr="008B7113" w:rsidR="000120E1" w:rsidTr="00FE3058" w14:paraId="5A91F27D" w14:textId="77777777">
        <w:tc>
          <w:tcPr>
            <w:tcW w:w="5000" w:type="pct"/>
            <w:gridSpan w:val="2"/>
          </w:tcPr>
          <w:p w:rsidRPr="008B7113" w:rsidR="000120E1" w:rsidP="000120E1" w:rsidRDefault="000120E1" w14:paraId="3A61F21C" w14:textId="77777777">
            <w:pPr>
              <w:tabs>
                <w:tab w:val="center" w:pos="284"/>
              </w:tabs>
              <w:spacing w:after="160" w:line="160" w:lineRule="exact"/>
              <w:ind w:left="266" w:hanging="266"/>
              <w:jc w:val="left"/>
              <w:rPr>
                <w:rFonts w:eastAsiaTheme="minorHAnsi"/>
                <w:sz w:val="22"/>
                <w:szCs w:val="22"/>
              </w:rPr>
            </w:pPr>
          </w:p>
        </w:tc>
      </w:tr>
      <w:tr w:rsidRPr="008B7113" w:rsidR="000120E1" w:rsidTr="00FE3058" w14:paraId="70AFA820" w14:textId="77777777">
        <w:tc>
          <w:tcPr>
            <w:tcW w:w="1216" w:type="pct"/>
            <w:vMerge w:val="restart"/>
          </w:tcPr>
          <w:p w:rsidRPr="008B7113" w:rsidR="000120E1" w:rsidP="00DC0FAE" w:rsidRDefault="000120E1" w14:paraId="2C1088D7" w14:textId="77777777">
            <w:pPr>
              <w:tabs>
                <w:tab w:val="center" w:pos="284"/>
              </w:tabs>
              <w:spacing w:line="259" w:lineRule="auto"/>
              <w:ind w:left="266" w:hanging="266"/>
              <w:jc w:val="left"/>
              <w:rPr>
                <w:rFonts w:eastAsiaTheme="minorHAnsi"/>
                <w:b/>
                <w:sz w:val="22"/>
                <w:szCs w:val="22"/>
              </w:rPr>
            </w:pPr>
            <w:r w:rsidRPr="008B7113">
              <w:rPr>
                <w:b/>
                <w:sz w:val="22"/>
                <w:szCs w:val="22"/>
              </w:rPr>
              <w:t>Dokumenty</w:t>
            </w:r>
          </w:p>
        </w:tc>
        <w:tc>
          <w:tcPr>
            <w:tcW w:w="3784" w:type="pct"/>
          </w:tcPr>
          <w:p w:rsidRPr="008B7113" w:rsidR="000120E1" w:rsidP="00DC0FAE" w:rsidRDefault="000120E1" w14:paraId="115E7B5F" w14:textId="77777777">
            <w:pPr>
              <w:tabs>
                <w:tab w:val="center" w:pos="284"/>
              </w:tabs>
              <w:spacing w:line="259" w:lineRule="auto"/>
              <w:ind w:left="266" w:hanging="266"/>
              <w:jc w:val="left"/>
              <w:rPr>
                <w:rFonts w:eastAsiaTheme="minorHAnsi"/>
                <w:sz w:val="22"/>
                <w:szCs w:val="22"/>
              </w:rPr>
            </w:pPr>
            <w:r w:rsidRPr="008B7113">
              <w:rPr>
                <w:sz w:val="22"/>
                <w:szCs w:val="22"/>
              </w:rPr>
              <w:t>COM(2024) 62 final</w:t>
            </w:r>
          </w:p>
        </w:tc>
      </w:tr>
      <w:tr w:rsidRPr="008B7113" w:rsidR="000120E1" w:rsidTr="00FE3058" w14:paraId="36B63748" w14:textId="77777777">
        <w:tc>
          <w:tcPr>
            <w:tcW w:w="1216" w:type="pct"/>
            <w:vMerge/>
          </w:tcPr>
          <w:p w:rsidRPr="008B7113"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 w:val="22"/>
                <w:szCs w:val="22"/>
              </w:rPr>
            </w:pPr>
          </w:p>
        </w:tc>
        <w:tc>
          <w:tcPr>
            <w:tcW w:w="3784" w:type="pct"/>
          </w:tcPr>
          <w:p w:rsidRPr="008B7113" w:rsidR="000120E1" w:rsidP="00DC0FAE" w:rsidRDefault="000120E1" w14:paraId="156AA12F" w14:textId="77777777">
            <w:pPr>
              <w:tabs>
                <w:tab w:val="center" w:pos="284"/>
              </w:tabs>
              <w:spacing w:line="259" w:lineRule="auto"/>
              <w:ind w:left="266" w:hanging="266"/>
              <w:jc w:val="left"/>
              <w:rPr>
                <w:rFonts w:eastAsiaTheme="minorHAnsi"/>
                <w:sz w:val="22"/>
                <w:szCs w:val="22"/>
              </w:rPr>
            </w:pPr>
            <w:r w:rsidRPr="008B7113">
              <w:rPr>
                <w:sz w:val="22"/>
                <w:szCs w:val="22"/>
              </w:rPr>
              <w:t>EESC-2024-00878-00-00-AC</w:t>
            </w:r>
          </w:p>
        </w:tc>
      </w:tr>
    </w:tbl>
    <w:p w:rsidRPr="008B7113"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20E1" w:rsidRDefault="000120E1" w14:paraId="7665D3CF" w14:textId="77777777">
      <w:pPr>
        <w:keepNext/>
        <w:keepLines/>
        <w:spacing w:after="160" w:line="259" w:lineRule="auto"/>
        <w:ind w:left="142" w:hanging="142"/>
        <w:jc w:val="left"/>
        <w:rPr>
          <w:rFonts w:eastAsiaTheme="minorHAnsi"/>
          <w:b/>
        </w:rPr>
      </w:pPr>
      <w:r w:rsidRPr="008B7113">
        <w:rPr>
          <w:b/>
        </w:rPr>
        <w:t>Główne punkty</w:t>
      </w:r>
    </w:p>
    <w:p w:rsidRPr="000120E1" w:rsidR="000120E1" w:rsidP="00DC0FAE" w:rsidRDefault="000120E1" w14:paraId="3B7BB1CC" w14:textId="77777777">
      <w:pPr>
        <w:spacing w:after="160" w:line="259" w:lineRule="auto"/>
        <w:jc w:val="left"/>
        <w:rPr>
          <w:rFonts w:eastAsiaTheme="minorHAnsi"/>
        </w:rPr>
      </w:pPr>
      <w:r>
        <w:t>EKES:</w:t>
      </w:r>
    </w:p>
    <w:p w:rsidRPr="000120E1" w:rsidR="000120E1" w:rsidP="00DC0FAE" w:rsidRDefault="000120E1" w14:paraId="1360B3DB" w14:textId="77777777">
      <w:pPr>
        <w:numPr>
          <w:ilvl w:val="0"/>
          <w:numId w:val="26"/>
        </w:numPr>
        <w:spacing w:after="160" w:line="259" w:lineRule="auto"/>
        <w:ind w:left="284" w:hanging="284"/>
        <w:contextualSpacing/>
        <w:rPr>
          <w:rFonts w:eastAsiaTheme="minorHAnsi"/>
        </w:rPr>
      </w:pPr>
      <w:r>
        <w:t xml:space="preserve">Uważa, że </w:t>
      </w:r>
      <w:r>
        <w:rPr>
          <w:b/>
        </w:rPr>
        <w:t>strategia na rzecz przemysłowego zarządzania emisjami dwutlenku węgla jest wysoce pożądanym i wyważonym dokumentem</w:t>
      </w:r>
      <w:r>
        <w:t xml:space="preserve">, w którym uwzględniono wiele elementów istotnych dla </w:t>
      </w:r>
      <w:r>
        <w:rPr>
          <w:b/>
        </w:rPr>
        <w:t>wdrożenia wychwytywania i składowania dwutlenku węgla</w:t>
      </w:r>
      <w:r>
        <w:t xml:space="preserve"> </w:t>
      </w:r>
      <w:r>
        <w:rPr>
          <w:b/>
        </w:rPr>
        <w:t>(CCS) oraz wychwytywania i utylizacji dwutlenku węgla (CCU) na skalę przemysłową w UE</w:t>
      </w:r>
      <w:r>
        <w:t>.</w:t>
      </w:r>
    </w:p>
    <w:p w:rsidRPr="000120E1" w:rsidR="000120E1" w:rsidP="00DC0FAE" w:rsidRDefault="000120E1" w14:paraId="7FE09CBD" w14:textId="77777777">
      <w:pPr>
        <w:numPr>
          <w:ilvl w:val="0"/>
          <w:numId w:val="26"/>
        </w:numPr>
        <w:spacing w:after="160" w:line="259" w:lineRule="auto"/>
        <w:ind w:left="284" w:hanging="284"/>
        <w:contextualSpacing/>
        <w:rPr>
          <w:rFonts w:eastAsiaTheme="minorHAnsi"/>
        </w:rPr>
      </w:pPr>
      <w:r>
        <w:t xml:space="preserve">Przyznaje, że </w:t>
      </w:r>
      <w:r>
        <w:rPr>
          <w:b/>
        </w:rPr>
        <w:t>utworzenie jednolitego rynku emisji dwutlenku węgla wymaga infrastruktury składowania i transportu (w tym transgranicznego)</w:t>
      </w:r>
      <w:r>
        <w:t xml:space="preserve">, a także </w:t>
      </w:r>
      <w:r>
        <w:rPr>
          <w:b/>
        </w:rPr>
        <w:t>przepisów dotyczących rynku</w:t>
      </w:r>
      <w:r>
        <w:t xml:space="preserve">. </w:t>
      </w:r>
    </w:p>
    <w:p w:rsidRPr="000120E1" w:rsidR="000120E1" w:rsidP="00DC0FAE" w:rsidRDefault="000120E1" w14:paraId="66EA0A1A" w14:textId="77777777">
      <w:pPr>
        <w:numPr>
          <w:ilvl w:val="0"/>
          <w:numId w:val="26"/>
        </w:numPr>
        <w:spacing w:after="160" w:line="259" w:lineRule="auto"/>
        <w:ind w:left="284" w:hanging="284"/>
        <w:contextualSpacing/>
        <w:rPr>
          <w:rFonts w:eastAsiaTheme="minorHAnsi"/>
        </w:rPr>
      </w:pPr>
      <w:r>
        <w:t xml:space="preserve">Zwraca uwagę na potrzebę </w:t>
      </w:r>
      <w:r>
        <w:rPr>
          <w:b/>
        </w:rPr>
        <w:t>dostosowania strategii w zakresie zarządzania emisjami dwutlenku węgla do potrzeb konkretnych sektorów przemysłu;</w:t>
      </w:r>
    </w:p>
    <w:p w:rsidRPr="000120E1" w:rsidR="000120E1" w:rsidP="00DC0FAE" w:rsidRDefault="000120E1" w14:paraId="3B9262A2" w14:textId="77777777">
      <w:pPr>
        <w:numPr>
          <w:ilvl w:val="0"/>
          <w:numId w:val="26"/>
        </w:numPr>
        <w:spacing w:after="160" w:line="259" w:lineRule="auto"/>
        <w:ind w:left="284" w:hanging="284"/>
        <w:contextualSpacing/>
        <w:rPr>
          <w:rFonts w:eastAsiaTheme="minorHAnsi"/>
        </w:rPr>
      </w:pPr>
      <w:r>
        <w:t xml:space="preserve">Uważa, że zasadnicze znaczenie ma </w:t>
      </w:r>
      <w:r>
        <w:rPr>
          <w:b/>
        </w:rPr>
        <w:t>określenie przeszkód utrudniających skuteczne wdrażanie istniejących praktyk zarządzania emisjami dwutlenku węgla</w:t>
      </w:r>
      <w:r>
        <w:t>, aby móc wdrażać zmiany oraz określać strategie.</w:t>
      </w:r>
    </w:p>
    <w:p w:rsidRPr="000120E1" w:rsidR="000120E1" w:rsidP="00DC0FAE" w:rsidRDefault="000120E1" w14:paraId="79DEBCDC" w14:textId="54C98F4E">
      <w:pPr>
        <w:numPr>
          <w:ilvl w:val="0"/>
          <w:numId w:val="26"/>
        </w:numPr>
        <w:spacing w:after="160" w:line="259" w:lineRule="auto"/>
        <w:ind w:left="284" w:hanging="284"/>
        <w:contextualSpacing/>
        <w:rPr>
          <w:rFonts w:eastAsiaTheme="minorHAnsi"/>
        </w:rPr>
      </w:pPr>
      <w:r>
        <w:t xml:space="preserve">Sądzi, że UE potrzebuje </w:t>
      </w:r>
      <w:r>
        <w:rPr>
          <w:b/>
        </w:rPr>
        <w:t>strategii przemysłowej w zakresie emisji dwutlenku węgla, która w</w:t>
      </w:r>
      <w:r w:rsidR="00336F25">
        <w:rPr>
          <w:b/>
        </w:rPr>
        <w:t> </w:t>
      </w:r>
      <w:r>
        <w:rPr>
          <w:b/>
        </w:rPr>
        <w:t>sposób zrównoważony zwiększałaby wzrost</w:t>
      </w:r>
      <w:r>
        <w:t xml:space="preserve"> i która nie tylko wspierałaby </w:t>
      </w:r>
      <w:r>
        <w:rPr>
          <w:b/>
        </w:rPr>
        <w:t>realizację Zielonego Ładu</w:t>
      </w:r>
      <w:r>
        <w:t xml:space="preserve">, lecz również zapewniała </w:t>
      </w:r>
      <w:r>
        <w:rPr>
          <w:b/>
        </w:rPr>
        <w:t>miejsca pracy wysokiej jakości i sprawiedliwą transformację dla pracowników</w:t>
      </w:r>
      <w:r>
        <w:t xml:space="preserve">, zaradzając jednocześnie </w:t>
      </w:r>
      <w:r>
        <w:rPr>
          <w:b/>
        </w:rPr>
        <w:t>brakom w zakresie siły roboczej i</w:t>
      </w:r>
      <w:r w:rsidR="00336F25">
        <w:rPr>
          <w:b/>
        </w:rPr>
        <w:t> </w:t>
      </w:r>
      <w:r>
        <w:rPr>
          <w:b/>
        </w:rPr>
        <w:t>umiejętności poprzez przekwalifikowanie i podnoszenie kwalifikacji</w:t>
      </w:r>
      <w:r>
        <w:t>.</w:t>
      </w:r>
    </w:p>
    <w:p w:rsidRPr="000120E1" w:rsidR="000120E1" w:rsidP="00DC0FAE" w:rsidRDefault="000120E1" w14:paraId="71004638" w14:textId="77777777">
      <w:pPr>
        <w:numPr>
          <w:ilvl w:val="0"/>
          <w:numId w:val="26"/>
        </w:numPr>
        <w:spacing w:after="160" w:line="259" w:lineRule="auto"/>
        <w:ind w:left="284" w:hanging="284"/>
        <w:contextualSpacing/>
        <w:rPr>
          <w:rFonts w:eastAsiaTheme="minorHAnsi"/>
        </w:rPr>
      </w:pPr>
      <w:r>
        <w:t xml:space="preserve">Zaleca opracowanie </w:t>
      </w:r>
      <w:r>
        <w:rPr>
          <w:b/>
        </w:rPr>
        <w:t>jasnego planu inwestycyjnego opisującego każde źródło finansowania rozwoju technologii CCS/CCU. Finansowanie publiczne powinno obejmować mechanizm warunkowości społecznej ukierunkowany na tworzenie i utrzymywanie wysokiej jakości miejsc pracy</w:t>
      </w:r>
      <w:r>
        <w:t>.</w:t>
      </w:r>
    </w:p>
    <w:p w:rsidRPr="000120E1" w:rsidR="000120E1" w:rsidP="00DC0FAE" w:rsidRDefault="000120E1" w14:paraId="3292CDC0" w14:textId="77777777">
      <w:pPr>
        <w:numPr>
          <w:ilvl w:val="0"/>
          <w:numId w:val="26"/>
        </w:numPr>
        <w:spacing w:after="160" w:line="259" w:lineRule="auto"/>
        <w:ind w:left="284" w:hanging="284"/>
        <w:contextualSpacing/>
        <w:rPr>
          <w:rFonts w:eastAsiaTheme="minorHAnsi"/>
        </w:rPr>
      </w:pPr>
      <w:r>
        <w:t xml:space="preserve">Uważa, że projekty redukcji emisji dwutlenku węgla powinny obejmować zarówno </w:t>
      </w:r>
      <w:r>
        <w:rPr>
          <w:b/>
        </w:rPr>
        <w:t>usuwanie dwutlenku węgla, jak i unikanie emisji dwutlenku węgla</w:t>
      </w:r>
      <w:r>
        <w:t xml:space="preserve">; sądzi jednak, że </w:t>
      </w:r>
      <w:r>
        <w:rPr>
          <w:b/>
        </w:rPr>
        <w:t>unikanie emisji dwutlenku węgla jest obecnie niewystarczająco wspierane</w:t>
      </w:r>
      <w:r>
        <w:t>.</w:t>
      </w:r>
    </w:p>
    <w:p w:rsidRPr="000120E1" w:rsidR="000120E1" w:rsidP="00DC0FAE" w:rsidRDefault="000120E1" w14:paraId="44EC1EE2" w14:textId="77777777">
      <w:pPr>
        <w:numPr>
          <w:ilvl w:val="0"/>
          <w:numId w:val="26"/>
        </w:numPr>
        <w:spacing w:after="160" w:line="259" w:lineRule="auto"/>
        <w:ind w:left="284" w:hanging="284"/>
        <w:contextualSpacing/>
        <w:rPr>
          <w:rFonts w:eastAsiaTheme="minorHAnsi"/>
        </w:rPr>
      </w:pPr>
      <w:r>
        <w:t xml:space="preserve">Zaleca </w:t>
      </w:r>
      <w:r>
        <w:rPr>
          <w:b/>
        </w:rPr>
        <w:t>ustanowienie – w odniesieniu do unikania emisji dwutlenku węgla – nowego, odrębnego, dobrze zaprojektowanego, mającego wysoki poziom integralności i solidnego systemu jednostek emisji</w:t>
      </w:r>
      <w:r>
        <w:t>, oferującego zachęty dla dekarbonizacji.</w:t>
      </w:r>
    </w:p>
    <w:p w:rsidRPr="000120E1" w:rsidR="000120E1" w:rsidP="00DC0FAE" w:rsidRDefault="000120E1" w14:paraId="31699FAA" w14:textId="77777777">
      <w:pPr>
        <w:numPr>
          <w:ilvl w:val="0"/>
          <w:numId w:val="26"/>
        </w:numPr>
        <w:spacing w:after="160" w:line="259" w:lineRule="auto"/>
        <w:ind w:left="284" w:hanging="284"/>
        <w:contextualSpacing/>
        <w:rPr>
          <w:rFonts w:eastAsiaTheme="minorHAnsi"/>
        </w:rPr>
      </w:pPr>
      <w:r>
        <w:t xml:space="preserve">Zwraca uwagę na fakt, że </w:t>
      </w:r>
      <w:r>
        <w:rPr>
          <w:b/>
        </w:rPr>
        <w:t>uprawnienia w ramach unijnego systemu handlu uprawnieniami do emisji (ETS) nie powinny być wykorzystywane jako „jednostki emisji”</w:t>
      </w:r>
      <w:r>
        <w:t>, ponieważ mogłoby to osłabić obecny rynkowy charakter unijnego systemu handlu uprawnieniami do emisji.</w:t>
      </w: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2"/>
        <w:gridCol w:w="3039"/>
      </w:tblGrid>
      <w:tr w:rsidRPr="000120E1" w:rsidR="000120E1" w:rsidTr="00FE3058" w14:paraId="5D2D90F0" w14:textId="77777777">
        <w:tc>
          <w:tcPr>
            <w:tcW w:w="3998" w:type="pct"/>
          </w:tcPr>
          <w:p w:rsidRPr="00DC0FAE" w:rsidR="000120E1" w:rsidP="00DC0FAE" w:rsidRDefault="000120E1" w14:paraId="0F7EFF96" w14:textId="77777777">
            <w:pPr>
              <w:spacing w:line="259" w:lineRule="auto"/>
              <w:jc w:val="left"/>
              <w:rPr>
                <w:rFonts w:eastAsiaTheme="minorHAnsi"/>
                <w:i/>
              </w:rPr>
            </w:pPr>
            <w:r>
              <w:rPr>
                <w:b/>
                <w:i/>
              </w:rPr>
              <w:t>Kontakt</w:t>
            </w:r>
          </w:p>
        </w:tc>
        <w:tc>
          <w:tcPr>
            <w:tcW w:w="1002" w:type="pct"/>
            <w:tcBorders>
              <w:left w:val="nil"/>
            </w:tcBorders>
          </w:tcPr>
          <w:p w:rsidRPr="00DC0FAE" w:rsidR="000120E1" w:rsidP="00DC0FAE" w:rsidRDefault="000120E1" w14:paraId="161FCDF9" w14:textId="041A1233">
            <w:pPr>
              <w:spacing w:line="259" w:lineRule="auto"/>
              <w:jc w:val="left"/>
              <w:rPr>
                <w:rFonts w:eastAsiaTheme="minorHAnsi"/>
                <w:i/>
              </w:rPr>
            </w:pPr>
            <w:r>
              <w:rPr>
                <w:i/>
              </w:rPr>
              <w:t>Adam Dorywalski</w:t>
            </w:r>
          </w:p>
        </w:tc>
      </w:tr>
      <w:tr w:rsidRPr="000120E1" w:rsidR="000120E1" w:rsidTr="00FE3058" w14:paraId="4F400A68" w14:textId="77777777">
        <w:tc>
          <w:tcPr>
            <w:tcW w:w="3998" w:type="pct"/>
          </w:tcPr>
          <w:p w:rsidRPr="00DC0FAE" w:rsidR="000120E1" w:rsidP="00DC0FAE" w:rsidRDefault="000120E1" w14:paraId="381E2BF8" w14:textId="77777777">
            <w:pPr>
              <w:spacing w:line="259" w:lineRule="auto"/>
              <w:jc w:val="left"/>
              <w:rPr>
                <w:rFonts w:eastAsiaTheme="minorHAnsi"/>
                <w:i/>
              </w:rPr>
            </w:pPr>
            <w:r>
              <w:rPr>
                <w:i/>
              </w:rPr>
              <w:t xml:space="preserve">tel. </w:t>
            </w:r>
          </w:p>
        </w:tc>
        <w:tc>
          <w:tcPr>
            <w:tcW w:w="1002" w:type="pct"/>
            <w:tcBorders>
              <w:left w:val="nil"/>
            </w:tcBorders>
          </w:tcPr>
          <w:p w:rsidRPr="00DC0FAE" w:rsidR="000120E1" w:rsidP="00DC0FAE" w:rsidRDefault="000120E1" w14:paraId="78898855" w14:textId="77777777">
            <w:pPr>
              <w:spacing w:line="259" w:lineRule="auto"/>
              <w:jc w:val="left"/>
              <w:rPr>
                <w:rFonts w:eastAsiaTheme="minorHAnsi"/>
                <w:i/>
              </w:rPr>
            </w:pPr>
            <w:r>
              <w:rPr>
                <w:i/>
              </w:rPr>
              <w:t>+32 25469397</w:t>
            </w:r>
          </w:p>
        </w:tc>
      </w:tr>
      <w:tr w:rsidRPr="000120E1" w:rsidR="000120E1" w:rsidTr="00FE3058" w14:paraId="63DC3EB7" w14:textId="77777777">
        <w:tc>
          <w:tcPr>
            <w:tcW w:w="3998" w:type="pct"/>
          </w:tcPr>
          <w:p w:rsidRPr="00DC0FAE" w:rsidR="000120E1" w:rsidP="00DC0FAE" w:rsidRDefault="00DD6D07" w14:paraId="66DC166A" w14:textId="68F50A4B">
            <w:pPr>
              <w:spacing w:line="259" w:lineRule="auto"/>
              <w:jc w:val="left"/>
              <w:rPr>
                <w:rFonts w:eastAsiaTheme="minorHAnsi"/>
                <w:i/>
                <w:iCs/>
              </w:rPr>
            </w:pPr>
            <w:r>
              <w:rPr>
                <w:i/>
              </w:rPr>
              <w:t>e-mail</w:t>
            </w:r>
          </w:p>
        </w:tc>
        <w:tc>
          <w:tcPr>
            <w:tcW w:w="1002" w:type="pct"/>
            <w:tcBorders>
              <w:left w:val="nil"/>
            </w:tcBorders>
          </w:tcPr>
          <w:p w:rsidRPr="00DC0FAE" w:rsidR="000120E1" w:rsidP="00DC0FAE" w:rsidRDefault="0096037A" w14:paraId="2454CA29" w14:textId="77777777">
            <w:pPr>
              <w:spacing w:line="259" w:lineRule="auto"/>
              <w:jc w:val="left"/>
              <w:rPr>
                <w:rFonts w:eastAsiaTheme="minorHAnsi"/>
                <w:i/>
                <w:iCs/>
              </w:rPr>
            </w:pPr>
            <w:hyperlink w:history="1" r:id="rId41">
              <w:r w:rsidR="00D63208">
                <w:rPr>
                  <w:i/>
                  <w:color w:val="0000FF"/>
                  <w:u w:val="single"/>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3C2FB3" w:rsidR="003C2FB3" w:rsidP="00C26C81" w:rsidRDefault="0096037A"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660BE3">
          <w:rPr>
            <w:b/>
            <w:i/>
            <w:color w:val="0000FF"/>
            <w:sz w:val="28"/>
            <w:u w:val="single"/>
          </w:rPr>
          <w:t>Strategia na rzecz europejskiego przemysłu obronnego</w:t>
        </w:r>
      </w:hyperlink>
    </w:p>
    <w:p w:rsidRPr="008B7113"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6520"/>
      </w:tblGrid>
      <w:tr w:rsidRPr="008B7113" w:rsidR="003C2FB3" w:rsidTr="00FE3058" w14:paraId="30A6177E" w14:textId="77777777">
        <w:tc>
          <w:tcPr>
            <w:tcW w:w="1148" w:type="pct"/>
          </w:tcPr>
          <w:p w:rsidRPr="008B7113" w:rsidR="003C2FB3" w:rsidP="003C2FB3" w:rsidRDefault="003C2FB3" w14:paraId="77A7B517" w14:textId="77777777">
            <w:pPr>
              <w:tabs>
                <w:tab w:val="center" w:pos="284"/>
              </w:tabs>
              <w:overflowPunct w:val="0"/>
              <w:autoSpaceDE w:val="0"/>
              <w:autoSpaceDN w:val="0"/>
              <w:adjustRightInd w:val="0"/>
              <w:ind w:left="266" w:hanging="266"/>
              <w:textAlignment w:val="baseline"/>
              <w:rPr>
                <w:b/>
                <w:sz w:val="22"/>
                <w:szCs w:val="22"/>
              </w:rPr>
            </w:pPr>
            <w:r w:rsidRPr="008B7113">
              <w:rPr>
                <w:b/>
                <w:sz w:val="22"/>
                <w:szCs w:val="22"/>
              </w:rPr>
              <w:t>Sprawozdawca</w:t>
            </w:r>
          </w:p>
        </w:tc>
        <w:tc>
          <w:tcPr>
            <w:tcW w:w="3852" w:type="pct"/>
          </w:tcPr>
          <w:p w:rsidR="008B7113" w:rsidP="003C2FB3" w:rsidRDefault="003C2FB3" w14:paraId="708F24A7" w14:textId="77777777">
            <w:pPr>
              <w:tabs>
                <w:tab w:val="center" w:pos="284"/>
              </w:tabs>
              <w:overflowPunct w:val="0"/>
              <w:autoSpaceDE w:val="0"/>
              <w:autoSpaceDN w:val="0"/>
              <w:adjustRightInd w:val="0"/>
              <w:ind w:left="266" w:hanging="266"/>
              <w:textAlignment w:val="baseline"/>
              <w:rPr>
                <w:sz w:val="22"/>
                <w:szCs w:val="22"/>
              </w:rPr>
            </w:pPr>
            <w:r w:rsidRPr="008B7113">
              <w:rPr>
                <w:sz w:val="22"/>
                <w:szCs w:val="22"/>
              </w:rPr>
              <w:t xml:space="preserve">Maurizio MENSI </w:t>
            </w:r>
          </w:p>
          <w:p w:rsidRPr="008B7113" w:rsidR="003C2FB3" w:rsidP="003C2FB3" w:rsidRDefault="003C2FB3" w14:paraId="77DB3C52" w14:textId="41443417">
            <w:pPr>
              <w:tabs>
                <w:tab w:val="center" w:pos="284"/>
              </w:tabs>
              <w:overflowPunct w:val="0"/>
              <w:autoSpaceDE w:val="0"/>
              <w:autoSpaceDN w:val="0"/>
              <w:adjustRightInd w:val="0"/>
              <w:ind w:left="266" w:hanging="266"/>
              <w:textAlignment w:val="baseline"/>
              <w:rPr>
                <w:sz w:val="22"/>
                <w:szCs w:val="22"/>
              </w:rPr>
            </w:pPr>
            <w:r w:rsidRPr="008B7113">
              <w:rPr>
                <w:sz w:val="22"/>
                <w:szCs w:val="22"/>
              </w:rPr>
              <w:t>(Grupa Organizacji Społeczeństwa Obywatelskiego – IT)</w:t>
            </w:r>
          </w:p>
        </w:tc>
      </w:tr>
      <w:tr w:rsidRPr="008B7113" w:rsidR="003C2FB3" w:rsidTr="00FE3058" w14:paraId="4330C7A8" w14:textId="77777777">
        <w:tc>
          <w:tcPr>
            <w:tcW w:w="1148" w:type="pct"/>
          </w:tcPr>
          <w:p w:rsidRPr="008B7113" w:rsidR="003C2FB3" w:rsidP="003C2FB3" w:rsidRDefault="003C2FB3" w14:paraId="6EE0006E" w14:textId="77777777">
            <w:pPr>
              <w:tabs>
                <w:tab w:val="center" w:pos="284"/>
              </w:tabs>
              <w:overflowPunct w:val="0"/>
              <w:autoSpaceDE w:val="0"/>
              <w:autoSpaceDN w:val="0"/>
              <w:adjustRightInd w:val="0"/>
              <w:ind w:left="266" w:hanging="266"/>
              <w:textAlignment w:val="baseline"/>
              <w:rPr>
                <w:b/>
                <w:sz w:val="22"/>
                <w:szCs w:val="22"/>
              </w:rPr>
            </w:pPr>
            <w:r w:rsidRPr="008B7113">
              <w:rPr>
                <w:b/>
                <w:sz w:val="22"/>
                <w:szCs w:val="22"/>
              </w:rPr>
              <w:t>Współsprawozdawca</w:t>
            </w:r>
          </w:p>
        </w:tc>
        <w:tc>
          <w:tcPr>
            <w:tcW w:w="3852" w:type="pct"/>
          </w:tcPr>
          <w:p w:rsidRPr="008B7113" w:rsidR="003C2FB3" w:rsidP="003C2FB3" w:rsidRDefault="003C2FB3" w14:paraId="227D7CFD" w14:textId="0783DBC3">
            <w:pPr>
              <w:tabs>
                <w:tab w:val="center" w:pos="284"/>
              </w:tabs>
              <w:overflowPunct w:val="0"/>
              <w:autoSpaceDE w:val="0"/>
              <w:autoSpaceDN w:val="0"/>
              <w:adjustRightInd w:val="0"/>
              <w:ind w:left="266" w:hanging="266"/>
              <w:textAlignment w:val="baseline"/>
              <w:rPr>
                <w:sz w:val="22"/>
                <w:szCs w:val="22"/>
              </w:rPr>
            </w:pPr>
            <w:r w:rsidRPr="008B7113">
              <w:rPr>
                <w:sz w:val="22"/>
                <w:szCs w:val="22"/>
              </w:rPr>
              <w:t>Jan PIE (Kat. 1 – SE)</w:t>
            </w:r>
          </w:p>
        </w:tc>
      </w:tr>
      <w:tr w:rsidRPr="008B7113" w:rsidR="003C2FB3" w:rsidTr="00FE3058" w14:paraId="5B13BE6E" w14:textId="77777777">
        <w:tc>
          <w:tcPr>
            <w:tcW w:w="5000" w:type="pct"/>
            <w:gridSpan w:val="2"/>
          </w:tcPr>
          <w:p w:rsidRPr="008B711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B7113" w:rsidR="003C2FB3" w:rsidTr="00FE3058" w14:paraId="53790FDC" w14:textId="77777777">
        <w:tc>
          <w:tcPr>
            <w:tcW w:w="1148" w:type="pct"/>
          </w:tcPr>
          <w:p w:rsidRPr="008B7113" w:rsidR="003C2FB3" w:rsidP="003C2FB3" w:rsidRDefault="003C2FB3" w14:paraId="1F7D7474" w14:textId="77777777">
            <w:pPr>
              <w:tabs>
                <w:tab w:val="center" w:pos="284"/>
              </w:tabs>
              <w:overflowPunct w:val="0"/>
              <w:autoSpaceDE w:val="0"/>
              <w:autoSpaceDN w:val="0"/>
              <w:adjustRightInd w:val="0"/>
              <w:ind w:left="266" w:hanging="266"/>
              <w:textAlignment w:val="baseline"/>
              <w:rPr>
                <w:b/>
                <w:sz w:val="22"/>
                <w:szCs w:val="22"/>
              </w:rPr>
            </w:pPr>
            <w:r w:rsidRPr="008B7113">
              <w:rPr>
                <w:b/>
                <w:sz w:val="22"/>
                <w:szCs w:val="22"/>
              </w:rPr>
              <w:t>Dokumenty</w:t>
            </w:r>
          </w:p>
        </w:tc>
        <w:tc>
          <w:tcPr>
            <w:tcW w:w="3852" w:type="pct"/>
          </w:tcPr>
          <w:p w:rsidRPr="008B7113" w:rsidR="00DD6911" w:rsidP="003C2FB3" w:rsidRDefault="00DD6911" w14:paraId="716A7B7A" w14:textId="397FFFB3">
            <w:pPr>
              <w:tabs>
                <w:tab w:val="center" w:pos="284"/>
              </w:tabs>
              <w:overflowPunct w:val="0"/>
              <w:autoSpaceDE w:val="0"/>
              <w:autoSpaceDN w:val="0"/>
              <w:adjustRightInd w:val="0"/>
              <w:ind w:left="266" w:hanging="266"/>
              <w:textAlignment w:val="baseline"/>
              <w:rPr>
                <w:sz w:val="22"/>
                <w:szCs w:val="22"/>
              </w:rPr>
            </w:pPr>
            <w:r w:rsidRPr="008B7113">
              <w:rPr>
                <w:sz w:val="22"/>
                <w:szCs w:val="22"/>
              </w:rPr>
              <w:t>JOIN(2024) 10 final</w:t>
            </w:r>
          </w:p>
          <w:p w:rsidRPr="008B7113" w:rsidR="003C2FB3" w:rsidP="003C2FB3" w:rsidRDefault="003C2FB3" w14:paraId="2AE94E99" w14:textId="68928235">
            <w:pPr>
              <w:tabs>
                <w:tab w:val="center" w:pos="284"/>
              </w:tabs>
              <w:overflowPunct w:val="0"/>
              <w:autoSpaceDE w:val="0"/>
              <w:autoSpaceDN w:val="0"/>
              <w:adjustRightInd w:val="0"/>
              <w:ind w:left="266" w:hanging="266"/>
              <w:textAlignment w:val="baseline"/>
              <w:rPr>
                <w:sz w:val="22"/>
                <w:szCs w:val="22"/>
              </w:rPr>
            </w:pPr>
            <w:r w:rsidRPr="008B7113">
              <w:rPr>
                <w:sz w:val="22"/>
                <w:szCs w:val="22"/>
              </w:rPr>
              <w:t>EESC-2024-00782-00-00-AC</w:t>
            </w:r>
          </w:p>
        </w:tc>
      </w:tr>
    </w:tbl>
    <w:p w:rsidRPr="008B711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8B711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sidRPr="008B7113">
        <w:rPr>
          <w:b/>
        </w:rPr>
        <w:t>Główne punkty</w:t>
      </w:r>
    </w:p>
    <w:p w:rsidRPr="008B7113"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3C2FB3" w:rsidRDefault="003C2FB3" w14:paraId="54D38215" w14:textId="77777777">
      <w:pPr>
        <w:overflowPunct w:val="0"/>
        <w:autoSpaceDE w:val="0"/>
        <w:autoSpaceDN w:val="0"/>
        <w:adjustRightInd w:val="0"/>
        <w:textAlignment w:val="baseline"/>
        <w:rPr>
          <w:bCs/>
          <w:iCs/>
        </w:rPr>
      </w:pPr>
      <w:r>
        <w:t>EKES:</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Z zadowoleniem przyjmuje Strategię na rzecz europejskiego przemysłu obronnego (EDIS) jako ważny krok w kierunku wzmocnienia gotowości obronnej Europy, a tym samym jej zdolności do ochrony obywateli, terytorium oraz podstawowych wartości i stylu życia.</w:t>
      </w:r>
    </w:p>
    <w:p w:rsidRPr="003C2FB3"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Z zadowoleniem przyjmuje przejście od środków nadzwyczajnych do długoterminowej, strukturalnej reakcji. W szczególności z zadowoleniem przyjmuje nacisk na konieczność zwiększenia europejskich źródeł zaopatrzenia na potrzeby Europy.</w:t>
      </w:r>
    </w:p>
    <w:p w:rsidRPr="003C2FB3"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Podkreśla znaczenie wykorzystywania partnerstw z przyjaznymi krajami podzielającymi nasze wartości, aby osiągnąć cele strategii.</w:t>
      </w:r>
    </w:p>
    <w:p w:rsidRPr="003C2FB3"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Ubolewa, że strategia nie uwzględnia postrzegania przez społeczeństwo, ponieważ jest to kluczowy czynnik w społeczeństwach demokratycznych.</w:t>
      </w:r>
    </w:p>
    <w:p w:rsidRPr="003C2FB3"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Zauważa, że kluczowy instrument wdrażania strategii (EDIP) prawdopodobnie nie zostanie uruchomiony przed końcem 2025 r. Dlatego też strategię należy uzupełnić innymi, krótkoterminowymi środkami, mającymi zaspokoić najpilniejsze potrzeby.</w:t>
      </w:r>
    </w:p>
    <w:p w:rsidRPr="003C2FB3"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Wzywa państwa członkowskie, aby przyjęły zaproszenie Komisji do zbadania w perspektywie krótkoterminowej możliwości zwiększenia – za pomocą dostępnych instrumentów – wspólnych zamówień na dużą skalę w dziedzinie obronności, wydatnego zwiększenia EDTIB oraz uruchomienia sztandarowych projektów w dziedzinie obronności.</w:t>
      </w:r>
    </w:p>
    <w:p w:rsidRPr="003C2FB3" w:rsidR="003C2FB3" w:rsidP="00DC0FAE" w:rsidRDefault="003C2FB3" w14:paraId="02B3EC61" w14:textId="2A594CFE">
      <w:pPr>
        <w:widowControl w:val="0"/>
        <w:numPr>
          <w:ilvl w:val="0"/>
          <w:numId w:val="27"/>
        </w:numPr>
        <w:overflowPunct w:val="0"/>
        <w:autoSpaceDE w:val="0"/>
        <w:autoSpaceDN w:val="0"/>
        <w:adjustRightInd w:val="0"/>
        <w:ind w:left="284" w:hanging="284"/>
        <w:textAlignment w:val="baseline"/>
        <w:rPr>
          <w:bCs/>
          <w:iCs/>
        </w:rPr>
      </w:pPr>
      <w:r>
        <w:t>Jest zdania, że zapewnienie przemysłowi obronnemu dostępu do umiejętności, technologii i</w:t>
      </w:r>
      <w:r w:rsidR="00336F25">
        <w:t> </w:t>
      </w:r>
      <w:r>
        <w:t>badań ma zasadnicze znaczenie zarówno z perspektywy przemysłowej, jak i strategicznej.</w:t>
      </w:r>
    </w:p>
    <w:p w:rsidRPr="003C2FB3"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Podkreśla, że powodzenie strategii będzie zależeć przede wszystkim od pełnego zaangażowania państw członkowskich i uznania wartości dodanej podejścia europejskiego.</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3C2FB3" w:rsidTr="00FE3058" w14:paraId="0D2CEC95" w14:textId="77777777">
        <w:tc>
          <w:tcPr>
            <w:tcW w:w="1556"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Pr>
                <w:b/>
                <w:i/>
              </w:rPr>
              <w:t>Kontakt</w:t>
            </w:r>
          </w:p>
        </w:tc>
        <w:tc>
          <w:tcPr>
            <w:tcW w:w="3444" w:type="pct"/>
          </w:tcPr>
          <w:p w:rsidRPr="00DC0FAE" w:rsidR="003C2FB3" w:rsidP="003C2FB3" w:rsidRDefault="003C2FB3" w14:paraId="5D226FEE" w14:textId="7F8C40FE">
            <w:pPr>
              <w:overflowPunct w:val="0"/>
              <w:autoSpaceDE w:val="0"/>
              <w:autoSpaceDN w:val="0"/>
              <w:adjustRightInd w:val="0"/>
              <w:spacing w:line="240" w:lineRule="auto"/>
              <w:textAlignment w:val="baseline"/>
              <w:rPr>
                <w:i/>
              </w:rPr>
            </w:pPr>
            <w:r>
              <w:rPr>
                <w:i/>
              </w:rPr>
              <w:t>Ioannis Diamantopoulos</w:t>
            </w:r>
          </w:p>
        </w:tc>
      </w:tr>
      <w:tr w:rsidRPr="003C2FB3" w:rsidR="003C2FB3" w:rsidTr="00FE3058" w14:paraId="596191B0" w14:textId="77777777">
        <w:tc>
          <w:tcPr>
            <w:tcW w:w="1556"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Pr>
                <w:i/>
              </w:rPr>
              <w:t>tel.</w:t>
            </w:r>
          </w:p>
        </w:tc>
        <w:tc>
          <w:tcPr>
            <w:tcW w:w="3444"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Pr>
                <w:i/>
              </w:rPr>
              <w:t>+32 25469170</w:t>
            </w:r>
          </w:p>
        </w:tc>
      </w:tr>
      <w:tr w:rsidRPr="003C2FB3" w:rsidR="003C2FB3" w:rsidTr="00FE3058" w14:paraId="2628CAA2" w14:textId="77777777">
        <w:tc>
          <w:tcPr>
            <w:tcW w:w="1556"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Pr>
                <w:i/>
              </w:rPr>
              <w:t>e-mail</w:t>
            </w:r>
          </w:p>
        </w:tc>
        <w:tc>
          <w:tcPr>
            <w:tcW w:w="3444" w:type="pct"/>
          </w:tcPr>
          <w:p w:rsidRPr="003C2FB3" w:rsidR="003C2FB3" w:rsidP="003C2FB3" w:rsidRDefault="0096037A" w14:paraId="32C40CB8" w14:textId="77777777">
            <w:pPr>
              <w:overflowPunct w:val="0"/>
              <w:autoSpaceDE w:val="0"/>
              <w:autoSpaceDN w:val="0"/>
              <w:adjustRightInd w:val="0"/>
              <w:spacing w:line="240" w:lineRule="auto"/>
              <w:textAlignment w:val="baseline"/>
              <w:rPr>
                <w:i/>
              </w:rPr>
            </w:pPr>
            <w:hyperlink w:history="1" r:id="rId43">
              <w:r w:rsidR="00660BE3">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C26C81" w:rsidR="00C26C81" w:rsidP="00C26C81" w:rsidRDefault="0096037A"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660BE3">
          <w:rPr>
            <w:b/>
            <w:i/>
            <w:color w:val="0000FF"/>
            <w:sz w:val="28"/>
            <w:u w:val="single"/>
          </w:rPr>
          <w:t>Podejścia oraz najlepsze praktyki przemysłowe i technologiczne na rzecz społeczeństwa odpornego na deficyt wody</w:t>
        </w:r>
      </w:hyperlink>
    </w:p>
    <w:p w:rsidRPr="00336F25" w:rsidR="00DF1937" w:rsidP="00C26C81" w:rsidRDefault="00DF1937" w14:paraId="48918DB7" w14:textId="77777777">
      <w:pPr>
        <w:tabs>
          <w:tab w:val="center" w:pos="284"/>
        </w:tabs>
        <w:overflowPunct w:val="0"/>
        <w:autoSpaceDE w:val="0"/>
        <w:autoSpaceDN w:val="0"/>
        <w:adjustRightInd w:val="0"/>
        <w:ind w:left="266" w:hanging="266"/>
        <w:textAlignment w:val="baseline"/>
        <w:rPr>
          <w:b/>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6520"/>
      </w:tblGrid>
      <w:tr w:rsidRPr="00336F25" w:rsidR="00C26C81" w:rsidTr="00FE3058" w14:paraId="120DFBE2" w14:textId="77777777">
        <w:tc>
          <w:tcPr>
            <w:tcW w:w="1148" w:type="pct"/>
          </w:tcPr>
          <w:p w:rsidRPr="00336F25" w:rsidR="00C26C81" w:rsidP="00C26C81" w:rsidRDefault="00C26C81" w14:paraId="622F56C9" w14:textId="77777777">
            <w:pPr>
              <w:tabs>
                <w:tab w:val="center" w:pos="284"/>
              </w:tabs>
              <w:overflowPunct w:val="0"/>
              <w:autoSpaceDE w:val="0"/>
              <w:autoSpaceDN w:val="0"/>
              <w:adjustRightInd w:val="0"/>
              <w:ind w:left="266" w:hanging="266"/>
              <w:textAlignment w:val="baseline"/>
              <w:rPr>
                <w:b/>
                <w:sz w:val="22"/>
                <w:szCs w:val="22"/>
              </w:rPr>
            </w:pPr>
            <w:r w:rsidRPr="00336F25">
              <w:rPr>
                <w:b/>
                <w:sz w:val="22"/>
                <w:szCs w:val="22"/>
              </w:rPr>
              <w:t>Sprawozdawca</w:t>
            </w:r>
          </w:p>
        </w:tc>
        <w:tc>
          <w:tcPr>
            <w:tcW w:w="3852" w:type="pct"/>
          </w:tcPr>
          <w:p w:rsidRPr="00336F25" w:rsidR="00C26C81" w:rsidP="00C26C81" w:rsidRDefault="00C26C81" w14:paraId="4D21502F" w14:textId="7090BED6">
            <w:pPr>
              <w:tabs>
                <w:tab w:val="center" w:pos="284"/>
              </w:tabs>
              <w:overflowPunct w:val="0"/>
              <w:autoSpaceDE w:val="0"/>
              <w:autoSpaceDN w:val="0"/>
              <w:adjustRightInd w:val="0"/>
              <w:ind w:left="266" w:hanging="266"/>
              <w:textAlignment w:val="baseline"/>
              <w:rPr>
                <w:sz w:val="22"/>
                <w:szCs w:val="22"/>
              </w:rPr>
            </w:pPr>
            <w:r w:rsidRPr="00336F25">
              <w:rPr>
                <w:sz w:val="22"/>
                <w:szCs w:val="22"/>
              </w:rPr>
              <w:t>Florian MARIN (Grupa Pracowników – RO)</w:t>
            </w:r>
          </w:p>
        </w:tc>
      </w:tr>
      <w:tr w:rsidRPr="00336F25" w:rsidR="00C26C81" w:rsidTr="00FE3058" w14:paraId="1F60F708" w14:textId="77777777">
        <w:tc>
          <w:tcPr>
            <w:tcW w:w="1148" w:type="pct"/>
          </w:tcPr>
          <w:p w:rsidRPr="00336F25" w:rsidR="00C26C81" w:rsidP="00C26C81" w:rsidRDefault="00C26C81" w14:paraId="3D84DAA7" w14:textId="77777777">
            <w:pPr>
              <w:tabs>
                <w:tab w:val="center" w:pos="284"/>
              </w:tabs>
              <w:overflowPunct w:val="0"/>
              <w:autoSpaceDE w:val="0"/>
              <w:autoSpaceDN w:val="0"/>
              <w:adjustRightInd w:val="0"/>
              <w:ind w:left="266" w:hanging="266"/>
              <w:textAlignment w:val="baseline"/>
              <w:rPr>
                <w:b/>
                <w:sz w:val="22"/>
                <w:szCs w:val="22"/>
              </w:rPr>
            </w:pPr>
            <w:r w:rsidRPr="00336F25">
              <w:rPr>
                <w:b/>
                <w:sz w:val="22"/>
                <w:szCs w:val="22"/>
              </w:rPr>
              <w:t>Współsprawozdawca</w:t>
            </w:r>
          </w:p>
        </w:tc>
        <w:tc>
          <w:tcPr>
            <w:tcW w:w="3852" w:type="pct"/>
          </w:tcPr>
          <w:p w:rsidRPr="00336F25" w:rsidR="00C26C81" w:rsidP="00C26C81" w:rsidRDefault="00C26C81" w14:paraId="2CC5126F" w14:textId="7BF5F8C5">
            <w:pPr>
              <w:tabs>
                <w:tab w:val="center" w:pos="284"/>
              </w:tabs>
              <w:overflowPunct w:val="0"/>
              <w:autoSpaceDE w:val="0"/>
              <w:autoSpaceDN w:val="0"/>
              <w:adjustRightInd w:val="0"/>
              <w:ind w:left="266" w:hanging="266"/>
              <w:textAlignment w:val="baseline"/>
              <w:rPr>
                <w:sz w:val="22"/>
                <w:szCs w:val="22"/>
              </w:rPr>
            </w:pPr>
            <w:r w:rsidRPr="00336F25">
              <w:rPr>
                <w:sz w:val="22"/>
                <w:szCs w:val="22"/>
              </w:rPr>
              <w:t>John BRYAN (Kat. 3 – IE)</w:t>
            </w:r>
          </w:p>
        </w:tc>
      </w:tr>
      <w:tr w:rsidRPr="00336F25" w:rsidR="00C26C81" w:rsidTr="00FE3058" w14:paraId="0255D7F1" w14:textId="77777777">
        <w:tc>
          <w:tcPr>
            <w:tcW w:w="5000" w:type="pct"/>
            <w:gridSpan w:val="2"/>
          </w:tcPr>
          <w:p w:rsidRPr="00336F25"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336F25" w:rsidR="00C26C81" w:rsidTr="00FE3058" w14:paraId="6490CDCA" w14:textId="77777777">
        <w:tc>
          <w:tcPr>
            <w:tcW w:w="1148" w:type="pct"/>
            <w:vMerge w:val="restart"/>
          </w:tcPr>
          <w:p w:rsidRPr="00336F25" w:rsidR="00C26C81" w:rsidP="00C26C81" w:rsidRDefault="00C26C81" w14:paraId="3249E176" w14:textId="77777777">
            <w:pPr>
              <w:tabs>
                <w:tab w:val="center" w:pos="284"/>
              </w:tabs>
              <w:overflowPunct w:val="0"/>
              <w:autoSpaceDE w:val="0"/>
              <w:autoSpaceDN w:val="0"/>
              <w:adjustRightInd w:val="0"/>
              <w:ind w:left="266" w:hanging="266"/>
              <w:textAlignment w:val="baseline"/>
              <w:rPr>
                <w:b/>
                <w:sz w:val="22"/>
                <w:szCs w:val="22"/>
              </w:rPr>
            </w:pPr>
            <w:r w:rsidRPr="00336F25">
              <w:rPr>
                <w:b/>
                <w:sz w:val="22"/>
                <w:szCs w:val="22"/>
              </w:rPr>
              <w:t>Dokumenty</w:t>
            </w:r>
          </w:p>
        </w:tc>
        <w:tc>
          <w:tcPr>
            <w:tcW w:w="3852" w:type="pct"/>
          </w:tcPr>
          <w:p w:rsidRPr="00336F25" w:rsidR="00DF1937" w:rsidP="00C26C81" w:rsidRDefault="00DF1937" w14:paraId="62B42CB3" w14:textId="689EBFFE">
            <w:pPr>
              <w:tabs>
                <w:tab w:val="center" w:pos="284"/>
              </w:tabs>
              <w:overflowPunct w:val="0"/>
              <w:autoSpaceDE w:val="0"/>
              <w:autoSpaceDN w:val="0"/>
              <w:adjustRightInd w:val="0"/>
              <w:ind w:left="266" w:hanging="266"/>
              <w:textAlignment w:val="baseline"/>
              <w:rPr>
                <w:sz w:val="22"/>
                <w:szCs w:val="22"/>
              </w:rPr>
            </w:pPr>
            <w:r w:rsidRPr="00336F25">
              <w:rPr>
                <w:sz w:val="22"/>
                <w:szCs w:val="22"/>
              </w:rPr>
              <w:t>Opinia rozpoznawcza na wniosek Komisji Europejskiej</w:t>
            </w:r>
          </w:p>
          <w:p w:rsidRPr="00336F25" w:rsidR="00C26C81" w:rsidP="00C26C81" w:rsidRDefault="00C26C81" w14:paraId="575B4C73" w14:textId="570E8293">
            <w:pPr>
              <w:tabs>
                <w:tab w:val="center" w:pos="284"/>
              </w:tabs>
              <w:overflowPunct w:val="0"/>
              <w:autoSpaceDE w:val="0"/>
              <w:autoSpaceDN w:val="0"/>
              <w:adjustRightInd w:val="0"/>
              <w:ind w:left="266" w:hanging="266"/>
              <w:textAlignment w:val="baseline"/>
              <w:rPr>
                <w:sz w:val="22"/>
                <w:szCs w:val="22"/>
              </w:rPr>
            </w:pPr>
            <w:r w:rsidRPr="00336F25">
              <w:rPr>
                <w:sz w:val="22"/>
                <w:szCs w:val="22"/>
              </w:rPr>
              <w:t>EESC-2024-00209-00-00-AC</w:t>
            </w:r>
          </w:p>
        </w:tc>
      </w:tr>
      <w:tr w:rsidRPr="00336F25" w:rsidR="00C26C81" w:rsidTr="00FE3058" w14:paraId="7D13EFEC" w14:textId="77777777">
        <w:tc>
          <w:tcPr>
            <w:tcW w:w="1148" w:type="pct"/>
            <w:vMerge/>
          </w:tcPr>
          <w:p w:rsidRPr="00336F25" w:rsidR="00C26C81" w:rsidP="00C26C81" w:rsidRDefault="00C26C81" w14:paraId="22339B72"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336F25" w:rsidR="00C26C81" w:rsidP="00C26C81" w:rsidRDefault="00C26C81" w14:paraId="30DF2ED2" w14:textId="77777777">
            <w:pPr>
              <w:tabs>
                <w:tab w:val="center" w:pos="284"/>
              </w:tabs>
              <w:overflowPunct w:val="0"/>
              <w:autoSpaceDE w:val="0"/>
              <w:autoSpaceDN w:val="0"/>
              <w:adjustRightInd w:val="0"/>
              <w:ind w:left="266" w:hanging="266"/>
              <w:textAlignment w:val="baseline"/>
              <w:rPr>
                <w:sz w:val="22"/>
                <w:szCs w:val="22"/>
              </w:rPr>
            </w:pPr>
          </w:p>
        </w:tc>
      </w:tr>
    </w:tbl>
    <w:p w:rsidRPr="00336F25"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sidRPr="00336F25">
        <w:rPr>
          <w:b/>
        </w:rPr>
        <w:t>Główne punkty</w:t>
      </w:r>
    </w:p>
    <w:p w:rsidRPr="00336F25"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rPr>
      </w:pPr>
    </w:p>
    <w:p w:rsidRPr="00336F25" w:rsidR="00C26C81" w:rsidP="00C26C81" w:rsidRDefault="00C26C81" w14:paraId="0AEAF1D0" w14:textId="370DE955">
      <w:pPr>
        <w:overflowPunct w:val="0"/>
        <w:autoSpaceDE w:val="0"/>
        <w:autoSpaceDN w:val="0"/>
        <w:adjustRightInd w:val="0"/>
        <w:textAlignment w:val="baseline"/>
        <w:rPr>
          <w:bCs/>
          <w:iCs/>
        </w:rPr>
      </w:pPr>
      <w:r w:rsidRPr="00336F25">
        <w:t>EKES:</w:t>
      </w:r>
    </w:p>
    <w:p w:rsidRPr="00336F25" w:rsidR="002B7841" w:rsidP="00C26C81" w:rsidRDefault="002B7841" w14:paraId="2BBD3487" w14:textId="77777777">
      <w:pPr>
        <w:overflowPunct w:val="0"/>
        <w:autoSpaceDE w:val="0"/>
        <w:autoSpaceDN w:val="0"/>
        <w:adjustRightInd w:val="0"/>
        <w:textAlignment w:val="baseline"/>
        <w:rPr>
          <w:bCs/>
          <w:iCs/>
        </w:rPr>
      </w:pPr>
    </w:p>
    <w:p w:rsidRPr="00336F25" w:rsidR="00C26C81" w:rsidP="00DC0FAE" w:rsidRDefault="00C26C81" w14:paraId="724B6930" w14:textId="05C89AF9">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Wzywa do opracowania </w:t>
      </w:r>
      <w:r w:rsidRPr="00336F25">
        <w:rPr>
          <w:b/>
          <w:spacing w:val="-4"/>
        </w:rPr>
        <w:t>odrębnej strategii</w:t>
      </w:r>
      <w:r w:rsidRPr="00336F25">
        <w:rPr>
          <w:spacing w:val="-4"/>
        </w:rPr>
        <w:t xml:space="preserve"> – swoistego Niebieskiego Ładu UE – oraz planu działania w sprawie </w:t>
      </w:r>
      <w:r w:rsidRPr="00336F25">
        <w:rPr>
          <w:b/>
          <w:spacing w:val="-4"/>
        </w:rPr>
        <w:t>wody, aby zapewnić odporność na deficyt wody, a także bezpieczeństwo wodne i</w:t>
      </w:r>
      <w:r w:rsidR="008B7113">
        <w:rPr>
          <w:b/>
          <w:spacing w:val="-4"/>
        </w:rPr>
        <w:t> </w:t>
      </w:r>
      <w:r w:rsidRPr="00336F25">
        <w:rPr>
          <w:b/>
          <w:spacing w:val="-4"/>
        </w:rPr>
        <w:t>zrównoważoną gospodarkę wodną, który będzie uzupełnieniem Europejskiego Zielonego Ładu</w:t>
      </w:r>
      <w:r w:rsidRPr="00336F25">
        <w:rPr>
          <w:spacing w:val="-4"/>
        </w:rPr>
        <w:t>.</w:t>
      </w:r>
    </w:p>
    <w:p w:rsidRPr="00336F25"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Wzywa UE do </w:t>
      </w:r>
      <w:r w:rsidRPr="00336F25">
        <w:rPr>
          <w:b/>
          <w:spacing w:val="-4"/>
        </w:rPr>
        <w:t>uwzględnienia wody w zmienionej polityce przemysłowej</w:t>
      </w:r>
      <w:r w:rsidRPr="00336F25">
        <w:rPr>
          <w:spacing w:val="-4"/>
        </w:rPr>
        <w:t xml:space="preserve"> i ścieżkach transformacji przemysłowej w ramach podejścia sektorowego.</w:t>
      </w:r>
    </w:p>
    <w:p w:rsidRPr="00336F25" w:rsidR="00C26C81" w:rsidP="00DC0FAE" w:rsidRDefault="00C26C81" w14:paraId="30D20AE2" w14:textId="50342718">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Odnotowuje, że ta zmiana powinna stanowić okazję do zaproponowania </w:t>
      </w:r>
      <w:r w:rsidRPr="00336F25">
        <w:rPr>
          <w:b/>
          <w:spacing w:val="-4"/>
        </w:rPr>
        <w:t>nowego porozumienia przemysłowego</w:t>
      </w:r>
      <w:r w:rsidRPr="00336F25">
        <w:rPr>
          <w:spacing w:val="-4"/>
        </w:rPr>
        <w:t xml:space="preserve">, aby w ciągu czterech lat </w:t>
      </w:r>
      <w:r w:rsidRPr="00336F25">
        <w:rPr>
          <w:b/>
          <w:spacing w:val="-4"/>
        </w:rPr>
        <w:t>zaoferować przemysłowi europejskiemu skonsolidowaną strategię</w:t>
      </w:r>
      <w:r w:rsidRPr="00336F25">
        <w:rPr>
          <w:spacing w:val="-4"/>
        </w:rPr>
        <w:t xml:space="preserve"> odpowiadającą na wielorakie wyzwania, przed którymi on stoi (w</w:t>
      </w:r>
      <w:r w:rsidRPr="00336F25" w:rsidR="00336F25">
        <w:rPr>
          <w:spacing w:val="-4"/>
        </w:rPr>
        <w:t> </w:t>
      </w:r>
      <w:r w:rsidRPr="00336F25">
        <w:rPr>
          <w:spacing w:val="-4"/>
        </w:rPr>
        <w:t>dziedzinie wody, energii, surowców krytycznych, cyfryzacji i strategicznej autonomii).</w:t>
      </w:r>
    </w:p>
    <w:p w:rsidRPr="00336F25"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Podkreśla, że podejścia w zakresie przemysłu i technologii na rzecz społeczeństwa mądrze korzystającego z wody należy ściśle powiązać z </w:t>
      </w:r>
      <w:r w:rsidRPr="00336F25">
        <w:rPr>
          <w:b/>
          <w:spacing w:val="-4"/>
        </w:rPr>
        <w:t xml:space="preserve">kompleksową polityką zrównoważonego gospodarowania wodą w przemyśle </w:t>
      </w:r>
      <w:r w:rsidRPr="00336F25">
        <w:rPr>
          <w:spacing w:val="-4"/>
        </w:rPr>
        <w:t xml:space="preserve">opartą na ograniczaniu zużycia wody, ponownym wykorzystywaniu i recyklingu wody, zmniejszaniu zanieczyszczenia wody oraz stopniowym wprowadzaniu i wykorzystywaniu wodooszczędnych technologii, zapewniając jednocześnie sprawiedliwą transformację </w:t>
      </w:r>
      <w:r w:rsidRPr="00336F25">
        <w:rPr>
          <w:b/>
          <w:spacing w:val="-4"/>
        </w:rPr>
        <w:t>chroniącą konkurencyjność przemysłu</w:t>
      </w:r>
      <w:r w:rsidRPr="00336F25">
        <w:rPr>
          <w:spacing w:val="-4"/>
        </w:rPr>
        <w:t>.</w:t>
      </w:r>
    </w:p>
    <w:p w:rsidRPr="00336F25" w:rsidR="00C26C81" w:rsidP="00DC0FAE" w:rsidRDefault="00C26C81" w14:paraId="42BF90D7" w14:textId="76A247A4">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Podkreśla potrzebę opracowania </w:t>
      </w:r>
      <w:r w:rsidRPr="00336F25">
        <w:rPr>
          <w:b/>
          <w:spacing w:val="-4"/>
        </w:rPr>
        <w:t>europejskiego ekosystemu zarządzania danymi dotyczącymi wody</w:t>
      </w:r>
      <w:r w:rsidRPr="00336F25">
        <w:rPr>
          <w:spacing w:val="-4"/>
        </w:rPr>
        <w:t>, a także potrzebę pomiaru zużycia wody we wszystkich procesach produkcyjnych i</w:t>
      </w:r>
      <w:r w:rsidRPr="00336F25" w:rsidR="00336F25">
        <w:rPr>
          <w:spacing w:val="-4"/>
        </w:rPr>
        <w:t> </w:t>
      </w:r>
      <w:r w:rsidRPr="00336F25">
        <w:rPr>
          <w:spacing w:val="-4"/>
        </w:rPr>
        <w:t>minimalizowania zużycia wody pitnej do celów przemysłowych.</w:t>
      </w:r>
    </w:p>
    <w:p w:rsidRPr="00336F25"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Podkreśla potrzebę </w:t>
      </w:r>
      <w:r w:rsidRPr="00336F25">
        <w:rPr>
          <w:b/>
          <w:spacing w:val="-4"/>
        </w:rPr>
        <w:t>zapewnienia najbardziej krytycznym sektorom dostępu do wody w sytuacjach kryzysowych</w:t>
      </w:r>
      <w:r w:rsidRPr="00336F25">
        <w:rPr>
          <w:spacing w:val="-4"/>
        </w:rPr>
        <w:t>.</w:t>
      </w:r>
    </w:p>
    <w:p w:rsidRPr="00336F25"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Wzywa do opracowania </w:t>
      </w:r>
      <w:r w:rsidRPr="00336F25">
        <w:rPr>
          <w:b/>
          <w:spacing w:val="-4"/>
        </w:rPr>
        <w:t>ścieżki transformacji w kierunku czystego i wodooszczędnego sektora technologicznego</w:t>
      </w:r>
      <w:r w:rsidRPr="00336F25">
        <w:rPr>
          <w:spacing w:val="-4"/>
        </w:rPr>
        <w:t>, w tym planu działania dotyczącego wymiaru ludzkiego, aby zapewnić dostępność wymaganych umiejętności, wysokiej jakości miejsc pracy i godnych warunków pracy.</w:t>
      </w:r>
    </w:p>
    <w:p w:rsidRPr="00336F25" w:rsidR="00C26C81" w:rsidP="00DC0FAE" w:rsidRDefault="00C26C81" w14:paraId="7B237525" w14:textId="7627CB0B">
      <w:pPr>
        <w:numPr>
          <w:ilvl w:val="0"/>
          <w:numId w:val="28"/>
        </w:numPr>
        <w:overflowPunct w:val="0"/>
        <w:autoSpaceDE w:val="0"/>
        <w:autoSpaceDN w:val="0"/>
        <w:adjustRightInd w:val="0"/>
        <w:spacing w:after="200" w:line="276" w:lineRule="auto"/>
        <w:ind w:left="284" w:hanging="284"/>
        <w:contextualSpacing/>
        <w:textAlignment w:val="baseline"/>
        <w:rPr>
          <w:bCs/>
          <w:iCs/>
          <w:spacing w:val="-4"/>
        </w:rPr>
      </w:pPr>
      <w:r w:rsidRPr="00336F25">
        <w:rPr>
          <w:spacing w:val="-4"/>
        </w:rPr>
        <w:t xml:space="preserve">Proponuje środki wspierające </w:t>
      </w:r>
      <w:r w:rsidRPr="00336F25">
        <w:rPr>
          <w:b/>
          <w:spacing w:val="-4"/>
        </w:rPr>
        <w:t>wdrażanie funduszu na rzecz niebieskiej transformacji</w:t>
      </w:r>
      <w:r w:rsidRPr="00336F25">
        <w:rPr>
          <w:spacing w:val="-4"/>
        </w:rPr>
        <w:t xml:space="preserve"> w</w:t>
      </w:r>
      <w:r w:rsidRPr="00336F25" w:rsidR="00336F25">
        <w:rPr>
          <w:spacing w:val="-4"/>
        </w:rPr>
        <w:t> </w:t>
      </w:r>
      <w:r w:rsidRPr="00336F25">
        <w:rPr>
          <w:spacing w:val="-4"/>
        </w:rPr>
        <w:t>przemyśle.</w:t>
      </w:r>
    </w:p>
    <w:p w:rsidRPr="00C26C81"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rsidRPr="00336F25">
        <w:rPr>
          <w:spacing w:val="-4"/>
        </w:rPr>
        <w:t>Popiera stworzenie wspólnoty wiedzy i innowacji w zakresie wody (WWiI) przez Europejski Instytut Innowacji i Technologii (EIT).</w:t>
      </w:r>
    </w:p>
    <w:p w:rsidRPr="00C26C81"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Pr>
                <w:b/>
                <w:i/>
              </w:rPr>
              <w:t>Kontakt</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r>
              <w:rPr>
                <w:i/>
              </w:rPr>
              <w:t>Heli Niemelä-Farrer</w:t>
            </w:r>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Pr>
                <w:i/>
              </w:rPr>
              <w:t>tel.</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Pr>
                <w:i/>
              </w:rPr>
              <w:t>+32 22822464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Pr>
                <w:i/>
              </w:rPr>
              <w:t>e-mail</w:t>
            </w:r>
          </w:p>
        </w:tc>
        <w:tc>
          <w:tcPr>
            <w:tcW w:w="3444" w:type="pct"/>
          </w:tcPr>
          <w:p w:rsidR="004F1302" w:rsidP="0066006A" w:rsidRDefault="0096037A" w14:paraId="0FED9690" w14:textId="7A8281DF">
            <w:pPr>
              <w:overflowPunct w:val="0"/>
              <w:autoSpaceDE w:val="0"/>
              <w:autoSpaceDN w:val="0"/>
              <w:adjustRightInd w:val="0"/>
              <w:spacing w:line="240" w:lineRule="auto"/>
              <w:textAlignment w:val="baseline"/>
              <w:rPr>
                <w:i/>
                <w:color w:val="0000FF"/>
                <w:u w:val="single"/>
              </w:rPr>
            </w:pPr>
            <w:hyperlink w:history="1" r:id="rId45">
              <w:r w:rsidR="004F1302">
                <w:rPr>
                  <w:rStyle w:val="Hyperlink"/>
                </w:rPr>
                <w:t>Heli.Niemela-Farrer</w:t>
              </w:r>
              <w:r w:rsidR="004F1302">
                <w:rPr>
                  <w:rStyle w:val="Hyperlink"/>
                  <w:i/>
                </w:rPr>
                <w:t>@eesc.europa.eu</w:t>
              </w:r>
            </w:hyperlink>
          </w:p>
          <w:p w:rsidRPr="003C2FB3" w:rsidR="004F1302" w:rsidP="0066006A" w:rsidRDefault="004F1302" w14:paraId="13626409" w14:textId="51178F9F">
            <w:pPr>
              <w:overflowPunct w:val="0"/>
              <w:autoSpaceDE w:val="0"/>
              <w:autoSpaceDN w:val="0"/>
              <w:adjustRightInd w:val="0"/>
              <w:spacing w:line="240" w:lineRule="auto"/>
              <w:textAlignment w:val="baseline"/>
              <w:rPr>
                <w:i/>
              </w:rPr>
            </w:pPr>
          </w:p>
        </w:tc>
      </w:tr>
    </w:tbl>
    <w:p w:rsidR="00336F25" w:rsidP="006C7863" w:rsidRDefault="00336F25" w14:paraId="676055C0" w14:textId="77777777">
      <w:pPr>
        <w:overflowPunct w:val="0"/>
        <w:autoSpaceDE w:val="0"/>
        <w:autoSpaceDN w:val="0"/>
        <w:adjustRightInd w:val="0"/>
        <w:jc w:val="center"/>
        <w:textAlignment w:val="baseline"/>
      </w:pPr>
    </w:p>
    <w:p w:rsidRPr="006C7863" w:rsidR="0092772D" w:rsidP="006C7863" w:rsidRDefault="00556EDF" w14:paraId="7379A588" w14:textId="7CABD6E7">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pl-PL"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73"/>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57E42"/>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271F"/>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470F"/>
    <w:rsid w:val="00335DF3"/>
    <w:rsid w:val="00336A36"/>
    <w:rsid w:val="00336F25"/>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6FF4"/>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15AA"/>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0BE3"/>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13"/>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37A"/>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39"/>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7F1"/>
    <w:rsid w:val="00FF0AB7"/>
    <w:rsid w:val="00FF16D1"/>
    <w:rsid w:val="00FF1E87"/>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pl-P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pl/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pl/our-work/opinions-information-reports/opinions/plan-europeen-pour-vaincre-le-cancer-vers-un-approvisionnement-sur-en-radio-isotopes-usage-medical" TargetMode="External"/><Relationship Id="rId42" Type="http://schemas.openxmlformats.org/officeDocument/2006/relationships/hyperlink" Target="https://www.eesc.europa.eu/pl/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pl/our-work/opinions-information-reports/opinions/vaccine-preventable-cancers" TargetMode="External"/><Relationship Id="rId32" Type="http://schemas.openxmlformats.org/officeDocument/2006/relationships/hyperlink" Target="https://www.eesc.europa.eu/pl/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pl/our-work/opinions-information-reports/opinions/communication-sur-la-gestion-industrielle-du-carbone"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pl/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pl/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pl/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p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pl/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pl/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pl/our-work/opinions-information-reports/opinions/un-lieu-ou-il-est-exclu-de-hair-une-europe-unie-contre-la-haine" TargetMode="External"/><Relationship Id="rId36" Type="http://schemas.openxmlformats.org/officeDocument/2006/relationships/hyperlink" Target="https://www.eesc.europa.eu/pl/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F7M6YNZUATRX-917472228-6064</_dlc_DocId>
    <_dlc_DocIdUrl xmlns="59ace41b-6786-4ce3-be71-52c27066c6ef">
      <Url>http://dm/eesc/2024/_layouts/15/DocIdRedir.aspx?ID=F7M6YNZUATRX-917472228-6064</Url>
      <Description>F7M6YNZUATRX-917472228-6064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2024-06-19T12:00:00+00:00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Klimaszewska Agnieszka</DisplayName>
        <AccountId>1509</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0B1FB-C24C-4126-81F4-C8F7E4A08D26}"/>
</file>

<file path=customXml/itemProps2.xml><?xml version="1.0" encoding="utf-8"?>
<ds:datastoreItem xmlns:ds="http://schemas.openxmlformats.org/officeDocument/2006/customXml" ds:itemID="{14037F47-FF40-40BC-B5EC-46F520A127B8}"/>
</file>

<file path=customXml/itemProps3.xml><?xml version="1.0" encoding="utf-8"?>
<ds:datastoreItem xmlns:ds="http://schemas.openxmlformats.org/officeDocument/2006/customXml" ds:itemID="{330AA942-5EE8-40E2-88E0-B5B6C6651B25}"/>
</file>

<file path=customXml/itemProps4.xml><?xml version="1.0" encoding="utf-8"?>
<ds:datastoreItem xmlns:ds="http://schemas.openxmlformats.org/officeDocument/2006/customXml" ds:itemID="{FCABA63E-F80B-44BE-A292-7B7B4E4006EC}"/>
</file>

<file path=docProps/app.xml><?xml version="1.0" encoding="utf-8"?>
<Properties xmlns="http://schemas.openxmlformats.org/officeDocument/2006/extended-properties" xmlns:vt="http://schemas.openxmlformats.org/officeDocument/2006/docPropsVTypes">
  <Template>Normal.dotm</Template>
  <TotalTime>0</TotalTime>
  <Pages>19</Pages>
  <Words>6067</Words>
  <Characters>33371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przyjętych opinii - 588. sesja plenarna - Maj 2024 r.</dc:title>
  <dc:subject>TCD</dc:subject>
  <dc:creator>Nieddu Emma</dc:creator>
  <cp:keywords>EESC-2024-01704-00-00-TCD-TRA-EN</cp:keywords>
  <dc:description>Rapporteur:  - Original language: EN - Date of document: 19/06/2024 - Date of meeting: 30/10/2024 14:30 - External documents:  - Administrator: MME TAMASAUSKIENE Julija</dc:description>
  <cp:lastModifiedBy>Klimaszewska Agnieszka</cp:lastModifiedBy>
  <cp:revision>23</cp:revision>
  <cp:lastPrinted>2023-06-15T08:00:00Z</cp:lastPrinted>
  <dcterms:created xsi:type="dcterms:W3CDTF">2024-06-14T14:52:00Z</dcterms:created>
  <dcterms:modified xsi:type="dcterms:W3CDTF">2024-06-19T14:56:00Z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de3f3dee-628e-4861-b1db-f868523f2770</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SV|c2ed69e7-a339-43d7-8f22-d93680a92aa0;ES|e7a6b05b-ae16-40c8-add9-68b64b03aeba;DE|f6b31e5a-26fa-4935-b661-318e46daf27e;LV|46f7e311-5d9f-4663-b433-18aeccb7ace7;PT|50ccc04a-eadd-42ae-a0cb-acaf45f812ba;EL|6d4f4d51-af9b-4650-94b4-4276bee85c91;SL|98a412ae-eb01-49e9-ae3d-585a81724cfc;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32;#HU|6b229040-c589-4408-b4c1-4285663d20a8;#31;#NL|55c6556c-b4f4-441d-9acf-c498d4f838bd;#29;#EL|6d4f4d51-af9b-4650-94b4-4276bee85c91;#28;#LV|46f7e311-5d9f-4663-b433-18aeccb7ace7;#27;#SL|98a412ae-eb01-49e9-ae3d-585a81724cfc;#25;#DE|f6b31e5a-26fa-4935-b661-318e46daf27e;#24;#ES|e7a6b05b-ae16-40c8-add9-68b64b03aeba;#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17;#PL|1e03da61-4678-4e07-b136-b5024ca9197b</vt:lpwstr>
  </property>
</Properties>
</file>