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851457" w14:paraId="785AE44C" w14:textId="24D72FDC">
      <w:pPr>
        <w:jc w:val="center"/>
      </w:pPr>
      <w:r>
        <w:rPr>
          <w:noProof/>
        </w:rPr>
        <w:drawing>
          <wp:inline distT="0" distB="0" distL="0" distR="0" wp14:anchorId="0366942F" wp14:editId="48D169DD">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Picture 2"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6E53C5F6"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2024 m. birželio 21 d., Briuselis</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588-oji PLENARINĖ SESIJA</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2024 m. gegužės 30–31 d.</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PRIIMTŲ NUOMONIŲ, REZOLIUCIJŲ IR INFORMACINIŲ IR (ARBA) VERTINIMO PRANEŠIMŲ SANTRAUKA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Šį dokumentą visomis oficialiosiomis Europos Sąjungos kalbomis rasite EESRK interneto svetainėje:</w:t>
            </w:r>
          </w:p>
          <w:p w:rsidRPr="00094B6B" w:rsidR="00B16284" w:rsidP="00775FC4" w:rsidRDefault="00B16284" w14:paraId="4F26A4CE" w14:textId="77777777">
            <w:pPr>
              <w:snapToGrid w:val="0"/>
              <w:jc w:val="center"/>
            </w:pPr>
          </w:p>
          <w:p w:rsidRPr="00094B6B" w:rsidR="004D7AC0" w:rsidP="00775FC4" w:rsidRDefault="000339E9" w14:paraId="2A9352A2" w14:textId="0680ADB6">
            <w:pPr>
              <w:snapToGrid w:val="0"/>
              <w:jc w:val="center"/>
            </w:pPr>
            <w:hyperlink w:history="1" r:id="rId12">
              <w:r w:rsidR="00851457">
                <w:rPr>
                  <w:rStyle w:val="Hyperlink"/>
                  <w:highlight w:val="yellow"/>
                </w:rPr>
                <w:t>https://www.eesc.europa.eu/lt/our-work/opinions-information-reports/plenary-session-summaries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Visas minimas nuomones rasite EESRK interneto svetainėje:</w:t>
            </w:r>
          </w:p>
          <w:p w:rsidRPr="00094B6B" w:rsidR="00B16284" w:rsidP="00775FC4" w:rsidRDefault="00B16284" w14:paraId="7A5411A5" w14:textId="77777777">
            <w:pPr>
              <w:snapToGrid w:val="0"/>
              <w:jc w:val="center"/>
            </w:pPr>
          </w:p>
          <w:p w:rsidRPr="00094B6B" w:rsidR="004D7AC0" w:rsidP="00775FC4" w:rsidRDefault="000339E9" w14:paraId="441AC4DD" w14:textId="1194D751">
            <w:pPr>
              <w:snapToGrid w:val="0"/>
              <w:jc w:val="center"/>
            </w:pPr>
            <w:hyperlink w:history="1" r:id="rId13">
              <w:r w:rsidR="00851457">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Turinys</w:t>
      </w:r>
    </w:p>
    <w:p w:rsidR="00303420" w:rsidRDefault="008772F9" w14:paraId="76890508" w14:textId="51AAA7D3">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9871749">
        <w:r w:rsidRPr="00CB4B41" w:rsidR="00303420">
          <w:rPr>
            <w:rStyle w:val="Hyperlink"/>
            <w14:scene3d>
              <w14:camera w14:prst="orthographicFront"/>
              <w14:lightRig w14:rig="threePt" w14:dir="t">
                <w14:rot w14:lat="0" w14:lon="0" w14:rev="0"/>
              </w14:lightRig>
            </w14:scene3d>
          </w:rPr>
          <w:t>1.</w:t>
        </w:r>
        <w:r w:rsidR="00303420">
          <w:rPr>
            <w:rFonts w:asciiTheme="minorHAnsi" w:hAnsiTheme="minorHAnsi" w:eastAsiaTheme="minorEastAsia" w:cstheme="minorBidi"/>
            <w:bCs w:val="0"/>
            <w:sz w:val="22"/>
            <w:szCs w:val="22"/>
            <w:lang w:val="en-US"/>
          </w:rPr>
          <w:tab/>
        </w:r>
        <w:r w:rsidRPr="00CB4B41" w:rsidR="00303420">
          <w:rPr>
            <w:rStyle w:val="Hyperlink"/>
            <w:b/>
          </w:rPr>
          <w:t>EKONOMINĖS IR PINIGŲ SĄJUNGOS, EKONOMINĖS IR SOCIALINĖS SANGLAUDOS SKYRIUS</w:t>
        </w:r>
        <w:r w:rsidR="00303420">
          <w:rPr>
            <w:webHidden/>
          </w:rPr>
          <w:tab/>
        </w:r>
        <w:r w:rsidR="00303420">
          <w:rPr>
            <w:webHidden/>
          </w:rPr>
          <w:fldChar w:fldCharType="begin"/>
        </w:r>
        <w:r w:rsidR="00303420">
          <w:rPr>
            <w:webHidden/>
          </w:rPr>
          <w:instrText xml:space="preserve"> PAGEREF _Toc169871749 \h </w:instrText>
        </w:r>
        <w:r w:rsidR="00303420">
          <w:rPr>
            <w:webHidden/>
          </w:rPr>
        </w:r>
        <w:r w:rsidR="00303420">
          <w:rPr>
            <w:webHidden/>
          </w:rPr>
          <w:fldChar w:fldCharType="separate"/>
        </w:r>
        <w:r w:rsidR="00303420">
          <w:rPr>
            <w:webHidden/>
          </w:rPr>
          <w:t>3</w:t>
        </w:r>
        <w:r w:rsidR="00303420">
          <w:rPr>
            <w:webHidden/>
          </w:rPr>
          <w:fldChar w:fldCharType="end"/>
        </w:r>
      </w:hyperlink>
    </w:p>
    <w:p w:rsidR="00303420" w:rsidRDefault="00303420" w14:paraId="0192FC05" w14:textId="5BD2EADB">
      <w:pPr>
        <w:pStyle w:val="TOC1"/>
        <w:rPr>
          <w:rFonts w:asciiTheme="minorHAnsi" w:hAnsiTheme="minorHAnsi" w:eastAsiaTheme="minorEastAsia" w:cstheme="minorBidi"/>
          <w:bCs w:val="0"/>
          <w:sz w:val="22"/>
          <w:szCs w:val="22"/>
          <w:lang w:val="en-US"/>
        </w:rPr>
      </w:pPr>
      <w:hyperlink w:history="1" w:anchor="_Toc169871750">
        <w:r w:rsidRPr="00CB4B41">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CB4B41">
          <w:rPr>
            <w:rStyle w:val="Hyperlink"/>
            <w:b/>
          </w:rPr>
          <w:t>UŽIMTUMO, SOCIALINIŲ REIKALŲ IR PILIETYBĖS SKYRIUS</w:t>
        </w:r>
        <w:r>
          <w:rPr>
            <w:webHidden/>
          </w:rPr>
          <w:tab/>
        </w:r>
        <w:r>
          <w:rPr>
            <w:webHidden/>
          </w:rPr>
          <w:fldChar w:fldCharType="begin"/>
        </w:r>
        <w:r>
          <w:rPr>
            <w:webHidden/>
          </w:rPr>
          <w:instrText xml:space="preserve"> PAGEREF _Toc169871750 \h </w:instrText>
        </w:r>
        <w:r>
          <w:rPr>
            <w:webHidden/>
          </w:rPr>
        </w:r>
        <w:r>
          <w:rPr>
            <w:webHidden/>
          </w:rPr>
          <w:fldChar w:fldCharType="separate"/>
        </w:r>
        <w:r>
          <w:rPr>
            <w:webHidden/>
          </w:rPr>
          <w:t>7</w:t>
        </w:r>
        <w:r>
          <w:rPr>
            <w:webHidden/>
          </w:rPr>
          <w:fldChar w:fldCharType="end"/>
        </w:r>
      </w:hyperlink>
    </w:p>
    <w:p w:rsidR="00303420" w:rsidRDefault="00303420" w14:paraId="7EDB05E2" w14:textId="10257F49">
      <w:pPr>
        <w:pStyle w:val="TOC1"/>
        <w:rPr>
          <w:rFonts w:asciiTheme="minorHAnsi" w:hAnsiTheme="minorHAnsi" w:eastAsiaTheme="minorEastAsia" w:cstheme="minorBidi"/>
          <w:bCs w:val="0"/>
          <w:sz w:val="22"/>
          <w:szCs w:val="22"/>
          <w:lang w:val="en-US"/>
        </w:rPr>
      </w:pPr>
      <w:hyperlink w:history="1" w:anchor="_Toc169871751">
        <w:r w:rsidRPr="00CB4B41">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CB4B41">
          <w:rPr>
            <w:rStyle w:val="Hyperlink"/>
            <w:b/>
          </w:rPr>
          <w:t>ŽEMĖS ŪKIO, KAIMO PLĖTROS IR APLINKOS SKYRIUS</w:t>
        </w:r>
        <w:r>
          <w:rPr>
            <w:webHidden/>
          </w:rPr>
          <w:tab/>
        </w:r>
        <w:r>
          <w:rPr>
            <w:webHidden/>
          </w:rPr>
          <w:fldChar w:fldCharType="begin"/>
        </w:r>
        <w:r>
          <w:rPr>
            <w:webHidden/>
          </w:rPr>
          <w:instrText xml:space="preserve"> PAGEREF _Toc169871751 \h </w:instrText>
        </w:r>
        <w:r>
          <w:rPr>
            <w:webHidden/>
          </w:rPr>
        </w:r>
        <w:r>
          <w:rPr>
            <w:webHidden/>
          </w:rPr>
          <w:fldChar w:fldCharType="separate"/>
        </w:r>
        <w:r>
          <w:rPr>
            <w:webHidden/>
          </w:rPr>
          <w:t>10</w:t>
        </w:r>
        <w:r>
          <w:rPr>
            <w:webHidden/>
          </w:rPr>
          <w:fldChar w:fldCharType="end"/>
        </w:r>
      </w:hyperlink>
    </w:p>
    <w:p w:rsidR="00303420" w:rsidRDefault="00303420" w14:paraId="337DA68A" w14:textId="181B92BB">
      <w:pPr>
        <w:pStyle w:val="TOC1"/>
        <w:rPr>
          <w:rFonts w:asciiTheme="minorHAnsi" w:hAnsiTheme="minorHAnsi" w:eastAsiaTheme="minorEastAsia" w:cstheme="minorBidi"/>
          <w:bCs w:val="0"/>
          <w:sz w:val="22"/>
          <w:szCs w:val="22"/>
          <w:lang w:val="en-US"/>
        </w:rPr>
      </w:pPr>
      <w:hyperlink w:history="1" w:anchor="_Toc169871752">
        <w:r w:rsidRPr="00CB4B41">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CB4B41">
          <w:rPr>
            <w:rStyle w:val="Hyperlink"/>
            <w:b/>
          </w:rPr>
          <w:t>TRANSPORTO, ENERGETIKOS, INFRASTRUKTŪROS IR INFORMACINĖS VISUOMENĖS SKYRIUS</w:t>
        </w:r>
        <w:r>
          <w:rPr>
            <w:webHidden/>
          </w:rPr>
          <w:tab/>
        </w:r>
        <w:r>
          <w:rPr>
            <w:webHidden/>
          </w:rPr>
          <w:fldChar w:fldCharType="begin"/>
        </w:r>
        <w:r>
          <w:rPr>
            <w:webHidden/>
          </w:rPr>
          <w:instrText xml:space="preserve"> PAGEREF _Toc169871752 \h </w:instrText>
        </w:r>
        <w:r>
          <w:rPr>
            <w:webHidden/>
          </w:rPr>
        </w:r>
        <w:r>
          <w:rPr>
            <w:webHidden/>
          </w:rPr>
          <w:fldChar w:fldCharType="separate"/>
        </w:r>
        <w:r>
          <w:rPr>
            <w:webHidden/>
          </w:rPr>
          <w:t>13</w:t>
        </w:r>
        <w:r>
          <w:rPr>
            <w:webHidden/>
          </w:rPr>
          <w:fldChar w:fldCharType="end"/>
        </w:r>
      </w:hyperlink>
    </w:p>
    <w:p w:rsidR="00303420" w:rsidRDefault="00303420" w14:paraId="766ACFAD" w14:textId="7303B958">
      <w:pPr>
        <w:pStyle w:val="TOC1"/>
        <w:rPr>
          <w:rFonts w:asciiTheme="minorHAnsi" w:hAnsiTheme="minorHAnsi" w:eastAsiaTheme="minorEastAsia" w:cstheme="minorBidi"/>
          <w:bCs w:val="0"/>
          <w:sz w:val="22"/>
          <w:szCs w:val="22"/>
          <w:lang w:val="en-US"/>
        </w:rPr>
      </w:pPr>
      <w:hyperlink w:history="1" w:anchor="_Toc169871753">
        <w:r w:rsidRPr="00CB4B41">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CB4B41">
          <w:rPr>
            <w:rStyle w:val="Hyperlink"/>
            <w:b/>
          </w:rPr>
          <w:t>PRAMONĖS PERMAINŲ KONSULTACINĖ KOMISIJA</w:t>
        </w:r>
        <w:r>
          <w:rPr>
            <w:webHidden/>
          </w:rPr>
          <w:tab/>
        </w:r>
        <w:r>
          <w:rPr>
            <w:webHidden/>
          </w:rPr>
          <w:fldChar w:fldCharType="begin"/>
        </w:r>
        <w:r>
          <w:rPr>
            <w:webHidden/>
          </w:rPr>
          <w:instrText xml:space="preserve"> PAGEREF _Toc169871753 \h </w:instrText>
        </w:r>
        <w:r>
          <w:rPr>
            <w:webHidden/>
          </w:rPr>
        </w:r>
        <w:r>
          <w:rPr>
            <w:webHidden/>
          </w:rPr>
          <w:fldChar w:fldCharType="separate"/>
        </w:r>
        <w:r>
          <w:rPr>
            <w:webHidden/>
          </w:rPr>
          <w:t>14</w:t>
        </w:r>
        <w:r>
          <w:rPr>
            <w:webHidden/>
          </w:rPr>
          <w:fldChar w:fldCharType="end"/>
        </w:r>
      </w:hyperlink>
    </w:p>
    <w:p w:rsidR="00C86ABD" w:rsidRDefault="008772F9" w14:paraId="4EDE006A" w14:textId="7AAE0DFD">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9871749" w:id="0"/>
      <w:r>
        <w:rPr>
          <w:b/>
        </w:rPr>
        <w:lastRenderedPageBreak/>
        <w:t>EKONOMINĖS IR PINIGŲ SĄJUNGOS, EKONOMINĖS IR SOCIALINĖS SANGLAUDOS SKYRIUS</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0339E9"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00851457">
          <w:rPr>
            <w:b/>
            <w:i/>
            <w:color w:val="0000FF"/>
            <w:sz w:val="28"/>
            <w:u w:val="single"/>
          </w:rPr>
          <w:t>Sanglaudos politikos vaidmuo būsimuose ES plėtros etapuose</w:t>
        </w:r>
      </w:hyperlink>
    </w:p>
    <w:p w:rsidRPr="006C19F4"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6C19F4" w:rsidR="006C19F4" w:rsidTr="00FE3058" w14:paraId="7BA389F8" w14:textId="77777777">
        <w:tc>
          <w:tcPr>
            <w:tcW w:w="1701" w:type="dxa"/>
          </w:tcPr>
          <w:p w:rsidRPr="006C19F4"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Pr>
                <w:b/>
              </w:rPr>
              <w:t>Pranešėja</w:t>
            </w:r>
          </w:p>
        </w:tc>
        <w:tc>
          <w:tcPr>
            <w:tcW w:w="7621" w:type="dxa"/>
          </w:tcPr>
          <w:p w:rsidRPr="006C19F4"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t xml:space="preserve">Maria </w:t>
            </w:r>
            <w:proofErr w:type="spellStart"/>
            <w:r>
              <w:t>del</w:t>
            </w:r>
            <w:proofErr w:type="spellEnd"/>
            <w:r>
              <w:t xml:space="preserve"> </w:t>
            </w:r>
            <w:proofErr w:type="spellStart"/>
            <w:r>
              <w:t>Carmen</w:t>
            </w:r>
            <w:proofErr w:type="spellEnd"/>
            <w:r>
              <w:t xml:space="preserve"> </w:t>
            </w:r>
            <w:proofErr w:type="spellStart"/>
            <w:r>
              <w:t>Barrera</w:t>
            </w:r>
            <w:proofErr w:type="spellEnd"/>
            <w:r>
              <w:t xml:space="preserve"> </w:t>
            </w:r>
            <w:proofErr w:type="spellStart"/>
            <w:r>
              <w:t>Chamorro</w:t>
            </w:r>
            <w:proofErr w:type="spellEnd"/>
            <w:r>
              <w:t xml:space="preserve"> (Darbuotojų </w:t>
            </w:r>
            <w:proofErr w:type="spellStart"/>
            <w:r>
              <w:t>gr</w:t>
            </w:r>
            <w:proofErr w:type="spellEnd"/>
            <w:r>
              <w:t>.,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E3058" w14:paraId="232B8808" w14:textId="77777777">
        <w:tc>
          <w:tcPr>
            <w:tcW w:w="1701" w:type="dxa"/>
          </w:tcPr>
          <w:p w:rsidRPr="006C19F4"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Pr>
                <w:b/>
              </w:rPr>
              <w:t>Nuorodos</w:t>
            </w:r>
          </w:p>
        </w:tc>
        <w:tc>
          <w:tcPr>
            <w:tcW w:w="7621" w:type="dxa"/>
          </w:tcPr>
          <w:p w:rsidRPr="00DC0FAE" w:rsidR="00ED5F1D" w:rsidP="00ED5F1D" w:rsidRDefault="00ED5F1D" w14:paraId="6C26CE56" w14:textId="7EC335DB">
            <w:pPr>
              <w:pStyle w:val="Default"/>
              <w:jc w:val="both"/>
              <w:rPr>
                <w:sz w:val="20"/>
                <w:szCs w:val="20"/>
              </w:rPr>
            </w:pPr>
            <w:r>
              <w:rPr>
                <w:sz w:val="20"/>
              </w:rPr>
              <w:t xml:space="preserve">Tiriamoji nuomonė Europos Komisijos prašymu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t>EESC-2024-00535-00-00-AC</w:t>
            </w:r>
          </w:p>
        </w:tc>
      </w:tr>
    </w:tbl>
    <w:p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rsidRPr="006C19F4"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3AEFB419" w14:textId="78037879">
      <w:pPr>
        <w:overflowPunct w:val="0"/>
        <w:autoSpaceDE w:val="0"/>
        <w:autoSpaceDN w:val="0"/>
        <w:adjustRightInd w:val="0"/>
        <w:textAlignment w:val="baseline"/>
        <w:rPr>
          <w:bCs/>
          <w:iCs/>
        </w:rPr>
      </w:pPr>
      <w:r>
        <w:t>EESRK</w:t>
      </w:r>
    </w:p>
    <w:p w:rsidRPr="006C19F4" w:rsidR="007A51DE" w:rsidP="006C19F4" w:rsidRDefault="007A51DE" w14:paraId="3831A5EE" w14:textId="77777777">
      <w:pPr>
        <w:overflowPunct w:val="0"/>
        <w:autoSpaceDE w:val="0"/>
        <w:autoSpaceDN w:val="0"/>
        <w:adjustRightInd w:val="0"/>
        <w:textAlignment w:val="baseline"/>
        <w:rPr>
          <w:bCs/>
          <w:iCs/>
        </w:rPr>
      </w:pPr>
    </w:p>
    <w:p w:rsidRPr="006C19F4"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t>pabrėžia, kad pasirengimo narystei pagalbos politika yra viena iš nepakeičiamų plėtros politikos priemonių, kurių poveikį galima padidinti siekiant skatinti taiką ir gerovę visame Europos žemyne, ypač tuose regionuose, kuriuose taikai ir stabilumui pastaruoju metu iškilo grėsmių;</w:t>
      </w:r>
    </w:p>
    <w:p w:rsidRPr="006C19F4"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t>nurodo, kad siekiant, kad šalys kandidatės pasirengtų visiškai įgyvendinti būsimas sanglaudos politikos priemones, pasirengimo narystei pagalbos politika turėtų būti geriau pritaikyta, kad atitiktų šių šalių atitinkamų regionų, taip pat su šalimis kandidatėmis besiribojančių ES valstybių narių regionų privalumus, iššūkius ir poreikius;</w:t>
      </w:r>
    </w:p>
    <w:p w:rsidRPr="006C19F4"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t>rekomenduoja įgyvendinant pasirengimo narystei pagalbos politiką šalyse kandidatėse sistemingiau investuoti į žmogiškojo kapitalo plėtojimą, švietimą ir socialinę integraciją, siekiant užkirsti kelią socialinei nelygybei ir ją sumažinti. Labai svarbu skatinti palaikyti ryšius su pilietinės visuomenės organizacijomis (PVO) tolinant pasirengimo narystei pagalbos politikos planavimo procesus;</w:t>
      </w:r>
    </w:p>
    <w:p w:rsidRPr="006C19F4"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t>nurodo, kad įgyvendinant sanglaudos politiką reikėtų teikti pirmenybę pažeidžiamų grupių, kurios susiduria su kitomis sunkiai įveikiamomis jų ekonominio ir socialinio vystymosi kliūtimis ir kurioms per būsimą stojimo procesą gali kilti papildomų sunkumų, apsaugai;</w:t>
      </w:r>
    </w:p>
    <w:p w:rsidRPr="006C19F4"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t xml:space="preserve">pabrėžia, kad tvirtesnė partnerystė su šalių kandidačių PVO ne tik nepaprastai svarbi siekiant plėtros tikslų; ji taip pat atitinka veiksmingas ir </w:t>
      </w:r>
      <w:proofErr w:type="spellStart"/>
      <w:r>
        <w:t>įtraukias</w:t>
      </w:r>
      <w:proofErr w:type="spellEnd"/>
      <w:r>
        <w:t xml:space="preserve"> vystymosi strategijas, grindžiamas nusistovėjusiais tvirtos partnerystės ir pasidalijamojo valdymo principais;</w:t>
      </w:r>
    </w:p>
    <w:p w:rsidRPr="006C19F4"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t>pabrėžia, kad sanglaudos politikos vaidmuo neturi apsiriboti pagrindinėmis investicijomis. Įgyvendinant šią politiką daugiausia dėmesio turi būti skiriama institucijų ir gebėjimų stiprinimui, įskaitant porines programas ir paramą pilietinei visuomenei bei socialiniams partneriams;</w:t>
      </w:r>
    </w:p>
    <w:p w:rsidRPr="006C19F4"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t>pabrėžia, kad plėtros bangos taip pat turi įtakos dabartinėms valstybėms narėms ir jų regionams, nes naujosios valstybės narės prisijungia prie bendrosios rinkos ir daro poveikį tarptautinei vertės grandinei bei darbo jėgos migracijai ES. Todėl reikia papildomų lėšų, kurias būtų galima investuoti į regionus, besiribojančius su šalimis kandidatėmis, taip pat į dabartinių valstybių narių regionus, kuriems labai didelį poveikį padarė dėl plėtros atsiradę ES ir pasaulinės vertės grandinės pokyčiai;</w:t>
      </w:r>
    </w:p>
    <w:p w:rsidRPr="006C19F4"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t xml:space="preserve">mano, kad Europos Komisija būsimos sanglaudos politikos reformas turėtų derinti su plėtros procesu, kad būtų padidintas dabartinės politikos veiksmingumas, grindžiamas didesne </w:t>
      </w:r>
      <w:r>
        <w:lastRenderedPageBreak/>
        <w:t>specializacija ir įvairinimu, siejamais su didesniu lankstumu ir finansine specializacija. Jokia finansinė parama nepadės pasiekti ekonominės gerovės, jeigu kartu nebus stengiamasi stiprinti institucijų, vykdyti valdymo reformų ir užtikrinti pilietinės visuomenės dalyvavimo;</w:t>
      </w:r>
    </w:p>
    <w:p w:rsidRPr="006C19F4"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t>pabrėžia, kad pasitelkiant įvairias politikos priemones, įskaitant investicijas į žmogiškąjį kapitalą, reikia imtis skubių veiksmų siekiant sustabdyti emigracijos iš ES šalių kandidačių bangą, kuri kelia grėsmę ekonominio ir socialinio vystymosi potencialui;</w:t>
      </w:r>
    </w:p>
    <w:p w:rsidRPr="006C19F4"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t>mano, kad labai svarbu gerinti jaunimo padėtį šalyse kandidatėse. Reikia dėti pastangas siekiant gerinti jaunimo įgūdžius ir užimtumą, taip pat didinti jaunimo švietimo ir kokybiško užimtumo galimybes, kartu ieškant sprendimų dėl būsto. Taip pat reikėtų skatinti jaunimo dialogą ir dalyvavimą Jaunimo garantijų iniciatyvose;</w:t>
      </w:r>
    </w:p>
    <w:p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t xml:space="preserve">rekomenduoja dėti daugiau pastangų siekiant šalyse kandidatėse rūpintis </w:t>
      </w:r>
      <w:proofErr w:type="spellStart"/>
      <w:r>
        <w:t>pažeidžiamiausiais</w:t>
      </w:r>
      <w:proofErr w:type="spellEnd"/>
      <w:r>
        <w:t xml:space="preserve"> asmenimis ir pažeidžiamomis grupėmis, įtraukiant juos ne tik į apsaugos sistemas, bet ir į juos atsižvelgti sprendimų priėmimo procese, nes tai geriausias būdas įgyvendinti pirmąjį pagrindinį sanglaudos politikos principą „nė vieno nepalikti nuošalyje“.</w:t>
      </w:r>
    </w:p>
    <w:p w:rsidRPr="006C19F4"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C19F4" w:rsidR="006C19F4" w:rsidTr="00FE3058" w14:paraId="7A7F559C" w14:textId="77777777">
        <w:tc>
          <w:tcPr>
            <w:tcW w:w="1418" w:type="dxa"/>
          </w:tcPr>
          <w:p w:rsidRPr="006C19F4" w:rsidR="006C19F4" w:rsidP="006C19F4" w:rsidRDefault="006C19F4" w14:paraId="6B40BFCD"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6C19F4" w:rsidR="006C19F4" w:rsidTr="00FE3058" w14:paraId="1C00A944" w14:textId="77777777">
        <w:tc>
          <w:tcPr>
            <w:tcW w:w="1418"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Pr>
                <w:i/>
              </w:rPr>
              <w:t>Tel.</w:t>
            </w:r>
          </w:p>
        </w:tc>
        <w:tc>
          <w:tcPr>
            <w:tcW w:w="5670"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Pr>
                <w:i/>
              </w:rPr>
              <w:t>+32 25469795</w:t>
            </w:r>
          </w:p>
        </w:tc>
      </w:tr>
      <w:tr w:rsidRPr="006C19F4" w:rsidR="006C19F4" w:rsidTr="00FE3058" w14:paraId="13E41AD9" w14:textId="77777777">
        <w:tc>
          <w:tcPr>
            <w:tcW w:w="1418"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Pr>
                <w:i/>
              </w:rPr>
              <w:t>E. paštas</w:t>
            </w:r>
          </w:p>
        </w:tc>
        <w:tc>
          <w:tcPr>
            <w:tcW w:w="5670" w:type="dxa"/>
          </w:tcPr>
          <w:p w:rsidRPr="006C19F4" w:rsidR="006C19F4" w:rsidP="006C19F4" w:rsidRDefault="000339E9" w14:paraId="6B1B5DA3" w14:textId="77777777">
            <w:pPr>
              <w:overflowPunct w:val="0"/>
              <w:autoSpaceDE w:val="0"/>
              <w:autoSpaceDN w:val="0"/>
              <w:adjustRightInd w:val="0"/>
              <w:spacing w:line="240" w:lineRule="auto"/>
              <w:textAlignment w:val="baseline"/>
              <w:rPr>
                <w:i/>
              </w:rPr>
            </w:pPr>
            <w:hyperlink w:history="1" r:id="rId21">
              <w:r w:rsidR="00851457">
                <w:rPr>
                  <w:i/>
                  <w:color w:val="0000FF"/>
                  <w:u w:val="single"/>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br w:type="page"/>
      </w:r>
    </w:p>
    <w:p w:rsidRPr="00DC0FAE" w:rsidR="001A5EC5" w:rsidP="00C26C81" w:rsidRDefault="000339E9"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00851457">
          <w:rPr>
            <w:b/>
            <w:i/>
            <w:color w:val="0000FF"/>
            <w:sz w:val="28"/>
            <w:u w:val="single"/>
          </w:rPr>
          <w:t>9-oji ekonominės, socialinės ir teritorinės sanglaudos ataskaita</w:t>
        </w:r>
      </w:hyperlink>
    </w:p>
    <w:p w:rsidRPr="001A5EC5" w:rsidR="00444F0D" w:rsidP="00DC0FA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5EC5" w:rsidR="001A5EC5" w:rsidTr="00DC0FAE" w14:paraId="44793051" w14:textId="77777777">
        <w:tc>
          <w:tcPr>
            <w:tcW w:w="1701" w:type="dxa"/>
          </w:tcPr>
          <w:p w:rsidRPr="001A5EC5" w:rsidR="001A5EC5" w:rsidP="00DC0FAE" w:rsidRDefault="001A5EC5" w14:paraId="463E72CE" w14:textId="77777777">
            <w:pPr>
              <w:overflowPunct w:val="0"/>
              <w:autoSpaceDE w:val="0"/>
              <w:autoSpaceDN w:val="0"/>
              <w:adjustRightInd w:val="0"/>
              <w:ind w:left="174" w:hanging="266"/>
              <w:textAlignment w:val="baseline"/>
              <w:rPr>
                <w:b/>
              </w:rPr>
            </w:pPr>
            <w:r>
              <w:rPr>
                <w:b/>
              </w:rPr>
              <w:t>Pranešėjas</w:t>
            </w:r>
          </w:p>
        </w:tc>
        <w:tc>
          <w:tcPr>
            <w:tcW w:w="5387" w:type="dxa"/>
          </w:tcPr>
          <w:p w:rsidRPr="001A5EC5" w:rsidR="001A5EC5" w:rsidP="00DC0FAE" w:rsidRDefault="001A5EC5" w14:paraId="64C714E3" w14:textId="77777777">
            <w:pPr>
              <w:overflowPunct w:val="0"/>
              <w:autoSpaceDE w:val="0"/>
              <w:autoSpaceDN w:val="0"/>
              <w:adjustRightInd w:val="0"/>
              <w:ind w:left="174" w:hanging="266"/>
              <w:textAlignment w:val="baseline"/>
              <w:rPr>
                <w:bCs/>
              </w:rPr>
            </w:pPr>
            <w:proofErr w:type="spellStart"/>
            <w:r>
              <w:t>Matteo</w:t>
            </w:r>
            <w:proofErr w:type="spellEnd"/>
            <w:r>
              <w:t xml:space="preserve"> </w:t>
            </w:r>
            <w:proofErr w:type="spellStart"/>
            <w:r>
              <w:t>Carlo</w:t>
            </w:r>
            <w:proofErr w:type="spellEnd"/>
            <w:r>
              <w:t xml:space="preserve"> </w:t>
            </w:r>
            <w:proofErr w:type="spellStart"/>
            <w:r>
              <w:t>Borsani</w:t>
            </w:r>
            <w:proofErr w:type="spellEnd"/>
            <w:r>
              <w:t xml:space="preserve"> (Darbdavių </w:t>
            </w:r>
            <w:proofErr w:type="spellStart"/>
            <w:r>
              <w:t>gr</w:t>
            </w:r>
            <w:proofErr w:type="spellEnd"/>
            <w:r>
              <w:t>., IT)</w:t>
            </w:r>
          </w:p>
        </w:tc>
      </w:tr>
      <w:tr w:rsidRPr="001A5EC5" w:rsidR="001A5EC5" w:rsidTr="00FE3058" w14:paraId="32E56BAC" w14:textId="77777777">
        <w:tc>
          <w:tcPr>
            <w:tcW w:w="7088" w:type="dxa"/>
            <w:gridSpan w:val="2"/>
          </w:tcPr>
          <w:p w:rsidRPr="001A5EC5"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1A5EC5" w:rsidR="001A5EC5" w:rsidTr="00FE3058" w14:paraId="2A351EBF" w14:textId="77777777">
        <w:tc>
          <w:tcPr>
            <w:tcW w:w="1701" w:type="dxa"/>
          </w:tcPr>
          <w:p w:rsidRPr="001A5EC5" w:rsidR="001A5EC5" w:rsidP="00DC0FAE" w:rsidRDefault="001A5EC5" w14:paraId="26606D0B" w14:textId="77777777">
            <w:pPr>
              <w:overflowPunct w:val="0"/>
              <w:autoSpaceDE w:val="0"/>
              <w:autoSpaceDN w:val="0"/>
              <w:adjustRightInd w:val="0"/>
              <w:ind w:left="174" w:hanging="266"/>
              <w:textAlignment w:val="baseline"/>
              <w:rPr>
                <w:b/>
              </w:rPr>
            </w:pPr>
            <w:r>
              <w:rPr>
                <w:b/>
              </w:rPr>
              <w:t>Nuorodos</w:t>
            </w:r>
          </w:p>
        </w:tc>
        <w:tc>
          <w:tcPr>
            <w:tcW w:w="5387" w:type="dxa"/>
          </w:tcPr>
          <w:p w:rsidRPr="001A5EC5" w:rsidR="001A5EC5" w:rsidP="00DC0FAE" w:rsidRDefault="001A5EC5" w14:paraId="5C440461" w14:textId="77777777">
            <w:pPr>
              <w:overflowPunct w:val="0"/>
              <w:autoSpaceDE w:val="0"/>
              <w:autoSpaceDN w:val="0"/>
              <w:adjustRightInd w:val="0"/>
              <w:ind w:left="174" w:hanging="266"/>
              <w:textAlignment w:val="baseline"/>
            </w:pPr>
            <w:r>
              <w:t xml:space="preserve">COM(2024) 149 </w:t>
            </w:r>
            <w:proofErr w:type="spellStart"/>
            <w:r>
              <w:t>final</w:t>
            </w:r>
            <w:proofErr w:type="spellEnd"/>
          </w:p>
          <w:p w:rsidRPr="001A5EC5" w:rsidR="001A5EC5" w:rsidP="00DC0FAE" w:rsidRDefault="001A5EC5" w14:paraId="3868DEB9" w14:textId="77777777">
            <w:pPr>
              <w:overflowPunct w:val="0"/>
              <w:autoSpaceDE w:val="0"/>
              <w:autoSpaceDN w:val="0"/>
              <w:adjustRightInd w:val="0"/>
              <w:ind w:left="174" w:hanging="266"/>
              <w:textAlignment w:val="baseline"/>
            </w:pPr>
            <w:r>
              <w:t>EESC-2024-00987-00-00-AC</w:t>
            </w:r>
          </w:p>
        </w:tc>
      </w:tr>
    </w:tbl>
    <w:p w:rsidRPr="001A5EC5"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rsidRPr="001A5EC5" w:rsidR="001A5EC5" w:rsidP="001A5EC5" w:rsidRDefault="001A5EC5" w14:paraId="5E2503AC" w14:textId="77777777">
      <w:pPr>
        <w:overflowPunct w:val="0"/>
        <w:autoSpaceDE w:val="0"/>
        <w:autoSpaceDN w:val="0"/>
        <w:adjustRightInd w:val="0"/>
        <w:textAlignment w:val="baseline"/>
        <w:rPr>
          <w:bCs/>
          <w:iCs/>
        </w:rPr>
      </w:pPr>
    </w:p>
    <w:p w:rsidR="001A5EC5" w:rsidP="001A5EC5" w:rsidRDefault="001A5EC5" w14:paraId="4D0AC1AA" w14:textId="6DEDCE45">
      <w:pPr>
        <w:overflowPunct w:val="0"/>
        <w:autoSpaceDE w:val="0"/>
        <w:autoSpaceDN w:val="0"/>
        <w:adjustRightInd w:val="0"/>
        <w:textAlignment w:val="baseline"/>
        <w:rPr>
          <w:bCs/>
          <w:iCs/>
        </w:rPr>
      </w:pPr>
      <w:r>
        <w:t>EESRK</w:t>
      </w:r>
    </w:p>
    <w:p w:rsidRPr="001A5EC5" w:rsidR="00444F0D" w:rsidP="001A5EC5" w:rsidRDefault="00444F0D" w14:paraId="570F2CBE" w14:textId="77777777">
      <w:pPr>
        <w:overflowPunct w:val="0"/>
        <w:autoSpaceDE w:val="0"/>
        <w:autoSpaceDN w:val="0"/>
        <w:adjustRightInd w:val="0"/>
        <w:textAlignment w:val="baseline"/>
        <w:rPr>
          <w:bCs/>
          <w:iCs/>
        </w:rPr>
      </w:pPr>
    </w:p>
    <w:p w:rsidRPr="001A5EC5" w:rsidR="001A5EC5" w:rsidP="00DC0FAE" w:rsidRDefault="001A5EC5" w14:paraId="1478D8F5" w14:textId="77777777">
      <w:pPr>
        <w:numPr>
          <w:ilvl w:val="0"/>
          <w:numId w:val="14"/>
        </w:numPr>
        <w:overflowPunct w:val="0"/>
        <w:autoSpaceDE w:val="0"/>
        <w:autoSpaceDN w:val="0"/>
        <w:adjustRightInd w:val="0"/>
        <w:spacing w:after="200" w:line="276" w:lineRule="auto"/>
        <w:contextualSpacing/>
        <w:jc w:val="left"/>
        <w:textAlignment w:val="baseline"/>
        <w:rPr>
          <w:bCs/>
          <w:iCs/>
        </w:rPr>
      </w:pPr>
      <w:r>
        <w:t xml:space="preserve">palankiai vertina 9-osios sanglaudos ataskaitos pristatymą, o jos rezultatų aprašymą laiko išsamiu, be to, mano, kad tai yra naudingas atspirties taškas siekiant įvertinti įgytą patirtį; </w:t>
      </w:r>
    </w:p>
    <w:p w:rsidRPr="001A5EC5"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t xml:space="preserve">rekomenduoja investicijas ir politikos priemones orientuoti į gamybos bazės didinimą, kad būtų stiprinama </w:t>
      </w:r>
      <w:proofErr w:type="spellStart"/>
      <w:r>
        <w:t>aukštynkryptė</w:t>
      </w:r>
      <w:proofErr w:type="spellEnd"/>
      <w:r>
        <w:t xml:space="preserve"> teritorinė sanglauda, ir pabrėžia, jog nustatyta, kad vienintelis bendras visų tipų regionų augimo bruožas yra teigiama koreliacija tarp produktyvumo augimo ir BVP vienam gyventojui didėjimo;</w:t>
      </w:r>
    </w:p>
    <w:p w:rsidRPr="001A5EC5"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t>pabrėžia, koks svarbus yra konkurencingumas didinant ekonominę sanglaudą ir gamybinės investicijos – skatinant konkurencingumą bei ekonomikos augimą, nes tai savo ruožtu daro teigiamą šalutinį poveikį teritorinei ir socialinei sanglaudai; taip pat pabrėžia, kad esant tam tikroms sąlygoms, susijusioms su grandininiu poveikiu teritorijoms ir visuomenei, svarbu sudaryti daugiau galimybių gauti sanglaudos politikos lėšų didelėms įmonėms, priklausančioms MVĮ ekosistemai, kad jos galėtų investuoti į gamybą. Ekonominės sanglaudos rezultatai turėtų būti vertinami ne tik pagal tam tikroje vietovėje ekonominėms investicijoms skirtą sumą, bet ir pagal teritorinius bei socialinius rezultatus;</w:t>
      </w:r>
    </w:p>
    <w:p w:rsidRPr="001A5EC5"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t xml:space="preserve">pabrėžia funkcionalios ir įtraukios darbo rinkos svarbą socialinės sanglaudos didinimui, taikant priemones, skirtas suteikti ES piliečiams ir darbuotojams reikiamų įgūdžių, kad jie galėtų patekti į darbo rinką ir joje judėti; atsižvelgdamas į tai, rekomenduoja užimtumo skatinimo politiką suderinti su įsidarbinimo galimybių didinimo politika, kartu orientuojantis į tą visuomenės dalį, kuriai gresia pavojus likti nuošalyje, ir skatinant šiuo metu darbo rinkoje nedalyvaujančių asmenų </w:t>
      </w:r>
      <w:proofErr w:type="spellStart"/>
      <w:r>
        <w:t>įtrauktį</w:t>
      </w:r>
      <w:proofErr w:type="spellEnd"/>
      <w:r>
        <w:t>;</w:t>
      </w:r>
    </w:p>
    <w:p w:rsidRPr="001A5EC5"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t>rekomenduoja skatinti strategines investicijas į vietos ir regionų administravimą, siekiant sustiprinti sistemą, kuri atlieka labai svarbų vaidmenį įgyvendinant programas; Socialinė, ekonominė ir teritorinė sanglauda iš tikrųjų negali būti pasiekta, jei pirmiausia nebus pasiekta viešojo administravimo institucijų gebėjimų sanglauda;</w:t>
      </w:r>
    </w:p>
    <w:p w:rsidRPr="001A5EC5"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t>rekomenduoja užtikrinti vietos ir regionų valdžios institucijų dalyvavimą, vadovautis partnerystės principu ir bet kokių svarstymų apie sanglaudos politikos ateitį metu įtraukti socialinius partnerius ir pilietinės visuomenės organizacijas;</w:t>
      </w:r>
    </w:p>
    <w:p w:rsidRPr="001A5EC5"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t>ragina teisėkūros institucijas parengti platesnio užmojo bendrą DFP biudžetą ir užtikrinti tinkamą sanglaudos politikos finansavimą, be kita ko, atsižvelgiant į būsimą ES investicijų gynybos srityje poreikį ir į tai, kad Europos Sąjungai gali priklausyti daugiau nei 27 valstybės narės (ES 27+);</w:t>
      </w:r>
    </w:p>
    <w:p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t>atsižvelgdamas į tai, rekomenduoja atsižvelgti į numatomą būsimą ES plėtrą, kuriai reikės veiksmingos ir gerai veikiančios sanglaudos politikos, kad būtų užtikrinta sklandi būsimų valstybių narių integracija, nepakenkiant investicijoms į dabartinius besivystančius regionus;</w:t>
      </w:r>
    </w:p>
    <w:p w:rsidRPr="001A5EC5"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DC0FA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lastRenderedPageBreak/>
        <w:t>galiausiai rekomenduoja, kad pereinant prie pažangesnės ir žalesnės Europos būtų naudojamos automatinės ir lengvai įgyvendinamos investavimo priemonės. Dėl teisingos žaliosios ir skaitmeninės pertvarkos keliamų iššūkių ir plataus užmojo tikslų būtina veikti sparčiai ir būti pasirengusiems.</w:t>
      </w:r>
      <w:r>
        <w:rPr>
          <w:rFonts w:ascii="Calibri" w:hAnsi="Calibri"/>
        </w:rPr>
        <w:t xml:space="preserve"> </w:t>
      </w:r>
    </w:p>
    <w:p w:rsidRPr="001A5EC5"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5EC5" w:rsidR="001A5EC5" w:rsidTr="00FE3058" w14:paraId="3FFBD53A" w14:textId="77777777">
        <w:tc>
          <w:tcPr>
            <w:tcW w:w="1418" w:type="dxa"/>
          </w:tcPr>
          <w:p w:rsidRPr="001A5EC5" w:rsidR="001A5EC5" w:rsidP="001A5EC5" w:rsidRDefault="001A5EC5" w14:paraId="56686149"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1A5EC5" w:rsidR="001A5EC5" w:rsidTr="00FE3058" w14:paraId="654D5086" w14:textId="77777777">
        <w:tc>
          <w:tcPr>
            <w:tcW w:w="1418"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Pr>
                <w:i/>
              </w:rPr>
              <w:t>Tel.</w:t>
            </w:r>
          </w:p>
        </w:tc>
        <w:tc>
          <w:tcPr>
            <w:tcW w:w="5670"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Pr>
                <w:i/>
              </w:rPr>
              <w:t>+32 25469795</w:t>
            </w:r>
          </w:p>
        </w:tc>
      </w:tr>
      <w:tr w:rsidRPr="001A5EC5" w:rsidR="001A5EC5" w:rsidTr="00FE3058" w14:paraId="710F66DA" w14:textId="77777777">
        <w:tc>
          <w:tcPr>
            <w:tcW w:w="1418"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Pr>
                <w:i/>
              </w:rPr>
              <w:t>E. paštas</w:t>
            </w:r>
          </w:p>
        </w:tc>
        <w:tc>
          <w:tcPr>
            <w:tcW w:w="5670" w:type="dxa"/>
          </w:tcPr>
          <w:p w:rsidRPr="001A5EC5" w:rsidR="001A5EC5" w:rsidP="001A5EC5" w:rsidRDefault="000339E9" w14:paraId="2A008587" w14:textId="77777777">
            <w:pPr>
              <w:overflowPunct w:val="0"/>
              <w:autoSpaceDE w:val="0"/>
              <w:autoSpaceDN w:val="0"/>
              <w:adjustRightInd w:val="0"/>
              <w:spacing w:line="240" w:lineRule="auto"/>
              <w:textAlignment w:val="baseline"/>
              <w:rPr>
                <w:i/>
              </w:rPr>
            </w:pPr>
            <w:hyperlink w:history="1" r:id="rId23">
              <w:r w:rsidR="00851457">
                <w:rPr>
                  <w:i/>
                  <w:color w:val="0000FF"/>
                  <w:u w:val="single"/>
                </w:rPr>
                <w:t>Georgios.Meleas@eesc.europa.eu</w:t>
              </w:r>
            </w:hyperlink>
            <w:r w:rsidR="00851457">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br w:type="page"/>
      </w:r>
    </w:p>
    <w:p w:rsidRPr="00502E1F" w:rsidR="00502E1F" w:rsidP="00DC0FAE" w:rsidRDefault="000339E9" w14:paraId="26F82B31" w14:textId="13D21940">
      <w:pPr>
        <w:pStyle w:val="Heading1"/>
        <w:tabs>
          <w:tab w:val="clear" w:pos="440"/>
          <w:tab w:val="left" w:pos="567"/>
        </w:tabs>
        <w:ind w:left="567" w:hanging="567"/>
        <w:rPr>
          <w:color w:val="000000" w:themeColor="text1"/>
        </w:rPr>
      </w:pPr>
      <w:hyperlink w:history="1" w:anchor="_Toc159831769">
        <w:bookmarkStart w:name="_Toc169871750" w:id="1"/>
        <w:r w:rsidR="005C28F2">
          <w:rPr>
            <w:rStyle w:val="Hyperlink"/>
            <w:b/>
            <w:color w:val="000000" w:themeColor="text1"/>
            <w:u w:val="none"/>
          </w:rPr>
          <w:t>UŽIMTUMO, SOCIALINIŲ REIKALŲ IR PILIETYBĖS SKYRIUS</w:t>
        </w:r>
        <w:bookmarkEnd w:id="1"/>
      </w:hyperlink>
    </w:p>
    <w:p w:rsidR="00502E1F" w:rsidP="00502E1F" w:rsidRDefault="00502E1F" w14:paraId="7FCC1962" w14:textId="6F84DBB9"/>
    <w:p w:rsidR="005C28F2" w:rsidP="00502E1F" w:rsidRDefault="005C28F2" w14:paraId="56EE42DD" w14:textId="77777777"/>
    <w:p w:rsidRPr="004E7105" w:rsidR="004E7105" w:rsidP="00C26C81" w:rsidRDefault="000339E9"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sidR="00851457">
          <w:rPr>
            <w:b/>
            <w:i/>
            <w:color w:val="0000FF"/>
            <w:sz w:val="28"/>
            <w:u w:val="single"/>
          </w:rPr>
          <w:t>Vėžys, kurio galima išvengti skiepijantis</w:t>
        </w:r>
      </w:hyperlink>
      <w:r w:rsidRPr="004E7105" w:rsidR="004E7105">
        <w:rPr>
          <w:b/>
          <w:i/>
          <w:sz w:val="28"/>
        </w:rPr>
        <w:fldChar w:fldCharType="begin"/>
      </w:r>
      <w:r w:rsidRPr="004E7105" w:rsidR="004E7105">
        <w:rPr>
          <w:b/>
          <w:i/>
          <w:sz w:val="28"/>
        </w:rPr>
        <w:instrText xml:space="preserve"> HYPERLINK "https://www.eesc.europa.eu/lt/our-work/opinions-information-reports/opinions/anti-smuggling-package" </w:instrText>
      </w:r>
      <w:r w:rsidRPr="004E7105" w:rsidR="004E7105">
        <w:rPr>
          <w:b/>
          <w:i/>
          <w:sz w:val="28"/>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4E7105">
        <w:rPr>
          <w:b/>
          <w:i/>
          <w:sz w:val="28"/>
        </w:rPr>
        <w:fldChar w:fldCharType="end"/>
      </w:r>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572"/>
      </w:tblGrid>
      <w:tr w:rsidRPr="004E7105" w:rsidR="004E7105" w:rsidTr="00FE3058" w14:paraId="71118AAD" w14:textId="77777777">
        <w:tc>
          <w:tcPr>
            <w:tcW w:w="1522" w:type="pct"/>
          </w:tcPr>
          <w:p w:rsidRPr="004E7105" w:rsidR="004E7105" w:rsidP="004E7105" w:rsidRDefault="004E7105" w14:paraId="7C033E3E" w14:textId="77777777">
            <w:pPr>
              <w:widowControl w:val="0"/>
              <w:overflowPunct w:val="0"/>
              <w:autoSpaceDE w:val="0"/>
              <w:autoSpaceDN w:val="0"/>
              <w:adjustRightInd w:val="0"/>
              <w:ind w:left="-113"/>
              <w:textAlignment w:val="baseline"/>
              <w:rPr>
                <w:b/>
              </w:rPr>
            </w:pPr>
            <w:r>
              <w:rPr>
                <w:b/>
              </w:rPr>
              <w:t>Pranešėja</w:t>
            </w:r>
          </w:p>
          <w:p w:rsidRPr="004E7105" w:rsidR="004E7105" w:rsidP="004E7105" w:rsidRDefault="004E7105" w14:paraId="2377D5BF" w14:textId="77777777">
            <w:pPr>
              <w:widowControl w:val="0"/>
              <w:overflowPunct w:val="0"/>
              <w:autoSpaceDE w:val="0"/>
              <w:autoSpaceDN w:val="0"/>
              <w:adjustRightInd w:val="0"/>
              <w:ind w:left="-113"/>
              <w:textAlignment w:val="baseline"/>
              <w:rPr>
                <w:b/>
              </w:rPr>
            </w:pPr>
            <w:proofErr w:type="spellStart"/>
            <w:r>
              <w:rPr>
                <w:b/>
              </w:rPr>
              <w:t>Bendrapranešėjė</w:t>
            </w:r>
            <w:proofErr w:type="spellEnd"/>
          </w:p>
          <w:p w:rsidRPr="004E7105"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478" w:type="pct"/>
          </w:tcPr>
          <w:p w:rsidRPr="004E7105"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proofErr w:type="spellStart"/>
            <w:r>
              <w:t>Milena</w:t>
            </w:r>
            <w:proofErr w:type="spellEnd"/>
            <w:r>
              <w:t xml:space="preserve"> Angelova (Darbdavių </w:t>
            </w:r>
            <w:proofErr w:type="spellStart"/>
            <w:r>
              <w:t>gr</w:t>
            </w:r>
            <w:proofErr w:type="spellEnd"/>
            <w:r>
              <w:t>., BG)</w:t>
            </w:r>
          </w:p>
          <w:p w:rsidRPr="004E7105"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proofErr w:type="spellStart"/>
            <w:r>
              <w:t>Sára</w:t>
            </w:r>
            <w:proofErr w:type="spellEnd"/>
            <w:r>
              <w:t xml:space="preserve"> </w:t>
            </w:r>
            <w:proofErr w:type="spellStart"/>
            <w:r>
              <w:t>Felszeghi</w:t>
            </w:r>
            <w:proofErr w:type="spellEnd"/>
            <w:r>
              <w:t xml:space="preserve"> (Darbuotojų </w:t>
            </w:r>
            <w:proofErr w:type="spellStart"/>
            <w:r>
              <w:t>gr</w:t>
            </w:r>
            <w:proofErr w:type="spellEnd"/>
            <w:r>
              <w:t>., HU)</w:t>
            </w:r>
          </w:p>
        </w:tc>
      </w:tr>
      <w:tr w:rsidRPr="004E7105" w:rsidR="004E7105" w:rsidTr="00FE3058" w14:paraId="7E7454B0" w14:textId="77777777">
        <w:tc>
          <w:tcPr>
            <w:tcW w:w="1522" w:type="pct"/>
            <w:vMerge w:val="restart"/>
          </w:tcPr>
          <w:p w:rsidRPr="004E7105" w:rsidR="004E7105" w:rsidP="004E7105" w:rsidRDefault="004E7105" w14:paraId="4901FAAB" w14:textId="77777777">
            <w:pPr>
              <w:widowControl w:val="0"/>
              <w:overflowPunct w:val="0"/>
              <w:autoSpaceDE w:val="0"/>
              <w:autoSpaceDN w:val="0"/>
              <w:adjustRightInd w:val="0"/>
              <w:ind w:left="-113"/>
              <w:textAlignment w:val="baseline"/>
              <w:rPr>
                <w:b/>
              </w:rPr>
            </w:pPr>
            <w:r>
              <w:rPr>
                <w:b/>
              </w:rPr>
              <w:t>Nuorodos</w:t>
            </w:r>
          </w:p>
        </w:tc>
        <w:tc>
          <w:tcPr>
            <w:tcW w:w="3478" w:type="pct"/>
          </w:tcPr>
          <w:p w:rsidRPr="004E7105"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t xml:space="preserve">COM(2024) 45 </w:t>
            </w:r>
            <w:proofErr w:type="spellStart"/>
            <w:r>
              <w:t>final</w:t>
            </w:r>
            <w:proofErr w:type="spellEnd"/>
          </w:p>
        </w:tc>
      </w:tr>
      <w:tr w:rsidRPr="004E7105" w:rsidR="004E7105" w:rsidTr="00FE3058" w14:paraId="75B0E482" w14:textId="77777777">
        <w:tc>
          <w:tcPr>
            <w:tcW w:w="1522" w:type="pct"/>
            <w:vMerge/>
          </w:tcPr>
          <w:p w:rsidRPr="004E7105"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478" w:type="pct"/>
          </w:tcPr>
          <w:p w:rsidRPr="004E7105"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t>EESC-2024-00425-00-00-AC</w:t>
            </w:r>
          </w:p>
        </w:tc>
      </w:tr>
    </w:tbl>
    <w:p w:rsidRPr="004E7105"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Dokumento esmė</w:t>
      </w:r>
    </w:p>
    <w:p w:rsidRPr="004E7105"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t>EESRK</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ragina valstybes nares keistis patirtimi, gerąja praktika ir intensyviai bendradarbiauti;</w:t>
      </w:r>
    </w:p>
    <w:p w:rsidRPr="00C17044"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rekomenduoja didinti vakcinacijos paklausą ir pasiūlą ir atkreipia dėmesį į tai, kad būtinas tinkamas informavimas, švietimas ir komunikacija ir pabrėžia mokyklų sveikatos priežiūros sistemos ir tėvų vaidmenį siekiant šio tikslo. Vėžio prevencija politiniu lygmeniu turi būti laikoma prioritetu ir papildoma reikiamais finansiniais, materialiniais ir žmogiškaisiais ištekliais.</w:t>
      </w:r>
    </w:p>
    <w:p w:rsidRPr="00C17044"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ragina dėti daug pastangų kovojant su dezinformacija ir neteisinga informacija, gaunant moksliškai pagrįstų įrodymų, taip pat įvairiais kanalais, įskaitant ir socialines medijas, skleidžiant faktais pagrįstą informaciją;</w:t>
      </w:r>
    </w:p>
    <w:p w:rsidRPr="00C17044"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mano, kad teikiant tinkamą informaciją, mažinant baimę ir skepticizmą ir skatinant žmones pasiskiepyti, svarbų vaidmenį gali atlikti bendrosios praktikos gydytojai, šeimos ir mokyklų gydytojai, o taip pat pilietinės visuomenės organizacijos. Siekiant užtikrinti, kad perduodama informacija būtų patraukli jaunimui, EESRK ragina komunikacijos srityje dėti daugiau pastangų pasitelkiant jaunimo vadovaujamas organizacijas;</w:t>
      </w:r>
    </w:p>
    <w:p w:rsidRPr="00C17044"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pabrėžia, kad taikant vėžio prevencijos priemones būtina užtikrinti lyčių lygybę, ir ragina nuo žmogaus papilomos viruso (ŽPV) paskiepyti visas tam tikro amžiaus mergaites ir berniukus, taip pat aktyviau informuoti apie tai, kad berniukus galima skiepyti nuo ŽPV, ir rinkti bei skelbti informaciją apie berniukų ir mergaičių vakcinacijos apimtį įvairiose valstybėse narėse;</w:t>
      </w:r>
    </w:p>
    <w:p w:rsidRPr="004E7105"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t>atkreipia dėmesį į tai, jog svarbu, kad būtų paprasta pasiskiepyti netoli savo gyvenamosios vietos, taip pat į būtinybę imtis tikslingų veiksmų, kad būtų galima pasiekti asmenis iš įvairių nepalankioje padėtyje esančių grupių bei žmones, kuriems kyla tam tikra rizika.</w:t>
      </w:r>
    </w:p>
    <w:p w:rsidRPr="004E7105"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4E7105" w:rsidR="004E7105" w:rsidTr="00FE3058" w14:paraId="649C5F6D" w14:textId="77777777">
        <w:tc>
          <w:tcPr>
            <w:tcW w:w="1556" w:type="pct"/>
          </w:tcPr>
          <w:p w:rsidRPr="004E7105" w:rsidR="004E7105" w:rsidP="004E7105" w:rsidRDefault="004E7105" w14:paraId="31DDC109" w14:textId="77777777">
            <w:pPr>
              <w:widowControl w:val="0"/>
              <w:overflowPunct w:val="0"/>
              <w:autoSpaceDE w:val="0"/>
              <w:autoSpaceDN w:val="0"/>
              <w:adjustRightInd w:val="0"/>
              <w:textAlignment w:val="baseline"/>
              <w:rPr>
                <w:i/>
              </w:rPr>
            </w:pPr>
            <w:r>
              <w:rPr>
                <w:b/>
                <w:i/>
              </w:rPr>
              <w:t>Kontaktinis asmuo</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proofErr w:type="spellStart"/>
            <w:r>
              <w:rPr>
                <w:i/>
              </w:rPr>
              <w:t>Valeria</w:t>
            </w:r>
            <w:proofErr w:type="spellEnd"/>
            <w:r>
              <w:rPr>
                <w:i/>
              </w:rPr>
              <w:t xml:space="preserve"> </w:t>
            </w:r>
            <w:proofErr w:type="spellStart"/>
            <w:r>
              <w:rPr>
                <w:i/>
              </w:rPr>
              <w:t>Atzori</w:t>
            </w:r>
            <w:proofErr w:type="spellEnd"/>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Pr>
                <w:i/>
              </w:rPr>
              <w:t>Tel.</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Pr>
                <w:i/>
              </w:rPr>
              <w:t>E. paštas</w:t>
            </w:r>
          </w:p>
        </w:tc>
        <w:tc>
          <w:tcPr>
            <w:tcW w:w="3444" w:type="pct"/>
          </w:tcPr>
          <w:p w:rsidRPr="004E7105" w:rsidR="004E7105" w:rsidP="004E7105" w:rsidRDefault="000339E9" w14:paraId="36B7A701" w14:textId="77777777">
            <w:pPr>
              <w:widowControl w:val="0"/>
              <w:overflowPunct w:val="0"/>
              <w:autoSpaceDE w:val="0"/>
              <w:autoSpaceDN w:val="0"/>
              <w:adjustRightInd w:val="0"/>
              <w:textAlignment w:val="baseline"/>
              <w:rPr>
                <w:color w:val="0000FF"/>
                <w:u w:val="single"/>
              </w:rPr>
            </w:pPr>
            <w:hyperlink w:history="1" r:id="rId25">
              <w:r w:rsidR="00851457">
                <w:rPr>
                  <w:i/>
                  <w:color w:val="0000FF"/>
                  <w:u w:val="single"/>
                </w:rPr>
                <w:t>Valeria.Atzori@eesc.europa.eu</w:t>
              </w:r>
            </w:hyperlink>
          </w:p>
          <w:p w:rsidRPr="004E7105" w:rsidR="004E7105" w:rsidP="004E7105" w:rsidRDefault="004E7105" w14:paraId="3E8EA07D" w14:textId="77777777">
            <w:pPr>
              <w:widowControl w:val="0"/>
              <w:overflowPunct w:val="0"/>
              <w:autoSpaceDE w:val="0"/>
              <w:autoSpaceDN w:val="0"/>
              <w:adjustRightInd w:val="0"/>
              <w:textAlignment w:val="baseline"/>
              <w:rPr>
                <w:color w:val="0000FF"/>
                <w:u w:val="single"/>
              </w:rPr>
            </w:pPr>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C26C81" w:rsidRDefault="000339E9"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00851457">
          <w:rPr>
            <w:b/>
            <w:i/>
            <w:color w:val="0000FF"/>
            <w:sz w:val="28"/>
            <w:u w:val="single"/>
          </w:rPr>
          <w:t>Europos darbo tarybų direktyvos peržiūra</w:t>
        </w:r>
      </w:hyperlink>
    </w:p>
    <w:p w:rsidRPr="00DC0FAE"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0484C" w:rsidR="0010484C" w:rsidTr="00FE3058" w14:paraId="561F7E20" w14:textId="77777777">
        <w:tc>
          <w:tcPr>
            <w:tcW w:w="1701" w:type="dxa"/>
          </w:tcPr>
          <w:p w:rsidRPr="0010484C" w:rsidR="0010484C" w:rsidP="00DC0FAE" w:rsidRDefault="0010484C" w14:paraId="5540B242" w14:textId="77777777">
            <w:pPr>
              <w:tabs>
                <w:tab w:val="center" w:pos="284"/>
              </w:tabs>
              <w:overflowPunct w:val="0"/>
              <w:autoSpaceDE w:val="0"/>
              <w:autoSpaceDN w:val="0"/>
              <w:adjustRightInd w:val="0"/>
              <w:ind w:left="266" w:hanging="376"/>
              <w:textAlignment w:val="baseline"/>
              <w:rPr>
                <w:b/>
              </w:rPr>
            </w:pPr>
            <w:r>
              <w:rPr>
                <w:b/>
              </w:rPr>
              <w:t>Pranešėja</w:t>
            </w:r>
          </w:p>
        </w:tc>
        <w:tc>
          <w:tcPr>
            <w:tcW w:w="5387" w:type="dxa"/>
          </w:tcPr>
          <w:p w:rsidRPr="0010484C" w:rsidR="0010484C" w:rsidP="00DC0FAE" w:rsidRDefault="0010484C" w14:paraId="2E037801" w14:textId="01A5B710">
            <w:pPr>
              <w:tabs>
                <w:tab w:val="center" w:pos="284"/>
              </w:tabs>
              <w:overflowPunct w:val="0"/>
              <w:autoSpaceDE w:val="0"/>
              <w:autoSpaceDN w:val="0"/>
              <w:adjustRightInd w:val="0"/>
              <w:ind w:left="266" w:hanging="376"/>
              <w:textAlignment w:val="baseline"/>
            </w:pPr>
            <w:proofErr w:type="spellStart"/>
            <w:r>
              <w:t>Sophia</w:t>
            </w:r>
            <w:proofErr w:type="spellEnd"/>
            <w:r>
              <w:t xml:space="preserve"> </w:t>
            </w:r>
            <w:proofErr w:type="spellStart"/>
            <w:r>
              <w:t>Reisecker</w:t>
            </w:r>
            <w:proofErr w:type="spellEnd"/>
            <w:r>
              <w:t xml:space="preserve"> (Darbuotojų </w:t>
            </w:r>
            <w:proofErr w:type="spellStart"/>
            <w:r>
              <w:t>gr</w:t>
            </w:r>
            <w:proofErr w:type="spellEnd"/>
            <w:r>
              <w:t>., AT)</w:t>
            </w:r>
          </w:p>
        </w:tc>
      </w:tr>
      <w:tr w:rsidRPr="0010484C" w:rsidR="0010484C" w:rsidTr="00FE3058" w14:paraId="73157FC0" w14:textId="77777777">
        <w:tc>
          <w:tcPr>
            <w:tcW w:w="7088" w:type="dxa"/>
            <w:gridSpan w:val="2"/>
          </w:tcPr>
          <w:p w:rsidRPr="0010484C" w:rsidR="0010484C" w:rsidP="00DC0FAE" w:rsidRDefault="0010484C" w14:paraId="11368192" w14:textId="77777777">
            <w:pPr>
              <w:tabs>
                <w:tab w:val="center" w:pos="284"/>
              </w:tabs>
              <w:overflowPunct w:val="0"/>
              <w:autoSpaceDE w:val="0"/>
              <w:autoSpaceDN w:val="0"/>
              <w:adjustRightInd w:val="0"/>
              <w:ind w:left="266" w:hanging="376"/>
              <w:textAlignment w:val="baseline"/>
            </w:pPr>
          </w:p>
        </w:tc>
      </w:tr>
      <w:tr w:rsidRPr="0010484C" w:rsidR="0010484C" w:rsidTr="00FE3058" w14:paraId="08B719B5" w14:textId="77777777">
        <w:tc>
          <w:tcPr>
            <w:tcW w:w="1701" w:type="dxa"/>
            <w:vMerge w:val="restart"/>
          </w:tcPr>
          <w:p w:rsidRPr="0010484C" w:rsidR="0010484C" w:rsidP="00DC0FAE" w:rsidRDefault="0010484C" w14:paraId="1AD2CE0E" w14:textId="77777777">
            <w:pPr>
              <w:tabs>
                <w:tab w:val="center" w:pos="284"/>
              </w:tabs>
              <w:overflowPunct w:val="0"/>
              <w:autoSpaceDE w:val="0"/>
              <w:autoSpaceDN w:val="0"/>
              <w:adjustRightInd w:val="0"/>
              <w:ind w:left="266" w:hanging="376"/>
              <w:textAlignment w:val="baseline"/>
              <w:rPr>
                <w:b/>
              </w:rPr>
            </w:pPr>
            <w:r>
              <w:rPr>
                <w:b/>
              </w:rPr>
              <w:t>Nuorodos</w:t>
            </w:r>
          </w:p>
        </w:tc>
        <w:tc>
          <w:tcPr>
            <w:tcW w:w="5387" w:type="dxa"/>
          </w:tcPr>
          <w:p w:rsidRPr="0010484C" w:rsidR="0010484C" w:rsidP="00DC0FAE" w:rsidRDefault="0010484C" w14:paraId="2437B8BE" w14:textId="4FE32139">
            <w:pPr>
              <w:tabs>
                <w:tab w:val="center" w:pos="284"/>
              </w:tabs>
              <w:overflowPunct w:val="0"/>
              <w:autoSpaceDE w:val="0"/>
              <w:autoSpaceDN w:val="0"/>
              <w:adjustRightInd w:val="0"/>
              <w:ind w:left="266" w:hanging="376"/>
              <w:textAlignment w:val="baseline"/>
            </w:pPr>
            <w:r>
              <w:t xml:space="preserve">COM(2024) 14 </w:t>
            </w:r>
            <w:proofErr w:type="spellStart"/>
            <w:r>
              <w:t>final</w:t>
            </w:r>
            <w:proofErr w:type="spellEnd"/>
          </w:p>
        </w:tc>
      </w:tr>
      <w:tr w:rsidRPr="0010484C" w:rsidR="0010484C" w:rsidTr="00FE3058" w14:paraId="5820FB7B" w14:textId="77777777">
        <w:tc>
          <w:tcPr>
            <w:tcW w:w="1701" w:type="dxa"/>
            <w:vMerge/>
          </w:tcPr>
          <w:p w:rsidRPr="0010484C" w:rsidR="0010484C" w:rsidP="00DC0FAE" w:rsidRDefault="0010484C" w14:paraId="7361EF92" w14:textId="77777777">
            <w:pPr>
              <w:tabs>
                <w:tab w:val="center" w:pos="284"/>
              </w:tabs>
              <w:overflowPunct w:val="0"/>
              <w:autoSpaceDE w:val="0"/>
              <w:autoSpaceDN w:val="0"/>
              <w:adjustRightInd w:val="0"/>
              <w:ind w:left="266" w:hanging="376"/>
              <w:textAlignment w:val="baseline"/>
              <w:rPr>
                <w:b/>
              </w:rPr>
            </w:pPr>
          </w:p>
        </w:tc>
        <w:tc>
          <w:tcPr>
            <w:tcW w:w="5387" w:type="dxa"/>
          </w:tcPr>
          <w:p w:rsidRPr="0010484C" w:rsidR="0010484C" w:rsidP="00DC0FAE" w:rsidRDefault="0010484C" w14:paraId="0F30A46F" w14:textId="4D6C9E54">
            <w:pPr>
              <w:tabs>
                <w:tab w:val="center" w:pos="284"/>
              </w:tabs>
              <w:overflowPunct w:val="0"/>
              <w:autoSpaceDE w:val="0"/>
              <w:autoSpaceDN w:val="0"/>
              <w:adjustRightInd w:val="0"/>
              <w:ind w:left="266" w:hanging="376"/>
              <w:textAlignment w:val="baseline"/>
            </w:pPr>
            <w:r>
              <w:t>EESC-2024-00543-00-00-AC</w:t>
            </w:r>
          </w:p>
        </w:tc>
      </w:tr>
    </w:tbl>
    <w:p w:rsidRPr="00DC0FAE" w:rsidR="0010484C" w:rsidP="0010484C" w:rsidRDefault="0010484C" w14:paraId="045C90A1" w14:textId="77777777">
      <w:pPr>
        <w:tabs>
          <w:tab w:val="center" w:pos="284"/>
        </w:tabs>
        <w:overflowPunct w:val="0"/>
        <w:autoSpaceDE w:val="0"/>
        <w:autoSpaceDN w:val="0"/>
        <w:adjustRightInd w:val="0"/>
        <w:ind w:left="266" w:hanging="266"/>
        <w:textAlignment w:val="baseline"/>
        <w:rPr>
          <w:sz w:val="18"/>
          <w:szCs w:val="18"/>
        </w:rPr>
      </w:pPr>
    </w:p>
    <w:p w:rsidRPr="0010484C"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DC0FAE"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sz w:val="16"/>
          <w:szCs w:val="16"/>
        </w:rPr>
      </w:pPr>
    </w:p>
    <w:p w:rsidR="0010484C" w:rsidP="0010484C" w:rsidRDefault="0010484C" w14:paraId="45AB3525" w14:textId="1202BA36">
      <w:pPr>
        <w:overflowPunct w:val="0"/>
        <w:autoSpaceDE w:val="0"/>
        <w:autoSpaceDN w:val="0"/>
        <w:adjustRightInd w:val="0"/>
        <w:textAlignment w:val="baseline"/>
        <w:rPr>
          <w:bCs/>
          <w:iCs/>
        </w:rPr>
      </w:pPr>
      <w:r>
        <w:t>EESRK</w:t>
      </w:r>
    </w:p>
    <w:p w:rsidRPr="00DC0FAE" w:rsidR="002F6E84" w:rsidP="0010484C" w:rsidRDefault="002F6E84" w14:paraId="0DAE7107" w14:textId="77777777">
      <w:pPr>
        <w:overflowPunct w:val="0"/>
        <w:autoSpaceDE w:val="0"/>
        <w:autoSpaceDN w:val="0"/>
        <w:adjustRightInd w:val="0"/>
        <w:textAlignment w:val="baseline"/>
        <w:rPr>
          <w:bCs/>
          <w:iCs/>
          <w:sz w:val="16"/>
          <w:szCs w:val="16"/>
        </w:rPr>
      </w:pPr>
    </w:p>
    <w:p w:rsidRPr="00DC0FAE" w:rsidR="0010484C" w:rsidP="00DC0FA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t>atkreipia dėmesį į teisėkūros veiksmus, kurių ėmėsi Europos Komisija, siekdama persvarstyti Direktyvą 2009/38/EB dėl Europos darbo tarybų steigimo ir veiksmingo jų veikimo užtikrinimo minimaliųjų standartų;</w:t>
      </w:r>
    </w:p>
    <w:p w:rsidRPr="00DC0FAE" w:rsidR="0010484C" w:rsidP="00DC0FA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t>pripažįsta tikslą padidinti EDT teisių veiksmingumą ir įgyvendinimą, kad būtų užtikrintas teisinis tikrumas, paaiškinant pagrindines Europos darbo tarybų direktyvos sąvokas. Tai visų pirma susiję su tarpvalstybinio pobūdžio apibrėžtimi, tinkamais Europos darbo tarybų ištekliais, teise kreiptis į teismą ir didesniu valstybių narių įsipareigojimu numatyti veiksmingas ir pakankamai atgrasančias sankcijas už EDT teisių pažeidimus;</w:t>
      </w:r>
    </w:p>
    <w:p w:rsidRPr="00DC0FAE" w:rsidR="0010484C" w:rsidP="00DC0FA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t>palankiai vertina Komisijos siekį persvarstyti standartą, kad informavimo ir konsultavimosi procesas būtų veiksmingesnis ir prasmingesnis, siūlant papildyti papildomus reikalavimus, padidinti reguliarių EDT posėdžių dažnumą ir nustatyti reikalavimą pateikti pagrįstą administracijos atsakymą į EDT nuomones. Komitetas taip pat atkreipia dėmesį, kad stiprinamas profesinių sąjungų atstovų, padedančių EDT ekspertams, vaidmuo;</w:t>
      </w:r>
    </w:p>
    <w:p w:rsidRPr="005C28F2" w:rsidR="0010484C" w:rsidP="00DC0FA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t>pritaria svarbiems pakeitimams, susijusiems su EDT ir jų narių gebėjimu vykdyti savo pareigas. Tai visų pirma susiję su administracijos teikiamais ištekliais, kurių paskirstymas, susijęs su mokymu, ekspertais ir teisiniu atstovavimu, turi būti bendrai nustatytas atitinkamame EDT susitarime, ir numatomus paaiškinimus dėl konfidencialumo;</w:t>
      </w:r>
    </w:p>
    <w:p w:rsidRPr="00DC0FAE"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t>ragina teisėkūros institucijas skubiai imtis persvarstyti EDT direktyvą remiantis Komisijos pasiūlymu, taip pat atsižvelgiant į šioje nuomonėje siūlomas rekomendacijas;</w:t>
      </w:r>
    </w:p>
    <w:p w:rsidRPr="00DC0FAE"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t>pabrėžia, kad reikia užtikrinti tinkamą peržiūrėtos direktyvos perkėlimą į nacionalinę teisę ir jos įgyvendinimą taikant veiksmingas stebėsenos ir įgyvendinimo priemones, kurias Komisija naudotų šiame procese.</w:t>
      </w:r>
    </w:p>
    <w:p w:rsidRPr="00DC0FAE"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5C28F2" w:rsidR="0010484C" w:rsidP="0010484C" w:rsidRDefault="0010484C" w14:paraId="3B5BD501" w14:textId="77777777">
      <w:pPr>
        <w:widowControl w:val="0"/>
        <w:overflowPunct w:val="0"/>
        <w:autoSpaceDE w:val="0"/>
        <w:autoSpaceDN w:val="0"/>
        <w:adjustRightInd w:val="0"/>
        <w:textAlignment w:val="baseline"/>
        <w:rPr>
          <w:b/>
          <w:bCs/>
          <w:szCs w:val="20"/>
        </w:rPr>
      </w:pPr>
      <w:r>
        <w:rPr>
          <w:b/>
        </w:rPr>
        <w:t xml:space="preserve">Darbdavių organizacijos išreiškė skirtingas nuomones, todėl EESRK Darbdavių grupės nariai pateikė </w:t>
      </w:r>
      <w:proofErr w:type="spellStart"/>
      <w:r>
        <w:rPr>
          <w:b/>
        </w:rPr>
        <w:t>kontranuomonę</w:t>
      </w:r>
      <w:proofErr w:type="spellEnd"/>
      <w:r>
        <w:rPr>
          <w:b/>
        </w:rPr>
        <w:t xml:space="preserve">. Konkrečiau, jie išreiškė susirūpinimą, kad direktyvos peržiūra galėtų apsunkinti Europos darbo tarybų veikimą ir kelti pavojų, kad jos iš veiksmingų kanalu, kuriais įmonių lygmeniu gaunama informacija ir konsultuojamasi, taps ginčų ir teisinio netikrumo šaltiniais. EESRK Darbdavių grupė mano, kad tai galėtų pakenkti būtinam bendradarbiavimui ir pasitikėjimui darbo vietoje. EESRK atmetė </w:t>
      </w:r>
      <w:proofErr w:type="spellStart"/>
      <w:r>
        <w:rPr>
          <w:b/>
        </w:rPr>
        <w:t>kontranuomonę</w:t>
      </w:r>
      <w:proofErr w:type="spellEnd"/>
      <w:r>
        <w:rPr>
          <w:b/>
        </w:rPr>
        <w:t xml:space="preserve"> (104 nariai balsavo už, 125 – prieš, 11 – susilaikė), tačiau, atsižvelgiant į tai, kad pagal EESRK Darbo tvarkos taisykles už ją balsavo daugiau kaip ketvirtadalis narių, ji pridedama prie nuomonės.</w:t>
      </w:r>
    </w:p>
    <w:p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0484C" w:rsidR="005C28F2" w:rsidTr="00405FFF" w14:paraId="60D176FD" w14:textId="77777777">
        <w:tc>
          <w:tcPr>
            <w:tcW w:w="1418" w:type="dxa"/>
          </w:tcPr>
          <w:p w:rsidRPr="0010484C" w:rsidR="005C28F2" w:rsidP="00405FFF" w:rsidRDefault="005C28F2" w14:paraId="585CB7BA" w14:textId="77777777">
            <w:pPr>
              <w:overflowPunct w:val="0"/>
              <w:autoSpaceDE w:val="0"/>
              <w:autoSpaceDN w:val="0"/>
              <w:adjustRightInd w:val="0"/>
              <w:ind w:hanging="110"/>
              <w:textAlignment w:val="baseline"/>
              <w:rPr>
                <w:i/>
              </w:rPr>
            </w:pPr>
            <w:r>
              <w:rPr>
                <w:b/>
                <w:i/>
              </w:rPr>
              <w:t>Kontaktinis asmuo</w:t>
            </w:r>
          </w:p>
        </w:tc>
        <w:tc>
          <w:tcPr>
            <w:tcW w:w="5670" w:type="dxa"/>
          </w:tcPr>
          <w:p w:rsidRPr="0010484C" w:rsidR="005C28F2" w:rsidP="00405FFF" w:rsidRDefault="005C28F2" w14:paraId="78013169" w14:textId="77777777">
            <w:pPr>
              <w:overflowPunct w:val="0"/>
              <w:autoSpaceDE w:val="0"/>
              <w:autoSpaceDN w:val="0"/>
              <w:adjustRightInd w:val="0"/>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10484C" w:rsidR="005C28F2" w:rsidTr="00405FFF" w14:paraId="02718472" w14:textId="77777777">
        <w:tc>
          <w:tcPr>
            <w:tcW w:w="1418" w:type="dxa"/>
          </w:tcPr>
          <w:p w:rsidRPr="0010484C" w:rsidR="005C28F2" w:rsidP="00405FFF" w:rsidRDefault="005C28F2" w14:paraId="5ECEACD6" w14:textId="77777777">
            <w:pPr>
              <w:overflowPunct w:val="0"/>
              <w:autoSpaceDE w:val="0"/>
              <w:autoSpaceDN w:val="0"/>
              <w:adjustRightInd w:val="0"/>
              <w:ind w:hanging="110"/>
              <w:textAlignment w:val="baseline"/>
              <w:rPr>
                <w:i/>
              </w:rPr>
            </w:pPr>
            <w:r>
              <w:rPr>
                <w:i/>
              </w:rPr>
              <w:t>Tel.</w:t>
            </w:r>
          </w:p>
        </w:tc>
        <w:tc>
          <w:tcPr>
            <w:tcW w:w="5670" w:type="dxa"/>
          </w:tcPr>
          <w:p w:rsidRPr="0010484C" w:rsidR="005C28F2" w:rsidP="00405FFF"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405FFF" w14:paraId="6D0F78E9" w14:textId="77777777">
        <w:tc>
          <w:tcPr>
            <w:tcW w:w="1418" w:type="dxa"/>
          </w:tcPr>
          <w:p w:rsidRPr="0010484C" w:rsidR="005C28F2" w:rsidP="00405FFF" w:rsidRDefault="005C28F2" w14:paraId="57F2C25C" w14:textId="77777777">
            <w:pPr>
              <w:overflowPunct w:val="0"/>
              <w:autoSpaceDE w:val="0"/>
              <w:autoSpaceDN w:val="0"/>
              <w:adjustRightInd w:val="0"/>
              <w:ind w:hanging="110"/>
              <w:textAlignment w:val="baseline"/>
              <w:rPr>
                <w:i/>
              </w:rPr>
            </w:pPr>
            <w:r>
              <w:rPr>
                <w:i/>
              </w:rPr>
              <w:t>E. paštas</w:t>
            </w:r>
          </w:p>
        </w:tc>
        <w:tc>
          <w:tcPr>
            <w:tcW w:w="5670" w:type="dxa"/>
          </w:tcPr>
          <w:p w:rsidRPr="0010484C" w:rsidR="005C28F2" w:rsidP="00405FFF" w:rsidRDefault="000339E9" w14:paraId="17171F10" w14:textId="77777777">
            <w:pPr>
              <w:overflowPunct w:val="0"/>
              <w:autoSpaceDE w:val="0"/>
              <w:autoSpaceDN w:val="0"/>
              <w:adjustRightInd w:val="0"/>
              <w:ind w:hanging="110"/>
              <w:textAlignment w:val="baseline"/>
              <w:rPr>
                <w:i/>
                <w:iCs/>
              </w:rPr>
            </w:pPr>
            <w:hyperlink w:history="1" r:id="rId27">
              <w:r w:rsidR="005C28F2">
                <w:rPr>
                  <w:i/>
                  <w:color w:val="0000FF"/>
                  <w:u w:val="single"/>
                </w:rPr>
                <w:t>Bartek.Bednarowicz@eesc.europa.eu</w:t>
              </w:r>
            </w:hyperlink>
          </w:p>
        </w:tc>
      </w:tr>
    </w:tbl>
    <w:p w:rsidRPr="005C28F2" w:rsidR="00025343" w:rsidP="00DC0FAE" w:rsidRDefault="000339E9" w14:paraId="05A78CB9" w14:textId="19CDB86F">
      <w:pPr>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Neapykantai – ne. Prieš neapykantą susivienijusi Europa</w:t>
        </w:r>
      </w:hyperlink>
    </w:p>
    <w:p w:rsidRPr="00025343"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2"/>
        <w:gridCol w:w="6117"/>
      </w:tblGrid>
      <w:tr w:rsidRPr="00025343" w:rsidR="00025343" w:rsidTr="00FE3058" w14:paraId="2AF8F4F0" w14:textId="77777777">
        <w:trPr>
          <w:trHeight w:val="337"/>
        </w:trPr>
        <w:tc>
          <w:tcPr>
            <w:tcW w:w="1310" w:type="pct"/>
          </w:tcPr>
          <w:p w:rsidRPr="00025343" w:rsidR="00025343" w:rsidP="00DC0FAE" w:rsidRDefault="00025343" w14:paraId="11E0BB11" w14:textId="77777777">
            <w:pPr>
              <w:tabs>
                <w:tab w:val="center" w:pos="284"/>
              </w:tabs>
              <w:overflowPunct w:val="0"/>
              <w:autoSpaceDE w:val="0"/>
              <w:autoSpaceDN w:val="0"/>
              <w:adjustRightInd w:val="0"/>
              <w:ind w:left="266" w:hanging="92"/>
              <w:textAlignment w:val="baseline"/>
              <w:rPr>
                <w:b/>
              </w:rPr>
            </w:pPr>
            <w:r>
              <w:rPr>
                <w:b/>
              </w:rPr>
              <w:t>Pranešėjas</w:t>
            </w:r>
          </w:p>
        </w:tc>
        <w:tc>
          <w:tcPr>
            <w:tcW w:w="3690" w:type="pct"/>
          </w:tcPr>
          <w:p w:rsidRPr="00025343" w:rsidR="00025343" w:rsidP="00DC0FAE" w:rsidRDefault="00025343" w14:paraId="75752AD4" w14:textId="7ACD3C64">
            <w:pPr>
              <w:tabs>
                <w:tab w:val="center" w:pos="0"/>
              </w:tabs>
              <w:overflowPunct w:val="0"/>
              <w:autoSpaceDE w:val="0"/>
              <w:autoSpaceDN w:val="0"/>
              <w:adjustRightInd w:val="0"/>
              <w:ind w:hanging="92"/>
              <w:textAlignment w:val="baseline"/>
            </w:pPr>
            <w:proofErr w:type="spellStart"/>
            <w:r>
              <w:t>Cristian</w:t>
            </w:r>
            <w:proofErr w:type="spellEnd"/>
            <w:r>
              <w:t xml:space="preserve"> </w:t>
            </w:r>
            <w:proofErr w:type="spellStart"/>
            <w:r>
              <w:t>Pîrvulescu</w:t>
            </w:r>
            <w:proofErr w:type="spellEnd"/>
            <w:r>
              <w:t xml:space="preserve"> (Pilietinės visuomenės organizacijų grupė, RO)</w:t>
            </w:r>
          </w:p>
        </w:tc>
      </w:tr>
      <w:tr w:rsidRPr="00025343" w:rsidR="00025343" w:rsidTr="00FE3058" w14:paraId="1760181D" w14:textId="77777777">
        <w:trPr>
          <w:trHeight w:val="350"/>
        </w:trPr>
        <w:tc>
          <w:tcPr>
            <w:tcW w:w="1310" w:type="pct"/>
          </w:tcPr>
          <w:p w:rsidRPr="00025343" w:rsidR="00025343" w:rsidP="00DC0FAE" w:rsidRDefault="00025343" w14:paraId="2BD960A6" w14:textId="77777777">
            <w:pPr>
              <w:tabs>
                <w:tab w:val="center" w:pos="284"/>
              </w:tabs>
              <w:overflowPunct w:val="0"/>
              <w:autoSpaceDE w:val="0"/>
              <w:autoSpaceDN w:val="0"/>
              <w:adjustRightInd w:val="0"/>
              <w:ind w:left="266" w:hanging="92"/>
              <w:textAlignment w:val="baseline"/>
              <w:rPr>
                <w:b/>
              </w:rPr>
            </w:pPr>
            <w:proofErr w:type="spellStart"/>
            <w:r>
              <w:rPr>
                <w:b/>
              </w:rPr>
              <w:t>Bendrapranešėjė</w:t>
            </w:r>
            <w:proofErr w:type="spellEnd"/>
          </w:p>
        </w:tc>
        <w:tc>
          <w:tcPr>
            <w:tcW w:w="3690" w:type="pct"/>
          </w:tcPr>
          <w:p w:rsidRPr="00025343" w:rsidR="00025343" w:rsidP="00DC0FAE" w:rsidRDefault="00025343" w14:paraId="4D5D8264" w14:textId="0F078110">
            <w:pPr>
              <w:overflowPunct w:val="0"/>
              <w:autoSpaceDE w:val="0"/>
              <w:autoSpaceDN w:val="0"/>
              <w:adjustRightInd w:val="0"/>
              <w:ind w:hanging="92"/>
              <w:textAlignment w:val="baseline"/>
            </w:pPr>
            <w:proofErr w:type="spellStart"/>
            <w:r>
              <w:t>Milena</w:t>
            </w:r>
            <w:proofErr w:type="spellEnd"/>
            <w:r>
              <w:t xml:space="preserve"> Angelova (Darbdavių </w:t>
            </w:r>
            <w:proofErr w:type="spellStart"/>
            <w:r>
              <w:t>gr</w:t>
            </w:r>
            <w:proofErr w:type="spellEnd"/>
            <w:r>
              <w:t>., BG)</w:t>
            </w:r>
          </w:p>
        </w:tc>
      </w:tr>
      <w:tr w:rsidRPr="00025343" w:rsidR="00025343" w:rsidTr="00FE3058" w14:paraId="2C6DD60C" w14:textId="77777777">
        <w:trPr>
          <w:trHeight w:val="180"/>
        </w:trPr>
        <w:tc>
          <w:tcPr>
            <w:tcW w:w="5000" w:type="pct"/>
            <w:gridSpan w:val="2"/>
          </w:tcPr>
          <w:p w:rsidRPr="00025343"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25343" w:rsidR="00025343" w:rsidTr="00FE3058" w14:paraId="6FBC34E5" w14:textId="77777777">
        <w:trPr>
          <w:trHeight w:val="337"/>
        </w:trPr>
        <w:tc>
          <w:tcPr>
            <w:tcW w:w="1310" w:type="pct"/>
          </w:tcPr>
          <w:p w:rsidRPr="00025343" w:rsidR="00025343" w:rsidP="00DC0FAE" w:rsidRDefault="00025343" w14:paraId="0CB959F0" w14:textId="77777777">
            <w:pPr>
              <w:tabs>
                <w:tab w:val="center" w:pos="284"/>
              </w:tabs>
              <w:overflowPunct w:val="0"/>
              <w:autoSpaceDE w:val="0"/>
              <w:autoSpaceDN w:val="0"/>
              <w:adjustRightInd w:val="0"/>
              <w:ind w:left="266" w:hanging="92"/>
              <w:textAlignment w:val="baseline"/>
              <w:rPr>
                <w:b/>
              </w:rPr>
            </w:pPr>
            <w:r>
              <w:rPr>
                <w:b/>
              </w:rPr>
              <w:t>Nuorodos</w:t>
            </w:r>
          </w:p>
        </w:tc>
        <w:tc>
          <w:tcPr>
            <w:tcW w:w="3690" w:type="pct"/>
          </w:tcPr>
          <w:p w:rsidR="00073B39" w:rsidRDefault="00073B39" w14:paraId="4E56704D" w14:textId="77D55C36">
            <w:pPr>
              <w:overflowPunct w:val="0"/>
              <w:autoSpaceDE w:val="0"/>
              <w:autoSpaceDN w:val="0"/>
              <w:adjustRightInd w:val="0"/>
              <w:ind w:left="38" w:hanging="92"/>
              <w:textAlignment w:val="baseline"/>
            </w:pPr>
            <w:r>
              <w:t xml:space="preserve">JOIN(2023) 51 </w:t>
            </w:r>
            <w:proofErr w:type="spellStart"/>
            <w:r>
              <w:t>final</w:t>
            </w:r>
            <w:proofErr w:type="spellEnd"/>
          </w:p>
          <w:p w:rsidRPr="00025343" w:rsidR="00025343" w:rsidP="00DC0FAE" w:rsidRDefault="00025343" w14:paraId="3DBBFBEB" w14:textId="41A0BBEE">
            <w:pPr>
              <w:overflowPunct w:val="0"/>
              <w:autoSpaceDE w:val="0"/>
              <w:autoSpaceDN w:val="0"/>
              <w:adjustRightInd w:val="0"/>
              <w:ind w:left="38" w:hanging="92"/>
              <w:textAlignment w:val="baseline"/>
            </w:pPr>
            <w:r>
              <w:t>EESC-2024-00795-00-00-AC</w:t>
            </w:r>
          </w:p>
        </w:tc>
      </w:tr>
    </w:tbl>
    <w:p w:rsidRPr="00025343"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Pr>
          <w:b/>
        </w:rPr>
        <w:t>Dokumento esmė</w:t>
      </w:r>
    </w:p>
    <w:p w:rsidRPr="00025343"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25343" w:rsidRDefault="00025343" w14:paraId="4E01D61B" w14:textId="1C55CBF5">
      <w:pPr>
        <w:overflowPunct w:val="0"/>
        <w:autoSpaceDE w:val="0"/>
        <w:autoSpaceDN w:val="0"/>
        <w:adjustRightInd w:val="0"/>
        <w:textAlignment w:val="baseline"/>
        <w:rPr>
          <w:bCs/>
          <w:iCs/>
        </w:rPr>
      </w:pPr>
      <w:r>
        <w:t>EESRK</w:t>
      </w:r>
    </w:p>
    <w:p w:rsidRPr="00025343" w:rsidR="00360C2F" w:rsidP="00025343" w:rsidRDefault="00360C2F" w14:paraId="227E2908" w14:textId="77777777">
      <w:pPr>
        <w:overflowPunct w:val="0"/>
        <w:autoSpaceDE w:val="0"/>
        <w:autoSpaceDN w:val="0"/>
        <w:adjustRightInd w:val="0"/>
        <w:textAlignment w:val="baseline"/>
        <w:rPr>
          <w:bCs/>
          <w:iCs/>
        </w:rPr>
      </w:pPr>
    </w:p>
    <w:p w:rsidRPr="00025343"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teigiamai vertina komunikatą ir kartu pabrėžia, kad reikia visapusiškesnės partnerystės su pilietinės visuomenės organizacijomis. Komitetas ragina rengti informuotumo didinimo kampanijas ir dėti pastangas siekiant kovoti su neapykantos internete ir ne internete ekosistemomis, taip pat primena politikų atsakomybę vengti neapykantą kurstančios kalbos propagavimo;</w:t>
      </w:r>
    </w:p>
    <w:p w:rsidRPr="00025343"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t>ragina ES laikytis visapusiško požiūrio ir kovoti su neapykanta dėl bet kokių saugomų žmogaus ypatybių, veiksmingai įgyvendinti esamas strategijas ir iniciatyvas, kuriomis skatinama lygybė ir nediskriminavimas, ir iš esmės taikyti tą patį požiūrį kovojant su visų rūšių neapykanta. Komitetas ragina valstybes nares patraukti baudžiamojon atsakomybėn už neapykantos nusikaltimus atsakingus asmenis, skatinti pranešti apie nusikaltimus ir mokyti teisėsaugos institucijas tinkamai nagrinėti tokius atvejus, deramai atsižvelgiant į nukentėjusius asmenis;</w:t>
      </w:r>
    </w:p>
    <w:p w:rsidRPr="00025343"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t>apgailestauja, kad kovos su neapykanta priemonių interneto platformose mastas ir jų poveikis nėra pakankamai išplėtoti. Reikėtų išplėsti pranešėjų vaidmenį ir ekspertines žinias, kad jie nuosekliai aprėptų visų rūšių neapykantos internete apraiškas. Reikėtų gerinti gebėjimą naudotis žiniasklaidos priemonėmis ir skaitmeninį raštingumą, kad būtų užtikrintas veiksmingesnis pranešimas apie neapykantos nusikaltimus;</w:t>
      </w:r>
    </w:p>
    <w:p w:rsidRPr="00025343" w:rsidR="00025343" w:rsidP="00DC0FA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t>mano, kad reikėtų veiksmingiau vykdyti Kovos su neapykantos kalba ir neapykantos nusikaltimais aukšto lygio grupės darbą, aktyviau mokyti pilietinę visuomenę ir stiprinti jos gebėjimus, o pranešimas turėtų būti veiksmingesnis. Pažangai nustatyti reikėtų teikti ataskaitas ir atlikti lyginamąją analizę. Pranešimas apie neapykantos nusikaltimus turėtų būti standartizuotas ir institucionalizuotas ES lygmeniu. Pranešimų teikimo mechanizmai turi būti parengti ir prieinami, Komisija raginama sukurti internetinę platformą, kad pilietinės visuomenės organizacijos ir žmogaus teisių gynėjai galėtų greitai pranešti apie incidentus;</w:t>
      </w:r>
    </w:p>
    <w:p w:rsidRPr="00025343"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pabrėžia, kad Komisija turėtų surengti PVO ir patikimų pranešėjų darbo peržiūrą ir pasiūlyti priemonių, kad jų darbas taptų veiksmingesnis ir atitiktų dabartinius iššūkius. ES turėtų primygtinai reikalauti, kad didelės interneto platformos neleistų savo algoritmais didinti neapykantos, o neapykantos internete ekosistemoms nustatyti ir su jomis kovoti turėtų būti naudojamasi pagal Piliečių, lygybės, teisių ir vertybių programą bei programą „Europos horizontas“ skiriamomis lėšomis. Esami švietimo ir mokslinių tyrimų pajėgumai ir pagal programą „Erasmus+“ vykdomas pilietiškumo ugdymas turėtų padėtų siekti šio tikslo.</w:t>
      </w:r>
    </w:p>
    <w:p w:rsidRPr="00025343"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r>
              <w:rPr>
                <w:i/>
              </w:rPr>
              <w:t xml:space="preserve">June </w:t>
            </w:r>
            <w:proofErr w:type="spellStart"/>
            <w:r>
              <w:rPr>
                <w:i/>
              </w:rPr>
              <w:t>Bedaton</w:t>
            </w:r>
            <w:proofErr w:type="spellEnd"/>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Pr>
                <w:i/>
              </w:rPr>
              <w:t>Tel.</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Pr>
                <w:i/>
              </w:rPr>
              <w:t>E. paštas</w:t>
            </w:r>
          </w:p>
        </w:tc>
        <w:tc>
          <w:tcPr>
            <w:tcW w:w="3444" w:type="pct"/>
          </w:tcPr>
          <w:p w:rsidRPr="00025343" w:rsidR="00025343" w:rsidP="00025343" w:rsidRDefault="000339E9" w14:paraId="55F1FCFD" w14:textId="77777777">
            <w:pPr>
              <w:overflowPunct w:val="0"/>
              <w:autoSpaceDE w:val="0"/>
              <w:autoSpaceDN w:val="0"/>
              <w:adjustRightInd w:val="0"/>
              <w:spacing w:line="240" w:lineRule="auto"/>
              <w:textAlignment w:val="baseline"/>
              <w:rPr>
                <w:i/>
              </w:rPr>
            </w:pPr>
            <w:hyperlink w:history="1" r:id="rId29">
              <w:r w:rsidR="00851457">
                <w:rPr>
                  <w:i/>
                  <w:color w:val="0000FF"/>
                  <w:u w:val="single"/>
                </w:rPr>
                <w:t>June.Bedaton@eesc.europa.eu</w:t>
              </w:r>
            </w:hyperlink>
          </w:p>
        </w:tc>
      </w:tr>
    </w:tbl>
    <w:p w:rsidRPr="00D71D11" w:rsidR="00502E1F" w:rsidRDefault="00502E1F" w14:paraId="3D58FF9D" w14:textId="2586B74C">
      <w:pPr>
        <w:spacing w:after="160" w:line="259" w:lineRule="auto"/>
        <w:jc w:val="left"/>
        <w:rPr>
          <w:sz w:val="14"/>
          <w:szCs w:val="14"/>
        </w:rPr>
      </w:pPr>
      <w: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871751" w:id="3"/>
      <w:bookmarkEnd w:id="2"/>
      <w:r>
        <w:rPr>
          <w:b/>
        </w:rPr>
        <w:lastRenderedPageBreak/>
        <w:t>ŽEMĖS ŪKIO, KAIMO PLĖTROS IR APLINKOS SKYRIUS</w:t>
      </w:r>
      <w:bookmarkEnd w:id="3"/>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A329C8" w:rsidR="00A329C8" w:rsidP="00DC0FAE" w:rsidRDefault="000339E9" w14:paraId="54725696" w14:textId="5958EFA0">
      <w:pPr>
        <w:numPr>
          <w:ilvl w:val="0"/>
          <w:numId w:val="2"/>
        </w:numPr>
        <w:overflowPunct w:val="0"/>
        <w:autoSpaceDE w:val="0"/>
        <w:autoSpaceDN w:val="0"/>
        <w:adjustRightInd w:val="0"/>
        <w:spacing w:line="276" w:lineRule="auto"/>
        <w:contextualSpacing/>
        <w:jc w:val="left"/>
        <w:textAlignment w:val="baseline"/>
        <w:rPr>
          <w:i/>
          <w:iCs/>
        </w:rPr>
      </w:pPr>
      <w:hyperlink w:history="1" r:id="rId30">
        <w:r w:rsidR="004C1520">
          <w:rPr>
            <w:b/>
            <w:i/>
            <w:color w:val="0000FF"/>
            <w:sz w:val="28"/>
            <w:u w:val="single"/>
          </w:rPr>
          <w:t>ES 2040 m. klimato srities tikslas</w:t>
        </w:r>
      </w:hyperlink>
    </w:p>
    <w:p w:rsidRPr="00A329C8" w:rsidR="00A329C8" w:rsidP="00A329C8" w:rsidRDefault="00A329C8" w14:paraId="41709063" w14:textId="77777777">
      <w:pPr>
        <w:widowControl w:val="0"/>
        <w:overflowPunct w:val="0"/>
        <w:autoSpaceDE w:val="0"/>
        <w:autoSpaceDN w:val="0"/>
        <w:adjustRightInd w:val="0"/>
        <w:ind w:left="567"/>
        <w:textAlignment w:val="baseline"/>
        <w:rPr>
          <w:bCs/>
          <w:sz w:val="16"/>
          <w:szCs w:val="16"/>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329C8" w:rsidR="00A329C8" w:rsidTr="00FE3058" w14:paraId="1072566D" w14:textId="77777777">
        <w:tc>
          <w:tcPr>
            <w:tcW w:w="1701" w:type="dxa"/>
          </w:tcPr>
          <w:p w:rsidRPr="00A329C8" w:rsidR="00A329C8" w:rsidRDefault="00A329C8" w14:paraId="165FF2EB" w14:textId="77777777">
            <w:pPr>
              <w:tabs>
                <w:tab w:val="center" w:pos="284"/>
              </w:tabs>
              <w:overflowPunct w:val="0"/>
              <w:autoSpaceDE w:val="0"/>
              <w:autoSpaceDN w:val="0"/>
              <w:adjustRightInd w:val="0"/>
              <w:ind w:left="266" w:hanging="266"/>
              <w:textAlignment w:val="baseline"/>
              <w:rPr>
                <w:b/>
              </w:rPr>
            </w:pPr>
            <w:r>
              <w:rPr>
                <w:b/>
              </w:rPr>
              <w:t>Pranešėjas</w:t>
            </w:r>
          </w:p>
        </w:tc>
        <w:tc>
          <w:tcPr>
            <w:tcW w:w="6096" w:type="dxa"/>
          </w:tcPr>
          <w:p w:rsidRPr="00A329C8" w:rsidR="00A329C8" w:rsidRDefault="00A329C8" w14:paraId="79F6E9C0" w14:textId="43EDADDC">
            <w:pPr>
              <w:tabs>
                <w:tab w:val="center" w:pos="284"/>
              </w:tabs>
              <w:overflowPunct w:val="0"/>
              <w:autoSpaceDE w:val="0"/>
              <w:autoSpaceDN w:val="0"/>
              <w:adjustRightInd w:val="0"/>
              <w:ind w:left="266" w:hanging="266"/>
              <w:textAlignment w:val="baseline"/>
              <w:rPr>
                <w:bCs/>
              </w:rPr>
            </w:pPr>
            <w:proofErr w:type="spellStart"/>
            <w:r>
              <w:t>Teppo</w:t>
            </w:r>
            <w:proofErr w:type="spellEnd"/>
            <w:r>
              <w:t xml:space="preserve"> </w:t>
            </w:r>
            <w:proofErr w:type="spellStart"/>
            <w:r>
              <w:t>Säkkinen</w:t>
            </w:r>
            <w:proofErr w:type="spellEnd"/>
            <w:r>
              <w:t xml:space="preserve"> (Darbdavių </w:t>
            </w:r>
            <w:proofErr w:type="spellStart"/>
            <w:r>
              <w:t>gr</w:t>
            </w:r>
            <w:proofErr w:type="spellEnd"/>
            <w:r>
              <w:t>., FI)</w:t>
            </w:r>
          </w:p>
        </w:tc>
      </w:tr>
      <w:tr w:rsidRPr="00A329C8" w:rsidR="00A329C8" w:rsidTr="00FE3058" w14:paraId="41523448" w14:textId="77777777">
        <w:tc>
          <w:tcPr>
            <w:tcW w:w="7797" w:type="dxa"/>
            <w:gridSpan w:val="2"/>
          </w:tcPr>
          <w:p w:rsidRPr="00A329C8"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329C8" w:rsidR="00A329C8" w:rsidTr="00FE3058" w14:paraId="4CD963E6" w14:textId="77777777">
        <w:tc>
          <w:tcPr>
            <w:tcW w:w="1701" w:type="dxa"/>
            <w:vMerge w:val="restart"/>
          </w:tcPr>
          <w:p w:rsidRPr="00A329C8" w:rsidR="00A329C8" w:rsidRDefault="00A329C8" w14:paraId="09AC84B4" w14:textId="77777777">
            <w:pPr>
              <w:tabs>
                <w:tab w:val="center" w:pos="284"/>
              </w:tabs>
              <w:overflowPunct w:val="0"/>
              <w:autoSpaceDE w:val="0"/>
              <w:autoSpaceDN w:val="0"/>
              <w:adjustRightInd w:val="0"/>
              <w:ind w:left="266" w:hanging="266"/>
              <w:textAlignment w:val="baseline"/>
              <w:rPr>
                <w:b/>
              </w:rPr>
            </w:pPr>
            <w:r>
              <w:rPr>
                <w:b/>
              </w:rPr>
              <w:t>Nuorodos</w:t>
            </w:r>
          </w:p>
        </w:tc>
        <w:tc>
          <w:tcPr>
            <w:tcW w:w="6096" w:type="dxa"/>
          </w:tcPr>
          <w:p w:rsidRPr="00A329C8" w:rsidR="00A329C8" w:rsidRDefault="00A329C8" w14:paraId="3A6B9900" w14:textId="77777777">
            <w:pPr>
              <w:tabs>
                <w:tab w:val="center" w:pos="284"/>
              </w:tabs>
              <w:overflowPunct w:val="0"/>
              <w:autoSpaceDE w:val="0"/>
              <w:autoSpaceDN w:val="0"/>
              <w:adjustRightInd w:val="0"/>
              <w:ind w:left="266" w:hanging="266"/>
              <w:textAlignment w:val="baseline"/>
            </w:pPr>
            <w:r>
              <w:t xml:space="preserve">COM(2024) 63 </w:t>
            </w:r>
            <w:proofErr w:type="spellStart"/>
            <w:r>
              <w:t>final</w:t>
            </w:r>
            <w:proofErr w:type="spellEnd"/>
          </w:p>
        </w:tc>
      </w:tr>
      <w:tr w:rsidRPr="00A329C8" w:rsidR="00A329C8" w:rsidTr="00FE3058" w14:paraId="42B3A032" w14:textId="77777777">
        <w:tc>
          <w:tcPr>
            <w:tcW w:w="1701" w:type="dxa"/>
            <w:vMerge/>
          </w:tcPr>
          <w:p w:rsidRPr="00A329C8"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A329C8" w:rsidR="00A329C8" w:rsidRDefault="00A329C8" w14:paraId="34A1EAA6" w14:textId="10339782">
            <w:pPr>
              <w:tabs>
                <w:tab w:val="center" w:pos="284"/>
              </w:tabs>
              <w:overflowPunct w:val="0"/>
              <w:autoSpaceDE w:val="0"/>
              <w:autoSpaceDN w:val="0"/>
              <w:adjustRightInd w:val="0"/>
              <w:ind w:left="266" w:hanging="266"/>
              <w:textAlignment w:val="baseline"/>
            </w:pPr>
            <w:r>
              <w:t>EESC-2024-00418-00-00-AC</w:t>
            </w:r>
          </w:p>
        </w:tc>
      </w:tr>
    </w:tbl>
    <w:p w:rsidRPr="00A329C8"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A329C8"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Dokumento esmė</w:t>
      </w:r>
    </w:p>
    <w:p w:rsidRPr="00A329C8"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A329C8" w:rsidP="00A329C8" w:rsidRDefault="00A329C8" w14:paraId="4C8A0CE8" w14:textId="68F5BE87">
      <w:pPr>
        <w:overflowPunct w:val="0"/>
        <w:autoSpaceDE w:val="0"/>
        <w:autoSpaceDN w:val="0"/>
        <w:adjustRightInd w:val="0"/>
        <w:spacing w:line="240" w:lineRule="auto"/>
        <w:textAlignment w:val="baseline"/>
        <w:rPr>
          <w:bCs/>
          <w:iCs/>
        </w:rPr>
      </w:pPr>
      <w:r>
        <w:t>EESRK</w:t>
      </w:r>
    </w:p>
    <w:p w:rsidRPr="00A329C8" w:rsidR="00D12B39" w:rsidP="00A329C8" w:rsidRDefault="00D12B39" w14:paraId="369B2779" w14:textId="77777777">
      <w:pPr>
        <w:overflowPunct w:val="0"/>
        <w:autoSpaceDE w:val="0"/>
        <w:autoSpaceDN w:val="0"/>
        <w:adjustRightInd w:val="0"/>
        <w:spacing w:line="240" w:lineRule="auto"/>
        <w:textAlignment w:val="baseline"/>
        <w:rPr>
          <w:bCs/>
          <w:iCs/>
        </w:rPr>
      </w:pPr>
    </w:p>
    <w:p w:rsidRPr="00DC0FAE"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Pr>
          <w:b/>
        </w:rPr>
        <w:t>pritaria rekomenduojamam tikslui iki 2040 m. išmetamą ŠESD kiekį sumažinti 90 proc.</w:t>
      </w:r>
      <w:r>
        <w:t xml:space="preserve">, nes jis atitinka mokslinius duomenis apie teisingą Europos indėlį siekiant 1,5 °C tikslo. EESRK pabrėžia, kad šis </w:t>
      </w:r>
      <w:r>
        <w:rPr>
          <w:b/>
        </w:rPr>
        <w:t>tikslas reikalauja daug pastangų</w:t>
      </w:r>
      <w:r>
        <w:t xml:space="preserve"> ir kad jį galima pasiekti tik įgyvendinant galimybių teikiančią politiką, kuria būtų užtikrinamas </w:t>
      </w:r>
      <w:r>
        <w:rPr>
          <w:b/>
        </w:rPr>
        <w:t>Europos pramonės konkurencingumas</w:t>
      </w:r>
      <w:r>
        <w:t xml:space="preserve"> ir </w:t>
      </w:r>
      <w:r>
        <w:rPr>
          <w:b/>
        </w:rPr>
        <w:t>teisinga pertvarka</w:t>
      </w:r>
      <w:r>
        <w:t>, ir naudojamos visos nulinio ir mažo anglies dioksido pėdsako technologijos;</w:t>
      </w:r>
    </w:p>
    <w:p w:rsidRPr="00DC0FAE"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rPr>
        <w:t>pabrėžia į faktinį išmetamųjų teršalų kiekio mažinimą laipsniškai atsisakant iškastinio kuro</w:t>
      </w:r>
      <w:r>
        <w:t>. Nors anglies dioksido absorbavimas atlieka vis didesnį vaidmenį siekiant ES klimato srities tikslų, pernelyg pasikliauti absorbentais gali lemti neapibrėžtumą ir riziką likti priklausomiems nuo iškastinio kuro arba prarasti absorbentus dėl miškų gaisrų, kenkėjų ir kitų pavojų;</w:t>
      </w:r>
    </w:p>
    <w:p w:rsidRPr="00DC0FAE"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t xml:space="preserve">ragina Komisiją atlikti mokslinį ir ekonominį </w:t>
      </w:r>
      <w:r>
        <w:rPr>
          <w:b/>
        </w:rPr>
        <w:t>mažinimo ir absorbavimo pusiausvyros</w:t>
      </w:r>
      <w:r>
        <w:t xml:space="preserve"> vertinimą;</w:t>
      </w:r>
    </w:p>
    <w:p w:rsidRPr="00DC0FAE"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pabrėžia, kad daugiausia dėmesio turi būti skiriama Pasirengimo įgyvendinti 55 % tikslą priemonių rinkinio įgyvendinimui ir paramai Europos įmonėms ir namų ūkiams prisitaikyti prie naujos reglamentavimo aplinkos;</w:t>
      </w:r>
    </w:p>
    <w:p w:rsidRPr="00DC0FAE"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t xml:space="preserve">pažymi, kad siekiant klimato srities tikslų reikia </w:t>
      </w:r>
      <w:r>
        <w:rPr>
          <w:b/>
        </w:rPr>
        <w:t>precedento neturinčių investicijų priklausomybei nuo iškastinio kuro mažinti</w:t>
      </w:r>
      <w:r>
        <w:t>;</w:t>
      </w:r>
    </w:p>
    <w:p w:rsidRPr="00DC0FAE"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ragina Komisiją stebėti ir nustatyti Europos švarių technologijų produktų ir paslaugų eksporto augimo tikslus;</w:t>
      </w:r>
    </w:p>
    <w:p w:rsidRPr="00DC0FAE"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t xml:space="preserve">ragina užtikrinti, kad </w:t>
      </w:r>
      <w:r>
        <w:rPr>
          <w:b/>
        </w:rPr>
        <w:t>iki 2040 m.</w:t>
      </w:r>
      <w:r>
        <w:t xml:space="preserve"> ES </w:t>
      </w:r>
      <w:r>
        <w:rPr>
          <w:b/>
        </w:rPr>
        <w:t>gaminant elektros energiją</w:t>
      </w:r>
      <w:r>
        <w:t xml:space="preserve"> (o vėliau ir šildymo bei vėsinimo sektoriuose) </w:t>
      </w:r>
      <w:r>
        <w:rPr>
          <w:b/>
        </w:rPr>
        <w:t>nebebūtų išskiriama anglies dioksido</w:t>
      </w:r>
      <w:r>
        <w:t>. Švarios ir įperkamos energijos prieinamumas ir ateičiai tinkama energetikos infrastruktūra yra būtina sąlyga, kad būtų galima mažinti kitų sektorių, pavyzdžiui, pramonės, pastatų ir transporto, priklausomybę nuo iškastinio kuro;</w:t>
      </w:r>
    </w:p>
    <w:p w:rsidRPr="00DC0FAE"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siūlo nustatyti orientacinį </w:t>
      </w:r>
      <w:r>
        <w:rPr>
          <w:b/>
        </w:rPr>
        <w:t>išmetamųjų teršalų kiekio mažinimo tikslą</w:t>
      </w:r>
      <w:r>
        <w:t xml:space="preserve"> </w:t>
      </w:r>
      <w:r>
        <w:rPr>
          <w:b/>
        </w:rPr>
        <w:t>žemės ūkio maisto produktų sektoriui</w:t>
      </w:r>
      <w:r>
        <w:t>, palaikant glaudų dialogą su ūkininkais ir kitais suinteresuotaisiais subjektais, remiantis mokslu, užtikrinant Europos apsirūpinimo maistu saugumą ir atsižvelgiant į skirtingas gamtines sąlygas ES;</w:t>
      </w:r>
    </w:p>
    <w:p w:rsidRPr="00DC0FAE"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t>pabrėžia, kad nustatant 2040 m. tikslą ir rengiant susijusią politiką svarbu palaikyti plataus masto dialogą su suinteresuotaisiais subjektais, įskaitant socialinius partnerius ir pilietinę visuomenę, ir užtikrinti piliečių dalyvavimą;</w:t>
      </w:r>
    </w:p>
    <w:p w:rsidRPr="00DC0FAE" w:rsidR="00A329C8" w:rsidP="00DC0FA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t xml:space="preserve">atkreipia dėmesį į galimybę labiau sumažinti išmetamųjų teršalų kiekį ir medžiagų bei energijos poreikį </w:t>
      </w:r>
      <w:r>
        <w:rPr>
          <w:b/>
        </w:rPr>
        <w:t>suteikiant vartotojams daugiau galimybių rinktis tvarų gyvenimo būdą</w:t>
      </w:r>
      <w:r>
        <w:t>;</w:t>
      </w:r>
    </w:p>
    <w:p w:rsidRPr="00DC0FAE" w:rsidR="00A329C8" w:rsidP="00DC0FA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lastRenderedPageBreak/>
        <w:t xml:space="preserve">ragina Komisiją </w:t>
      </w:r>
      <w:r>
        <w:rPr>
          <w:b/>
        </w:rPr>
        <w:t>išplėsti konkurencingumo patikrą</w:t>
      </w:r>
      <w:r>
        <w:t>, kad būtų galima palyginti su kitomis didžiosiomis ekonomikomis, įskaitant jų klimato, energetikos ir pramonės politiką ir ekonominius rodiklius, kad būtų galima pateikti pasiūlymų, kaip pasaulyje sustiprinti Europos konkurencingumą ir pramoninę bazę ir apsaugoti mūsų atviros rinkos ekonomikos modelį taikant aukštus aplinkos ir socialinius standartus.</w:t>
      </w:r>
    </w:p>
    <w:p w:rsidRPr="00A329C8"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A329C8" w:rsidR="00A329C8" w:rsidTr="00FE3058" w14:paraId="2C0A0929" w14:textId="77777777">
        <w:tc>
          <w:tcPr>
            <w:tcW w:w="1634" w:type="dxa"/>
          </w:tcPr>
          <w:p w:rsidRPr="00A329C8"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Pr>
                <w:b/>
                <w:i/>
              </w:rPr>
              <w:t>Kontaktinis asmuo</w:t>
            </w:r>
          </w:p>
        </w:tc>
        <w:tc>
          <w:tcPr>
            <w:tcW w:w="5670" w:type="dxa"/>
          </w:tcPr>
          <w:p w:rsidRPr="00DC0FAE"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proofErr w:type="spellStart"/>
            <w:r>
              <w:rPr>
                <w:i/>
              </w:rPr>
              <w:t>Judit</w:t>
            </w:r>
            <w:proofErr w:type="spellEnd"/>
            <w:r>
              <w:rPr>
                <w:i/>
              </w:rPr>
              <w:t xml:space="preserve"> </w:t>
            </w:r>
            <w:proofErr w:type="spellStart"/>
            <w:r>
              <w:rPr>
                <w:i/>
              </w:rPr>
              <w:t>Carreras</w:t>
            </w:r>
            <w:proofErr w:type="spellEnd"/>
            <w:r>
              <w:rPr>
                <w:i/>
              </w:rPr>
              <w:t xml:space="preserve"> </w:t>
            </w:r>
            <w:proofErr w:type="spellStart"/>
            <w:r>
              <w:rPr>
                <w:i/>
              </w:rPr>
              <w:t>Garcia</w:t>
            </w:r>
            <w:proofErr w:type="spellEnd"/>
          </w:p>
        </w:tc>
      </w:tr>
      <w:tr w:rsidRPr="00A329C8" w:rsidR="00A329C8" w:rsidTr="00FE3058" w14:paraId="1A5C453D" w14:textId="77777777">
        <w:tc>
          <w:tcPr>
            <w:tcW w:w="1634" w:type="dxa"/>
          </w:tcPr>
          <w:p w:rsidRPr="00A329C8"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Pr>
                <w:i/>
              </w:rPr>
              <w:t>Tel.</w:t>
            </w:r>
          </w:p>
        </w:tc>
        <w:tc>
          <w:tcPr>
            <w:tcW w:w="5670" w:type="dxa"/>
          </w:tcPr>
          <w:p w:rsidRPr="00A329C8"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Pr>
                <w:i/>
              </w:rPr>
              <w:t>+32 25468421</w:t>
            </w:r>
          </w:p>
        </w:tc>
      </w:tr>
      <w:tr w:rsidRPr="00A329C8" w:rsidR="00A329C8" w:rsidTr="00FE3058" w14:paraId="4404176D" w14:textId="77777777">
        <w:tc>
          <w:tcPr>
            <w:tcW w:w="1634" w:type="dxa"/>
          </w:tcPr>
          <w:p w:rsidRPr="00A329C8"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r>
              <w:rPr>
                <w:i/>
              </w:rPr>
              <w:t>E. paštas</w:t>
            </w:r>
          </w:p>
        </w:tc>
        <w:tc>
          <w:tcPr>
            <w:tcW w:w="5670" w:type="dxa"/>
          </w:tcPr>
          <w:p w:rsidRPr="00A329C8" w:rsidR="00A329C8" w:rsidP="00DC0FAE" w:rsidRDefault="000339E9"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00D63208">
                <w:rPr>
                  <w:i/>
                  <w:color w:val="0000FF"/>
                  <w:u w:val="single"/>
                </w:rPr>
                <w:t>Judit.CarrerasGarcia@eesc.europa.eu</w:t>
              </w:r>
            </w:hyperlink>
          </w:p>
        </w:tc>
      </w:tr>
    </w:tbl>
    <w:p w:rsidR="00A329C8" w:rsidRDefault="00A329C8" w14:paraId="78CB8038" w14:textId="77777777">
      <w:pPr>
        <w:spacing w:after="160" w:line="259" w:lineRule="auto"/>
        <w:jc w:val="left"/>
        <w:rPr>
          <w:b/>
          <w:bCs/>
        </w:rPr>
      </w:pPr>
      <w:r>
        <w:br w:type="page"/>
      </w:r>
    </w:p>
    <w:p w:rsidRPr="00A14846" w:rsidR="00A329C8" w:rsidP="00C26C81" w:rsidRDefault="000339E9"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00851457">
          <w:rPr>
            <w:b/>
            <w:i/>
            <w:color w:val="0000FF"/>
            <w:sz w:val="28"/>
            <w:u w:val="single"/>
          </w:rPr>
          <w:t>Gyvūnų gerovės teisės aktų peržiūra</w:t>
        </w:r>
      </w:hyperlink>
    </w:p>
    <w:p w:rsidRPr="00A1484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A14846" w:rsidR="00A329C8" w:rsidTr="00FE3058" w14:paraId="5D60937D" w14:textId="77777777">
        <w:tc>
          <w:tcPr>
            <w:tcW w:w="2127" w:type="dxa"/>
          </w:tcPr>
          <w:p w:rsidRPr="00A1484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Pr>
                <w:b/>
              </w:rPr>
              <w:t xml:space="preserve">Pranešėjas </w:t>
            </w:r>
          </w:p>
        </w:tc>
        <w:tc>
          <w:tcPr>
            <w:tcW w:w="6804" w:type="dxa"/>
          </w:tcPr>
          <w:p w:rsidRPr="00A14846" w:rsidR="00A329C8" w:rsidP="00FE3058" w:rsidRDefault="00A329C8" w14:paraId="77C861E5" w14:textId="47173DAB">
            <w:pPr>
              <w:tabs>
                <w:tab w:val="center" w:pos="284"/>
              </w:tabs>
              <w:overflowPunct w:val="0"/>
              <w:autoSpaceDE w:val="0"/>
              <w:autoSpaceDN w:val="0"/>
              <w:adjustRightInd w:val="0"/>
              <w:ind w:left="266" w:hanging="266"/>
              <w:textAlignment w:val="baseline"/>
            </w:pPr>
            <w:proofErr w:type="spellStart"/>
            <w:r>
              <w:t>Jaume</w:t>
            </w:r>
            <w:proofErr w:type="spellEnd"/>
            <w:r>
              <w:t xml:space="preserve"> </w:t>
            </w:r>
            <w:proofErr w:type="spellStart"/>
            <w:r>
              <w:t>Bernis</w:t>
            </w:r>
            <w:proofErr w:type="spellEnd"/>
            <w:r>
              <w:t xml:space="preserve"> </w:t>
            </w:r>
            <w:proofErr w:type="spellStart"/>
            <w:r>
              <w:t>Castells</w:t>
            </w:r>
            <w:proofErr w:type="spellEnd"/>
            <w:r>
              <w:t xml:space="preserve"> (Pilietinės visuomenės organizacijų grupė, ES)</w:t>
            </w:r>
          </w:p>
        </w:tc>
      </w:tr>
      <w:tr w:rsidRPr="00A14846" w:rsidR="00A329C8" w:rsidTr="00FE3058" w14:paraId="70D6EB9C" w14:textId="77777777">
        <w:tc>
          <w:tcPr>
            <w:tcW w:w="8931" w:type="dxa"/>
            <w:gridSpan w:val="2"/>
          </w:tcPr>
          <w:p w:rsidRPr="00A1484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A14846" w:rsidR="00A329C8" w:rsidTr="00FE3058" w14:paraId="67C57163" w14:textId="77777777">
        <w:tc>
          <w:tcPr>
            <w:tcW w:w="2127" w:type="dxa"/>
          </w:tcPr>
          <w:p w:rsidRPr="00A1484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Pr>
                <w:b/>
              </w:rPr>
              <w:t>Nuorodos</w:t>
            </w:r>
          </w:p>
        </w:tc>
        <w:tc>
          <w:tcPr>
            <w:tcW w:w="6804" w:type="dxa"/>
          </w:tcPr>
          <w:p w:rsidR="00D704BD" w:rsidP="00FE3058" w:rsidRDefault="00D704BD" w14:paraId="466B0FCB" w14:textId="138FF299">
            <w:pPr>
              <w:tabs>
                <w:tab w:val="center" w:pos="284"/>
              </w:tabs>
              <w:overflowPunct w:val="0"/>
              <w:autoSpaceDE w:val="0"/>
              <w:autoSpaceDN w:val="0"/>
              <w:adjustRightInd w:val="0"/>
              <w:ind w:left="266" w:hanging="266"/>
              <w:textAlignment w:val="baseline"/>
            </w:pPr>
            <w:r>
              <w:t xml:space="preserve">COM(2023) 770 </w:t>
            </w:r>
            <w:proofErr w:type="spellStart"/>
            <w:r>
              <w:t>final</w:t>
            </w:r>
            <w:proofErr w:type="spellEnd"/>
          </w:p>
          <w:p w:rsidRPr="00A14846" w:rsidR="00A329C8" w:rsidP="00FE3058" w:rsidRDefault="00A329C8" w14:paraId="7298B786" w14:textId="063BFD24">
            <w:pPr>
              <w:tabs>
                <w:tab w:val="center" w:pos="284"/>
              </w:tabs>
              <w:overflowPunct w:val="0"/>
              <w:autoSpaceDE w:val="0"/>
              <w:autoSpaceDN w:val="0"/>
              <w:adjustRightInd w:val="0"/>
              <w:ind w:left="266" w:hanging="266"/>
              <w:textAlignment w:val="baseline"/>
            </w:pPr>
            <w:r>
              <w:t>EESC-2023-05464-00-00-AC</w:t>
            </w:r>
          </w:p>
        </w:tc>
      </w:tr>
    </w:tbl>
    <w:p w:rsidRPr="00A14846"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t>EESRK</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t>siūlo Komisijai atsižvelgti į ūkininkų, vežėjų ir veterinarijos specialistų praktines žinias įgyvendinti ir suderinti reglamentus;</w:t>
      </w:r>
    </w:p>
    <w:p w:rsidRPr="00A14846"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t xml:space="preserve">supranta, kad jeigu </w:t>
      </w:r>
      <w:r>
        <w:rPr>
          <w:b/>
        </w:rPr>
        <w:t>teisės aktų nebus galima pritaikyti</w:t>
      </w:r>
      <w:r>
        <w:t xml:space="preserve"> prie skirtingų 27 valstybių narių realijų, </w:t>
      </w:r>
      <w:r>
        <w:rPr>
          <w:b/>
        </w:rPr>
        <w:t>bus sudarytos sąlygos susiklostyti asimetriškoms situacijoms</w:t>
      </w:r>
      <w:r>
        <w:t>;</w:t>
      </w:r>
    </w:p>
    <w:p w:rsidRPr="00A1484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ragina Komisiją </w:t>
      </w:r>
      <w:r>
        <w:rPr>
          <w:b/>
        </w:rPr>
        <w:t>užtikrinti</w:t>
      </w:r>
      <w:r>
        <w:t xml:space="preserve">, kad su šio reglamento </w:t>
      </w:r>
      <w:r>
        <w:rPr>
          <w:b/>
        </w:rPr>
        <w:t xml:space="preserve">įgyvendinimu susijusių išlaidų netektų padengti </w:t>
      </w:r>
      <w:r>
        <w:t xml:space="preserve">šio sektoriaus </w:t>
      </w:r>
      <w:r>
        <w:rPr>
          <w:b/>
        </w:rPr>
        <w:t>subjektams</w:t>
      </w:r>
      <w:r>
        <w:t>;</w:t>
      </w:r>
    </w:p>
    <w:p w:rsidRPr="00A1484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t xml:space="preserve">atkreipia dėmesį į tai, kad siūlomo reglamento </w:t>
      </w:r>
      <w:r>
        <w:rPr>
          <w:b/>
        </w:rPr>
        <w:t>nuostatomis</w:t>
      </w:r>
      <w:r>
        <w:t xml:space="preserve"> </w:t>
      </w:r>
      <w:r>
        <w:rPr>
          <w:b/>
        </w:rPr>
        <w:t>ūkio subjektai</w:t>
      </w:r>
      <w:r>
        <w:t xml:space="preserve"> (ypač ūkininkai, vairuotojai ir veterinarijos gydytojai) </w:t>
      </w:r>
      <w:r>
        <w:rPr>
          <w:b/>
        </w:rPr>
        <w:t>įpareigojami dirbti naktinėmis pamainomis</w:t>
      </w:r>
      <w:r>
        <w:t>;</w:t>
      </w:r>
    </w:p>
    <w:p w:rsidRPr="00A1484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ragina Komisiją </w:t>
      </w:r>
      <w:r>
        <w:rPr>
          <w:b/>
        </w:rPr>
        <w:t>apsvarstyti, kokį poveikį</w:t>
      </w:r>
      <w:r>
        <w:t xml:space="preserve">, atsižvelgiant į dabartinius laiko apribojimus, </w:t>
      </w:r>
      <w:r>
        <w:rPr>
          <w:b/>
        </w:rPr>
        <w:t>šis pasiūlymas turės tiekimo grandinėms</w:t>
      </w:r>
      <w:r>
        <w:t>, kurios buvo kuriamos ir plečiamos daugelį metų;</w:t>
      </w:r>
    </w:p>
    <w:p w:rsidRPr="00A1484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t>įspėja dėl apribojimų skerstinus gyvūnus vežti į skerdyklas tik trumpomis, ne ilgesnės kaip devynių valandų kelionėmis, poveikio;</w:t>
      </w:r>
    </w:p>
    <w:p w:rsidRPr="00A1484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mano, kad dėl </w:t>
      </w:r>
      <w:r>
        <w:rPr>
          <w:b/>
        </w:rPr>
        <w:t>siūlomų</w:t>
      </w:r>
      <w:r>
        <w:t xml:space="preserve"> naujų </w:t>
      </w:r>
      <w:r>
        <w:rPr>
          <w:b/>
        </w:rPr>
        <w:t>techninių standartų</w:t>
      </w:r>
      <w:r>
        <w:t xml:space="preserve">, susijusių su sausumos gyvūnų tinkamumu vežti, </w:t>
      </w:r>
      <w:r>
        <w:rPr>
          <w:b/>
        </w:rPr>
        <w:t>gali būti uždaryta daug gyvulininkystės</w:t>
      </w:r>
      <w:r>
        <w:t xml:space="preserve"> </w:t>
      </w:r>
      <w:r>
        <w:rPr>
          <w:b/>
        </w:rPr>
        <w:t>ūkių</w:t>
      </w:r>
      <w:r>
        <w:t>;</w:t>
      </w:r>
    </w:p>
    <w:p w:rsidRPr="00A1484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mano, kad </w:t>
      </w:r>
      <w:r>
        <w:rPr>
          <w:b/>
        </w:rPr>
        <w:t>draudimas vežti nenujunkytus jaunus gyvūnus</w:t>
      </w:r>
      <w:r>
        <w:t xml:space="preserve">, pavyzdžiui, veršelius, ėriukus, ožiukus, paršelius ir kumeliukus, </w:t>
      </w:r>
      <w:r>
        <w:rPr>
          <w:b/>
        </w:rPr>
        <w:t>vykdant ilgas keliones keliais, daro didelį poveikį gyvūnų veislių importui</w:t>
      </w:r>
      <w:r>
        <w:t xml:space="preserve"> iš kitų Europos Sąjungos valstybių narių;</w:t>
      </w:r>
    </w:p>
    <w:p w:rsidRPr="00A1484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ragina Komisiją </w:t>
      </w:r>
      <w:r>
        <w:rPr>
          <w:b/>
        </w:rPr>
        <w:t>atsižvelgti į</w:t>
      </w:r>
      <w:r>
        <w:t xml:space="preserve"> kiekvienos valstybės narės </w:t>
      </w:r>
      <w:r>
        <w:rPr>
          <w:b/>
        </w:rPr>
        <w:t>klimato ypatumus</w:t>
      </w:r>
      <w:r>
        <w:t>, susijusius su pasiūlymo 31 straipsnio nuostatomis;</w:t>
      </w:r>
    </w:p>
    <w:p w:rsidRPr="00A1484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teigia, kad labai svarbu </w:t>
      </w:r>
      <w:r>
        <w:rPr>
          <w:b/>
        </w:rPr>
        <w:t>skatinti trumpas tiekimo grandines</w:t>
      </w:r>
      <w:r>
        <w:t>, nes tai yra veiksmingas sprendimas, kaip sumažinti ilgų kelionių poreikį sutrumpinant atstumą tarp auginimo, penėjimo, skerdimo ir vartojimo vietų;</w:t>
      </w:r>
    </w:p>
    <w:p w:rsidRPr="00A14846" w:rsidR="00A329C8" w:rsidP="00DC0FAE" w:rsidRDefault="00A329C8" w14:paraId="6A4C0035" w14:textId="77777777">
      <w:pPr>
        <w:numPr>
          <w:ilvl w:val="0"/>
          <w:numId w:val="22"/>
        </w:numPr>
        <w:overflowPunct w:val="0"/>
        <w:autoSpaceDE w:val="0"/>
        <w:autoSpaceDN w:val="0"/>
        <w:adjustRightInd w:val="0"/>
        <w:textAlignment w:val="baseline"/>
        <w:outlineLvl w:val="1"/>
      </w:pPr>
      <w:r>
        <w:t xml:space="preserve">remia iniciatyvas, kuriomis propaguojamos sanitarinės, ekonominės ir teisinės priemonės, </w:t>
      </w:r>
      <w:r>
        <w:rPr>
          <w:b/>
        </w:rPr>
        <w:t>skirtos vietos skerdykloms išsaugoti, ir skatinamas skerdimas ūkyje</w:t>
      </w:r>
      <w:r>
        <w:t>, jei tai atitinka ūkio mastą ir vietos sąlygas.</w:t>
      </w:r>
    </w:p>
    <w:p w:rsidRPr="00A1484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FE3058" w:rsidRDefault="00A329C8" w14:paraId="1AAB3B0A" w14:textId="77777777">
            <w:pPr>
              <w:overflowPunct w:val="0"/>
              <w:autoSpaceDE w:val="0"/>
              <w:autoSpaceDN w:val="0"/>
              <w:adjustRightInd w:val="0"/>
              <w:spacing w:line="240" w:lineRule="auto"/>
              <w:textAlignment w:val="baseline"/>
              <w:rPr>
                <w:i/>
              </w:rPr>
            </w:pPr>
            <w:r>
              <w:rPr>
                <w:b/>
                <w:i/>
              </w:rPr>
              <w:t xml:space="preserve">Kontaktinis asmuo </w:t>
            </w:r>
          </w:p>
        </w:tc>
        <w:tc>
          <w:tcPr>
            <w:tcW w:w="4252" w:type="dxa"/>
          </w:tcPr>
          <w:p w:rsidRPr="00A14846" w:rsidR="00A329C8" w:rsidP="00FE3058" w:rsidRDefault="00A329C8" w14:paraId="3604A495" w14:textId="158CA49A">
            <w:pPr>
              <w:overflowPunct w:val="0"/>
              <w:autoSpaceDE w:val="0"/>
              <w:autoSpaceDN w:val="0"/>
              <w:adjustRightInd w:val="0"/>
              <w:spacing w:line="240" w:lineRule="auto"/>
              <w:textAlignment w:val="baseline"/>
              <w:rPr>
                <w:i/>
              </w:rPr>
            </w:pPr>
            <w:r>
              <w:rPr>
                <w:i/>
              </w:rPr>
              <w:t xml:space="preserve">Arturo </w:t>
            </w:r>
            <w:proofErr w:type="spellStart"/>
            <w:r>
              <w:rPr>
                <w:i/>
              </w:rPr>
              <w:t>Íñiguez</w:t>
            </w:r>
            <w:proofErr w:type="spellEnd"/>
          </w:p>
        </w:tc>
      </w:tr>
      <w:tr w:rsidRPr="00A14846" w:rsidR="00A329C8" w:rsidTr="00FE3058" w14:paraId="54FCBA8B" w14:textId="77777777">
        <w:tc>
          <w:tcPr>
            <w:tcW w:w="2127" w:type="dxa"/>
          </w:tcPr>
          <w:p w:rsidRPr="00A14846" w:rsidR="00A329C8" w:rsidP="00FE3058" w:rsidRDefault="00A329C8" w14:paraId="62D7636F" w14:textId="77777777">
            <w:pPr>
              <w:overflowPunct w:val="0"/>
              <w:autoSpaceDE w:val="0"/>
              <w:autoSpaceDN w:val="0"/>
              <w:adjustRightInd w:val="0"/>
              <w:spacing w:line="240" w:lineRule="auto"/>
              <w:textAlignment w:val="baseline"/>
              <w:rPr>
                <w:i/>
              </w:rPr>
            </w:pPr>
            <w:r>
              <w:rPr>
                <w:i/>
              </w:rPr>
              <w:t>Tel.</w:t>
            </w:r>
          </w:p>
        </w:tc>
        <w:tc>
          <w:tcPr>
            <w:tcW w:w="4252" w:type="dxa"/>
          </w:tcPr>
          <w:p w:rsidRPr="00A14846" w:rsidR="00A329C8" w:rsidP="00FE3058" w:rsidRDefault="00A329C8" w14:paraId="7C0E8B23" w14:textId="77777777">
            <w:pPr>
              <w:overflowPunct w:val="0"/>
              <w:autoSpaceDE w:val="0"/>
              <w:autoSpaceDN w:val="0"/>
              <w:adjustRightInd w:val="0"/>
              <w:spacing w:line="240" w:lineRule="auto"/>
              <w:textAlignment w:val="baseline"/>
              <w:rPr>
                <w:i/>
              </w:rPr>
            </w:pPr>
            <w:r>
              <w:rPr>
                <w:i/>
              </w:rPr>
              <w:t>+32 25468768</w:t>
            </w:r>
          </w:p>
        </w:tc>
      </w:tr>
      <w:tr w:rsidRPr="00A14846" w:rsidR="00A329C8" w:rsidTr="00FE3058" w14:paraId="485043FF" w14:textId="77777777">
        <w:tc>
          <w:tcPr>
            <w:tcW w:w="2127" w:type="dxa"/>
          </w:tcPr>
          <w:p w:rsidRPr="00A14846" w:rsidR="00A329C8" w:rsidP="00FE3058" w:rsidRDefault="00D704BD" w14:paraId="7E8D5802" w14:textId="61A5A309">
            <w:pPr>
              <w:overflowPunct w:val="0"/>
              <w:autoSpaceDE w:val="0"/>
              <w:autoSpaceDN w:val="0"/>
              <w:adjustRightInd w:val="0"/>
              <w:spacing w:line="240" w:lineRule="auto"/>
              <w:textAlignment w:val="baseline"/>
              <w:rPr>
                <w:i/>
              </w:rPr>
            </w:pPr>
            <w:r>
              <w:rPr>
                <w:i/>
              </w:rPr>
              <w:t>E. paštas</w:t>
            </w:r>
          </w:p>
        </w:tc>
        <w:tc>
          <w:tcPr>
            <w:tcW w:w="4252" w:type="dxa"/>
          </w:tcPr>
          <w:p w:rsidRPr="00A14846" w:rsidR="00A329C8" w:rsidP="00FE3058" w:rsidRDefault="000339E9" w14:paraId="0F764C0D" w14:textId="77777777">
            <w:pPr>
              <w:overflowPunct w:val="0"/>
              <w:autoSpaceDE w:val="0"/>
              <w:autoSpaceDN w:val="0"/>
              <w:adjustRightInd w:val="0"/>
              <w:spacing w:line="240" w:lineRule="auto"/>
              <w:textAlignment w:val="baseline"/>
              <w:rPr>
                <w:i/>
                <w:iCs/>
              </w:rPr>
            </w:pPr>
            <w:hyperlink w:history="1" r:id="rId33">
              <w:r w:rsidR="00851457">
                <w:rPr>
                  <w:i/>
                  <w:color w:val="0000FF"/>
                  <w:u w:val="single"/>
                </w:rPr>
                <w:t>Arturo.Iniguez@eesc.europa.eu</w:t>
              </w:r>
            </w:hyperlink>
          </w:p>
        </w:tc>
      </w:tr>
    </w:tbl>
    <w:p w:rsidR="00A329C8" w:rsidP="00A329C8" w:rsidRDefault="00A329C8" w14:paraId="4A4D6D18" w14:textId="77777777">
      <w:pPr>
        <w:spacing w:after="160" w:line="259" w:lineRule="auto"/>
        <w:jc w:val="left"/>
        <w:rPr>
          <w:b/>
          <w:bCs/>
        </w:rPr>
      </w:pPr>
    </w:p>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871752" w:id="5"/>
      <w:bookmarkEnd w:id="4"/>
      <w:r>
        <w:rPr>
          <w:b/>
        </w:rPr>
        <w:lastRenderedPageBreak/>
        <w:t>TRANSPORTO, ENERGETIKOS, INFRASTRUKTŪROS IR INFORMACINĖS VISUOMENĖS SKYRIUS</w:t>
      </w:r>
      <w:bookmarkEnd w:id="5"/>
    </w:p>
    <w:p w:rsidR="005C28F2" w:rsidP="00895853" w:rsidRDefault="005C28F2" w14:paraId="089CB383" w14:textId="77777777"/>
    <w:p w:rsidR="00EC48BE" w:rsidP="00895853" w:rsidRDefault="00EC48BE" w14:paraId="2F9D2873" w14:textId="2ADBE64F"/>
    <w:p w:rsidRPr="00EC48BE" w:rsidR="00EC48BE" w:rsidP="00C26C81" w:rsidRDefault="000339E9"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851457">
          <w:rPr>
            <w:b/>
            <w:i/>
            <w:color w:val="0000FF"/>
            <w:sz w:val="28"/>
            <w:u w:val="single"/>
          </w:rPr>
          <w:t>Europos kovos su vėžiu planas. Medicininių radioaktyviųjų izotopų tiekimo saugumo užtikrinimo veiksniai</w:t>
        </w:r>
      </w:hyperlink>
    </w:p>
    <w:p w:rsidRPr="00EC48BE"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840"/>
      </w:tblGrid>
      <w:tr w:rsidRPr="00EC48BE" w:rsidR="00EC48BE" w:rsidTr="00DC0FAE" w14:paraId="5D69D1D6" w14:textId="77777777">
        <w:tc>
          <w:tcPr>
            <w:tcW w:w="1276" w:type="pct"/>
          </w:tcPr>
          <w:p w:rsidRPr="00EC48BE"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Pr>
                <w:b/>
              </w:rPr>
              <w:t>Pranešėja</w:t>
            </w:r>
          </w:p>
        </w:tc>
        <w:tc>
          <w:tcPr>
            <w:tcW w:w="3724" w:type="pct"/>
          </w:tcPr>
          <w:p w:rsidRPr="00EC48BE" w:rsidR="00EC48BE" w:rsidP="00EC48BE" w:rsidRDefault="00EC48BE" w14:paraId="1337C413" w14:textId="6D802AE6">
            <w:pPr>
              <w:tabs>
                <w:tab w:val="center" w:pos="284"/>
              </w:tabs>
              <w:overflowPunct w:val="0"/>
              <w:autoSpaceDE w:val="0"/>
              <w:autoSpaceDN w:val="0"/>
              <w:adjustRightInd w:val="0"/>
              <w:ind w:left="266" w:hanging="266"/>
              <w:textAlignment w:val="baseline"/>
            </w:pPr>
            <w:proofErr w:type="spellStart"/>
            <w:r>
              <w:t>Alena</w:t>
            </w:r>
            <w:proofErr w:type="spellEnd"/>
            <w:r>
              <w:t xml:space="preserve"> </w:t>
            </w:r>
            <w:proofErr w:type="spellStart"/>
            <w:r>
              <w:t>Mastantuono</w:t>
            </w:r>
            <w:proofErr w:type="spellEnd"/>
            <w:r>
              <w:t xml:space="preserve"> (Darbdavių </w:t>
            </w:r>
            <w:proofErr w:type="spellStart"/>
            <w:r>
              <w:t>gr</w:t>
            </w:r>
            <w:proofErr w:type="spellEnd"/>
            <w:r>
              <w:t>., CZ)</w:t>
            </w:r>
          </w:p>
        </w:tc>
      </w:tr>
      <w:tr w:rsidRPr="00EC48BE" w:rsidR="00EC48BE" w:rsidTr="00DC0FAE" w14:paraId="63F1C4BD" w14:textId="77777777">
        <w:tc>
          <w:tcPr>
            <w:tcW w:w="1276" w:type="pct"/>
          </w:tcPr>
          <w:p w:rsidRPr="00EC48BE"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724" w:type="pct"/>
          </w:tcPr>
          <w:p w:rsidRPr="00EC48BE" w:rsidR="00EC48BE" w:rsidP="00EC48BE" w:rsidRDefault="00EC48BE" w14:paraId="0C599690" w14:textId="764AA96C">
            <w:pPr>
              <w:tabs>
                <w:tab w:val="center" w:pos="284"/>
              </w:tabs>
              <w:overflowPunct w:val="0"/>
              <w:autoSpaceDE w:val="0"/>
              <w:autoSpaceDN w:val="0"/>
              <w:adjustRightInd w:val="0"/>
              <w:ind w:left="266" w:hanging="266"/>
              <w:textAlignment w:val="baseline"/>
            </w:pPr>
            <w:proofErr w:type="spellStart"/>
            <w:r>
              <w:t>Philippe</w:t>
            </w:r>
            <w:proofErr w:type="spellEnd"/>
            <w:r>
              <w:t xml:space="preserve"> </w:t>
            </w:r>
            <w:proofErr w:type="spellStart"/>
            <w:r>
              <w:t>Charry</w:t>
            </w:r>
            <w:proofErr w:type="spellEnd"/>
            <w:r>
              <w:t xml:space="preserve"> (Darbuotojų grupė, FR)</w:t>
            </w:r>
          </w:p>
        </w:tc>
      </w:tr>
      <w:tr w:rsidRPr="00EC48BE" w:rsidR="00EC48BE" w:rsidTr="00DC0FAE" w14:paraId="498B3001" w14:textId="77777777">
        <w:tc>
          <w:tcPr>
            <w:tcW w:w="5000" w:type="pct"/>
            <w:gridSpan w:val="2"/>
          </w:tcPr>
          <w:p w:rsidRPr="00EC48BE"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EC48BE" w:rsidR="00EC48BE" w:rsidTr="00DC0FAE" w14:paraId="3524C066" w14:textId="77777777">
        <w:tc>
          <w:tcPr>
            <w:tcW w:w="1276" w:type="pct"/>
            <w:vMerge w:val="restart"/>
          </w:tcPr>
          <w:p w:rsidRPr="00EC48BE"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Pr>
                <w:b/>
              </w:rPr>
              <w:t>Nuoroda</w:t>
            </w:r>
          </w:p>
        </w:tc>
        <w:tc>
          <w:tcPr>
            <w:tcW w:w="3724" w:type="pct"/>
          </w:tcPr>
          <w:p w:rsidR="00802E2B" w:rsidP="00EC48BE" w:rsidRDefault="00802E2B" w14:paraId="3EA8129C" w14:textId="253FD17D">
            <w:pPr>
              <w:tabs>
                <w:tab w:val="center" w:pos="284"/>
              </w:tabs>
              <w:overflowPunct w:val="0"/>
              <w:autoSpaceDE w:val="0"/>
              <w:autoSpaceDN w:val="0"/>
              <w:adjustRightInd w:val="0"/>
              <w:ind w:left="266" w:hanging="266"/>
              <w:textAlignment w:val="baseline"/>
            </w:pPr>
            <w:r>
              <w:t>Nuomonė savo iniciatyva</w:t>
            </w:r>
          </w:p>
          <w:p w:rsidRPr="00EC48BE" w:rsidR="00EC48BE" w:rsidP="00EC48BE" w:rsidRDefault="00EC48BE" w14:paraId="30BF4772" w14:textId="5A3BAEA7">
            <w:pPr>
              <w:tabs>
                <w:tab w:val="center" w:pos="284"/>
              </w:tabs>
              <w:overflowPunct w:val="0"/>
              <w:autoSpaceDE w:val="0"/>
              <w:autoSpaceDN w:val="0"/>
              <w:adjustRightInd w:val="0"/>
              <w:ind w:left="266" w:hanging="266"/>
              <w:textAlignment w:val="baseline"/>
            </w:pPr>
            <w:r>
              <w:t>EESC-2024-00265-00-00-AC</w:t>
            </w:r>
          </w:p>
        </w:tc>
      </w:tr>
      <w:tr w:rsidRPr="00EC48BE" w:rsidR="00EC48BE" w:rsidTr="00DC0FAE" w14:paraId="2F6C577F" w14:textId="77777777">
        <w:tc>
          <w:tcPr>
            <w:tcW w:w="1276" w:type="pct"/>
            <w:vMerge/>
          </w:tcPr>
          <w:p w:rsidRPr="00EC48BE"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EC48BE"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C48BE"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EC48BE" w:rsidRDefault="00EC48BE" w14:paraId="1FF2E76F" w14:textId="77777777">
      <w:pPr>
        <w:overflowPunct w:val="0"/>
        <w:autoSpaceDE w:val="0"/>
        <w:autoSpaceDN w:val="0"/>
        <w:adjustRightInd w:val="0"/>
        <w:textAlignment w:val="baseline"/>
        <w:rPr>
          <w:bCs/>
          <w:iCs/>
        </w:rPr>
      </w:pPr>
      <w:r>
        <w:t>EESRK</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t>pabrėžia, kad branduolinė medicina išgelbėja milijonus gyvybių ir kovoje su vėžiu į ją dedamos didžiulės viltys. Komitetas pabrėžia, kad būtina reaguoti į pacientų poreikius Europoje ir užtikrinti, kad visi pacientai turėtų vienodas vėžio gydymo;</w:t>
      </w:r>
    </w:p>
    <w:p w:rsidRPr="00EC48BE"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t xml:space="preserve">Europoje 10 mln. intervencijų per metus atliekama naudojant </w:t>
      </w:r>
      <w:proofErr w:type="spellStart"/>
      <w:r>
        <w:t>radiofarmacinius</w:t>
      </w:r>
      <w:proofErr w:type="spellEnd"/>
      <w:r>
        <w:t xml:space="preserve"> preparatus diagnozavimui ir terapijai. Pirmenybė turėtų būti teikiama tikslinei </w:t>
      </w:r>
      <w:proofErr w:type="spellStart"/>
      <w:r>
        <w:t>radionuklidinei</w:t>
      </w:r>
      <w:proofErr w:type="spellEnd"/>
      <w:r>
        <w:t xml:space="preserve"> terapijai, kuri yra tiksli ir dažnai mažiau žalinga nei kiti gydymo būdai;</w:t>
      </w:r>
    </w:p>
    <w:p w:rsidRPr="00EC48BE" w:rsidR="00EC48BE" w:rsidP="00DC0FA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t>ragina sukurti gamybos paskatas, kurios užtikrintų didesnį strateginį radioaktyviųjų izotopų tiekimo savarankiškumą. Europa yra pirmoji radioaktyviųjų izotopų tiekėja medicinos sektoriui. Tačiau kartu Europa yra labai priklausoma nuo trečiųjų šalių dėl tam tikrų pagrindinių žaliavų ir specifinių perdirbimo procesų. Todėl Komitetas ragina Ypatingos svarbos vaistų aljansą atidžiai stebėti radioaktyviųjų izotopų tiekimą Europoje ir remti pramonės konkurencingumo šiame sektoriuje stiprinimą;</w:t>
      </w:r>
    </w:p>
    <w:p w:rsidRPr="00EC48BE"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prašo užtikrinti, kad visoje tiekimo grandinėje būtų laikomasi darbuotojų saugos ir saugumo priemonių ir ragina skubiai investuoti į šiame sektoriuje reikalingų žmogiškųjų išteklių planavimą, švietimą ir mokymą bei darbuotojų judumą.</w:t>
      </w:r>
    </w:p>
    <w:p w:rsidRPr="00EC48BE" w:rsidR="00EC48BE" w:rsidP="00EC48BE" w:rsidRDefault="00EC48BE" w14:paraId="387BEC6B" w14:textId="77777777">
      <w:pPr>
        <w:widowControl w:val="0"/>
        <w:overflowPunct w:val="0"/>
        <w:autoSpaceDE w:val="0"/>
        <w:autoSpaceDN w:val="0"/>
        <w:adjustRightInd w:val="0"/>
        <w:ind w:left="709"/>
        <w:textAlignment w:val="baseline"/>
      </w:pP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Pr>
                <w:i/>
              </w:rPr>
              <w:t>Tel.</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Pr>
                <w:i/>
              </w:rPr>
              <w:t>E. paštas</w:t>
            </w:r>
          </w:p>
        </w:tc>
        <w:tc>
          <w:tcPr>
            <w:tcW w:w="3444" w:type="pct"/>
          </w:tcPr>
          <w:p w:rsidRPr="00EC48BE" w:rsidR="00EC48BE" w:rsidP="00EC48BE" w:rsidRDefault="000339E9" w14:paraId="50EB0CCC" w14:textId="77777777">
            <w:pPr>
              <w:overflowPunct w:val="0"/>
              <w:autoSpaceDE w:val="0"/>
              <w:autoSpaceDN w:val="0"/>
              <w:adjustRightInd w:val="0"/>
              <w:spacing w:line="240" w:lineRule="auto"/>
              <w:textAlignment w:val="baseline"/>
              <w:rPr>
                <w:i/>
              </w:rPr>
            </w:pPr>
            <w:hyperlink w:history="1" r:id="rId35">
              <w:r w:rsidR="00851457">
                <w:rPr>
                  <w:i/>
                  <w:color w:val="0000FF"/>
                  <w:u w:val="single"/>
                </w:rPr>
                <w:t>Maja.Radman@eesc.europa.eu</w:t>
              </w:r>
            </w:hyperlink>
            <w:r w:rsidR="00851457">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871753" w:id="7"/>
      <w:bookmarkEnd w:id="6"/>
      <w:r>
        <w:rPr>
          <w:b/>
        </w:rPr>
        <w:lastRenderedPageBreak/>
        <w:t>PRAMONĖS PERMAINŲ KONSULTACINĖ KOMISIJA</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B612CA" w:rsidR="00B612CA" w:rsidP="00C26C81" w:rsidRDefault="000339E9"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6">
        <w:r w:rsidR="00851457">
          <w:rPr>
            <w:b/>
            <w:i/>
            <w:color w:val="0000FF"/>
            <w:sz w:val="28"/>
            <w:u w:val="single"/>
          </w:rPr>
          <w:t>Europos gynybos pramonės programa</w:t>
        </w:r>
      </w:hyperlink>
    </w:p>
    <w:p w:rsidRPr="00B612CA"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B612CA" w:rsidR="00B612CA" w:rsidTr="00FE3058" w14:paraId="18CAAF03" w14:textId="77777777">
        <w:tc>
          <w:tcPr>
            <w:tcW w:w="1258" w:type="pct"/>
          </w:tcPr>
          <w:p w:rsidRPr="00DC0FAE" w:rsidR="00B612CA" w:rsidP="00DC0FAE" w:rsidRDefault="00B612CA" w14:paraId="7DF9E2A6" w14:textId="77777777">
            <w:pPr>
              <w:tabs>
                <w:tab w:val="center" w:pos="284"/>
              </w:tabs>
              <w:spacing w:line="259" w:lineRule="auto"/>
              <w:ind w:left="266" w:hanging="266"/>
              <w:jc w:val="left"/>
              <w:rPr>
                <w:rFonts w:eastAsiaTheme="minorHAnsi"/>
                <w:b/>
                <w:szCs w:val="24"/>
              </w:rPr>
            </w:pPr>
            <w:r>
              <w:rPr>
                <w:b/>
              </w:rPr>
              <w:t>Pranešėjas</w:t>
            </w:r>
          </w:p>
        </w:tc>
        <w:tc>
          <w:tcPr>
            <w:tcW w:w="3742" w:type="pct"/>
          </w:tcPr>
          <w:p w:rsidRPr="00DC0FAE" w:rsidR="00B612CA" w:rsidP="00DC0FAE" w:rsidRDefault="00B612CA" w14:paraId="7678F137" w14:textId="77777777">
            <w:pPr>
              <w:tabs>
                <w:tab w:val="center" w:pos="33"/>
              </w:tabs>
              <w:spacing w:line="259" w:lineRule="auto"/>
              <w:ind w:left="33" w:hanging="33"/>
              <w:jc w:val="left"/>
              <w:rPr>
                <w:rFonts w:eastAsiaTheme="minorHAnsi"/>
                <w:szCs w:val="24"/>
              </w:rPr>
            </w:pPr>
            <w:proofErr w:type="spellStart"/>
            <w:r>
              <w:t>Tomasz</w:t>
            </w:r>
            <w:proofErr w:type="spellEnd"/>
            <w:r>
              <w:t xml:space="preserve"> </w:t>
            </w:r>
            <w:proofErr w:type="spellStart"/>
            <w:r>
              <w:t>Andrzej</w:t>
            </w:r>
            <w:proofErr w:type="spellEnd"/>
            <w:r>
              <w:t xml:space="preserve"> </w:t>
            </w:r>
            <w:proofErr w:type="spellStart"/>
            <w:r>
              <w:t>Wróblewski</w:t>
            </w:r>
            <w:proofErr w:type="spellEnd"/>
            <w:r>
              <w:t xml:space="preserve"> (Darbdavių grupė, PL)</w:t>
            </w:r>
          </w:p>
        </w:tc>
      </w:tr>
      <w:tr w:rsidRPr="00B612CA" w:rsidR="00B612CA" w:rsidTr="00FE3058" w14:paraId="02CD892C" w14:textId="77777777">
        <w:tc>
          <w:tcPr>
            <w:tcW w:w="1258" w:type="pct"/>
          </w:tcPr>
          <w:p w:rsidRPr="00DC0FAE" w:rsidR="00B612CA" w:rsidP="00DC0FAE" w:rsidRDefault="00B612CA" w14:paraId="32A8CC73" w14:textId="77777777">
            <w:pPr>
              <w:tabs>
                <w:tab w:val="center" w:pos="284"/>
              </w:tabs>
              <w:spacing w:line="259" w:lineRule="auto"/>
              <w:ind w:left="266" w:hanging="266"/>
              <w:jc w:val="left"/>
              <w:rPr>
                <w:rFonts w:eastAsiaTheme="minorHAnsi"/>
                <w:b/>
                <w:szCs w:val="24"/>
              </w:rPr>
            </w:pPr>
            <w:proofErr w:type="spellStart"/>
            <w:r>
              <w:rPr>
                <w:b/>
              </w:rPr>
              <w:t>Bendrapranešėjis</w:t>
            </w:r>
            <w:proofErr w:type="spellEnd"/>
          </w:p>
        </w:tc>
        <w:tc>
          <w:tcPr>
            <w:tcW w:w="3742" w:type="pct"/>
          </w:tcPr>
          <w:p w:rsidRPr="00DC0FAE" w:rsidR="00B612CA" w:rsidP="00DC0FAE" w:rsidRDefault="00B612CA" w14:paraId="10B820C3" w14:textId="4AB00E12">
            <w:pPr>
              <w:tabs>
                <w:tab w:val="center" w:pos="284"/>
              </w:tabs>
              <w:spacing w:line="259" w:lineRule="auto"/>
              <w:ind w:left="266" w:hanging="266"/>
              <w:jc w:val="left"/>
              <w:rPr>
                <w:rFonts w:eastAsiaTheme="minorHAnsi"/>
                <w:szCs w:val="24"/>
              </w:rPr>
            </w:pPr>
            <w:proofErr w:type="spellStart"/>
            <w:r>
              <w:t>Franck</w:t>
            </w:r>
            <w:proofErr w:type="spellEnd"/>
            <w:r>
              <w:t xml:space="preserve"> </w:t>
            </w:r>
            <w:proofErr w:type="spellStart"/>
            <w:r>
              <w:t>Uhlig</w:t>
            </w:r>
            <w:proofErr w:type="spellEnd"/>
            <w:r>
              <w:t xml:space="preserve"> (2 kat., FR)</w:t>
            </w:r>
          </w:p>
        </w:tc>
      </w:tr>
      <w:tr w:rsidRPr="00B612CA" w:rsidR="00B612CA" w:rsidTr="00FE3058" w14:paraId="77B12610" w14:textId="77777777">
        <w:tc>
          <w:tcPr>
            <w:tcW w:w="5000" w:type="pct"/>
            <w:gridSpan w:val="2"/>
          </w:tcPr>
          <w:p w:rsidRPr="00DC0FAE"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B612CA" w:rsidR="00B612CA" w:rsidTr="00FE3058" w14:paraId="366D3A3A" w14:textId="77777777">
        <w:tc>
          <w:tcPr>
            <w:tcW w:w="1258" w:type="pct"/>
            <w:vMerge w:val="restart"/>
          </w:tcPr>
          <w:p w:rsidRPr="00DC0FAE" w:rsidR="00B612CA" w:rsidP="00DC0FAE" w:rsidRDefault="00B612CA" w14:paraId="620E2FAB" w14:textId="77777777">
            <w:pPr>
              <w:tabs>
                <w:tab w:val="center" w:pos="284"/>
              </w:tabs>
              <w:spacing w:line="259" w:lineRule="auto"/>
              <w:ind w:left="266" w:hanging="266"/>
              <w:jc w:val="left"/>
              <w:rPr>
                <w:rFonts w:eastAsiaTheme="minorHAnsi"/>
                <w:b/>
                <w:szCs w:val="24"/>
              </w:rPr>
            </w:pPr>
            <w:r>
              <w:rPr>
                <w:b/>
              </w:rPr>
              <w:t>Nuorodos</w:t>
            </w:r>
          </w:p>
        </w:tc>
        <w:tc>
          <w:tcPr>
            <w:tcW w:w="3742" w:type="pct"/>
          </w:tcPr>
          <w:p w:rsidRPr="00DC0FAE" w:rsidR="00B612CA" w:rsidP="00DC0FAE" w:rsidRDefault="00B612CA" w14:paraId="554796B3" w14:textId="77777777">
            <w:pPr>
              <w:tabs>
                <w:tab w:val="center" w:pos="284"/>
              </w:tabs>
              <w:spacing w:line="259" w:lineRule="auto"/>
              <w:ind w:left="266" w:hanging="266"/>
              <w:jc w:val="left"/>
              <w:rPr>
                <w:rFonts w:eastAsiaTheme="minorHAnsi"/>
                <w:szCs w:val="24"/>
              </w:rPr>
            </w:pPr>
            <w:r>
              <w:t xml:space="preserve">COM(2024) 150 </w:t>
            </w:r>
            <w:proofErr w:type="spellStart"/>
            <w:r>
              <w:t>final</w:t>
            </w:r>
            <w:proofErr w:type="spellEnd"/>
          </w:p>
        </w:tc>
      </w:tr>
      <w:tr w:rsidRPr="00B612CA" w:rsidR="00B612CA" w:rsidTr="00FE3058" w14:paraId="10E2BB82" w14:textId="77777777">
        <w:tc>
          <w:tcPr>
            <w:tcW w:w="1258" w:type="pct"/>
            <w:vMerge/>
          </w:tcPr>
          <w:p w:rsidRPr="00DC0FAE"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DC0FAE" w:rsidR="00B612CA" w:rsidP="00DC0FAE" w:rsidRDefault="00B612CA" w14:paraId="4A35E6C4" w14:textId="77777777">
            <w:pPr>
              <w:tabs>
                <w:tab w:val="center" w:pos="284"/>
              </w:tabs>
              <w:spacing w:line="259" w:lineRule="auto"/>
              <w:ind w:left="266" w:hanging="266"/>
              <w:jc w:val="left"/>
              <w:rPr>
                <w:rFonts w:eastAsiaTheme="minorHAnsi"/>
                <w:szCs w:val="24"/>
              </w:rPr>
            </w:pPr>
            <w:r>
              <w:t>EESC-2024-00813-00-00-AC</w:t>
            </w:r>
          </w:p>
        </w:tc>
      </w:tr>
    </w:tbl>
    <w:p w:rsidRPr="00B612CA"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B612CA" w:rsidRDefault="00B612CA" w14:paraId="66AF4059" w14:textId="103542FE">
      <w:pPr>
        <w:keepNext/>
        <w:keepLines/>
        <w:spacing w:after="160" w:line="259" w:lineRule="auto"/>
        <w:ind w:left="142" w:hanging="142"/>
        <w:jc w:val="left"/>
        <w:rPr>
          <w:rFonts w:eastAsiaTheme="minorHAnsi"/>
          <w:b/>
        </w:rPr>
      </w:pPr>
      <w:r>
        <w:rPr>
          <w:b/>
        </w:rPr>
        <w:t>Dokumento esmė</w:t>
      </w:r>
    </w:p>
    <w:p w:rsidRPr="00B612CA" w:rsidR="007724A0" w:rsidP="00B612CA" w:rsidRDefault="007724A0" w14:paraId="6657CF81" w14:textId="77777777">
      <w:pPr>
        <w:keepNext/>
        <w:keepLines/>
        <w:spacing w:after="160" w:line="259" w:lineRule="auto"/>
        <w:ind w:left="142" w:hanging="142"/>
        <w:jc w:val="left"/>
        <w:rPr>
          <w:rFonts w:eastAsiaTheme="minorHAnsi"/>
          <w:b/>
          <w:lang w:val="en-US"/>
        </w:rPr>
      </w:pPr>
    </w:p>
    <w:p w:rsidR="00B612CA" w:rsidP="00DC0FAE" w:rsidRDefault="00B612CA" w14:paraId="6C447796" w14:textId="188E9CB3">
      <w:pPr>
        <w:spacing w:after="160" w:line="259" w:lineRule="auto"/>
        <w:ind w:left="142" w:hanging="142"/>
        <w:jc w:val="left"/>
        <w:rPr>
          <w:rFonts w:eastAsiaTheme="minorHAnsi"/>
        </w:rPr>
      </w:pPr>
      <w:r>
        <w:t>EESRK</w:t>
      </w:r>
    </w:p>
    <w:p w:rsidRPr="00B612CA" w:rsidR="00B612CA" w:rsidP="00DC0FAE" w:rsidRDefault="00B612CA" w14:paraId="19ACACDB" w14:textId="77777777">
      <w:pPr>
        <w:numPr>
          <w:ilvl w:val="0"/>
          <w:numId w:val="24"/>
        </w:numPr>
        <w:spacing w:after="160" w:line="259" w:lineRule="auto"/>
        <w:ind w:left="284" w:hanging="284"/>
        <w:contextualSpacing/>
        <w:rPr>
          <w:rFonts w:eastAsiaTheme="minorHAnsi"/>
        </w:rPr>
      </w:pPr>
      <w:r>
        <w:t xml:space="preserve">rekomenduoja Europos Komisijai </w:t>
      </w:r>
      <w:r>
        <w:rPr>
          <w:b/>
        </w:rPr>
        <w:t>aktyviai komunikuoti su Europos piliečiais ir juos plačiai informuoti apie bendro gynybos finansavimo problemas</w:t>
      </w:r>
      <w:r>
        <w:t xml:space="preserve"> dabartinėmis geopolitinėmis aplinkybėmis, siekiant stiprinti bendrą saugumą ir toliau Europos integraciją grįsti taikos ir solidarumo projektu;</w:t>
      </w:r>
    </w:p>
    <w:p w:rsidRPr="00B612CA" w:rsidR="00B612CA" w:rsidP="00DC0FAE" w:rsidRDefault="00B612CA" w14:paraId="10700EAD" w14:textId="77777777">
      <w:pPr>
        <w:numPr>
          <w:ilvl w:val="0"/>
          <w:numId w:val="24"/>
        </w:numPr>
        <w:spacing w:after="160" w:line="259" w:lineRule="auto"/>
        <w:ind w:left="284" w:hanging="284"/>
        <w:contextualSpacing/>
        <w:rPr>
          <w:rFonts w:eastAsiaTheme="minorHAnsi"/>
        </w:rPr>
      </w:pPr>
      <w:r>
        <w:t xml:space="preserve">prašo vidutinės trukmės laikotarpiu </w:t>
      </w:r>
      <w:r>
        <w:rPr>
          <w:b/>
        </w:rPr>
        <w:t>padidinti dabartinį ribotą finansavimą (1,5 mlrd. EUR)</w:t>
      </w:r>
      <w:r>
        <w:t>;</w:t>
      </w:r>
    </w:p>
    <w:p w:rsidRPr="00B612CA" w:rsidR="00B612CA" w:rsidP="00DC0FAE" w:rsidRDefault="00B612CA" w14:paraId="35EFB068" w14:textId="77777777">
      <w:pPr>
        <w:numPr>
          <w:ilvl w:val="0"/>
          <w:numId w:val="24"/>
        </w:numPr>
        <w:spacing w:after="160" w:line="259" w:lineRule="auto"/>
        <w:ind w:left="284" w:hanging="284"/>
        <w:contextualSpacing/>
        <w:rPr>
          <w:rFonts w:eastAsiaTheme="minorHAnsi"/>
        </w:rPr>
      </w:pPr>
      <w:r>
        <w:t>pabrėžia, kad Europos gynybos pramonės programa (EGPP) būtina ne tik reaguoti į neatidėliotinus Ukrainos poreikius, bet ir skatinti</w:t>
      </w:r>
      <w:r>
        <w:rPr>
          <w:b/>
        </w:rPr>
        <w:t xml:space="preserve"> Europos požiūrio į gynybą</w:t>
      </w:r>
      <w:r>
        <w:t xml:space="preserve"> ir su ja susijusios Europos gynybos technologinės ir pramoninės bazės (EGTPB</w:t>
      </w:r>
      <w:r>
        <w:rPr>
          <w:b/>
        </w:rPr>
        <w:t>) struktūrinę raidą</w:t>
      </w:r>
      <w:r>
        <w:t>;</w:t>
      </w:r>
    </w:p>
    <w:p w:rsidRPr="00B612CA" w:rsidR="00B612CA" w:rsidP="00DC0FAE" w:rsidRDefault="00B612CA" w14:paraId="474F4A0A" w14:textId="77777777">
      <w:pPr>
        <w:numPr>
          <w:ilvl w:val="0"/>
          <w:numId w:val="24"/>
        </w:numPr>
        <w:spacing w:after="160" w:line="259" w:lineRule="auto"/>
        <w:ind w:left="284" w:hanging="284"/>
        <w:contextualSpacing/>
        <w:rPr>
          <w:rFonts w:eastAsiaTheme="minorHAnsi"/>
        </w:rPr>
      </w:pPr>
      <w:r>
        <w:t xml:space="preserve">rekomenduoja, kad Europos Parlamentas, valstybės narės, viešasis ir privatus finansų sektoriai bei Europos Komisija parengtų </w:t>
      </w:r>
      <w:r>
        <w:rPr>
          <w:b/>
        </w:rPr>
        <w:t>ilgalaikį didesnių išlaidų ginklams ir ginklų viešiesiems pirkimams planą,</w:t>
      </w:r>
      <w:r>
        <w:t xml:space="preserve"> kuriuo būtų sudarytos palankesnės sąlygos privataus sektoriaus ilgalaikėms investicijoms ir remiami EGTPB karinės įrangos gamybos planai, taip pat teikiama parama Ukrainai skirtai gynybos technologinei ir pramoninei bazei (GTPB);</w:t>
      </w:r>
    </w:p>
    <w:p w:rsidRPr="00B612CA" w:rsidR="00B612CA" w:rsidP="00DC0FAE" w:rsidRDefault="00B612CA" w14:paraId="47D84DAE" w14:textId="77777777">
      <w:pPr>
        <w:numPr>
          <w:ilvl w:val="0"/>
          <w:numId w:val="24"/>
        </w:numPr>
        <w:spacing w:after="160" w:line="259" w:lineRule="auto"/>
        <w:ind w:left="284" w:hanging="284"/>
        <w:contextualSpacing/>
        <w:rPr>
          <w:rFonts w:eastAsiaTheme="minorHAnsi"/>
        </w:rPr>
      </w:pPr>
      <w:r>
        <w:t>rekomenduoja Europos Komisijai</w:t>
      </w:r>
      <w:r>
        <w:rPr>
          <w:b/>
        </w:rPr>
        <w:t xml:space="preserve"> paaiškinti EGPP skirtų lėšų kilmę ir panaudojimą</w:t>
      </w:r>
      <w:r>
        <w:t>;</w:t>
      </w:r>
    </w:p>
    <w:p w:rsidRPr="00B612CA" w:rsidR="00B612CA" w:rsidP="00DC0FAE" w:rsidRDefault="00B612CA" w14:paraId="5028E334" w14:textId="77777777">
      <w:pPr>
        <w:numPr>
          <w:ilvl w:val="0"/>
          <w:numId w:val="24"/>
        </w:numPr>
        <w:spacing w:after="160" w:line="259" w:lineRule="auto"/>
        <w:ind w:left="284" w:hanging="284"/>
        <w:contextualSpacing/>
        <w:rPr>
          <w:rFonts w:eastAsiaTheme="minorHAnsi"/>
        </w:rPr>
      </w:pPr>
      <w:r>
        <w:t xml:space="preserve">rekomenduoja </w:t>
      </w:r>
      <w:r>
        <w:rPr>
          <w:b/>
        </w:rPr>
        <w:t>EGTPB įmonėms stiprinti bendradarbiavimą, ypač su MVĮ ir tarpvalstybiniu mastu</w:t>
      </w:r>
      <w:r>
        <w:t>;</w:t>
      </w:r>
    </w:p>
    <w:p w:rsidRPr="00B612CA" w:rsidR="00B612CA" w:rsidP="00DC0FAE" w:rsidRDefault="00B612CA" w14:paraId="4BA1174F" w14:textId="77777777">
      <w:pPr>
        <w:numPr>
          <w:ilvl w:val="0"/>
          <w:numId w:val="24"/>
        </w:numPr>
        <w:spacing w:after="160" w:line="259" w:lineRule="auto"/>
        <w:ind w:left="284" w:hanging="284"/>
        <w:contextualSpacing/>
        <w:rPr>
          <w:rFonts w:eastAsiaTheme="minorHAnsi"/>
        </w:rPr>
      </w:pPr>
      <w:r>
        <w:t xml:space="preserve">pabrėžia </w:t>
      </w:r>
      <w:r>
        <w:rPr>
          <w:b/>
        </w:rPr>
        <w:t>pramonės bendradarbiavimo su Ukraina</w:t>
      </w:r>
      <w:r>
        <w:t xml:space="preserve"> svarbą pagal EGPP;</w:t>
      </w:r>
    </w:p>
    <w:p w:rsidRPr="00B612CA" w:rsidR="00B612CA" w:rsidP="00DC0FAE" w:rsidRDefault="00B612CA" w14:paraId="7E080E3B" w14:textId="77777777">
      <w:pPr>
        <w:numPr>
          <w:ilvl w:val="0"/>
          <w:numId w:val="24"/>
        </w:numPr>
        <w:spacing w:after="160" w:line="259" w:lineRule="auto"/>
        <w:ind w:left="284" w:hanging="284"/>
        <w:contextualSpacing/>
        <w:rPr>
          <w:rFonts w:eastAsiaTheme="minorHAnsi"/>
        </w:rPr>
      </w:pPr>
      <w:r>
        <w:t xml:space="preserve">siūlo toliau skatinti </w:t>
      </w:r>
      <w:r>
        <w:rPr>
          <w:b/>
        </w:rPr>
        <w:t>gynybos ir civilinės pramonės sinergiją</w:t>
      </w:r>
      <w:r>
        <w:t xml:space="preserve">, įtraukiant MVĮ ir </w:t>
      </w:r>
      <w:proofErr w:type="spellStart"/>
      <w:r>
        <w:t>startuolius</w:t>
      </w:r>
      <w:proofErr w:type="spellEnd"/>
      <w:r>
        <w:t>;</w:t>
      </w:r>
    </w:p>
    <w:p w:rsidRPr="00B612CA" w:rsidR="00B612CA" w:rsidP="00DC0FAE" w:rsidRDefault="00B612CA" w14:paraId="1616FA27" w14:textId="77777777">
      <w:pPr>
        <w:numPr>
          <w:ilvl w:val="0"/>
          <w:numId w:val="24"/>
        </w:numPr>
        <w:spacing w:after="160" w:line="259" w:lineRule="auto"/>
        <w:ind w:left="284" w:hanging="284"/>
        <w:contextualSpacing/>
        <w:rPr>
          <w:rFonts w:eastAsiaTheme="minorHAnsi"/>
        </w:rPr>
      </w:pPr>
      <w:r>
        <w:t xml:space="preserve">rekomenduoja į EGPP norminį dokumentą </w:t>
      </w:r>
      <w:r>
        <w:rPr>
          <w:b/>
        </w:rPr>
        <w:t>įtraukti</w:t>
      </w:r>
      <w:r>
        <w:t xml:space="preserve"> Europos gynybos pramonės strategijos komunikate išreikštą</w:t>
      </w:r>
      <w:r>
        <w:rPr>
          <w:b/>
        </w:rPr>
        <w:t xml:space="preserve"> bendradarbiavimo ir Europos vidaus pirkimo tikslų procentinę dalį</w:t>
      </w:r>
      <w:r>
        <w:t>.</w:t>
      </w:r>
    </w:p>
    <w:p w:rsidR="00B612CA" w:rsidP="007724A0" w:rsidRDefault="00B612CA" w14:paraId="0A876271" w14:textId="1EEC993C">
      <w:pPr>
        <w:spacing w:after="160" w:line="259" w:lineRule="auto"/>
        <w:ind w:left="720"/>
        <w:contextualSpacing/>
        <w:rPr>
          <w:rFonts w:eastAsiaTheme="minorHAnsi"/>
        </w:rPr>
      </w:pPr>
    </w:p>
    <w:p w:rsidRPr="00B612CA"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3781"/>
      </w:tblGrid>
      <w:tr w:rsidRPr="00B612CA" w:rsidR="00B612CA" w:rsidTr="00DC0FAE" w14:paraId="0A0E04CE" w14:textId="77777777">
        <w:tc>
          <w:tcPr>
            <w:tcW w:w="2148" w:type="pct"/>
          </w:tcPr>
          <w:p w:rsidRPr="00DC0FAE" w:rsidR="00B612CA" w:rsidP="00DC0FAE" w:rsidRDefault="00B612CA" w14:paraId="06D84C57" w14:textId="77777777">
            <w:pPr>
              <w:spacing w:line="240" w:lineRule="auto"/>
              <w:jc w:val="left"/>
              <w:rPr>
                <w:rFonts w:eastAsiaTheme="minorHAnsi"/>
                <w:i/>
              </w:rPr>
            </w:pPr>
            <w:r>
              <w:rPr>
                <w:b/>
                <w:i/>
              </w:rPr>
              <w:t>Kontaktinis asmuo</w:t>
            </w:r>
          </w:p>
        </w:tc>
        <w:tc>
          <w:tcPr>
            <w:tcW w:w="2852" w:type="pct"/>
            <w:tcBorders>
              <w:left w:val="nil"/>
            </w:tcBorders>
          </w:tcPr>
          <w:p w:rsidRPr="00DC0FAE" w:rsidR="00B612CA" w:rsidP="00DC0FAE" w:rsidRDefault="00B612CA" w14:paraId="32F55D6E" w14:textId="496A8A95">
            <w:pPr>
              <w:spacing w:line="240" w:lineRule="auto"/>
              <w:ind w:firstLine="177"/>
              <w:jc w:val="left"/>
              <w:rPr>
                <w:rFonts w:eastAsiaTheme="minorHAnsi"/>
                <w:i/>
              </w:rPr>
            </w:pPr>
            <w:proofErr w:type="spellStart"/>
            <w:r>
              <w:rPr>
                <w:i/>
              </w:rPr>
              <w:t>Ioannis</w:t>
            </w:r>
            <w:proofErr w:type="spellEnd"/>
            <w:r>
              <w:rPr>
                <w:i/>
              </w:rPr>
              <w:t xml:space="preserve"> </w:t>
            </w:r>
            <w:proofErr w:type="spellStart"/>
            <w:r>
              <w:rPr>
                <w:i/>
              </w:rPr>
              <w:t>Diamantopoulos</w:t>
            </w:r>
            <w:proofErr w:type="spellEnd"/>
          </w:p>
        </w:tc>
      </w:tr>
      <w:tr w:rsidRPr="00B612CA" w:rsidR="00B612CA" w:rsidTr="00DC0FAE" w14:paraId="170A473F" w14:textId="77777777">
        <w:tc>
          <w:tcPr>
            <w:tcW w:w="2148" w:type="pct"/>
          </w:tcPr>
          <w:p w:rsidRPr="00DC0FAE" w:rsidR="00B612CA" w:rsidP="00DC0FAE" w:rsidRDefault="00B612CA" w14:paraId="56DAFD05" w14:textId="77777777">
            <w:pPr>
              <w:spacing w:line="240" w:lineRule="auto"/>
              <w:jc w:val="left"/>
              <w:rPr>
                <w:rFonts w:eastAsiaTheme="minorHAnsi"/>
                <w:i/>
              </w:rPr>
            </w:pPr>
            <w:r>
              <w:rPr>
                <w:i/>
              </w:rPr>
              <w:t xml:space="preserve">Tel. </w:t>
            </w:r>
          </w:p>
        </w:tc>
        <w:tc>
          <w:tcPr>
            <w:tcW w:w="2852" w:type="pct"/>
            <w:tcBorders>
              <w:left w:val="nil"/>
            </w:tcBorders>
          </w:tcPr>
          <w:p w:rsidRPr="00DC0FAE" w:rsidR="00B612CA" w:rsidP="00DC0FAE" w:rsidRDefault="00B612CA" w14:paraId="2A298CC6" w14:textId="77777777">
            <w:pPr>
              <w:spacing w:line="240" w:lineRule="auto"/>
              <w:ind w:firstLine="177"/>
              <w:jc w:val="left"/>
              <w:rPr>
                <w:rFonts w:eastAsiaTheme="minorHAnsi"/>
                <w:i/>
              </w:rPr>
            </w:pPr>
            <w:r>
              <w:rPr>
                <w:i/>
              </w:rPr>
              <w:t>+32 25469170</w:t>
            </w:r>
          </w:p>
        </w:tc>
      </w:tr>
      <w:tr w:rsidRPr="00B612CA" w:rsidR="00B612CA" w:rsidTr="00DC0FAE" w14:paraId="279B24AC" w14:textId="77777777">
        <w:tc>
          <w:tcPr>
            <w:tcW w:w="2148" w:type="pct"/>
          </w:tcPr>
          <w:p w:rsidRPr="00DC0FAE" w:rsidR="00B612CA" w:rsidP="00DC0FAE" w:rsidRDefault="007724A0" w14:paraId="005C0206" w14:textId="59684306">
            <w:pPr>
              <w:spacing w:line="240" w:lineRule="auto"/>
              <w:jc w:val="left"/>
              <w:rPr>
                <w:rFonts w:eastAsiaTheme="minorHAnsi"/>
                <w:i/>
                <w:iCs/>
              </w:rPr>
            </w:pPr>
            <w:r>
              <w:rPr>
                <w:i/>
              </w:rPr>
              <w:t>E. paštas</w:t>
            </w:r>
          </w:p>
        </w:tc>
        <w:tc>
          <w:tcPr>
            <w:tcW w:w="2852" w:type="pct"/>
            <w:tcBorders>
              <w:left w:val="nil"/>
            </w:tcBorders>
          </w:tcPr>
          <w:p w:rsidRPr="00DC0FAE" w:rsidR="00B612CA" w:rsidP="00DC0FAE" w:rsidRDefault="000339E9" w14:paraId="64C65441" w14:textId="2972B3EB">
            <w:pPr>
              <w:spacing w:line="240" w:lineRule="auto"/>
              <w:ind w:firstLine="177"/>
              <w:jc w:val="left"/>
              <w:rPr>
                <w:rFonts w:eastAsiaTheme="minorHAnsi"/>
                <w:i/>
                <w:iCs/>
              </w:rPr>
            </w:pPr>
            <w:hyperlink w:history="1" r:id="rId37">
              <w:r w:rsidR="005C28F2">
                <w:rPr>
                  <w:rStyle w:val="Hyperlink"/>
                </w:rPr>
                <w:t>Ioannis.Diamantopoulos@eesc.europa.eu</w:t>
              </w:r>
            </w:hyperlink>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B612CA" w:rsidR="00B612CA" w:rsidP="00C26C81" w:rsidRDefault="000339E9" w14:paraId="2A9B1900" w14:textId="09925451">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rPr>
      </w:pPr>
      <w:hyperlink w:history="1" r:id="rId38">
        <w:r w:rsidR="00851457">
          <w:rPr>
            <w:b/>
            <w:color w:val="0000FF"/>
            <w:sz w:val="28"/>
            <w:u w:val="single"/>
          </w:rPr>
          <w:t>Bepiločių orlaivių gamybos pramonė. Atvejo tyrimas – strateginis savarankiškumas</w:t>
        </w:r>
      </w:hyperlink>
    </w:p>
    <w:p w:rsidRPr="00B612CA"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B612CA" w:rsidR="00B612CA" w:rsidTr="00FE3058" w14:paraId="3BDDEC70" w14:textId="77777777">
        <w:tc>
          <w:tcPr>
            <w:tcW w:w="1258" w:type="pct"/>
          </w:tcPr>
          <w:p w:rsidRPr="00DC0FAE" w:rsidR="00B612CA" w:rsidP="00DC0FAE" w:rsidRDefault="00B612CA" w14:paraId="72524AE6" w14:textId="77777777">
            <w:pPr>
              <w:tabs>
                <w:tab w:val="center" w:pos="284"/>
              </w:tabs>
              <w:ind w:left="266" w:hanging="266"/>
              <w:jc w:val="left"/>
              <w:rPr>
                <w:rFonts w:eastAsiaTheme="minorHAnsi"/>
                <w:b/>
                <w:szCs w:val="24"/>
              </w:rPr>
            </w:pPr>
            <w:r>
              <w:rPr>
                <w:b/>
              </w:rPr>
              <w:t>Pranešėjas</w:t>
            </w:r>
          </w:p>
        </w:tc>
        <w:tc>
          <w:tcPr>
            <w:tcW w:w="3742" w:type="pct"/>
          </w:tcPr>
          <w:p w:rsidRPr="00DC0FAE" w:rsidR="00B612CA" w:rsidP="00DC0FAE" w:rsidRDefault="00B612CA" w14:paraId="5A103C16" w14:textId="77777777">
            <w:pPr>
              <w:tabs>
                <w:tab w:val="center" w:pos="0"/>
              </w:tabs>
              <w:ind w:left="27" w:hanging="27"/>
              <w:jc w:val="left"/>
              <w:rPr>
                <w:rFonts w:eastAsiaTheme="minorHAnsi"/>
                <w:szCs w:val="24"/>
              </w:rPr>
            </w:pPr>
            <w:proofErr w:type="spellStart"/>
            <w:r>
              <w:t>Panagiotis</w:t>
            </w:r>
            <w:proofErr w:type="spellEnd"/>
            <w:r>
              <w:t xml:space="preserve"> </w:t>
            </w:r>
            <w:proofErr w:type="spellStart"/>
            <w:r>
              <w:t>Gkofas</w:t>
            </w:r>
            <w:proofErr w:type="spellEnd"/>
            <w:r>
              <w:t xml:space="preserve"> (Pilietinės visuomenės organizacijų grupė, EL)</w:t>
            </w:r>
          </w:p>
        </w:tc>
      </w:tr>
      <w:tr w:rsidRPr="00B612CA" w:rsidR="00B612CA" w:rsidTr="00FE3058" w14:paraId="4789CE29" w14:textId="77777777">
        <w:tc>
          <w:tcPr>
            <w:tcW w:w="1258" w:type="pct"/>
          </w:tcPr>
          <w:p w:rsidRPr="00DC0FAE" w:rsidR="00B612CA" w:rsidP="00DC0FAE" w:rsidRDefault="00B612CA" w14:paraId="4BC4535D" w14:textId="77777777">
            <w:pPr>
              <w:tabs>
                <w:tab w:val="center" w:pos="284"/>
              </w:tabs>
              <w:ind w:left="266" w:hanging="266"/>
              <w:jc w:val="left"/>
              <w:rPr>
                <w:rFonts w:eastAsiaTheme="minorHAnsi"/>
                <w:b/>
                <w:szCs w:val="24"/>
              </w:rPr>
            </w:pPr>
            <w:proofErr w:type="spellStart"/>
            <w:r>
              <w:rPr>
                <w:b/>
              </w:rPr>
              <w:t>Bendrapranešėjis</w:t>
            </w:r>
            <w:proofErr w:type="spellEnd"/>
          </w:p>
        </w:tc>
        <w:tc>
          <w:tcPr>
            <w:tcW w:w="3742" w:type="pct"/>
          </w:tcPr>
          <w:p w:rsidRPr="00DC0FAE" w:rsidR="00B612CA" w:rsidP="00DC0FAE" w:rsidRDefault="00B612CA" w14:paraId="45BEE5FC" w14:textId="77777777">
            <w:pPr>
              <w:tabs>
                <w:tab w:val="center" w:pos="284"/>
              </w:tabs>
              <w:ind w:left="266" w:hanging="266"/>
              <w:jc w:val="left"/>
              <w:rPr>
                <w:rFonts w:eastAsiaTheme="minorHAnsi"/>
                <w:szCs w:val="24"/>
              </w:rPr>
            </w:pPr>
            <w:proofErr w:type="spellStart"/>
            <w:r>
              <w:t>Patrice</w:t>
            </w:r>
            <w:proofErr w:type="spellEnd"/>
            <w:r>
              <w:t xml:space="preserve"> </w:t>
            </w:r>
            <w:proofErr w:type="spellStart"/>
            <w:r>
              <w:t>François</w:t>
            </w:r>
            <w:proofErr w:type="spellEnd"/>
            <w:r>
              <w:t xml:space="preserve"> </w:t>
            </w:r>
            <w:proofErr w:type="spellStart"/>
            <w:r>
              <w:t>Chazerand</w:t>
            </w:r>
            <w:proofErr w:type="spellEnd"/>
            <w:r>
              <w:t xml:space="preserve"> (1 kat., FR)</w:t>
            </w:r>
          </w:p>
        </w:tc>
      </w:tr>
      <w:tr w:rsidRPr="00B612CA" w:rsidR="00B612CA" w:rsidTr="00FE3058" w14:paraId="5E7071EE" w14:textId="77777777">
        <w:tc>
          <w:tcPr>
            <w:tcW w:w="5000" w:type="pct"/>
            <w:gridSpan w:val="2"/>
          </w:tcPr>
          <w:p w:rsidRPr="00DC0FAE"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B612CA" w:rsidR="00B612CA" w:rsidTr="00FE3058" w14:paraId="5C97F1F0" w14:textId="77777777">
        <w:tc>
          <w:tcPr>
            <w:tcW w:w="1258" w:type="pct"/>
            <w:vMerge w:val="restart"/>
          </w:tcPr>
          <w:p w:rsidRPr="00DC0FAE" w:rsidR="00B612CA" w:rsidP="00B612CA" w:rsidRDefault="00B612CA" w14:paraId="1ACFAAEE" w14:textId="77777777">
            <w:pPr>
              <w:tabs>
                <w:tab w:val="center" w:pos="284"/>
              </w:tabs>
              <w:spacing w:after="160"/>
              <w:ind w:left="266" w:hanging="266"/>
              <w:jc w:val="left"/>
              <w:rPr>
                <w:rFonts w:eastAsiaTheme="minorHAnsi"/>
                <w:b/>
                <w:szCs w:val="24"/>
              </w:rPr>
            </w:pPr>
            <w:r>
              <w:rPr>
                <w:b/>
              </w:rPr>
              <w:t>Nuorodos</w:t>
            </w:r>
          </w:p>
        </w:tc>
        <w:tc>
          <w:tcPr>
            <w:tcW w:w="3742" w:type="pct"/>
          </w:tcPr>
          <w:p w:rsidR="008E5F1F" w:rsidP="00DC0FAE" w:rsidRDefault="008E5F1F" w14:paraId="4FD72709" w14:textId="77777777">
            <w:pPr>
              <w:tabs>
                <w:tab w:val="center" w:pos="284"/>
              </w:tabs>
              <w:ind w:left="266" w:hanging="266"/>
              <w:jc w:val="left"/>
              <w:rPr>
                <w:rFonts w:eastAsiaTheme="minorHAnsi"/>
                <w:szCs w:val="24"/>
              </w:rPr>
            </w:pPr>
            <w:r>
              <w:t>Nuomonė savo iniciatyva</w:t>
            </w:r>
          </w:p>
          <w:p w:rsidRPr="00DC0FAE" w:rsidR="00B612CA" w:rsidP="00DC0FAE" w:rsidRDefault="00B612CA" w14:paraId="2BDD1C6B" w14:textId="29BCECDA">
            <w:pPr>
              <w:tabs>
                <w:tab w:val="center" w:pos="284"/>
              </w:tabs>
              <w:ind w:left="266" w:hanging="266"/>
              <w:jc w:val="left"/>
              <w:rPr>
                <w:rFonts w:eastAsiaTheme="minorHAnsi"/>
                <w:szCs w:val="24"/>
              </w:rPr>
            </w:pPr>
            <w:r>
              <w:t>EESC-2024-00046-00-00-AC</w:t>
            </w:r>
          </w:p>
        </w:tc>
      </w:tr>
      <w:tr w:rsidRPr="00B612CA" w:rsidR="00B612CA" w:rsidTr="00FE3058" w14:paraId="262D674B" w14:textId="77777777">
        <w:tc>
          <w:tcPr>
            <w:tcW w:w="1258" w:type="pct"/>
            <w:vMerge/>
          </w:tcPr>
          <w:p w:rsidRPr="00B612CA"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B612CA"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B612CA" w:rsidR="00B612CA" w:rsidP="00B612CA" w:rsidRDefault="00B612CA" w14:paraId="5D3EDF6C" w14:textId="77777777">
      <w:pPr>
        <w:keepNext/>
        <w:keepLines/>
        <w:spacing w:after="160"/>
        <w:ind w:left="142" w:hanging="142"/>
        <w:jc w:val="left"/>
        <w:rPr>
          <w:rFonts w:eastAsiaTheme="minorHAnsi"/>
          <w:b/>
        </w:rPr>
      </w:pPr>
      <w:r>
        <w:rPr>
          <w:b/>
        </w:rPr>
        <w:t>Dokumento esmė</w:t>
      </w:r>
    </w:p>
    <w:p w:rsidR="00B612CA" w:rsidP="002F57E9" w:rsidRDefault="00B612CA" w14:paraId="500E1CB5" w14:textId="1961B0BC">
      <w:pPr>
        <w:spacing w:after="160"/>
        <w:ind w:left="142" w:hanging="142"/>
        <w:jc w:val="left"/>
        <w:rPr>
          <w:rFonts w:eastAsiaTheme="minorHAnsi"/>
        </w:rPr>
      </w:pPr>
      <w:r>
        <w:t>EESRK</w:t>
      </w:r>
    </w:p>
    <w:p w:rsidRPr="00B612CA" w:rsidR="00B612CA" w:rsidP="00DC0FAE" w:rsidRDefault="00B612CA" w14:paraId="487029DD" w14:textId="77777777">
      <w:pPr>
        <w:numPr>
          <w:ilvl w:val="0"/>
          <w:numId w:val="25"/>
        </w:numPr>
        <w:spacing w:line="259" w:lineRule="auto"/>
        <w:ind w:left="284" w:hanging="284"/>
        <w:rPr>
          <w:rFonts w:eastAsiaTheme="minorHAnsi"/>
        </w:rPr>
      </w:pPr>
      <w:r>
        <w:t xml:space="preserve">mano, kad Europos nepriklausomumui ypatingos svarbos srityse pasiekti labai svarbu susieti </w:t>
      </w:r>
      <w:r>
        <w:rPr>
          <w:b/>
        </w:rPr>
        <w:t>Europos bepiločių orlaivių strategiją</w:t>
      </w:r>
      <w:r>
        <w:t xml:space="preserve"> su </w:t>
      </w:r>
      <w:r>
        <w:rPr>
          <w:b/>
        </w:rPr>
        <w:t>Europos gynybos pramonės strategija</w:t>
      </w:r>
      <w:r>
        <w:t xml:space="preserve"> ir integruoti </w:t>
      </w:r>
      <w:r>
        <w:rPr>
          <w:b/>
        </w:rPr>
        <w:t>Europos gynybos technologinės ir pramoninės bazę (EGPTB)</w:t>
      </w:r>
      <w:r>
        <w:t xml:space="preserve"> siekiant remti </w:t>
      </w:r>
      <w:r>
        <w:rPr>
          <w:b/>
        </w:rPr>
        <w:t>aukštos kokybės ir pajėgumų dronų gamybą šalies viduje</w:t>
      </w:r>
      <w:r>
        <w:t xml:space="preserve"> užtikrinant </w:t>
      </w:r>
      <w:r>
        <w:rPr>
          <w:b/>
        </w:rPr>
        <w:t>nuolatinį viešųjų pirkimų sutarčių srautą</w:t>
      </w:r>
      <w:r>
        <w:t>;</w:t>
      </w:r>
    </w:p>
    <w:p w:rsidRPr="00B612CA" w:rsidR="00B612CA" w:rsidP="00DC0FAE" w:rsidRDefault="00B612CA" w14:paraId="1202E286" w14:textId="77777777">
      <w:pPr>
        <w:numPr>
          <w:ilvl w:val="0"/>
          <w:numId w:val="25"/>
        </w:numPr>
        <w:spacing w:line="259" w:lineRule="auto"/>
        <w:ind w:left="284" w:hanging="284"/>
        <w:rPr>
          <w:rFonts w:eastAsiaTheme="minorHAnsi"/>
        </w:rPr>
      </w:pPr>
      <w:r>
        <w:t xml:space="preserve">ir toliau pasisako už </w:t>
      </w:r>
      <w:r>
        <w:rPr>
          <w:b/>
        </w:rPr>
        <w:t>bendradarbiavimo gerinimą ir inovacijas</w:t>
      </w:r>
      <w:r>
        <w:t>, taip pat teisės aktų, pavyzdžiui, DI akto ir Lustų akto, panaudojimą siekiant</w:t>
      </w:r>
      <w:r>
        <w:rPr>
          <w:b/>
        </w:rPr>
        <w:t xml:space="preserve"> didinti strateginį savarankiškumą</w:t>
      </w:r>
      <w:r>
        <w:t xml:space="preserve"> ir stiprinti nacionalinį saugumą bei ekonomikos augimą;</w:t>
      </w:r>
    </w:p>
    <w:p w:rsidRPr="00B612CA" w:rsidR="00B612CA" w:rsidP="00DC0FAE" w:rsidRDefault="00B612CA" w14:paraId="13B8DCFD" w14:textId="77777777">
      <w:pPr>
        <w:numPr>
          <w:ilvl w:val="0"/>
          <w:numId w:val="25"/>
        </w:numPr>
        <w:spacing w:line="259" w:lineRule="auto"/>
        <w:ind w:left="284" w:hanging="284"/>
        <w:rPr>
          <w:rFonts w:eastAsiaTheme="minorHAnsi"/>
        </w:rPr>
      </w:pPr>
      <w:r>
        <w:t>pabrėžia, kad</w:t>
      </w:r>
      <w:r>
        <w:rPr>
          <w:b/>
        </w:rPr>
        <w:t xml:space="preserve"> karinių ir civilinių MTP suderinamumo</w:t>
      </w:r>
      <w:r>
        <w:t xml:space="preserve"> poreikis tik didės, nes dronai bus labiau automatizuoti, juose bus naudojama daugiau mašininio mokymosi ir dirbtinio intelekto (DI);</w:t>
      </w:r>
    </w:p>
    <w:p w:rsidRPr="00B612CA" w:rsidR="00B612CA" w:rsidP="00DC0FAE" w:rsidRDefault="00B612CA" w14:paraId="36029321" w14:textId="77777777">
      <w:pPr>
        <w:numPr>
          <w:ilvl w:val="0"/>
          <w:numId w:val="25"/>
        </w:numPr>
        <w:spacing w:line="259" w:lineRule="auto"/>
        <w:ind w:left="284" w:hanging="284"/>
        <w:rPr>
          <w:rFonts w:eastAsiaTheme="minorHAnsi"/>
        </w:rPr>
      </w:pPr>
      <w:r>
        <w:t>mano, kad strateginės Europos dronų technologijų veiksmų gairės yra labai svarbios ypatingos svarbos dronų technologijoms ir dvejopo naudojimo dronų sistemoms, kad būtų užtikrintas struktūruotas požiūris į dronų technologijų pažangą;</w:t>
      </w:r>
    </w:p>
    <w:p w:rsidRPr="00B612CA" w:rsidR="00B612CA" w:rsidP="00DC0FAE" w:rsidRDefault="00B612CA" w14:paraId="1BD31BD4" w14:textId="77777777">
      <w:pPr>
        <w:numPr>
          <w:ilvl w:val="0"/>
          <w:numId w:val="25"/>
        </w:numPr>
        <w:spacing w:line="259" w:lineRule="auto"/>
        <w:ind w:left="284" w:hanging="284"/>
        <w:rPr>
          <w:rFonts w:eastAsiaTheme="minorHAnsi"/>
        </w:rPr>
      </w:pPr>
      <w:r>
        <w:t xml:space="preserve">pabrėžia, kad reikėtų nuodugniai apsvarstyti galimybę </w:t>
      </w:r>
      <w:r>
        <w:rPr>
          <w:b/>
        </w:rPr>
        <w:t>finansiškai remti galimas investicijas į dronų gamybą ir tiekimo bei vertės grandinių integravimą</w:t>
      </w:r>
      <w:r>
        <w:t>;</w:t>
      </w:r>
    </w:p>
    <w:p w:rsidRPr="00B612CA" w:rsidR="00B612CA" w:rsidP="00DC0FAE" w:rsidRDefault="00B612CA" w14:paraId="0CDF4865" w14:textId="77777777">
      <w:pPr>
        <w:numPr>
          <w:ilvl w:val="0"/>
          <w:numId w:val="25"/>
        </w:numPr>
        <w:spacing w:line="259" w:lineRule="auto"/>
        <w:ind w:left="284" w:hanging="284"/>
        <w:rPr>
          <w:rFonts w:eastAsiaTheme="minorHAnsi"/>
        </w:rPr>
      </w:pPr>
      <w:r>
        <w:t>pabrėžia, kad ES turėtų aktyviau dalyvauti pasauliniu lygmeniu, visų pirma sertifikavimo procedūrų srityje;</w:t>
      </w:r>
    </w:p>
    <w:p w:rsidRPr="00B612CA" w:rsidR="00B612CA" w:rsidP="00DC0FAE" w:rsidRDefault="00B612CA" w14:paraId="6CE8FCE4" w14:textId="77777777">
      <w:pPr>
        <w:numPr>
          <w:ilvl w:val="0"/>
          <w:numId w:val="25"/>
        </w:numPr>
        <w:spacing w:line="259" w:lineRule="auto"/>
        <w:ind w:left="284" w:hanging="284"/>
        <w:rPr>
          <w:rFonts w:eastAsiaTheme="minorHAnsi"/>
        </w:rPr>
      </w:pPr>
      <w:r>
        <w:t xml:space="preserve">pažymi, kad labai svarbus </w:t>
      </w:r>
      <w:r>
        <w:rPr>
          <w:b/>
        </w:rPr>
        <w:t>visuomenės pritarimas</w:t>
      </w:r>
      <w:r>
        <w:t xml:space="preserve"> inovatyvioms oro judumo operacijoms: ES parama gali sustiprinti bendrą aviacijos ekosistemą, prisidėti prie jos augimo ir tvarumo;</w:t>
      </w:r>
    </w:p>
    <w:p w:rsidRPr="00B612CA" w:rsidR="00B612CA" w:rsidP="00DC0FAE" w:rsidRDefault="00B612CA" w14:paraId="413AAB7E" w14:textId="77777777">
      <w:pPr>
        <w:numPr>
          <w:ilvl w:val="0"/>
          <w:numId w:val="25"/>
        </w:numPr>
        <w:spacing w:line="259" w:lineRule="auto"/>
        <w:ind w:left="284" w:hanging="284"/>
        <w:rPr>
          <w:rFonts w:eastAsiaTheme="minorHAnsi"/>
        </w:rPr>
      </w:pPr>
      <w:r>
        <w:t xml:space="preserve">pabrėžia, kad ES taip pat turėtų būti pasirengusi parengti konsoliduotą </w:t>
      </w:r>
      <w:r>
        <w:rPr>
          <w:b/>
        </w:rPr>
        <w:t>strategiją dėl bendro gynybos nuo bepiločių orlaivių skėčio sukūrimo</w:t>
      </w:r>
      <w:r>
        <w:t>, kad būtų galima kovoti su daugybine rizika, susijusia su hibridinėmis grėsmėmis, teroristiniais veiksmais, kitų valstybių agresija ir net piktnaudžiavimu civilių lygmeniu.</w:t>
      </w:r>
    </w:p>
    <w:p w:rsidRPr="00B612CA" w:rsidR="00B612CA" w:rsidP="00B612CA" w:rsidRDefault="00B612CA" w14:paraId="02D1D393" w14:textId="77777777">
      <w:pPr>
        <w:ind w:left="714"/>
        <w:rPr>
          <w:rFonts w:eastAsiaTheme="minorHAnsi"/>
        </w:rPr>
      </w:pP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7"/>
        <w:gridCol w:w="3744"/>
      </w:tblGrid>
      <w:tr w:rsidRPr="00B612CA" w:rsidR="00B612CA" w:rsidTr="00FE3058" w14:paraId="4B20577C" w14:textId="77777777">
        <w:tc>
          <w:tcPr>
            <w:tcW w:w="2089" w:type="pct"/>
          </w:tcPr>
          <w:p w:rsidRPr="00DC0FAE" w:rsidR="00B612CA" w:rsidP="00DC0FAE" w:rsidRDefault="00B612CA" w14:paraId="2947396D" w14:textId="77777777">
            <w:pPr>
              <w:spacing w:line="259" w:lineRule="auto"/>
              <w:jc w:val="left"/>
              <w:rPr>
                <w:rFonts w:eastAsiaTheme="minorHAnsi"/>
                <w:i/>
              </w:rPr>
            </w:pPr>
            <w:r>
              <w:rPr>
                <w:b/>
                <w:i/>
              </w:rPr>
              <w:t>Kontaktinis asmuo</w:t>
            </w:r>
          </w:p>
        </w:tc>
        <w:tc>
          <w:tcPr>
            <w:tcW w:w="2911" w:type="pct"/>
            <w:tcBorders>
              <w:left w:val="nil"/>
            </w:tcBorders>
          </w:tcPr>
          <w:p w:rsidRPr="00DC0FAE" w:rsidR="00B612CA" w:rsidP="00DC0FAE" w:rsidRDefault="00B612CA" w14:paraId="2C72CC9C" w14:textId="59DEF34B">
            <w:pPr>
              <w:spacing w:line="259" w:lineRule="auto"/>
              <w:jc w:val="left"/>
              <w:rPr>
                <w:rFonts w:eastAsiaTheme="minorHAnsi"/>
                <w:i/>
              </w:rPr>
            </w:pPr>
            <w:proofErr w:type="spellStart"/>
            <w:r>
              <w:rPr>
                <w:i/>
              </w:rPr>
              <w:t>Ioannis</w:t>
            </w:r>
            <w:proofErr w:type="spellEnd"/>
            <w:r>
              <w:rPr>
                <w:i/>
              </w:rPr>
              <w:t xml:space="preserve"> </w:t>
            </w:r>
            <w:proofErr w:type="spellStart"/>
            <w:r>
              <w:rPr>
                <w:i/>
              </w:rPr>
              <w:t>Diamantopoulos</w:t>
            </w:r>
            <w:proofErr w:type="spellEnd"/>
          </w:p>
        </w:tc>
      </w:tr>
      <w:tr w:rsidRPr="00B612CA" w:rsidR="00B612CA" w:rsidTr="00FE3058" w14:paraId="2E3E56CC" w14:textId="77777777">
        <w:tc>
          <w:tcPr>
            <w:tcW w:w="2089" w:type="pct"/>
          </w:tcPr>
          <w:p w:rsidRPr="00DC0FAE" w:rsidR="00B612CA" w:rsidP="00DC0FAE" w:rsidRDefault="00B612CA" w14:paraId="32C90F95" w14:textId="77777777">
            <w:pPr>
              <w:spacing w:line="259" w:lineRule="auto"/>
              <w:jc w:val="left"/>
              <w:rPr>
                <w:rFonts w:eastAsiaTheme="minorHAnsi"/>
                <w:i/>
              </w:rPr>
            </w:pPr>
            <w:r>
              <w:rPr>
                <w:i/>
              </w:rPr>
              <w:t xml:space="preserve">Tel. </w:t>
            </w:r>
          </w:p>
        </w:tc>
        <w:tc>
          <w:tcPr>
            <w:tcW w:w="2911" w:type="pct"/>
            <w:tcBorders>
              <w:left w:val="nil"/>
            </w:tcBorders>
          </w:tcPr>
          <w:p w:rsidRPr="00DC0FAE" w:rsidR="00B612CA" w:rsidP="00DC0FAE" w:rsidRDefault="00B612CA" w14:paraId="6667914E" w14:textId="77777777">
            <w:pPr>
              <w:spacing w:line="259" w:lineRule="auto"/>
              <w:jc w:val="left"/>
              <w:rPr>
                <w:rFonts w:eastAsiaTheme="minorHAnsi"/>
                <w:i/>
              </w:rPr>
            </w:pPr>
            <w:r>
              <w:rPr>
                <w:i/>
              </w:rPr>
              <w:t>+32 25469170</w:t>
            </w:r>
          </w:p>
        </w:tc>
      </w:tr>
      <w:tr w:rsidRPr="00B612CA" w:rsidR="00B612CA" w:rsidTr="00FE3058" w14:paraId="5E62AD0C" w14:textId="77777777">
        <w:tc>
          <w:tcPr>
            <w:tcW w:w="2089" w:type="pct"/>
          </w:tcPr>
          <w:p w:rsidRPr="00DC0FAE" w:rsidR="00B612CA" w:rsidP="00DC0FAE" w:rsidRDefault="00B612CA" w14:paraId="28949472" w14:textId="77777777">
            <w:pPr>
              <w:spacing w:line="259" w:lineRule="auto"/>
              <w:jc w:val="left"/>
              <w:rPr>
                <w:rFonts w:eastAsiaTheme="minorHAnsi"/>
                <w:i/>
                <w:iCs/>
              </w:rPr>
            </w:pPr>
            <w:r>
              <w:rPr>
                <w:i/>
              </w:rPr>
              <w:t>E. paštas</w:t>
            </w:r>
          </w:p>
        </w:tc>
        <w:tc>
          <w:tcPr>
            <w:tcW w:w="2911" w:type="pct"/>
            <w:tcBorders>
              <w:left w:val="nil"/>
            </w:tcBorders>
          </w:tcPr>
          <w:p w:rsidRPr="00DC0FAE" w:rsidR="00B612CA" w:rsidP="00DC0FAE" w:rsidRDefault="000339E9" w14:paraId="670FA610" w14:textId="3DD50747">
            <w:pPr>
              <w:spacing w:line="259" w:lineRule="auto"/>
              <w:jc w:val="left"/>
              <w:rPr>
                <w:rFonts w:eastAsiaTheme="minorHAnsi"/>
                <w:i/>
                <w:iCs/>
              </w:rPr>
            </w:pPr>
            <w:hyperlink w:history="1" r:id="rId39">
              <w:r w:rsidR="005C28F2">
                <w:rPr>
                  <w:rStyle w:val="Hyperlink"/>
                </w:rPr>
                <w:t>Ioannis.Diamantopoulos@eesc.europa.eu</w:t>
              </w:r>
            </w:hyperlink>
          </w:p>
        </w:tc>
      </w:tr>
    </w:tbl>
    <w:p w:rsidR="00DD6D07" w:rsidP="00895853" w:rsidRDefault="00DD6D07" w14:paraId="4B14A069" w14:textId="5E80731A">
      <w:pPr>
        <w:overflowPunct w:val="0"/>
        <w:autoSpaceDE w:val="0"/>
        <w:autoSpaceDN w:val="0"/>
        <w:adjustRightInd w:val="0"/>
        <w:jc w:val="left"/>
        <w:textAlignment w:val="baseline"/>
        <w:rPr>
          <w:lang w:val="nl-BE"/>
        </w:rPr>
      </w:pPr>
    </w:p>
    <w:p w:rsidR="00DD6D07" w:rsidRDefault="00DD6D07" w14:paraId="00CC9B58" w14:textId="77777777">
      <w:pPr>
        <w:spacing w:after="160" w:line="259" w:lineRule="auto"/>
        <w:jc w:val="left"/>
      </w:pPr>
      <w:r>
        <w:br w:type="page"/>
      </w:r>
    </w:p>
    <w:p w:rsidR="00B612CA" w:rsidP="00895853" w:rsidRDefault="00B612CA" w14:paraId="57B89030" w14:textId="77777777">
      <w:pPr>
        <w:overflowPunct w:val="0"/>
        <w:autoSpaceDE w:val="0"/>
        <w:autoSpaceDN w:val="0"/>
        <w:adjustRightInd w:val="0"/>
        <w:jc w:val="left"/>
        <w:textAlignment w:val="baseline"/>
        <w:rPr>
          <w:lang w:val="nl-BE"/>
        </w:rPr>
      </w:pPr>
    </w:p>
    <w:p w:rsidRPr="000120E1" w:rsidR="000120E1" w:rsidP="00C26C81" w:rsidRDefault="000339E9"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40">
        <w:r w:rsidR="00851457">
          <w:rPr>
            <w:b/>
            <w:i/>
            <w:color w:val="0000FF"/>
            <w:sz w:val="28"/>
            <w:u w:val="single"/>
          </w:rPr>
          <w:t>Komunikatas dėl pramoninio anglies dioksido tvarkymo</w:t>
        </w:r>
      </w:hyperlink>
    </w:p>
    <w:p w:rsidRPr="000120E1"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6225"/>
      </w:tblGrid>
      <w:tr w:rsidRPr="000120E1" w:rsidR="000120E1" w:rsidTr="00FE3058" w14:paraId="7AA7740B" w14:textId="77777777">
        <w:tc>
          <w:tcPr>
            <w:tcW w:w="1216" w:type="pct"/>
          </w:tcPr>
          <w:p w:rsidRPr="00DC0FAE" w:rsidR="000120E1" w:rsidP="00DC0FAE" w:rsidRDefault="000120E1" w14:paraId="59DFCB28" w14:textId="77777777">
            <w:pPr>
              <w:tabs>
                <w:tab w:val="center" w:pos="284"/>
              </w:tabs>
              <w:spacing w:line="259" w:lineRule="auto"/>
              <w:ind w:left="266" w:hanging="266"/>
              <w:jc w:val="left"/>
              <w:rPr>
                <w:rFonts w:eastAsiaTheme="minorHAnsi"/>
                <w:b/>
                <w:szCs w:val="24"/>
              </w:rPr>
            </w:pPr>
            <w:r>
              <w:rPr>
                <w:b/>
              </w:rPr>
              <w:t>Pranešėjas</w:t>
            </w:r>
          </w:p>
        </w:tc>
        <w:tc>
          <w:tcPr>
            <w:tcW w:w="3784" w:type="pct"/>
          </w:tcPr>
          <w:p w:rsidRPr="00DC0FAE" w:rsidR="000120E1" w:rsidP="00DC0FAE" w:rsidRDefault="000120E1" w14:paraId="79819113" w14:textId="77777777">
            <w:pPr>
              <w:tabs>
                <w:tab w:val="center" w:pos="284"/>
              </w:tabs>
              <w:spacing w:line="259" w:lineRule="auto"/>
              <w:ind w:left="266" w:hanging="266"/>
              <w:jc w:val="left"/>
              <w:rPr>
                <w:rFonts w:eastAsiaTheme="minorHAnsi"/>
                <w:szCs w:val="24"/>
              </w:rPr>
            </w:pPr>
            <w:proofErr w:type="spellStart"/>
            <w:r>
              <w:t>Gonçalo</w:t>
            </w:r>
            <w:proofErr w:type="spellEnd"/>
            <w:r>
              <w:t xml:space="preserve"> Lobo </w:t>
            </w:r>
            <w:proofErr w:type="spellStart"/>
            <w:r>
              <w:t>Xavier</w:t>
            </w:r>
            <w:proofErr w:type="spellEnd"/>
            <w:r>
              <w:t xml:space="preserve"> (Darbdavių </w:t>
            </w:r>
            <w:proofErr w:type="spellStart"/>
            <w:r>
              <w:t>gr</w:t>
            </w:r>
            <w:proofErr w:type="spellEnd"/>
            <w:r>
              <w:t>., PT)</w:t>
            </w:r>
          </w:p>
        </w:tc>
      </w:tr>
      <w:tr w:rsidRPr="000120E1" w:rsidR="000120E1" w:rsidTr="00FE3058" w14:paraId="2A3124EA" w14:textId="77777777">
        <w:tc>
          <w:tcPr>
            <w:tcW w:w="1216" w:type="pct"/>
          </w:tcPr>
          <w:p w:rsidRPr="00DC0FAE" w:rsidR="000120E1" w:rsidP="00DC0FAE" w:rsidRDefault="000120E1" w14:paraId="051BCACD" w14:textId="77777777">
            <w:pPr>
              <w:tabs>
                <w:tab w:val="center" w:pos="284"/>
              </w:tabs>
              <w:spacing w:line="259" w:lineRule="auto"/>
              <w:ind w:left="266" w:hanging="266"/>
              <w:jc w:val="left"/>
              <w:rPr>
                <w:rFonts w:eastAsiaTheme="minorHAnsi"/>
                <w:b/>
                <w:szCs w:val="24"/>
              </w:rPr>
            </w:pPr>
            <w:proofErr w:type="spellStart"/>
            <w:r>
              <w:rPr>
                <w:b/>
              </w:rPr>
              <w:t>Bendrapranešėjis</w:t>
            </w:r>
            <w:proofErr w:type="spellEnd"/>
          </w:p>
        </w:tc>
        <w:tc>
          <w:tcPr>
            <w:tcW w:w="3784" w:type="pct"/>
          </w:tcPr>
          <w:p w:rsidRPr="00DC0FAE" w:rsidR="000120E1" w:rsidP="00DC0FAE" w:rsidRDefault="000120E1" w14:paraId="163FD73E" w14:textId="77777777">
            <w:pPr>
              <w:tabs>
                <w:tab w:val="center" w:pos="284"/>
              </w:tabs>
              <w:spacing w:line="259" w:lineRule="auto"/>
              <w:ind w:left="266" w:hanging="266"/>
              <w:jc w:val="left"/>
              <w:rPr>
                <w:rFonts w:eastAsiaTheme="minorHAnsi"/>
                <w:szCs w:val="24"/>
              </w:rPr>
            </w:pPr>
            <w:proofErr w:type="spellStart"/>
            <w:r>
              <w:t>Jean-Michel</w:t>
            </w:r>
            <w:proofErr w:type="spellEnd"/>
            <w:r>
              <w:t xml:space="preserve"> </w:t>
            </w:r>
            <w:proofErr w:type="spellStart"/>
            <w:r>
              <w:t>Pourteau</w:t>
            </w:r>
            <w:proofErr w:type="spellEnd"/>
            <w:r>
              <w:t xml:space="preserve"> (2 kat., FR)</w:t>
            </w:r>
          </w:p>
        </w:tc>
      </w:tr>
      <w:tr w:rsidRPr="000120E1" w:rsidR="000120E1" w:rsidTr="00FE3058" w14:paraId="5A91F27D" w14:textId="77777777">
        <w:tc>
          <w:tcPr>
            <w:tcW w:w="5000" w:type="pct"/>
            <w:gridSpan w:val="2"/>
          </w:tcPr>
          <w:p w:rsidRPr="00DC0FAE"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120E1" w:rsidR="000120E1" w:rsidTr="00FE3058" w14:paraId="70AFA820" w14:textId="77777777">
        <w:tc>
          <w:tcPr>
            <w:tcW w:w="1216" w:type="pct"/>
            <w:vMerge w:val="restart"/>
          </w:tcPr>
          <w:p w:rsidRPr="00DC0FAE" w:rsidR="000120E1" w:rsidP="00DC0FAE" w:rsidRDefault="000120E1" w14:paraId="2C1088D7" w14:textId="77777777">
            <w:pPr>
              <w:tabs>
                <w:tab w:val="center" w:pos="284"/>
              </w:tabs>
              <w:spacing w:line="259" w:lineRule="auto"/>
              <w:ind w:left="266" w:hanging="266"/>
              <w:jc w:val="left"/>
              <w:rPr>
                <w:rFonts w:eastAsiaTheme="minorHAnsi"/>
                <w:b/>
                <w:szCs w:val="24"/>
              </w:rPr>
            </w:pPr>
            <w:r>
              <w:rPr>
                <w:b/>
              </w:rPr>
              <w:t>Nuorodos</w:t>
            </w:r>
          </w:p>
        </w:tc>
        <w:tc>
          <w:tcPr>
            <w:tcW w:w="3784" w:type="pct"/>
          </w:tcPr>
          <w:p w:rsidRPr="00DC0FAE" w:rsidR="000120E1" w:rsidP="00DC0FAE" w:rsidRDefault="000120E1" w14:paraId="115E7B5F" w14:textId="77777777">
            <w:pPr>
              <w:tabs>
                <w:tab w:val="center" w:pos="284"/>
              </w:tabs>
              <w:spacing w:line="259" w:lineRule="auto"/>
              <w:ind w:left="266" w:hanging="266"/>
              <w:jc w:val="left"/>
              <w:rPr>
                <w:rFonts w:eastAsiaTheme="minorHAnsi"/>
                <w:szCs w:val="24"/>
              </w:rPr>
            </w:pPr>
            <w:r>
              <w:t xml:space="preserve">COM(2024) 62 </w:t>
            </w:r>
            <w:proofErr w:type="spellStart"/>
            <w:r>
              <w:t>final</w:t>
            </w:r>
            <w:proofErr w:type="spellEnd"/>
          </w:p>
        </w:tc>
      </w:tr>
      <w:tr w:rsidRPr="000120E1" w:rsidR="000120E1" w:rsidTr="00FE3058" w14:paraId="36B63748" w14:textId="77777777">
        <w:tc>
          <w:tcPr>
            <w:tcW w:w="1216" w:type="pct"/>
            <w:vMerge/>
          </w:tcPr>
          <w:p w:rsidRPr="000120E1"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DC0FAE" w:rsidR="000120E1" w:rsidP="00DC0FAE" w:rsidRDefault="000120E1" w14:paraId="156AA12F" w14:textId="77777777">
            <w:pPr>
              <w:tabs>
                <w:tab w:val="center" w:pos="284"/>
              </w:tabs>
              <w:spacing w:line="259" w:lineRule="auto"/>
              <w:ind w:left="266" w:hanging="266"/>
              <w:jc w:val="left"/>
              <w:rPr>
                <w:rFonts w:eastAsiaTheme="minorHAnsi"/>
                <w:szCs w:val="24"/>
              </w:rPr>
            </w:pPr>
            <w:r>
              <w:t>EESC-2024-00878-00-00-AC</w:t>
            </w:r>
          </w:p>
        </w:tc>
      </w:tr>
    </w:tbl>
    <w:p w:rsidRPr="000120E1"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20E1" w:rsidRDefault="000120E1" w14:paraId="7665D3CF" w14:textId="77777777">
      <w:pPr>
        <w:keepNext/>
        <w:keepLines/>
        <w:spacing w:after="160" w:line="259" w:lineRule="auto"/>
        <w:ind w:left="142" w:hanging="142"/>
        <w:jc w:val="left"/>
        <w:rPr>
          <w:rFonts w:eastAsiaTheme="minorHAnsi"/>
          <w:b/>
        </w:rPr>
      </w:pPr>
      <w:r>
        <w:rPr>
          <w:b/>
        </w:rPr>
        <w:t>Dokumento esmė</w:t>
      </w:r>
    </w:p>
    <w:p w:rsidRPr="000120E1" w:rsidR="000120E1" w:rsidP="00DC0FAE" w:rsidRDefault="000120E1" w14:paraId="3B7BB1CC" w14:textId="77777777">
      <w:pPr>
        <w:spacing w:after="160" w:line="259" w:lineRule="auto"/>
        <w:jc w:val="left"/>
        <w:rPr>
          <w:rFonts w:eastAsiaTheme="minorHAnsi"/>
        </w:rPr>
      </w:pPr>
      <w:r>
        <w:t>EESRK</w:t>
      </w:r>
    </w:p>
    <w:p w:rsidRPr="000120E1" w:rsidR="000120E1" w:rsidP="00DC0FAE" w:rsidRDefault="000120E1" w14:paraId="1360B3DB" w14:textId="77777777">
      <w:pPr>
        <w:numPr>
          <w:ilvl w:val="0"/>
          <w:numId w:val="26"/>
        </w:numPr>
        <w:spacing w:after="160" w:line="259" w:lineRule="auto"/>
        <w:ind w:left="284" w:hanging="284"/>
        <w:contextualSpacing/>
        <w:rPr>
          <w:rFonts w:eastAsiaTheme="minorHAnsi"/>
        </w:rPr>
      </w:pPr>
      <w:r>
        <w:t xml:space="preserve">mano, kad </w:t>
      </w:r>
      <w:r>
        <w:rPr>
          <w:b/>
        </w:rPr>
        <w:t>ES pramoninio anglies dioksido tvarkymo strategija iš esmės yra labai sveikintina ir subalansuota</w:t>
      </w:r>
      <w:r>
        <w:t xml:space="preserve">, apimanti daugelį elementų, kurie yra labai svarbūs </w:t>
      </w:r>
      <w:r>
        <w:rPr>
          <w:b/>
        </w:rPr>
        <w:t>diegiant anglies dioksido surinkimo ir saugojimo (CCS) bei anglies dioksido surinkimo ir naudojimo (CCU) technologijas ES pramoniniu mastu</w:t>
      </w:r>
      <w:r>
        <w:t>;</w:t>
      </w:r>
    </w:p>
    <w:p w:rsidRPr="000120E1" w:rsidR="000120E1" w:rsidP="00DC0FAE" w:rsidRDefault="000120E1" w14:paraId="7FE09CBD" w14:textId="77777777">
      <w:pPr>
        <w:numPr>
          <w:ilvl w:val="0"/>
          <w:numId w:val="26"/>
        </w:numPr>
        <w:spacing w:after="160" w:line="259" w:lineRule="auto"/>
        <w:ind w:left="284" w:hanging="284"/>
        <w:contextualSpacing/>
        <w:rPr>
          <w:rFonts w:eastAsiaTheme="minorHAnsi"/>
        </w:rPr>
      </w:pPr>
      <w:r>
        <w:t xml:space="preserve">pripažįsta, kad siekiant sukurti </w:t>
      </w:r>
      <w:r>
        <w:rPr>
          <w:b/>
        </w:rPr>
        <w:t>bendrosios anglies dioksido rinką</w:t>
      </w:r>
      <w:r>
        <w:t xml:space="preserve"> būtina </w:t>
      </w:r>
      <w:r>
        <w:rPr>
          <w:b/>
        </w:rPr>
        <w:t>nustatyti saugojimo ir transporto infrastruktūrą (įskaitant tarpvalstybinę)</w:t>
      </w:r>
      <w:r>
        <w:t xml:space="preserve"> ir </w:t>
      </w:r>
      <w:r>
        <w:rPr>
          <w:b/>
        </w:rPr>
        <w:t>rinkos taisykles</w:t>
      </w:r>
      <w:r>
        <w:t xml:space="preserve">; </w:t>
      </w:r>
    </w:p>
    <w:p w:rsidRPr="000120E1" w:rsidR="000120E1" w:rsidP="00DC0FAE" w:rsidRDefault="000120E1" w14:paraId="66EA0A1A" w14:textId="77777777">
      <w:pPr>
        <w:numPr>
          <w:ilvl w:val="0"/>
          <w:numId w:val="26"/>
        </w:numPr>
        <w:spacing w:after="160" w:line="259" w:lineRule="auto"/>
        <w:ind w:left="284" w:hanging="284"/>
        <w:contextualSpacing/>
        <w:rPr>
          <w:rFonts w:eastAsiaTheme="minorHAnsi"/>
        </w:rPr>
      </w:pPr>
      <w:r>
        <w:t xml:space="preserve">atkreipia dėmesį į tai, kad </w:t>
      </w:r>
      <w:r>
        <w:rPr>
          <w:b/>
        </w:rPr>
        <w:t xml:space="preserve">anglies dioksido tvarkymo strategijas </w:t>
      </w:r>
      <w:r>
        <w:t xml:space="preserve">reikia </w:t>
      </w:r>
      <w:r>
        <w:rPr>
          <w:b/>
        </w:rPr>
        <w:t>pritaikyti konkretiems pramonės sektoriams</w:t>
      </w:r>
      <w:r>
        <w:t>;</w:t>
      </w:r>
    </w:p>
    <w:p w:rsidRPr="000120E1" w:rsidR="000120E1" w:rsidP="00DC0FAE" w:rsidRDefault="000120E1" w14:paraId="3B9262A2" w14:textId="77777777">
      <w:pPr>
        <w:numPr>
          <w:ilvl w:val="0"/>
          <w:numId w:val="26"/>
        </w:numPr>
        <w:spacing w:after="160" w:line="259" w:lineRule="auto"/>
        <w:ind w:left="284" w:hanging="284"/>
        <w:contextualSpacing/>
        <w:rPr>
          <w:rFonts w:eastAsiaTheme="minorHAnsi"/>
        </w:rPr>
      </w:pPr>
      <w:r>
        <w:t xml:space="preserve">mano, kad labai svarbu </w:t>
      </w:r>
      <w:r>
        <w:rPr>
          <w:b/>
        </w:rPr>
        <w:t>nustatyti kliūtis, trukdančias veiksmingai įgyvendinti esamą anglies dioksido tvarkymo praktiką</w:t>
      </w:r>
      <w:r>
        <w:t>, kad būtų galima įgyvendinti pokyčius ir apibrėžti strategijas;</w:t>
      </w:r>
    </w:p>
    <w:p w:rsidRPr="000120E1" w:rsidR="000120E1" w:rsidP="00DC0FAE" w:rsidRDefault="000120E1" w14:paraId="79DEBCDC" w14:textId="77777777">
      <w:pPr>
        <w:numPr>
          <w:ilvl w:val="0"/>
          <w:numId w:val="26"/>
        </w:numPr>
        <w:spacing w:after="160" w:line="259" w:lineRule="auto"/>
        <w:ind w:left="284" w:hanging="284"/>
        <w:contextualSpacing/>
        <w:rPr>
          <w:rFonts w:eastAsiaTheme="minorHAnsi"/>
        </w:rPr>
      </w:pPr>
      <w:r>
        <w:t xml:space="preserve">mano, kad akivaizdu, jog ES reikia </w:t>
      </w:r>
      <w:r>
        <w:rPr>
          <w:b/>
        </w:rPr>
        <w:t>anglies dioksido pramonės strategijos, kuri skatintų tvarų augimą</w:t>
      </w:r>
      <w:r>
        <w:t xml:space="preserve"> ir kuri ne tik </w:t>
      </w:r>
      <w:r>
        <w:rPr>
          <w:b/>
        </w:rPr>
        <w:t>padėtų įgyvendinti žaliąjį kursą</w:t>
      </w:r>
      <w:r>
        <w:t xml:space="preserve">, bet ir </w:t>
      </w:r>
      <w:r>
        <w:rPr>
          <w:b/>
        </w:rPr>
        <w:t>užtikrintų kokybiškas darbo vietas ir teisingą pertvarką darbuotojams</w:t>
      </w:r>
      <w:r>
        <w:t xml:space="preserve">, taip pat padėtų nustatyti </w:t>
      </w:r>
      <w:r>
        <w:rPr>
          <w:b/>
        </w:rPr>
        <w:t>galimą darbo jėgos ir įgūdžių trūkumą</w:t>
      </w:r>
      <w:r>
        <w:t>;</w:t>
      </w:r>
    </w:p>
    <w:p w:rsidRPr="000120E1" w:rsidR="000120E1" w:rsidP="00DC0FAE" w:rsidRDefault="000120E1" w14:paraId="71004638" w14:textId="77777777">
      <w:pPr>
        <w:numPr>
          <w:ilvl w:val="0"/>
          <w:numId w:val="26"/>
        </w:numPr>
        <w:spacing w:after="160" w:line="259" w:lineRule="auto"/>
        <w:ind w:left="284" w:hanging="284"/>
        <w:contextualSpacing/>
        <w:rPr>
          <w:rFonts w:eastAsiaTheme="minorHAnsi"/>
        </w:rPr>
      </w:pPr>
      <w:r>
        <w:t xml:space="preserve">rekomenduoja parengti </w:t>
      </w:r>
      <w:r>
        <w:rPr>
          <w:b/>
        </w:rPr>
        <w:t>aiškų anglies dioksido surinkimo ir saugojimo (CCS ir CCU) technologijų plėtojimo planą</w:t>
      </w:r>
      <w:r>
        <w:t xml:space="preserve">, o </w:t>
      </w:r>
      <w:r>
        <w:rPr>
          <w:b/>
        </w:rPr>
        <w:t>viešąjį finansavimą susieti su socialinių sąlygų mechanizmu, kuriuo būtų siekiama kurti ir išlaikyti kokybiškas darbo vietas</w:t>
      </w:r>
      <w:r>
        <w:t>;</w:t>
      </w:r>
    </w:p>
    <w:p w:rsidRPr="000120E1" w:rsidR="000120E1" w:rsidP="00DC0FAE" w:rsidRDefault="000120E1" w14:paraId="3292CDC0" w14:textId="77777777">
      <w:pPr>
        <w:numPr>
          <w:ilvl w:val="0"/>
          <w:numId w:val="26"/>
        </w:numPr>
        <w:spacing w:after="160" w:line="259" w:lineRule="auto"/>
        <w:ind w:left="284" w:hanging="284"/>
        <w:contextualSpacing/>
        <w:rPr>
          <w:rFonts w:eastAsiaTheme="minorHAnsi"/>
        </w:rPr>
      </w:pPr>
      <w:r>
        <w:t xml:space="preserve">mano, kad anglies dioksido mažinimo projektai turėtų vienodai apimti ir </w:t>
      </w:r>
      <w:r>
        <w:rPr>
          <w:b/>
        </w:rPr>
        <w:t>anglies dioksido absorbavimą, ir anglies dioksido vengimą</w:t>
      </w:r>
      <w:r>
        <w:t xml:space="preserve">, nes </w:t>
      </w:r>
      <w:r>
        <w:rPr>
          <w:b/>
        </w:rPr>
        <w:t>anglies dioksido vengimas šiuo metu nepakankamai remiamas</w:t>
      </w:r>
      <w:r>
        <w:t>;</w:t>
      </w:r>
    </w:p>
    <w:p w:rsidRPr="000120E1" w:rsidR="000120E1" w:rsidP="00DC0FAE" w:rsidRDefault="000120E1" w14:paraId="44EC1EE2" w14:textId="77777777">
      <w:pPr>
        <w:numPr>
          <w:ilvl w:val="0"/>
          <w:numId w:val="26"/>
        </w:numPr>
        <w:spacing w:after="160" w:line="259" w:lineRule="auto"/>
        <w:ind w:left="284" w:hanging="284"/>
        <w:contextualSpacing/>
        <w:rPr>
          <w:rFonts w:eastAsiaTheme="minorHAnsi"/>
        </w:rPr>
      </w:pPr>
      <w:r>
        <w:t xml:space="preserve">rekomenduoja </w:t>
      </w:r>
      <w:r>
        <w:rPr>
          <w:b/>
        </w:rPr>
        <w:t>sukurti naują, atskirą, gerai parengtą, didelio patikimumo ir tvirtą kreditų sistemą, skirtą anglies dioksido vengimui</w:t>
      </w:r>
      <w:r>
        <w:t>, ir taikyti paskatas priklausomybei nuo iškastinio kuro mažinti;</w:t>
      </w:r>
    </w:p>
    <w:p w:rsidRPr="000120E1" w:rsidR="000120E1" w:rsidP="00DC0FAE" w:rsidRDefault="000120E1" w14:paraId="31699FAA" w14:textId="77777777">
      <w:pPr>
        <w:numPr>
          <w:ilvl w:val="0"/>
          <w:numId w:val="26"/>
        </w:numPr>
        <w:spacing w:after="160" w:line="259" w:lineRule="auto"/>
        <w:ind w:left="284" w:hanging="284"/>
        <w:contextualSpacing/>
        <w:rPr>
          <w:rFonts w:eastAsiaTheme="minorHAnsi"/>
        </w:rPr>
      </w:pPr>
      <w:r>
        <w:t xml:space="preserve">teigia, kad </w:t>
      </w:r>
      <w:r>
        <w:rPr>
          <w:b/>
        </w:rPr>
        <w:t>ES apyvartinių taršos leidimų prekybos sistemos (ATLPS) leidimai neturėtų būti naudojami kaip kreditai</w:t>
      </w:r>
      <w:r>
        <w:t>, nes tai galėtų pakenkti dabartiniam į rinką orientuotam ES prekybos apyvartiniais taršos leidimais sistemos pobūdžiui.</w:t>
      </w:r>
    </w:p>
    <w:p w:rsidR="000120E1" w:rsidP="000120E1" w:rsidRDefault="000120E1" w14:paraId="3C1F1540" w14:textId="33153725">
      <w:pPr>
        <w:spacing w:after="160" w:line="259" w:lineRule="auto"/>
        <w:ind w:left="720"/>
        <w:contextualSpacing/>
        <w:jc w:val="left"/>
        <w:rPr>
          <w:rFonts w:eastAsiaTheme="minorHAnsi"/>
        </w:rPr>
      </w:pP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2"/>
        <w:gridCol w:w="3039"/>
      </w:tblGrid>
      <w:tr w:rsidRPr="000120E1" w:rsidR="000120E1" w:rsidTr="00FE3058" w14:paraId="5D2D90F0" w14:textId="77777777">
        <w:tc>
          <w:tcPr>
            <w:tcW w:w="3998" w:type="pct"/>
          </w:tcPr>
          <w:p w:rsidRPr="00DC0FAE" w:rsidR="000120E1" w:rsidP="00DC0FAE" w:rsidRDefault="000120E1" w14:paraId="0F7EFF96" w14:textId="77777777">
            <w:pPr>
              <w:spacing w:line="259" w:lineRule="auto"/>
              <w:jc w:val="left"/>
              <w:rPr>
                <w:rFonts w:eastAsiaTheme="minorHAnsi"/>
                <w:i/>
              </w:rPr>
            </w:pPr>
            <w:r>
              <w:rPr>
                <w:b/>
                <w:i/>
              </w:rPr>
              <w:t>Kontaktinis asmuo</w:t>
            </w:r>
          </w:p>
        </w:tc>
        <w:tc>
          <w:tcPr>
            <w:tcW w:w="1002" w:type="pct"/>
            <w:tcBorders>
              <w:left w:val="nil"/>
            </w:tcBorders>
          </w:tcPr>
          <w:p w:rsidRPr="00DC0FAE" w:rsidR="000120E1" w:rsidP="00DC0FAE" w:rsidRDefault="000120E1" w14:paraId="161FCDF9" w14:textId="041A1233">
            <w:pPr>
              <w:spacing w:line="259" w:lineRule="auto"/>
              <w:jc w:val="left"/>
              <w:rPr>
                <w:rFonts w:eastAsiaTheme="minorHAnsi"/>
                <w:i/>
              </w:rPr>
            </w:pPr>
            <w:r>
              <w:rPr>
                <w:i/>
              </w:rPr>
              <w:t xml:space="preserve">Adam </w:t>
            </w:r>
            <w:proofErr w:type="spellStart"/>
            <w:r>
              <w:rPr>
                <w:i/>
              </w:rPr>
              <w:t>Dorywalski</w:t>
            </w:r>
            <w:proofErr w:type="spellEnd"/>
          </w:p>
        </w:tc>
      </w:tr>
      <w:tr w:rsidRPr="000120E1" w:rsidR="000120E1" w:rsidTr="00FE3058" w14:paraId="4F400A68" w14:textId="77777777">
        <w:tc>
          <w:tcPr>
            <w:tcW w:w="3998" w:type="pct"/>
          </w:tcPr>
          <w:p w:rsidRPr="00DC0FAE" w:rsidR="000120E1" w:rsidP="00DC0FAE" w:rsidRDefault="000120E1" w14:paraId="381E2BF8" w14:textId="77777777">
            <w:pPr>
              <w:spacing w:line="259" w:lineRule="auto"/>
              <w:jc w:val="left"/>
              <w:rPr>
                <w:rFonts w:eastAsiaTheme="minorHAnsi"/>
                <w:i/>
              </w:rPr>
            </w:pPr>
            <w:r>
              <w:rPr>
                <w:i/>
              </w:rPr>
              <w:t xml:space="preserve">Tel. </w:t>
            </w:r>
          </w:p>
        </w:tc>
        <w:tc>
          <w:tcPr>
            <w:tcW w:w="1002" w:type="pct"/>
            <w:tcBorders>
              <w:left w:val="nil"/>
            </w:tcBorders>
          </w:tcPr>
          <w:p w:rsidRPr="00DC0FAE" w:rsidR="000120E1" w:rsidP="00DC0FAE" w:rsidRDefault="000120E1" w14:paraId="78898855" w14:textId="77777777">
            <w:pPr>
              <w:spacing w:line="259" w:lineRule="auto"/>
              <w:jc w:val="left"/>
              <w:rPr>
                <w:rFonts w:eastAsiaTheme="minorHAnsi"/>
                <w:i/>
              </w:rPr>
            </w:pPr>
            <w:r>
              <w:rPr>
                <w:i/>
              </w:rPr>
              <w:t>+32 25469397</w:t>
            </w:r>
          </w:p>
        </w:tc>
      </w:tr>
      <w:tr w:rsidRPr="000120E1" w:rsidR="000120E1" w:rsidTr="00FE3058" w14:paraId="63DC3EB7" w14:textId="77777777">
        <w:tc>
          <w:tcPr>
            <w:tcW w:w="3998" w:type="pct"/>
          </w:tcPr>
          <w:p w:rsidRPr="00DC0FAE" w:rsidR="000120E1" w:rsidP="00DC0FAE" w:rsidRDefault="00DD6D07" w14:paraId="66DC166A" w14:textId="68F50A4B">
            <w:pPr>
              <w:spacing w:line="259" w:lineRule="auto"/>
              <w:jc w:val="left"/>
              <w:rPr>
                <w:rFonts w:eastAsiaTheme="minorHAnsi"/>
                <w:i/>
                <w:iCs/>
              </w:rPr>
            </w:pPr>
            <w:r>
              <w:rPr>
                <w:i/>
              </w:rPr>
              <w:t>E. paštas</w:t>
            </w:r>
          </w:p>
        </w:tc>
        <w:tc>
          <w:tcPr>
            <w:tcW w:w="1002" w:type="pct"/>
            <w:tcBorders>
              <w:left w:val="nil"/>
            </w:tcBorders>
          </w:tcPr>
          <w:p w:rsidRPr="00DC0FAE" w:rsidR="000120E1" w:rsidP="00DC0FAE" w:rsidRDefault="000339E9" w14:paraId="2454CA29" w14:textId="77777777">
            <w:pPr>
              <w:spacing w:line="259" w:lineRule="auto"/>
              <w:jc w:val="left"/>
              <w:rPr>
                <w:rFonts w:eastAsiaTheme="minorHAnsi"/>
                <w:i/>
                <w:iCs/>
              </w:rPr>
            </w:pPr>
            <w:hyperlink w:history="1" r:id="rId41">
              <w:r w:rsidR="00D63208">
                <w:rPr>
                  <w:i/>
                  <w:color w:val="0000FF"/>
                  <w:u w:val="single"/>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3C2FB3" w:rsidR="003C2FB3" w:rsidP="00C26C81" w:rsidRDefault="000339E9"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851457">
          <w:rPr>
            <w:b/>
            <w:i/>
            <w:color w:val="0000FF"/>
            <w:sz w:val="28"/>
            <w:u w:val="single"/>
          </w:rPr>
          <w:t>Europos gynybos pramonės strategija</w:t>
        </w:r>
      </w:hyperlink>
    </w:p>
    <w:p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3C2FB3"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2FB3" w:rsidR="003C2FB3" w:rsidTr="00FE3058" w14:paraId="30A6177E" w14:textId="77777777">
        <w:tc>
          <w:tcPr>
            <w:tcW w:w="1148" w:type="pct"/>
          </w:tcPr>
          <w:p w:rsidRPr="003C2FB3"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Pr>
                <w:b/>
              </w:rPr>
              <w:t>Pranešėjas</w:t>
            </w:r>
          </w:p>
        </w:tc>
        <w:tc>
          <w:tcPr>
            <w:tcW w:w="3852" w:type="pct"/>
          </w:tcPr>
          <w:p w:rsidRPr="00DC0FAE" w:rsidR="003C2FB3" w:rsidP="003C2FB3" w:rsidRDefault="003C2FB3" w14:paraId="77DB3C52" w14:textId="0705E08B">
            <w:pPr>
              <w:tabs>
                <w:tab w:val="center" w:pos="284"/>
              </w:tabs>
              <w:overflowPunct w:val="0"/>
              <w:autoSpaceDE w:val="0"/>
              <w:autoSpaceDN w:val="0"/>
              <w:adjustRightInd w:val="0"/>
              <w:ind w:left="266" w:hanging="266"/>
              <w:textAlignment w:val="baseline"/>
            </w:pPr>
            <w:proofErr w:type="spellStart"/>
            <w:r>
              <w:t>Maurizio</w:t>
            </w:r>
            <w:proofErr w:type="spellEnd"/>
            <w:r>
              <w:t xml:space="preserve"> </w:t>
            </w:r>
            <w:proofErr w:type="spellStart"/>
            <w:r>
              <w:t>Mensi</w:t>
            </w:r>
            <w:proofErr w:type="spellEnd"/>
            <w:r>
              <w:t xml:space="preserve"> (Pilietinės visuomenės organizacijų grupė, IT)</w:t>
            </w:r>
          </w:p>
        </w:tc>
      </w:tr>
      <w:tr w:rsidRPr="003C2FB3" w:rsidR="003C2FB3" w:rsidTr="00FE3058" w14:paraId="4330C7A8" w14:textId="77777777">
        <w:tc>
          <w:tcPr>
            <w:tcW w:w="1148" w:type="pct"/>
          </w:tcPr>
          <w:p w:rsidRPr="003C2FB3"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852" w:type="pct"/>
          </w:tcPr>
          <w:p w:rsidRPr="00DC0FAE" w:rsidR="003C2FB3" w:rsidP="003C2FB3" w:rsidRDefault="003C2FB3" w14:paraId="227D7CFD" w14:textId="0783DBC3">
            <w:pPr>
              <w:tabs>
                <w:tab w:val="center" w:pos="284"/>
              </w:tabs>
              <w:overflowPunct w:val="0"/>
              <w:autoSpaceDE w:val="0"/>
              <w:autoSpaceDN w:val="0"/>
              <w:adjustRightInd w:val="0"/>
              <w:ind w:left="266" w:hanging="266"/>
              <w:textAlignment w:val="baseline"/>
            </w:pPr>
            <w:proofErr w:type="spellStart"/>
            <w:r>
              <w:t>Jan</w:t>
            </w:r>
            <w:proofErr w:type="spellEnd"/>
            <w:r>
              <w:t xml:space="preserve"> </w:t>
            </w:r>
            <w:proofErr w:type="spellStart"/>
            <w:r>
              <w:t>Pie</w:t>
            </w:r>
            <w:proofErr w:type="spellEnd"/>
            <w:r>
              <w:t xml:space="preserve"> (1 kat., SE)</w:t>
            </w:r>
          </w:p>
        </w:tc>
      </w:tr>
      <w:tr w:rsidRPr="003C2FB3" w:rsidR="003C2FB3" w:rsidTr="00FE3058" w14:paraId="5B13BE6E" w14:textId="77777777">
        <w:tc>
          <w:tcPr>
            <w:tcW w:w="5000" w:type="pct"/>
            <w:gridSpan w:val="2"/>
          </w:tcPr>
          <w:p w:rsidRPr="003C2FB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3C2FB3" w:rsidR="003C2FB3" w:rsidTr="00FE3058" w14:paraId="53790FDC" w14:textId="77777777">
        <w:tc>
          <w:tcPr>
            <w:tcW w:w="1148" w:type="pct"/>
          </w:tcPr>
          <w:p w:rsidRPr="003C2FB3"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Pr>
                <w:b/>
              </w:rPr>
              <w:t>Nuorodos</w:t>
            </w:r>
          </w:p>
        </w:tc>
        <w:tc>
          <w:tcPr>
            <w:tcW w:w="3852" w:type="pct"/>
          </w:tcPr>
          <w:p w:rsidR="00DD6911" w:rsidP="003C2FB3" w:rsidRDefault="00DD6911" w14:paraId="716A7B7A" w14:textId="397FFFB3">
            <w:pPr>
              <w:tabs>
                <w:tab w:val="center" w:pos="284"/>
              </w:tabs>
              <w:overflowPunct w:val="0"/>
              <w:autoSpaceDE w:val="0"/>
              <w:autoSpaceDN w:val="0"/>
              <w:adjustRightInd w:val="0"/>
              <w:ind w:left="266" w:hanging="266"/>
              <w:textAlignment w:val="baseline"/>
            </w:pPr>
            <w:r>
              <w:t xml:space="preserve">JOIN(2024) 10 </w:t>
            </w:r>
            <w:proofErr w:type="spellStart"/>
            <w:r>
              <w:t>final</w:t>
            </w:r>
            <w:proofErr w:type="spellEnd"/>
          </w:p>
          <w:p w:rsidRPr="003C2FB3" w:rsidR="003C2FB3" w:rsidP="003C2FB3" w:rsidRDefault="003C2FB3" w14:paraId="2AE94E99" w14:textId="68928235">
            <w:pPr>
              <w:tabs>
                <w:tab w:val="center" w:pos="284"/>
              </w:tabs>
              <w:overflowPunct w:val="0"/>
              <w:autoSpaceDE w:val="0"/>
              <w:autoSpaceDN w:val="0"/>
              <w:adjustRightInd w:val="0"/>
              <w:ind w:left="266" w:hanging="266"/>
              <w:textAlignment w:val="baseline"/>
            </w:pPr>
            <w:r>
              <w:t>EESC-2024-00782-00-00-AC</w:t>
            </w:r>
          </w:p>
        </w:tc>
      </w:tr>
    </w:tbl>
    <w:p w:rsidRPr="003C2FB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3C2FB3"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3C2FB3" w:rsidRDefault="003C2FB3" w14:paraId="54D38215" w14:textId="77777777">
      <w:pPr>
        <w:overflowPunct w:val="0"/>
        <w:autoSpaceDE w:val="0"/>
        <w:autoSpaceDN w:val="0"/>
        <w:adjustRightInd w:val="0"/>
        <w:textAlignment w:val="baseline"/>
        <w:rPr>
          <w:bCs/>
          <w:iCs/>
        </w:rPr>
      </w:pPr>
      <w:r>
        <w:t>EESRK</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palankiai vertina Europos gynybos pramonės strategiją kaip svarbų žingsnį stiprinant Europos gynybos parengtį, taigi ir jos gebėjimą apsaugoti savo piliečius, teritoriją, pagrindines vertybes ir gyvenimo;</w:t>
      </w:r>
    </w:p>
    <w:p w:rsidRPr="003C2FB3"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palankiai vertina perėjimą nuo neatidėliotinų priemonių prie ilgesnio laikotarpio struktūrinio atsako. Visų pirma, EESRK palankiai vertina skiriamą dėmesį poreikiui didinti Europos apsirūpinimą tenkinant Europos;</w:t>
      </w:r>
    </w:p>
    <w:p w:rsidRPr="003C2FB3"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pabrėžia, kad siekiant strategijos tikslų svarbu pasitelkti partnerystes su bendrų vertybių besilaikančiomis draugiškomis;</w:t>
      </w:r>
    </w:p>
    <w:p w:rsidRPr="003C2FB3"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apgailestauja, kad strategijoje nenagrinėjamas visuomenės suvokimas, nes tai yra pagrindinis demokratinės visuomenės veiksnys;</w:t>
      </w:r>
    </w:p>
    <w:p w:rsidRPr="003C2FB3"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pažymi, kad mažai tikėtina, jog pagrindinė strategijos įgyvendinimo priemonė (EDIP) pradės veikti iki 2025 m. pabaigos. Todėl strategiją reikia papildyti kitomis trumpalaikėmis priemonėmis, skirtomis patenkinti neatidėliotinus poreikius.</w:t>
      </w:r>
    </w:p>
    <w:p w:rsidRPr="003C2FB3"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ragina valstybes nares priimti Komisijos kvietimą pasitelkti turimas priemones ir trumpuoju laikotarpiu ieškoti galimybių skatinti didelio masto bendrus viešuosius pirkimus gynybos srityje, didelio masto EGTPB plėtrą ir pradėti pavyzdinius gynybos projektus;</w:t>
      </w:r>
    </w:p>
    <w:p w:rsidRPr="003C2FB3"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t>taip pat laikosi nuomonės, kad tiek pramonės, tiek strateginiu požiūriu labai svarbu užtikrinti galimybę gynybos pramonei įgyti įgūdžių, naudotis technologijomis ir moksliniais;</w:t>
      </w:r>
    </w:p>
    <w:p w:rsidRPr="003C2FB3"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pabrėžia, kad strategijos sėkmė visų pirma priklausys nuo to, ar valstybės narės visapusiškai įsitrauks ir pripažins Europos požiūrio pridėtinę vertę.</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3C2FB3" w:rsidTr="00FE3058" w14:paraId="0D2CEC95" w14:textId="77777777">
        <w:tc>
          <w:tcPr>
            <w:tcW w:w="1556"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DC0FAE" w:rsidR="003C2FB3" w:rsidP="003C2FB3" w:rsidRDefault="003C2FB3" w14:paraId="5D226FEE" w14:textId="7F8C40FE">
            <w:pPr>
              <w:overflowPunct w:val="0"/>
              <w:autoSpaceDE w:val="0"/>
              <w:autoSpaceDN w:val="0"/>
              <w:adjustRightInd w:val="0"/>
              <w:spacing w:line="240" w:lineRule="auto"/>
              <w:textAlignment w:val="baseline"/>
              <w:rPr>
                <w:i/>
              </w:rPr>
            </w:pPr>
            <w:proofErr w:type="spellStart"/>
            <w:r>
              <w:rPr>
                <w:i/>
              </w:rPr>
              <w:t>Ioannis</w:t>
            </w:r>
            <w:proofErr w:type="spellEnd"/>
            <w:r>
              <w:rPr>
                <w:i/>
              </w:rPr>
              <w:t xml:space="preserve"> </w:t>
            </w:r>
            <w:proofErr w:type="spellStart"/>
            <w:r>
              <w:rPr>
                <w:i/>
              </w:rPr>
              <w:t>Diamantopoulos</w:t>
            </w:r>
            <w:proofErr w:type="spellEnd"/>
          </w:p>
        </w:tc>
      </w:tr>
      <w:tr w:rsidRPr="003C2FB3" w:rsidR="003C2FB3" w:rsidTr="00FE3058" w14:paraId="596191B0" w14:textId="77777777">
        <w:tc>
          <w:tcPr>
            <w:tcW w:w="1556"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Pr>
                <w:i/>
              </w:rPr>
              <w:t>Tel.</w:t>
            </w:r>
          </w:p>
        </w:tc>
        <w:tc>
          <w:tcPr>
            <w:tcW w:w="3444"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Pr>
                <w:i/>
              </w:rPr>
              <w:t>+32 25469170</w:t>
            </w:r>
          </w:p>
        </w:tc>
      </w:tr>
      <w:tr w:rsidRPr="003C2FB3" w:rsidR="003C2FB3" w:rsidTr="00FE3058" w14:paraId="2628CAA2" w14:textId="77777777">
        <w:tc>
          <w:tcPr>
            <w:tcW w:w="1556"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Pr>
                <w:i/>
              </w:rPr>
              <w:t>E. paštas</w:t>
            </w:r>
          </w:p>
        </w:tc>
        <w:tc>
          <w:tcPr>
            <w:tcW w:w="3444" w:type="pct"/>
          </w:tcPr>
          <w:p w:rsidRPr="003C2FB3" w:rsidR="003C2FB3" w:rsidP="003C2FB3" w:rsidRDefault="000339E9" w14:paraId="32C40CB8" w14:textId="77777777">
            <w:pPr>
              <w:overflowPunct w:val="0"/>
              <w:autoSpaceDE w:val="0"/>
              <w:autoSpaceDN w:val="0"/>
              <w:adjustRightInd w:val="0"/>
              <w:spacing w:line="240" w:lineRule="auto"/>
              <w:textAlignment w:val="baseline"/>
              <w:rPr>
                <w:i/>
              </w:rPr>
            </w:pPr>
            <w:hyperlink w:history="1" r:id="rId43">
              <w:r w:rsidR="00851457">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C26C81" w:rsidR="00C26C81" w:rsidP="00C26C81" w:rsidRDefault="000339E9"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851457">
          <w:rPr>
            <w:b/>
            <w:i/>
            <w:color w:val="0000FF"/>
            <w:sz w:val="28"/>
            <w:u w:val="single"/>
          </w:rPr>
          <w:t xml:space="preserve">Pramoniniai ir technologiniai metodai, padedantys kurti </w:t>
        </w:r>
        <w:proofErr w:type="spellStart"/>
        <w:r w:rsidR="00851457">
          <w:rPr>
            <w:b/>
            <w:i/>
            <w:color w:val="0000FF"/>
            <w:sz w:val="28"/>
            <w:u w:val="single"/>
          </w:rPr>
          <w:t>hidrologiškai</w:t>
        </w:r>
        <w:proofErr w:type="spellEnd"/>
        <w:r w:rsidR="00851457">
          <w:rPr>
            <w:b/>
            <w:i/>
            <w:color w:val="0000FF"/>
            <w:sz w:val="28"/>
            <w:u w:val="single"/>
          </w:rPr>
          <w:t xml:space="preserve"> atsparią visuomenę</w:t>
        </w:r>
      </w:hyperlink>
    </w:p>
    <w:p w:rsidR="00DF1937" w:rsidP="00C26C81"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C26C81" w:rsidR="00C26C81" w:rsidTr="00FE3058" w14:paraId="120DFBE2" w14:textId="77777777">
        <w:tc>
          <w:tcPr>
            <w:tcW w:w="1148" w:type="pct"/>
          </w:tcPr>
          <w:p w:rsidRPr="00C26C81" w:rsidR="00C26C81" w:rsidP="00C26C81" w:rsidRDefault="00C26C81" w14:paraId="622F56C9" w14:textId="77777777">
            <w:pPr>
              <w:tabs>
                <w:tab w:val="center" w:pos="284"/>
              </w:tabs>
              <w:overflowPunct w:val="0"/>
              <w:autoSpaceDE w:val="0"/>
              <w:autoSpaceDN w:val="0"/>
              <w:adjustRightInd w:val="0"/>
              <w:ind w:left="266" w:hanging="266"/>
              <w:textAlignment w:val="baseline"/>
              <w:rPr>
                <w:b/>
              </w:rPr>
            </w:pPr>
            <w:r>
              <w:rPr>
                <w:b/>
              </w:rPr>
              <w:t>Pranešėjas</w:t>
            </w:r>
          </w:p>
        </w:tc>
        <w:tc>
          <w:tcPr>
            <w:tcW w:w="3852" w:type="pct"/>
          </w:tcPr>
          <w:p w:rsidRPr="00DC0FAE" w:rsidR="00C26C81" w:rsidP="00C26C81" w:rsidRDefault="00C26C81" w14:paraId="4D21502F" w14:textId="7090BED6">
            <w:pPr>
              <w:tabs>
                <w:tab w:val="center" w:pos="284"/>
              </w:tabs>
              <w:overflowPunct w:val="0"/>
              <w:autoSpaceDE w:val="0"/>
              <w:autoSpaceDN w:val="0"/>
              <w:adjustRightInd w:val="0"/>
              <w:ind w:left="266" w:hanging="266"/>
              <w:textAlignment w:val="baseline"/>
            </w:pPr>
            <w:proofErr w:type="spellStart"/>
            <w:r>
              <w:t>Florian</w:t>
            </w:r>
            <w:proofErr w:type="spellEnd"/>
            <w:r>
              <w:t xml:space="preserve"> Marin (Darbuotojų grupė, RO)</w:t>
            </w:r>
          </w:p>
        </w:tc>
      </w:tr>
      <w:tr w:rsidRPr="00C26C81" w:rsidR="00C26C81" w:rsidTr="00FE3058" w14:paraId="1F60F708" w14:textId="77777777">
        <w:tc>
          <w:tcPr>
            <w:tcW w:w="1148" w:type="pct"/>
          </w:tcPr>
          <w:p w:rsidRPr="00C26C81" w:rsidR="00C26C81" w:rsidP="00C26C81" w:rsidRDefault="00C26C81" w14:paraId="3D84DAA7" w14:textId="77777777">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852" w:type="pct"/>
          </w:tcPr>
          <w:p w:rsidRPr="00DC0FAE" w:rsidR="00C26C81" w:rsidP="00C26C81" w:rsidRDefault="00C26C81" w14:paraId="2CC5126F" w14:textId="7BF5F8C5">
            <w:pPr>
              <w:tabs>
                <w:tab w:val="center" w:pos="284"/>
              </w:tabs>
              <w:overflowPunct w:val="0"/>
              <w:autoSpaceDE w:val="0"/>
              <w:autoSpaceDN w:val="0"/>
              <w:adjustRightInd w:val="0"/>
              <w:ind w:left="266" w:hanging="266"/>
              <w:textAlignment w:val="baseline"/>
            </w:pPr>
            <w:proofErr w:type="spellStart"/>
            <w:r>
              <w:t>John</w:t>
            </w:r>
            <w:proofErr w:type="spellEnd"/>
            <w:r>
              <w:t xml:space="preserve"> </w:t>
            </w:r>
            <w:proofErr w:type="spellStart"/>
            <w:r>
              <w:t>Bryan</w:t>
            </w:r>
            <w:proofErr w:type="spellEnd"/>
            <w:r>
              <w:t xml:space="preserve"> (3 kat., IE)</w:t>
            </w:r>
          </w:p>
        </w:tc>
      </w:tr>
      <w:tr w:rsidRPr="00C26C81" w:rsidR="00C26C81" w:rsidTr="00FE3058" w14:paraId="0255D7F1" w14:textId="77777777">
        <w:tc>
          <w:tcPr>
            <w:tcW w:w="5000" w:type="pct"/>
            <w:gridSpan w:val="2"/>
          </w:tcPr>
          <w:p w:rsidRPr="00C26C81"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26C81" w:rsidR="00C26C81" w:rsidTr="00FE3058" w14:paraId="6490CDCA" w14:textId="77777777">
        <w:tc>
          <w:tcPr>
            <w:tcW w:w="1148" w:type="pct"/>
            <w:vMerge w:val="restart"/>
          </w:tcPr>
          <w:p w:rsidRPr="00C26C81"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Pr>
                <w:b/>
              </w:rPr>
              <w:t>Nuorodos</w:t>
            </w:r>
          </w:p>
        </w:tc>
        <w:tc>
          <w:tcPr>
            <w:tcW w:w="3852" w:type="pct"/>
          </w:tcPr>
          <w:p w:rsidR="00DF1937" w:rsidP="00C26C81" w:rsidRDefault="00DF1937" w14:paraId="62B42CB3" w14:textId="689EBFFE">
            <w:pPr>
              <w:tabs>
                <w:tab w:val="center" w:pos="284"/>
              </w:tabs>
              <w:overflowPunct w:val="0"/>
              <w:autoSpaceDE w:val="0"/>
              <w:autoSpaceDN w:val="0"/>
              <w:adjustRightInd w:val="0"/>
              <w:ind w:left="266" w:hanging="266"/>
              <w:textAlignment w:val="baseline"/>
            </w:pPr>
            <w:r>
              <w:t>Tiriamoji nuomonė Europos Komisijos prašymu</w:t>
            </w:r>
          </w:p>
          <w:p w:rsidRPr="00C26C81" w:rsidR="00C26C81" w:rsidP="00C26C81" w:rsidRDefault="00C26C81" w14:paraId="575B4C73" w14:textId="570E8293">
            <w:pPr>
              <w:tabs>
                <w:tab w:val="center" w:pos="284"/>
              </w:tabs>
              <w:overflowPunct w:val="0"/>
              <w:autoSpaceDE w:val="0"/>
              <w:autoSpaceDN w:val="0"/>
              <w:adjustRightInd w:val="0"/>
              <w:ind w:left="266" w:hanging="266"/>
              <w:textAlignment w:val="baseline"/>
            </w:pPr>
            <w:r>
              <w:t>EESC-2024-00209-00-00-AC</w:t>
            </w:r>
          </w:p>
        </w:tc>
      </w:tr>
      <w:tr w:rsidRPr="00C26C81" w:rsidR="00C26C81" w:rsidTr="00FE3058" w14:paraId="7D13EFEC" w14:textId="77777777">
        <w:tc>
          <w:tcPr>
            <w:tcW w:w="1148" w:type="pct"/>
            <w:vMerge/>
          </w:tcPr>
          <w:p w:rsidRPr="00C26C81"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852" w:type="pct"/>
          </w:tcPr>
          <w:p w:rsidRPr="00C26C81" w:rsidR="00C26C81" w:rsidP="00C26C81" w:rsidRDefault="00C26C81" w14:paraId="30DF2ED2" w14:textId="77777777">
            <w:pPr>
              <w:tabs>
                <w:tab w:val="center" w:pos="284"/>
              </w:tabs>
              <w:overflowPunct w:val="0"/>
              <w:autoSpaceDE w:val="0"/>
              <w:autoSpaceDN w:val="0"/>
              <w:adjustRightInd w:val="0"/>
              <w:ind w:left="266" w:hanging="266"/>
              <w:textAlignment w:val="baseline"/>
            </w:pPr>
          </w:p>
        </w:tc>
      </w:tr>
    </w:tbl>
    <w:p w:rsidRPr="00C26C81"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26C81"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00C26C81" w:rsidP="00C26C81" w:rsidRDefault="00C26C81" w14:paraId="0AEAF1D0" w14:textId="370DE955">
      <w:pPr>
        <w:overflowPunct w:val="0"/>
        <w:autoSpaceDE w:val="0"/>
        <w:autoSpaceDN w:val="0"/>
        <w:adjustRightInd w:val="0"/>
        <w:textAlignment w:val="baseline"/>
        <w:rPr>
          <w:bCs/>
          <w:iCs/>
        </w:rPr>
      </w:pPr>
      <w:r>
        <w:t>EESRK</w:t>
      </w:r>
    </w:p>
    <w:p w:rsidRPr="00C26C81" w:rsidR="002B7841" w:rsidP="00C26C81" w:rsidRDefault="002B7841" w14:paraId="2BBD3487" w14:textId="77777777">
      <w:pPr>
        <w:overflowPunct w:val="0"/>
        <w:autoSpaceDE w:val="0"/>
        <w:autoSpaceDN w:val="0"/>
        <w:adjustRightInd w:val="0"/>
        <w:textAlignment w:val="baseline"/>
        <w:rPr>
          <w:bCs/>
          <w:iCs/>
        </w:rPr>
      </w:pPr>
    </w:p>
    <w:p w:rsidRPr="00C26C81" w:rsidR="00C26C81" w:rsidP="00DC0FA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ragina parengti </w:t>
      </w:r>
      <w:r>
        <w:rPr>
          <w:b/>
          <w:bCs/>
        </w:rPr>
        <w:t>atskirą strategiją</w:t>
      </w:r>
      <w:r>
        <w:t xml:space="preserve"> – ES mėlynąjį kursą – ir veiksmų planą </w:t>
      </w:r>
      <w:r>
        <w:rPr>
          <w:b/>
          <w:bCs/>
        </w:rPr>
        <w:t>dėl hidrologinio atsparumo, saugumo ir tvarumo užtikrinimo, papildant ES žaliąjį kursą;</w:t>
      </w:r>
    </w:p>
    <w:p w:rsidRPr="00C26C81"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ragina ES </w:t>
      </w:r>
      <w:r>
        <w:rPr>
          <w:b/>
          <w:bCs/>
        </w:rPr>
        <w:t>įtraukti vandens sektorių į persvarstytą pramonės strateginę programą</w:t>
      </w:r>
      <w:r>
        <w:t xml:space="preserve"> ir pertvarkos trajektorijas laikantis sektorinio požiūrio;</w:t>
      </w:r>
    </w:p>
    <w:p w:rsidRPr="00C26C81" w:rsidR="00C26C81" w:rsidP="00DC0FA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nurodo, kad atliekant šį persvarstymą reikėtų apsvarstyti idėją pasiūlyti </w:t>
      </w:r>
      <w:r>
        <w:rPr>
          <w:b/>
          <w:bCs/>
        </w:rPr>
        <w:t>naują pramonės kursą</w:t>
      </w:r>
      <w:r>
        <w:t xml:space="preserve">, kad per ketverius metus </w:t>
      </w:r>
      <w:r>
        <w:rPr>
          <w:b/>
          <w:bCs/>
        </w:rPr>
        <w:t>Europos pramonei būtų suteikta konsoliduota strategija</w:t>
      </w:r>
      <w:r>
        <w:t xml:space="preserve">, kuria būtų reaguojama į įvairius kylančius iššūkius (vandens, energetikos, svarbiausiųjų žaliavų, </w:t>
      </w:r>
      <w:proofErr w:type="spellStart"/>
      <w:r>
        <w:t>skaitmenizacijos</w:t>
      </w:r>
      <w:proofErr w:type="spellEnd"/>
      <w:r>
        <w:t xml:space="preserve"> ir strateginio savarankiškumo srityse);</w:t>
      </w:r>
    </w:p>
    <w:p w:rsidRPr="00C26C81"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pabrėžia, kad pramoniniai ir technologiniai metodai, padedantys kurti </w:t>
      </w:r>
      <w:proofErr w:type="spellStart"/>
      <w:r>
        <w:t>hidrologiškai</w:t>
      </w:r>
      <w:proofErr w:type="spellEnd"/>
      <w:r>
        <w:t xml:space="preserve"> pažangią visuomenę, turi būti tvirtai grindžiami </w:t>
      </w:r>
      <w:r>
        <w:rPr>
          <w:b/>
          <w:bCs/>
        </w:rPr>
        <w:t>pramonei skirta visapusiška tvarios vandentvarkos politika</w:t>
      </w:r>
      <w:r>
        <w:t xml:space="preserve">, kurios pagrindas – vandens naudojimo mažinimas, pakartotinis naudojimas ir nuotekų perdirbimas, vandens taršos mažinimas, įskaitant laipsnišką efektyvaus vandens naudojimo technologijų diegimą ir taikymą, kartu užtikrinant teisingą pertvarką, kuria </w:t>
      </w:r>
      <w:r>
        <w:rPr>
          <w:b/>
          <w:bCs/>
        </w:rPr>
        <w:t>apsaugomas pramonės konkurencingumas</w:t>
      </w:r>
      <w:r>
        <w:t>;</w:t>
      </w:r>
    </w:p>
    <w:p w:rsidRPr="00C26C81" w:rsidR="00C26C81" w:rsidP="00DC0FA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pabrėžia, kad reikia sukurti </w:t>
      </w:r>
      <w:r>
        <w:rPr>
          <w:b/>
          <w:bCs/>
        </w:rPr>
        <w:t>Europos vandens duomenų tvarkymo ekosistemą</w:t>
      </w:r>
      <w:r>
        <w:t>, taip pat poreikį matuoti vandens suvartojimą gamybos procesuose ir kuo labiau sumažinti geriamojo vandens naudojimą pramonės tikslais;</w:t>
      </w:r>
    </w:p>
    <w:p w:rsidRPr="00C26C81"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pabrėžia, kad </w:t>
      </w:r>
      <w:r>
        <w:rPr>
          <w:b/>
          <w:bCs/>
        </w:rPr>
        <w:t>krizės metu svarbiausioms pramonės šakoms reikia užtikrinti prieigą prie vandens</w:t>
      </w:r>
      <w:r>
        <w:t>;</w:t>
      </w:r>
    </w:p>
    <w:p w:rsidRPr="00C26C81"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ragina parengti </w:t>
      </w:r>
      <w:r>
        <w:rPr>
          <w:b/>
          <w:bCs/>
        </w:rPr>
        <w:t>pertvarkos trajektoriją švarių ir efektyviai vandenį naudojančių technologijų sektoriui plėtoti</w:t>
      </w:r>
      <w:r>
        <w:t>, įskaitant žmogiškojo aspekto veiksmų gaires, siekiant užtikrinti reikiamų įgūdžių prieinamumą, kokybiškas darbo vietas ir deramas darbo sąlygas;</w:t>
      </w:r>
    </w:p>
    <w:p w:rsidRPr="00C26C81" w:rsidR="00C26C81" w:rsidP="00DC0FA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siūlo priemones, kuriomis remiamas </w:t>
      </w:r>
      <w:r>
        <w:rPr>
          <w:b/>
          <w:bCs/>
        </w:rPr>
        <w:t>ES mėlynojo kurso pertvarkos fondo įgyvendinimas</w:t>
      </w:r>
      <w:r>
        <w:t xml:space="preserve"> pramonės srityje;</w:t>
      </w:r>
    </w:p>
    <w:p w:rsidRPr="00C26C81"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t xml:space="preserve">pritaria tam, kad Europos inovacijos ir technologijos institutas (EIT) sukurtų </w:t>
      </w:r>
      <w:r>
        <w:rPr>
          <w:b/>
          <w:bCs/>
        </w:rPr>
        <w:t>vandens žinių ir inovacijų bendruomenę (ŽIB)</w:t>
      </w:r>
      <w:r>
        <w:t>.</w:t>
      </w:r>
    </w:p>
    <w:p w:rsidRPr="00C26C81"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r>
              <w:rPr>
                <w:i/>
              </w:rPr>
              <w:t xml:space="preserve">Heli </w:t>
            </w:r>
            <w:proofErr w:type="spellStart"/>
            <w:r>
              <w:rPr>
                <w:i/>
              </w:rPr>
              <w:t>Niemelä-Farrer</w:t>
            </w:r>
            <w:proofErr w:type="spellEnd"/>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Pr>
                <w:i/>
              </w:rPr>
              <w:t>Tel.</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Pr>
                <w:i/>
              </w:rPr>
              <w:t>+32 22822464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Pr>
                <w:i/>
              </w:rPr>
              <w:t>E. paštas</w:t>
            </w:r>
          </w:p>
        </w:tc>
        <w:tc>
          <w:tcPr>
            <w:tcW w:w="3444" w:type="pct"/>
          </w:tcPr>
          <w:p w:rsidR="004F1302" w:rsidP="0066006A" w:rsidRDefault="000339E9" w14:paraId="0FED9690" w14:textId="7A8281DF">
            <w:pPr>
              <w:overflowPunct w:val="0"/>
              <w:autoSpaceDE w:val="0"/>
              <w:autoSpaceDN w:val="0"/>
              <w:adjustRightInd w:val="0"/>
              <w:spacing w:line="240" w:lineRule="auto"/>
              <w:textAlignment w:val="baseline"/>
              <w:rPr>
                <w:i/>
                <w:color w:val="0000FF"/>
                <w:u w:val="single"/>
              </w:rPr>
            </w:pPr>
            <w:hyperlink w:history="1" r:id="rId45">
              <w:r w:rsidR="004F1302">
                <w:rPr>
                  <w:rStyle w:val="Hyperlink"/>
                </w:rPr>
                <w:t>Heli.Niemela-Farrer</w:t>
              </w:r>
              <w:r w:rsidR="004F1302">
                <w:rPr>
                  <w:rStyle w:val="Hyperlink"/>
                  <w:i/>
                </w:rPr>
                <w:t>@eesc.europa.eu</w:t>
              </w:r>
            </w:hyperlink>
          </w:p>
          <w:p w:rsidRPr="003C2FB3"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39E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420"/>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3E93"/>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1457"/>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1A4"/>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t-L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lt/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lt/our-work/opinions-information-reports/opinions/plan-europeen-pour-vaincre-le-cancer-vers-un-approvisionnement-sur-en-radio-isotopes-usage-medical" TargetMode="External"/><Relationship Id="rId42" Type="http://schemas.openxmlformats.org/officeDocument/2006/relationships/hyperlink" Target="https://www.eesc.europa.eu/lt/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lt/our-work/opinions-information-reports/opinions/vaccine-preventable-cancers" TargetMode="External"/><Relationship Id="rId32" Type="http://schemas.openxmlformats.org/officeDocument/2006/relationships/hyperlink" Target="https://www.eesc.europa.eu/lt/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lt/our-work/opinions-information-reports/opinions/communication-sur-la-gestion-industrielle-du-carbone"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lt/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lt/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lt/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lt/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lt/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lt/our-work/opinions-information-reports/opinions/un-lieu-ou-il-est-exclu-de-hair-une-europe-unie-contre-la-haine" TargetMode="External"/><Relationship Id="rId36" Type="http://schemas.openxmlformats.org/officeDocument/2006/relationships/hyperlink" Target="https://www.eesc.europa.eu/lt/our-work/opinions-information-reports/opinions/european-defence-industrial-strategy"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F7M6YNZUATRX-917472228-6196</_dlc_DocId>
    <_dlc_DocIdUrl xmlns="59ace41b-6786-4ce3-be71-52c27066c6ef">
      <Url>http://dm/eesc/2024/_layouts/15/DocIdRedir.aspx?ID=F7M6YNZUATRX-917472228-6196</Url>
      <Description>F7M6YNZUATRX-917472228-6196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2024-06-21T12:00:00+00:00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Siugzdinyte Ruta</DisplayName>
        <AccountId>1562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C113C-1509-482E-A68C-DB92A6EAE370}"/>
</file>

<file path=customXml/itemProps2.xml><?xml version="1.0" encoding="utf-8"?>
<ds:datastoreItem xmlns:ds="http://schemas.openxmlformats.org/officeDocument/2006/customXml" ds:itemID="{2D5D635B-71FC-4C62-80D7-87DBC43F817F}"/>
</file>

<file path=customXml/itemProps3.xml><?xml version="1.0" encoding="utf-8"?>
<ds:datastoreItem xmlns:ds="http://schemas.openxmlformats.org/officeDocument/2006/customXml" ds:itemID="{B0A5131D-1A28-44A4-91D5-CEDE2252D10E}"/>
</file>

<file path=customXml/itemProps4.xml><?xml version="1.0" encoding="utf-8"?>
<ds:datastoreItem xmlns:ds="http://schemas.openxmlformats.org/officeDocument/2006/customXml" ds:itemID="{27534846-057C-4C5B-93C6-8A3DCDC8C3D7}"/>
</file>

<file path=docProps/app.xml><?xml version="1.0" encoding="utf-8"?>
<Properties xmlns="http://schemas.openxmlformats.org/officeDocument/2006/extended-properties" xmlns:vt="http://schemas.openxmlformats.org/officeDocument/2006/docPropsVTypes">
  <Template>Normal.dotm</Template>
  <TotalTime>0</TotalTime>
  <Pages>18</Pages>
  <Words>5541</Words>
  <Characters>31586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santrauka - 588-oji plenarinė sesija - 2024 m. gegužės mėn.</dc:title>
  <dc:subject>TCD</dc:subject>
  <dc:creator>Nieddu Emma</dc:creator>
  <cp:keywords>EESC-2024-01704-00-00-TCD-TRA-EN</cp:keywords>
  <dc:description>Rapporteur:  - Original language: EN - Date of document: 21/06/2024 - Date of meeting: 30/10/2024 14:30 - External documents:  - Administrator: MME TAMASAUSKIENE Julija</dc:description>
  <cp:lastModifiedBy>Siugzdinyte Ruta</cp:lastModifiedBy>
  <cp:revision>9</cp:revision>
  <cp:lastPrinted>2023-06-15T08:00:00Z</cp:lastPrinted>
  <dcterms:created xsi:type="dcterms:W3CDTF">2024-06-14T14:52:00Z</dcterms:created>
  <dcterms:modified xsi:type="dcterms:W3CDTF">2024-06-21T12:16:00Z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8ee55582-ab48-4a7b-9e84-ec19ebb226b1</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IT|0774613c-01ed-4e5d-a25d-11d2388de825;SV|c2ed69e7-a339-43d7-8f22-d93680a92aa0;ES|e7a6b05b-ae16-40c8-add9-68b64b03aeba;DE|f6b31e5a-26fa-4935-b661-318e46daf27e;LV|46f7e311-5d9f-4663-b433-18aeccb7ace7;CS|72f9705b-0217-4fd3-bea2-cbc7ed80e26e;HR|2f555653-ed1a-4fe6-8362-9082d95989e5;PT|50ccc04a-eadd-42ae-a0cb-acaf45f812ba;ET|ff6c3f4c-b02c-4c3c-ab07-2c37995a7a0a;FR|d2afafd3-4c81-4f60-8f52-ee33f2f54ff3;EL|6d4f4d51-af9b-4650-94b4-4276bee85c91;DA|5d49c027-8956-412b-aa16-e85a0f96ad0e;SL|98a412ae-eb01-49e9-ae3d-585a81724cfc;SK|46d9fce0-ef79-4f71-b89b-cd6aa82426b8;HU|6b229040-c589-4408-b4c1-4285663d20a8;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33;#ET|ff6c3f4c-b02c-4c3c-ab07-2c37995a7a0a;#32;#HU|6b229040-c589-4408-b4c1-4285663d20a8;#31;#NL|55c6556c-b4f4-441d-9acf-c498d4f838bd;#43;#CS|72f9705b-0217-4fd3-bea2-cbc7ed80e26e;#29;#EL|6d4f4d51-af9b-4650-94b4-4276bee85c91;#28;#LV|46f7e311-5d9f-4663-b433-18aeccb7ace7;#27;#SL|98a412ae-eb01-49e9-ae3d-585a81724cfc;#26;#SK|46d9fce0-ef79-4f71-b89b-cd6aa82426b8;#25;#DE|f6b31e5a-26fa-4935-b661-318e46daf27e;#24;#ES|e7a6b05b-ae16-40c8-add9-68b64b03aeba;#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30;#HR|2f555653-ed1a-4fe6-8362-9082d95989e5</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34;#LT|a7ff5ce7-6123-4f68-865a-a57c31810414</vt:lpwstr>
  </property>
</Properties>
</file>