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001B" w:rsidR="004D7AC0" w:rsidP="00775FC4" w:rsidRDefault="00CE4B73" w14:paraId="785AE44C" w14:textId="72B73C4A">
      <w:pPr>
        <w:jc w:val="center"/>
      </w:pPr>
      <w:r w:rsidRPr="00C9001B">
        <w:rPr>
          <w:noProof/>
        </w:rPr>
        <w:drawing>
          <wp:inline distT="0" distB="0" distL="0" distR="0" wp14:anchorId="78E94C60" wp14:editId="3048C4EB">
            <wp:extent cx="1792605" cy="1239520"/>
            <wp:effectExtent l="0" t="0" r="0" b="0"/>
            <wp:docPr id="2" name="Picture 2" title="EESCLogo_IT"/>
            <wp:cNvGraphicFramePr/>
            <a:graphic xmlns:a="http://schemas.openxmlformats.org/drawingml/2006/main">
              <a:graphicData uri="http://schemas.openxmlformats.org/drawingml/2006/picture">
                <pic:pic xmlns:pic="http://schemas.openxmlformats.org/drawingml/2006/picture">
                  <pic:nvPicPr>
                    <pic:cNvPr id="2" name="Picture 2" title="EESCLogo_I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C9001B" w:rsidR="00721342">
        <w:rPr>
          <w:noProof/>
          <w:sz w:val="20"/>
        </w:rPr>
        <mc:AlternateContent>
          <mc:Choice Requires="wps">
            <w:drawing>
              <wp:anchor distT="0" distB="0" distL="114300" distR="114300" simplePos="0" relativeHeight="251656704" behindDoc="1" locked="0" layoutInCell="0" allowOverlap="1" wp14:editId="7A90E9AD"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IT</w:t>
                      </w:r>
                    </w:p>
                  </w:txbxContent>
                </v:textbox>
                <w10:wrap anchorx="page" anchory="page"/>
              </v:shape>
            </w:pict>
          </mc:Fallback>
        </mc:AlternateContent>
      </w:r>
    </w:p>
    <w:p w:rsidRPr="00C9001B" w:rsidR="004D7AC0" w:rsidP="00775FC4" w:rsidRDefault="004D7AC0" w14:paraId="51F52D79" w14:textId="77777777"/>
    <w:p w:rsidRPr="00C9001B" w:rsidR="004D7AC0" w:rsidP="00775FC4" w:rsidRDefault="00014C93" w14:paraId="45DE4A28" w14:textId="3DA65CCD">
      <w:pPr>
        <w:jc w:val="right"/>
      </w:pPr>
      <w:r w:rsidRPr="00C9001B">
        <w:t>Bruxelles, 21 giugno 2024</w:t>
      </w:r>
    </w:p>
    <w:p w:rsidRPr="00C9001B" w:rsidR="004D7AC0" w:rsidP="00775FC4" w:rsidRDefault="004D7AC0" w14:paraId="6B250092" w14:textId="77777777"/>
    <w:p w:rsidRPr="00C9001B" w:rsidR="004D7AC0" w:rsidP="00775FC4" w:rsidRDefault="004D7AC0" w14:paraId="0593C6DF" w14:textId="77777777"/>
    <w:tbl>
      <w:tblPr>
        <w:tblW w:w="9640" w:type="dxa"/>
        <w:tblInd w:w="-284" w:type="dxa"/>
        <w:tblLook w:val="04A0" w:firstRow="1" w:lastRow="0" w:firstColumn="1" w:lastColumn="0" w:noHBand="0" w:noVBand="1"/>
      </w:tblPr>
      <w:tblGrid>
        <w:gridCol w:w="9640"/>
      </w:tblGrid>
      <w:tr w:rsidRPr="00C9001B" w:rsidR="004D7AC0" w:rsidTr="00C9001B" w14:paraId="6D7B3453" w14:textId="77777777">
        <w:tc>
          <w:tcPr>
            <w:tcW w:w="9640" w:type="dxa"/>
            <w:tcBorders>
              <w:bottom w:val="double" w:color="auto" w:sz="4" w:space="0"/>
            </w:tcBorders>
          </w:tcPr>
          <w:p w:rsidRPr="00C9001B" w:rsidR="001760E9" w:rsidP="00775FC4" w:rsidRDefault="00DA2D88" w14:paraId="3B286D4E" w14:textId="324300EF">
            <w:pPr>
              <w:snapToGrid w:val="0"/>
              <w:jc w:val="center"/>
              <w:rPr>
                <w:b/>
                <w:sz w:val="32"/>
              </w:rPr>
            </w:pPr>
            <w:r w:rsidRPr="00C9001B">
              <w:rPr>
                <w:b/>
                <w:sz w:val="32"/>
              </w:rPr>
              <w:t>588ª SESSIONE PLENARIA</w:t>
            </w:r>
          </w:p>
          <w:p w:rsidRPr="00C9001B" w:rsidR="001760E9" w:rsidP="00775FC4" w:rsidRDefault="001760E9" w14:paraId="6C87A626" w14:textId="0AE2882C">
            <w:pPr>
              <w:snapToGrid w:val="0"/>
              <w:jc w:val="center"/>
              <w:rPr>
                <w:b/>
                <w:sz w:val="32"/>
              </w:rPr>
            </w:pPr>
          </w:p>
          <w:p w:rsidRPr="00C9001B" w:rsidR="001760E9" w:rsidP="00775FC4" w:rsidRDefault="005E7838" w14:paraId="6CF7229C" w14:textId="287F4AF2">
            <w:pPr>
              <w:snapToGrid w:val="0"/>
              <w:jc w:val="center"/>
              <w:rPr>
                <w:b/>
                <w:sz w:val="32"/>
              </w:rPr>
            </w:pPr>
            <w:r w:rsidRPr="00C9001B">
              <w:rPr>
                <w:b/>
                <w:sz w:val="32"/>
              </w:rPr>
              <w:t>30 e 31 maggio 2024</w:t>
            </w:r>
          </w:p>
          <w:p w:rsidRPr="00C9001B" w:rsidR="001760E9" w:rsidP="00775FC4" w:rsidRDefault="001760E9" w14:paraId="0C44BD01" w14:textId="2F8EBB07">
            <w:pPr>
              <w:snapToGrid w:val="0"/>
              <w:jc w:val="center"/>
              <w:rPr>
                <w:b/>
                <w:sz w:val="32"/>
              </w:rPr>
            </w:pPr>
          </w:p>
          <w:p w:rsidRPr="00C9001B" w:rsidR="004D7AC0" w:rsidP="00775FC4" w:rsidRDefault="00CF2F88" w14:paraId="114106CC" w14:textId="0C4CEC79">
            <w:pPr>
              <w:snapToGrid w:val="0"/>
              <w:jc w:val="center"/>
              <w:rPr>
                <w:rFonts w:eastAsia="MS Mincho"/>
                <w:b/>
                <w:sz w:val="32"/>
                <w:szCs w:val="32"/>
              </w:rPr>
            </w:pPr>
            <w:r w:rsidRPr="00C9001B">
              <w:rPr>
                <w:b/>
                <w:sz w:val="32"/>
              </w:rPr>
              <w:t xml:space="preserve">SINTESI DEI PARERI, DELLE RISOLUZIONI </w:t>
            </w:r>
            <w:r w:rsidRPr="00C9001B" w:rsidR="00C9001B">
              <w:rPr>
                <w:b/>
                <w:sz w:val="32"/>
              </w:rPr>
              <w:t>E</w:t>
            </w:r>
            <w:r w:rsidRPr="00C9001B">
              <w:rPr>
                <w:b/>
                <w:sz w:val="32"/>
              </w:rPr>
              <w:t xml:space="preserve"> DELLE RELAZIONI INFORMATIVE/DI VALUTAZIONE ADOTTATI</w:t>
            </w:r>
          </w:p>
          <w:p w:rsidRPr="00C9001B" w:rsidR="004D7AC0" w:rsidP="00775FC4" w:rsidRDefault="004D7AC0" w14:paraId="7AE08F93" w14:textId="77777777">
            <w:pPr>
              <w:snapToGrid w:val="0"/>
            </w:pPr>
          </w:p>
          <w:p w:rsidRPr="00C9001B" w:rsidR="00C9001B" w:rsidP="00775FC4" w:rsidRDefault="00C9001B" w14:paraId="06AE72EA" w14:textId="6648332F">
            <w:pPr>
              <w:snapToGrid w:val="0"/>
            </w:pPr>
          </w:p>
        </w:tc>
      </w:tr>
      <w:tr w:rsidRPr="00C9001B" w:rsidR="004D7AC0" w:rsidTr="00C9001B" w14:paraId="45EAB22F" w14:textId="77777777">
        <w:tc>
          <w:tcPr>
            <w:tcW w:w="9640" w:type="dxa"/>
            <w:tcBorders>
              <w:top w:val="double" w:color="auto" w:sz="4" w:space="0"/>
              <w:left w:val="double" w:color="auto" w:sz="4" w:space="0"/>
              <w:bottom w:val="double" w:color="auto" w:sz="4" w:space="0"/>
              <w:right w:val="double" w:color="auto" w:sz="4" w:space="0"/>
            </w:tcBorders>
          </w:tcPr>
          <w:p w:rsidRPr="00C9001B" w:rsidR="00C9001B" w:rsidP="00775FC4" w:rsidRDefault="00C9001B" w14:paraId="02C22787" w14:textId="77777777">
            <w:pPr>
              <w:snapToGrid w:val="0"/>
              <w:jc w:val="center"/>
            </w:pPr>
          </w:p>
          <w:p w:rsidRPr="00C9001B" w:rsidR="00B16284" w:rsidP="00775FC4" w:rsidRDefault="004D7AC0" w14:paraId="0A87E35B" w14:textId="0C004E22">
            <w:pPr>
              <w:snapToGrid w:val="0"/>
              <w:jc w:val="center"/>
            </w:pPr>
            <w:r w:rsidRPr="00C9001B">
              <w:t>Il presente documento è accessibile nelle lingue ufficiali sul sito Internet del CESE al seguente indirizzo:</w:t>
            </w:r>
          </w:p>
          <w:p w:rsidRPr="00C9001B" w:rsidR="00B16284" w:rsidP="00775FC4" w:rsidRDefault="00B16284" w14:paraId="4F26A4CE" w14:textId="77777777">
            <w:pPr>
              <w:snapToGrid w:val="0"/>
              <w:jc w:val="center"/>
            </w:pPr>
          </w:p>
          <w:p w:rsidRPr="00C9001B" w:rsidR="004D7AC0" w:rsidP="00775FC4" w:rsidRDefault="00E736C8" w14:paraId="2A9352A2" w14:textId="0680ADB6">
            <w:pPr>
              <w:snapToGrid w:val="0"/>
              <w:jc w:val="center"/>
            </w:pPr>
            <w:hyperlink w:history="1" r:id="rId12">
              <w:r w:rsidRPr="00C9001B" w:rsidR="00CE4B73">
                <w:rPr>
                  <w:rStyle w:val="Hyperlink"/>
                  <w:highlight w:val="yellow"/>
                </w:rPr>
                <w:t>https://www.eesc.europa.eu/it/our-work/opinions-information-reports/plenary-session-summaries</w:t>
              </w:r>
            </w:hyperlink>
          </w:p>
          <w:p w:rsidRPr="00C9001B" w:rsidR="004D7AC0" w:rsidP="00775FC4" w:rsidRDefault="004D7AC0" w14:paraId="575A73D6" w14:textId="4E621DC6">
            <w:pPr>
              <w:snapToGrid w:val="0"/>
              <w:jc w:val="center"/>
            </w:pPr>
          </w:p>
          <w:p w:rsidRPr="00C9001B" w:rsidR="00C9001B" w:rsidP="00775FC4" w:rsidRDefault="00C9001B" w14:paraId="251D0B53" w14:textId="77777777">
            <w:pPr>
              <w:snapToGrid w:val="0"/>
              <w:jc w:val="center"/>
              <w:rPr>
                <w:rFonts w:eastAsia="SimSun"/>
              </w:rPr>
            </w:pPr>
          </w:p>
          <w:p w:rsidRPr="00C9001B" w:rsidR="00B16284" w:rsidP="00775FC4" w:rsidRDefault="004D7AC0" w14:paraId="1C64BC20" w14:textId="77777777">
            <w:pPr>
              <w:snapToGrid w:val="0"/>
              <w:jc w:val="center"/>
            </w:pPr>
            <w:r w:rsidRPr="00C9001B">
              <w:t>I pareri menzionati possono essere consultati online tramite il motore di ricerca del CESE:</w:t>
            </w:r>
          </w:p>
          <w:p w:rsidRPr="00C9001B" w:rsidR="00B16284" w:rsidP="00775FC4" w:rsidRDefault="00B16284" w14:paraId="7A5411A5" w14:textId="77777777">
            <w:pPr>
              <w:snapToGrid w:val="0"/>
              <w:jc w:val="center"/>
            </w:pPr>
          </w:p>
          <w:p w:rsidRPr="00C9001B" w:rsidR="004D7AC0" w:rsidP="00775FC4" w:rsidRDefault="00E736C8" w14:paraId="441AC4DD" w14:textId="1194D751">
            <w:pPr>
              <w:snapToGrid w:val="0"/>
              <w:jc w:val="center"/>
            </w:pPr>
            <w:hyperlink w:history="1" r:id="rId13">
              <w:r w:rsidRPr="00C9001B" w:rsidR="00CE4B73">
                <w:rPr>
                  <w:rStyle w:val="Hyperlink"/>
                </w:rPr>
                <w:t>https://dmsearch.eesc.europa.eu/search/opinion</w:t>
              </w:r>
            </w:hyperlink>
          </w:p>
          <w:p w:rsidRPr="00C9001B" w:rsidR="004D7AC0" w:rsidP="00775FC4" w:rsidRDefault="004D7AC0" w14:paraId="51FF303F" w14:textId="77777777">
            <w:pPr>
              <w:snapToGrid w:val="0"/>
              <w:jc w:val="center"/>
            </w:pPr>
          </w:p>
        </w:tc>
      </w:tr>
    </w:tbl>
    <w:p w:rsidRPr="00C9001B" w:rsidR="004D7AC0" w:rsidP="00775FC4" w:rsidRDefault="004D7AC0" w14:paraId="57C291FC" w14:textId="77777777"/>
    <w:p w:rsidRPr="00C9001B" w:rsidR="004D7AC0" w:rsidP="00775FC4" w:rsidRDefault="004D7AC0" w14:paraId="5E675360" w14:textId="77777777"/>
    <w:p w:rsidRPr="00C9001B" w:rsidR="005A29D5" w:rsidP="00775FC4" w:rsidRDefault="005A29D5" w14:paraId="3CF67A1E" w14:textId="77777777">
      <w:pPr>
        <w:sectPr w:rsidRPr="00C9001B" w:rsidR="005A29D5" w:rsidSect="005C28F2">
          <w:footerReference w:type="default" r:id="rId14"/>
          <w:pgSz w:w="11907" w:h="16839"/>
          <w:pgMar w:top="1417" w:right="1417" w:bottom="1417" w:left="1417" w:header="709" w:footer="709" w:gutter="0"/>
          <w:pgNumType w:start="1"/>
          <w:cols w:space="708"/>
          <w:docGrid w:linePitch="360"/>
        </w:sectPr>
      </w:pPr>
    </w:p>
    <w:p w:rsidRPr="00C9001B"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C9001B">
        <w:rPr>
          <w:rFonts w:asciiTheme="majorHAnsi" w:hAnsiTheme="majorHAnsi"/>
          <w:color w:val="2E74B5" w:themeColor="accent1" w:themeShade="BF"/>
          <w:sz w:val="32"/>
        </w:rPr>
        <w:lastRenderedPageBreak/>
        <w:t>Indice</w:t>
      </w:r>
    </w:p>
    <w:p w:rsidRPr="00C9001B" w:rsidR="00C9001B" w:rsidRDefault="008772F9" w14:paraId="00E2C771" w14:textId="716FA015">
      <w:pPr>
        <w:pStyle w:val="TOC1"/>
        <w:rPr>
          <w:rFonts w:asciiTheme="minorHAnsi" w:hAnsiTheme="minorHAnsi" w:eastAsiaTheme="minorEastAsia" w:cstheme="minorBidi"/>
          <w:bCs w:val="0"/>
          <w:sz w:val="22"/>
          <w:szCs w:val="22"/>
          <w:lang w:val="en-US"/>
        </w:rPr>
      </w:pPr>
      <w:r w:rsidRPr="00C9001B">
        <w:fldChar w:fldCharType="begin"/>
      </w:r>
      <w:r w:rsidRPr="00C9001B">
        <w:instrText xml:space="preserve"> TOC \o "1-1" \h \z \u </w:instrText>
      </w:r>
      <w:r w:rsidRPr="00C9001B">
        <w:fldChar w:fldCharType="separate"/>
      </w:r>
      <w:hyperlink w:history="1" w:anchor="_Toc169858728">
        <w:r w:rsidRPr="00C9001B" w:rsidR="00C9001B">
          <w:rPr>
            <w:rStyle w:val="Hyperlink"/>
            <w14:scene3d>
              <w14:camera w14:prst="orthographicFront"/>
              <w14:lightRig w14:rig="threePt" w14:dir="t">
                <w14:rot w14:lat="0" w14:lon="0" w14:rev="0"/>
              </w14:lightRig>
            </w14:scene3d>
          </w:rPr>
          <w:t>1.</w:t>
        </w:r>
        <w:r w:rsidRPr="00C9001B" w:rsidR="00C9001B">
          <w:rPr>
            <w:rFonts w:asciiTheme="minorHAnsi" w:hAnsiTheme="minorHAnsi" w:eastAsiaTheme="minorEastAsia" w:cstheme="minorBidi"/>
            <w:bCs w:val="0"/>
            <w:sz w:val="22"/>
            <w:szCs w:val="22"/>
            <w:lang w:val="en-US"/>
          </w:rPr>
          <w:tab/>
        </w:r>
        <w:r w:rsidRPr="00C9001B" w:rsidR="00C9001B">
          <w:rPr>
            <w:rStyle w:val="Hyperlink"/>
            <w:b/>
          </w:rPr>
          <w:t>UNIONE ECONOMICA E MONETARIA, COESIONE ECONOMICA E SOCIALE</w:t>
        </w:r>
        <w:r w:rsidRPr="00C9001B" w:rsidR="00C9001B">
          <w:rPr>
            <w:webHidden/>
          </w:rPr>
          <w:tab/>
        </w:r>
        <w:r w:rsidRPr="00C9001B" w:rsidR="00C9001B">
          <w:rPr>
            <w:webHidden/>
          </w:rPr>
          <w:fldChar w:fldCharType="begin"/>
        </w:r>
        <w:r w:rsidRPr="00C9001B" w:rsidR="00C9001B">
          <w:rPr>
            <w:webHidden/>
          </w:rPr>
          <w:instrText xml:space="preserve"> PAGEREF _Toc169858728 \h </w:instrText>
        </w:r>
        <w:r w:rsidRPr="00C9001B" w:rsidR="00C9001B">
          <w:rPr>
            <w:webHidden/>
          </w:rPr>
        </w:r>
        <w:r w:rsidRPr="00C9001B" w:rsidR="00C9001B">
          <w:rPr>
            <w:webHidden/>
          </w:rPr>
          <w:fldChar w:fldCharType="separate"/>
        </w:r>
        <w:r w:rsidR="00D0316F">
          <w:rPr>
            <w:webHidden/>
          </w:rPr>
          <w:t>3</w:t>
        </w:r>
        <w:r w:rsidRPr="00C9001B" w:rsidR="00C9001B">
          <w:rPr>
            <w:webHidden/>
          </w:rPr>
          <w:fldChar w:fldCharType="end"/>
        </w:r>
      </w:hyperlink>
    </w:p>
    <w:p w:rsidRPr="00C9001B" w:rsidR="00C9001B" w:rsidRDefault="00C9001B" w14:paraId="1709D88D" w14:textId="59F40812">
      <w:pPr>
        <w:pStyle w:val="TOC1"/>
        <w:rPr>
          <w:rFonts w:asciiTheme="minorHAnsi" w:hAnsiTheme="minorHAnsi" w:eastAsiaTheme="minorEastAsia" w:cstheme="minorBidi"/>
          <w:bCs w:val="0"/>
          <w:sz w:val="22"/>
          <w:szCs w:val="22"/>
          <w:lang w:val="en-US"/>
        </w:rPr>
      </w:pPr>
      <w:hyperlink w:history="1" w:anchor="_Toc169858729">
        <w:r w:rsidRPr="00C9001B">
          <w:rPr>
            <w:rStyle w:val="Hyperlink"/>
            <w14:scene3d>
              <w14:camera w14:prst="orthographicFront"/>
              <w14:lightRig w14:rig="threePt" w14:dir="t">
                <w14:rot w14:lat="0" w14:lon="0" w14:rev="0"/>
              </w14:lightRig>
            </w14:scene3d>
          </w:rPr>
          <w:t>2.</w:t>
        </w:r>
        <w:r w:rsidRPr="00C9001B">
          <w:rPr>
            <w:rFonts w:asciiTheme="minorHAnsi" w:hAnsiTheme="minorHAnsi" w:eastAsiaTheme="minorEastAsia" w:cstheme="minorBidi"/>
            <w:bCs w:val="0"/>
            <w:sz w:val="22"/>
            <w:szCs w:val="22"/>
            <w:lang w:val="en-US"/>
          </w:rPr>
          <w:tab/>
        </w:r>
        <w:r w:rsidRPr="00C9001B">
          <w:rPr>
            <w:rStyle w:val="Hyperlink"/>
            <w:b/>
          </w:rPr>
          <w:t>OCCUPAZIONE, AFFARI SOCIALI E CITTADINANZA</w:t>
        </w:r>
        <w:r w:rsidRPr="00C9001B">
          <w:rPr>
            <w:webHidden/>
          </w:rPr>
          <w:tab/>
        </w:r>
        <w:r w:rsidRPr="00C9001B">
          <w:rPr>
            <w:webHidden/>
          </w:rPr>
          <w:fldChar w:fldCharType="begin"/>
        </w:r>
        <w:r w:rsidRPr="00C9001B">
          <w:rPr>
            <w:webHidden/>
          </w:rPr>
          <w:instrText xml:space="preserve"> PAGEREF _Toc169858729 \h </w:instrText>
        </w:r>
        <w:r w:rsidRPr="00C9001B">
          <w:rPr>
            <w:webHidden/>
          </w:rPr>
        </w:r>
        <w:r w:rsidRPr="00C9001B">
          <w:rPr>
            <w:webHidden/>
          </w:rPr>
          <w:fldChar w:fldCharType="separate"/>
        </w:r>
        <w:r w:rsidR="00D0316F">
          <w:rPr>
            <w:webHidden/>
          </w:rPr>
          <w:t>7</w:t>
        </w:r>
        <w:r w:rsidRPr="00C9001B">
          <w:rPr>
            <w:webHidden/>
          </w:rPr>
          <w:fldChar w:fldCharType="end"/>
        </w:r>
      </w:hyperlink>
    </w:p>
    <w:p w:rsidRPr="00C9001B" w:rsidR="00C9001B" w:rsidRDefault="00C9001B" w14:paraId="6FC549ED" w14:textId="02BAAB84">
      <w:pPr>
        <w:pStyle w:val="TOC1"/>
        <w:rPr>
          <w:rFonts w:asciiTheme="minorHAnsi" w:hAnsiTheme="minorHAnsi" w:eastAsiaTheme="minorEastAsia" w:cstheme="minorBidi"/>
          <w:bCs w:val="0"/>
          <w:sz w:val="22"/>
          <w:szCs w:val="22"/>
          <w:lang w:val="en-US"/>
        </w:rPr>
      </w:pPr>
      <w:hyperlink w:history="1" w:anchor="_Toc169858730">
        <w:r w:rsidRPr="00C9001B">
          <w:rPr>
            <w:rStyle w:val="Hyperlink"/>
            <w14:scene3d>
              <w14:camera w14:prst="orthographicFront"/>
              <w14:lightRig w14:rig="threePt" w14:dir="t">
                <w14:rot w14:lat="0" w14:lon="0" w14:rev="0"/>
              </w14:lightRig>
            </w14:scene3d>
          </w:rPr>
          <w:t>3.</w:t>
        </w:r>
        <w:r w:rsidRPr="00C9001B">
          <w:rPr>
            <w:rFonts w:asciiTheme="minorHAnsi" w:hAnsiTheme="minorHAnsi" w:eastAsiaTheme="minorEastAsia" w:cstheme="minorBidi"/>
            <w:bCs w:val="0"/>
            <w:sz w:val="22"/>
            <w:szCs w:val="22"/>
            <w:lang w:val="en-US"/>
          </w:rPr>
          <w:tab/>
        </w:r>
        <w:r w:rsidRPr="00C9001B">
          <w:rPr>
            <w:rStyle w:val="Hyperlink"/>
            <w:b/>
          </w:rPr>
          <w:t>AGRICOLTURA, SVILUPPO RURALE, AMBIENTE</w:t>
        </w:r>
        <w:r w:rsidRPr="00C9001B">
          <w:rPr>
            <w:webHidden/>
          </w:rPr>
          <w:tab/>
        </w:r>
        <w:r w:rsidRPr="00C9001B">
          <w:rPr>
            <w:webHidden/>
          </w:rPr>
          <w:fldChar w:fldCharType="begin"/>
        </w:r>
        <w:r w:rsidRPr="00C9001B">
          <w:rPr>
            <w:webHidden/>
          </w:rPr>
          <w:instrText xml:space="preserve"> PAGEREF _Toc169858730 \h </w:instrText>
        </w:r>
        <w:r w:rsidRPr="00C9001B">
          <w:rPr>
            <w:webHidden/>
          </w:rPr>
        </w:r>
        <w:r w:rsidRPr="00C9001B">
          <w:rPr>
            <w:webHidden/>
          </w:rPr>
          <w:fldChar w:fldCharType="separate"/>
        </w:r>
        <w:r w:rsidR="00D0316F">
          <w:rPr>
            <w:webHidden/>
          </w:rPr>
          <w:t>11</w:t>
        </w:r>
        <w:r w:rsidRPr="00C9001B">
          <w:rPr>
            <w:webHidden/>
          </w:rPr>
          <w:fldChar w:fldCharType="end"/>
        </w:r>
      </w:hyperlink>
    </w:p>
    <w:p w:rsidRPr="00C9001B" w:rsidR="00C9001B" w:rsidRDefault="00C9001B" w14:paraId="7EB1F0FB" w14:textId="51435EE8">
      <w:pPr>
        <w:pStyle w:val="TOC1"/>
        <w:rPr>
          <w:rFonts w:asciiTheme="minorHAnsi" w:hAnsiTheme="minorHAnsi" w:eastAsiaTheme="minorEastAsia" w:cstheme="minorBidi"/>
          <w:bCs w:val="0"/>
          <w:sz w:val="22"/>
          <w:szCs w:val="22"/>
          <w:lang w:val="en-US"/>
        </w:rPr>
      </w:pPr>
      <w:hyperlink w:history="1" w:anchor="_Toc169858731">
        <w:r w:rsidRPr="00C9001B">
          <w:rPr>
            <w:rStyle w:val="Hyperlink"/>
            <w14:scene3d>
              <w14:camera w14:prst="orthographicFront"/>
              <w14:lightRig w14:rig="threePt" w14:dir="t">
                <w14:rot w14:lat="0" w14:lon="0" w14:rev="0"/>
              </w14:lightRig>
            </w14:scene3d>
          </w:rPr>
          <w:t>4.</w:t>
        </w:r>
        <w:r w:rsidRPr="00C9001B">
          <w:rPr>
            <w:rFonts w:asciiTheme="minorHAnsi" w:hAnsiTheme="minorHAnsi" w:eastAsiaTheme="minorEastAsia" w:cstheme="minorBidi"/>
            <w:bCs w:val="0"/>
            <w:sz w:val="22"/>
            <w:szCs w:val="22"/>
            <w:lang w:val="en-US"/>
          </w:rPr>
          <w:tab/>
        </w:r>
        <w:r w:rsidRPr="00C9001B">
          <w:rPr>
            <w:rStyle w:val="Hyperlink"/>
            <w:b/>
          </w:rPr>
          <w:t>TRASPORTI, ENERGIA, INFRASTRUTTURE, SOCIETÀ DELL'INFORMAZIONE</w:t>
        </w:r>
        <w:r w:rsidRPr="00C9001B">
          <w:rPr>
            <w:webHidden/>
          </w:rPr>
          <w:tab/>
        </w:r>
        <w:r w:rsidRPr="00C9001B">
          <w:rPr>
            <w:webHidden/>
          </w:rPr>
          <w:fldChar w:fldCharType="begin"/>
        </w:r>
        <w:r w:rsidRPr="00C9001B">
          <w:rPr>
            <w:webHidden/>
          </w:rPr>
          <w:instrText xml:space="preserve"> PAGEREF _Toc169858731 \h </w:instrText>
        </w:r>
        <w:r w:rsidRPr="00C9001B">
          <w:rPr>
            <w:webHidden/>
          </w:rPr>
        </w:r>
        <w:r w:rsidRPr="00C9001B">
          <w:rPr>
            <w:webHidden/>
          </w:rPr>
          <w:fldChar w:fldCharType="separate"/>
        </w:r>
        <w:r w:rsidR="00D0316F">
          <w:rPr>
            <w:webHidden/>
          </w:rPr>
          <w:t>14</w:t>
        </w:r>
        <w:r w:rsidRPr="00C9001B">
          <w:rPr>
            <w:webHidden/>
          </w:rPr>
          <w:fldChar w:fldCharType="end"/>
        </w:r>
      </w:hyperlink>
    </w:p>
    <w:p w:rsidRPr="00C9001B" w:rsidR="00C9001B" w:rsidRDefault="00C9001B" w14:paraId="0B76DABA" w14:textId="3B922E9D">
      <w:pPr>
        <w:pStyle w:val="TOC1"/>
        <w:rPr>
          <w:rFonts w:asciiTheme="minorHAnsi" w:hAnsiTheme="minorHAnsi" w:eastAsiaTheme="minorEastAsia" w:cstheme="minorBidi"/>
          <w:bCs w:val="0"/>
          <w:sz w:val="22"/>
          <w:szCs w:val="22"/>
          <w:lang w:val="en-US"/>
        </w:rPr>
      </w:pPr>
      <w:hyperlink w:history="1" w:anchor="_Toc169858732">
        <w:r w:rsidRPr="00C9001B">
          <w:rPr>
            <w:rStyle w:val="Hyperlink"/>
            <w14:scene3d>
              <w14:camera w14:prst="orthographicFront"/>
              <w14:lightRig w14:rig="threePt" w14:dir="t">
                <w14:rot w14:lat="0" w14:lon="0" w14:rev="0"/>
              </w14:lightRig>
            </w14:scene3d>
          </w:rPr>
          <w:t>5.</w:t>
        </w:r>
        <w:r w:rsidRPr="00C9001B">
          <w:rPr>
            <w:rFonts w:asciiTheme="minorHAnsi" w:hAnsiTheme="minorHAnsi" w:eastAsiaTheme="minorEastAsia" w:cstheme="minorBidi"/>
            <w:bCs w:val="0"/>
            <w:sz w:val="22"/>
            <w:szCs w:val="22"/>
            <w:lang w:val="en-US"/>
          </w:rPr>
          <w:tab/>
        </w:r>
        <w:r w:rsidRPr="00C9001B">
          <w:rPr>
            <w:rStyle w:val="Hyperlink"/>
            <w:b/>
          </w:rPr>
          <w:t>COMMISSIONE CONSULTIVA PER LE TRASFORMAZIONI INDUSTRIALI</w:t>
        </w:r>
        <w:r w:rsidRPr="00C9001B">
          <w:rPr>
            <w:webHidden/>
          </w:rPr>
          <w:tab/>
        </w:r>
        <w:r w:rsidRPr="00C9001B">
          <w:rPr>
            <w:webHidden/>
          </w:rPr>
          <w:fldChar w:fldCharType="begin"/>
        </w:r>
        <w:r w:rsidRPr="00C9001B">
          <w:rPr>
            <w:webHidden/>
          </w:rPr>
          <w:instrText xml:space="preserve"> PAGEREF _Toc169858732 \h </w:instrText>
        </w:r>
        <w:r w:rsidRPr="00C9001B">
          <w:rPr>
            <w:webHidden/>
          </w:rPr>
        </w:r>
        <w:r w:rsidRPr="00C9001B">
          <w:rPr>
            <w:webHidden/>
          </w:rPr>
          <w:fldChar w:fldCharType="separate"/>
        </w:r>
        <w:r w:rsidR="00D0316F">
          <w:rPr>
            <w:webHidden/>
          </w:rPr>
          <w:t>15</w:t>
        </w:r>
        <w:r w:rsidRPr="00C9001B">
          <w:rPr>
            <w:webHidden/>
          </w:rPr>
          <w:fldChar w:fldCharType="end"/>
        </w:r>
      </w:hyperlink>
    </w:p>
    <w:p w:rsidRPr="00C9001B" w:rsidR="00C86ABD" w:rsidRDefault="008772F9" w14:paraId="4EDE006A" w14:textId="69B1C9B0">
      <w:pPr>
        <w:jc w:val="left"/>
      </w:pPr>
      <w:r w:rsidRPr="00C9001B">
        <w:fldChar w:fldCharType="end"/>
      </w:r>
      <w:r w:rsidRPr="00C9001B">
        <w:br w:type="page"/>
      </w:r>
    </w:p>
    <w:p w:rsidRPr="00C9001B" w:rsidR="0038273B" w:rsidP="00770F41" w:rsidRDefault="0038273B" w14:paraId="62CE6920" w14:textId="3BF8F717">
      <w:pPr>
        <w:pStyle w:val="Heading1"/>
        <w:tabs>
          <w:tab w:val="clear" w:pos="440"/>
          <w:tab w:val="left" w:pos="567"/>
        </w:tabs>
        <w:ind w:left="567" w:hanging="567"/>
        <w:rPr>
          <w:b/>
          <w:bCs/>
        </w:rPr>
      </w:pPr>
      <w:bookmarkStart w:name="_Toc169858728" w:id="0"/>
      <w:r w:rsidRPr="00C9001B">
        <w:rPr>
          <w:b/>
        </w:rPr>
        <w:lastRenderedPageBreak/>
        <w:t xml:space="preserve">UNIONE ECONOMICA </w:t>
      </w:r>
      <w:r w:rsidRPr="00C9001B" w:rsidR="00C9001B">
        <w:rPr>
          <w:b/>
        </w:rPr>
        <w:t>E</w:t>
      </w:r>
      <w:r w:rsidRPr="00C9001B">
        <w:rPr>
          <w:b/>
        </w:rPr>
        <w:t xml:space="preserve"> MONETARIA, COESIONE ECONOMICA </w:t>
      </w:r>
      <w:r w:rsidRPr="00C9001B" w:rsidR="00C9001B">
        <w:rPr>
          <w:b/>
        </w:rPr>
        <w:t>E</w:t>
      </w:r>
      <w:r w:rsidRPr="00C9001B">
        <w:rPr>
          <w:b/>
        </w:rPr>
        <w:t xml:space="preserve"> SOCIALE</w:t>
      </w:r>
      <w:bookmarkEnd w:id="0"/>
    </w:p>
    <w:p w:rsidRPr="00C9001B"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Pr="00C9001B" w:rsidR="006C19F4" w:rsidP="00770F41" w:rsidRDefault="006C19F4" w14:paraId="615CB201" w14:textId="46FEF5A0">
      <w:pPr>
        <w:tabs>
          <w:tab w:val="center" w:pos="284"/>
        </w:tabs>
        <w:overflowPunct w:val="0"/>
        <w:autoSpaceDE w:val="0"/>
        <w:autoSpaceDN w:val="0"/>
        <w:adjustRightInd w:val="0"/>
        <w:ind w:left="266" w:hanging="266"/>
        <w:textAlignment w:val="baseline"/>
        <w:rPr>
          <w:b/>
          <w:sz w:val="24"/>
          <w:szCs w:val="24"/>
        </w:rPr>
      </w:pPr>
    </w:p>
    <w:p w:rsidRPr="00C9001B" w:rsidR="006C19F4" w:rsidP="00C26C81" w:rsidRDefault="00E736C8"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15">
        <w:r w:rsidRPr="00C9001B" w:rsidR="00CE4B73">
          <w:rPr>
            <w:b/>
            <w:i/>
            <w:color w:val="0000FF"/>
            <w:sz w:val="28"/>
            <w:u w:val="single"/>
          </w:rPr>
          <w:t>Il ruolo della polit</w:t>
        </w:r>
        <w:r w:rsidRPr="00C9001B" w:rsidR="00CE4B73">
          <w:rPr>
            <w:b/>
            <w:i/>
            <w:color w:val="0000FF"/>
            <w:sz w:val="28"/>
            <w:u w:val="single"/>
          </w:rPr>
          <w:t>i</w:t>
        </w:r>
        <w:r w:rsidRPr="00C9001B" w:rsidR="00CE4B73">
          <w:rPr>
            <w:b/>
            <w:i/>
            <w:color w:val="0000FF"/>
            <w:sz w:val="28"/>
            <w:u w:val="single"/>
          </w:rPr>
          <w:t>ca di coesione nei prossimi cicli di allargamento dell'UE</w:t>
        </w:r>
      </w:hyperlink>
    </w:p>
    <w:p w:rsidRPr="00C9001B" w:rsidR="00190D28" w:rsidP="00DC0FAE" w:rsidRDefault="00190D28" w14:paraId="647D4419" w14:textId="77777777">
      <w:pPr>
        <w:widowControl w:val="0"/>
        <w:overflowPunct w:val="0"/>
        <w:autoSpaceDE w:val="0"/>
        <w:autoSpaceDN w:val="0"/>
        <w:adjustRightInd w:val="0"/>
        <w:spacing w:after="120"/>
        <w:ind w:left="284"/>
        <w:textAlignment w:val="baseline"/>
        <w:rPr>
          <w:b/>
          <w:i/>
          <w:i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621"/>
      </w:tblGrid>
      <w:tr w:rsidRPr="00C9001B" w:rsidR="006C19F4" w:rsidTr="00FE3058" w14:paraId="7BA389F8" w14:textId="77777777">
        <w:tc>
          <w:tcPr>
            <w:tcW w:w="1701" w:type="dxa"/>
          </w:tcPr>
          <w:p w:rsidRPr="00C9001B" w:rsidR="006C19F4" w:rsidP="006C19F4" w:rsidRDefault="00C9001B" w14:paraId="4187F6BE" w14:textId="260AA050">
            <w:pPr>
              <w:tabs>
                <w:tab w:val="center" w:pos="284"/>
              </w:tabs>
              <w:overflowPunct w:val="0"/>
              <w:autoSpaceDE w:val="0"/>
              <w:autoSpaceDN w:val="0"/>
              <w:adjustRightInd w:val="0"/>
              <w:ind w:left="266" w:hanging="266"/>
              <w:textAlignment w:val="baseline"/>
              <w:rPr>
                <w:b/>
              </w:rPr>
            </w:pPr>
            <w:r w:rsidRPr="00C9001B">
              <w:rPr>
                <w:b/>
              </w:rPr>
              <w:t>Relatrice</w:t>
            </w:r>
          </w:p>
        </w:tc>
        <w:tc>
          <w:tcPr>
            <w:tcW w:w="7621" w:type="dxa"/>
          </w:tcPr>
          <w:p w:rsidRPr="00C9001B"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rsidRPr="00C9001B">
              <w:t>María del Carmen BARRERA CHAMORRO (Lavoratori - ES)</w:t>
            </w:r>
          </w:p>
        </w:tc>
      </w:tr>
      <w:tr w:rsidRPr="00C9001B" w:rsidR="006C19F4" w:rsidTr="00FE3058" w14:paraId="73869A75" w14:textId="77777777">
        <w:tc>
          <w:tcPr>
            <w:tcW w:w="9322" w:type="dxa"/>
            <w:gridSpan w:val="2"/>
          </w:tcPr>
          <w:p w:rsidRPr="00C9001B"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C9001B" w:rsidR="006C19F4" w:rsidTr="00FE3058" w14:paraId="232B8808" w14:textId="77777777">
        <w:tc>
          <w:tcPr>
            <w:tcW w:w="1701" w:type="dxa"/>
          </w:tcPr>
          <w:p w:rsidRPr="00C9001B"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sidRPr="00C9001B">
              <w:rPr>
                <w:b/>
              </w:rPr>
              <w:t>Riferimento</w:t>
            </w:r>
          </w:p>
        </w:tc>
        <w:tc>
          <w:tcPr>
            <w:tcW w:w="7621" w:type="dxa"/>
          </w:tcPr>
          <w:p w:rsidRPr="00C9001B" w:rsidR="00ED5F1D" w:rsidP="00ED5F1D" w:rsidRDefault="00ED5F1D" w14:paraId="6C26CE56" w14:textId="7EC335DB">
            <w:pPr>
              <w:pStyle w:val="Default"/>
              <w:jc w:val="both"/>
              <w:rPr>
                <w:sz w:val="20"/>
                <w:szCs w:val="20"/>
              </w:rPr>
            </w:pPr>
            <w:r w:rsidRPr="00C9001B">
              <w:rPr>
                <w:sz w:val="20"/>
              </w:rPr>
              <w:t xml:space="preserve">Parere esplorativo richiesto dalla Commissione europea </w:t>
            </w:r>
          </w:p>
          <w:p w:rsidRPr="00C9001B" w:rsidR="006C19F4" w:rsidP="006C19F4" w:rsidRDefault="006C19F4" w14:paraId="7903D5BC" w14:textId="592052F7">
            <w:pPr>
              <w:tabs>
                <w:tab w:val="center" w:pos="284"/>
              </w:tabs>
              <w:overflowPunct w:val="0"/>
              <w:autoSpaceDE w:val="0"/>
              <w:autoSpaceDN w:val="0"/>
              <w:adjustRightInd w:val="0"/>
              <w:ind w:left="266" w:hanging="266"/>
              <w:textAlignment w:val="baseline"/>
            </w:pPr>
            <w:r w:rsidRPr="00C9001B">
              <w:t>EESC-2024-00535-00-00-AC</w:t>
            </w:r>
          </w:p>
        </w:tc>
      </w:tr>
    </w:tbl>
    <w:p w:rsidRPr="00C9001B" w:rsidR="00556279" w:rsidP="006C19F4" w:rsidRDefault="00556279" w14:paraId="3EB4A714" w14:textId="77777777">
      <w:pPr>
        <w:keepNext/>
        <w:keepLines/>
        <w:tabs>
          <w:tab w:val="center" w:pos="284"/>
        </w:tabs>
        <w:overflowPunct w:val="0"/>
        <w:autoSpaceDE w:val="0"/>
        <w:autoSpaceDN w:val="0"/>
        <w:adjustRightInd w:val="0"/>
        <w:spacing w:before="120"/>
        <w:ind w:left="266" w:hanging="266"/>
        <w:textAlignment w:val="baseline"/>
        <w:rPr>
          <w:b/>
        </w:rPr>
      </w:pPr>
    </w:p>
    <w:p w:rsidRPr="00C9001B"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sidRPr="00C9001B">
        <w:rPr>
          <w:b/>
        </w:rPr>
        <w:t>Punti principali</w:t>
      </w:r>
    </w:p>
    <w:p w:rsidRPr="00C9001B" w:rsidR="00ED5F1D" w:rsidP="006C19F4" w:rsidRDefault="00ED5F1D" w14:paraId="7E453C4F" w14:textId="77777777">
      <w:pPr>
        <w:keepNext/>
        <w:keepLines/>
        <w:tabs>
          <w:tab w:val="center" w:pos="284"/>
        </w:tabs>
        <w:overflowPunct w:val="0"/>
        <w:autoSpaceDE w:val="0"/>
        <w:autoSpaceDN w:val="0"/>
        <w:adjustRightInd w:val="0"/>
        <w:spacing w:before="120"/>
        <w:ind w:left="266" w:hanging="266"/>
        <w:textAlignment w:val="baseline"/>
        <w:rPr>
          <w:b/>
        </w:rPr>
      </w:pPr>
    </w:p>
    <w:p w:rsidRPr="00C9001B" w:rsidR="006C19F4" w:rsidP="006C19F4" w:rsidRDefault="006C19F4" w14:paraId="3AEFB419" w14:textId="78037879">
      <w:pPr>
        <w:overflowPunct w:val="0"/>
        <w:autoSpaceDE w:val="0"/>
        <w:autoSpaceDN w:val="0"/>
        <w:adjustRightInd w:val="0"/>
        <w:textAlignment w:val="baseline"/>
        <w:rPr>
          <w:bCs/>
          <w:iCs/>
        </w:rPr>
      </w:pPr>
      <w:r w:rsidRPr="00C9001B">
        <w:t>Il CESE:</w:t>
      </w:r>
    </w:p>
    <w:p w:rsidRPr="00C9001B" w:rsidR="007A51DE" w:rsidP="006C19F4" w:rsidRDefault="007A51DE" w14:paraId="3831A5EE" w14:textId="77777777">
      <w:pPr>
        <w:overflowPunct w:val="0"/>
        <w:autoSpaceDE w:val="0"/>
        <w:autoSpaceDN w:val="0"/>
        <w:adjustRightInd w:val="0"/>
        <w:textAlignment w:val="baseline"/>
        <w:rPr>
          <w:bCs/>
          <w:iCs/>
        </w:rPr>
      </w:pPr>
    </w:p>
    <w:p w:rsidRPr="00C9001B"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sottolinea che la politica di aiuto preadesione è uno strumento indispensabile della politica di allargamento e che la sua influenza può essere rafforzata per promuovere la pace e la prosperità in tutto il continente europeo, in particolare nelle regioni in cui sulla pace e la stabilità recentemente incombono delle minacce;</w:t>
      </w:r>
    </w:p>
    <w:p w:rsidRPr="00C9001B"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osserva che, per preparare i paesi candidati ad attuare pienamente gli strumenti della politica di coesione in futuro, la politica di aiuto preadesione dovrebbe essere meglio adattata ai punti di forza, alle sfide e alle esigenze delle rispettive regioni, nonché delle regioni confinanti degli Stati membri dell'UE;</w:t>
      </w:r>
    </w:p>
    <w:p w:rsidRPr="00C9001B"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raccomanda che la politica di aiuto preadesione dell'UE nei paesi candidati compia investimenti più sistematici nello sviluppo del capitale umano, nell'istruzione/educazione e nell'integrazione sociale, al fine di prevenire e alleviare le disuguaglianze sociali. È essenziale promuovere i legami con le organizzazioni della società civile ai fini del miglioramento della pianificazione dell'aiuto preadesione;</w:t>
      </w:r>
    </w:p>
    <w:p w:rsidRPr="00C9001B"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rileva che, nell'ambito della futura politica di coesione, la protezione dei gruppi vulnerabili, che incontrano ostacoli aggiuntivi e straordinari al loro sviluppo economico e sociale e possono trovarsi ad affrontare ulteriori sfide nel futuro processo di adesione, dovrebbe essere considerata una priorità;</w:t>
      </w:r>
    </w:p>
    <w:p w:rsidRPr="00C9001B"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sottolinea che partenariati rafforzati con le organizzazioni della società civile dei paesi candidati, oltre ad essere preziosi per la promozione degli obiettivi dell'allargamento, sono anche in linea con strategie di sviluppo efficaci e inclusive, grazie al rispetto dei principi consolidati di un partenariato solido e di una gestione concorrente;</w:t>
      </w:r>
    </w:p>
    <w:p w:rsidRPr="00C9001B"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sottolinea altresì che il ruolo della politica di coesione deve andare ben oltre gli investimenti di base. Deve infatti concentrarsi sullo sviluppo istituzionale e di capacità, compresi i programmi di gemellaggio e il sostegno alla società civile e alle parti sociali;</w:t>
      </w:r>
    </w:p>
    <w:p w:rsidRPr="00C9001B"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 xml:space="preserve">fa presente che i cicli successivi di allargamento hanno avuto un impatto anche sugli attuali Stati membri e sulle loro regioni, dato che i nuovi Stati membri aderiscono al mercato unico e incidono sulla catena del valore internazionale e sulla migrazione di manodopera nell'UE. Sono pertanto necessari fondi supplementari per investire nelle regioni confinanti con i paesi candidati, nonché </w:t>
      </w:r>
      <w:r w:rsidRPr="00C9001B">
        <w:lastRenderedPageBreak/>
        <w:t>nelle regioni degli attuali Stati membri gravemente colpite dai cambiamenti intervenuti nell'UE e nelle catene globali del valore a seguito dell'allargamento;</w:t>
      </w:r>
    </w:p>
    <w:p w:rsidRPr="00C9001B"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ritiene che la Commissione europea dovrebbe orientare le sue riforme della futura politica di coesione, parallelamente al processo di allargamento, in modo da rafforzare l'efficacia delle politiche attuali, puntando a una maggiore specializzazione e diversificazione, in collegamento con una più ampia flessibilità e specializzazione finanziaria. Nessuna assistenza finanziaria può riuscire a dare impulso alla prosperità economica senza sforzi paralleli in materia di sviluppo istituzionale, riforma della governance e impegno della società civile;</w:t>
      </w:r>
    </w:p>
    <w:p w:rsidRPr="00C9001B"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sottolinea la necessità di agire con urgenza per arginare l'ondata di emigrazione dai paesi candidati all'adesione all'UE – che minaccia di compromettere il loro potenziale di sviluppo economico e sociale – attraverso la realizzazione di varie misure di politica, tra cui gli investimenti in capitale umano;</w:t>
      </w:r>
    </w:p>
    <w:p w:rsidRPr="00C9001B"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rsidRPr="00C9001B">
        <w:t>ritiene essenziale migliorare la situazione dei giovani nei paesi candidati. Sono necessari sforzi per migliorare le competenze e l'occupazione dei giovani e aumentare le opportunità di istruzione/educazione e di posti di lavoro di qualità per i giovani, parallelamente a soluzioni abitative. Occorre inoltre incoraggiare il dialogo con i giovani e la loro partecipazione alle iniziative della garanzia per i giovani;</w:t>
      </w:r>
    </w:p>
    <w:p w:rsidRPr="00C9001B"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rsidRPr="00C9001B">
        <w:t>raccomanda di intensificare gli sforzi per assistere le persone più vulnerabili e i gruppi vulnerabili nei paesi candidati, non solo integrandoli nei sistemi di protezione, ma anche tenendoli in considerazione nel processo decisionale: è questo, infatti, il modo migliore per attuare il primo principio fondamentale della politica di coesione, ossia "non lasciare indietro nessuno".</w:t>
      </w:r>
    </w:p>
    <w:p w:rsidRPr="00C9001B"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001B" w:rsidR="006C19F4" w:rsidTr="00FE3058" w14:paraId="7A7F559C" w14:textId="77777777">
        <w:tc>
          <w:tcPr>
            <w:tcW w:w="1418" w:type="dxa"/>
          </w:tcPr>
          <w:p w:rsidRPr="00C9001B" w:rsidR="006C19F4" w:rsidP="006C19F4" w:rsidRDefault="006C19F4" w14:paraId="6B40BFCD" w14:textId="77777777">
            <w:pPr>
              <w:overflowPunct w:val="0"/>
              <w:autoSpaceDE w:val="0"/>
              <w:autoSpaceDN w:val="0"/>
              <w:adjustRightInd w:val="0"/>
              <w:spacing w:line="240" w:lineRule="auto"/>
              <w:textAlignment w:val="baseline"/>
              <w:rPr>
                <w:i/>
              </w:rPr>
            </w:pPr>
            <w:r w:rsidRPr="00C9001B">
              <w:rPr>
                <w:b/>
                <w:i/>
              </w:rPr>
              <w:t>Contatto</w:t>
            </w:r>
          </w:p>
        </w:tc>
        <w:tc>
          <w:tcPr>
            <w:tcW w:w="5670" w:type="dxa"/>
          </w:tcPr>
          <w:p w:rsidRPr="00C9001B" w:rsidR="006C19F4" w:rsidP="006C19F4" w:rsidRDefault="006C19F4" w14:paraId="2E0B1708" w14:textId="77777777">
            <w:pPr>
              <w:overflowPunct w:val="0"/>
              <w:autoSpaceDE w:val="0"/>
              <w:autoSpaceDN w:val="0"/>
              <w:adjustRightInd w:val="0"/>
              <w:spacing w:line="240" w:lineRule="auto"/>
              <w:textAlignment w:val="baseline"/>
              <w:rPr>
                <w:i/>
              </w:rPr>
            </w:pPr>
            <w:r w:rsidRPr="00C9001B">
              <w:rPr>
                <w:i/>
              </w:rPr>
              <w:t>Georgios MELEAS</w:t>
            </w:r>
          </w:p>
        </w:tc>
      </w:tr>
      <w:tr w:rsidRPr="00C9001B" w:rsidR="006C19F4" w:rsidTr="00FE3058" w14:paraId="1C00A944" w14:textId="77777777">
        <w:tc>
          <w:tcPr>
            <w:tcW w:w="1418" w:type="dxa"/>
          </w:tcPr>
          <w:p w:rsidRPr="00C9001B" w:rsidR="006C19F4" w:rsidP="006C19F4" w:rsidRDefault="006C19F4" w14:paraId="02043B5C" w14:textId="77777777">
            <w:pPr>
              <w:overflowPunct w:val="0"/>
              <w:autoSpaceDE w:val="0"/>
              <w:autoSpaceDN w:val="0"/>
              <w:adjustRightInd w:val="0"/>
              <w:spacing w:line="240" w:lineRule="auto"/>
              <w:textAlignment w:val="baseline"/>
              <w:rPr>
                <w:i/>
              </w:rPr>
            </w:pPr>
            <w:r w:rsidRPr="00C9001B">
              <w:rPr>
                <w:i/>
              </w:rPr>
              <w:t>Tel.</w:t>
            </w:r>
          </w:p>
        </w:tc>
        <w:tc>
          <w:tcPr>
            <w:tcW w:w="5670" w:type="dxa"/>
          </w:tcPr>
          <w:p w:rsidRPr="00C9001B" w:rsidR="006C19F4" w:rsidP="006C19F4" w:rsidRDefault="006C19F4" w14:paraId="7765EB4C" w14:textId="77777777">
            <w:pPr>
              <w:overflowPunct w:val="0"/>
              <w:autoSpaceDE w:val="0"/>
              <w:autoSpaceDN w:val="0"/>
              <w:adjustRightInd w:val="0"/>
              <w:spacing w:line="240" w:lineRule="auto"/>
              <w:textAlignment w:val="baseline"/>
              <w:rPr>
                <w:i/>
              </w:rPr>
            </w:pPr>
            <w:r w:rsidRPr="00C9001B">
              <w:rPr>
                <w:i/>
              </w:rPr>
              <w:t>+32 25469795</w:t>
            </w:r>
          </w:p>
        </w:tc>
      </w:tr>
      <w:tr w:rsidRPr="00C9001B" w:rsidR="006C19F4" w:rsidTr="00FE3058" w14:paraId="13E41AD9" w14:textId="77777777">
        <w:tc>
          <w:tcPr>
            <w:tcW w:w="1418" w:type="dxa"/>
          </w:tcPr>
          <w:p w:rsidRPr="00C9001B" w:rsidR="006C19F4" w:rsidP="006C19F4" w:rsidRDefault="00C9001B" w14:paraId="606A5A69" w14:textId="4B429CE2">
            <w:pPr>
              <w:overflowPunct w:val="0"/>
              <w:autoSpaceDE w:val="0"/>
              <w:autoSpaceDN w:val="0"/>
              <w:adjustRightInd w:val="0"/>
              <w:spacing w:line="240" w:lineRule="auto"/>
              <w:textAlignment w:val="baseline"/>
              <w:rPr>
                <w:i/>
              </w:rPr>
            </w:pPr>
            <w:r w:rsidRPr="00C9001B">
              <w:rPr>
                <w:i/>
              </w:rPr>
              <w:t>E</w:t>
            </w:r>
            <w:r w:rsidRPr="00C9001B" w:rsidR="006C19F4">
              <w:rPr>
                <w:i/>
              </w:rPr>
              <w:t>-mail</w:t>
            </w:r>
          </w:p>
        </w:tc>
        <w:tc>
          <w:tcPr>
            <w:tcW w:w="5670" w:type="dxa"/>
          </w:tcPr>
          <w:p w:rsidRPr="00C9001B" w:rsidR="006C19F4" w:rsidP="006C19F4" w:rsidRDefault="00E736C8" w14:paraId="6B1B5DA3" w14:textId="77777777">
            <w:pPr>
              <w:overflowPunct w:val="0"/>
              <w:autoSpaceDE w:val="0"/>
              <w:autoSpaceDN w:val="0"/>
              <w:adjustRightInd w:val="0"/>
              <w:spacing w:line="240" w:lineRule="auto"/>
              <w:textAlignment w:val="baseline"/>
              <w:rPr>
                <w:i/>
              </w:rPr>
            </w:pPr>
            <w:hyperlink w:history="1" r:id="rId16">
              <w:r w:rsidRPr="00C9001B" w:rsidR="00CE4B73">
                <w:rPr>
                  <w:i/>
                  <w:color w:val="0000FF"/>
                  <w:u w:val="single"/>
                </w:rPr>
                <w:t>Georgios.Meleas@eesc.europa.eu</w:t>
              </w:r>
            </w:hyperlink>
          </w:p>
        </w:tc>
      </w:tr>
    </w:tbl>
    <w:p w:rsidRPr="00C9001B" w:rsidR="001A5EC5" w:rsidP="00770F41" w:rsidRDefault="001A5EC5" w14:paraId="3A3398AC" w14:textId="4B0EF5D3">
      <w:pPr>
        <w:tabs>
          <w:tab w:val="center" w:pos="284"/>
        </w:tabs>
        <w:overflowPunct w:val="0"/>
        <w:autoSpaceDE w:val="0"/>
        <w:autoSpaceDN w:val="0"/>
        <w:adjustRightInd w:val="0"/>
        <w:ind w:left="266" w:hanging="266"/>
        <w:textAlignment w:val="baseline"/>
        <w:rPr>
          <w:b/>
          <w:sz w:val="24"/>
          <w:szCs w:val="24"/>
        </w:rPr>
      </w:pPr>
    </w:p>
    <w:p w:rsidRPr="00C9001B" w:rsidR="001A5EC5" w:rsidRDefault="001A5EC5" w14:paraId="17F9882E" w14:textId="77777777">
      <w:pPr>
        <w:spacing w:after="160" w:line="259" w:lineRule="auto"/>
        <w:jc w:val="left"/>
        <w:rPr>
          <w:b/>
          <w:sz w:val="24"/>
          <w:szCs w:val="24"/>
        </w:rPr>
      </w:pPr>
      <w:r w:rsidRPr="00C9001B">
        <w:br w:type="page"/>
      </w:r>
    </w:p>
    <w:p w:rsidRPr="00C9001B" w:rsidR="001A5EC5" w:rsidP="00C26C81" w:rsidRDefault="00E736C8"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17">
        <w:r w:rsidRPr="00C9001B" w:rsidR="00CE4B73">
          <w:rPr>
            <w:b/>
            <w:i/>
            <w:color w:val="0000FF"/>
            <w:sz w:val="28"/>
            <w:u w:val="single"/>
          </w:rPr>
          <w:t>9ª relazione sulla coesion</w:t>
        </w:r>
        <w:r w:rsidRPr="00C9001B" w:rsidR="00CE4B73">
          <w:rPr>
            <w:b/>
            <w:i/>
            <w:color w:val="0000FF"/>
            <w:sz w:val="28"/>
            <w:u w:val="single"/>
          </w:rPr>
          <w:t>e</w:t>
        </w:r>
        <w:r w:rsidRPr="00C9001B" w:rsidR="00CE4B73">
          <w:rPr>
            <w:b/>
            <w:i/>
            <w:color w:val="0000FF"/>
            <w:sz w:val="28"/>
            <w:u w:val="single"/>
          </w:rPr>
          <w:t xml:space="preserve"> economica, sociale e territoriale</w:t>
        </w:r>
      </w:hyperlink>
    </w:p>
    <w:p w:rsidRPr="00C9001B" w:rsidR="00444F0D" w:rsidP="00DC0FAE" w:rsidRDefault="00444F0D" w14:paraId="5992C072" w14:textId="77777777">
      <w:pPr>
        <w:widowControl w:val="0"/>
        <w:overflowPunct w:val="0"/>
        <w:autoSpaceDE w:val="0"/>
        <w:autoSpaceDN w:val="0"/>
        <w:adjustRightInd w:val="0"/>
        <w:spacing w:after="120"/>
        <w:ind w:left="284"/>
        <w:textAlignment w:val="baseline"/>
        <w:rPr>
          <w:b/>
          <w:i/>
          <w:iCs/>
          <w:sz w:val="28"/>
          <w:szCs w:val="28"/>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9001B" w:rsidR="001A5EC5" w:rsidTr="00DC0FAE" w14:paraId="44793051" w14:textId="77777777">
        <w:tc>
          <w:tcPr>
            <w:tcW w:w="1701" w:type="dxa"/>
          </w:tcPr>
          <w:p w:rsidRPr="00C9001B" w:rsidR="001A5EC5" w:rsidP="00DC0FAE" w:rsidRDefault="00C9001B" w14:paraId="463E72CE" w14:textId="0828458D">
            <w:pPr>
              <w:overflowPunct w:val="0"/>
              <w:autoSpaceDE w:val="0"/>
              <w:autoSpaceDN w:val="0"/>
              <w:adjustRightInd w:val="0"/>
              <w:ind w:left="174" w:hanging="266"/>
              <w:textAlignment w:val="baseline"/>
              <w:rPr>
                <w:b/>
              </w:rPr>
            </w:pPr>
            <w:r w:rsidRPr="00C9001B">
              <w:rPr>
                <w:b/>
              </w:rPr>
              <w:t>Relatore</w:t>
            </w:r>
          </w:p>
        </w:tc>
        <w:tc>
          <w:tcPr>
            <w:tcW w:w="5387" w:type="dxa"/>
          </w:tcPr>
          <w:p w:rsidRPr="00C9001B" w:rsidR="001A5EC5" w:rsidP="00DC0FAE" w:rsidRDefault="001A5EC5" w14:paraId="64C714E3" w14:textId="77777777">
            <w:pPr>
              <w:overflowPunct w:val="0"/>
              <w:autoSpaceDE w:val="0"/>
              <w:autoSpaceDN w:val="0"/>
              <w:adjustRightInd w:val="0"/>
              <w:ind w:left="174" w:hanging="266"/>
              <w:textAlignment w:val="baseline"/>
              <w:rPr>
                <w:bCs/>
              </w:rPr>
            </w:pPr>
            <w:r w:rsidRPr="00C9001B">
              <w:t>Matteo Carlo BORSANI (Datori di lavoro - IT)</w:t>
            </w:r>
          </w:p>
        </w:tc>
      </w:tr>
      <w:tr w:rsidRPr="00C9001B" w:rsidR="001A5EC5" w:rsidTr="00FE3058" w14:paraId="32E56BAC" w14:textId="77777777">
        <w:tc>
          <w:tcPr>
            <w:tcW w:w="7088" w:type="dxa"/>
            <w:gridSpan w:val="2"/>
          </w:tcPr>
          <w:p w:rsidRPr="00C9001B"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C9001B" w:rsidR="001A5EC5" w:rsidTr="00FE3058" w14:paraId="2A351EBF" w14:textId="77777777">
        <w:tc>
          <w:tcPr>
            <w:tcW w:w="1701" w:type="dxa"/>
          </w:tcPr>
          <w:p w:rsidRPr="00C9001B" w:rsidR="001A5EC5" w:rsidP="00DC0FAE" w:rsidRDefault="001A5EC5" w14:paraId="26606D0B" w14:textId="77777777">
            <w:pPr>
              <w:overflowPunct w:val="0"/>
              <w:autoSpaceDE w:val="0"/>
              <w:autoSpaceDN w:val="0"/>
              <w:adjustRightInd w:val="0"/>
              <w:ind w:left="174" w:hanging="266"/>
              <w:textAlignment w:val="baseline"/>
              <w:rPr>
                <w:b/>
              </w:rPr>
            </w:pPr>
            <w:r w:rsidRPr="00C9001B">
              <w:rPr>
                <w:b/>
              </w:rPr>
              <w:t>Riferimenti</w:t>
            </w:r>
          </w:p>
        </w:tc>
        <w:tc>
          <w:tcPr>
            <w:tcW w:w="5387" w:type="dxa"/>
          </w:tcPr>
          <w:p w:rsidRPr="00C9001B" w:rsidR="001A5EC5" w:rsidP="00DC0FAE" w:rsidRDefault="001A5EC5" w14:paraId="5C440461" w14:textId="77777777">
            <w:pPr>
              <w:overflowPunct w:val="0"/>
              <w:autoSpaceDE w:val="0"/>
              <w:autoSpaceDN w:val="0"/>
              <w:adjustRightInd w:val="0"/>
              <w:ind w:left="174" w:hanging="266"/>
              <w:textAlignment w:val="baseline"/>
            </w:pPr>
            <w:r w:rsidRPr="00C9001B">
              <w:t>COM(2024) 149 final</w:t>
            </w:r>
          </w:p>
          <w:p w:rsidRPr="00C9001B" w:rsidR="001A5EC5" w:rsidP="00DC0FAE" w:rsidRDefault="001A5EC5" w14:paraId="3868DEB9" w14:textId="77777777">
            <w:pPr>
              <w:overflowPunct w:val="0"/>
              <w:autoSpaceDE w:val="0"/>
              <w:autoSpaceDN w:val="0"/>
              <w:adjustRightInd w:val="0"/>
              <w:ind w:left="174" w:hanging="266"/>
              <w:textAlignment w:val="baseline"/>
            </w:pPr>
            <w:r w:rsidRPr="00C9001B">
              <w:t>EESC-2024-00987-00-00-AC</w:t>
            </w:r>
          </w:p>
        </w:tc>
      </w:tr>
    </w:tbl>
    <w:p w:rsidRPr="00C9001B"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sidRPr="00C9001B">
        <w:rPr>
          <w:b/>
        </w:rPr>
        <w:t>Punti principali</w:t>
      </w:r>
    </w:p>
    <w:p w:rsidRPr="00C9001B" w:rsidR="001A5EC5" w:rsidP="001A5EC5" w:rsidRDefault="001A5EC5" w14:paraId="5E2503AC" w14:textId="77777777">
      <w:pPr>
        <w:overflowPunct w:val="0"/>
        <w:autoSpaceDE w:val="0"/>
        <w:autoSpaceDN w:val="0"/>
        <w:adjustRightInd w:val="0"/>
        <w:textAlignment w:val="baseline"/>
        <w:rPr>
          <w:bCs/>
          <w:iCs/>
        </w:rPr>
      </w:pPr>
    </w:p>
    <w:p w:rsidRPr="00C9001B" w:rsidR="001A5EC5" w:rsidP="001A5EC5" w:rsidRDefault="001A5EC5" w14:paraId="4D0AC1AA" w14:textId="6DEDCE45">
      <w:pPr>
        <w:overflowPunct w:val="0"/>
        <w:autoSpaceDE w:val="0"/>
        <w:autoSpaceDN w:val="0"/>
        <w:adjustRightInd w:val="0"/>
        <w:textAlignment w:val="baseline"/>
        <w:rPr>
          <w:bCs/>
          <w:iCs/>
        </w:rPr>
      </w:pPr>
      <w:r w:rsidRPr="00C9001B">
        <w:t>Il CESE:</w:t>
      </w:r>
    </w:p>
    <w:p w:rsidRPr="00C9001B" w:rsidR="00444F0D" w:rsidP="001A5EC5" w:rsidRDefault="00444F0D" w14:paraId="570F2CBE" w14:textId="77777777">
      <w:pPr>
        <w:overflowPunct w:val="0"/>
        <w:autoSpaceDE w:val="0"/>
        <w:autoSpaceDN w:val="0"/>
        <w:adjustRightInd w:val="0"/>
        <w:textAlignment w:val="baseline"/>
        <w:rPr>
          <w:bCs/>
          <w:iCs/>
        </w:rPr>
      </w:pPr>
    </w:p>
    <w:p w:rsidRPr="00C9001B" w:rsidR="001A5EC5" w:rsidP="00C9001B" w:rsidRDefault="001A5EC5" w14:paraId="1478D8F5" w14:textId="77777777">
      <w:pPr>
        <w:numPr>
          <w:ilvl w:val="0"/>
          <w:numId w:val="14"/>
        </w:numPr>
        <w:overflowPunct w:val="0"/>
        <w:autoSpaceDE w:val="0"/>
        <w:autoSpaceDN w:val="0"/>
        <w:adjustRightInd w:val="0"/>
        <w:spacing w:after="200" w:line="276" w:lineRule="auto"/>
        <w:contextualSpacing/>
        <w:textAlignment w:val="baseline"/>
        <w:rPr>
          <w:bCs/>
          <w:iCs/>
        </w:rPr>
      </w:pPr>
      <w:r w:rsidRPr="00C9001B">
        <w:t xml:space="preserve">accoglie con favore la presentazione della nona relazione sulla coesione e ritiene che la descrizione dei suoi risultati sia completa e costituisca un utile punto di partenza per fare il punto sugli insegnamenti tratti; </w:t>
      </w:r>
    </w:p>
    <w:p w:rsidRPr="00C9001B"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rsidRPr="00C9001B">
        <w:t>raccomanda di concentrare gli investimenti e le politiche sul rafforzamento della base manifatturiera al fine di rafforzare la coesione territoriale verso l'alto, e sottolinea che una correlazione positiva tra la crescita della produttività e l'aumento del PIL pro capite si è rivelata l'unica analogia nella crescita di tutti i tipi di regioni;</w:t>
      </w:r>
    </w:p>
    <w:p w:rsidRPr="00C9001B"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rsidRPr="00C9001B">
        <w:t>evidenzia l'importanza della competitività nel promuovere la coesione economica e la rilevanza degli investimenti produttivi per stimolare la competitività e la crescita economica, che a sua volta ha un effetto di ricaduta positivo sulla coesione territoriale e sociale. Mette in rilievo anche l'importanza di estendere l'accesso ai fondi della politica di coesione per gli investimenti produttivi alle grandi imprese che fanno parte dell'ecosistema delle PMI, a determinate condizioni connesse alle ricadute per il territorio e la società. I risultati della coesione economica non dovrebbero essere misurati in termini solo di entità degli investimenti economici in una determinata zona, ma anche di risultati territoriali e sociali;</w:t>
      </w:r>
    </w:p>
    <w:p w:rsidRPr="00C9001B"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rsidRPr="00C9001B">
        <w:t>sottolinea l'importanza di un mercato del lavoro funzionante e inclusivo per aumentare la coesione sociale, attraverso misure volte a dotare i cittadini e i lavoratori dell'UE del giusto insieme di competenze per entrare nel mercato del lavoro e spostarsi al suo interno. A questo proposito raccomanda di abbinare le politiche volte a promuovere l'occupazione con politiche volte a stimolare l'occupabilità, puntando tra l'altro sui settori della società che rischiano di essere lasciati indietro e promuovendo l'inclusione delle persone che attualmente non fanno parte del mercato del lavoro;</w:t>
      </w:r>
    </w:p>
    <w:p w:rsidRPr="00C9001B"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rsidRPr="00C9001B">
        <w:t>raccomanda di promuovere investimenti strategici nell'amministrazione locale e regionale per rafforzare il sistema che svolge un ruolo essenziale nell'attuazione dei programmi. La coesione sociale, economica e territoriale non può infatti essere conseguita senza che venga anzitutto realizzata la coesione nella capacità delle pubbliche amministrazioni;</w:t>
      </w:r>
    </w:p>
    <w:p w:rsidRPr="00C9001B"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rsidRPr="00C9001B">
        <w:t>raccomanda di mantenere il coinvolgimento degli enti regionali e locali, adempiendo al principio di partenariato e includendo le parti sociali e le organizzazioni della società civile in ogni riflessione sul futuro della politica di coesione;</w:t>
      </w:r>
    </w:p>
    <w:p w:rsidRPr="00C9001B"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rsidRPr="00C9001B">
        <w:t>invita i colegislatori a rendere più ambizioso il bilancio complessivo del quadro finanziario pluriennale QFP e a garantire finanziamenti adeguati per la politica di coesione, anche in considerazione della futura esigenza di investimenti dell'UE nella difesa e di un'Unione europea ampliata ad altri paesi;</w:t>
      </w:r>
    </w:p>
    <w:p w:rsidRPr="00C9001B"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rsidRPr="00C9001B">
        <w:t>In tale contesto raccomanda di considerare le future adesioni previste dall'UE, che richiederanno una politica di coesione efficace e ben funzionante per garantire un'agevole integrazione dei futuri Stati membri senza compromettere gli investimenti nelle attuali regioni in via di sviluppo;</w:t>
      </w:r>
    </w:p>
    <w:p w:rsidRPr="00C9001B"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C9001B"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rsidRPr="00C9001B">
        <w:t>raccomanda infine di utilizzare strumenti di investimento automatici e di facile attuazione per la transizione verso un'Europa più intelligente e più verde. Le sfide derivanti da una duplice transizione verde e digitale equa e gli ambiziosi obiettivi di tale transizione richiedono rapidità e prontezza.</w:t>
      </w:r>
      <w:r w:rsidRPr="00C9001B">
        <w:rPr>
          <w:rFonts w:ascii="Calibri" w:hAnsi="Calibri"/>
        </w:rPr>
        <w:t xml:space="preserve"> </w:t>
      </w:r>
    </w:p>
    <w:p w:rsidRPr="00C9001B"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001B" w:rsidR="001A5EC5" w:rsidTr="00FE3058" w14:paraId="3FFBD53A" w14:textId="77777777">
        <w:tc>
          <w:tcPr>
            <w:tcW w:w="1418" w:type="dxa"/>
          </w:tcPr>
          <w:p w:rsidRPr="00C9001B" w:rsidR="001A5EC5" w:rsidP="001A5EC5" w:rsidRDefault="001A5EC5" w14:paraId="56686149" w14:textId="77777777">
            <w:pPr>
              <w:overflowPunct w:val="0"/>
              <w:autoSpaceDE w:val="0"/>
              <w:autoSpaceDN w:val="0"/>
              <w:adjustRightInd w:val="0"/>
              <w:spacing w:line="240" w:lineRule="auto"/>
              <w:textAlignment w:val="baseline"/>
              <w:rPr>
                <w:i/>
              </w:rPr>
            </w:pPr>
            <w:r w:rsidRPr="00C9001B">
              <w:rPr>
                <w:b/>
                <w:i/>
              </w:rPr>
              <w:t>Contatto</w:t>
            </w:r>
          </w:p>
        </w:tc>
        <w:tc>
          <w:tcPr>
            <w:tcW w:w="5670" w:type="dxa"/>
          </w:tcPr>
          <w:p w:rsidRPr="00C9001B" w:rsidR="001A5EC5" w:rsidP="001A5EC5" w:rsidRDefault="001A5EC5" w14:paraId="7D68FE97" w14:textId="77777777">
            <w:pPr>
              <w:overflowPunct w:val="0"/>
              <w:autoSpaceDE w:val="0"/>
              <w:autoSpaceDN w:val="0"/>
              <w:adjustRightInd w:val="0"/>
              <w:spacing w:line="240" w:lineRule="auto"/>
              <w:textAlignment w:val="baseline"/>
              <w:rPr>
                <w:i/>
              </w:rPr>
            </w:pPr>
            <w:r w:rsidRPr="00C9001B">
              <w:rPr>
                <w:i/>
              </w:rPr>
              <w:t>Georgios MELEAS</w:t>
            </w:r>
          </w:p>
        </w:tc>
      </w:tr>
      <w:tr w:rsidRPr="00C9001B" w:rsidR="001A5EC5" w:rsidTr="00FE3058" w14:paraId="654D5086" w14:textId="77777777">
        <w:tc>
          <w:tcPr>
            <w:tcW w:w="1418" w:type="dxa"/>
          </w:tcPr>
          <w:p w:rsidRPr="00C9001B" w:rsidR="001A5EC5" w:rsidP="001A5EC5" w:rsidRDefault="001A5EC5" w14:paraId="3B2FDAFA" w14:textId="77777777">
            <w:pPr>
              <w:overflowPunct w:val="0"/>
              <w:autoSpaceDE w:val="0"/>
              <w:autoSpaceDN w:val="0"/>
              <w:adjustRightInd w:val="0"/>
              <w:spacing w:line="240" w:lineRule="auto"/>
              <w:textAlignment w:val="baseline"/>
              <w:rPr>
                <w:i/>
              </w:rPr>
            </w:pPr>
            <w:r w:rsidRPr="00C9001B">
              <w:rPr>
                <w:i/>
              </w:rPr>
              <w:t>Tel.</w:t>
            </w:r>
          </w:p>
        </w:tc>
        <w:tc>
          <w:tcPr>
            <w:tcW w:w="5670" w:type="dxa"/>
          </w:tcPr>
          <w:p w:rsidRPr="00C9001B" w:rsidR="001A5EC5" w:rsidP="001A5EC5" w:rsidRDefault="001A5EC5" w14:paraId="35F0788C" w14:textId="77777777">
            <w:pPr>
              <w:overflowPunct w:val="0"/>
              <w:autoSpaceDE w:val="0"/>
              <w:autoSpaceDN w:val="0"/>
              <w:adjustRightInd w:val="0"/>
              <w:spacing w:line="240" w:lineRule="auto"/>
              <w:textAlignment w:val="baseline"/>
              <w:rPr>
                <w:i/>
              </w:rPr>
            </w:pPr>
            <w:r w:rsidRPr="00C9001B">
              <w:rPr>
                <w:i/>
              </w:rPr>
              <w:t>+32 25469795</w:t>
            </w:r>
          </w:p>
        </w:tc>
      </w:tr>
      <w:tr w:rsidRPr="00C9001B" w:rsidR="001A5EC5" w:rsidTr="00FE3058" w14:paraId="710F66DA" w14:textId="77777777">
        <w:tc>
          <w:tcPr>
            <w:tcW w:w="1418" w:type="dxa"/>
          </w:tcPr>
          <w:p w:rsidRPr="00C9001B" w:rsidR="001A5EC5" w:rsidP="001A5EC5" w:rsidRDefault="00C9001B" w14:paraId="62171153" w14:textId="738AE589">
            <w:pPr>
              <w:overflowPunct w:val="0"/>
              <w:autoSpaceDE w:val="0"/>
              <w:autoSpaceDN w:val="0"/>
              <w:adjustRightInd w:val="0"/>
              <w:spacing w:line="240" w:lineRule="auto"/>
              <w:textAlignment w:val="baseline"/>
              <w:rPr>
                <w:i/>
              </w:rPr>
            </w:pPr>
            <w:r w:rsidRPr="00C9001B">
              <w:rPr>
                <w:i/>
              </w:rPr>
              <w:t>E</w:t>
            </w:r>
            <w:r w:rsidRPr="00C9001B" w:rsidR="001A5EC5">
              <w:rPr>
                <w:i/>
              </w:rPr>
              <w:t>-mail</w:t>
            </w:r>
          </w:p>
        </w:tc>
        <w:tc>
          <w:tcPr>
            <w:tcW w:w="5670" w:type="dxa"/>
          </w:tcPr>
          <w:p w:rsidRPr="00C9001B" w:rsidR="001A5EC5" w:rsidP="001A5EC5" w:rsidRDefault="00E736C8" w14:paraId="2A008587" w14:textId="77777777">
            <w:pPr>
              <w:overflowPunct w:val="0"/>
              <w:autoSpaceDE w:val="0"/>
              <w:autoSpaceDN w:val="0"/>
              <w:adjustRightInd w:val="0"/>
              <w:spacing w:line="240" w:lineRule="auto"/>
              <w:textAlignment w:val="baseline"/>
              <w:rPr>
                <w:i/>
              </w:rPr>
            </w:pPr>
            <w:hyperlink w:history="1" r:id="rId18">
              <w:r w:rsidRPr="00C9001B" w:rsidR="00CE4B73">
                <w:rPr>
                  <w:i/>
                  <w:color w:val="0000FF"/>
                  <w:u w:val="single"/>
                </w:rPr>
                <w:t>Georgios.Meleas@eesc.europa.eu</w:t>
              </w:r>
            </w:hyperlink>
            <w:r w:rsidRPr="00C9001B" w:rsidR="00CE4B73">
              <w:rPr>
                <w:i/>
              </w:rPr>
              <w:t xml:space="preserve"> </w:t>
            </w:r>
          </w:p>
        </w:tc>
      </w:tr>
    </w:tbl>
    <w:p w:rsidRPr="00C9001B" w:rsidR="005C28F2" w:rsidP="00770F41" w:rsidRDefault="005C28F2" w14:paraId="75A160E4" w14:textId="4CAAFB00">
      <w:pPr>
        <w:tabs>
          <w:tab w:val="center" w:pos="284"/>
        </w:tabs>
        <w:overflowPunct w:val="0"/>
        <w:autoSpaceDE w:val="0"/>
        <w:autoSpaceDN w:val="0"/>
        <w:adjustRightInd w:val="0"/>
        <w:ind w:left="266" w:hanging="266"/>
        <w:textAlignment w:val="baseline"/>
        <w:rPr>
          <w:b/>
          <w:sz w:val="24"/>
          <w:szCs w:val="24"/>
        </w:rPr>
      </w:pPr>
    </w:p>
    <w:p w:rsidRPr="00C9001B" w:rsidR="005C28F2" w:rsidRDefault="005C28F2" w14:paraId="566BFFD9" w14:textId="77777777">
      <w:pPr>
        <w:spacing w:after="160" w:line="259" w:lineRule="auto"/>
        <w:jc w:val="left"/>
        <w:rPr>
          <w:b/>
          <w:sz w:val="24"/>
          <w:szCs w:val="24"/>
        </w:rPr>
      </w:pPr>
      <w:r w:rsidRPr="00C9001B">
        <w:br w:type="page"/>
      </w:r>
    </w:p>
    <w:p w:rsidRPr="00C9001B" w:rsidR="00502E1F" w:rsidP="00DC0FAE" w:rsidRDefault="00E736C8" w14:paraId="26F82B31" w14:textId="1DC92B89">
      <w:pPr>
        <w:pStyle w:val="Heading1"/>
        <w:tabs>
          <w:tab w:val="clear" w:pos="440"/>
          <w:tab w:val="left" w:pos="567"/>
        </w:tabs>
        <w:ind w:left="567" w:hanging="567"/>
        <w:rPr>
          <w:color w:val="000000" w:themeColor="text1"/>
        </w:rPr>
      </w:pPr>
      <w:hyperlink w:history="1" w:anchor="_Toc159831769">
        <w:bookmarkStart w:name="_Toc169858729" w:id="1"/>
        <w:r w:rsidRPr="00C9001B" w:rsidR="005C28F2">
          <w:rPr>
            <w:rStyle w:val="Hyperlink"/>
            <w:b/>
            <w:color w:val="000000" w:themeColor="text1"/>
            <w:u w:val="none"/>
          </w:rPr>
          <w:t xml:space="preserve">OCCUPAZIONE, AFFARI SOCIALI </w:t>
        </w:r>
        <w:r w:rsidRPr="00C9001B" w:rsidR="00C9001B">
          <w:rPr>
            <w:rStyle w:val="Hyperlink"/>
            <w:b/>
            <w:color w:val="000000" w:themeColor="text1"/>
            <w:u w:val="none"/>
          </w:rPr>
          <w:t>E</w:t>
        </w:r>
        <w:r w:rsidRPr="00C9001B" w:rsidR="005C28F2">
          <w:rPr>
            <w:rStyle w:val="Hyperlink"/>
            <w:b/>
            <w:color w:val="000000" w:themeColor="text1"/>
            <w:u w:val="none"/>
          </w:rPr>
          <w:t xml:space="preserve"> CITTADINANZA</w:t>
        </w:r>
        <w:bookmarkEnd w:id="1"/>
      </w:hyperlink>
    </w:p>
    <w:p w:rsidRPr="00C9001B" w:rsidR="00502E1F" w:rsidP="00502E1F" w:rsidRDefault="00502E1F" w14:paraId="7FCC1962" w14:textId="6F84DBB9"/>
    <w:p w:rsidRPr="00C9001B" w:rsidR="005C28F2" w:rsidP="00502E1F" w:rsidRDefault="005C28F2" w14:paraId="56EE42DD" w14:textId="77777777"/>
    <w:p w:rsidRPr="00C9001B" w:rsidR="004E7105" w:rsidP="00C26C81" w:rsidRDefault="00E736C8" w14:paraId="7766257F" w14:textId="31A79F30">
      <w:pPr>
        <w:widowControl w:val="0"/>
        <w:numPr>
          <w:ilvl w:val="0"/>
          <w:numId w:val="7"/>
        </w:numPr>
        <w:overflowPunct w:val="0"/>
        <w:autoSpaceDE w:val="0"/>
        <w:autoSpaceDN w:val="0"/>
        <w:adjustRightInd w:val="0"/>
        <w:ind w:hanging="567"/>
        <w:textAlignment w:val="baseline"/>
        <w:rPr>
          <w:b/>
          <w:bCs/>
          <w:i/>
          <w:iCs/>
          <w:color w:val="0000FF"/>
          <w:sz w:val="28"/>
          <w:szCs w:val="28"/>
          <w:u w:val="single"/>
        </w:rPr>
      </w:pPr>
      <w:hyperlink w:history="1" r:id="rId19">
        <w:r w:rsidRPr="00C9001B" w:rsidR="00CE4B73">
          <w:rPr>
            <w:b/>
            <w:i/>
            <w:color w:val="0000FF"/>
            <w:sz w:val="28"/>
            <w:u w:val="single"/>
          </w:rPr>
          <w:t>Tumori a prevenzion</w:t>
        </w:r>
        <w:r w:rsidRPr="00C9001B" w:rsidR="00CE4B73">
          <w:rPr>
            <w:b/>
            <w:i/>
            <w:color w:val="0000FF"/>
            <w:sz w:val="28"/>
            <w:u w:val="single"/>
          </w:rPr>
          <w:t>e</w:t>
        </w:r>
        <w:r w:rsidRPr="00C9001B" w:rsidR="00CE4B73">
          <w:rPr>
            <w:b/>
            <w:i/>
            <w:color w:val="0000FF"/>
            <w:sz w:val="28"/>
            <w:u w:val="single"/>
          </w:rPr>
          <w:t xml:space="preserve"> vaccinale</w:t>
        </w:r>
      </w:hyperlink>
      <w:r w:rsidRPr="00C9001B" w:rsidR="004E7105">
        <w:rPr>
          <w:b/>
          <w:i/>
          <w:sz w:val="28"/>
        </w:rPr>
        <w:fldChar w:fldCharType="begin"/>
      </w:r>
      <w:r w:rsidRPr="00C9001B" w:rsidR="004E7105">
        <w:rPr>
          <w:b/>
          <w:i/>
          <w:sz w:val="28"/>
        </w:rPr>
        <w:instrText xml:space="preserve"> HYPERLINK "https://www.eesc.europa.eu/it/our-work/opinions-information-reports/opinions/anti-smuggling-package" </w:instrText>
      </w:r>
      <w:r w:rsidRPr="00C9001B" w:rsidR="004E7105">
        <w:rPr>
          <w:b/>
          <w:i/>
          <w:sz w:val="28"/>
        </w:rPr>
        <w:fldChar w:fldCharType="separate"/>
      </w:r>
    </w:p>
    <w:p w:rsidRPr="00C9001B" w:rsidR="004E7105" w:rsidP="004E7105" w:rsidRDefault="004E7105" w14:paraId="24B983D5" w14:textId="763F0B12">
      <w:pPr>
        <w:widowControl w:val="0"/>
        <w:overflowPunct w:val="0"/>
        <w:autoSpaceDE w:val="0"/>
        <w:autoSpaceDN w:val="0"/>
        <w:adjustRightInd w:val="0"/>
        <w:ind w:left="567"/>
        <w:textAlignment w:val="baseline"/>
        <w:rPr>
          <w:b/>
          <w:i/>
          <w:sz w:val="28"/>
        </w:rPr>
      </w:pPr>
      <w:r w:rsidRPr="00C9001B">
        <w:rPr>
          <w:b/>
          <w:i/>
          <w:sz w:val="28"/>
        </w:rPr>
        <w:fldChar w:fldCharType="end"/>
      </w:r>
    </w:p>
    <w:tbl>
      <w:tblPr>
        <w:tblStyle w:val="TableGrid214"/>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464"/>
      </w:tblGrid>
      <w:tr w:rsidRPr="00C9001B" w:rsidR="004E7105" w:rsidTr="00FE3058" w14:paraId="71118AAD" w14:textId="77777777">
        <w:tc>
          <w:tcPr>
            <w:tcW w:w="1522" w:type="pct"/>
          </w:tcPr>
          <w:p w:rsidRPr="00C9001B" w:rsidR="004E7105" w:rsidP="004E7105" w:rsidRDefault="00C9001B" w14:paraId="7C033E3E" w14:textId="243751C7">
            <w:pPr>
              <w:widowControl w:val="0"/>
              <w:overflowPunct w:val="0"/>
              <w:autoSpaceDE w:val="0"/>
              <w:autoSpaceDN w:val="0"/>
              <w:adjustRightInd w:val="0"/>
              <w:ind w:left="-113"/>
              <w:textAlignment w:val="baseline"/>
              <w:rPr>
                <w:b/>
              </w:rPr>
            </w:pPr>
            <w:r w:rsidRPr="00C9001B">
              <w:rPr>
                <w:b/>
              </w:rPr>
              <w:t>Relatore</w:t>
            </w:r>
          </w:p>
          <w:p w:rsidRPr="00C9001B" w:rsidR="004E7105" w:rsidP="004E7105" w:rsidRDefault="00C9001B" w14:paraId="2377D5BF" w14:textId="13D43310">
            <w:pPr>
              <w:widowControl w:val="0"/>
              <w:overflowPunct w:val="0"/>
              <w:autoSpaceDE w:val="0"/>
              <w:autoSpaceDN w:val="0"/>
              <w:adjustRightInd w:val="0"/>
              <w:ind w:left="-113"/>
              <w:textAlignment w:val="baseline"/>
              <w:rPr>
                <w:b/>
              </w:rPr>
            </w:pPr>
            <w:r w:rsidRPr="00C9001B">
              <w:rPr>
                <w:b/>
              </w:rPr>
              <w:t>Correlatrice</w:t>
            </w:r>
          </w:p>
          <w:p w:rsidRPr="00C9001B"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478" w:type="pct"/>
          </w:tcPr>
          <w:p w:rsidRPr="00C9001B"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rsidRPr="00C9001B">
              <w:t>Milena ANGELOVA (Datori di lavoro - BG)</w:t>
            </w:r>
          </w:p>
          <w:p w:rsidRPr="00C9001B"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r w:rsidRPr="00C9001B">
              <w:t>Sára FELSZEGHI (Lavoratori - HU)</w:t>
            </w:r>
          </w:p>
        </w:tc>
      </w:tr>
      <w:tr w:rsidRPr="00C9001B" w:rsidR="004E7105" w:rsidTr="00FE3058" w14:paraId="7E7454B0" w14:textId="77777777">
        <w:tc>
          <w:tcPr>
            <w:tcW w:w="1522" w:type="pct"/>
            <w:vMerge w:val="restart"/>
          </w:tcPr>
          <w:p w:rsidRPr="00C9001B" w:rsidR="004E7105" w:rsidP="004E7105" w:rsidRDefault="004E7105" w14:paraId="4901FAAB" w14:textId="77777777">
            <w:pPr>
              <w:widowControl w:val="0"/>
              <w:overflowPunct w:val="0"/>
              <w:autoSpaceDE w:val="0"/>
              <w:autoSpaceDN w:val="0"/>
              <w:adjustRightInd w:val="0"/>
              <w:ind w:left="-113"/>
              <w:textAlignment w:val="baseline"/>
              <w:rPr>
                <w:b/>
              </w:rPr>
            </w:pPr>
            <w:r w:rsidRPr="00C9001B">
              <w:rPr>
                <w:b/>
              </w:rPr>
              <w:t>Riferimenti</w:t>
            </w:r>
          </w:p>
        </w:tc>
        <w:tc>
          <w:tcPr>
            <w:tcW w:w="3478" w:type="pct"/>
          </w:tcPr>
          <w:p w:rsidRPr="00C9001B"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rsidRPr="00C9001B">
              <w:t>COM(2024) 45 final</w:t>
            </w:r>
          </w:p>
        </w:tc>
      </w:tr>
      <w:tr w:rsidRPr="00C9001B" w:rsidR="004E7105" w:rsidTr="00FE3058" w14:paraId="75B0E482" w14:textId="77777777">
        <w:tc>
          <w:tcPr>
            <w:tcW w:w="1522" w:type="pct"/>
            <w:vMerge/>
          </w:tcPr>
          <w:p w:rsidRPr="00C9001B"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478" w:type="pct"/>
          </w:tcPr>
          <w:p w:rsidRPr="00C9001B"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rsidRPr="00C9001B">
              <w:t>EESC-2024-00425-00-00-AC</w:t>
            </w:r>
          </w:p>
        </w:tc>
      </w:tr>
    </w:tbl>
    <w:p w:rsidRPr="00C9001B"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
        </w:rPr>
      </w:pPr>
    </w:p>
    <w:p w:rsidRPr="00C9001B"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sidRPr="00C9001B">
        <w:rPr>
          <w:b/>
        </w:rPr>
        <w:t>Punti principali</w:t>
      </w:r>
    </w:p>
    <w:p w:rsidRPr="00C9001B"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
        </w:rPr>
      </w:pPr>
    </w:p>
    <w:p w:rsidRPr="00C9001B"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rsidRPr="00C9001B">
        <w:t>Il CESE:</w:t>
      </w:r>
    </w:p>
    <w:p w:rsidRPr="00C9001B"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9001B"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C9001B">
        <w:t>incoraggia la condivisione di esperienze e di buone pratiche, nonché un'intensa cooperazione tra gli Stati membri;</w:t>
      </w:r>
    </w:p>
    <w:p w:rsidRPr="00C9001B"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C9001B">
        <w:t>raccomanda di potenziare sia la domanda che l'offerta di vaccinazione, sottolinea la necessità di un'azione adeguata di informazione, educazione e comunicazione ed evidenzia il ruolo del sistema sanitario scolastico e dei genitori in quest'ambito. La prevenzione del cancro dovrebbe diventare una priorità a livello politico, accompagnata dalle necessarie risorse finanziarie, materiali e umane;</w:t>
      </w:r>
    </w:p>
    <w:p w:rsidRPr="00C9001B"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C9001B">
        <w:t>invita a impegnarsi a fondo per combattere la cattiva informazione e la disinformazione acquisendo prove scientifiche e diffondendo informazioni basate sui fatti attraverso diversi canali, con particolare attenzione all'uso dei social media;</w:t>
      </w:r>
    </w:p>
    <w:p w:rsidRPr="00C9001B"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C9001B">
        <w:t>ritiene che i medici generici, i medici di famiglia, i medici scolastici e anche le organizzazioni della società civile possano svolgere un ruolo importante nel fornire informazioni adeguate, nel ridurre i timori e lo scetticismo e nell'orientare le persone a scegliere di vaccinarsi. Per garantire che i messaggi facciano presa sui giovani, il CESE raccomanda di intensificare gli sforzi di comunicazione tramite organizzazioni dirette da giovani;</w:t>
      </w:r>
    </w:p>
    <w:p w:rsidRPr="00C9001B"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rsidRPr="00C9001B">
        <w:t>sottolinea la necessità di garantire la parità di genere nelle misure di prevenzione del cancro e chiede che la vaccinazione contro i papillomavirus umani (HPV) venga offerta a tutte le ragazze e i ragazzi quando raggiungono una determinata età; invita ad intensificare la comunicazione sulla disponibilità della vaccinazione contro l'HPV per i ragazzi, come pure a raccogliere e pubblicare informazioni sui tassi di vaccinazione sia dei ragazzi che delle ragazze in vari Stati membri;</w:t>
      </w:r>
    </w:p>
    <w:p w:rsidRPr="00C9001B"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rsidRPr="00C9001B">
        <w:t>sottolinea l'importanza di un facile accesso alla vaccinazione in termini di ubicazione geografica, nonché la necessità di un'azione mirata per raggiungere le persone appartenenti a diversi gruppi svantaggiati e quelle che presentano rischi specifici.</w:t>
      </w:r>
    </w:p>
    <w:p w:rsidRPr="00C9001B" w:rsidR="004E7105" w:rsidP="004E7105" w:rsidRDefault="004E7105" w14:paraId="451AD803" w14:textId="77777777">
      <w:pPr>
        <w:widowControl w:val="0"/>
        <w:overflowPunct w:val="0"/>
        <w:autoSpaceDE w:val="0"/>
        <w:autoSpaceDN w:val="0"/>
        <w:adjustRightInd w:val="0"/>
        <w:ind w:left="709"/>
        <w:textAlignment w:val="baseline"/>
        <w:rPr>
          <w:sz w:val="16"/>
          <w:szCs w:val="16"/>
        </w:rPr>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9001B" w:rsidR="004E7105" w:rsidTr="00FE3058" w14:paraId="649C5F6D" w14:textId="77777777">
        <w:tc>
          <w:tcPr>
            <w:tcW w:w="1556" w:type="pct"/>
          </w:tcPr>
          <w:p w:rsidRPr="00C9001B" w:rsidR="004E7105" w:rsidP="004E7105" w:rsidRDefault="004E7105" w14:paraId="31DDC109" w14:textId="77777777">
            <w:pPr>
              <w:widowControl w:val="0"/>
              <w:overflowPunct w:val="0"/>
              <w:autoSpaceDE w:val="0"/>
              <w:autoSpaceDN w:val="0"/>
              <w:adjustRightInd w:val="0"/>
              <w:textAlignment w:val="baseline"/>
              <w:rPr>
                <w:i/>
              </w:rPr>
            </w:pPr>
            <w:r w:rsidRPr="00C9001B">
              <w:rPr>
                <w:b/>
                <w:i/>
              </w:rPr>
              <w:t>Contatto</w:t>
            </w:r>
          </w:p>
        </w:tc>
        <w:tc>
          <w:tcPr>
            <w:tcW w:w="3444" w:type="pct"/>
          </w:tcPr>
          <w:p w:rsidRPr="00C9001B" w:rsidR="004E7105" w:rsidP="004E7105" w:rsidRDefault="004E7105" w14:paraId="234336DC" w14:textId="3DE03174">
            <w:pPr>
              <w:widowControl w:val="0"/>
              <w:overflowPunct w:val="0"/>
              <w:autoSpaceDE w:val="0"/>
              <w:autoSpaceDN w:val="0"/>
              <w:adjustRightInd w:val="0"/>
              <w:textAlignment w:val="baseline"/>
              <w:rPr>
                <w:i/>
              </w:rPr>
            </w:pPr>
            <w:r w:rsidRPr="00C9001B">
              <w:rPr>
                <w:i/>
              </w:rPr>
              <w:t>Valeria ATZORI</w:t>
            </w:r>
          </w:p>
        </w:tc>
      </w:tr>
      <w:tr w:rsidRPr="00C9001B" w:rsidR="004E7105" w:rsidTr="00FE3058" w14:paraId="77487634" w14:textId="77777777">
        <w:tc>
          <w:tcPr>
            <w:tcW w:w="1556" w:type="pct"/>
          </w:tcPr>
          <w:p w:rsidRPr="00C9001B" w:rsidR="004E7105" w:rsidP="004E7105" w:rsidRDefault="004E7105" w14:paraId="5E05B9B4" w14:textId="77777777">
            <w:pPr>
              <w:widowControl w:val="0"/>
              <w:overflowPunct w:val="0"/>
              <w:autoSpaceDE w:val="0"/>
              <w:autoSpaceDN w:val="0"/>
              <w:adjustRightInd w:val="0"/>
              <w:textAlignment w:val="baseline"/>
              <w:rPr>
                <w:i/>
              </w:rPr>
            </w:pPr>
            <w:r w:rsidRPr="00C9001B">
              <w:rPr>
                <w:i/>
              </w:rPr>
              <w:t>Tel.</w:t>
            </w:r>
          </w:p>
        </w:tc>
        <w:tc>
          <w:tcPr>
            <w:tcW w:w="3444" w:type="pct"/>
          </w:tcPr>
          <w:p w:rsidRPr="00C9001B" w:rsidR="004E7105" w:rsidP="004E7105" w:rsidRDefault="004E7105" w14:paraId="1CB217D1" w14:textId="77777777">
            <w:pPr>
              <w:widowControl w:val="0"/>
              <w:overflowPunct w:val="0"/>
              <w:autoSpaceDE w:val="0"/>
              <w:autoSpaceDN w:val="0"/>
              <w:adjustRightInd w:val="0"/>
              <w:textAlignment w:val="baseline"/>
              <w:rPr>
                <w:i/>
              </w:rPr>
            </w:pPr>
            <w:r w:rsidRPr="00C9001B">
              <w:rPr>
                <w:i/>
              </w:rPr>
              <w:t>+32 25468774</w:t>
            </w:r>
          </w:p>
        </w:tc>
      </w:tr>
      <w:tr w:rsidRPr="00C9001B" w:rsidR="004E7105" w:rsidTr="00FE3058" w14:paraId="00AFAE0F" w14:textId="77777777">
        <w:tc>
          <w:tcPr>
            <w:tcW w:w="1556" w:type="pct"/>
          </w:tcPr>
          <w:p w:rsidRPr="00C9001B" w:rsidR="004E7105" w:rsidP="004E7105" w:rsidRDefault="00C9001B" w14:paraId="31EB9B75" w14:textId="2C7E44AD">
            <w:pPr>
              <w:widowControl w:val="0"/>
              <w:overflowPunct w:val="0"/>
              <w:autoSpaceDE w:val="0"/>
              <w:autoSpaceDN w:val="0"/>
              <w:adjustRightInd w:val="0"/>
              <w:textAlignment w:val="baseline"/>
              <w:rPr>
                <w:i/>
              </w:rPr>
            </w:pPr>
            <w:r w:rsidRPr="00C9001B">
              <w:rPr>
                <w:i/>
              </w:rPr>
              <w:t>E</w:t>
            </w:r>
            <w:r w:rsidRPr="00C9001B" w:rsidR="004E7105">
              <w:rPr>
                <w:i/>
              </w:rPr>
              <w:t>-mail</w:t>
            </w:r>
          </w:p>
        </w:tc>
        <w:tc>
          <w:tcPr>
            <w:tcW w:w="3444" w:type="pct"/>
          </w:tcPr>
          <w:p w:rsidRPr="00C9001B" w:rsidR="004E7105" w:rsidP="004E7105" w:rsidRDefault="00E736C8" w14:paraId="36B7A701" w14:textId="77777777">
            <w:pPr>
              <w:widowControl w:val="0"/>
              <w:overflowPunct w:val="0"/>
              <w:autoSpaceDE w:val="0"/>
              <w:autoSpaceDN w:val="0"/>
              <w:adjustRightInd w:val="0"/>
              <w:textAlignment w:val="baseline"/>
              <w:rPr>
                <w:color w:val="0000FF"/>
                <w:u w:val="single"/>
              </w:rPr>
            </w:pPr>
            <w:hyperlink w:history="1" r:id="rId20">
              <w:r w:rsidRPr="00C9001B" w:rsidR="00CE4B73">
                <w:rPr>
                  <w:i/>
                  <w:color w:val="0000FF"/>
                  <w:u w:val="single"/>
                </w:rPr>
                <w:t>Valeria.Atzori@eesc.europa.eu</w:t>
              </w:r>
            </w:hyperlink>
          </w:p>
          <w:p w:rsidRPr="00C9001B" w:rsidR="004E7105" w:rsidP="004E7105" w:rsidRDefault="004E7105" w14:paraId="3E8EA07D" w14:textId="77777777">
            <w:pPr>
              <w:widowControl w:val="0"/>
              <w:overflowPunct w:val="0"/>
              <w:autoSpaceDE w:val="0"/>
              <w:autoSpaceDN w:val="0"/>
              <w:adjustRightInd w:val="0"/>
              <w:textAlignment w:val="baseline"/>
              <w:rPr>
                <w:color w:val="0000FF"/>
                <w:u w:val="single"/>
              </w:rPr>
            </w:pPr>
          </w:p>
        </w:tc>
      </w:tr>
    </w:tbl>
    <w:p w:rsidRPr="00C9001B" w:rsidR="0010484C" w:rsidRDefault="0010484C" w14:paraId="6CA58907" w14:textId="77777777">
      <w:pPr>
        <w:spacing w:after="160" w:line="259" w:lineRule="auto"/>
        <w:jc w:val="left"/>
        <w:rPr>
          <w:sz w:val="14"/>
          <w:szCs w:val="14"/>
        </w:rPr>
      </w:pPr>
    </w:p>
    <w:p w:rsidRPr="00C9001B" w:rsidR="0010484C" w:rsidRDefault="0010484C" w14:paraId="3C32ABDC" w14:textId="77777777">
      <w:pPr>
        <w:spacing w:after="160" w:line="259" w:lineRule="auto"/>
        <w:jc w:val="left"/>
        <w:rPr>
          <w:sz w:val="14"/>
          <w:szCs w:val="14"/>
        </w:rPr>
      </w:pPr>
      <w:r w:rsidRPr="00C9001B">
        <w:br w:type="page"/>
      </w:r>
    </w:p>
    <w:p w:rsidRPr="00C9001B" w:rsidR="0010484C" w:rsidP="00C26C81" w:rsidRDefault="00E736C8"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1">
        <w:r w:rsidRPr="00C9001B" w:rsidR="00CE4B73">
          <w:rPr>
            <w:b/>
            <w:i/>
            <w:color w:val="0000FF"/>
            <w:sz w:val="28"/>
            <w:u w:val="single"/>
          </w:rPr>
          <w:t>Revisione della direttiva su</w:t>
        </w:r>
        <w:r w:rsidRPr="00C9001B" w:rsidR="00CE4B73">
          <w:rPr>
            <w:b/>
            <w:i/>
            <w:color w:val="0000FF"/>
            <w:sz w:val="28"/>
            <w:u w:val="single"/>
          </w:rPr>
          <w:t>i</w:t>
        </w:r>
        <w:r w:rsidRPr="00C9001B" w:rsidR="00CE4B73">
          <w:rPr>
            <w:b/>
            <w:i/>
            <w:color w:val="0000FF"/>
            <w:sz w:val="28"/>
            <w:u w:val="single"/>
          </w:rPr>
          <w:t xml:space="preserve"> comitati aziendali europei</w:t>
        </w:r>
      </w:hyperlink>
    </w:p>
    <w:p w:rsidRPr="00C9001B" w:rsidR="0010484C" w:rsidP="0010484C" w:rsidRDefault="0010484C" w14:paraId="00BC5CCC" w14:textId="690E0BC3">
      <w:pPr>
        <w:tabs>
          <w:tab w:val="center" w:pos="284"/>
        </w:tabs>
        <w:overflowPunct w:val="0"/>
        <w:autoSpaceDE w:val="0"/>
        <w:autoSpaceDN w:val="0"/>
        <w:adjustRightInd w:val="0"/>
        <w:ind w:left="266" w:hanging="266"/>
        <w:textAlignment w:val="baseline"/>
        <w:rPr>
          <w:b/>
          <w:sz w:val="18"/>
          <w:szCs w:val="18"/>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9001B" w:rsidR="0010484C" w:rsidTr="00FE3058" w14:paraId="561F7E20" w14:textId="77777777">
        <w:tc>
          <w:tcPr>
            <w:tcW w:w="1701" w:type="dxa"/>
          </w:tcPr>
          <w:p w:rsidRPr="00C9001B" w:rsidR="0010484C" w:rsidP="00DC0FAE" w:rsidRDefault="00C9001B" w14:paraId="5540B242" w14:textId="2A58BC6F">
            <w:pPr>
              <w:tabs>
                <w:tab w:val="center" w:pos="284"/>
              </w:tabs>
              <w:overflowPunct w:val="0"/>
              <w:autoSpaceDE w:val="0"/>
              <w:autoSpaceDN w:val="0"/>
              <w:adjustRightInd w:val="0"/>
              <w:ind w:left="266" w:hanging="376"/>
              <w:textAlignment w:val="baseline"/>
              <w:rPr>
                <w:b/>
              </w:rPr>
            </w:pPr>
            <w:r w:rsidRPr="00C9001B">
              <w:rPr>
                <w:b/>
              </w:rPr>
              <w:t>Relatrice</w:t>
            </w:r>
          </w:p>
        </w:tc>
        <w:tc>
          <w:tcPr>
            <w:tcW w:w="5387" w:type="dxa"/>
          </w:tcPr>
          <w:p w:rsidRPr="00C9001B" w:rsidR="0010484C" w:rsidP="00DC0FAE" w:rsidRDefault="0010484C" w14:paraId="2E037801" w14:textId="01A5B710">
            <w:pPr>
              <w:tabs>
                <w:tab w:val="center" w:pos="284"/>
              </w:tabs>
              <w:overflowPunct w:val="0"/>
              <w:autoSpaceDE w:val="0"/>
              <w:autoSpaceDN w:val="0"/>
              <w:adjustRightInd w:val="0"/>
              <w:ind w:left="266" w:hanging="376"/>
              <w:textAlignment w:val="baseline"/>
            </w:pPr>
            <w:r w:rsidRPr="00C9001B">
              <w:t>Sophia REISECKER (Lavoratori - AT)</w:t>
            </w:r>
          </w:p>
        </w:tc>
      </w:tr>
      <w:tr w:rsidRPr="00C9001B" w:rsidR="0010484C" w:rsidTr="00FE3058" w14:paraId="73157FC0" w14:textId="77777777">
        <w:tc>
          <w:tcPr>
            <w:tcW w:w="7088" w:type="dxa"/>
            <w:gridSpan w:val="2"/>
          </w:tcPr>
          <w:p w:rsidRPr="00C9001B"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C9001B" w:rsidR="0010484C" w:rsidTr="00FE3058" w14:paraId="08B719B5" w14:textId="77777777">
        <w:tc>
          <w:tcPr>
            <w:tcW w:w="1701" w:type="dxa"/>
            <w:vMerge w:val="restart"/>
          </w:tcPr>
          <w:p w:rsidRPr="00C9001B"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sidRPr="00C9001B">
              <w:rPr>
                <w:b/>
              </w:rPr>
              <w:t>Riferimenti</w:t>
            </w:r>
          </w:p>
        </w:tc>
        <w:tc>
          <w:tcPr>
            <w:tcW w:w="5387" w:type="dxa"/>
          </w:tcPr>
          <w:p w:rsidRPr="00C9001B" w:rsidR="0010484C" w:rsidP="00DC0FAE" w:rsidRDefault="0010484C" w14:paraId="2437B8BE" w14:textId="4FE32139">
            <w:pPr>
              <w:tabs>
                <w:tab w:val="center" w:pos="284"/>
              </w:tabs>
              <w:overflowPunct w:val="0"/>
              <w:autoSpaceDE w:val="0"/>
              <w:autoSpaceDN w:val="0"/>
              <w:adjustRightInd w:val="0"/>
              <w:ind w:left="266" w:hanging="376"/>
              <w:textAlignment w:val="baseline"/>
            </w:pPr>
            <w:r w:rsidRPr="00C9001B">
              <w:t>COM(2024) 14 final</w:t>
            </w:r>
          </w:p>
        </w:tc>
      </w:tr>
      <w:tr w:rsidRPr="00C9001B" w:rsidR="0010484C" w:rsidTr="00FE3058" w14:paraId="5820FB7B" w14:textId="77777777">
        <w:tc>
          <w:tcPr>
            <w:tcW w:w="1701" w:type="dxa"/>
            <w:vMerge/>
          </w:tcPr>
          <w:p w:rsidRPr="00C9001B"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C9001B" w:rsidR="0010484C" w:rsidP="00DC0FAE" w:rsidRDefault="0010484C" w14:paraId="0F30A46F" w14:textId="4D6C9E54">
            <w:pPr>
              <w:tabs>
                <w:tab w:val="center" w:pos="284"/>
              </w:tabs>
              <w:overflowPunct w:val="0"/>
              <w:autoSpaceDE w:val="0"/>
              <w:autoSpaceDN w:val="0"/>
              <w:adjustRightInd w:val="0"/>
              <w:ind w:left="266" w:hanging="376"/>
              <w:textAlignment w:val="baseline"/>
            </w:pPr>
            <w:r w:rsidRPr="00C9001B">
              <w:t>EESC-2024-00543-00-00-AC</w:t>
            </w:r>
          </w:p>
        </w:tc>
      </w:tr>
    </w:tbl>
    <w:p w:rsidRPr="00C9001B" w:rsidR="0010484C" w:rsidP="0010484C" w:rsidRDefault="0010484C" w14:paraId="045C90A1" w14:textId="77777777">
      <w:pPr>
        <w:tabs>
          <w:tab w:val="center" w:pos="284"/>
        </w:tabs>
        <w:overflowPunct w:val="0"/>
        <w:autoSpaceDE w:val="0"/>
        <w:autoSpaceDN w:val="0"/>
        <w:adjustRightInd w:val="0"/>
        <w:ind w:left="266" w:hanging="266"/>
        <w:textAlignment w:val="baseline"/>
        <w:rPr>
          <w:sz w:val="18"/>
          <w:szCs w:val="18"/>
        </w:rPr>
      </w:pPr>
    </w:p>
    <w:p w:rsidRPr="00C9001B"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sidRPr="00C9001B">
        <w:rPr>
          <w:b/>
        </w:rPr>
        <w:t>Punti principali</w:t>
      </w:r>
    </w:p>
    <w:p w:rsidRPr="00C9001B"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
          <w:sz w:val="16"/>
          <w:szCs w:val="16"/>
        </w:rPr>
      </w:pPr>
    </w:p>
    <w:p w:rsidRPr="00C9001B" w:rsidR="0010484C" w:rsidP="0010484C" w:rsidRDefault="0010484C" w14:paraId="45AB3525" w14:textId="1202BA36">
      <w:pPr>
        <w:overflowPunct w:val="0"/>
        <w:autoSpaceDE w:val="0"/>
        <w:autoSpaceDN w:val="0"/>
        <w:adjustRightInd w:val="0"/>
        <w:textAlignment w:val="baseline"/>
        <w:rPr>
          <w:bCs/>
          <w:iCs/>
        </w:rPr>
      </w:pPr>
      <w:r w:rsidRPr="00C9001B">
        <w:t>Il CESE:</w:t>
      </w:r>
    </w:p>
    <w:p w:rsidRPr="00C9001B" w:rsidR="002F6E84" w:rsidP="0010484C" w:rsidRDefault="002F6E84" w14:paraId="0DAE7107" w14:textId="77777777">
      <w:pPr>
        <w:overflowPunct w:val="0"/>
        <w:autoSpaceDE w:val="0"/>
        <w:autoSpaceDN w:val="0"/>
        <w:adjustRightInd w:val="0"/>
        <w:textAlignment w:val="baseline"/>
        <w:rPr>
          <w:bCs/>
          <w:iCs/>
          <w:sz w:val="16"/>
          <w:szCs w:val="16"/>
        </w:rPr>
      </w:pPr>
    </w:p>
    <w:p w:rsidRPr="00C9001B"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rsidRPr="00C9001B">
        <w:t>accoglie con favore l'iniziativa legislativa intrapresa dalla Commissione europea per rivedere la direttiva 2009/38/CE quanto alle norme minime riguardanti l'istituzione dei comitati aziendali europei (CAE) e volte a garantirne l'efficace funzionamento;</w:t>
      </w:r>
    </w:p>
    <w:p w:rsidRPr="00C9001B"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rsidRPr="00C9001B">
        <w:t>apprezza l'obiettivo di accrescere l'efficacia e migliorare l'attuazione dei diritti dei CAE e garantire la certezza del diritto chiarendo alcuni concetti chiave della suddetta direttiva (in prosieguo "la direttiva CAE"). Si tratta in particolare di fornire una definizione di "carattere transnazionale", di mettere a disposizione dei CAE risorse adeguate, di garantire l'accesso alla giustizia e di rafforzare l'impegno degli Stati membri a stabilire sanzioni efficaci e sufficientemente dissuasive per le violazioni dei diritti dei CAE;</w:t>
      </w:r>
    </w:p>
    <w:p w:rsidRPr="00C9001B"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rsidRPr="00C9001B">
        <w:t>si compiace dell'obiettivo della Commissione di rivedere le suddette norme per garantire un processo di informazione e consultazione più efficiente e significativo integrando le prescrizioni accessorie della direttiva, nonché di aumentare la frequenza delle riunioni periodiche dei CAE e di introdurre l'obbligo di una risposta motivata da parte della direzione aziendale ai pareri dei CAE. Apprezza inoltre il rafforzamento del ruolo dei rappresentanti sindacali in quanto esperti chiamati ad assistere i CAE;</w:t>
      </w:r>
    </w:p>
    <w:p w:rsidRPr="00C9001B"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rsidRPr="00C9001B">
        <w:t>sostiene, nello specifico, una serie di importanti modifiche volte a mettere i CAE e i loro membri in condizione di svolgere i loro compiti. In particolare, si tratta di disposizioni riguardanti le risorse che devono essere fornite dalla direzione aziendale - con i dettagli da definire congiuntamente nei pertinenti accordi relativi ai CAE - in relazione alla formazione, agli esperti e alla rappresentanza legale, nonché di norme intese a fornire chiarimenti in materia di riservatezza;</w:t>
      </w:r>
    </w:p>
    <w:p w:rsidRPr="00C9001B"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rsidRPr="00C9001B">
        <w:t>invita le istituzioni legislative a procedere speditamente con la revisione della direttiva CAE in linea con la proposta della Commissione, tenendo conto anche delle raccomandazioni formulate nel parere in oggetto;</w:t>
      </w:r>
    </w:p>
    <w:p w:rsidRPr="00C9001B"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zCs w:val="20"/>
        </w:rPr>
      </w:pPr>
      <w:r w:rsidRPr="00C9001B">
        <w:t>sottolinea la necessità che la Commissione si assicuri della correttezza del recepimento e dell'attuazione della direttiva riveduta utilizzando strumenti di monitoraggio e applicazione efficaci.</w:t>
      </w:r>
    </w:p>
    <w:p w:rsidRPr="00C9001B" w:rsidR="0010484C" w:rsidP="0010484C" w:rsidRDefault="0010484C" w14:paraId="79C5FBDA" w14:textId="77777777">
      <w:pPr>
        <w:widowControl w:val="0"/>
        <w:overflowPunct w:val="0"/>
        <w:autoSpaceDE w:val="0"/>
        <w:autoSpaceDN w:val="0"/>
        <w:adjustRightInd w:val="0"/>
        <w:ind w:left="709"/>
        <w:textAlignment w:val="baseline"/>
        <w:rPr>
          <w:sz w:val="12"/>
          <w:szCs w:val="10"/>
        </w:rPr>
      </w:pPr>
    </w:p>
    <w:p w:rsidRPr="00C9001B" w:rsidR="0010484C" w:rsidP="0010484C" w:rsidRDefault="0010484C" w14:paraId="3B5BD501" w14:textId="50E7F035">
      <w:pPr>
        <w:widowControl w:val="0"/>
        <w:overflowPunct w:val="0"/>
        <w:autoSpaceDE w:val="0"/>
        <w:autoSpaceDN w:val="0"/>
        <w:adjustRightInd w:val="0"/>
        <w:textAlignment w:val="baseline"/>
        <w:rPr>
          <w:b/>
          <w:bCs/>
          <w:szCs w:val="20"/>
        </w:rPr>
      </w:pPr>
      <w:r w:rsidRPr="00C9001B">
        <w:rPr>
          <w:b/>
        </w:rPr>
        <w:t xml:space="preserve">Dato che le organizzazioni dei datori di lavoro hanno manifestato opinioni che divergono da quelle espresse nel parere, i membri del gruppo Datori di lavoro del CESE hanno presentato un controparere. Più specificamente, essi hanno espresso la preoccupazione che la revisione della direttiva possa complicare il funzionamento dei CAE e rischiare di trasformarli, da canali efficaci di informazione e consultazione a livello aziendale, in fonti di controversie e incertezza giuridica. Il gruppo Datori di lavoro del CESE ritiene che ciò potrebbe compromettere condizioni essenziali nei luoghi di lavoro quali la cooperazione e la reciproca fiducia. Il controparere è stato respinto dall'Assemblea del CESE (che in merito ha espresso 104 voti a favore, 125 voti contrari e 11 astensioni), ma, avendo ottenuto il sostegno di oltre un quarto dei </w:t>
      </w:r>
      <w:r w:rsidRPr="00C9001B">
        <w:rPr>
          <w:b/>
        </w:rPr>
        <w:lastRenderedPageBreak/>
        <w:t xml:space="preserve">voti espressi, conformemente al </w:t>
      </w:r>
      <w:r w:rsidRPr="00C9001B" w:rsidR="00C9001B">
        <w:rPr>
          <w:b/>
        </w:rPr>
        <w:t>Regolamento</w:t>
      </w:r>
      <w:r w:rsidRPr="00C9001B">
        <w:rPr>
          <w:b/>
        </w:rPr>
        <w:t xml:space="preserve"> interno del CESE è stato allegato al parere del Comitato.</w:t>
      </w:r>
    </w:p>
    <w:p w:rsidRPr="00C9001B" w:rsidR="0010484C" w:rsidP="0010484C" w:rsidRDefault="0010484C" w14:paraId="4D07561D" w14:textId="10666C39">
      <w:pPr>
        <w:widowControl w:val="0"/>
        <w:overflowPunct w:val="0"/>
        <w:autoSpaceDE w:val="0"/>
        <w:autoSpaceDN w:val="0"/>
        <w:adjustRightInd w:val="0"/>
        <w:textAlignment w:val="baseline"/>
        <w:rPr>
          <w:sz w:val="18"/>
          <w:szCs w:val="16"/>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9001B" w:rsidR="005C28F2" w:rsidTr="00405FFF" w14:paraId="60D176FD" w14:textId="77777777">
        <w:tc>
          <w:tcPr>
            <w:tcW w:w="1418" w:type="dxa"/>
          </w:tcPr>
          <w:p w:rsidRPr="00C9001B" w:rsidR="005C28F2" w:rsidP="00405FFF" w:rsidRDefault="005C28F2" w14:paraId="585CB7BA" w14:textId="77777777">
            <w:pPr>
              <w:overflowPunct w:val="0"/>
              <w:autoSpaceDE w:val="0"/>
              <w:autoSpaceDN w:val="0"/>
              <w:adjustRightInd w:val="0"/>
              <w:ind w:hanging="110"/>
              <w:textAlignment w:val="baseline"/>
              <w:rPr>
                <w:i/>
              </w:rPr>
            </w:pPr>
            <w:r w:rsidRPr="00C9001B">
              <w:rPr>
                <w:b/>
                <w:i/>
              </w:rPr>
              <w:t>Contatto</w:t>
            </w:r>
          </w:p>
        </w:tc>
        <w:tc>
          <w:tcPr>
            <w:tcW w:w="5670" w:type="dxa"/>
          </w:tcPr>
          <w:p w:rsidRPr="00C9001B" w:rsidR="005C28F2" w:rsidP="00405FFF" w:rsidRDefault="005C28F2" w14:paraId="78013169" w14:textId="77777777">
            <w:pPr>
              <w:overflowPunct w:val="0"/>
              <w:autoSpaceDE w:val="0"/>
              <w:autoSpaceDN w:val="0"/>
              <w:adjustRightInd w:val="0"/>
              <w:ind w:hanging="110"/>
              <w:textAlignment w:val="baseline"/>
              <w:rPr>
                <w:i/>
              </w:rPr>
            </w:pPr>
            <w:r w:rsidRPr="00C9001B">
              <w:rPr>
                <w:i/>
              </w:rPr>
              <w:t>Bartek BEDNAROWICZ</w:t>
            </w:r>
          </w:p>
        </w:tc>
      </w:tr>
      <w:tr w:rsidRPr="00C9001B" w:rsidR="005C28F2" w:rsidTr="00405FFF" w14:paraId="02718472" w14:textId="77777777">
        <w:tc>
          <w:tcPr>
            <w:tcW w:w="1418" w:type="dxa"/>
          </w:tcPr>
          <w:p w:rsidRPr="00C9001B" w:rsidR="005C28F2" w:rsidP="00405FFF" w:rsidRDefault="005C28F2" w14:paraId="5ECEACD6" w14:textId="77777777">
            <w:pPr>
              <w:overflowPunct w:val="0"/>
              <w:autoSpaceDE w:val="0"/>
              <w:autoSpaceDN w:val="0"/>
              <w:adjustRightInd w:val="0"/>
              <w:ind w:hanging="110"/>
              <w:textAlignment w:val="baseline"/>
              <w:rPr>
                <w:i/>
              </w:rPr>
            </w:pPr>
            <w:r w:rsidRPr="00C9001B">
              <w:rPr>
                <w:i/>
              </w:rPr>
              <w:t>Tel.</w:t>
            </w:r>
          </w:p>
        </w:tc>
        <w:tc>
          <w:tcPr>
            <w:tcW w:w="5670" w:type="dxa"/>
          </w:tcPr>
          <w:p w:rsidRPr="00C9001B" w:rsidR="005C28F2" w:rsidP="00405FFF" w:rsidRDefault="005C28F2" w14:paraId="39C98148" w14:textId="77777777">
            <w:pPr>
              <w:overflowPunct w:val="0"/>
              <w:autoSpaceDE w:val="0"/>
              <w:autoSpaceDN w:val="0"/>
              <w:adjustRightInd w:val="0"/>
              <w:ind w:hanging="110"/>
              <w:textAlignment w:val="baseline"/>
              <w:rPr>
                <w:i/>
              </w:rPr>
            </w:pPr>
            <w:r w:rsidRPr="00C9001B">
              <w:rPr>
                <w:i/>
              </w:rPr>
              <w:t>+32 25469229</w:t>
            </w:r>
          </w:p>
        </w:tc>
      </w:tr>
      <w:tr w:rsidRPr="00C9001B" w:rsidR="005C28F2" w:rsidTr="00405FFF" w14:paraId="6D0F78E9" w14:textId="77777777">
        <w:tc>
          <w:tcPr>
            <w:tcW w:w="1418" w:type="dxa"/>
          </w:tcPr>
          <w:p w:rsidRPr="00C9001B" w:rsidR="005C28F2" w:rsidP="00405FFF" w:rsidRDefault="00C9001B" w14:paraId="57F2C25C" w14:textId="63EBA21F">
            <w:pPr>
              <w:overflowPunct w:val="0"/>
              <w:autoSpaceDE w:val="0"/>
              <w:autoSpaceDN w:val="0"/>
              <w:adjustRightInd w:val="0"/>
              <w:ind w:hanging="110"/>
              <w:textAlignment w:val="baseline"/>
              <w:rPr>
                <w:i/>
              </w:rPr>
            </w:pPr>
            <w:r w:rsidRPr="00C9001B">
              <w:rPr>
                <w:i/>
              </w:rPr>
              <w:t>E</w:t>
            </w:r>
            <w:r w:rsidRPr="00C9001B" w:rsidR="005C28F2">
              <w:rPr>
                <w:i/>
              </w:rPr>
              <w:t>-mail</w:t>
            </w:r>
          </w:p>
        </w:tc>
        <w:tc>
          <w:tcPr>
            <w:tcW w:w="5670" w:type="dxa"/>
          </w:tcPr>
          <w:p w:rsidRPr="00C9001B" w:rsidR="005C28F2" w:rsidP="00405FFF" w:rsidRDefault="00E736C8" w14:paraId="6532C4C9" w14:textId="77777777">
            <w:pPr>
              <w:overflowPunct w:val="0"/>
              <w:autoSpaceDE w:val="0"/>
              <w:autoSpaceDN w:val="0"/>
              <w:adjustRightInd w:val="0"/>
              <w:ind w:hanging="110"/>
              <w:textAlignment w:val="baseline"/>
              <w:rPr>
                <w:i/>
                <w:color w:val="0000FF"/>
                <w:u w:val="single"/>
              </w:rPr>
            </w:pPr>
            <w:hyperlink w:history="1" r:id="rId22">
              <w:r w:rsidRPr="00C9001B" w:rsidR="005C28F2">
                <w:rPr>
                  <w:i/>
                  <w:color w:val="0000FF"/>
                  <w:u w:val="single"/>
                </w:rPr>
                <w:t>Bartek.Bednarowicz@eesc.europa.eu</w:t>
              </w:r>
            </w:hyperlink>
          </w:p>
          <w:p w:rsidRPr="00C9001B" w:rsidR="00C9001B" w:rsidP="00405FFF" w:rsidRDefault="00C9001B" w14:paraId="17171F10" w14:textId="6DD96A54">
            <w:pPr>
              <w:overflowPunct w:val="0"/>
              <w:autoSpaceDE w:val="0"/>
              <w:autoSpaceDN w:val="0"/>
              <w:adjustRightInd w:val="0"/>
              <w:ind w:hanging="110"/>
              <w:textAlignment w:val="baseline"/>
              <w:rPr>
                <w:i/>
                <w:iCs/>
              </w:rPr>
            </w:pPr>
          </w:p>
        </w:tc>
      </w:tr>
    </w:tbl>
    <w:p w:rsidRPr="00C9001B" w:rsidR="00C9001B" w:rsidP="00C9001B" w:rsidRDefault="00C9001B" w14:paraId="43E36A88" w14:textId="245DBB4E">
      <w:pPr>
        <w:widowControl w:val="0"/>
        <w:overflowPunct w:val="0"/>
        <w:autoSpaceDE w:val="0"/>
        <w:autoSpaceDN w:val="0"/>
        <w:adjustRightInd w:val="0"/>
        <w:ind w:left="567"/>
        <w:textAlignment w:val="baseline"/>
        <w:rPr>
          <w:b/>
        </w:rPr>
      </w:pPr>
    </w:p>
    <w:p w:rsidRPr="00C9001B" w:rsidR="00C9001B" w:rsidRDefault="00C9001B" w14:paraId="3AE77534" w14:textId="77777777">
      <w:pPr>
        <w:spacing w:after="160" w:line="259" w:lineRule="auto"/>
        <w:jc w:val="left"/>
        <w:rPr>
          <w:b/>
        </w:rPr>
      </w:pPr>
      <w:r w:rsidRPr="00C9001B">
        <w:rPr>
          <w:b/>
        </w:rPr>
        <w:br w:type="page"/>
      </w:r>
    </w:p>
    <w:p w:rsidRPr="00C9001B" w:rsidR="00025343" w:rsidP="00DC0FAE" w:rsidRDefault="00E736C8" w14:paraId="05A78CB9" w14:textId="143EAF9A">
      <w:pPr>
        <w:widowControl w:val="0"/>
        <w:numPr>
          <w:ilvl w:val="0"/>
          <w:numId w:val="7"/>
        </w:numPr>
        <w:overflowPunct w:val="0"/>
        <w:autoSpaceDE w:val="0"/>
        <w:autoSpaceDN w:val="0"/>
        <w:adjustRightInd w:val="0"/>
        <w:ind w:hanging="567"/>
        <w:textAlignment w:val="baseline"/>
        <w:rPr>
          <w:b/>
        </w:rPr>
      </w:pPr>
      <w:hyperlink w:history="1" r:id="rId23">
        <w:r w:rsidRPr="00C9001B" w:rsidR="005C28F2">
          <w:rPr>
            <w:b/>
            <w:i/>
            <w:color w:val="0000FF"/>
            <w:sz w:val="28"/>
            <w:u w:val="single"/>
          </w:rPr>
          <w:t>Nessuno spazio per l'odio i</w:t>
        </w:r>
        <w:r w:rsidRPr="00C9001B" w:rsidR="005C28F2">
          <w:rPr>
            <w:b/>
            <w:i/>
            <w:color w:val="0000FF"/>
            <w:sz w:val="28"/>
            <w:u w:val="single"/>
          </w:rPr>
          <w:t>n</w:t>
        </w:r>
        <w:r w:rsidRPr="00C9001B" w:rsidR="005C28F2">
          <w:rPr>
            <w:b/>
            <w:i/>
            <w:color w:val="0000FF"/>
            <w:sz w:val="28"/>
            <w:u w:val="single"/>
          </w:rPr>
          <w:t xml:space="preserve"> un'Europa che, unita, lo ripudia</w:t>
        </w:r>
      </w:hyperlink>
    </w:p>
    <w:p w:rsidRPr="00C9001B" w:rsidR="00025343" w:rsidP="00025343" w:rsidRDefault="00025343" w14:paraId="07CE56B3" w14:textId="576C118A">
      <w:pPr>
        <w:widowControl w:val="0"/>
        <w:overflowPunct w:val="0"/>
        <w:autoSpaceDE w:val="0"/>
        <w:autoSpaceDN w:val="0"/>
        <w:adjustRightInd w:val="0"/>
        <w:ind w:left="266"/>
        <w:textAlignment w:val="baseline"/>
        <w:rPr>
          <w:b/>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0"/>
        <w:gridCol w:w="5973"/>
      </w:tblGrid>
      <w:tr w:rsidRPr="00C9001B" w:rsidR="00025343" w:rsidTr="00FE3058" w14:paraId="2AF8F4F0" w14:textId="77777777">
        <w:trPr>
          <w:trHeight w:val="337"/>
        </w:trPr>
        <w:tc>
          <w:tcPr>
            <w:tcW w:w="1310" w:type="pct"/>
          </w:tcPr>
          <w:p w:rsidRPr="00C9001B" w:rsidR="00025343" w:rsidP="00DC0FAE" w:rsidRDefault="00C9001B" w14:paraId="11E0BB11" w14:textId="7768A031">
            <w:pPr>
              <w:tabs>
                <w:tab w:val="center" w:pos="284"/>
              </w:tabs>
              <w:overflowPunct w:val="0"/>
              <w:autoSpaceDE w:val="0"/>
              <w:autoSpaceDN w:val="0"/>
              <w:adjustRightInd w:val="0"/>
              <w:ind w:left="266" w:hanging="92"/>
              <w:textAlignment w:val="baseline"/>
              <w:rPr>
                <w:b/>
              </w:rPr>
            </w:pPr>
            <w:r w:rsidRPr="00C9001B">
              <w:rPr>
                <w:b/>
              </w:rPr>
              <w:t>Relatore</w:t>
            </w:r>
          </w:p>
        </w:tc>
        <w:tc>
          <w:tcPr>
            <w:tcW w:w="3690" w:type="pct"/>
          </w:tcPr>
          <w:p w:rsidRPr="00C9001B" w:rsidR="00025343" w:rsidP="00DC0FAE" w:rsidRDefault="00025343" w14:paraId="75752AD4" w14:textId="7ACD3C64">
            <w:pPr>
              <w:tabs>
                <w:tab w:val="center" w:pos="0"/>
              </w:tabs>
              <w:overflowPunct w:val="0"/>
              <w:autoSpaceDE w:val="0"/>
              <w:autoSpaceDN w:val="0"/>
              <w:adjustRightInd w:val="0"/>
              <w:ind w:hanging="92"/>
              <w:textAlignment w:val="baseline"/>
            </w:pPr>
            <w:r w:rsidRPr="00C9001B">
              <w:t>Cristian PÎRVULESCU (Organizzazioni della società civile - RO)</w:t>
            </w:r>
          </w:p>
        </w:tc>
      </w:tr>
      <w:tr w:rsidRPr="00C9001B" w:rsidR="00025343" w:rsidTr="00FE3058" w14:paraId="1760181D" w14:textId="77777777">
        <w:trPr>
          <w:trHeight w:val="350"/>
        </w:trPr>
        <w:tc>
          <w:tcPr>
            <w:tcW w:w="1310" w:type="pct"/>
          </w:tcPr>
          <w:p w:rsidRPr="00C9001B" w:rsidR="00025343" w:rsidP="00DC0FAE" w:rsidRDefault="00C9001B" w14:paraId="2BD960A6" w14:textId="08EA6EB1">
            <w:pPr>
              <w:tabs>
                <w:tab w:val="center" w:pos="284"/>
              </w:tabs>
              <w:overflowPunct w:val="0"/>
              <w:autoSpaceDE w:val="0"/>
              <w:autoSpaceDN w:val="0"/>
              <w:adjustRightInd w:val="0"/>
              <w:ind w:left="266" w:hanging="92"/>
              <w:textAlignment w:val="baseline"/>
              <w:rPr>
                <w:b/>
              </w:rPr>
            </w:pPr>
            <w:r w:rsidRPr="00C9001B">
              <w:rPr>
                <w:b/>
              </w:rPr>
              <w:t>Correlatrice</w:t>
            </w:r>
          </w:p>
        </w:tc>
        <w:tc>
          <w:tcPr>
            <w:tcW w:w="3690" w:type="pct"/>
          </w:tcPr>
          <w:p w:rsidRPr="00C9001B" w:rsidR="00025343" w:rsidP="00DC0FAE" w:rsidRDefault="00025343" w14:paraId="4D5D8264" w14:textId="0F078110">
            <w:pPr>
              <w:overflowPunct w:val="0"/>
              <w:autoSpaceDE w:val="0"/>
              <w:autoSpaceDN w:val="0"/>
              <w:adjustRightInd w:val="0"/>
              <w:ind w:hanging="92"/>
              <w:textAlignment w:val="baseline"/>
            </w:pPr>
            <w:r w:rsidRPr="00C9001B">
              <w:t>Milena ANGELOVA (Datori di lavoro - BG)</w:t>
            </w:r>
          </w:p>
        </w:tc>
      </w:tr>
      <w:tr w:rsidRPr="00C9001B" w:rsidR="00025343" w:rsidTr="00FE3058" w14:paraId="2C6DD60C" w14:textId="77777777">
        <w:trPr>
          <w:trHeight w:val="180"/>
        </w:trPr>
        <w:tc>
          <w:tcPr>
            <w:tcW w:w="5000" w:type="pct"/>
            <w:gridSpan w:val="2"/>
          </w:tcPr>
          <w:p w:rsidRPr="00C9001B"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C9001B" w:rsidR="00025343" w:rsidTr="00FE3058" w14:paraId="6FBC34E5" w14:textId="77777777">
        <w:trPr>
          <w:trHeight w:val="337"/>
        </w:trPr>
        <w:tc>
          <w:tcPr>
            <w:tcW w:w="1310" w:type="pct"/>
          </w:tcPr>
          <w:p w:rsidRPr="00C9001B" w:rsidR="00025343" w:rsidP="00DC0FAE" w:rsidRDefault="00025343" w14:paraId="0CB959F0" w14:textId="6F07FE00">
            <w:pPr>
              <w:tabs>
                <w:tab w:val="center" w:pos="284"/>
              </w:tabs>
              <w:overflowPunct w:val="0"/>
              <w:autoSpaceDE w:val="0"/>
              <w:autoSpaceDN w:val="0"/>
              <w:adjustRightInd w:val="0"/>
              <w:ind w:left="266" w:hanging="92"/>
              <w:textAlignment w:val="baseline"/>
              <w:rPr>
                <w:b/>
              </w:rPr>
            </w:pPr>
            <w:r w:rsidRPr="00C9001B">
              <w:rPr>
                <w:b/>
              </w:rPr>
              <w:t>Riferiment</w:t>
            </w:r>
            <w:r w:rsidRPr="00C9001B" w:rsidR="00C9001B">
              <w:rPr>
                <w:b/>
              </w:rPr>
              <w:t>i</w:t>
            </w:r>
          </w:p>
        </w:tc>
        <w:tc>
          <w:tcPr>
            <w:tcW w:w="3690" w:type="pct"/>
          </w:tcPr>
          <w:p w:rsidRPr="00C9001B" w:rsidR="00073B39" w:rsidRDefault="00073B39" w14:paraId="4E56704D" w14:textId="77D55C36">
            <w:pPr>
              <w:overflowPunct w:val="0"/>
              <w:autoSpaceDE w:val="0"/>
              <w:autoSpaceDN w:val="0"/>
              <w:adjustRightInd w:val="0"/>
              <w:ind w:left="38" w:hanging="92"/>
              <w:textAlignment w:val="baseline"/>
            </w:pPr>
            <w:r w:rsidRPr="00C9001B">
              <w:t>JOIN(2023) 51 final</w:t>
            </w:r>
          </w:p>
          <w:p w:rsidRPr="00C9001B" w:rsidR="00025343" w:rsidP="00DC0FAE" w:rsidRDefault="00025343" w14:paraId="3DBBFBEB" w14:textId="41A0BBEE">
            <w:pPr>
              <w:overflowPunct w:val="0"/>
              <w:autoSpaceDE w:val="0"/>
              <w:autoSpaceDN w:val="0"/>
              <w:adjustRightInd w:val="0"/>
              <w:ind w:left="38" w:hanging="92"/>
              <w:textAlignment w:val="baseline"/>
            </w:pPr>
            <w:r w:rsidRPr="00C9001B">
              <w:t>EESC-2024-00795-00-00-AC</w:t>
            </w:r>
          </w:p>
        </w:tc>
      </w:tr>
    </w:tbl>
    <w:p w:rsidRPr="00C9001B"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sidRPr="00C9001B">
        <w:rPr>
          <w:b/>
        </w:rPr>
        <w:t>Punti principali</w:t>
      </w:r>
    </w:p>
    <w:p w:rsidRPr="00C9001B" w:rsidR="00025343" w:rsidP="00025343" w:rsidRDefault="00025343" w14:paraId="19863DE9" w14:textId="77777777">
      <w:pPr>
        <w:tabs>
          <w:tab w:val="center" w:pos="284"/>
        </w:tabs>
        <w:overflowPunct w:val="0"/>
        <w:autoSpaceDE w:val="0"/>
        <w:autoSpaceDN w:val="0"/>
        <w:adjustRightInd w:val="0"/>
        <w:ind w:left="266" w:hanging="266"/>
        <w:textAlignment w:val="baseline"/>
        <w:rPr>
          <w:b/>
        </w:rPr>
      </w:pPr>
    </w:p>
    <w:p w:rsidRPr="00C9001B" w:rsidR="00025343" w:rsidP="00025343" w:rsidRDefault="00025343" w14:paraId="4E01D61B" w14:textId="1C55CBF5">
      <w:pPr>
        <w:overflowPunct w:val="0"/>
        <w:autoSpaceDE w:val="0"/>
        <w:autoSpaceDN w:val="0"/>
        <w:adjustRightInd w:val="0"/>
        <w:textAlignment w:val="baseline"/>
        <w:rPr>
          <w:bCs/>
          <w:iCs/>
        </w:rPr>
      </w:pPr>
      <w:r w:rsidRPr="00C9001B">
        <w:t>Il CESE:</w:t>
      </w:r>
    </w:p>
    <w:p w:rsidRPr="00C9001B" w:rsidR="00360C2F" w:rsidP="00025343" w:rsidRDefault="00360C2F" w14:paraId="227E2908" w14:textId="77777777">
      <w:pPr>
        <w:overflowPunct w:val="0"/>
        <w:autoSpaceDE w:val="0"/>
        <w:autoSpaceDN w:val="0"/>
        <w:adjustRightInd w:val="0"/>
        <w:textAlignment w:val="baseline"/>
        <w:rPr>
          <w:bCs/>
          <w:iCs/>
        </w:rPr>
      </w:pPr>
    </w:p>
    <w:p w:rsidRPr="00C9001B"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rsidRPr="00C9001B">
        <w:t>accoglie con favore la comunicazione in esame, pur sottolineando la necessità di un partenariato maggiormente globale con le organizzazioni della società civile. Chiede campagne di sensibilizzazione e sforzi volti a combattere gli "ecosistemi" dell'odio offline e online e ricorda la responsabilità dei politici di evitare un linguaggio che promuova l'odio;</w:t>
      </w:r>
    </w:p>
    <w:p w:rsidRPr="00C9001B"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rsidRPr="00C9001B">
        <w:t>chiede all'UE di adottare un approccio a tutto campo e di combattere l'odio basato su qualsiasi caratteristica umana protetta, di attuare in maniera efficace le strategie e le iniziative esistenti volte a promuovere l'uguaglianza e la non discriminazione e di utilizzare essenzialmente lo stesso approccio per combattere ogni tipo di odio. Invita gli Stati membri a perseguire i reati generati dall'odio, a incoraggiarne la denuncia e a formare le autorità di contrasto affinché gestiscano questi episodi in maniera appropriata, nel debito rispetto delle vittime;</w:t>
      </w:r>
    </w:p>
    <w:p w:rsidRPr="00C9001B"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rsidRPr="00C9001B">
        <w:t>si rammarica del fatto che la lotta contro l'odio sulle piattaforme online sia carente in termini di portata e impatto. Bisognerebbe ampliare il ruolo e le competenze dei segnalatori in modo che nel loro ambito di intervento rientrino in maniera coerente tutti i tipi di pregiudizi basati sull'odio espressi online. L'alfabetizzazione mediatica e digitale dovrebbe essere migliorata per garantire una segnalazione più efficace;</w:t>
      </w:r>
    </w:p>
    <w:p w:rsidRPr="00C9001B"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rsidRPr="00C9001B">
        <w:t>ritiene che i lavori del gruppo ad alto livello sulla lotta contro l'incitamento all'odio e i reati generati dall'odio debbano essere meglio attuati, che la formazione e lo sviluppo delle capacità della società civile debbano essere potenziati e che la segnalazione debba essere resa più efficace. Per conoscere i progressi compiuti si dovrebbero utilizzare le relazioni e l'analisi comparativa. La modalità di denuncia dei reati generati dall'odio dovrebbe essere standardizzata e istituzionalizzata a livello dell'UE. I meccanismi di denuncia devono essere disponibili e accessibili; la Commissione è incoraggiata a creare un'apposita piattaforma online per la rapida comunicazione di episodi legati all'odio da parte delle organizzazioni della società civile e dei difensori dei diritti umani;</w:t>
      </w:r>
    </w:p>
    <w:p w:rsidRPr="00C9001B"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rsidRPr="00C9001B">
        <w:t>sottolinea che la Commissione dovrebbe organizzare un riesame del lavoro delle organizzazioni della società civile e dei segnalatori attendibili, e proporre misure volte a renderlo più efficace e adeguato alle sfide attuali. L'UE dovrebbe insistere affinché le piattaforme online di grandi dimensioni impediscano ai loro algoritmi di amplificare l'odio, e dovrebbe utilizzare le risorse a valere sui programmi Cittadini, uguaglianza, diritti e valori (CERV) e Orizzonte Europa per individuare e combattere gli ecosistemi dell'odio online, consentendo alle capacità di istruzione e di ricerca già esistenti di contribuire a tale obiettivo, al cui conseguimento potrebbe contribuire anche l'educazione civica nel quadro di Erasmus+.</w:t>
      </w:r>
    </w:p>
    <w:p w:rsidRPr="00C9001B" w:rsidR="00025343" w:rsidP="00025343" w:rsidRDefault="00025343" w14:paraId="0B19C92B" w14:textId="77777777">
      <w:pPr>
        <w:widowControl w:val="0"/>
        <w:overflowPunct w:val="0"/>
        <w:autoSpaceDE w:val="0"/>
        <w:autoSpaceDN w:val="0"/>
        <w:adjustRightInd w:val="0"/>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9001B" w:rsidR="00025343" w:rsidTr="00FE3058" w14:paraId="2383B5F9" w14:textId="77777777">
        <w:trPr>
          <w:trHeight w:val="60"/>
        </w:trPr>
        <w:tc>
          <w:tcPr>
            <w:tcW w:w="1556" w:type="pct"/>
          </w:tcPr>
          <w:p w:rsidRPr="00C9001B" w:rsidR="00025343" w:rsidP="00025343" w:rsidRDefault="00025343" w14:paraId="77472C91" w14:textId="77777777">
            <w:pPr>
              <w:overflowPunct w:val="0"/>
              <w:autoSpaceDE w:val="0"/>
              <w:autoSpaceDN w:val="0"/>
              <w:adjustRightInd w:val="0"/>
              <w:spacing w:line="240" w:lineRule="auto"/>
              <w:textAlignment w:val="baseline"/>
              <w:rPr>
                <w:i/>
              </w:rPr>
            </w:pPr>
            <w:r w:rsidRPr="00C9001B">
              <w:rPr>
                <w:b/>
                <w:i/>
              </w:rPr>
              <w:lastRenderedPageBreak/>
              <w:t>Contatto</w:t>
            </w:r>
          </w:p>
        </w:tc>
        <w:tc>
          <w:tcPr>
            <w:tcW w:w="3444" w:type="pct"/>
          </w:tcPr>
          <w:p w:rsidRPr="00C9001B" w:rsidR="00025343" w:rsidP="00025343" w:rsidRDefault="00025343" w14:paraId="0085AE7E" w14:textId="77777777">
            <w:pPr>
              <w:overflowPunct w:val="0"/>
              <w:autoSpaceDE w:val="0"/>
              <w:autoSpaceDN w:val="0"/>
              <w:adjustRightInd w:val="0"/>
              <w:spacing w:line="240" w:lineRule="auto"/>
              <w:textAlignment w:val="baseline"/>
              <w:rPr>
                <w:i/>
              </w:rPr>
            </w:pPr>
            <w:r w:rsidRPr="00C9001B">
              <w:rPr>
                <w:i/>
              </w:rPr>
              <w:t>June BEDATON</w:t>
            </w:r>
          </w:p>
        </w:tc>
      </w:tr>
      <w:tr w:rsidRPr="00C9001B" w:rsidR="00025343" w:rsidTr="00FE3058" w14:paraId="5D5A7669" w14:textId="77777777">
        <w:tc>
          <w:tcPr>
            <w:tcW w:w="1556" w:type="pct"/>
          </w:tcPr>
          <w:p w:rsidRPr="00C9001B" w:rsidR="00025343" w:rsidP="00025343" w:rsidRDefault="00025343" w14:paraId="0EE8CCA8" w14:textId="77777777">
            <w:pPr>
              <w:overflowPunct w:val="0"/>
              <w:autoSpaceDE w:val="0"/>
              <w:autoSpaceDN w:val="0"/>
              <w:adjustRightInd w:val="0"/>
              <w:spacing w:line="240" w:lineRule="auto"/>
              <w:textAlignment w:val="baseline"/>
              <w:rPr>
                <w:i/>
              </w:rPr>
            </w:pPr>
            <w:r w:rsidRPr="00C9001B">
              <w:rPr>
                <w:i/>
              </w:rPr>
              <w:t>Tel.</w:t>
            </w:r>
          </w:p>
        </w:tc>
        <w:tc>
          <w:tcPr>
            <w:tcW w:w="3444" w:type="pct"/>
          </w:tcPr>
          <w:p w:rsidRPr="00C9001B" w:rsidR="00025343" w:rsidP="00025343" w:rsidRDefault="00025343" w14:paraId="13FFF4AE" w14:textId="77777777">
            <w:pPr>
              <w:overflowPunct w:val="0"/>
              <w:autoSpaceDE w:val="0"/>
              <w:autoSpaceDN w:val="0"/>
              <w:adjustRightInd w:val="0"/>
              <w:spacing w:line="240" w:lineRule="auto"/>
              <w:textAlignment w:val="baseline"/>
              <w:rPr>
                <w:i/>
              </w:rPr>
            </w:pPr>
            <w:r w:rsidRPr="00C9001B">
              <w:rPr>
                <w:i/>
              </w:rPr>
              <w:t>+32 25468134</w:t>
            </w:r>
          </w:p>
        </w:tc>
      </w:tr>
      <w:tr w:rsidRPr="00C9001B" w:rsidR="00025343" w:rsidTr="00FE3058" w14:paraId="3F8348DB" w14:textId="77777777">
        <w:tc>
          <w:tcPr>
            <w:tcW w:w="1556" w:type="pct"/>
          </w:tcPr>
          <w:p w:rsidRPr="00C9001B" w:rsidR="00025343" w:rsidP="00025343" w:rsidRDefault="00C9001B" w14:paraId="727D8F5E" w14:textId="5AA68381">
            <w:pPr>
              <w:overflowPunct w:val="0"/>
              <w:autoSpaceDE w:val="0"/>
              <w:autoSpaceDN w:val="0"/>
              <w:adjustRightInd w:val="0"/>
              <w:spacing w:line="240" w:lineRule="auto"/>
              <w:textAlignment w:val="baseline"/>
              <w:rPr>
                <w:i/>
              </w:rPr>
            </w:pPr>
            <w:r w:rsidRPr="00C9001B">
              <w:rPr>
                <w:i/>
              </w:rPr>
              <w:t>E</w:t>
            </w:r>
            <w:r w:rsidRPr="00C9001B" w:rsidR="00025343">
              <w:rPr>
                <w:i/>
              </w:rPr>
              <w:t>-mail</w:t>
            </w:r>
          </w:p>
        </w:tc>
        <w:tc>
          <w:tcPr>
            <w:tcW w:w="3444" w:type="pct"/>
          </w:tcPr>
          <w:p w:rsidRPr="00C9001B" w:rsidR="00025343" w:rsidP="00025343" w:rsidRDefault="00E736C8" w14:paraId="55F1FCFD" w14:textId="77777777">
            <w:pPr>
              <w:overflowPunct w:val="0"/>
              <w:autoSpaceDE w:val="0"/>
              <w:autoSpaceDN w:val="0"/>
              <w:adjustRightInd w:val="0"/>
              <w:spacing w:line="240" w:lineRule="auto"/>
              <w:textAlignment w:val="baseline"/>
              <w:rPr>
                <w:i/>
              </w:rPr>
            </w:pPr>
            <w:hyperlink w:history="1" r:id="rId24">
              <w:r w:rsidRPr="00C9001B" w:rsidR="00CE4B73">
                <w:rPr>
                  <w:i/>
                  <w:color w:val="0000FF"/>
                  <w:u w:val="single"/>
                </w:rPr>
                <w:t>June.Bedaton@eesc.europa.eu</w:t>
              </w:r>
            </w:hyperlink>
          </w:p>
        </w:tc>
      </w:tr>
    </w:tbl>
    <w:p w:rsidRPr="00C9001B" w:rsidR="00502E1F" w:rsidRDefault="00502E1F" w14:paraId="3D58FF9D" w14:textId="2586B74C">
      <w:pPr>
        <w:spacing w:after="160" w:line="259" w:lineRule="auto"/>
        <w:jc w:val="left"/>
        <w:rPr>
          <w:sz w:val="14"/>
          <w:szCs w:val="14"/>
        </w:rPr>
      </w:pPr>
      <w:r w:rsidRPr="00C9001B">
        <w:br w:type="page"/>
      </w:r>
    </w:p>
    <w:p w:rsidRPr="00C9001B"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858730" w:id="3"/>
      <w:bookmarkEnd w:id="2"/>
      <w:r w:rsidRPr="00C9001B">
        <w:rPr>
          <w:b/>
        </w:rPr>
        <w:lastRenderedPageBreak/>
        <w:t>AGRICOLTURA, SVILUPPO RURALE, AMBIENTE</w:t>
      </w:r>
      <w:bookmarkEnd w:id="3"/>
    </w:p>
    <w:p w:rsidRPr="00C9001B" w:rsidR="005C28F2" w:rsidRDefault="005C28F2" w14:paraId="70C7CB4F" w14:textId="77777777">
      <w:pPr>
        <w:spacing w:after="160" w:line="259" w:lineRule="auto"/>
        <w:jc w:val="left"/>
        <w:rPr>
          <w:b/>
          <w:bCs/>
        </w:rPr>
      </w:pPr>
    </w:p>
    <w:p w:rsidRPr="00C9001B" w:rsidR="00A329C8" w:rsidRDefault="00A329C8" w14:paraId="207163CE" w14:textId="67E9BB6A">
      <w:pPr>
        <w:spacing w:after="160" w:line="259" w:lineRule="auto"/>
        <w:jc w:val="left"/>
        <w:rPr>
          <w:b/>
          <w:bCs/>
        </w:rPr>
      </w:pPr>
    </w:p>
    <w:p w:rsidRPr="00C9001B" w:rsidR="00A329C8" w:rsidP="00DC0FAE" w:rsidRDefault="00E736C8"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25">
        <w:r w:rsidRPr="00C9001B" w:rsidR="004C1520">
          <w:rPr>
            <w:b/>
            <w:i/>
            <w:color w:val="0000FF"/>
            <w:sz w:val="28"/>
            <w:u w:val="single"/>
          </w:rPr>
          <w:t>Traguardo cli</w:t>
        </w:r>
        <w:r w:rsidRPr="00C9001B" w:rsidR="004C1520">
          <w:rPr>
            <w:b/>
            <w:i/>
            <w:color w:val="0000FF"/>
            <w:sz w:val="28"/>
            <w:u w:val="single"/>
          </w:rPr>
          <w:t>m</w:t>
        </w:r>
        <w:r w:rsidRPr="00C9001B" w:rsidR="004C1520">
          <w:rPr>
            <w:b/>
            <w:i/>
            <w:color w:val="0000FF"/>
            <w:sz w:val="28"/>
            <w:u w:val="single"/>
          </w:rPr>
          <w:t>atico europeo per il 2040</w:t>
        </w:r>
      </w:hyperlink>
    </w:p>
    <w:p w:rsidRPr="00C9001B" w:rsidR="00A329C8" w:rsidP="00A329C8" w:rsidRDefault="00A329C8" w14:paraId="41709063" w14:textId="77777777">
      <w:pPr>
        <w:widowControl w:val="0"/>
        <w:overflowPunct w:val="0"/>
        <w:autoSpaceDE w:val="0"/>
        <w:autoSpaceDN w:val="0"/>
        <w:adjustRightInd w:val="0"/>
        <w:ind w:left="567"/>
        <w:textAlignment w:val="baseline"/>
        <w:rPr>
          <w:bCs/>
          <w:sz w:val="16"/>
          <w:szCs w:val="16"/>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C9001B" w:rsidR="00A329C8" w:rsidTr="00FE3058" w14:paraId="1072566D" w14:textId="77777777">
        <w:tc>
          <w:tcPr>
            <w:tcW w:w="1701" w:type="dxa"/>
          </w:tcPr>
          <w:p w:rsidRPr="00C9001B" w:rsidR="00A329C8" w:rsidRDefault="00C9001B" w14:paraId="165FF2EB" w14:textId="52632002">
            <w:pPr>
              <w:tabs>
                <w:tab w:val="center" w:pos="284"/>
              </w:tabs>
              <w:overflowPunct w:val="0"/>
              <w:autoSpaceDE w:val="0"/>
              <w:autoSpaceDN w:val="0"/>
              <w:adjustRightInd w:val="0"/>
              <w:ind w:left="266" w:hanging="266"/>
              <w:textAlignment w:val="baseline"/>
              <w:rPr>
                <w:b/>
              </w:rPr>
            </w:pPr>
            <w:r w:rsidRPr="00C9001B">
              <w:rPr>
                <w:b/>
              </w:rPr>
              <w:t>Relatore</w:t>
            </w:r>
          </w:p>
        </w:tc>
        <w:tc>
          <w:tcPr>
            <w:tcW w:w="6096" w:type="dxa"/>
          </w:tcPr>
          <w:p w:rsidRPr="00C9001B" w:rsidR="00A329C8" w:rsidRDefault="00A329C8" w14:paraId="79F6E9C0" w14:textId="43EDADDC">
            <w:pPr>
              <w:tabs>
                <w:tab w:val="center" w:pos="284"/>
              </w:tabs>
              <w:overflowPunct w:val="0"/>
              <w:autoSpaceDE w:val="0"/>
              <w:autoSpaceDN w:val="0"/>
              <w:adjustRightInd w:val="0"/>
              <w:ind w:left="266" w:hanging="266"/>
              <w:textAlignment w:val="baseline"/>
              <w:rPr>
                <w:bCs/>
              </w:rPr>
            </w:pPr>
            <w:r w:rsidRPr="00C9001B">
              <w:t>Teppo SÄKKINEN (Datori di lavoro - FI)</w:t>
            </w:r>
          </w:p>
        </w:tc>
      </w:tr>
      <w:tr w:rsidRPr="00C9001B" w:rsidR="00A329C8" w:rsidTr="00FE3058" w14:paraId="41523448" w14:textId="77777777">
        <w:tc>
          <w:tcPr>
            <w:tcW w:w="7797" w:type="dxa"/>
            <w:gridSpan w:val="2"/>
          </w:tcPr>
          <w:p w:rsidRPr="00C9001B"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C9001B" w:rsidR="00A329C8" w:rsidTr="00FE3058" w14:paraId="4CD963E6" w14:textId="77777777">
        <w:tc>
          <w:tcPr>
            <w:tcW w:w="1701" w:type="dxa"/>
            <w:vMerge w:val="restart"/>
          </w:tcPr>
          <w:p w:rsidRPr="00C9001B" w:rsidR="00A329C8" w:rsidRDefault="00A329C8" w14:paraId="09AC84B4" w14:textId="77777777">
            <w:pPr>
              <w:tabs>
                <w:tab w:val="center" w:pos="284"/>
              </w:tabs>
              <w:overflowPunct w:val="0"/>
              <w:autoSpaceDE w:val="0"/>
              <w:autoSpaceDN w:val="0"/>
              <w:adjustRightInd w:val="0"/>
              <w:ind w:left="266" w:hanging="266"/>
              <w:textAlignment w:val="baseline"/>
              <w:rPr>
                <w:b/>
              </w:rPr>
            </w:pPr>
            <w:r w:rsidRPr="00C9001B">
              <w:rPr>
                <w:b/>
              </w:rPr>
              <w:t>Riferimenti</w:t>
            </w:r>
          </w:p>
        </w:tc>
        <w:tc>
          <w:tcPr>
            <w:tcW w:w="6096" w:type="dxa"/>
          </w:tcPr>
          <w:p w:rsidRPr="00C9001B" w:rsidR="00A329C8" w:rsidRDefault="00A329C8" w14:paraId="3A6B9900" w14:textId="77777777">
            <w:pPr>
              <w:tabs>
                <w:tab w:val="center" w:pos="284"/>
              </w:tabs>
              <w:overflowPunct w:val="0"/>
              <w:autoSpaceDE w:val="0"/>
              <w:autoSpaceDN w:val="0"/>
              <w:adjustRightInd w:val="0"/>
              <w:ind w:left="266" w:hanging="266"/>
              <w:textAlignment w:val="baseline"/>
            </w:pPr>
            <w:r w:rsidRPr="00C9001B">
              <w:t>COM(2024) 63 final</w:t>
            </w:r>
          </w:p>
        </w:tc>
      </w:tr>
      <w:tr w:rsidRPr="00C9001B" w:rsidR="00A329C8" w:rsidTr="00FE3058" w14:paraId="42B3A032" w14:textId="77777777">
        <w:tc>
          <w:tcPr>
            <w:tcW w:w="1701" w:type="dxa"/>
            <w:vMerge/>
          </w:tcPr>
          <w:p w:rsidRPr="00C9001B"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C9001B" w:rsidR="00A329C8" w:rsidRDefault="00A329C8" w14:paraId="34A1EAA6" w14:textId="10339782">
            <w:pPr>
              <w:tabs>
                <w:tab w:val="center" w:pos="284"/>
              </w:tabs>
              <w:overflowPunct w:val="0"/>
              <w:autoSpaceDE w:val="0"/>
              <w:autoSpaceDN w:val="0"/>
              <w:adjustRightInd w:val="0"/>
              <w:ind w:left="266" w:hanging="266"/>
              <w:textAlignment w:val="baseline"/>
            </w:pPr>
            <w:r w:rsidRPr="00C9001B">
              <w:t>EESC-2024-00418-00-00-AC</w:t>
            </w:r>
          </w:p>
        </w:tc>
      </w:tr>
    </w:tbl>
    <w:p w:rsidRPr="00C9001B" w:rsidR="00A329C8" w:rsidP="00A329C8" w:rsidRDefault="00A329C8" w14:paraId="0015795B" w14:textId="77777777">
      <w:pPr>
        <w:keepNext/>
        <w:keepLines/>
        <w:tabs>
          <w:tab w:val="center" w:pos="284"/>
        </w:tabs>
        <w:overflowPunct w:val="0"/>
        <w:autoSpaceDE w:val="0"/>
        <w:autoSpaceDN w:val="0"/>
        <w:adjustRightInd w:val="0"/>
        <w:ind w:left="266" w:hanging="266"/>
        <w:textAlignment w:val="baseline"/>
        <w:rPr>
          <w:b/>
          <w:sz w:val="10"/>
          <w:szCs w:val="10"/>
        </w:rPr>
      </w:pPr>
    </w:p>
    <w:p w:rsidRPr="00C9001B"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sidRPr="00C9001B">
        <w:rPr>
          <w:b/>
        </w:rPr>
        <w:t>Punti principali</w:t>
      </w:r>
    </w:p>
    <w:p w:rsidRPr="00C9001B" w:rsidR="00A329C8" w:rsidP="00A329C8" w:rsidRDefault="00A329C8" w14:paraId="0EFAF4B2"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Pr="00C9001B" w:rsidR="00A329C8" w:rsidP="00A329C8" w:rsidRDefault="00A329C8" w14:paraId="4C8A0CE8" w14:textId="68F5BE87">
      <w:pPr>
        <w:overflowPunct w:val="0"/>
        <w:autoSpaceDE w:val="0"/>
        <w:autoSpaceDN w:val="0"/>
        <w:adjustRightInd w:val="0"/>
        <w:spacing w:line="240" w:lineRule="auto"/>
        <w:textAlignment w:val="baseline"/>
        <w:rPr>
          <w:bCs/>
          <w:iCs/>
        </w:rPr>
      </w:pPr>
      <w:r w:rsidRPr="00C9001B">
        <w:t>Il CESE:</w:t>
      </w:r>
    </w:p>
    <w:p w:rsidRPr="00C9001B" w:rsidR="00D12B39" w:rsidP="00A329C8" w:rsidRDefault="00D12B39" w14:paraId="369B2779" w14:textId="77777777">
      <w:pPr>
        <w:overflowPunct w:val="0"/>
        <w:autoSpaceDE w:val="0"/>
        <w:autoSpaceDN w:val="0"/>
        <w:adjustRightInd w:val="0"/>
        <w:spacing w:line="240" w:lineRule="auto"/>
        <w:textAlignment w:val="baseline"/>
        <w:rPr>
          <w:bCs/>
          <w:iCs/>
        </w:rPr>
      </w:pPr>
    </w:p>
    <w:p w:rsidRPr="00C9001B"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sidRPr="00C9001B">
        <w:rPr>
          <w:b/>
        </w:rPr>
        <w:t>sostiene il traguardo raccomandato del 90 % da raggiungere entro il 2040</w:t>
      </w:r>
      <w:r w:rsidRPr="00C9001B">
        <w:t xml:space="preserve">, in quanto è in linea con i dati scientifici relativi alla giusta quota di partecipazione dell'Europa all'obiettivo di 1,5 °C. Il CESE sottolinea che si tratta di un </w:t>
      </w:r>
      <w:r w:rsidRPr="00C9001B">
        <w:rPr>
          <w:b/>
        </w:rPr>
        <w:t>traguardo impegnativo</w:t>
      </w:r>
      <w:r w:rsidRPr="00C9001B">
        <w:t xml:space="preserve"> che può essere raggiunto solo se vengono attuate politiche di sostegno volte a garantire la </w:t>
      </w:r>
      <w:r w:rsidRPr="00C9001B">
        <w:rPr>
          <w:b/>
        </w:rPr>
        <w:t>competitività delle industrie europee</w:t>
      </w:r>
      <w:r w:rsidRPr="00C9001B">
        <w:t xml:space="preserve"> e una </w:t>
      </w:r>
      <w:r w:rsidRPr="00C9001B">
        <w:rPr>
          <w:b/>
        </w:rPr>
        <w:t>transizione giusta</w:t>
      </w:r>
      <w:r w:rsidRPr="00C9001B">
        <w:t>, nonché utilizzando tutte le tecnologie a zero e a basse emissioni di carbonio in maniera efficace sotto il profilo dei costi;</w:t>
      </w:r>
    </w:p>
    <w:p w:rsidRPr="00C9001B"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sidRPr="00C9001B">
        <w:rPr>
          <w:b/>
        </w:rPr>
        <w:t>pone l'accento sull'effettiva riduzione delle emissioni attraverso l'eliminazione graduale dei combustibili fossili</w:t>
      </w:r>
      <w:r w:rsidRPr="00C9001B">
        <w:t>. Sebbene gli assorbimenti di carbonio ricoprano un ruolo sempre più importante nel conseguimento degli obiettivi climatici dell'UE, fare eccessivo affidamento sui pozzi comporta incertezze e il rischio di rimanere bloccati nella dipendenza dai combustibili fossili o di perdere pozzi a causa di incendi boschivi, parassiti e altri pericoli;</w:t>
      </w:r>
    </w:p>
    <w:p w:rsidRPr="00C9001B"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rsidRPr="00C9001B">
        <w:t>invita la Commissione a effettuare una valutazione scientifica ed economica dell'</w:t>
      </w:r>
      <w:r w:rsidRPr="00C9001B">
        <w:rPr>
          <w:b/>
        </w:rPr>
        <w:t>equilibrio tra riduzioni e assorbimenti</w:t>
      </w:r>
      <w:r w:rsidRPr="00C9001B">
        <w:t>;</w:t>
      </w:r>
    </w:p>
    <w:p w:rsidRPr="00C9001B"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C9001B">
        <w:t>sottolinea l'importanza di concentrarsi sull'attuazione del pacchetto "Pronti per il 55 %" e di sostenere le imprese e le famiglie europee nell'adattamento al nuovo contesto normativo;</w:t>
      </w:r>
    </w:p>
    <w:p w:rsidRPr="00C9001B"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rsidRPr="00C9001B">
        <w:t xml:space="preserve">osserva che gli obiettivi climatici richiedono </w:t>
      </w:r>
      <w:r w:rsidRPr="00C9001B">
        <w:rPr>
          <w:b/>
        </w:rPr>
        <w:t>un livello di investimenti senza precedenti per realizzare la decarbonizzazione</w:t>
      </w:r>
      <w:r w:rsidRPr="00C9001B">
        <w:t>;</w:t>
      </w:r>
    </w:p>
    <w:p w:rsidRPr="00C9001B"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C9001B">
        <w:t>invita la Commissione a monitorare le esportazioni di prodotti e servizi europei nel settore delle tecnologie pulite e fissare obiettivi per il loro aumento;</w:t>
      </w:r>
    </w:p>
    <w:p w:rsidRPr="00C9001B"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rsidRPr="00C9001B">
        <w:t xml:space="preserve">chiede di far sì che </w:t>
      </w:r>
      <w:r w:rsidRPr="00C9001B">
        <w:rPr>
          <w:b/>
        </w:rPr>
        <w:t>entro il 2040</w:t>
      </w:r>
      <w:r w:rsidRPr="00C9001B">
        <w:t xml:space="preserve"> la </w:t>
      </w:r>
      <w:r w:rsidRPr="00C9001B">
        <w:rPr>
          <w:b/>
        </w:rPr>
        <w:t>produzione di energia elettrica</w:t>
      </w:r>
      <w:r w:rsidRPr="00C9001B">
        <w:t xml:space="preserve"> nell'UE diventi </w:t>
      </w:r>
      <w:r w:rsidRPr="00C9001B">
        <w:rPr>
          <w:b/>
        </w:rPr>
        <w:t>a emissioni zero</w:t>
      </w:r>
      <w:r w:rsidRPr="00C9001B">
        <w:t xml:space="preserve"> e che lo stesso avvenga poi, a breve distanza, per il riscaldamento e il raffrescamento. La disponibilità di energia pulita e a prezzi accessibili e di infrastrutture energetiche adatte al futuro costituisce il presupposto per la decarbonizzazione di altri settori, come l'industria, l'edilizia e i trasporti;</w:t>
      </w:r>
    </w:p>
    <w:p w:rsidRPr="00C9001B"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rsidRPr="00C9001B">
        <w:t xml:space="preserve">propone di fissare, attraverso uno stretto dialogo con gli agricoltori e le altre parti interessate, un </w:t>
      </w:r>
      <w:r w:rsidRPr="00C9001B">
        <w:rPr>
          <w:b/>
        </w:rPr>
        <w:t>obiettivo</w:t>
      </w:r>
      <w:r w:rsidRPr="00C9001B">
        <w:t xml:space="preserve"> indicativo </w:t>
      </w:r>
      <w:r w:rsidRPr="00C9001B">
        <w:rPr>
          <w:b/>
        </w:rPr>
        <w:t>di riduzione delle emissioni per il settore agroalimentare</w:t>
      </w:r>
      <w:r w:rsidRPr="00C9001B">
        <w:t xml:space="preserve"> basato su dati scientifici, che garantisca la sicurezza alimentare europea e tenga conto delle diverse condizioni naturali esistenti nell'UE;</w:t>
      </w:r>
    </w:p>
    <w:p w:rsidRPr="00C9001B"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rsidRPr="00C9001B">
        <w:t>sottolinea che è importante portare avanti un ampio dialogo con i portatori di interessi, comprese le parti sociali e la società civile, e assicurare la partecipazione dei cittadini alla definizione del traguardo per il 2040 e allo sviluppo delle politiche di accompagnamento;</w:t>
      </w:r>
    </w:p>
    <w:p w:rsidRPr="00C9001B" w:rsidR="00A329C8" w:rsidP="00DC0FAE"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rsidRPr="00C9001B">
        <w:lastRenderedPageBreak/>
        <w:t xml:space="preserve">evidenzia la possibilità di conseguire una maggiore riduzione delle emissioni e una minore domanda di materiali ed energia attraverso la </w:t>
      </w:r>
      <w:r w:rsidRPr="00C9001B">
        <w:rPr>
          <w:b/>
        </w:rPr>
        <w:t>responsabilizzazione dei consumatori affinché adottino stili di vita sostenibili</w:t>
      </w:r>
      <w:r w:rsidRPr="00C9001B">
        <w:t>;</w:t>
      </w:r>
    </w:p>
    <w:p w:rsidRPr="00C9001B" w:rsidR="00A329C8" w:rsidP="00DC0FAE" w:rsidRDefault="00A329C8" w14:paraId="33E21B11" w14:textId="77777777">
      <w:pPr>
        <w:pStyle w:val="ListParagraph"/>
        <w:numPr>
          <w:ilvl w:val="0"/>
          <w:numId w:val="21"/>
        </w:numPr>
        <w:overflowPunct w:val="0"/>
        <w:autoSpaceDE w:val="0"/>
        <w:autoSpaceDN w:val="0"/>
        <w:adjustRightInd w:val="0"/>
        <w:spacing w:line="240" w:lineRule="auto"/>
        <w:ind w:left="284" w:hanging="284"/>
        <w:textAlignment w:val="baseline"/>
        <w:outlineLvl w:val="1"/>
        <w:rPr>
          <w:szCs w:val="20"/>
        </w:rPr>
      </w:pPr>
      <w:r w:rsidRPr="00C9001B">
        <w:t xml:space="preserve">invita la Commissione ad </w:t>
      </w:r>
      <w:r w:rsidRPr="00C9001B">
        <w:rPr>
          <w:b/>
        </w:rPr>
        <w:t>ampliare la verifica della competitività</w:t>
      </w:r>
      <w:r w:rsidRPr="00C9001B">
        <w:t xml:space="preserve"> in relazione ad altre grandi economie, tenendo conto delle loro politiche in materia di clima, energia e industria e degli indicatori economici, e a presentare proposte su come rafforzare la competitività globale e la base industriale dell'Europa e salvaguardare il nostro modello di economia di mercato aperta caratterizzata da elevati standard ambientali e sociali.</w:t>
      </w:r>
    </w:p>
    <w:p w:rsidRPr="00C9001B" w:rsidR="0073462A" w:rsidP="00A329C8" w:rsidRDefault="0073462A" w14:paraId="0EED3D8E" w14:textId="77777777">
      <w:pPr>
        <w:overflowPunct w:val="0"/>
        <w:autoSpaceDE w:val="0"/>
        <w:autoSpaceDN w:val="0"/>
        <w:adjustRightInd w:val="0"/>
        <w:spacing w:line="240" w:lineRule="auto"/>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C9001B" w:rsidR="00A329C8" w:rsidTr="00FE3058" w14:paraId="2C0A0929" w14:textId="77777777">
        <w:tc>
          <w:tcPr>
            <w:tcW w:w="1634" w:type="dxa"/>
          </w:tcPr>
          <w:p w:rsidRPr="00C9001B"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sidRPr="00C9001B">
              <w:rPr>
                <w:b/>
                <w:i/>
              </w:rPr>
              <w:t>Contatto</w:t>
            </w:r>
          </w:p>
        </w:tc>
        <w:tc>
          <w:tcPr>
            <w:tcW w:w="5670" w:type="dxa"/>
          </w:tcPr>
          <w:p w:rsidRPr="00C9001B"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r w:rsidRPr="00C9001B">
              <w:rPr>
                <w:i/>
              </w:rPr>
              <w:t>Judith CARRERAS GARCIA</w:t>
            </w:r>
          </w:p>
        </w:tc>
      </w:tr>
      <w:tr w:rsidRPr="00C9001B" w:rsidR="00A329C8" w:rsidTr="00FE3058" w14:paraId="1A5C453D" w14:textId="77777777">
        <w:tc>
          <w:tcPr>
            <w:tcW w:w="1634" w:type="dxa"/>
          </w:tcPr>
          <w:p w:rsidRPr="00C9001B"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sidRPr="00C9001B">
              <w:rPr>
                <w:i/>
              </w:rPr>
              <w:t>Tel.</w:t>
            </w:r>
          </w:p>
        </w:tc>
        <w:tc>
          <w:tcPr>
            <w:tcW w:w="5670" w:type="dxa"/>
          </w:tcPr>
          <w:p w:rsidRPr="00C9001B"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sidRPr="00C9001B">
              <w:rPr>
                <w:i/>
              </w:rPr>
              <w:t>+32 25468421</w:t>
            </w:r>
          </w:p>
        </w:tc>
      </w:tr>
      <w:tr w:rsidRPr="00C9001B" w:rsidR="00A329C8" w:rsidTr="00FE3058" w14:paraId="4404176D" w14:textId="77777777">
        <w:tc>
          <w:tcPr>
            <w:tcW w:w="1634" w:type="dxa"/>
          </w:tcPr>
          <w:p w:rsidRPr="00C9001B" w:rsidR="00A329C8" w:rsidP="00DC0FAE" w:rsidRDefault="00C9001B" w14:paraId="60D8FC1E" w14:textId="1B1C0C65">
            <w:pPr>
              <w:overflowPunct w:val="0"/>
              <w:autoSpaceDE w:val="0"/>
              <w:autoSpaceDN w:val="0"/>
              <w:adjustRightInd w:val="0"/>
              <w:spacing w:line="240" w:lineRule="auto"/>
              <w:ind w:left="709" w:hanging="819"/>
              <w:textAlignment w:val="baseline"/>
              <w:rPr>
                <w:i/>
              </w:rPr>
            </w:pPr>
            <w:r w:rsidRPr="00C9001B">
              <w:rPr>
                <w:i/>
              </w:rPr>
              <w:t>E</w:t>
            </w:r>
            <w:r w:rsidRPr="00C9001B" w:rsidR="007607A9">
              <w:rPr>
                <w:i/>
              </w:rPr>
              <w:t>-mail</w:t>
            </w:r>
          </w:p>
        </w:tc>
        <w:tc>
          <w:tcPr>
            <w:tcW w:w="5670" w:type="dxa"/>
          </w:tcPr>
          <w:p w:rsidRPr="00C9001B" w:rsidR="00A329C8" w:rsidP="00DC0FAE" w:rsidRDefault="00E736C8"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26">
              <w:r w:rsidRPr="00C9001B" w:rsidR="00D63208">
                <w:rPr>
                  <w:i/>
                  <w:color w:val="0000FF"/>
                  <w:u w:val="single"/>
                </w:rPr>
                <w:t>Judit.CarrerasGarcia@eesc.europa.eu</w:t>
              </w:r>
            </w:hyperlink>
          </w:p>
        </w:tc>
      </w:tr>
    </w:tbl>
    <w:p w:rsidRPr="00C9001B" w:rsidR="00A329C8" w:rsidRDefault="00A329C8" w14:paraId="78CB8038" w14:textId="77777777">
      <w:pPr>
        <w:spacing w:after="160" w:line="259" w:lineRule="auto"/>
        <w:jc w:val="left"/>
        <w:rPr>
          <w:b/>
          <w:bCs/>
        </w:rPr>
      </w:pPr>
      <w:r w:rsidRPr="00C9001B">
        <w:br w:type="page"/>
      </w:r>
    </w:p>
    <w:p w:rsidRPr="00C9001B" w:rsidR="00A329C8" w:rsidP="00C26C81" w:rsidRDefault="00E736C8"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27">
        <w:r w:rsidRPr="00C9001B" w:rsidR="00CE4B73">
          <w:rPr>
            <w:b/>
            <w:i/>
            <w:color w:val="0000FF"/>
            <w:sz w:val="28"/>
            <w:u w:val="single"/>
          </w:rPr>
          <w:t>Revisione della normat</w:t>
        </w:r>
        <w:r w:rsidRPr="00C9001B" w:rsidR="00CE4B73">
          <w:rPr>
            <w:b/>
            <w:i/>
            <w:color w:val="0000FF"/>
            <w:sz w:val="28"/>
            <w:u w:val="single"/>
          </w:rPr>
          <w:t>i</w:t>
        </w:r>
        <w:r w:rsidRPr="00C9001B" w:rsidR="00CE4B73">
          <w:rPr>
            <w:b/>
            <w:i/>
            <w:color w:val="0000FF"/>
            <w:sz w:val="28"/>
            <w:u w:val="single"/>
          </w:rPr>
          <w:t>va sul benessere degli animali</w:t>
        </w:r>
      </w:hyperlink>
    </w:p>
    <w:p w:rsidRPr="00C9001B"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C9001B" w:rsidR="00A329C8" w:rsidTr="00FE3058" w14:paraId="5D60937D" w14:textId="77777777">
        <w:tc>
          <w:tcPr>
            <w:tcW w:w="2127" w:type="dxa"/>
          </w:tcPr>
          <w:p w:rsidRPr="00C9001B" w:rsidR="00A329C8" w:rsidP="00FE3058" w:rsidRDefault="00C9001B" w14:paraId="661CBE96" w14:textId="5A68DB91">
            <w:pPr>
              <w:tabs>
                <w:tab w:val="center" w:pos="284"/>
              </w:tabs>
              <w:overflowPunct w:val="0"/>
              <w:autoSpaceDE w:val="0"/>
              <w:autoSpaceDN w:val="0"/>
              <w:adjustRightInd w:val="0"/>
              <w:ind w:left="266" w:hanging="266"/>
              <w:textAlignment w:val="baseline"/>
              <w:rPr>
                <w:b/>
              </w:rPr>
            </w:pPr>
            <w:r w:rsidRPr="00C9001B">
              <w:rPr>
                <w:b/>
              </w:rPr>
              <w:t>Relatore</w:t>
            </w:r>
            <w:r w:rsidRPr="00C9001B" w:rsidR="00A329C8">
              <w:rPr>
                <w:b/>
              </w:rPr>
              <w:t xml:space="preserve"> </w:t>
            </w:r>
          </w:p>
        </w:tc>
        <w:tc>
          <w:tcPr>
            <w:tcW w:w="6804" w:type="dxa"/>
          </w:tcPr>
          <w:p w:rsidRPr="00C9001B" w:rsidR="00A329C8" w:rsidP="00FE3058" w:rsidRDefault="00A329C8" w14:paraId="77C861E5" w14:textId="47173DAB">
            <w:pPr>
              <w:tabs>
                <w:tab w:val="center" w:pos="284"/>
              </w:tabs>
              <w:overflowPunct w:val="0"/>
              <w:autoSpaceDE w:val="0"/>
              <w:autoSpaceDN w:val="0"/>
              <w:adjustRightInd w:val="0"/>
              <w:ind w:left="266" w:hanging="266"/>
              <w:textAlignment w:val="baseline"/>
            </w:pPr>
            <w:r w:rsidRPr="00C9001B">
              <w:t>Jaume BERNIS CASTELLS (Organizzazioni della società civile - ES)</w:t>
            </w:r>
          </w:p>
        </w:tc>
      </w:tr>
      <w:tr w:rsidRPr="00C9001B" w:rsidR="00A329C8" w:rsidTr="00FE3058" w14:paraId="70D6EB9C" w14:textId="77777777">
        <w:tc>
          <w:tcPr>
            <w:tcW w:w="8931" w:type="dxa"/>
            <w:gridSpan w:val="2"/>
          </w:tcPr>
          <w:p w:rsidRPr="00C9001B"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C9001B" w:rsidR="00A329C8" w:rsidTr="00FE3058" w14:paraId="67C57163" w14:textId="77777777">
        <w:tc>
          <w:tcPr>
            <w:tcW w:w="2127" w:type="dxa"/>
          </w:tcPr>
          <w:p w:rsidRPr="00C9001B"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sidRPr="00C9001B">
              <w:rPr>
                <w:b/>
              </w:rPr>
              <w:t>Riferimenti</w:t>
            </w:r>
          </w:p>
        </w:tc>
        <w:tc>
          <w:tcPr>
            <w:tcW w:w="6804" w:type="dxa"/>
          </w:tcPr>
          <w:p w:rsidRPr="00C9001B" w:rsidR="00D704BD" w:rsidP="00FE3058" w:rsidRDefault="00D704BD" w14:paraId="466B0FCB" w14:textId="138FF299">
            <w:pPr>
              <w:tabs>
                <w:tab w:val="center" w:pos="284"/>
              </w:tabs>
              <w:overflowPunct w:val="0"/>
              <w:autoSpaceDE w:val="0"/>
              <w:autoSpaceDN w:val="0"/>
              <w:adjustRightInd w:val="0"/>
              <w:ind w:left="266" w:hanging="266"/>
              <w:textAlignment w:val="baseline"/>
            </w:pPr>
            <w:r w:rsidRPr="00C9001B">
              <w:t>COM(2023) 770 final</w:t>
            </w:r>
          </w:p>
          <w:p w:rsidRPr="00C9001B" w:rsidR="00A329C8" w:rsidP="00FE3058" w:rsidRDefault="00A329C8" w14:paraId="7298B786" w14:textId="063BFD24">
            <w:pPr>
              <w:tabs>
                <w:tab w:val="center" w:pos="284"/>
              </w:tabs>
              <w:overflowPunct w:val="0"/>
              <w:autoSpaceDE w:val="0"/>
              <w:autoSpaceDN w:val="0"/>
              <w:adjustRightInd w:val="0"/>
              <w:ind w:left="266" w:hanging="266"/>
              <w:textAlignment w:val="baseline"/>
            </w:pPr>
            <w:r w:rsidRPr="00C9001B">
              <w:t>EESC-2023-05464-00-00-AC</w:t>
            </w:r>
          </w:p>
        </w:tc>
      </w:tr>
    </w:tbl>
    <w:p w:rsidRPr="00C9001B"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
          <w:szCs w:val="20"/>
        </w:rPr>
      </w:pPr>
    </w:p>
    <w:p w:rsidRPr="00C9001B"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sidRPr="00C9001B">
        <w:rPr>
          <w:b/>
        </w:rPr>
        <w:t>Punti principali</w:t>
      </w:r>
    </w:p>
    <w:p w:rsidRPr="00C9001B"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Pr="00C9001B"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rsidRPr="00C9001B">
        <w:t>Il CESE:</w:t>
      </w:r>
    </w:p>
    <w:p w:rsidRPr="00C9001B"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C9001B"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rsidRPr="00C9001B">
        <w:t>suggerisce alla Commissione di tenere conto delle conoscenze concrete di allevatori, trasportatori e veterinari, al fine di attuare e armonizzare le normative in materia;</w:t>
      </w:r>
    </w:p>
    <w:p w:rsidRPr="00C9001B"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rsidRPr="00C9001B">
        <w:t xml:space="preserve">ritiene che </w:t>
      </w:r>
      <w:r w:rsidRPr="00C9001B">
        <w:rPr>
          <w:b/>
        </w:rPr>
        <w:t>la normativa proposta, se è incapace di adattarsi</w:t>
      </w:r>
      <w:r w:rsidRPr="00C9001B">
        <w:t xml:space="preserve"> alle diverse realtà esistenti nei 27 Stati membri, </w:t>
      </w:r>
      <w:r w:rsidRPr="00C9001B">
        <w:rPr>
          <w:b/>
        </w:rPr>
        <w:t>aprirà la strada a situazioni asimmetriche</w:t>
      </w:r>
      <w:r w:rsidRPr="00C9001B">
        <w:t>;</w:t>
      </w:r>
    </w:p>
    <w:p w:rsidRPr="00C9001B"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rsidRPr="00C9001B">
        <w:t xml:space="preserve">esorta la Commissione a </w:t>
      </w:r>
      <w:r w:rsidRPr="00C9001B">
        <w:rPr>
          <w:b/>
        </w:rPr>
        <w:t>garantire che i</w:t>
      </w:r>
      <w:r w:rsidRPr="00C9001B">
        <w:t xml:space="preserve"> </w:t>
      </w:r>
      <w:r w:rsidRPr="00C9001B">
        <w:rPr>
          <w:b/>
        </w:rPr>
        <w:t>costi di attuazione</w:t>
      </w:r>
      <w:r w:rsidRPr="00C9001B">
        <w:t xml:space="preserve"> legati a questa normativa </w:t>
      </w:r>
      <w:r w:rsidRPr="00C9001B">
        <w:rPr>
          <w:b/>
        </w:rPr>
        <w:t>non ricadano sugli operatori</w:t>
      </w:r>
      <w:r w:rsidRPr="00C9001B">
        <w:t xml:space="preserve"> del settore;</w:t>
      </w:r>
    </w:p>
    <w:p w:rsidRPr="00C9001B"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rsidRPr="00C9001B">
        <w:t xml:space="preserve">mette in evidenza che </w:t>
      </w:r>
      <w:r w:rsidRPr="00C9001B">
        <w:rPr>
          <w:b/>
        </w:rPr>
        <w:t>le disposizioni</w:t>
      </w:r>
      <w:r w:rsidRPr="00C9001B">
        <w:t xml:space="preserve"> contenute nella proposta di regolamento considerata </w:t>
      </w:r>
      <w:r w:rsidRPr="00C9001B">
        <w:rPr>
          <w:b/>
        </w:rPr>
        <w:t>obbligano gli operatori</w:t>
      </w:r>
      <w:r w:rsidRPr="00C9001B">
        <w:t xml:space="preserve"> (e in particolare gli allevatori, i conducenti e i veterinari) </w:t>
      </w:r>
      <w:r w:rsidRPr="00C9001B">
        <w:rPr>
          <w:b/>
        </w:rPr>
        <w:t>a fare turni di notte</w:t>
      </w:r>
      <w:r w:rsidRPr="00C9001B">
        <w:t>;</w:t>
      </w:r>
    </w:p>
    <w:p w:rsidRPr="00C9001B"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rsidRPr="00C9001B">
        <w:t xml:space="preserve">invita la Commissione a </w:t>
      </w:r>
      <w:r w:rsidRPr="00C9001B">
        <w:rPr>
          <w:b/>
        </w:rPr>
        <w:t>considerare</w:t>
      </w:r>
      <w:r w:rsidRPr="00C9001B">
        <w:t xml:space="preserve"> </w:t>
      </w:r>
      <w:r w:rsidRPr="00C9001B">
        <w:rPr>
          <w:b/>
        </w:rPr>
        <w:t>l'impatto che la proposta in esame avrà sulle catene di approvvigionamento</w:t>
      </w:r>
      <w:r w:rsidRPr="00C9001B">
        <w:t xml:space="preserve"> che sono state create e sviluppate nel corso degli anni sulla base dei limiti orari vigenti;</w:t>
      </w:r>
    </w:p>
    <w:p w:rsidRPr="00C9001B"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rsidRPr="00C9001B">
        <w:t>mette in guardia contro le ripercussioni derivanti dal limitare il trasporto di animali diretti a impianti di macellazione a viaggi brevi di durata inferiore a nove ore;</w:t>
      </w:r>
    </w:p>
    <w:p w:rsidRPr="00C9001B"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rsidRPr="00C9001B">
        <w:t xml:space="preserve">ritiene che le nuove </w:t>
      </w:r>
      <w:r w:rsidRPr="00C9001B">
        <w:rPr>
          <w:b/>
        </w:rPr>
        <w:t>norme tecniche proposte</w:t>
      </w:r>
      <w:r w:rsidRPr="00C9001B">
        <w:t xml:space="preserve"> in materia di idoneità al trasporto di animali terrestri </w:t>
      </w:r>
      <w:r w:rsidRPr="00C9001B">
        <w:rPr>
          <w:b/>
        </w:rPr>
        <w:t>possano portare alla chiusura di molte aziende di allevamento</w:t>
      </w:r>
      <w:r w:rsidRPr="00C9001B">
        <w:t>;</w:t>
      </w:r>
    </w:p>
    <w:p w:rsidRPr="00C9001B"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rsidRPr="00C9001B">
        <w:t xml:space="preserve">ritiene che </w:t>
      </w:r>
      <w:r w:rsidRPr="00C9001B">
        <w:rPr>
          <w:b/>
        </w:rPr>
        <w:t>il divieto di trasportare animali giovani</w:t>
      </w:r>
      <w:r w:rsidRPr="00C9001B">
        <w:t xml:space="preserve"> (come vitelli, agnelli, capretti, suinetti e puledri non ancora svezzati) </w:t>
      </w:r>
      <w:r w:rsidRPr="00C9001B">
        <w:rPr>
          <w:b/>
        </w:rPr>
        <w:t>per lunghi tragitti stradali abbia un impatto significativo sull'importazione di razze animali</w:t>
      </w:r>
      <w:r w:rsidRPr="00C9001B">
        <w:t xml:space="preserve"> da altri Stati membri dell'Unione;</w:t>
      </w:r>
    </w:p>
    <w:p w:rsidRPr="00C9001B"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rsidRPr="00C9001B">
        <w:t xml:space="preserve">invita la Commissione a </w:t>
      </w:r>
      <w:r w:rsidRPr="00C9001B">
        <w:rPr>
          <w:b/>
        </w:rPr>
        <w:t>prendere in considerazione le peculiarità climatiche</w:t>
      </w:r>
      <w:r w:rsidRPr="00C9001B">
        <w:t xml:space="preserve"> di ciascuno Stato membro in rapporto alle disposizioni dell'articolo 31 della proposta legislativa considerata;</w:t>
      </w:r>
    </w:p>
    <w:p w:rsidRPr="00C9001B"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rsidRPr="00C9001B">
        <w:t xml:space="preserve">considera essenziale </w:t>
      </w:r>
      <w:r w:rsidRPr="00C9001B">
        <w:rPr>
          <w:b/>
        </w:rPr>
        <w:t>promuovere filiere corte</w:t>
      </w:r>
      <w:r w:rsidRPr="00C9001B">
        <w:t xml:space="preserve"> quale soluzione efficace per rendere meno necessario il trasporto su lunghi tragitti, grazie alla riduzione della distanza che separa i luoghi di allevamento, ingrasso, macellazione e consumo;</w:t>
      </w:r>
    </w:p>
    <w:p w:rsidRPr="00C9001B" w:rsidR="00A329C8" w:rsidP="00DC0FAE" w:rsidRDefault="00A329C8" w14:paraId="6A4C0035" w14:textId="77777777">
      <w:pPr>
        <w:numPr>
          <w:ilvl w:val="0"/>
          <w:numId w:val="22"/>
        </w:numPr>
        <w:overflowPunct w:val="0"/>
        <w:autoSpaceDE w:val="0"/>
        <w:autoSpaceDN w:val="0"/>
        <w:adjustRightInd w:val="0"/>
        <w:textAlignment w:val="baseline"/>
        <w:outlineLvl w:val="1"/>
      </w:pPr>
      <w:r w:rsidRPr="00C9001B">
        <w:t xml:space="preserve">appoggia le iniziative volte a sviluppare meccanismi sanitari, economici e giuridici tesi a </w:t>
      </w:r>
      <w:r w:rsidRPr="00C9001B">
        <w:rPr>
          <w:b/>
        </w:rPr>
        <w:t>preservare i macelli locali e</w:t>
      </w:r>
      <w:r w:rsidRPr="00C9001B">
        <w:t xml:space="preserve"> a </w:t>
      </w:r>
      <w:r w:rsidRPr="00C9001B">
        <w:rPr>
          <w:b/>
        </w:rPr>
        <w:t>incoraggiare la macellazione in azienda</w:t>
      </w:r>
      <w:r w:rsidRPr="00C9001B">
        <w:t>, ove opportuno in funzione della dimensione dell'azienda stessa e del contesto locale.</w:t>
      </w:r>
    </w:p>
    <w:p w:rsidRPr="00C9001B" w:rsidR="00A329C8" w:rsidP="00A329C8" w:rsidRDefault="00A329C8" w14:paraId="00B0D36A" w14:textId="77777777">
      <w:pPr>
        <w:widowControl w:val="0"/>
        <w:overflowPunct w:val="0"/>
        <w:autoSpaceDE w:val="0"/>
        <w:autoSpaceDN w:val="0"/>
        <w:adjustRightInd w:val="0"/>
        <w:textAlignment w:val="baseline"/>
        <w:rPr>
          <w:sz w:val="16"/>
          <w:szCs w:val="16"/>
        </w:rPr>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C9001B" w:rsidR="00A329C8" w:rsidTr="00FE3058" w14:paraId="6B2AC513" w14:textId="77777777">
        <w:tc>
          <w:tcPr>
            <w:tcW w:w="2127" w:type="dxa"/>
          </w:tcPr>
          <w:p w:rsidRPr="00C9001B" w:rsidR="00A329C8" w:rsidP="00FE3058" w:rsidRDefault="00C9001B" w14:paraId="1AAB3B0A" w14:textId="0AA1FAC7">
            <w:pPr>
              <w:overflowPunct w:val="0"/>
              <w:autoSpaceDE w:val="0"/>
              <w:autoSpaceDN w:val="0"/>
              <w:adjustRightInd w:val="0"/>
              <w:spacing w:line="240" w:lineRule="auto"/>
              <w:textAlignment w:val="baseline"/>
              <w:rPr>
                <w:i/>
              </w:rPr>
            </w:pPr>
            <w:r w:rsidRPr="00C9001B">
              <w:rPr>
                <w:b/>
                <w:i/>
              </w:rPr>
              <w:t>Contatto</w:t>
            </w:r>
            <w:r w:rsidRPr="00C9001B" w:rsidR="00A329C8">
              <w:rPr>
                <w:b/>
                <w:i/>
              </w:rPr>
              <w:t xml:space="preserve"> </w:t>
            </w:r>
          </w:p>
        </w:tc>
        <w:tc>
          <w:tcPr>
            <w:tcW w:w="4252" w:type="dxa"/>
          </w:tcPr>
          <w:p w:rsidRPr="00C9001B" w:rsidR="00A329C8" w:rsidP="00FE3058" w:rsidRDefault="00A329C8" w14:paraId="3604A495" w14:textId="158CA49A">
            <w:pPr>
              <w:overflowPunct w:val="0"/>
              <w:autoSpaceDE w:val="0"/>
              <w:autoSpaceDN w:val="0"/>
              <w:adjustRightInd w:val="0"/>
              <w:spacing w:line="240" w:lineRule="auto"/>
              <w:textAlignment w:val="baseline"/>
              <w:rPr>
                <w:i/>
              </w:rPr>
            </w:pPr>
            <w:r w:rsidRPr="00C9001B">
              <w:rPr>
                <w:i/>
              </w:rPr>
              <w:t>Arturo ÍÑIGUEZ</w:t>
            </w:r>
          </w:p>
        </w:tc>
      </w:tr>
      <w:tr w:rsidRPr="00C9001B" w:rsidR="00A329C8" w:rsidTr="00FE3058" w14:paraId="54FCBA8B" w14:textId="77777777">
        <w:tc>
          <w:tcPr>
            <w:tcW w:w="2127" w:type="dxa"/>
          </w:tcPr>
          <w:p w:rsidRPr="00C9001B" w:rsidR="00A329C8" w:rsidP="00FE3058" w:rsidRDefault="00A329C8" w14:paraId="62D7636F" w14:textId="77777777">
            <w:pPr>
              <w:overflowPunct w:val="0"/>
              <w:autoSpaceDE w:val="0"/>
              <w:autoSpaceDN w:val="0"/>
              <w:adjustRightInd w:val="0"/>
              <w:spacing w:line="240" w:lineRule="auto"/>
              <w:textAlignment w:val="baseline"/>
              <w:rPr>
                <w:i/>
              </w:rPr>
            </w:pPr>
            <w:r w:rsidRPr="00C9001B">
              <w:rPr>
                <w:i/>
              </w:rPr>
              <w:t>Tel.</w:t>
            </w:r>
          </w:p>
        </w:tc>
        <w:tc>
          <w:tcPr>
            <w:tcW w:w="4252" w:type="dxa"/>
          </w:tcPr>
          <w:p w:rsidRPr="00C9001B" w:rsidR="00A329C8" w:rsidP="00FE3058" w:rsidRDefault="00A329C8" w14:paraId="7C0E8B23" w14:textId="77777777">
            <w:pPr>
              <w:overflowPunct w:val="0"/>
              <w:autoSpaceDE w:val="0"/>
              <w:autoSpaceDN w:val="0"/>
              <w:adjustRightInd w:val="0"/>
              <w:spacing w:line="240" w:lineRule="auto"/>
              <w:textAlignment w:val="baseline"/>
              <w:rPr>
                <w:i/>
              </w:rPr>
            </w:pPr>
            <w:r w:rsidRPr="00C9001B">
              <w:rPr>
                <w:i/>
              </w:rPr>
              <w:t>+32 25468768</w:t>
            </w:r>
          </w:p>
        </w:tc>
      </w:tr>
      <w:tr w:rsidRPr="00C9001B" w:rsidR="00A329C8" w:rsidTr="00FE3058" w14:paraId="485043FF" w14:textId="77777777">
        <w:tc>
          <w:tcPr>
            <w:tcW w:w="2127" w:type="dxa"/>
          </w:tcPr>
          <w:p w:rsidRPr="00C9001B" w:rsidR="00A329C8" w:rsidP="00FE3058" w:rsidRDefault="00C9001B" w14:paraId="7E8D5802" w14:textId="0E5D7D7C">
            <w:pPr>
              <w:overflowPunct w:val="0"/>
              <w:autoSpaceDE w:val="0"/>
              <w:autoSpaceDN w:val="0"/>
              <w:adjustRightInd w:val="0"/>
              <w:spacing w:line="240" w:lineRule="auto"/>
              <w:textAlignment w:val="baseline"/>
              <w:rPr>
                <w:i/>
              </w:rPr>
            </w:pPr>
            <w:r w:rsidRPr="00C9001B">
              <w:rPr>
                <w:i/>
              </w:rPr>
              <w:t>E</w:t>
            </w:r>
            <w:r w:rsidRPr="00C9001B" w:rsidR="00D704BD">
              <w:rPr>
                <w:i/>
              </w:rPr>
              <w:t>-mail</w:t>
            </w:r>
          </w:p>
        </w:tc>
        <w:tc>
          <w:tcPr>
            <w:tcW w:w="4252" w:type="dxa"/>
          </w:tcPr>
          <w:p w:rsidRPr="00C9001B" w:rsidR="00A329C8" w:rsidP="00FE3058" w:rsidRDefault="00E736C8" w14:paraId="0F764C0D" w14:textId="77777777">
            <w:pPr>
              <w:overflowPunct w:val="0"/>
              <w:autoSpaceDE w:val="0"/>
              <w:autoSpaceDN w:val="0"/>
              <w:adjustRightInd w:val="0"/>
              <w:spacing w:line="240" w:lineRule="auto"/>
              <w:textAlignment w:val="baseline"/>
              <w:rPr>
                <w:i/>
                <w:iCs/>
              </w:rPr>
            </w:pPr>
            <w:hyperlink w:history="1" r:id="rId28">
              <w:r w:rsidRPr="00C9001B" w:rsidR="00CE4B73">
                <w:rPr>
                  <w:i/>
                  <w:color w:val="0000FF"/>
                  <w:u w:val="single"/>
                </w:rPr>
                <w:t>Arturo.Iniguez@eesc.europa.eu</w:t>
              </w:r>
            </w:hyperlink>
          </w:p>
        </w:tc>
      </w:tr>
    </w:tbl>
    <w:p w:rsidRPr="00C9001B" w:rsidR="00A329C8" w:rsidP="00A329C8" w:rsidRDefault="00A329C8" w14:paraId="4A4D6D18" w14:textId="77777777">
      <w:pPr>
        <w:spacing w:after="160" w:line="259" w:lineRule="auto"/>
        <w:jc w:val="left"/>
        <w:rPr>
          <w:b/>
          <w:bCs/>
        </w:rPr>
      </w:pPr>
    </w:p>
    <w:p w:rsidRPr="00C9001B" w:rsidR="00386C01" w:rsidRDefault="00386C01" w14:paraId="783F6CD8" w14:textId="765D6A7F">
      <w:pPr>
        <w:spacing w:after="160" w:line="259" w:lineRule="auto"/>
        <w:jc w:val="left"/>
        <w:rPr>
          <w:b/>
          <w:bCs/>
        </w:rPr>
      </w:pPr>
      <w:r w:rsidRPr="00C9001B">
        <w:br w:type="page"/>
      </w:r>
    </w:p>
    <w:p w:rsidRPr="00C9001B"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858731" w:id="5"/>
      <w:bookmarkEnd w:id="4"/>
      <w:r w:rsidRPr="00C9001B">
        <w:rPr>
          <w:b/>
        </w:rPr>
        <w:lastRenderedPageBreak/>
        <w:t>TRASPORTI, ENERGIA, INFRASTRUTTURE, SOCIETÀ DELL'INFORMAZIONE</w:t>
      </w:r>
      <w:bookmarkEnd w:id="5"/>
    </w:p>
    <w:p w:rsidRPr="00C9001B" w:rsidR="005C28F2" w:rsidP="00895853" w:rsidRDefault="005C28F2" w14:paraId="089CB383" w14:textId="77777777"/>
    <w:p w:rsidRPr="00C9001B" w:rsidR="00EC48BE" w:rsidP="00895853" w:rsidRDefault="00EC48BE" w14:paraId="2F9D2873" w14:textId="2ADBE64F"/>
    <w:p w:rsidRPr="00C9001B" w:rsidR="00EC48BE" w:rsidP="00C26C81" w:rsidRDefault="00E736C8"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29">
        <w:r w:rsidRPr="00C9001B" w:rsidR="00CE4B73">
          <w:rPr>
            <w:b/>
            <w:i/>
            <w:color w:val="0000FF"/>
            <w:sz w:val="28"/>
            <w:u w:val="single"/>
          </w:rPr>
          <w:t>Piano europeo di lotta contro il cancro - Fatt</w:t>
        </w:r>
        <w:r w:rsidRPr="00C9001B" w:rsidR="00CE4B73">
          <w:rPr>
            <w:b/>
            <w:i/>
            <w:color w:val="0000FF"/>
            <w:sz w:val="28"/>
            <w:u w:val="single"/>
          </w:rPr>
          <w:t>o</w:t>
        </w:r>
        <w:r w:rsidRPr="00C9001B" w:rsidR="00CE4B73">
          <w:rPr>
            <w:b/>
            <w:i/>
            <w:color w:val="0000FF"/>
            <w:sz w:val="28"/>
            <w:u w:val="single"/>
          </w:rPr>
          <w:t>ri di spinta per la sicurezza dell'approvvigionamento di radioisotopi per uso medico</w:t>
        </w:r>
      </w:hyperlink>
    </w:p>
    <w:p w:rsidRPr="00C9001B"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702"/>
      </w:tblGrid>
      <w:tr w:rsidRPr="00C9001B" w:rsidR="00EC48BE" w:rsidTr="00DC0FAE" w14:paraId="5D69D1D6" w14:textId="77777777">
        <w:tc>
          <w:tcPr>
            <w:tcW w:w="1276" w:type="pct"/>
          </w:tcPr>
          <w:p w:rsidRPr="00C9001B" w:rsidR="00EC48BE" w:rsidP="00EC48BE" w:rsidRDefault="00C9001B" w14:paraId="0629F8BB" w14:textId="2DB91809">
            <w:pPr>
              <w:tabs>
                <w:tab w:val="center" w:pos="284"/>
              </w:tabs>
              <w:overflowPunct w:val="0"/>
              <w:autoSpaceDE w:val="0"/>
              <w:autoSpaceDN w:val="0"/>
              <w:adjustRightInd w:val="0"/>
              <w:ind w:left="266" w:right="318" w:hanging="266"/>
              <w:textAlignment w:val="baseline"/>
              <w:rPr>
                <w:b/>
              </w:rPr>
            </w:pPr>
            <w:r w:rsidRPr="00C9001B">
              <w:rPr>
                <w:b/>
              </w:rPr>
              <w:t>Relatrice</w:t>
            </w:r>
          </w:p>
        </w:tc>
        <w:tc>
          <w:tcPr>
            <w:tcW w:w="3724" w:type="pct"/>
          </w:tcPr>
          <w:p w:rsidRPr="00C9001B" w:rsidR="00EC48BE" w:rsidP="00EC48BE" w:rsidRDefault="00EC48BE" w14:paraId="1337C413" w14:textId="6D802AE6">
            <w:pPr>
              <w:tabs>
                <w:tab w:val="center" w:pos="284"/>
              </w:tabs>
              <w:overflowPunct w:val="0"/>
              <w:autoSpaceDE w:val="0"/>
              <w:autoSpaceDN w:val="0"/>
              <w:adjustRightInd w:val="0"/>
              <w:ind w:left="266" w:hanging="266"/>
              <w:textAlignment w:val="baseline"/>
            </w:pPr>
            <w:r w:rsidRPr="00C9001B">
              <w:t>Alena MASTANTUONO (Datori di lavoro - CZ)</w:t>
            </w:r>
          </w:p>
        </w:tc>
      </w:tr>
      <w:tr w:rsidRPr="00C9001B" w:rsidR="00EC48BE" w:rsidTr="00DC0FAE" w14:paraId="63F1C4BD" w14:textId="77777777">
        <w:tc>
          <w:tcPr>
            <w:tcW w:w="1276" w:type="pct"/>
          </w:tcPr>
          <w:p w:rsidRPr="00C9001B" w:rsidR="00EC48BE" w:rsidP="00EC48BE" w:rsidRDefault="00C9001B" w14:paraId="3FA3DCC7" w14:textId="401E6F1E">
            <w:pPr>
              <w:tabs>
                <w:tab w:val="center" w:pos="284"/>
              </w:tabs>
              <w:overflowPunct w:val="0"/>
              <w:autoSpaceDE w:val="0"/>
              <w:autoSpaceDN w:val="0"/>
              <w:adjustRightInd w:val="0"/>
              <w:ind w:left="266" w:hanging="266"/>
              <w:textAlignment w:val="baseline"/>
              <w:rPr>
                <w:b/>
              </w:rPr>
            </w:pPr>
            <w:r w:rsidRPr="00C9001B">
              <w:rPr>
                <w:b/>
              </w:rPr>
              <w:t>Correlatore</w:t>
            </w:r>
          </w:p>
        </w:tc>
        <w:tc>
          <w:tcPr>
            <w:tcW w:w="3724" w:type="pct"/>
          </w:tcPr>
          <w:p w:rsidRPr="00C9001B" w:rsidR="00EC48BE" w:rsidP="00EC48BE" w:rsidRDefault="00EC48BE" w14:paraId="0C599690" w14:textId="764AA96C">
            <w:pPr>
              <w:tabs>
                <w:tab w:val="center" w:pos="284"/>
              </w:tabs>
              <w:overflowPunct w:val="0"/>
              <w:autoSpaceDE w:val="0"/>
              <w:autoSpaceDN w:val="0"/>
              <w:adjustRightInd w:val="0"/>
              <w:ind w:left="266" w:hanging="266"/>
              <w:textAlignment w:val="baseline"/>
            </w:pPr>
            <w:r w:rsidRPr="00C9001B">
              <w:t>Philippe CHARRY (Lavoratori - FR)</w:t>
            </w:r>
          </w:p>
        </w:tc>
      </w:tr>
      <w:tr w:rsidRPr="00C9001B" w:rsidR="00EC48BE" w:rsidTr="00DC0FAE" w14:paraId="498B3001" w14:textId="77777777">
        <w:tc>
          <w:tcPr>
            <w:tcW w:w="5000" w:type="pct"/>
            <w:gridSpan w:val="2"/>
          </w:tcPr>
          <w:p w:rsidRPr="00C9001B"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C9001B" w:rsidR="00EC48BE" w:rsidTr="00DC0FAE" w14:paraId="3524C066" w14:textId="77777777">
        <w:tc>
          <w:tcPr>
            <w:tcW w:w="1276" w:type="pct"/>
            <w:vMerge w:val="restart"/>
          </w:tcPr>
          <w:p w:rsidRPr="00C9001B"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sidRPr="00C9001B">
              <w:rPr>
                <w:b/>
              </w:rPr>
              <w:t>Riferimento</w:t>
            </w:r>
          </w:p>
        </w:tc>
        <w:tc>
          <w:tcPr>
            <w:tcW w:w="3724" w:type="pct"/>
          </w:tcPr>
          <w:p w:rsidRPr="00C9001B" w:rsidR="00802E2B" w:rsidP="00EC48BE" w:rsidRDefault="00802E2B" w14:paraId="3EA8129C" w14:textId="253FD17D">
            <w:pPr>
              <w:tabs>
                <w:tab w:val="center" w:pos="284"/>
              </w:tabs>
              <w:overflowPunct w:val="0"/>
              <w:autoSpaceDE w:val="0"/>
              <w:autoSpaceDN w:val="0"/>
              <w:adjustRightInd w:val="0"/>
              <w:ind w:left="266" w:hanging="266"/>
              <w:textAlignment w:val="baseline"/>
            </w:pPr>
            <w:r w:rsidRPr="00C9001B">
              <w:t>Parere d'iniziativa</w:t>
            </w:r>
          </w:p>
          <w:p w:rsidRPr="00C9001B" w:rsidR="00EC48BE" w:rsidP="00EC48BE" w:rsidRDefault="00EC48BE" w14:paraId="30BF4772" w14:textId="5A3BAEA7">
            <w:pPr>
              <w:tabs>
                <w:tab w:val="center" w:pos="284"/>
              </w:tabs>
              <w:overflowPunct w:val="0"/>
              <w:autoSpaceDE w:val="0"/>
              <w:autoSpaceDN w:val="0"/>
              <w:adjustRightInd w:val="0"/>
              <w:ind w:left="266" w:hanging="266"/>
              <w:textAlignment w:val="baseline"/>
            </w:pPr>
            <w:r w:rsidRPr="00C9001B">
              <w:t>EESC-2024-00265-00-00-AC</w:t>
            </w:r>
          </w:p>
        </w:tc>
      </w:tr>
      <w:tr w:rsidRPr="00C9001B" w:rsidR="00EC48BE" w:rsidTr="00DC0FAE" w14:paraId="2F6C577F" w14:textId="77777777">
        <w:tc>
          <w:tcPr>
            <w:tcW w:w="1276" w:type="pct"/>
            <w:vMerge/>
          </w:tcPr>
          <w:p w:rsidRPr="00C9001B"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C9001B"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C9001B"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C9001B"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sidRPr="00C9001B">
        <w:rPr>
          <w:b/>
        </w:rPr>
        <w:t>Punti principali</w:t>
      </w:r>
    </w:p>
    <w:p w:rsidRPr="00C9001B"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
        </w:rPr>
      </w:pPr>
    </w:p>
    <w:p w:rsidRPr="00C9001B" w:rsidR="00EC48BE" w:rsidP="00EC48BE" w:rsidRDefault="00EC48BE" w14:paraId="1FF2E76F" w14:textId="77777777">
      <w:pPr>
        <w:overflowPunct w:val="0"/>
        <w:autoSpaceDE w:val="0"/>
        <w:autoSpaceDN w:val="0"/>
        <w:adjustRightInd w:val="0"/>
        <w:textAlignment w:val="baseline"/>
        <w:rPr>
          <w:bCs/>
          <w:iCs/>
        </w:rPr>
      </w:pPr>
      <w:r w:rsidRPr="00C9001B">
        <w:t>Il CESE:</w:t>
      </w:r>
    </w:p>
    <w:p w:rsidRPr="00C9001B" w:rsidR="00EC48BE" w:rsidP="00EC48BE" w:rsidRDefault="00EC48BE" w14:paraId="44A55ABA" w14:textId="77777777">
      <w:pPr>
        <w:overflowPunct w:val="0"/>
        <w:autoSpaceDE w:val="0"/>
        <w:autoSpaceDN w:val="0"/>
        <w:adjustRightInd w:val="0"/>
        <w:textAlignment w:val="baseline"/>
        <w:rPr>
          <w:bCs/>
          <w:iCs/>
        </w:rPr>
      </w:pPr>
    </w:p>
    <w:p w:rsidRPr="00C9001B"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rsidRPr="00C9001B">
        <w:t>sottolinea che la medicina nucleare salva milioni di vite umane e che in essa sono riposte immense speranze nel quadro della lotta contro il cancro; fa presente che occorre rispondere alle esigenze dei pazienti oncologici in Europa e garantire che tutti abbiano pari accesso alle terapie oncologiche;</w:t>
      </w:r>
    </w:p>
    <w:p w:rsidRPr="00C9001B"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rsidRPr="00C9001B">
        <w:t>ogni anno in Europa sono effettuati 10 milioni di interventi diagnostici e terapeutici basati sui radiofarmaci. La priorità dovrebbe andare alla somministrazione di terapie con radionuclidi mirate, poiché sono precise e spesso meno dannose di altri tipi di trattamenti;</w:t>
      </w:r>
    </w:p>
    <w:p w:rsidRPr="00C9001B"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rsidRPr="00C9001B">
        <w:t>chiede di introdurre incentivi alla produzione che assicurino una maggiore autonomia strategica in materia di approvvigionamento di radioisotopi. L'Europa è leader mondiale nella fornitura di radioisotopi per uso medico, ma presenta una dipendenza critica da paesi terzi per quanto riguarda determinate materie prime di base e processi di trasformazione specifici; invita pertanto l'Alleanza per i medicinali critici a monitorare attentamente l'approvvigionamento di radioisotopi in Europa e a sostenere il rafforzamento della competitività dell'industria europea in questo settore;</w:t>
      </w:r>
    </w:p>
    <w:p w:rsidRPr="00C9001B"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rsidRPr="00C9001B">
        <w:t>chiede che si presti la dovuta attenzione a garantire il rispetto di misure per la sicurezza e l'incolumità degli addetti lungo l'intera catena di approvvigionamento e che vengano realizzati con urgenza investimenti nella programmazione e nell'istruzione e formazione, oltre che nella mobilità, del personale necessario in questo settore.</w:t>
      </w:r>
    </w:p>
    <w:p w:rsidRPr="00C9001B" w:rsidR="00EC48BE" w:rsidP="00EC48BE" w:rsidRDefault="00EC48BE" w14:paraId="387BEC6B" w14:textId="77777777">
      <w:pPr>
        <w:widowControl w:val="0"/>
        <w:overflowPunct w:val="0"/>
        <w:autoSpaceDE w:val="0"/>
        <w:autoSpaceDN w:val="0"/>
        <w:adjustRightInd w:val="0"/>
        <w:ind w:left="709"/>
        <w:textAlignment w:val="baseline"/>
      </w:pPr>
    </w:p>
    <w:p w:rsidRPr="00C9001B"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9001B" w:rsidR="00EC48BE" w:rsidTr="00FE3058" w14:paraId="4FEA0D44" w14:textId="77777777">
        <w:tc>
          <w:tcPr>
            <w:tcW w:w="1556" w:type="pct"/>
          </w:tcPr>
          <w:p w:rsidRPr="00C9001B" w:rsidR="00EC48BE" w:rsidP="00EC48BE" w:rsidRDefault="00EC48BE" w14:paraId="292D789E" w14:textId="77777777">
            <w:pPr>
              <w:overflowPunct w:val="0"/>
              <w:autoSpaceDE w:val="0"/>
              <w:autoSpaceDN w:val="0"/>
              <w:adjustRightInd w:val="0"/>
              <w:spacing w:line="240" w:lineRule="auto"/>
              <w:textAlignment w:val="baseline"/>
              <w:rPr>
                <w:i/>
              </w:rPr>
            </w:pPr>
            <w:r w:rsidRPr="00C9001B">
              <w:rPr>
                <w:b/>
                <w:i/>
              </w:rPr>
              <w:t>Contatto</w:t>
            </w:r>
          </w:p>
        </w:tc>
        <w:tc>
          <w:tcPr>
            <w:tcW w:w="3444" w:type="pct"/>
          </w:tcPr>
          <w:p w:rsidRPr="00C9001B" w:rsidR="00EC48BE" w:rsidP="00EC48BE" w:rsidRDefault="00EC48BE" w14:paraId="50791366" w14:textId="2071A688">
            <w:pPr>
              <w:overflowPunct w:val="0"/>
              <w:autoSpaceDE w:val="0"/>
              <w:autoSpaceDN w:val="0"/>
              <w:adjustRightInd w:val="0"/>
              <w:spacing w:line="240" w:lineRule="auto"/>
              <w:textAlignment w:val="baseline"/>
              <w:rPr>
                <w:i/>
              </w:rPr>
            </w:pPr>
            <w:r w:rsidRPr="00C9001B">
              <w:rPr>
                <w:i/>
              </w:rPr>
              <w:t>Maja RADMAN</w:t>
            </w:r>
          </w:p>
        </w:tc>
      </w:tr>
      <w:tr w:rsidRPr="00C9001B" w:rsidR="00EC48BE" w:rsidTr="00FE3058" w14:paraId="35A36E33" w14:textId="77777777">
        <w:tc>
          <w:tcPr>
            <w:tcW w:w="1556" w:type="pct"/>
          </w:tcPr>
          <w:p w:rsidRPr="00C9001B" w:rsidR="00EC48BE" w:rsidP="00EC48BE" w:rsidRDefault="00EC48BE" w14:paraId="610BC20B" w14:textId="77777777">
            <w:pPr>
              <w:overflowPunct w:val="0"/>
              <w:autoSpaceDE w:val="0"/>
              <w:autoSpaceDN w:val="0"/>
              <w:adjustRightInd w:val="0"/>
              <w:spacing w:line="240" w:lineRule="auto"/>
              <w:textAlignment w:val="baseline"/>
              <w:rPr>
                <w:i/>
              </w:rPr>
            </w:pPr>
            <w:r w:rsidRPr="00C9001B">
              <w:rPr>
                <w:i/>
              </w:rPr>
              <w:t>Tel.</w:t>
            </w:r>
          </w:p>
        </w:tc>
        <w:tc>
          <w:tcPr>
            <w:tcW w:w="3444" w:type="pct"/>
          </w:tcPr>
          <w:p w:rsidRPr="00C9001B" w:rsidR="00EC48BE" w:rsidP="00EC48BE" w:rsidRDefault="00EC48BE" w14:paraId="1B1FFFC2" w14:textId="77777777">
            <w:pPr>
              <w:overflowPunct w:val="0"/>
              <w:autoSpaceDE w:val="0"/>
              <w:autoSpaceDN w:val="0"/>
              <w:adjustRightInd w:val="0"/>
              <w:spacing w:line="240" w:lineRule="auto"/>
              <w:textAlignment w:val="baseline"/>
              <w:rPr>
                <w:i/>
              </w:rPr>
            </w:pPr>
            <w:r w:rsidRPr="00C9001B">
              <w:rPr>
                <w:i/>
              </w:rPr>
              <w:t>+32 25469051</w:t>
            </w:r>
          </w:p>
        </w:tc>
      </w:tr>
      <w:tr w:rsidRPr="00C9001B" w:rsidR="00EC48BE" w:rsidTr="00FE3058" w14:paraId="6456D68F" w14:textId="77777777">
        <w:tc>
          <w:tcPr>
            <w:tcW w:w="1556" w:type="pct"/>
          </w:tcPr>
          <w:p w:rsidRPr="00C9001B" w:rsidR="00EC48BE" w:rsidP="00EC48BE" w:rsidRDefault="00C9001B" w14:paraId="59C76142" w14:textId="0BC84619">
            <w:pPr>
              <w:overflowPunct w:val="0"/>
              <w:autoSpaceDE w:val="0"/>
              <w:autoSpaceDN w:val="0"/>
              <w:adjustRightInd w:val="0"/>
              <w:spacing w:line="240" w:lineRule="auto"/>
              <w:textAlignment w:val="baseline"/>
              <w:rPr>
                <w:i/>
              </w:rPr>
            </w:pPr>
            <w:r w:rsidRPr="00C9001B">
              <w:rPr>
                <w:i/>
              </w:rPr>
              <w:t>E</w:t>
            </w:r>
            <w:r w:rsidRPr="00C9001B" w:rsidR="00EC48BE">
              <w:rPr>
                <w:i/>
              </w:rPr>
              <w:t>-mail</w:t>
            </w:r>
          </w:p>
        </w:tc>
        <w:tc>
          <w:tcPr>
            <w:tcW w:w="3444" w:type="pct"/>
          </w:tcPr>
          <w:p w:rsidRPr="00C9001B" w:rsidR="00EC48BE" w:rsidP="00EC48BE" w:rsidRDefault="00E736C8" w14:paraId="50EB0CCC" w14:textId="77777777">
            <w:pPr>
              <w:overflowPunct w:val="0"/>
              <w:autoSpaceDE w:val="0"/>
              <w:autoSpaceDN w:val="0"/>
              <w:adjustRightInd w:val="0"/>
              <w:spacing w:line="240" w:lineRule="auto"/>
              <w:textAlignment w:val="baseline"/>
              <w:rPr>
                <w:i/>
              </w:rPr>
            </w:pPr>
            <w:hyperlink w:history="1" r:id="rId30">
              <w:r w:rsidRPr="00C9001B" w:rsidR="00CE4B73">
                <w:rPr>
                  <w:i/>
                  <w:color w:val="0000FF"/>
                  <w:u w:val="single"/>
                </w:rPr>
                <w:t>Maja.Radman@eesc.europa.eu</w:t>
              </w:r>
            </w:hyperlink>
            <w:r w:rsidRPr="00C9001B" w:rsidR="00CE4B73">
              <w:rPr>
                <w:i/>
              </w:rPr>
              <w:t xml:space="preserve"> </w:t>
            </w:r>
          </w:p>
        </w:tc>
      </w:tr>
    </w:tbl>
    <w:p w:rsidRPr="00C9001B" w:rsidR="00516A59" w:rsidRDefault="00516A59" w14:paraId="7DD6A790" w14:textId="77777777">
      <w:pPr>
        <w:spacing w:after="160" w:line="259" w:lineRule="auto"/>
        <w:jc w:val="left"/>
      </w:pPr>
    </w:p>
    <w:p w:rsidRPr="00C9001B" w:rsidR="00516A59" w:rsidRDefault="00516A59" w14:paraId="77C764C5" w14:textId="77777777">
      <w:pPr>
        <w:spacing w:after="160" w:line="259" w:lineRule="auto"/>
        <w:jc w:val="left"/>
      </w:pPr>
      <w:r w:rsidRPr="00C9001B">
        <w:br w:type="page"/>
      </w:r>
    </w:p>
    <w:p w:rsidRPr="00C9001B"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858732" w:id="7"/>
      <w:bookmarkEnd w:id="6"/>
      <w:r w:rsidRPr="00C9001B">
        <w:rPr>
          <w:b/>
        </w:rPr>
        <w:lastRenderedPageBreak/>
        <w:t>COMMISSIONE CONSULTIVA PER LE TRASFORMAZIONI INDUSTRIALI</w:t>
      </w:r>
      <w:bookmarkEnd w:id="7"/>
    </w:p>
    <w:p w:rsidRPr="00C9001B" w:rsidR="004351D4" w:rsidP="00895853" w:rsidRDefault="004351D4" w14:paraId="0AE04AB9" w14:textId="7E9F637B">
      <w:pPr>
        <w:overflowPunct w:val="0"/>
        <w:autoSpaceDE w:val="0"/>
        <w:autoSpaceDN w:val="0"/>
        <w:adjustRightInd w:val="0"/>
        <w:jc w:val="left"/>
        <w:textAlignment w:val="baseline"/>
        <w:rPr>
          <w:lang w:val="nl-BE"/>
        </w:rPr>
      </w:pPr>
    </w:p>
    <w:p w:rsidRPr="00C9001B" w:rsidR="005C28F2" w:rsidP="00895853" w:rsidRDefault="005C28F2" w14:paraId="43B85D0B" w14:textId="77777777">
      <w:pPr>
        <w:overflowPunct w:val="0"/>
        <w:autoSpaceDE w:val="0"/>
        <w:autoSpaceDN w:val="0"/>
        <w:adjustRightInd w:val="0"/>
        <w:jc w:val="left"/>
        <w:textAlignment w:val="baseline"/>
        <w:rPr>
          <w:lang w:val="nl-BE"/>
        </w:rPr>
      </w:pPr>
    </w:p>
    <w:p w:rsidRPr="00C9001B" w:rsidR="00B612CA" w:rsidP="00C26C81" w:rsidRDefault="00E736C8"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1">
        <w:r w:rsidRPr="00C9001B" w:rsidR="00CE4B73">
          <w:rPr>
            <w:b/>
            <w:i/>
            <w:color w:val="0000FF"/>
            <w:sz w:val="28"/>
            <w:u w:val="single"/>
          </w:rPr>
          <w:t>Programma per l'industria europea</w:t>
        </w:r>
        <w:r w:rsidRPr="00C9001B" w:rsidR="00CE4B73">
          <w:rPr>
            <w:b/>
            <w:i/>
            <w:color w:val="0000FF"/>
            <w:sz w:val="28"/>
            <w:u w:val="single"/>
          </w:rPr>
          <w:t xml:space="preserve"> </w:t>
        </w:r>
        <w:r w:rsidRPr="00C9001B" w:rsidR="00CE4B73">
          <w:rPr>
            <w:b/>
            <w:i/>
            <w:color w:val="0000FF"/>
            <w:sz w:val="28"/>
            <w:u w:val="single"/>
          </w:rPr>
          <w:t>della difesa</w:t>
        </w:r>
      </w:hyperlink>
    </w:p>
    <w:p w:rsidRPr="00C9001B"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812"/>
      </w:tblGrid>
      <w:tr w:rsidRPr="00C9001B" w:rsidR="00B612CA" w:rsidTr="00FE3058" w14:paraId="18CAAF03" w14:textId="77777777">
        <w:tc>
          <w:tcPr>
            <w:tcW w:w="1258" w:type="pct"/>
          </w:tcPr>
          <w:p w:rsidRPr="00C9001B" w:rsidR="00B612CA" w:rsidP="00DC0FAE" w:rsidRDefault="00C9001B" w14:paraId="7DF9E2A6" w14:textId="4FDFE4A9">
            <w:pPr>
              <w:tabs>
                <w:tab w:val="center" w:pos="284"/>
              </w:tabs>
              <w:spacing w:line="259" w:lineRule="auto"/>
              <w:ind w:left="266" w:hanging="266"/>
              <w:jc w:val="left"/>
              <w:rPr>
                <w:rFonts w:eastAsiaTheme="minorHAnsi"/>
                <w:b/>
                <w:szCs w:val="24"/>
              </w:rPr>
            </w:pPr>
            <w:r w:rsidRPr="00C9001B">
              <w:rPr>
                <w:b/>
              </w:rPr>
              <w:t>Relatore</w:t>
            </w:r>
          </w:p>
        </w:tc>
        <w:tc>
          <w:tcPr>
            <w:tcW w:w="3742" w:type="pct"/>
          </w:tcPr>
          <w:p w:rsidRPr="00C9001B" w:rsidR="00B612CA" w:rsidP="00DC0FAE" w:rsidRDefault="00B612CA" w14:paraId="7678F137" w14:textId="77777777">
            <w:pPr>
              <w:tabs>
                <w:tab w:val="center" w:pos="33"/>
              </w:tabs>
              <w:spacing w:line="259" w:lineRule="auto"/>
              <w:ind w:left="33" w:hanging="33"/>
              <w:jc w:val="left"/>
              <w:rPr>
                <w:rFonts w:eastAsiaTheme="minorHAnsi"/>
                <w:szCs w:val="24"/>
              </w:rPr>
            </w:pPr>
            <w:r w:rsidRPr="00C9001B">
              <w:t>Tomasz Andrzej WRÓBLEWSKI (Datori di lavoro - PL)</w:t>
            </w:r>
          </w:p>
        </w:tc>
      </w:tr>
      <w:tr w:rsidRPr="00C9001B" w:rsidR="00B612CA" w:rsidTr="00FE3058" w14:paraId="02CD892C" w14:textId="77777777">
        <w:tc>
          <w:tcPr>
            <w:tcW w:w="1258" w:type="pct"/>
          </w:tcPr>
          <w:p w:rsidRPr="00C9001B" w:rsidR="00B612CA" w:rsidP="00DC0FAE" w:rsidRDefault="00C9001B" w14:paraId="32A8CC73" w14:textId="60DFCE79">
            <w:pPr>
              <w:tabs>
                <w:tab w:val="center" w:pos="284"/>
              </w:tabs>
              <w:spacing w:line="259" w:lineRule="auto"/>
              <w:ind w:left="266" w:hanging="266"/>
              <w:jc w:val="left"/>
              <w:rPr>
                <w:rFonts w:eastAsiaTheme="minorHAnsi"/>
                <w:b/>
                <w:szCs w:val="24"/>
              </w:rPr>
            </w:pPr>
            <w:r w:rsidRPr="00C9001B">
              <w:rPr>
                <w:b/>
              </w:rPr>
              <w:t>Correlatore</w:t>
            </w:r>
          </w:p>
        </w:tc>
        <w:tc>
          <w:tcPr>
            <w:tcW w:w="3742" w:type="pct"/>
          </w:tcPr>
          <w:p w:rsidRPr="00C9001B" w:rsidR="00B612CA" w:rsidP="00DC0FAE" w:rsidRDefault="00B612CA" w14:paraId="10B820C3" w14:textId="4AB00E12">
            <w:pPr>
              <w:tabs>
                <w:tab w:val="center" w:pos="284"/>
              </w:tabs>
              <w:spacing w:line="259" w:lineRule="auto"/>
              <w:ind w:left="266" w:hanging="266"/>
              <w:jc w:val="left"/>
              <w:rPr>
                <w:rFonts w:eastAsiaTheme="minorHAnsi"/>
                <w:szCs w:val="24"/>
              </w:rPr>
            </w:pPr>
            <w:r w:rsidRPr="00C9001B">
              <w:t>Franck UHLIG (cat. 2 - FR)</w:t>
            </w:r>
          </w:p>
        </w:tc>
      </w:tr>
      <w:tr w:rsidRPr="00C9001B" w:rsidR="00B612CA" w:rsidTr="00FE3058" w14:paraId="77B12610" w14:textId="77777777">
        <w:tc>
          <w:tcPr>
            <w:tcW w:w="5000" w:type="pct"/>
            <w:gridSpan w:val="2"/>
          </w:tcPr>
          <w:p w:rsidRPr="00C9001B"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C9001B" w:rsidR="00B612CA" w:rsidTr="00FE3058" w14:paraId="366D3A3A" w14:textId="77777777">
        <w:tc>
          <w:tcPr>
            <w:tcW w:w="1258" w:type="pct"/>
            <w:vMerge w:val="restart"/>
          </w:tcPr>
          <w:p w:rsidRPr="00C9001B" w:rsidR="00B612CA" w:rsidP="00DC0FAE" w:rsidRDefault="00B612CA" w14:paraId="620E2FAB" w14:textId="77777777">
            <w:pPr>
              <w:tabs>
                <w:tab w:val="center" w:pos="284"/>
              </w:tabs>
              <w:spacing w:line="259" w:lineRule="auto"/>
              <w:ind w:left="266" w:hanging="266"/>
              <w:jc w:val="left"/>
              <w:rPr>
                <w:rFonts w:eastAsiaTheme="minorHAnsi"/>
                <w:b/>
                <w:szCs w:val="24"/>
              </w:rPr>
            </w:pPr>
            <w:r w:rsidRPr="00C9001B">
              <w:rPr>
                <w:b/>
              </w:rPr>
              <w:t>Riferimenti</w:t>
            </w:r>
          </w:p>
        </w:tc>
        <w:tc>
          <w:tcPr>
            <w:tcW w:w="3742" w:type="pct"/>
          </w:tcPr>
          <w:p w:rsidRPr="00C9001B" w:rsidR="00B612CA" w:rsidP="00DC0FAE" w:rsidRDefault="00B612CA" w14:paraId="554796B3" w14:textId="77777777">
            <w:pPr>
              <w:tabs>
                <w:tab w:val="center" w:pos="284"/>
              </w:tabs>
              <w:spacing w:line="259" w:lineRule="auto"/>
              <w:ind w:left="266" w:hanging="266"/>
              <w:jc w:val="left"/>
              <w:rPr>
                <w:rFonts w:eastAsiaTheme="minorHAnsi"/>
                <w:szCs w:val="24"/>
              </w:rPr>
            </w:pPr>
            <w:r w:rsidRPr="00C9001B">
              <w:t>COM(2024) 150 final</w:t>
            </w:r>
          </w:p>
        </w:tc>
      </w:tr>
      <w:tr w:rsidRPr="00C9001B" w:rsidR="00B612CA" w:rsidTr="00FE3058" w14:paraId="10E2BB82" w14:textId="77777777">
        <w:tc>
          <w:tcPr>
            <w:tcW w:w="1258" w:type="pct"/>
            <w:vMerge/>
          </w:tcPr>
          <w:p w:rsidRPr="00C9001B"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C9001B" w:rsidR="00B612CA" w:rsidP="00DC0FAE" w:rsidRDefault="00B612CA" w14:paraId="4A35E6C4" w14:textId="77777777">
            <w:pPr>
              <w:tabs>
                <w:tab w:val="center" w:pos="284"/>
              </w:tabs>
              <w:spacing w:line="259" w:lineRule="auto"/>
              <w:ind w:left="266" w:hanging="266"/>
              <w:jc w:val="left"/>
              <w:rPr>
                <w:rFonts w:eastAsiaTheme="minorHAnsi"/>
                <w:szCs w:val="24"/>
              </w:rPr>
            </w:pPr>
            <w:r w:rsidRPr="00C9001B">
              <w:t>EESC-2024-00813-00-00-AC</w:t>
            </w:r>
          </w:p>
        </w:tc>
      </w:tr>
    </w:tbl>
    <w:p w:rsidRPr="00C9001B" w:rsidR="00B612CA" w:rsidP="00B612CA" w:rsidRDefault="00B612CA" w14:paraId="65401695" w14:textId="77777777">
      <w:pPr>
        <w:widowControl w:val="0"/>
        <w:tabs>
          <w:tab w:val="center" w:pos="284"/>
        </w:tabs>
        <w:overflowPunct w:val="0"/>
        <w:autoSpaceDE w:val="0"/>
        <w:autoSpaceDN w:val="0"/>
        <w:adjustRightInd w:val="0"/>
        <w:textAlignment w:val="baseline"/>
        <w:rPr>
          <w:rFonts w:eastAsiaTheme="minorHAnsi"/>
          <w:b/>
          <w:lang w:val="en-US"/>
        </w:rPr>
      </w:pPr>
    </w:p>
    <w:p w:rsidRPr="00C9001B" w:rsidR="00B612CA" w:rsidP="00B612CA" w:rsidRDefault="00B612CA" w14:paraId="66AF4059" w14:textId="103542FE">
      <w:pPr>
        <w:keepNext/>
        <w:keepLines/>
        <w:spacing w:after="160" w:line="259" w:lineRule="auto"/>
        <w:ind w:left="142" w:hanging="142"/>
        <w:jc w:val="left"/>
        <w:rPr>
          <w:rFonts w:eastAsiaTheme="minorHAnsi"/>
          <w:b/>
        </w:rPr>
      </w:pPr>
      <w:r w:rsidRPr="00C9001B">
        <w:rPr>
          <w:b/>
        </w:rPr>
        <w:t>Punti principali</w:t>
      </w:r>
    </w:p>
    <w:p w:rsidRPr="00C9001B" w:rsidR="007724A0" w:rsidP="00B612CA" w:rsidRDefault="007724A0" w14:paraId="6657CF81" w14:textId="77777777">
      <w:pPr>
        <w:keepNext/>
        <w:keepLines/>
        <w:spacing w:after="160" w:line="259" w:lineRule="auto"/>
        <w:ind w:left="142" w:hanging="142"/>
        <w:jc w:val="left"/>
        <w:rPr>
          <w:rFonts w:eastAsiaTheme="minorHAnsi"/>
          <w:b/>
          <w:lang w:val="en-US"/>
        </w:rPr>
      </w:pPr>
    </w:p>
    <w:p w:rsidRPr="00C9001B" w:rsidR="00B612CA" w:rsidP="00DC0FAE" w:rsidRDefault="00B612CA" w14:paraId="6C447796" w14:textId="188E9CB3">
      <w:pPr>
        <w:spacing w:after="160" w:line="259" w:lineRule="auto"/>
        <w:ind w:left="142" w:hanging="142"/>
        <w:jc w:val="left"/>
        <w:rPr>
          <w:rFonts w:eastAsiaTheme="minorHAnsi"/>
        </w:rPr>
      </w:pPr>
      <w:r w:rsidRPr="00C9001B">
        <w:t>Il CESE:</w:t>
      </w:r>
    </w:p>
    <w:p w:rsidRPr="00C9001B" w:rsidR="00B612CA" w:rsidP="00DC0FAE" w:rsidRDefault="00B612CA" w14:paraId="19ACACDB" w14:textId="77777777">
      <w:pPr>
        <w:numPr>
          <w:ilvl w:val="0"/>
          <w:numId w:val="24"/>
        </w:numPr>
        <w:spacing w:after="160" w:line="259" w:lineRule="auto"/>
        <w:ind w:left="284" w:hanging="284"/>
        <w:contextualSpacing/>
        <w:rPr>
          <w:rFonts w:eastAsiaTheme="minorHAnsi"/>
        </w:rPr>
      </w:pPr>
      <w:r w:rsidRPr="00C9001B">
        <w:t xml:space="preserve">raccomanda alla Commissione europea di </w:t>
      </w:r>
      <w:r w:rsidRPr="00C9001B">
        <w:rPr>
          <w:b/>
        </w:rPr>
        <w:t>comunicare ampiamente con i cittadini europei per far conoscere al maggior numero possibile di persone le sfide poste dal finanziamento congiunto della difesa</w:t>
      </w:r>
      <w:r w:rsidRPr="00C9001B">
        <w:t xml:space="preserve"> nel contesto geopolitico attuale e per costruire una sicurezza comune, continuando nel contempo a basare l'integrazione europea su un progetto di pace e solidarietà;</w:t>
      </w:r>
    </w:p>
    <w:p w:rsidRPr="00C9001B" w:rsidR="00B612CA" w:rsidP="00DC0FAE" w:rsidRDefault="00B612CA" w14:paraId="10700EAD" w14:textId="77777777">
      <w:pPr>
        <w:numPr>
          <w:ilvl w:val="0"/>
          <w:numId w:val="24"/>
        </w:numPr>
        <w:spacing w:after="160" w:line="259" w:lineRule="auto"/>
        <w:ind w:left="284" w:hanging="284"/>
        <w:contextualSpacing/>
        <w:rPr>
          <w:rFonts w:eastAsiaTheme="minorHAnsi"/>
        </w:rPr>
      </w:pPr>
      <w:r w:rsidRPr="00C9001B">
        <w:t xml:space="preserve">chiede un </w:t>
      </w:r>
      <w:r w:rsidRPr="00C9001B">
        <w:rPr>
          <w:b/>
        </w:rPr>
        <w:t>aumento</w:t>
      </w:r>
      <w:r w:rsidRPr="00C9001B">
        <w:t xml:space="preserve">, nel medio temine, </w:t>
      </w:r>
      <w:r w:rsidRPr="00C9001B">
        <w:rPr>
          <w:b/>
        </w:rPr>
        <w:t>dei finanziamenti attualmente limitati (1,5 miliardi di EUR)</w:t>
      </w:r>
      <w:r w:rsidRPr="00C9001B">
        <w:t>;</w:t>
      </w:r>
    </w:p>
    <w:p w:rsidRPr="00C9001B" w:rsidR="00B612CA" w:rsidP="00DC0FAE" w:rsidRDefault="00B612CA" w14:paraId="35EFB068" w14:textId="77777777">
      <w:pPr>
        <w:numPr>
          <w:ilvl w:val="0"/>
          <w:numId w:val="24"/>
        </w:numPr>
        <w:spacing w:after="160" w:line="259" w:lineRule="auto"/>
        <w:ind w:left="284" w:hanging="284"/>
        <w:contextualSpacing/>
        <w:rPr>
          <w:rFonts w:eastAsiaTheme="minorHAnsi"/>
        </w:rPr>
      </w:pPr>
      <w:r w:rsidRPr="00C9001B">
        <w:t>sottolinea che il programma per l'industria europea della difesa (EDIP), oltre a dare l'indispensabile risposta alle necessità urgenti dell'Ucraina, deve portare a un'</w:t>
      </w:r>
      <w:r w:rsidRPr="00C9001B">
        <w:rPr>
          <w:b/>
        </w:rPr>
        <w:t>evoluzione strutturale dell'approccio europeo in materia di difesa</w:t>
      </w:r>
      <w:r w:rsidRPr="00C9001B">
        <w:t xml:space="preserve"> e della relativa base industriale e tecnologica di difesa europea (EDTIB);</w:t>
      </w:r>
    </w:p>
    <w:p w:rsidRPr="00C9001B" w:rsidR="00B612CA" w:rsidP="00DC0FAE" w:rsidRDefault="00B612CA" w14:paraId="474F4A0A" w14:textId="77777777">
      <w:pPr>
        <w:numPr>
          <w:ilvl w:val="0"/>
          <w:numId w:val="24"/>
        </w:numPr>
        <w:spacing w:after="160" w:line="259" w:lineRule="auto"/>
        <w:ind w:left="284" w:hanging="284"/>
        <w:contextualSpacing/>
        <w:rPr>
          <w:rFonts w:eastAsiaTheme="minorHAnsi"/>
        </w:rPr>
      </w:pPr>
      <w:r w:rsidRPr="00C9001B">
        <w:t xml:space="preserve">raccomanda al Parlamento europeo, agli Stati membri, ai settori finanziari pubblico e privato e alla Commissione europea di elaborare un </w:t>
      </w:r>
      <w:r w:rsidRPr="00C9001B">
        <w:rPr>
          <w:b/>
        </w:rPr>
        <w:t>piano a lungo termine per aumentare la spesa e l'acquisizione di armi</w:t>
      </w:r>
      <w:r w:rsidRPr="00C9001B">
        <w:t>, che agevoli gli investimenti a lungo termine del settore privato, sostenga i piani di produzione di attrezzature militari da parte dell'EDTIB e fornisca sostegno alla base industriale e tecnologica di difesa dell'Ucraina;</w:t>
      </w:r>
    </w:p>
    <w:p w:rsidRPr="00C9001B" w:rsidR="00B612CA" w:rsidP="00DC0FAE" w:rsidRDefault="00B612CA" w14:paraId="47D84DAE" w14:textId="77777777">
      <w:pPr>
        <w:numPr>
          <w:ilvl w:val="0"/>
          <w:numId w:val="24"/>
        </w:numPr>
        <w:spacing w:after="160" w:line="259" w:lineRule="auto"/>
        <w:ind w:left="284" w:hanging="284"/>
        <w:contextualSpacing/>
        <w:rPr>
          <w:rFonts w:eastAsiaTheme="minorHAnsi"/>
        </w:rPr>
      </w:pPr>
      <w:r w:rsidRPr="00C9001B">
        <w:t xml:space="preserve">raccomanda alla Commissione europea di </w:t>
      </w:r>
      <w:r w:rsidRPr="00C9001B">
        <w:rPr>
          <w:b/>
        </w:rPr>
        <w:t>chiarire l'origine e l'utilizzo dei fondi destinati all'EDIP</w:t>
      </w:r>
      <w:r w:rsidRPr="00C9001B">
        <w:t>;</w:t>
      </w:r>
    </w:p>
    <w:p w:rsidRPr="00C9001B" w:rsidR="00B612CA" w:rsidP="00DC0FAE" w:rsidRDefault="00B612CA" w14:paraId="5028E334" w14:textId="77777777">
      <w:pPr>
        <w:numPr>
          <w:ilvl w:val="0"/>
          <w:numId w:val="24"/>
        </w:numPr>
        <w:spacing w:after="160" w:line="259" w:lineRule="auto"/>
        <w:ind w:left="284" w:hanging="284"/>
        <w:contextualSpacing/>
        <w:rPr>
          <w:rFonts w:eastAsiaTheme="minorHAnsi"/>
        </w:rPr>
      </w:pPr>
      <w:r w:rsidRPr="00C9001B">
        <w:t xml:space="preserve">raccomanda che </w:t>
      </w:r>
      <w:r w:rsidRPr="00C9001B">
        <w:rPr>
          <w:b/>
        </w:rPr>
        <w:t>le imprese dell'EDTIB rafforzino la cooperazione, in particolare con le PMI e a livello transfrontaliero</w:t>
      </w:r>
      <w:r w:rsidRPr="00C9001B">
        <w:t>;</w:t>
      </w:r>
    </w:p>
    <w:p w:rsidRPr="00C9001B" w:rsidR="00B612CA" w:rsidP="00DC0FAE" w:rsidRDefault="00B612CA" w14:paraId="4BA1174F" w14:textId="77777777">
      <w:pPr>
        <w:numPr>
          <w:ilvl w:val="0"/>
          <w:numId w:val="24"/>
        </w:numPr>
        <w:spacing w:after="160" w:line="259" w:lineRule="auto"/>
        <w:ind w:left="284" w:hanging="284"/>
        <w:contextualSpacing/>
        <w:rPr>
          <w:rFonts w:eastAsiaTheme="minorHAnsi"/>
        </w:rPr>
      </w:pPr>
      <w:r w:rsidRPr="00C9001B">
        <w:t xml:space="preserve">sottolinea l'importanza della </w:t>
      </w:r>
      <w:r w:rsidRPr="00C9001B">
        <w:rPr>
          <w:b/>
        </w:rPr>
        <w:t>cooperazione industriale con l'Ucraina</w:t>
      </w:r>
      <w:r w:rsidRPr="00C9001B">
        <w:t xml:space="preserve"> nel quadro dell'EDIP;</w:t>
      </w:r>
    </w:p>
    <w:p w:rsidRPr="00C9001B" w:rsidR="00B612CA" w:rsidP="00DC0FAE" w:rsidRDefault="00B612CA" w14:paraId="7E080E3B" w14:textId="77777777">
      <w:pPr>
        <w:numPr>
          <w:ilvl w:val="0"/>
          <w:numId w:val="24"/>
        </w:numPr>
        <w:spacing w:after="160" w:line="259" w:lineRule="auto"/>
        <w:ind w:left="284" w:hanging="284"/>
        <w:contextualSpacing/>
        <w:rPr>
          <w:rFonts w:eastAsiaTheme="minorHAnsi"/>
        </w:rPr>
      </w:pPr>
      <w:r w:rsidRPr="00C9001B">
        <w:t xml:space="preserve">suggerisce di continuare a promuovere </w:t>
      </w:r>
      <w:r w:rsidRPr="00C9001B">
        <w:rPr>
          <w:b/>
        </w:rPr>
        <w:t>le sinergie tra le industrie della difesa e quelle civili</w:t>
      </w:r>
      <w:r w:rsidRPr="00C9001B">
        <w:t>, comprese le PMI e le start-up;</w:t>
      </w:r>
    </w:p>
    <w:p w:rsidRPr="00C9001B" w:rsidR="00B612CA" w:rsidP="00DC0FAE" w:rsidRDefault="00B612CA" w14:paraId="1616FA27" w14:textId="77777777">
      <w:pPr>
        <w:numPr>
          <w:ilvl w:val="0"/>
          <w:numId w:val="24"/>
        </w:numPr>
        <w:spacing w:after="160" w:line="259" w:lineRule="auto"/>
        <w:ind w:left="284" w:hanging="284"/>
        <w:contextualSpacing/>
        <w:rPr>
          <w:rFonts w:eastAsiaTheme="minorHAnsi"/>
        </w:rPr>
      </w:pPr>
      <w:r w:rsidRPr="00C9001B">
        <w:t xml:space="preserve">raccomanda di </w:t>
      </w:r>
      <w:r w:rsidRPr="00C9001B">
        <w:rPr>
          <w:b/>
        </w:rPr>
        <w:t>integrare</w:t>
      </w:r>
      <w:r w:rsidRPr="00C9001B">
        <w:t xml:space="preserve"> nel documento di regolamentazione sull'EDIP </w:t>
      </w:r>
      <w:r w:rsidRPr="00C9001B">
        <w:rPr>
          <w:b/>
        </w:rPr>
        <w:t>gli obiettivi in percentuale relativi agli acquisti cooperativi e intraeuropei</w:t>
      </w:r>
      <w:r w:rsidRPr="00C9001B">
        <w:t xml:space="preserve"> stabiliti nella comunicazione sulla strategia industriale europea della difesa (EDIS).</w:t>
      </w:r>
    </w:p>
    <w:p w:rsidRPr="00C9001B" w:rsidR="00B612CA" w:rsidP="007724A0" w:rsidRDefault="00B612CA" w14:paraId="0A876271" w14:textId="1EEC993C">
      <w:pPr>
        <w:spacing w:after="160" w:line="259" w:lineRule="auto"/>
        <w:ind w:left="720"/>
        <w:contextualSpacing/>
        <w:rPr>
          <w:rFonts w:eastAsiaTheme="minorHAnsi"/>
        </w:rPr>
      </w:pPr>
    </w:p>
    <w:p w:rsidRPr="00C9001B"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56"/>
        <w:gridCol w:w="3716"/>
      </w:tblGrid>
      <w:tr w:rsidRPr="00C9001B" w:rsidR="00B612CA" w:rsidTr="00DC0FAE" w14:paraId="0A0E04CE" w14:textId="77777777">
        <w:tc>
          <w:tcPr>
            <w:tcW w:w="2148" w:type="pct"/>
          </w:tcPr>
          <w:p w:rsidRPr="00C9001B" w:rsidR="00B612CA" w:rsidP="00DC0FAE" w:rsidRDefault="00B612CA" w14:paraId="06D84C57" w14:textId="77777777">
            <w:pPr>
              <w:spacing w:line="240" w:lineRule="auto"/>
              <w:jc w:val="left"/>
              <w:rPr>
                <w:rFonts w:eastAsiaTheme="minorHAnsi"/>
                <w:i/>
              </w:rPr>
            </w:pPr>
            <w:r w:rsidRPr="00C9001B">
              <w:rPr>
                <w:b/>
                <w:i/>
              </w:rPr>
              <w:t>Contatto</w:t>
            </w:r>
          </w:p>
        </w:tc>
        <w:tc>
          <w:tcPr>
            <w:tcW w:w="2852" w:type="pct"/>
            <w:tcBorders>
              <w:left w:val="nil"/>
            </w:tcBorders>
          </w:tcPr>
          <w:p w:rsidRPr="00C9001B" w:rsidR="00B612CA" w:rsidP="00DC0FAE" w:rsidRDefault="00B612CA" w14:paraId="32F55D6E" w14:textId="496A8A95">
            <w:pPr>
              <w:spacing w:line="240" w:lineRule="auto"/>
              <w:ind w:firstLine="177"/>
              <w:jc w:val="left"/>
              <w:rPr>
                <w:rFonts w:eastAsiaTheme="minorHAnsi"/>
                <w:i/>
              </w:rPr>
            </w:pPr>
            <w:r w:rsidRPr="00C9001B">
              <w:rPr>
                <w:i/>
              </w:rPr>
              <w:t>Ioannis DIAMANTOPOULOS</w:t>
            </w:r>
          </w:p>
        </w:tc>
      </w:tr>
      <w:tr w:rsidRPr="00C9001B" w:rsidR="00B612CA" w:rsidTr="00DC0FAE" w14:paraId="170A473F" w14:textId="77777777">
        <w:tc>
          <w:tcPr>
            <w:tcW w:w="2148" w:type="pct"/>
          </w:tcPr>
          <w:p w:rsidRPr="00C9001B" w:rsidR="00B612CA" w:rsidP="00DC0FAE" w:rsidRDefault="00B612CA" w14:paraId="56DAFD05" w14:textId="77777777">
            <w:pPr>
              <w:spacing w:line="240" w:lineRule="auto"/>
              <w:jc w:val="left"/>
              <w:rPr>
                <w:rFonts w:eastAsiaTheme="minorHAnsi"/>
                <w:i/>
              </w:rPr>
            </w:pPr>
            <w:r w:rsidRPr="00C9001B">
              <w:rPr>
                <w:i/>
              </w:rPr>
              <w:t xml:space="preserve">Tel. </w:t>
            </w:r>
          </w:p>
        </w:tc>
        <w:tc>
          <w:tcPr>
            <w:tcW w:w="2852" w:type="pct"/>
            <w:tcBorders>
              <w:left w:val="nil"/>
            </w:tcBorders>
          </w:tcPr>
          <w:p w:rsidRPr="00C9001B" w:rsidR="00B612CA" w:rsidP="00DC0FAE" w:rsidRDefault="00B612CA" w14:paraId="2A298CC6" w14:textId="77777777">
            <w:pPr>
              <w:spacing w:line="240" w:lineRule="auto"/>
              <w:ind w:firstLine="177"/>
              <w:jc w:val="left"/>
              <w:rPr>
                <w:rFonts w:eastAsiaTheme="minorHAnsi"/>
                <w:i/>
              </w:rPr>
            </w:pPr>
            <w:r w:rsidRPr="00C9001B">
              <w:rPr>
                <w:i/>
              </w:rPr>
              <w:t>+32 25469170</w:t>
            </w:r>
          </w:p>
        </w:tc>
      </w:tr>
      <w:tr w:rsidRPr="00C9001B" w:rsidR="00B612CA" w:rsidTr="00DC0FAE" w14:paraId="279B24AC" w14:textId="77777777">
        <w:tc>
          <w:tcPr>
            <w:tcW w:w="2148" w:type="pct"/>
          </w:tcPr>
          <w:p w:rsidRPr="00C9001B" w:rsidR="00B612CA" w:rsidP="00DC0FAE" w:rsidRDefault="00C9001B" w14:paraId="005C0206" w14:textId="41AE462C">
            <w:pPr>
              <w:spacing w:line="240" w:lineRule="auto"/>
              <w:jc w:val="left"/>
              <w:rPr>
                <w:rFonts w:eastAsiaTheme="minorHAnsi"/>
                <w:i/>
                <w:iCs/>
              </w:rPr>
            </w:pPr>
            <w:r w:rsidRPr="00C9001B">
              <w:rPr>
                <w:i/>
              </w:rPr>
              <w:t>E</w:t>
            </w:r>
            <w:r w:rsidRPr="00C9001B" w:rsidR="007724A0">
              <w:rPr>
                <w:i/>
              </w:rPr>
              <w:t>-mail</w:t>
            </w:r>
          </w:p>
        </w:tc>
        <w:tc>
          <w:tcPr>
            <w:tcW w:w="2852" w:type="pct"/>
            <w:tcBorders>
              <w:left w:val="nil"/>
            </w:tcBorders>
          </w:tcPr>
          <w:p w:rsidRPr="00C9001B" w:rsidR="00B612CA" w:rsidP="00DC0FAE" w:rsidRDefault="00E736C8" w14:paraId="64C65441" w14:textId="2972B3EB">
            <w:pPr>
              <w:spacing w:line="240" w:lineRule="auto"/>
              <w:ind w:firstLine="177"/>
              <w:jc w:val="left"/>
              <w:rPr>
                <w:rFonts w:eastAsiaTheme="minorHAnsi"/>
                <w:i/>
                <w:iCs/>
              </w:rPr>
            </w:pPr>
            <w:hyperlink w:history="1" r:id="rId32">
              <w:r w:rsidRPr="00C9001B" w:rsidR="005C28F2">
                <w:rPr>
                  <w:rStyle w:val="Hyperlink"/>
                </w:rPr>
                <w:t>Ioannis.Diamantopoulos@eesc.europa.eu</w:t>
              </w:r>
            </w:hyperlink>
          </w:p>
        </w:tc>
      </w:tr>
    </w:tbl>
    <w:p w:rsidRPr="00C9001B" w:rsidR="00B612CA" w:rsidP="00895853" w:rsidRDefault="00B612CA" w14:paraId="1175548C" w14:textId="715AB7C7">
      <w:pPr>
        <w:overflowPunct w:val="0"/>
        <w:autoSpaceDE w:val="0"/>
        <w:autoSpaceDN w:val="0"/>
        <w:adjustRightInd w:val="0"/>
        <w:jc w:val="left"/>
        <w:textAlignment w:val="baseline"/>
        <w:rPr>
          <w:lang w:val="nl-BE"/>
        </w:rPr>
      </w:pPr>
    </w:p>
    <w:p w:rsidRPr="00C9001B" w:rsidR="00B612CA" w:rsidRDefault="00B612CA" w14:paraId="4049531D" w14:textId="77777777">
      <w:pPr>
        <w:spacing w:after="160" w:line="259" w:lineRule="auto"/>
        <w:jc w:val="left"/>
      </w:pPr>
      <w:r w:rsidRPr="00C9001B">
        <w:br w:type="page"/>
      </w:r>
    </w:p>
    <w:p w:rsidRPr="00C9001B" w:rsidR="00B612CA" w:rsidP="00C26C81" w:rsidRDefault="00E736C8"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3">
        <w:r w:rsidRPr="00C9001B" w:rsidR="00CE4B73">
          <w:rPr>
            <w:b/>
            <w:i/>
            <w:iCs/>
            <w:color w:val="0000FF"/>
            <w:sz w:val="28"/>
            <w:u w:val="single"/>
          </w:rPr>
          <w:t>Industria della produzione di droni</w:t>
        </w:r>
        <w:r w:rsidRPr="00C9001B" w:rsidR="00CE4B73">
          <w:rPr>
            <w:b/>
            <w:i/>
            <w:iCs/>
            <w:color w:val="0000FF"/>
            <w:sz w:val="28"/>
            <w:u w:val="single"/>
          </w:rPr>
          <w:t>:</w:t>
        </w:r>
        <w:r w:rsidRPr="00C9001B" w:rsidR="00CE4B73">
          <w:rPr>
            <w:b/>
            <w:i/>
            <w:iCs/>
            <w:color w:val="0000FF"/>
            <w:sz w:val="28"/>
            <w:u w:val="single"/>
          </w:rPr>
          <w:t xml:space="preserve"> studio di caso per l'autonomia strategica</w:t>
        </w:r>
      </w:hyperlink>
    </w:p>
    <w:p w:rsidRPr="00C9001B"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5812"/>
      </w:tblGrid>
      <w:tr w:rsidRPr="00C9001B" w:rsidR="00B612CA" w:rsidTr="00FE3058" w14:paraId="3BDDEC70" w14:textId="77777777">
        <w:tc>
          <w:tcPr>
            <w:tcW w:w="1258" w:type="pct"/>
          </w:tcPr>
          <w:p w:rsidRPr="00C9001B" w:rsidR="00B612CA" w:rsidP="00DC0FAE" w:rsidRDefault="00C9001B" w14:paraId="72524AE6" w14:textId="4CC27477">
            <w:pPr>
              <w:tabs>
                <w:tab w:val="center" w:pos="284"/>
              </w:tabs>
              <w:ind w:left="266" w:hanging="266"/>
              <w:jc w:val="left"/>
              <w:rPr>
                <w:rFonts w:eastAsiaTheme="minorHAnsi"/>
                <w:b/>
                <w:szCs w:val="24"/>
              </w:rPr>
            </w:pPr>
            <w:r w:rsidRPr="00C9001B">
              <w:rPr>
                <w:b/>
              </w:rPr>
              <w:t>Relatore</w:t>
            </w:r>
          </w:p>
        </w:tc>
        <w:tc>
          <w:tcPr>
            <w:tcW w:w="3742" w:type="pct"/>
          </w:tcPr>
          <w:p w:rsidRPr="00C9001B" w:rsidR="00B612CA" w:rsidP="00DC0FAE" w:rsidRDefault="00B612CA" w14:paraId="5A103C16" w14:textId="77777777">
            <w:pPr>
              <w:tabs>
                <w:tab w:val="center" w:pos="0"/>
              </w:tabs>
              <w:ind w:left="27" w:hanging="27"/>
              <w:jc w:val="left"/>
              <w:rPr>
                <w:rFonts w:eastAsiaTheme="minorHAnsi"/>
                <w:szCs w:val="24"/>
              </w:rPr>
            </w:pPr>
            <w:r w:rsidRPr="00C9001B">
              <w:t>Panagiotis GKOFAS (Organizzazioni della società civile - EL)</w:t>
            </w:r>
          </w:p>
        </w:tc>
      </w:tr>
      <w:tr w:rsidRPr="00C9001B" w:rsidR="00B612CA" w:rsidTr="00FE3058" w14:paraId="4789CE29" w14:textId="77777777">
        <w:tc>
          <w:tcPr>
            <w:tcW w:w="1258" w:type="pct"/>
          </w:tcPr>
          <w:p w:rsidRPr="00C9001B" w:rsidR="00B612CA" w:rsidP="00DC0FAE" w:rsidRDefault="00C9001B" w14:paraId="4BC4535D" w14:textId="4943E6E8">
            <w:pPr>
              <w:tabs>
                <w:tab w:val="center" w:pos="284"/>
              </w:tabs>
              <w:ind w:left="266" w:hanging="266"/>
              <w:jc w:val="left"/>
              <w:rPr>
                <w:rFonts w:eastAsiaTheme="minorHAnsi"/>
                <w:b/>
                <w:szCs w:val="24"/>
              </w:rPr>
            </w:pPr>
            <w:r w:rsidRPr="00C9001B">
              <w:rPr>
                <w:b/>
              </w:rPr>
              <w:t>Correlatore</w:t>
            </w:r>
          </w:p>
        </w:tc>
        <w:tc>
          <w:tcPr>
            <w:tcW w:w="3742" w:type="pct"/>
          </w:tcPr>
          <w:p w:rsidRPr="00C9001B" w:rsidR="00B612CA" w:rsidP="00DC0FAE" w:rsidRDefault="00B612CA" w14:paraId="45BEE5FC" w14:textId="40E891E8">
            <w:pPr>
              <w:tabs>
                <w:tab w:val="center" w:pos="284"/>
              </w:tabs>
              <w:ind w:left="266" w:hanging="266"/>
              <w:jc w:val="left"/>
              <w:rPr>
                <w:rFonts w:eastAsiaTheme="minorHAnsi"/>
                <w:szCs w:val="24"/>
              </w:rPr>
            </w:pPr>
            <w:r w:rsidRPr="00C9001B">
              <w:t>Patrice CHAZERAND (</w:t>
            </w:r>
            <w:r w:rsidRPr="00C9001B" w:rsidR="00C9001B">
              <w:t>c</w:t>
            </w:r>
            <w:r w:rsidRPr="00C9001B">
              <w:t>at. 1 - FR)</w:t>
            </w:r>
          </w:p>
        </w:tc>
      </w:tr>
      <w:tr w:rsidRPr="00C9001B" w:rsidR="00B612CA" w:rsidTr="00FE3058" w14:paraId="5E7071EE" w14:textId="77777777">
        <w:tc>
          <w:tcPr>
            <w:tcW w:w="5000" w:type="pct"/>
            <w:gridSpan w:val="2"/>
          </w:tcPr>
          <w:p w:rsidRPr="00C9001B"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C9001B" w:rsidR="00B612CA" w:rsidTr="00FE3058" w14:paraId="5C97F1F0" w14:textId="77777777">
        <w:tc>
          <w:tcPr>
            <w:tcW w:w="1258" w:type="pct"/>
            <w:vMerge w:val="restart"/>
          </w:tcPr>
          <w:p w:rsidRPr="00C9001B" w:rsidR="00B612CA" w:rsidP="00B612CA" w:rsidRDefault="00B612CA" w14:paraId="1ACFAAEE" w14:textId="77777777">
            <w:pPr>
              <w:tabs>
                <w:tab w:val="center" w:pos="284"/>
              </w:tabs>
              <w:spacing w:after="160"/>
              <w:ind w:left="266" w:hanging="266"/>
              <w:jc w:val="left"/>
              <w:rPr>
                <w:rFonts w:eastAsiaTheme="minorHAnsi"/>
                <w:b/>
                <w:szCs w:val="24"/>
              </w:rPr>
            </w:pPr>
            <w:r w:rsidRPr="00C9001B">
              <w:rPr>
                <w:b/>
              </w:rPr>
              <w:t>Riferimento</w:t>
            </w:r>
          </w:p>
        </w:tc>
        <w:tc>
          <w:tcPr>
            <w:tcW w:w="3742" w:type="pct"/>
          </w:tcPr>
          <w:p w:rsidRPr="00C9001B" w:rsidR="008E5F1F" w:rsidP="00DC0FAE" w:rsidRDefault="008E5F1F" w14:paraId="4FD72709" w14:textId="77777777">
            <w:pPr>
              <w:tabs>
                <w:tab w:val="center" w:pos="284"/>
              </w:tabs>
              <w:ind w:left="266" w:hanging="266"/>
              <w:jc w:val="left"/>
              <w:rPr>
                <w:rFonts w:eastAsiaTheme="minorHAnsi"/>
                <w:szCs w:val="24"/>
              </w:rPr>
            </w:pPr>
            <w:r w:rsidRPr="00C9001B">
              <w:t>Parere d'iniziativa</w:t>
            </w:r>
          </w:p>
          <w:p w:rsidRPr="00C9001B" w:rsidR="00B612CA" w:rsidP="00DC0FAE" w:rsidRDefault="00B612CA" w14:paraId="2BDD1C6B" w14:textId="29BCECDA">
            <w:pPr>
              <w:tabs>
                <w:tab w:val="center" w:pos="284"/>
              </w:tabs>
              <w:ind w:left="266" w:hanging="266"/>
              <w:jc w:val="left"/>
              <w:rPr>
                <w:rFonts w:eastAsiaTheme="minorHAnsi"/>
                <w:szCs w:val="24"/>
              </w:rPr>
            </w:pPr>
            <w:r w:rsidRPr="00C9001B">
              <w:t>EESC-2024-00046-00-00-AC</w:t>
            </w:r>
          </w:p>
        </w:tc>
      </w:tr>
      <w:tr w:rsidRPr="00C9001B" w:rsidR="00B612CA" w:rsidTr="00FE3058" w14:paraId="262D674B" w14:textId="77777777">
        <w:tc>
          <w:tcPr>
            <w:tcW w:w="1258" w:type="pct"/>
            <w:vMerge/>
          </w:tcPr>
          <w:p w:rsidRPr="00C9001B"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C9001B"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C9001B" w:rsidR="00B612CA" w:rsidP="00B612CA" w:rsidRDefault="00B612CA" w14:paraId="5D3EDF6C" w14:textId="77777777">
      <w:pPr>
        <w:keepNext/>
        <w:keepLines/>
        <w:spacing w:after="160"/>
        <w:ind w:left="142" w:hanging="142"/>
        <w:jc w:val="left"/>
        <w:rPr>
          <w:rFonts w:eastAsiaTheme="minorHAnsi"/>
          <w:b/>
        </w:rPr>
      </w:pPr>
      <w:r w:rsidRPr="00C9001B">
        <w:rPr>
          <w:b/>
        </w:rPr>
        <w:t>Punti principali</w:t>
      </w:r>
    </w:p>
    <w:p w:rsidRPr="00C9001B" w:rsidR="00B612CA" w:rsidP="002F57E9" w:rsidRDefault="00B612CA" w14:paraId="500E1CB5" w14:textId="1961B0BC">
      <w:pPr>
        <w:spacing w:after="160"/>
        <w:ind w:left="142" w:hanging="142"/>
        <w:jc w:val="left"/>
        <w:rPr>
          <w:rFonts w:eastAsiaTheme="minorHAnsi"/>
        </w:rPr>
      </w:pPr>
      <w:r w:rsidRPr="00C9001B">
        <w:t>Il CESE:</w:t>
      </w:r>
    </w:p>
    <w:p w:rsidRPr="00C9001B" w:rsidR="00B612CA" w:rsidP="00DC0FAE" w:rsidRDefault="00B612CA" w14:paraId="487029DD" w14:textId="77777777">
      <w:pPr>
        <w:numPr>
          <w:ilvl w:val="0"/>
          <w:numId w:val="25"/>
        </w:numPr>
        <w:spacing w:line="259" w:lineRule="auto"/>
        <w:ind w:left="284" w:hanging="284"/>
        <w:rPr>
          <w:rFonts w:eastAsiaTheme="minorHAnsi"/>
        </w:rPr>
      </w:pPr>
      <w:r w:rsidRPr="00C9001B">
        <w:t xml:space="preserve">ritiene che il collegamento tra la </w:t>
      </w:r>
      <w:r w:rsidRPr="00C9001B">
        <w:rPr>
          <w:b/>
        </w:rPr>
        <w:t>strategia europea per i droni</w:t>
      </w:r>
      <w:r w:rsidRPr="00C9001B">
        <w:t xml:space="preserve"> e la </w:t>
      </w:r>
      <w:r w:rsidRPr="00C9001B">
        <w:rPr>
          <w:b/>
        </w:rPr>
        <w:t>strategia industriale europea per il settore della difesa</w:t>
      </w:r>
      <w:r w:rsidRPr="00C9001B">
        <w:t xml:space="preserve"> e l'integrazione della </w:t>
      </w:r>
      <w:r w:rsidRPr="00C9001B">
        <w:rPr>
          <w:b/>
        </w:rPr>
        <w:t>base industriale e tecnologica di difesa europea</w:t>
      </w:r>
      <w:r w:rsidRPr="00C9001B">
        <w:t xml:space="preserve"> (</w:t>
      </w:r>
      <w:r w:rsidRPr="00C9001B">
        <w:rPr>
          <w:i/>
          <w:iCs/>
        </w:rPr>
        <w:t>European Defence Technological and Industrial Base</w:t>
      </w:r>
      <w:r w:rsidRPr="00C9001B">
        <w:t xml:space="preserve"> - EDTIB) per </w:t>
      </w:r>
      <w:r w:rsidRPr="00C9001B">
        <w:rPr>
          <w:b/>
        </w:rPr>
        <w:t>sostenere la produzione interna di droni di elevata qualità/capacità</w:t>
      </w:r>
      <w:r w:rsidRPr="00C9001B">
        <w:t xml:space="preserve"> mediante </w:t>
      </w:r>
      <w:r w:rsidRPr="00C9001B">
        <w:rPr>
          <w:b/>
        </w:rPr>
        <w:t>un flusso costante di appalti pubblici</w:t>
      </w:r>
      <w:r w:rsidRPr="00C9001B">
        <w:t xml:space="preserve"> sia essenziale per l'indipendenza critica dell'Europa;</w:t>
      </w:r>
    </w:p>
    <w:p w:rsidRPr="00C9001B" w:rsidR="00B612CA" w:rsidP="00DC0FAE" w:rsidRDefault="00B612CA" w14:paraId="1202E286" w14:textId="77777777">
      <w:pPr>
        <w:numPr>
          <w:ilvl w:val="0"/>
          <w:numId w:val="25"/>
        </w:numPr>
        <w:spacing w:line="259" w:lineRule="auto"/>
        <w:ind w:left="284" w:hanging="284"/>
        <w:rPr>
          <w:rFonts w:eastAsiaTheme="minorHAnsi"/>
        </w:rPr>
      </w:pPr>
      <w:r w:rsidRPr="00C9001B">
        <w:t xml:space="preserve">insiste sulla necessità di </w:t>
      </w:r>
      <w:r w:rsidRPr="00C9001B">
        <w:rPr>
          <w:b/>
        </w:rPr>
        <w:t>una collaborazione e un'innovazione migliori</w:t>
      </w:r>
      <w:r w:rsidRPr="00C9001B">
        <w:t xml:space="preserve">, e raccomanda di fare leva su normative come la legge sull'intelligenza artificiale (IA) e la legge sui semiconduttori per </w:t>
      </w:r>
      <w:r w:rsidRPr="00C9001B">
        <w:rPr>
          <w:b/>
        </w:rPr>
        <w:t>accrescere l'autonomia strategica</w:t>
      </w:r>
      <w:r w:rsidRPr="00C9001B">
        <w:t xml:space="preserve"> nonché la sicurezza nazionale e la crescita economica;</w:t>
      </w:r>
    </w:p>
    <w:p w:rsidRPr="00C9001B" w:rsidR="00B612CA" w:rsidP="00DC0FAE" w:rsidRDefault="00B612CA" w14:paraId="13B8DCFD" w14:textId="77777777">
      <w:pPr>
        <w:numPr>
          <w:ilvl w:val="0"/>
          <w:numId w:val="25"/>
        </w:numPr>
        <w:spacing w:line="259" w:lineRule="auto"/>
        <w:ind w:left="284" w:hanging="284"/>
        <w:rPr>
          <w:rFonts w:eastAsiaTheme="minorHAnsi"/>
        </w:rPr>
      </w:pPr>
      <w:r w:rsidRPr="00C9001B">
        <w:t xml:space="preserve">sottolinea che la necessità di </w:t>
      </w:r>
      <w:r w:rsidRPr="00C9001B">
        <w:rPr>
          <w:b/>
        </w:rPr>
        <w:t>coerenza tra ricerca e sviluppo (R&amp;S) militare e civile</w:t>
      </w:r>
      <w:r w:rsidRPr="00C9001B">
        <w:t xml:space="preserve"> è destinata a crescere, in quanto i droni utilizzeranno maggiormente l'automazione, l'apprendimento automatico e l'IA;</w:t>
      </w:r>
    </w:p>
    <w:p w:rsidRPr="00C9001B" w:rsidR="00B612CA" w:rsidP="00DC0FAE" w:rsidRDefault="00B612CA" w14:paraId="36029321" w14:textId="2E557C2E">
      <w:pPr>
        <w:numPr>
          <w:ilvl w:val="0"/>
          <w:numId w:val="25"/>
        </w:numPr>
        <w:spacing w:line="259" w:lineRule="auto"/>
        <w:ind w:left="284" w:hanging="284"/>
        <w:rPr>
          <w:rFonts w:eastAsiaTheme="minorHAnsi"/>
        </w:rPr>
      </w:pPr>
      <w:r w:rsidRPr="00C9001B">
        <w:t xml:space="preserve">ritiene che una </w:t>
      </w:r>
      <w:r w:rsidRPr="00C9001B">
        <w:rPr>
          <w:b/>
        </w:rPr>
        <w:t>tabella di marcia strategica in materia di tecnologia dei droni per l'Europa</w:t>
      </w:r>
      <w:r w:rsidRPr="00C9001B">
        <w:t xml:space="preserve"> sia essenziale per le tecnologie critiche dei droni e per i sistemi di droni a duplice uso e sia probabilmente in grado di fornire un approccio strutturato per promuovere la tecnologia dei droni;</w:t>
      </w:r>
    </w:p>
    <w:p w:rsidRPr="00C9001B" w:rsidR="00B612CA" w:rsidP="00DC0FAE" w:rsidRDefault="00B612CA" w14:paraId="1BD31BD4" w14:textId="77777777">
      <w:pPr>
        <w:numPr>
          <w:ilvl w:val="0"/>
          <w:numId w:val="25"/>
        </w:numPr>
        <w:spacing w:line="259" w:lineRule="auto"/>
        <w:ind w:left="284" w:hanging="284"/>
        <w:rPr>
          <w:rFonts w:eastAsiaTheme="minorHAnsi"/>
        </w:rPr>
      </w:pPr>
      <w:r w:rsidRPr="00C9001B">
        <w:t xml:space="preserve">sottolinea che si dovrebbe considerare con particolare attenzione la possibilità di </w:t>
      </w:r>
      <w:r w:rsidRPr="00C9001B">
        <w:rPr>
          <w:b/>
        </w:rPr>
        <w:t>accordare un sostegno finanziario ai potenziali investimenti nella produzione di droni e nell'integrazione delle catene di approvvigionamento e del valore</w:t>
      </w:r>
      <w:r w:rsidRPr="00C9001B">
        <w:t>;</w:t>
      </w:r>
    </w:p>
    <w:p w:rsidRPr="00C9001B" w:rsidR="00B612CA" w:rsidP="00DC0FAE" w:rsidRDefault="00B612CA" w14:paraId="0CDF4865" w14:textId="77777777">
      <w:pPr>
        <w:numPr>
          <w:ilvl w:val="0"/>
          <w:numId w:val="25"/>
        </w:numPr>
        <w:spacing w:line="259" w:lineRule="auto"/>
        <w:ind w:left="284" w:hanging="284"/>
        <w:rPr>
          <w:rFonts w:eastAsiaTheme="minorHAnsi"/>
        </w:rPr>
      </w:pPr>
      <w:r w:rsidRPr="00C9001B">
        <w:t>ritiene che l'UE dovrebbe impegnarsi più attivamente a livello mondiale, specie per quanto attiene alle procedure di certificazione;</w:t>
      </w:r>
    </w:p>
    <w:p w:rsidRPr="00C9001B" w:rsidR="00B612CA" w:rsidP="00DC0FAE" w:rsidRDefault="00B612CA" w14:paraId="6CE8FCE4" w14:textId="77777777">
      <w:pPr>
        <w:numPr>
          <w:ilvl w:val="0"/>
          <w:numId w:val="25"/>
        </w:numPr>
        <w:spacing w:line="259" w:lineRule="auto"/>
        <w:ind w:left="284" w:hanging="284"/>
        <w:rPr>
          <w:rFonts w:eastAsiaTheme="minorHAnsi"/>
        </w:rPr>
      </w:pPr>
      <w:r w:rsidRPr="00C9001B">
        <w:t xml:space="preserve">osserva che è essenziale </w:t>
      </w:r>
      <w:r w:rsidRPr="00C9001B">
        <w:rPr>
          <w:b/>
        </w:rPr>
        <w:t>che la società accetti</w:t>
      </w:r>
      <w:r w:rsidRPr="00C9001B">
        <w:t xml:space="preserve"> le operazioni innovative di mobilità aerea: il sostegno dell'UE può rafforzare l'ecosistema globale dell'aviazione, contribuendo alla sua crescita e sostenibilità;</w:t>
      </w:r>
    </w:p>
    <w:p w:rsidRPr="00C9001B" w:rsidR="00B612CA" w:rsidP="00DC0FAE" w:rsidRDefault="00B612CA" w14:paraId="413AAB7E" w14:textId="77777777">
      <w:pPr>
        <w:numPr>
          <w:ilvl w:val="0"/>
          <w:numId w:val="25"/>
        </w:numPr>
        <w:spacing w:line="259" w:lineRule="auto"/>
        <w:ind w:left="284" w:hanging="284"/>
        <w:rPr>
          <w:rFonts w:eastAsiaTheme="minorHAnsi"/>
        </w:rPr>
      </w:pPr>
      <w:r w:rsidRPr="00C9001B">
        <w:t xml:space="preserve">sottolinea che l'UE dovrebbe inoltre essere pronta a creare una </w:t>
      </w:r>
      <w:r w:rsidRPr="00C9001B">
        <w:rPr>
          <w:b/>
        </w:rPr>
        <w:t>strategia</w:t>
      </w:r>
      <w:r w:rsidRPr="00C9001B">
        <w:t xml:space="preserve"> consolidata </w:t>
      </w:r>
      <w:r w:rsidRPr="00C9001B">
        <w:rPr>
          <w:b/>
        </w:rPr>
        <w:t>per lo sviluppo di un ombrello comune anti-droni</w:t>
      </w:r>
      <w:r w:rsidRPr="00C9001B">
        <w:t xml:space="preserve"> per far fronte ai molteplici rischi connessi a minacce ibride, azioni terroristiche, aggressioni da parte di altri Stati e finanche abusi da parte di utilizzatori civili.</w:t>
      </w:r>
    </w:p>
    <w:p w:rsidRPr="00C9001B" w:rsidR="00B612CA" w:rsidP="00B612CA" w:rsidRDefault="00B612CA" w14:paraId="02D1D393" w14:textId="77777777">
      <w:pPr>
        <w:ind w:left="714"/>
        <w:rPr>
          <w:rFonts w:eastAsiaTheme="minorHAnsi"/>
        </w:rPr>
      </w:pPr>
    </w:p>
    <w:p w:rsidRPr="00C9001B"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23"/>
        <w:gridCol w:w="3656"/>
      </w:tblGrid>
      <w:tr w:rsidRPr="00C9001B" w:rsidR="00B612CA" w:rsidTr="00FE3058" w14:paraId="4B20577C" w14:textId="77777777">
        <w:tc>
          <w:tcPr>
            <w:tcW w:w="2089" w:type="pct"/>
          </w:tcPr>
          <w:p w:rsidRPr="00C9001B" w:rsidR="00B612CA" w:rsidP="00DC0FAE" w:rsidRDefault="00B612CA" w14:paraId="2947396D" w14:textId="77777777">
            <w:pPr>
              <w:spacing w:line="259" w:lineRule="auto"/>
              <w:jc w:val="left"/>
              <w:rPr>
                <w:rFonts w:eastAsiaTheme="minorHAnsi"/>
                <w:i/>
              </w:rPr>
            </w:pPr>
            <w:r w:rsidRPr="00C9001B">
              <w:rPr>
                <w:b/>
                <w:i/>
              </w:rPr>
              <w:t>Contatto</w:t>
            </w:r>
          </w:p>
        </w:tc>
        <w:tc>
          <w:tcPr>
            <w:tcW w:w="2911" w:type="pct"/>
            <w:tcBorders>
              <w:left w:val="nil"/>
            </w:tcBorders>
          </w:tcPr>
          <w:p w:rsidRPr="00C9001B" w:rsidR="00B612CA" w:rsidP="00DC0FAE" w:rsidRDefault="00B612CA" w14:paraId="2C72CC9C" w14:textId="59DEF34B">
            <w:pPr>
              <w:spacing w:line="259" w:lineRule="auto"/>
              <w:jc w:val="left"/>
              <w:rPr>
                <w:rFonts w:eastAsiaTheme="minorHAnsi"/>
                <w:i/>
              </w:rPr>
            </w:pPr>
            <w:r w:rsidRPr="00C9001B">
              <w:rPr>
                <w:i/>
              </w:rPr>
              <w:t>Ioannis DIAMANTOPOULOS</w:t>
            </w:r>
          </w:p>
        </w:tc>
      </w:tr>
      <w:tr w:rsidRPr="00C9001B" w:rsidR="00B612CA" w:rsidTr="00FE3058" w14:paraId="2E3E56CC" w14:textId="77777777">
        <w:tc>
          <w:tcPr>
            <w:tcW w:w="2089" w:type="pct"/>
          </w:tcPr>
          <w:p w:rsidRPr="00C9001B" w:rsidR="00B612CA" w:rsidP="00DC0FAE" w:rsidRDefault="00B612CA" w14:paraId="32C90F95" w14:textId="77777777">
            <w:pPr>
              <w:spacing w:line="259" w:lineRule="auto"/>
              <w:jc w:val="left"/>
              <w:rPr>
                <w:rFonts w:eastAsiaTheme="minorHAnsi"/>
                <w:i/>
              </w:rPr>
            </w:pPr>
            <w:r w:rsidRPr="00C9001B">
              <w:rPr>
                <w:i/>
              </w:rPr>
              <w:t xml:space="preserve">Tel. </w:t>
            </w:r>
          </w:p>
        </w:tc>
        <w:tc>
          <w:tcPr>
            <w:tcW w:w="2911" w:type="pct"/>
            <w:tcBorders>
              <w:left w:val="nil"/>
            </w:tcBorders>
          </w:tcPr>
          <w:p w:rsidRPr="00C9001B" w:rsidR="00B612CA" w:rsidP="00DC0FAE" w:rsidRDefault="00B612CA" w14:paraId="6667914E" w14:textId="77777777">
            <w:pPr>
              <w:spacing w:line="259" w:lineRule="auto"/>
              <w:jc w:val="left"/>
              <w:rPr>
                <w:rFonts w:eastAsiaTheme="minorHAnsi"/>
                <w:i/>
              </w:rPr>
            </w:pPr>
            <w:r w:rsidRPr="00C9001B">
              <w:rPr>
                <w:i/>
              </w:rPr>
              <w:t>+32 25469170</w:t>
            </w:r>
          </w:p>
        </w:tc>
      </w:tr>
      <w:tr w:rsidRPr="00C9001B" w:rsidR="00B612CA" w:rsidTr="00FE3058" w14:paraId="5E62AD0C" w14:textId="77777777">
        <w:tc>
          <w:tcPr>
            <w:tcW w:w="2089" w:type="pct"/>
          </w:tcPr>
          <w:p w:rsidRPr="00C9001B" w:rsidR="00B612CA" w:rsidP="00DC0FAE" w:rsidRDefault="00C9001B" w14:paraId="28949472" w14:textId="1941B04A">
            <w:pPr>
              <w:spacing w:line="259" w:lineRule="auto"/>
              <w:jc w:val="left"/>
              <w:rPr>
                <w:rFonts w:eastAsiaTheme="minorHAnsi"/>
                <w:i/>
                <w:iCs/>
              </w:rPr>
            </w:pPr>
            <w:r w:rsidRPr="00C9001B">
              <w:rPr>
                <w:i/>
              </w:rPr>
              <w:t>E</w:t>
            </w:r>
            <w:r w:rsidRPr="00C9001B" w:rsidR="00B612CA">
              <w:rPr>
                <w:i/>
              </w:rPr>
              <w:t>-mail</w:t>
            </w:r>
          </w:p>
        </w:tc>
        <w:tc>
          <w:tcPr>
            <w:tcW w:w="2911" w:type="pct"/>
            <w:tcBorders>
              <w:left w:val="nil"/>
            </w:tcBorders>
          </w:tcPr>
          <w:p w:rsidRPr="00C9001B" w:rsidR="00B612CA" w:rsidP="00DC0FAE" w:rsidRDefault="00E736C8" w14:paraId="670FA610" w14:textId="3DD50747">
            <w:pPr>
              <w:spacing w:line="259" w:lineRule="auto"/>
              <w:jc w:val="left"/>
              <w:rPr>
                <w:rFonts w:eastAsiaTheme="minorHAnsi"/>
                <w:i/>
                <w:iCs/>
              </w:rPr>
            </w:pPr>
            <w:hyperlink w:history="1" r:id="rId34">
              <w:r w:rsidRPr="00C9001B" w:rsidR="005C28F2">
                <w:rPr>
                  <w:rStyle w:val="Hyperlink"/>
                </w:rPr>
                <w:t>Ioannis.Diamantopoulos@eesc.europa.eu</w:t>
              </w:r>
            </w:hyperlink>
          </w:p>
        </w:tc>
      </w:tr>
    </w:tbl>
    <w:p w:rsidRPr="00C9001B" w:rsidR="00DD6D07" w:rsidP="00895853" w:rsidRDefault="00DD6D07" w14:paraId="4B14A069" w14:textId="5E80731A">
      <w:pPr>
        <w:overflowPunct w:val="0"/>
        <w:autoSpaceDE w:val="0"/>
        <w:autoSpaceDN w:val="0"/>
        <w:adjustRightInd w:val="0"/>
        <w:jc w:val="left"/>
        <w:textAlignment w:val="baseline"/>
        <w:rPr>
          <w:lang w:val="nl-BE"/>
        </w:rPr>
      </w:pPr>
    </w:p>
    <w:p w:rsidRPr="00C9001B" w:rsidR="00DD6D07" w:rsidRDefault="00DD6D07" w14:paraId="00CC9B58" w14:textId="77777777">
      <w:pPr>
        <w:spacing w:after="160" w:line="259" w:lineRule="auto"/>
        <w:jc w:val="left"/>
      </w:pPr>
      <w:r w:rsidRPr="00C9001B">
        <w:br w:type="page"/>
      </w:r>
    </w:p>
    <w:p w:rsidRPr="00C9001B" w:rsidR="00B612CA" w:rsidP="00895853" w:rsidRDefault="00B612CA" w14:paraId="57B89030" w14:textId="77777777">
      <w:pPr>
        <w:overflowPunct w:val="0"/>
        <w:autoSpaceDE w:val="0"/>
        <w:autoSpaceDN w:val="0"/>
        <w:adjustRightInd w:val="0"/>
        <w:jc w:val="left"/>
        <w:textAlignment w:val="baseline"/>
        <w:rPr>
          <w:lang w:val="nl-BE"/>
        </w:rPr>
      </w:pPr>
    </w:p>
    <w:p w:rsidRPr="00C9001B" w:rsidR="000120E1" w:rsidP="00C26C81" w:rsidRDefault="00E736C8"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5">
        <w:r w:rsidRPr="00C9001B" w:rsidR="00CE4B73">
          <w:rPr>
            <w:b/>
            <w:i/>
            <w:color w:val="0000FF"/>
            <w:sz w:val="28"/>
            <w:u w:val="single"/>
          </w:rPr>
          <w:t xml:space="preserve">Comunicazione sulla gestione </w:t>
        </w:r>
        <w:r w:rsidRPr="00C9001B" w:rsidR="00CE4B73">
          <w:rPr>
            <w:b/>
            <w:i/>
            <w:color w:val="0000FF"/>
            <w:sz w:val="28"/>
            <w:u w:val="single"/>
          </w:rPr>
          <w:t>i</w:t>
        </w:r>
        <w:r w:rsidRPr="00C9001B" w:rsidR="00CE4B73">
          <w:rPr>
            <w:b/>
            <w:i/>
            <w:color w:val="0000FF"/>
            <w:sz w:val="28"/>
            <w:u w:val="single"/>
          </w:rPr>
          <w:t>ndustriale del carbonio</w:t>
        </w:r>
      </w:hyperlink>
    </w:p>
    <w:p w:rsidRPr="00C9001B"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3"/>
        <w:gridCol w:w="6078"/>
      </w:tblGrid>
      <w:tr w:rsidRPr="00C9001B" w:rsidR="000120E1" w:rsidTr="00FE3058" w14:paraId="7AA7740B" w14:textId="77777777">
        <w:tc>
          <w:tcPr>
            <w:tcW w:w="1216" w:type="pct"/>
          </w:tcPr>
          <w:p w:rsidRPr="00C9001B" w:rsidR="000120E1" w:rsidP="00DC0FAE" w:rsidRDefault="00C9001B" w14:paraId="59DFCB28" w14:textId="4B84AA1A">
            <w:pPr>
              <w:tabs>
                <w:tab w:val="center" w:pos="284"/>
              </w:tabs>
              <w:spacing w:line="259" w:lineRule="auto"/>
              <w:ind w:left="266" w:hanging="266"/>
              <w:jc w:val="left"/>
              <w:rPr>
                <w:rFonts w:eastAsiaTheme="minorHAnsi"/>
                <w:b/>
                <w:szCs w:val="24"/>
              </w:rPr>
            </w:pPr>
            <w:r w:rsidRPr="00C9001B">
              <w:rPr>
                <w:b/>
              </w:rPr>
              <w:t>Relatore</w:t>
            </w:r>
          </w:p>
        </w:tc>
        <w:tc>
          <w:tcPr>
            <w:tcW w:w="3784" w:type="pct"/>
          </w:tcPr>
          <w:p w:rsidRPr="00C9001B" w:rsidR="000120E1" w:rsidP="00DC0FAE" w:rsidRDefault="000120E1" w14:paraId="79819113" w14:textId="77777777">
            <w:pPr>
              <w:tabs>
                <w:tab w:val="center" w:pos="284"/>
              </w:tabs>
              <w:spacing w:line="259" w:lineRule="auto"/>
              <w:ind w:left="266" w:hanging="266"/>
              <w:jc w:val="left"/>
              <w:rPr>
                <w:rFonts w:eastAsiaTheme="minorHAnsi"/>
                <w:szCs w:val="24"/>
              </w:rPr>
            </w:pPr>
            <w:r w:rsidRPr="00C9001B">
              <w:t>Gonçalo LOBO XAVIER (Datori di lavoro - PT)</w:t>
            </w:r>
          </w:p>
        </w:tc>
      </w:tr>
      <w:tr w:rsidRPr="00C9001B" w:rsidR="000120E1" w:rsidTr="00FE3058" w14:paraId="2A3124EA" w14:textId="77777777">
        <w:tc>
          <w:tcPr>
            <w:tcW w:w="1216" w:type="pct"/>
          </w:tcPr>
          <w:p w:rsidRPr="00C9001B" w:rsidR="000120E1" w:rsidP="00DC0FAE" w:rsidRDefault="00C9001B" w14:paraId="051BCACD" w14:textId="209B95EC">
            <w:pPr>
              <w:tabs>
                <w:tab w:val="center" w:pos="284"/>
              </w:tabs>
              <w:spacing w:line="259" w:lineRule="auto"/>
              <w:ind w:left="266" w:hanging="266"/>
              <w:jc w:val="left"/>
              <w:rPr>
                <w:rFonts w:eastAsiaTheme="minorHAnsi"/>
                <w:b/>
                <w:szCs w:val="24"/>
              </w:rPr>
            </w:pPr>
            <w:r w:rsidRPr="00C9001B">
              <w:rPr>
                <w:b/>
              </w:rPr>
              <w:t>Correlatore</w:t>
            </w:r>
          </w:p>
        </w:tc>
        <w:tc>
          <w:tcPr>
            <w:tcW w:w="3784" w:type="pct"/>
          </w:tcPr>
          <w:p w:rsidRPr="00C9001B" w:rsidR="000120E1" w:rsidP="00DC0FAE" w:rsidRDefault="000120E1" w14:paraId="163FD73E" w14:textId="77777777">
            <w:pPr>
              <w:tabs>
                <w:tab w:val="center" w:pos="284"/>
              </w:tabs>
              <w:spacing w:line="259" w:lineRule="auto"/>
              <w:ind w:left="266" w:hanging="266"/>
              <w:jc w:val="left"/>
              <w:rPr>
                <w:rFonts w:eastAsiaTheme="minorHAnsi"/>
                <w:szCs w:val="24"/>
              </w:rPr>
            </w:pPr>
            <w:r w:rsidRPr="00C9001B">
              <w:t>Franck UHLIG (cat. 2 - FR)</w:t>
            </w:r>
          </w:p>
        </w:tc>
      </w:tr>
      <w:tr w:rsidRPr="00C9001B" w:rsidR="000120E1" w:rsidTr="00FE3058" w14:paraId="5A91F27D" w14:textId="77777777">
        <w:tc>
          <w:tcPr>
            <w:tcW w:w="5000" w:type="pct"/>
            <w:gridSpan w:val="2"/>
          </w:tcPr>
          <w:p w:rsidRPr="00C9001B"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C9001B" w:rsidR="000120E1" w:rsidTr="00FE3058" w14:paraId="70AFA820" w14:textId="77777777">
        <w:tc>
          <w:tcPr>
            <w:tcW w:w="1216" w:type="pct"/>
            <w:vMerge w:val="restart"/>
          </w:tcPr>
          <w:p w:rsidRPr="00C9001B" w:rsidR="000120E1" w:rsidP="00DC0FAE" w:rsidRDefault="000120E1" w14:paraId="2C1088D7" w14:textId="77777777">
            <w:pPr>
              <w:tabs>
                <w:tab w:val="center" w:pos="284"/>
              </w:tabs>
              <w:spacing w:line="259" w:lineRule="auto"/>
              <w:ind w:left="266" w:hanging="266"/>
              <w:jc w:val="left"/>
              <w:rPr>
                <w:rFonts w:eastAsiaTheme="minorHAnsi"/>
                <w:b/>
                <w:szCs w:val="24"/>
              </w:rPr>
            </w:pPr>
            <w:r w:rsidRPr="00C9001B">
              <w:rPr>
                <w:b/>
              </w:rPr>
              <w:t>Riferimenti</w:t>
            </w:r>
          </w:p>
        </w:tc>
        <w:tc>
          <w:tcPr>
            <w:tcW w:w="3784" w:type="pct"/>
          </w:tcPr>
          <w:p w:rsidRPr="00C9001B" w:rsidR="000120E1" w:rsidP="00DC0FAE" w:rsidRDefault="000120E1" w14:paraId="115E7B5F" w14:textId="77777777">
            <w:pPr>
              <w:tabs>
                <w:tab w:val="center" w:pos="284"/>
              </w:tabs>
              <w:spacing w:line="259" w:lineRule="auto"/>
              <w:ind w:left="266" w:hanging="266"/>
              <w:jc w:val="left"/>
              <w:rPr>
                <w:rFonts w:eastAsiaTheme="minorHAnsi"/>
                <w:szCs w:val="24"/>
              </w:rPr>
            </w:pPr>
            <w:r w:rsidRPr="00C9001B">
              <w:t>COM(2024) 62 final</w:t>
            </w:r>
          </w:p>
        </w:tc>
      </w:tr>
      <w:tr w:rsidRPr="00C9001B" w:rsidR="000120E1" w:rsidTr="00FE3058" w14:paraId="36B63748" w14:textId="77777777">
        <w:tc>
          <w:tcPr>
            <w:tcW w:w="1216" w:type="pct"/>
            <w:vMerge/>
          </w:tcPr>
          <w:p w:rsidRPr="00C9001B"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C9001B" w:rsidR="000120E1" w:rsidP="00DC0FAE" w:rsidRDefault="000120E1" w14:paraId="156AA12F" w14:textId="77777777">
            <w:pPr>
              <w:tabs>
                <w:tab w:val="center" w:pos="284"/>
              </w:tabs>
              <w:spacing w:line="259" w:lineRule="auto"/>
              <w:ind w:left="266" w:hanging="266"/>
              <w:jc w:val="left"/>
              <w:rPr>
                <w:rFonts w:eastAsiaTheme="minorHAnsi"/>
                <w:szCs w:val="24"/>
              </w:rPr>
            </w:pPr>
            <w:r w:rsidRPr="00C9001B">
              <w:t>EESC-2024-00878-00-00-AC</w:t>
            </w:r>
          </w:p>
        </w:tc>
      </w:tr>
    </w:tbl>
    <w:p w:rsidRPr="00C9001B" w:rsidR="000120E1" w:rsidP="000120E1" w:rsidRDefault="000120E1" w14:paraId="07738945" w14:textId="77777777">
      <w:pPr>
        <w:widowControl w:val="0"/>
        <w:tabs>
          <w:tab w:val="left" w:pos="1843"/>
        </w:tabs>
        <w:overflowPunct w:val="0"/>
        <w:autoSpaceDE w:val="0"/>
        <w:autoSpaceDN w:val="0"/>
        <w:adjustRightInd w:val="0"/>
        <w:textAlignment w:val="baseline"/>
        <w:rPr>
          <w:rFonts w:eastAsiaTheme="minorHAnsi"/>
          <w:b/>
          <w:lang w:val="en-US"/>
        </w:rPr>
      </w:pPr>
    </w:p>
    <w:p w:rsidRPr="00C9001B" w:rsidR="000120E1" w:rsidP="000120E1" w:rsidRDefault="000120E1" w14:paraId="7665D3CF" w14:textId="77777777">
      <w:pPr>
        <w:keepNext/>
        <w:keepLines/>
        <w:spacing w:after="160" w:line="259" w:lineRule="auto"/>
        <w:ind w:left="142" w:hanging="142"/>
        <w:jc w:val="left"/>
        <w:rPr>
          <w:rFonts w:eastAsiaTheme="minorHAnsi"/>
          <w:b/>
        </w:rPr>
      </w:pPr>
      <w:r w:rsidRPr="00C9001B">
        <w:rPr>
          <w:b/>
        </w:rPr>
        <w:t>Punti principali</w:t>
      </w:r>
    </w:p>
    <w:p w:rsidRPr="00C9001B" w:rsidR="000120E1" w:rsidP="00DC0FAE" w:rsidRDefault="000120E1" w14:paraId="3B7BB1CC" w14:textId="77777777">
      <w:pPr>
        <w:spacing w:after="160" w:line="259" w:lineRule="auto"/>
        <w:jc w:val="left"/>
        <w:rPr>
          <w:rFonts w:eastAsiaTheme="minorHAnsi"/>
        </w:rPr>
      </w:pPr>
      <w:r w:rsidRPr="00C9001B">
        <w:t>Il CESE:</w:t>
      </w:r>
    </w:p>
    <w:p w:rsidRPr="00C9001B" w:rsidR="000120E1" w:rsidP="00DC0FAE" w:rsidRDefault="000120E1" w14:paraId="1360B3DB" w14:textId="77777777">
      <w:pPr>
        <w:numPr>
          <w:ilvl w:val="0"/>
          <w:numId w:val="26"/>
        </w:numPr>
        <w:spacing w:after="160" w:line="259" w:lineRule="auto"/>
        <w:ind w:left="284" w:hanging="284"/>
        <w:contextualSpacing/>
        <w:rPr>
          <w:rFonts w:eastAsiaTheme="minorHAnsi"/>
        </w:rPr>
      </w:pPr>
      <w:r w:rsidRPr="00C9001B">
        <w:rPr>
          <w:b/>
        </w:rPr>
        <w:t>accoglie con favore</w:t>
      </w:r>
      <w:r w:rsidRPr="00C9001B">
        <w:t xml:space="preserve"> </w:t>
      </w:r>
      <w:r w:rsidRPr="00C9001B">
        <w:rPr>
          <w:b/>
        </w:rPr>
        <w:t>la strategia di gestione industriale del carbonio</w:t>
      </w:r>
      <w:r w:rsidRPr="00C9001B">
        <w:t xml:space="preserve">, ritenendo la comunicazione al riguardo </w:t>
      </w:r>
      <w:r w:rsidRPr="00C9001B">
        <w:rPr>
          <w:b/>
        </w:rPr>
        <w:t>un documento assai equilibrato</w:t>
      </w:r>
      <w:r w:rsidRPr="00C9001B">
        <w:t xml:space="preserve"> che esplora molti elementi essenziali per </w:t>
      </w:r>
      <w:r w:rsidRPr="00C9001B">
        <w:rPr>
          <w:b/>
        </w:rPr>
        <w:t>diffondere la cattura e lo stoccaggio del carbonio (</w:t>
      </w:r>
      <w:r w:rsidRPr="00C9001B">
        <w:rPr>
          <w:b/>
          <w:i/>
          <w:iCs/>
        </w:rPr>
        <w:t>Carbon Capture and Storage</w:t>
      </w:r>
      <w:r w:rsidRPr="00C9001B">
        <w:rPr>
          <w:b/>
        </w:rPr>
        <w:t>, CCS) e la cattura e l'utilizzo del carbonio (</w:t>
      </w:r>
      <w:r w:rsidRPr="00C9001B">
        <w:rPr>
          <w:b/>
          <w:i/>
          <w:iCs/>
        </w:rPr>
        <w:t>Carbon Capture and Utilisation</w:t>
      </w:r>
      <w:r w:rsidRPr="00C9001B">
        <w:rPr>
          <w:b/>
        </w:rPr>
        <w:t>, CCU) su scala industriale nell'UE</w:t>
      </w:r>
      <w:r w:rsidRPr="00C9001B">
        <w:t>;</w:t>
      </w:r>
    </w:p>
    <w:p w:rsidRPr="00C9001B" w:rsidR="000120E1" w:rsidP="00DC0FAE" w:rsidRDefault="000120E1" w14:paraId="7FE09CBD" w14:textId="77777777">
      <w:pPr>
        <w:numPr>
          <w:ilvl w:val="0"/>
          <w:numId w:val="26"/>
        </w:numPr>
        <w:spacing w:after="160" w:line="259" w:lineRule="auto"/>
        <w:ind w:left="284" w:hanging="284"/>
        <w:contextualSpacing/>
        <w:rPr>
          <w:rFonts w:eastAsiaTheme="minorHAnsi"/>
        </w:rPr>
      </w:pPr>
      <w:r w:rsidRPr="00C9001B">
        <w:t xml:space="preserve">riconosce che, al fine di realizzare </w:t>
      </w:r>
      <w:r w:rsidRPr="00C9001B">
        <w:rPr>
          <w:b/>
        </w:rPr>
        <w:t>un mercato unico del carbonio, occorre creare infrastrutture, anche transfrontaliere, di stoccaggio e trasporto</w:t>
      </w:r>
      <w:r w:rsidRPr="00C9001B">
        <w:t xml:space="preserve">, come pure </w:t>
      </w:r>
      <w:r w:rsidRPr="00C9001B">
        <w:rPr>
          <w:b/>
        </w:rPr>
        <w:t>stabilire</w:t>
      </w:r>
      <w:r w:rsidRPr="00C9001B">
        <w:t xml:space="preserve"> </w:t>
      </w:r>
      <w:r w:rsidRPr="00C9001B">
        <w:rPr>
          <w:b/>
        </w:rPr>
        <w:t>norme di mercato</w:t>
      </w:r>
      <w:r w:rsidRPr="00C9001B">
        <w:t xml:space="preserve"> in materia; </w:t>
      </w:r>
    </w:p>
    <w:p w:rsidRPr="00C9001B" w:rsidR="000120E1" w:rsidP="00DC0FAE" w:rsidRDefault="000120E1" w14:paraId="66EA0A1A" w14:textId="77777777">
      <w:pPr>
        <w:numPr>
          <w:ilvl w:val="0"/>
          <w:numId w:val="26"/>
        </w:numPr>
        <w:spacing w:after="160" w:line="259" w:lineRule="auto"/>
        <w:ind w:left="284" w:hanging="284"/>
        <w:contextualSpacing/>
        <w:rPr>
          <w:rFonts w:eastAsiaTheme="minorHAnsi"/>
        </w:rPr>
      </w:pPr>
      <w:r w:rsidRPr="00C9001B">
        <w:t xml:space="preserve">richiama l'attenzione sulla necessità di </w:t>
      </w:r>
      <w:r w:rsidRPr="00C9001B">
        <w:rPr>
          <w:b/>
        </w:rPr>
        <w:t>adattare le strategie di gestione del carbonio ai singoli settori industriali</w:t>
      </w:r>
      <w:r w:rsidRPr="00C9001B">
        <w:t>;</w:t>
      </w:r>
    </w:p>
    <w:p w:rsidRPr="00C9001B" w:rsidR="000120E1" w:rsidP="00DC0FAE" w:rsidRDefault="000120E1" w14:paraId="3B9262A2" w14:textId="77777777">
      <w:pPr>
        <w:numPr>
          <w:ilvl w:val="0"/>
          <w:numId w:val="26"/>
        </w:numPr>
        <w:spacing w:after="160" w:line="259" w:lineRule="auto"/>
        <w:ind w:left="284" w:hanging="284"/>
        <w:contextualSpacing/>
        <w:rPr>
          <w:rFonts w:eastAsiaTheme="minorHAnsi"/>
        </w:rPr>
      </w:pPr>
      <w:r w:rsidRPr="00C9001B">
        <w:t xml:space="preserve">ritiene fondamentale </w:t>
      </w:r>
      <w:r w:rsidRPr="00C9001B">
        <w:rPr>
          <w:b/>
        </w:rPr>
        <w:t>individuare gli ostacoli che impediscono di attuare in maniera efficace le pratiche esistenti di gestione del carbonio</w:t>
      </w:r>
      <w:r w:rsidRPr="00C9001B">
        <w:t>, in modo da poter apportare le modifiche necessarie e definire delle strategie;</w:t>
      </w:r>
    </w:p>
    <w:p w:rsidRPr="00C9001B" w:rsidR="000120E1" w:rsidP="00DC0FAE" w:rsidRDefault="000120E1" w14:paraId="79DEBCDC" w14:textId="77777777">
      <w:pPr>
        <w:numPr>
          <w:ilvl w:val="0"/>
          <w:numId w:val="26"/>
        </w:numPr>
        <w:spacing w:after="160" w:line="259" w:lineRule="auto"/>
        <w:ind w:left="284" w:hanging="284"/>
        <w:contextualSpacing/>
        <w:rPr>
          <w:rFonts w:eastAsiaTheme="minorHAnsi"/>
        </w:rPr>
      </w:pPr>
      <w:r w:rsidRPr="00C9001B">
        <w:t xml:space="preserve">è del parere che l'UE abbia bisogno di una </w:t>
      </w:r>
      <w:r w:rsidRPr="00C9001B">
        <w:rPr>
          <w:b/>
        </w:rPr>
        <w:t>strategia industriale per il carbonio, che stimoli la crescita in modo sostenibile</w:t>
      </w:r>
      <w:r w:rsidRPr="00C9001B">
        <w:t xml:space="preserve"> e che non solo</w:t>
      </w:r>
      <w:r w:rsidRPr="00C9001B">
        <w:rPr>
          <w:b/>
        </w:rPr>
        <w:t xml:space="preserve"> realizzi le misure del Green Deal,</w:t>
      </w:r>
      <w:r w:rsidRPr="00C9001B">
        <w:t xml:space="preserve"> ma </w:t>
      </w:r>
      <w:r w:rsidRPr="00C9001B">
        <w:rPr>
          <w:b/>
        </w:rPr>
        <w:t>garantisca anche posti di lavoro di qualità e una transizione giusta per i lavoratori,</w:t>
      </w:r>
      <w:r w:rsidRPr="00C9001B">
        <w:t xml:space="preserve"> oltre a individuare le </w:t>
      </w:r>
      <w:r w:rsidRPr="00C9001B">
        <w:rPr>
          <w:b/>
        </w:rPr>
        <w:t>carenze di manodopera e di competenze</w:t>
      </w:r>
      <w:r w:rsidRPr="00C9001B">
        <w:t xml:space="preserve">; </w:t>
      </w:r>
      <w:r w:rsidRPr="00C9001B">
        <w:rPr>
          <w:b/>
        </w:rPr>
        <w:t>per attenuarne le conseguenze,</w:t>
      </w:r>
      <w:r w:rsidRPr="00C9001B">
        <w:t xml:space="preserve"> la strategia dev'essere accompagnata da azioni di </w:t>
      </w:r>
      <w:r w:rsidRPr="00C9001B">
        <w:rPr>
          <w:b/>
        </w:rPr>
        <w:t>riqualificazione professionale e miglioramento delle competenze</w:t>
      </w:r>
      <w:r w:rsidRPr="00C9001B">
        <w:t>;</w:t>
      </w:r>
    </w:p>
    <w:p w:rsidRPr="00C9001B" w:rsidR="000120E1" w:rsidP="00DC0FAE" w:rsidRDefault="000120E1" w14:paraId="71004638" w14:textId="77777777">
      <w:pPr>
        <w:numPr>
          <w:ilvl w:val="0"/>
          <w:numId w:val="26"/>
        </w:numPr>
        <w:spacing w:after="160" w:line="259" w:lineRule="auto"/>
        <w:ind w:left="284" w:hanging="284"/>
        <w:contextualSpacing/>
        <w:rPr>
          <w:rFonts w:eastAsiaTheme="minorHAnsi"/>
        </w:rPr>
      </w:pPr>
      <w:r w:rsidRPr="00C9001B">
        <w:t xml:space="preserve">raccomanda di redigere </w:t>
      </w:r>
      <w:r w:rsidRPr="00C9001B">
        <w:rPr>
          <w:b/>
        </w:rPr>
        <w:t>un piano di investimenti ben preciso per lo sviluppo delle tecnologie CCS/CCU</w:t>
      </w:r>
      <w:r w:rsidRPr="00C9001B">
        <w:t xml:space="preserve">, e che </w:t>
      </w:r>
      <w:r w:rsidRPr="00C9001B">
        <w:rPr>
          <w:b/>
        </w:rPr>
        <w:t>il finanziamento pubblico disponga di un meccanismo di condizionalità sociale orientato alla creazione e al mantenimento di posti di lavoro di qualità</w:t>
      </w:r>
      <w:r w:rsidRPr="00C9001B">
        <w:t>;</w:t>
      </w:r>
    </w:p>
    <w:p w:rsidRPr="00C9001B" w:rsidR="000120E1" w:rsidP="00DC0FAE" w:rsidRDefault="000120E1" w14:paraId="3292CDC0" w14:textId="55AE9E4F">
      <w:pPr>
        <w:numPr>
          <w:ilvl w:val="0"/>
          <w:numId w:val="26"/>
        </w:numPr>
        <w:spacing w:after="160" w:line="259" w:lineRule="auto"/>
        <w:ind w:left="284" w:hanging="284"/>
        <w:contextualSpacing/>
        <w:rPr>
          <w:rFonts w:eastAsiaTheme="minorHAnsi"/>
        </w:rPr>
      </w:pPr>
      <w:r w:rsidRPr="00C9001B">
        <w:t xml:space="preserve">ritiene che i progetti di riduzione del carbonio dovrebbero includere, in maniera equilibrata, </w:t>
      </w:r>
      <w:r w:rsidRPr="00C9001B">
        <w:rPr>
          <w:b/>
        </w:rPr>
        <w:t>sia le</w:t>
      </w:r>
      <w:r w:rsidRPr="00C9001B">
        <w:t xml:space="preserve"> </w:t>
      </w:r>
      <w:r w:rsidRPr="00C9001B">
        <w:rPr>
          <w:b/>
        </w:rPr>
        <w:t>tecnologie di assorbimento sia quelle di prevenzione del carbonio</w:t>
      </w:r>
      <w:r w:rsidRPr="00C9001B">
        <w:t xml:space="preserve">, benché </w:t>
      </w:r>
      <w:r w:rsidRPr="00C9001B">
        <w:rPr>
          <w:b/>
        </w:rPr>
        <w:t xml:space="preserve">attualmente la prevenzione delle emissioni di </w:t>
      </w:r>
      <w:r w:rsidRPr="00C9001B" w:rsidR="00C9001B">
        <w:rPr>
          <w:b/>
        </w:rPr>
        <w:t>CO</w:t>
      </w:r>
      <w:r w:rsidRPr="00C9001B" w:rsidR="00C9001B">
        <w:rPr>
          <w:b/>
          <w:vertAlign w:val="subscript"/>
        </w:rPr>
        <w:t>2</w:t>
      </w:r>
      <w:r w:rsidRPr="00C9001B">
        <w:rPr>
          <w:b/>
        </w:rPr>
        <w:t xml:space="preserve"> non sia sostenuta in misura sufficiente</w:t>
      </w:r>
      <w:r w:rsidRPr="00C9001B">
        <w:t>;</w:t>
      </w:r>
    </w:p>
    <w:p w:rsidRPr="00C9001B" w:rsidR="000120E1" w:rsidP="00DC0FAE" w:rsidRDefault="000120E1" w14:paraId="44EC1EE2" w14:textId="77777777">
      <w:pPr>
        <w:numPr>
          <w:ilvl w:val="0"/>
          <w:numId w:val="26"/>
        </w:numPr>
        <w:spacing w:after="160" w:line="259" w:lineRule="auto"/>
        <w:ind w:left="284" w:hanging="284"/>
        <w:contextualSpacing/>
        <w:rPr>
          <w:rFonts w:eastAsiaTheme="minorHAnsi"/>
        </w:rPr>
      </w:pPr>
      <w:r w:rsidRPr="00C9001B">
        <w:t xml:space="preserve">raccomanda di </w:t>
      </w:r>
      <w:r w:rsidRPr="00C9001B">
        <w:rPr>
          <w:b/>
        </w:rPr>
        <w:t>istituire un nuovo regime di crediti, che sia distinto, ben concepito, solido e di elevata integrità, volto a prevenire le emissioni di carbonio</w:t>
      </w:r>
      <w:r w:rsidRPr="00C9001B">
        <w:t>, offrendo incentivi per la decarbonizzazione;</w:t>
      </w:r>
    </w:p>
    <w:p w:rsidRPr="00C9001B" w:rsidR="000120E1" w:rsidP="00DC0FAE" w:rsidRDefault="000120E1" w14:paraId="31699FAA" w14:textId="234D39A1">
      <w:pPr>
        <w:numPr>
          <w:ilvl w:val="0"/>
          <w:numId w:val="26"/>
        </w:numPr>
        <w:spacing w:after="160" w:line="259" w:lineRule="auto"/>
        <w:ind w:left="284" w:hanging="284"/>
        <w:contextualSpacing/>
        <w:rPr>
          <w:rFonts w:eastAsiaTheme="minorHAnsi"/>
        </w:rPr>
      </w:pPr>
      <w:r w:rsidRPr="00C9001B">
        <w:t xml:space="preserve">chiede che le </w:t>
      </w:r>
      <w:r w:rsidRPr="00C9001B">
        <w:rPr>
          <w:b/>
        </w:rPr>
        <w:t>quote all'interno del sistema di scambio di quote di emissione dell'UE (</w:t>
      </w:r>
      <w:r w:rsidRPr="00C9001B" w:rsidR="00C9001B">
        <w:rPr>
          <w:b/>
        </w:rPr>
        <w:t>EU</w:t>
      </w:r>
      <w:r w:rsidRPr="00C9001B">
        <w:rPr>
          <w:b/>
        </w:rPr>
        <w:t xml:space="preserve"> ETS) non vengano utilizzate come "crediti"</w:t>
      </w:r>
      <w:r w:rsidRPr="00C9001B">
        <w:t xml:space="preserve">, poiché questo potrebbe compromettere la natura del sistema </w:t>
      </w:r>
      <w:r w:rsidRPr="00C9001B" w:rsidR="00C9001B">
        <w:t>EU</w:t>
      </w:r>
      <w:r w:rsidRPr="00C9001B">
        <w:t xml:space="preserve"> ETS stesso, ovvero il fatto che sia basato sul mercato.</w:t>
      </w:r>
    </w:p>
    <w:p w:rsidRPr="00C9001B" w:rsidR="000120E1" w:rsidP="000120E1" w:rsidRDefault="000120E1" w14:paraId="3C1F1540" w14:textId="33153725">
      <w:pPr>
        <w:spacing w:after="160" w:line="259" w:lineRule="auto"/>
        <w:ind w:left="720"/>
        <w:contextualSpacing/>
        <w:jc w:val="left"/>
        <w:rPr>
          <w:rFonts w:eastAsiaTheme="minorHAnsi"/>
        </w:rPr>
      </w:pPr>
    </w:p>
    <w:p w:rsidRPr="00C9001B"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3039"/>
      </w:tblGrid>
      <w:tr w:rsidRPr="00C9001B" w:rsidR="000120E1" w:rsidTr="00FE3058" w14:paraId="5D2D90F0" w14:textId="77777777">
        <w:tc>
          <w:tcPr>
            <w:tcW w:w="3998" w:type="pct"/>
          </w:tcPr>
          <w:p w:rsidRPr="00C9001B" w:rsidR="000120E1" w:rsidP="00DC0FAE" w:rsidRDefault="000120E1" w14:paraId="0F7EFF96" w14:textId="77777777">
            <w:pPr>
              <w:spacing w:line="259" w:lineRule="auto"/>
              <w:jc w:val="left"/>
              <w:rPr>
                <w:rFonts w:eastAsiaTheme="minorHAnsi"/>
                <w:i/>
              </w:rPr>
            </w:pPr>
            <w:r w:rsidRPr="00C9001B">
              <w:rPr>
                <w:b/>
                <w:i/>
              </w:rPr>
              <w:t>Contatto</w:t>
            </w:r>
          </w:p>
        </w:tc>
        <w:tc>
          <w:tcPr>
            <w:tcW w:w="1002" w:type="pct"/>
            <w:tcBorders>
              <w:left w:val="nil"/>
            </w:tcBorders>
          </w:tcPr>
          <w:p w:rsidRPr="00C9001B" w:rsidR="000120E1" w:rsidP="00DC0FAE" w:rsidRDefault="000120E1" w14:paraId="161FCDF9" w14:textId="041A1233">
            <w:pPr>
              <w:spacing w:line="259" w:lineRule="auto"/>
              <w:jc w:val="left"/>
              <w:rPr>
                <w:rFonts w:eastAsiaTheme="minorHAnsi"/>
                <w:i/>
              </w:rPr>
            </w:pPr>
            <w:r w:rsidRPr="00C9001B">
              <w:rPr>
                <w:i/>
              </w:rPr>
              <w:t>Adam DORYWALSKI</w:t>
            </w:r>
          </w:p>
        </w:tc>
      </w:tr>
      <w:tr w:rsidRPr="00C9001B" w:rsidR="000120E1" w:rsidTr="00FE3058" w14:paraId="4F400A68" w14:textId="77777777">
        <w:tc>
          <w:tcPr>
            <w:tcW w:w="3998" w:type="pct"/>
          </w:tcPr>
          <w:p w:rsidRPr="00C9001B" w:rsidR="000120E1" w:rsidP="00DC0FAE" w:rsidRDefault="000120E1" w14:paraId="381E2BF8" w14:textId="77777777">
            <w:pPr>
              <w:spacing w:line="259" w:lineRule="auto"/>
              <w:jc w:val="left"/>
              <w:rPr>
                <w:rFonts w:eastAsiaTheme="minorHAnsi"/>
                <w:i/>
              </w:rPr>
            </w:pPr>
            <w:r w:rsidRPr="00C9001B">
              <w:rPr>
                <w:i/>
              </w:rPr>
              <w:t xml:space="preserve">Tel. </w:t>
            </w:r>
          </w:p>
        </w:tc>
        <w:tc>
          <w:tcPr>
            <w:tcW w:w="1002" w:type="pct"/>
            <w:tcBorders>
              <w:left w:val="nil"/>
            </w:tcBorders>
          </w:tcPr>
          <w:p w:rsidRPr="00C9001B" w:rsidR="000120E1" w:rsidP="00DC0FAE" w:rsidRDefault="000120E1" w14:paraId="78898855" w14:textId="77777777">
            <w:pPr>
              <w:spacing w:line="259" w:lineRule="auto"/>
              <w:jc w:val="left"/>
              <w:rPr>
                <w:rFonts w:eastAsiaTheme="minorHAnsi"/>
                <w:i/>
              </w:rPr>
            </w:pPr>
            <w:r w:rsidRPr="00C9001B">
              <w:rPr>
                <w:i/>
              </w:rPr>
              <w:t>+32 25469397</w:t>
            </w:r>
          </w:p>
        </w:tc>
      </w:tr>
      <w:tr w:rsidRPr="00C9001B" w:rsidR="000120E1" w:rsidTr="00FE3058" w14:paraId="63DC3EB7" w14:textId="77777777">
        <w:tc>
          <w:tcPr>
            <w:tcW w:w="3998" w:type="pct"/>
          </w:tcPr>
          <w:p w:rsidRPr="00C9001B" w:rsidR="000120E1" w:rsidP="00DC0FAE" w:rsidRDefault="00C9001B" w14:paraId="66DC166A" w14:textId="72168BA2">
            <w:pPr>
              <w:spacing w:line="259" w:lineRule="auto"/>
              <w:jc w:val="left"/>
              <w:rPr>
                <w:rFonts w:eastAsiaTheme="minorHAnsi"/>
                <w:i/>
                <w:iCs/>
              </w:rPr>
            </w:pPr>
            <w:r w:rsidRPr="00C9001B">
              <w:rPr>
                <w:i/>
              </w:rPr>
              <w:t>E</w:t>
            </w:r>
            <w:r w:rsidRPr="00C9001B" w:rsidR="00DD6D07">
              <w:rPr>
                <w:i/>
              </w:rPr>
              <w:t>-mail</w:t>
            </w:r>
          </w:p>
        </w:tc>
        <w:tc>
          <w:tcPr>
            <w:tcW w:w="1002" w:type="pct"/>
            <w:tcBorders>
              <w:left w:val="nil"/>
            </w:tcBorders>
          </w:tcPr>
          <w:p w:rsidRPr="00C9001B" w:rsidR="000120E1" w:rsidP="00DC0FAE" w:rsidRDefault="00E736C8" w14:paraId="2454CA29" w14:textId="77777777">
            <w:pPr>
              <w:spacing w:line="259" w:lineRule="auto"/>
              <w:jc w:val="left"/>
              <w:rPr>
                <w:rFonts w:eastAsiaTheme="minorHAnsi"/>
                <w:i/>
                <w:iCs/>
              </w:rPr>
            </w:pPr>
            <w:hyperlink w:history="1" r:id="rId36">
              <w:r w:rsidRPr="00C9001B" w:rsidR="00D63208">
                <w:rPr>
                  <w:i/>
                  <w:color w:val="0000FF"/>
                  <w:u w:val="single"/>
                </w:rPr>
                <w:t>Adam.Dorywalski@eesc.europa.eu</w:t>
              </w:r>
            </w:hyperlink>
          </w:p>
        </w:tc>
      </w:tr>
    </w:tbl>
    <w:p w:rsidRPr="00C9001B" w:rsidR="00B612CA" w:rsidP="00895853" w:rsidRDefault="00B612CA" w14:paraId="761EE0FB" w14:textId="19A9F226">
      <w:pPr>
        <w:overflowPunct w:val="0"/>
        <w:autoSpaceDE w:val="0"/>
        <w:autoSpaceDN w:val="0"/>
        <w:adjustRightInd w:val="0"/>
        <w:jc w:val="left"/>
        <w:textAlignment w:val="baseline"/>
        <w:rPr>
          <w:lang w:val="nl-BE"/>
        </w:rPr>
      </w:pPr>
    </w:p>
    <w:p w:rsidRPr="00C9001B" w:rsidR="003C2FB3" w:rsidRDefault="003C2FB3" w14:paraId="27BB641D" w14:textId="1147CAD7">
      <w:pPr>
        <w:spacing w:after="160" w:line="259" w:lineRule="auto"/>
        <w:jc w:val="left"/>
      </w:pPr>
      <w:r w:rsidRPr="00C9001B">
        <w:br w:type="page"/>
      </w:r>
    </w:p>
    <w:p w:rsidRPr="00C9001B" w:rsidR="003C2FB3" w:rsidP="00C26C81" w:rsidRDefault="00E736C8" w14:paraId="2D57F018" w14:textId="4219F1FE">
      <w:pPr>
        <w:widowControl w:val="0"/>
        <w:numPr>
          <w:ilvl w:val="0"/>
          <w:numId w:val="7"/>
        </w:numPr>
        <w:overflowPunct w:val="0"/>
        <w:autoSpaceDE w:val="0"/>
        <w:autoSpaceDN w:val="0"/>
        <w:adjustRightInd w:val="0"/>
        <w:ind w:hanging="567"/>
        <w:textAlignment w:val="baseline"/>
        <w:rPr>
          <w:sz w:val="20"/>
          <w:szCs w:val="20"/>
        </w:rPr>
      </w:pPr>
      <w:hyperlink w:history="1" r:id="rId37">
        <w:r w:rsidRPr="00C9001B" w:rsidR="00C9001B">
          <w:rPr>
            <w:b/>
            <w:i/>
            <w:color w:val="0000FF"/>
            <w:sz w:val="28"/>
            <w:u w:val="single"/>
          </w:rPr>
          <w:t>Strategia</w:t>
        </w:r>
        <w:r w:rsidRPr="00C9001B" w:rsidR="00CE4B73">
          <w:rPr>
            <w:b/>
            <w:i/>
            <w:color w:val="0000FF"/>
            <w:sz w:val="28"/>
            <w:u w:val="single"/>
          </w:rPr>
          <w:t xml:space="preserve"> industriale europea della dif</w:t>
        </w:r>
        <w:r w:rsidRPr="00C9001B" w:rsidR="00CE4B73">
          <w:rPr>
            <w:b/>
            <w:i/>
            <w:color w:val="0000FF"/>
            <w:sz w:val="28"/>
            <w:u w:val="single"/>
          </w:rPr>
          <w:t>e</w:t>
        </w:r>
        <w:r w:rsidRPr="00C9001B" w:rsidR="00CE4B73">
          <w:rPr>
            <w:b/>
            <w:i/>
            <w:color w:val="0000FF"/>
            <w:sz w:val="28"/>
            <w:u w:val="single"/>
          </w:rPr>
          <w:t>sa</w:t>
        </w:r>
      </w:hyperlink>
    </w:p>
    <w:p w:rsidRPr="00C9001B" w:rsidR="003C2FB3" w:rsidP="003C2FB3" w:rsidRDefault="003C2FB3" w14:paraId="21A2A52F" w14:textId="2BFA8D76">
      <w:pPr>
        <w:tabs>
          <w:tab w:val="center" w:pos="284"/>
        </w:tabs>
        <w:overflowPunct w:val="0"/>
        <w:autoSpaceDE w:val="0"/>
        <w:autoSpaceDN w:val="0"/>
        <w:adjustRightInd w:val="0"/>
        <w:ind w:left="266" w:hanging="266"/>
        <w:textAlignment w:val="baseline"/>
        <w:rPr>
          <w:b/>
        </w:rPr>
      </w:pPr>
    </w:p>
    <w:p w:rsidRPr="00C9001B" w:rsidR="003C2FB3" w:rsidP="003C2FB3" w:rsidRDefault="003C2FB3" w14:paraId="4611B857" w14:textId="0220734C">
      <w:pPr>
        <w:tabs>
          <w:tab w:val="center" w:pos="284"/>
        </w:tabs>
        <w:overflowPunct w:val="0"/>
        <w:autoSpaceDE w:val="0"/>
        <w:autoSpaceDN w:val="0"/>
        <w:adjustRightInd w:val="0"/>
        <w:ind w:left="266" w:hanging="266"/>
        <w:textAlignment w:val="baseline"/>
        <w:rPr>
          <w:b/>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C9001B" w:rsidR="003C2FB3" w:rsidTr="00FE3058" w14:paraId="30A6177E" w14:textId="77777777">
        <w:tc>
          <w:tcPr>
            <w:tcW w:w="1148" w:type="pct"/>
          </w:tcPr>
          <w:p w:rsidRPr="00C9001B" w:rsidR="003C2FB3" w:rsidP="003C2FB3" w:rsidRDefault="00C9001B" w14:paraId="77A7B517" w14:textId="29533EC0">
            <w:pPr>
              <w:tabs>
                <w:tab w:val="center" w:pos="284"/>
              </w:tabs>
              <w:overflowPunct w:val="0"/>
              <w:autoSpaceDE w:val="0"/>
              <w:autoSpaceDN w:val="0"/>
              <w:adjustRightInd w:val="0"/>
              <w:ind w:left="266" w:hanging="266"/>
              <w:textAlignment w:val="baseline"/>
              <w:rPr>
                <w:b/>
              </w:rPr>
            </w:pPr>
            <w:r w:rsidRPr="00C9001B">
              <w:rPr>
                <w:b/>
              </w:rPr>
              <w:t>Relatore</w:t>
            </w:r>
          </w:p>
        </w:tc>
        <w:tc>
          <w:tcPr>
            <w:tcW w:w="3852" w:type="pct"/>
          </w:tcPr>
          <w:p w:rsidRPr="00C9001B" w:rsidR="003C2FB3" w:rsidP="003C2FB3" w:rsidRDefault="003C2FB3" w14:paraId="77DB3C52" w14:textId="0705E08B">
            <w:pPr>
              <w:tabs>
                <w:tab w:val="center" w:pos="284"/>
              </w:tabs>
              <w:overflowPunct w:val="0"/>
              <w:autoSpaceDE w:val="0"/>
              <w:autoSpaceDN w:val="0"/>
              <w:adjustRightInd w:val="0"/>
              <w:ind w:left="266" w:hanging="266"/>
              <w:textAlignment w:val="baseline"/>
            </w:pPr>
            <w:r w:rsidRPr="00C9001B">
              <w:t>Maurizio MENSI (Organizzazioni della società civile - IT)</w:t>
            </w:r>
          </w:p>
        </w:tc>
      </w:tr>
      <w:tr w:rsidRPr="00C9001B" w:rsidR="003C2FB3" w:rsidTr="00FE3058" w14:paraId="4330C7A8" w14:textId="77777777">
        <w:tc>
          <w:tcPr>
            <w:tcW w:w="1148" w:type="pct"/>
          </w:tcPr>
          <w:p w:rsidRPr="00C9001B" w:rsidR="003C2FB3" w:rsidP="003C2FB3" w:rsidRDefault="00C9001B" w14:paraId="6EE0006E" w14:textId="2A4B00A6">
            <w:pPr>
              <w:tabs>
                <w:tab w:val="center" w:pos="284"/>
              </w:tabs>
              <w:overflowPunct w:val="0"/>
              <w:autoSpaceDE w:val="0"/>
              <w:autoSpaceDN w:val="0"/>
              <w:adjustRightInd w:val="0"/>
              <w:ind w:left="266" w:hanging="266"/>
              <w:textAlignment w:val="baseline"/>
              <w:rPr>
                <w:b/>
              </w:rPr>
            </w:pPr>
            <w:r w:rsidRPr="00C9001B">
              <w:rPr>
                <w:b/>
              </w:rPr>
              <w:t>Correlatore</w:t>
            </w:r>
          </w:p>
        </w:tc>
        <w:tc>
          <w:tcPr>
            <w:tcW w:w="3852" w:type="pct"/>
          </w:tcPr>
          <w:p w:rsidRPr="00C9001B" w:rsidR="003C2FB3" w:rsidP="003C2FB3" w:rsidRDefault="003C2FB3" w14:paraId="227D7CFD" w14:textId="663C4424">
            <w:pPr>
              <w:tabs>
                <w:tab w:val="center" w:pos="284"/>
              </w:tabs>
              <w:overflowPunct w:val="0"/>
              <w:autoSpaceDE w:val="0"/>
              <w:autoSpaceDN w:val="0"/>
              <w:adjustRightInd w:val="0"/>
              <w:ind w:left="266" w:hanging="266"/>
              <w:textAlignment w:val="baseline"/>
            </w:pPr>
            <w:r w:rsidRPr="00C9001B">
              <w:t>Jan PIE (</w:t>
            </w:r>
            <w:r w:rsidRPr="00C9001B" w:rsidR="00C9001B">
              <w:t>c</w:t>
            </w:r>
            <w:r w:rsidRPr="00C9001B">
              <w:t>at. 1 - SE)</w:t>
            </w:r>
          </w:p>
        </w:tc>
      </w:tr>
      <w:tr w:rsidRPr="00C9001B" w:rsidR="003C2FB3" w:rsidTr="00FE3058" w14:paraId="5B13BE6E" w14:textId="77777777">
        <w:tc>
          <w:tcPr>
            <w:tcW w:w="5000" w:type="pct"/>
            <w:gridSpan w:val="2"/>
          </w:tcPr>
          <w:p w:rsidRPr="00C9001B"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C9001B" w:rsidR="003C2FB3" w:rsidTr="00FE3058" w14:paraId="53790FDC" w14:textId="77777777">
        <w:tc>
          <w:tcPr>
            <w:tcW w:w="1148" w:type="pct"/>
          </w:tcPr>
          <w:p w:rsidRPr="00C9001B"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sidRPr="00C9001B">
              <w:rPr>
                <w:b/>
              </w:rPr>
              <w:t>Riferimenti</w:t>
            </w:r>
          </w:p>
        </w:tc>
        <w:tc>
          <w:tcPr>
            <w:tcW w:w="3852" w:type="pct"/>
          </w:tcPr>
          <w:p w:rsidRPr="00C9001B" w:rsidR="00DD6911" w:rsidP="003C2FB3" w:rsidRDefault="00DD6911" w14:paraId="716A7B7A" w14:textId="397FFFB3">
            <w:pPr>
              <w:tabs>
                <w:tab w:val="center" w:pos="284"/>
              </w:tabs>
              <w:overflowPunct w:val="0"/>
              <w:autoSpaceDE w:val="0"/>
              <w:autoSpaceDN w:val="0"/>
              <w:adjustRightInd w:val="0"/>
              <w:ind w:left="266" w:hanging="266"/>
              <w:textAlignment w:val="baseline"/>
            </w:pPr>
            <w:r w:rsidRPr="00C9001B">
              <w:t>JOIN(2024) 10 final</w:t>
            </w:r>
          </w:p>
          <w:p w:rsidRPr="00C9001B" w:rsidR="003C2FB3" w:rsidP="003C2FB3" w:rsidRDefault="003C2FB3" w14:paraId="2AE94E99" w14:textId="68928235">
            <w:pPr>
              <w:tabs>
                <w:tab w:val="center" w:pos="284"/>
              </w:tabs>
              <w:overflowPunct w:val="0"/>
              <w:autoSpaceDE w:val="0"/>
              <w:autoSpaceDN w:val="0"/>
              <w:adjustRightInd w:val="0"/>
              <w:ind w:left="266" w:hanging="266"/>
              <w:textAlignment w:val="baseline"/>
            </w:pPr>
            <w:r w:rsidRPr="00C9001B">
              <w:t>EESC-2024-00782-00-00-AC</w:t>
            </w:r>
          </w:p>
        </w:tc>
      </w:tr>
    </w:tbl>
    <w:p w:rsidRPr="00C9001B"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C9001B"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sidRPr="00C9001B">
        <w:rPr>
          <w:b/>
        </w:rPr>
        <w:t>Punti principali</w:t>
      </w:r>
    </w:p>
    <w:p w:rsidRPr="00C9001B"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
        </w:rPr>
      </w:pPr>
    </w:p>
    <w:p w:rsidRPr="00C9001B" w:rsidR="003C2FB3" w:rsidP="003C2FB3" w:rsidRDefault="003C2FB3" w14:paraId="54D38215" w14:textId="77777777">
      <w:pPr>
        <w:overflowPunct w:val="0"/>
        <w:autoSpaceDE w:val="0"/>
        <w:autoSpaceDN w:val="0"/>
        <w:adjustRightInd w:val="0"/>
        <w:textAlignment w:val="baseline"/>
        <w:rPr>
          <w:bCs/>
          <w:iCs/>
        </w:rPr>
      </w:pPr>
      <w:r w:rsidRPr="00C9001B">
        <w:t>Il CESE:</w:t>
      </w:r>
    </w:p>
    <w:p w:rsidRPr="00C9001B" w:rsidR="003C2FB3" w:rsidP="003C2FB3" w:rsidRDefault="003C2FB3" w14:paraId="513233EC" w14:textId="77777777">
      <w:pPr>
        <w:overflowPunct w:val="0"/>
        <w:autoSpaceDE w:val="0"/>
        <w:autoSpaceDN w:val="0"/>
        <w:adjustRightInd w:val="0"/>
        <w:ind w:left="567" w:hanging="567"/>
        <w:textAlignment w:val="baseline"/>
        <w:rPr>
          <w:szCs w:val="20"/>
        </w:rPr>
      </w:pPr>
    </w:p>
    <w:p w:rsidRPr="00C9001B"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rsidRPr="00C9001B">
        <w:t>accoglie con favore la strategia industriale europea della difesa, che rappresenta un passo importante verso il rafforzamento della prontezza dell'Europa alla difesa e quindi della sua capacità di proteggere i suoi cittadini, il suo territorio, i suoi valori fondamentali e il suo stile di vita;</w:t>
      </w:r>
    </w:p>
    <w:p w:rsidRPr="00C9001B"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rsidRPr="00C9001B">
        <w:t>si compiace del cambio di approccio, che dalle misure di emergenza è passato a una risposta strutturale a più lungo termine. In particolare, accoglie con favore l'attenzione riservata all'esigenza di aumentare il ricorso a fonti europee per soddisfare le esigenze europee;</w:t>
      </w:r>
    </w:p>
    <w:p w:rsidRPr="00C9001B"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rsidRPr="00C9001B">
        <w:t>sottolinea l'importanza di sfruttare i partenariati con paesi amici che condividono i nostri valori al fine di conseguire gli obiettivi della strategia;</w:t>
      </w:r>
    </w:p>
    <w:p w:rsidRPr="00C9001B"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rsidRPr="00C9001B">
        <w:t>si rammarica che la strategia non affronti il tema dell'opinione pubblica, dato che si tratta di un fattore essenziale nelle società democratiche;</w:t>
      </w:r>
    </w:p>
    <w:p w:rsidRPr="00C9001B"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rsidRPr="00C9001B">
        <w:t>osserva che è improbabile che lo strumento principale per l'attuazione della strategia, ossia il programma per l'industria europea della difesa (EDIP), diventi operativo prima della fine del 2025. Pertanto, la strategia deve essere integrata da altre misure a breve termine volte a soddisfare le esigenze immediate;</w:t>
      </w:r>
    </w:p>
    <w:p w:rsidRPr="00C9001B"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rsidRPr="00C9001B">
        <w:t>invita gli Stati membri ad accogliere l'invito della Commissione a cercare nel breve termine le vie percorribili per promuovere – attraverso gli strumenti disponibili – appalti congiunti su vasta scala nel settore della difesa, l'espansione su larga scala della base industriale e tecnologica di difesa europea</w:t>
      </w:r>
      <w:r w:rsidRPr="00C9001B">
        <w:rPr>
          <w:b/>
          <w:bCs/>
        </w:rPr>
        <w:t xml:space="preserve"> (</w:t>
      </w:r>
      <w:r w:rsidRPr="00C9001B">
        <w:t>EDTIB) e l'avvio di progetti faro nel settore della difesa;</w:t>
      </w:r>
    </w:p>
    <w:p w:rsidRPr="00C9001B"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rsidRPr="00C9001B">
        <w:t>considera fondamentale, da un punto di vista sia industriale che strategico, garantire l'accesso dell'industria della difesa alle competenze, alla tecnologia e alla ricerca;</w:t>
      </w:r>
    </w:p>
    <w:p w:rsidRPr="00C9001B"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rsidRPr="00C9001B">
        <w:t>sottolinea che il successo della strategia dipenderà principalmente dal pieno coinvolgimento degli Stati membri e dal loro riconoscimento del valore aggiunto di un approccio europeo.</w:t>
      </w:r>
    </w:p>
    <w:p w:rsidRPr="00C9001B"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9001B" w:rsidR="003C2FB3" w:rsidTr="00FE3058" w14:paraId="0D2CEC95" w14:textId="77777777">
        <w:tc>
          <w:tcPr>
            <w:tcW w:w="1556" w:type="pct"/>
          </w:tcPr>
          <w:p w:rsidRPr="00C9001B" w:rsidR="003C2FB3" w:rsidP="003C2FB3" w:rsidRDefault="003C2FB3" w14:paraId="3BD45DE2" w14:textId="77777777">
            <w:pPr>
              <w:overflowPunct w:val="0"/>
              <w:autoSpaceDE w:val="0"/>
              <w:autoSpaceDN w:val="0"/>
              <w:adjustRightInd w:val="0"/>
              <w:spacing w:line="240" w:lineRule="auto"/>
              <w:textAlignment w:val="baseline"/>
              <w:rPr>
                <w:i/>
              </w:rPr>
            </w:pPr>
            <w:r w:rsidRPr="00C9001B">
              <w:rPr>
                <w:b/>
                <w:i/>
              </w:rPr>
              <w:t>Contatto</w:t>
            </w:r>
          </w:p>
        </w:tc>
        <w:tc>
          <w:tcPr>
            <w:tcW w:w="3444" w:type="pct"/>
          </w:tcPr>
          <w:p w:rsidRPr="00C9001B" w:rsidR="003C2FB3" w:rsidP="003C2FB3" w:rsidRDefault="003C2FB3" w14:paraId="5D226FEE" w14:textId="7F8C40FE">
            <w:pPr>
              <w:overflowPunct w:val="0"/>
              <w:autoSpaceDE w:val="0"/>
              <w:autoSpaceDN w:val="0"/>
              <w:adjustRightInd w:val="0"/>
              <w:spacing w:line="240" w:lineRule="auto"/>
              <w:textAlignment w:val="baseline"/>
              <w:rPr>
                <w:i/>
              </w:rPr>
            </w:pPr>
            <w:r w:rsidRPr="00C9001B">
              <w:rPr>
                <w:i/>
              </w:rPr>
              <w:t>Ioannis DIAMANTOPOULOS</w:t>
            </w:r>
          </w:p>
        </w:tc>
      </w:tr>
      <w:tr w:rsidRPr="00C9001B" w:rsidR="003C2FB3" w:rsidTr="00FE3058" w14:paraId="596191B0" w14:textId="77777777">
        <w:tc>
          <w:tcPr>
            <w:tcW w:w="1556" w:type="pct"/>
          </w:tcPr>
          <w:p w:rsidRPr="00C9001B" w:rsidR="003C2FB3" w:rsidP="003C2FB3" w:rsidRDefault="003C2FB3" w14:paraId="0F7CD1EB" w14:textId="77777777">
            <w:pPr>
              <w:overflowPunct w:val="0"/>
              <w:autoSpaceDE w:val="0"/>
              <w:autoSpaceDN w:val="0"/>
              <w:adjustRightInd w:val="0"/>
              <w:spacing w:line="240" w:lineRule="auto"/>
              <w:textAlignment w:val="baseline"/>
              <w:rPr>
                <w:i/>
              </w:rPr>
            </w:pPr>
            <w:r w:rsidRPr="00C9001B">
              <w:rPr>
                <w:i/>
              </w:rPr>
              <w:t>Tel.</w:t>
            </w:r>
          </w:p>
        </w:tc>
        <w:tc>
          <w:tcPr>
            <w:tcW w:w="3444" w:type="pct"/>
          </w:tcPr>
          <w:p w:rsidRPr="00C9001B" w:rsidR="003C2FB3" w:rsidP="003C2FB3" w:rsidRDefault="003C2FB3" w14:paraId="428DEA48" w14:textId="77777777">
            <w:pPr>
              <w:overflowPunct w:val="0"/>
              <w:autoSpaceDE w:val="0"/>
              <w:autoSpaceDN w:val="0"/>
              <w:adjustRightInd w:val="0"/>
              <w:spacing w:line="240" w:lineRule="auto"/>
              <w:textAlignment w:val="baseline"/>
              <w:rPr>
                <w:i/>
              </w:rPr>
            </w:pPr>
            <w:r w:rsidRPr="00C9001B">
              <w:rPr>
                <w:i/>
              </w:rPr>
              <w:t>+32 25469170</w:t>
            </w:r>
          </w:p>
        </w:tc>
      </w:tr>
      <w:tr w:rsidRPr="00C9001B" w:rsidR="003C2FB3" w:rsidTr="00FE3058" w14:paraId="2628CAA2" w14:textId="77777777">
        <w:tc>
          <w:tcPr>
            <w:tcW w:w="1556" w:type="pct"/>
          </w:tcPr>
          <w:p w:rsidRPr="00C9001B" w:rsidR="003C2FB3" w:rsidP="003C2FB3" w:rsidRDefault="00C9001B" w14:paraId="0F1EFC5C" w14:textId="00724016">
            <w:pPr>
              <w:overflowPunct w:val="0"/>
              <w:autoSpaceDE w:val="0"/>
              <w:autoSpaceDN w:val="0"/>
              <w:adjustRightInd w:val="0"/>
              <w:spacing w:line="240" w:lineRule="auto"/>
              <w:textAlignment w:val="baseline"/>
              <w:rPr>
                <w:i/>
              </w:rPr>
            </w:pPr>
            <w:r w:rsidRPr="00C9001B">
              <w:rPr>
                <w:i/>
              </w:rPr>
              <w:t>E</w:t>
            </w:r>
            <w:r w:rsidRPr="00C9001B" w:rsidR="003C2FB3">
              <w:rPr>
                <w:i/>
              </w:rPr>
              <w:t>-mail</w:t>
            </w:r>
          </w:p>
        </w:tc>
        <w:tc>
          <w:tcPr>
            <w:tcW w:w="3444" w:type="pct"/>
          </w:tcPr>
          <w:p w:rsidRPr="00C9001B" w:rsidR="003C2FB3" w:rsidP="003C2FB3" w:rsidRDefault="00E736C8" w14:paraId="32C40CB8" w14:textId="77777777">
            <w:pPr>
              <w:overflowPunct w:val="0"/>
              <w:autoSpaceDE w:val="0"/>
              <w:autoSpaceDN w:val="0"/>
              <w:adjustRightInd w:val="0"/>
              <w:spacing w:line="240" w:lineRule="auto"/>
              <w:textAlignment w:val="baseline"/>
              <w:rPr>
                <w:i/>
              </w:rPr>
            </w:pPr>
            <w:hyperlink w:history="1" r:id="rId38">
              <w:r w:rsidRPr="00C9001B" w:rsidR="00CE4B73">
                <w:rPr>
                  <w:i/>
                  <w:color w:val="0000FF"/>
                  <w:u w:val="single"/>
                </w:rPr>
                <w:t>Ioannis.Diamantopoulos@eesc.europa.eu</w:t>
              </w:r>
            </w:hyperlink>
          </w:p>
        </w:tc>
      </w:tr>
    </w:tbl>
    <w:p w:rsidRPr="00C9001B" w:rsidR="00B612CA" w:rsidP="00895853" w:rsidRDefault="00B612CA" w14:paraId="0A3D4AF6" w14:textId="77777777">
      <w:pPr>
        <w:overflowPunct w:val="0"/>
        <w:autoSpaceDE w:val="0"/>
        <w:autoSpaceDN w:val="0"/>
        <w:adjustRightInd w:val="0"/>
        <w:jc w:val="left"/>
        <w:textAlignment w:val="baseline"/>
        <w:rPr>
          <w:lang w:val="nl-BE"/>
        </w:rPr>
      </w:pPr>
    </w:p>
    <w:p w:rsidRPr="00C9001B" w:rsidR="00C26C81" w:rsidRDefault="00C26C81" w14:paraId="209CF203" w14:textId="6268DD8D">
      <w:pPr>
        <w:spacing w:after="160" w:line="259" w:lineRule="auto"/>
        <w:jc w:val="left"/>
      </w:pPr>
      <w:r w:rsidRPr="00C9001B">
        <w:br w:type="page"/>
      </w:r>
    </w:p>
    <w:p w:rsidRPr="00C9001B" w:rsidR="00C26C81" w:rsidP="00C26C81" w:rsidRDefault="00E736C8"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39">
        <w:r w:rsidRPr="00C9001B" w:rsidR="00CE4B73">
          <w:rPr>
            <w:b/>
            <w:i/>
            <w:color w:val="0000FF"/>
            <w:sz w:val="28"/>
            <w:u w:val="single"/>
          </w:rPr>
          <w:t xml:space="preserve">Approcci e buone pratiche </w:t>
        </w:r>
        <w:r w:rsidRPr="00C9001B" w:rsidR="00CE4B73">
          <w:rPr>
            <w:b/>
            <w:i/>
            <w:color w:val="0000FF"/>
            <w:sz w:val="28"/>
            <w:u w:val="single"/>
          </w:rPr>
          <w:t>i</w:t>
        </w:r>
        <w:r w:rsidRPr="00C9001B" w:rsidR="00CE4B73">
          <w:rPr>
            <w:b/>
            <w:i/>
            <w:color w:val="0000FF"/>
            <w:sz w:val="28"/>
            <w:u w:val="single"/>
          </w:rPr>
          <w:t>ndustriali e tecnologiche per una società resiliente sul piano delle risorse idriche</w:t>
        </w:r>
      </w:hyperlink>
    </w:p>
    <w:p w:rsidRPr="00C9001B" w:rsidR="00DF1937" w:rsidP="00C26C81" w:rsidRDefault="00DF1937" w14:paraId="48918DB7" w14:textId="77777777">
      <w:pPr>
        <w:tabs>
          <w:tab w:val="center" w:pos="284"/>
        </w:tabs>
        <w:overflowPunct w:val="0"/>
        <w:autoSpaceDE w:val="0"/>
        <w:autoSpaceDN w:val="0"/>
        <w:adjustRightInd w:val="0"/>
        <w:ind w:left="266" w:hanging="266"/>
        <w:textAlignment w:val="baseline"/>
        <w:rPr>
          <w:b/>
          <w:sz w:val="16"/>
          <w:szCs w:val="16"/>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6557"/>
      </w:tblGrid>
      <w:tr w:rsidRPr="00C9001B" w:rsidR="00C26C81" w:rsidTr="00FE3058" w14:paraId="120DFBE2" w14:textId="77777777">
        <w:tc>
          <w:tcPr>
            <w:tcW w:w="1148" w:type="pct"/>
          </w:tcPr>
          <w:p w:rsidRPr="00C9001B" w:rsidR="00C26C81" w:rsidP="00C26C81" w:rsidRDefault="00C9001B" w14:paraId="622F56C9" w14:textId="4B28FD85">
            <w:pPr>
              <w:tabs>
                <w:tab w:val="center" w:pos="284"/>
              </w:tabs>
              <w:overflowPunct w:val="0"/>
              <w:autoSpaceDE w:val="0"/>
              <w:autoSpaceDN w:val="0"/>
              <w:adjustRightInd w:val="0"/>
              <w:ind w:left="266" w:hanging="266"/>
              <w:textAlignment w:val="baseline"/>
              <w:rPr>
                <w:b/>
              </w:rPr>
            </w:pPr>
            <w:r w:rsidRPr="00C9001B">
              <w:rPr>
                <w:b/>
              </w:rPr>
              <w:t>Relatore</w:t>
            </w:r>
          </w:p>
        </w:tc>
        <w:tc>
          <w:tcPr>
            <w:tcW w:w="3852" w:type="pct"/>
          </w:tcPr>
          <w:p w:rsidRPr="00C9001B" w:rsidR="00C26C81" w:rsidP="00C26C81" w:rsidRDefault="00C26C81" w14:paraId="4D21502F" w14:textId="7090BED6">
            <w:pPr>
              <w:tabs>
                <w:tab w:val="center" w:pos="284"/>
              </w:tabs>
              <w:overflowPunct w:val="0"/>
              <w:autoSpaceDE w:val="0"/>
              <w:autoSpaceDN w:val="0"/>
              <w:adjustRightInd w:val="0"/>
              <w:ind w:left="266" w:hanging="266"/>
              <w:textAlignment w:val="baseline"/>
            </w:pPr>
            <w:r w:rsidRPr="00C9001B">
              <w:t>Florian MARIN (Lavoratori - RO)</w:t>
            </w:r>
          </w:p>
        </w:tc>
      </w:tr>
      <w:tr w:rsidRPr="00C9001B" w:rsidR="00C26C81" w:rsidTr="00FE3058" w14:paraId="1F60F708" w14:textId="77777777">
        <w:tc>
          <w:tcPr>
            <w:tcW w:w="1148" w:type="pct"/>
          </w:tcPr>
          <w:p w:rsidRPr="00C9001B" w:rsidR="00C26C81" w:rsidP="00C26C81" w:rsidRDefault="00C9001B" w14:paraId="3D84DAA7" w14:textId="1B4525D8">
            <w:pPr>
              <w:tabs>
                <w:tab w:val="center" w:pos="284"/>
              </w:tabs>
              <w:overflowPunct w:val="0"/>
              <w:autoSpaceDE w:val="0"/>
              <w:autoSpaceDN w:val="0"/>
              <w:adjustRightInd w:val="0"/>
              <w:ind w:left="266" w:hanging="266"/>
              <w:textAlignment w:val="baseline"/>
              <w:rPr>
                <w:b/>
              </w:rPr>
            </w:pPr>
            <w:r w:rsidRPr="00C9001B">
              <w:rPr>
                <w:b/>
              </w:rPr>
              <w:t>Correlatore</w:t>
            </w:r>
          </w:p>
        </w:tc>
        <w:tc>
          <w:tcPr>
            <w:tcW w:w="3852" w:type="pct"/>
          </w:tcPr>
          <w:p w:rsidRPr="00C9001B" w:rsidR="00C26C81" w:rsidP="00C26C81" w:rsidRDefault="00C26C81" w14:paraId="2CC5126F" w14:textId="7BF5F8C5">
            <w:pPr>
              <w:tabs>
                <w:tab w:val="center" w:pos="284"/>
              </w:tabs>
              <w:overflowPunct w:val="0"/>
              <w:autoSpaceDE w:val="0"/>
              <w:autoSpaceDN w:val="0"/>
              <w:adjustRightInd w:val="0"/>
              <w:ind w:left="266" w:hanging="266"/>
              <w:textAlignment w:val="baseline"/>
            </w:pPr>
            <w:r w:rsidRPr="00C9001B">
              <w:t>John BRYAN (cat. 3 - IE)</w:t>
            </w:r>
          </w:p>
        </w:tc>
      </w:tr>
      <w:tr w:rsidRPr="00C9001B" w:rsidR="00C26C81" w:rsidTr="00FE3058" w14:paraId="0255D7F1" w14:textId="77777777">
        <w:tc>
          <w:tcPr>
            <w:tcW w:w="5000" w:type="pct"/>
            <w:gridSpan w:val="2"/>
          </w:tcPr>
          <w:p w:rsidRPr="00C9001B"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9001B" w:rsidR="00C26C81" w:rsidTr="00FE3058" w14:paraId="6490CDCA" w14:textId="77777777">
        <w:tc>
          <w:tcPr>
            <w:tcW w:w="1148" w:type="pct"/>
            <w:vMerge w:val="restart"/>
          </w:tcPr>
          <w:p w:rsidRPr="00C9001B"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sidRPr="00C9001B">
              <w:rPr>
                <w:b/>
              </w:rPr>
              <w:t>Riferimento</w:t>
            </w:r>
          </w:p>
        </w:tc>
        <w:tc>
          <w:tcPr>
            <w:tcW w:w="3852" w:type="pct"/>
          </w:tcPr>
          <w:p w:rsidRPr="00C9001B" w:rsidR="00DF1937" w:rsidP="00C26C81" w:rsidRDefault="00DF1937" w14:paraId="62B42CB3" w14:textId="689EBFFE">
            <w:pPr>
              <w:tabs>
                <w:tab w:val="center" w:pos="284"/>
              </w:tabs>
              <w:overflowPunct w:val="0"/>
              <w:autoSpaceDE w:val="0"/>
              <w:autoSpaceDN w:val="0"/>
              <w:adjustRightInd w:val="0"/>
              <w:ind w:left="266" w:hanging="266"/>
              <w:textAlignment w:val="baseline"/>
            </w:pPr>
            <w:r w:rsidRPr="00C9001B">
              <w:t>Parere esplorativo richiesto dalla Commissione europea</w:t>
            </w:r>
          </w:p>
          <w:p w:rsidRPr="00C9001B" w:rsidR="00C26C81" w:rsidP="00C26C81" w:rsidRDefault="00C26C81" w14:paraId="575B4C73" w14:textId="570E8293">
            <w:pPr>
              <w:tabs>
                <w:tab w:val="center" w:pos="284"/>
              </w:tabs>
              <w:overflowPunct w:val="0"/>
              <w:autoSpaceDE w:val="0"/>
              <w:autoSpaceDN w:val="0"/>
              <w:adjustRightInd w:val="0"/>
              <w:ind w:left="266" w:hanging="266"/>
              <w:textAlignment w:val="baseline"/>
            </w:pPr>
            <w:r w:rsidRPr="00C9001B">
              <w:t>EESC-2024-00209-00-00-AC</w:t>
            </w:r>
          </w:p>
        </w:tc>
      </w:tr>
      <w:tr w:rsidRPr="00C9001B" w:rsidR="00C26C81" w:rsidTr="00FE3058" w14:paraId="7D13EFEC" w14:textId="77777777">
        <w:tc>
          <w:tcPr>
            <w:tcW w:w="1148" w:type="pct"/>
            <w:vMerge/>
          </w:tcPr>
          <w:p w:rsidRPr="00C9001B"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9001B" w:rsidR="00C26C81" w:rsidP="00C26C81" w:rsidRDefault="00C26C81" w14:paraId="30DF2ED2" w14:textId="77777777">
            <w:pPr>
              <w:tabs>
                <w:tab w:val="center" w:pos="284"/>
              </w:tabs>
              <w:overflowPunct w:val="0"/>
              <w:autoSpaceDE w:val="0"/>
              <w:autoSpaceDN w:val="0"/>
              <w:adjustRightInd w:val="0"/>
              <w:ind w:left="266" w:hanging="266"/>
              <w:textAlignment w:val="baseline"/>
            </w:pPr>
          </w:p>
        </w:tc>
      </w:tr>
    </w:tbl>
    <w:p w:rsidRPr="00C9001B"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sidRPr="00C9001B">
        <w:rPr>
          <w:b/>
        </w:rPr>
        <w:t>Punti principali</w:t>
      </w:r>
    </w:p>
    <w:p w:rsidRPr="00C9001B"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6"/>
          <w:szCs w:val="16"/>
        </w:rPr>
      </w:pPr>
    </w:p>
    <w:p w:rsidRPr="00C9001B" w:rsidR="00C26C81" w:rsidP="00C26C81" w:rsidRDefault="00C26C81" w14:paraId="0AEAF1D0" w14:textId="370DE955">
      <w:pPr>
        <w:overflowPunct w:val="0"/>
        <w:autoSpaceDE w:val="0"/>
        <w:autoSpaceDN w:val="0"/>
        <w:adjustRightInd w:val="0"/>
        <w:textAlignment w:val="baseline"/>
        <w:rPr>
          <w:bCs/>
          <w:iCs/>
        </w:rPr>
      </w:pPr>
      <w:r w:rsidRPr="00C9001B">
        <w:t>Il CESE:</w:t>
      </w:r>
    </w:p>
    <w:p w:rsidRPr="00C9001B" w:rsidR="002B7841" w:rsidP="00C26C81" w:rsidRDefault="002B7841" w14:paraId="2BBD3487" w14:textId="77777777">
      <w:pPr>
        <w:overflowPunct w:val="0"/>
        <w:autoSpaceDE w:val="0"/>
        <w:autoSpaceDN w:val="0"/>
        <w:adjustRightInd w:val="0"/>
        <w:textAlignment w:val="baseline"/>
        <w:rPr>
          <w:bCs/>
          <w:iCs/>
        </w:rPr>
      </w:pPr>
    </w:p>
    <w:p w:rsidRPr="00C9001B" w:rsidR="00C26C81" w:rsidP="00DC0FAE" w:rsidRDefault="00C26C81" w14:paraId="724B6930"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chiede una </w:t>
      </w:r>
      <w:r w:rsidRPr="00C9001B">
        <w:rPr>
          <w:b/>
        </w:rPr>
        <w:t>strategia autonoma</w:t>
      </w:r>
      <w:r w:rsidRPr="00C9001B">
        <w:t xml:space="preserve"> — un Blue Deal dell'UE — e un piano d'azione </w:t>
      </w:r>
      <w:r w:rsidRPr="00C9001B">
        <w:rPr>
          <w:b/>
        </w:rPr>
        <w:t>sull'acqua per garantire la resilienza, la sicurezza e la sostenibilità delle risorse idriche, che integri il Green Deal dell'UE</w:t>
      </w:r>
      <w:r w:rsidRPr="00C9001B">
        <w:t>;</w:t>
      </w:r>
    </w:p>
    <w:p w:rsidRPr="00C9001B" w:rsidR="00C26C81" w:rsidP="00DC0FAE" w:rsidRDefault="00C26C81" w14:paraId="520F523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esorta l'UE a </w:t>
      </w:r>
      <w:r w:rsidRPr="00C9001B">
        <w:rPr>
          <w:b/>
        </w:rPr>
        <w:t>integrare l'acqua in un quadro strategico industriale riveduto</w:t>
      </w:r>
      <w:r w:rsidRPr="00C9001B">
        <w:t xml:space="preserve"> e nei percorsi di transizione con un approccio settoriale;</w:t>
      </w:r>
    </w:p>
    <w:p w:rsidRPr="00C9001B" w:rsidR="00C26C81" w:rsidP="00DC0FAE" w:rsidRDefault="00C26C81" w14:paraId="30D20AE2"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osserva che tale revisione dovrebbe esaminare l'idea di istituire </w:t>
      </w:r>
      <w:r w:rsidRPr="00C9001B">
        <w:rPr>
          <w:b/>
        </w:rPr>
        <w:t>un nuovo accordo industriale che offra all'industria europea una strategia consolidata</w:t>
      </w:r>
      <w:r w:rsidRPr="00C9001B">
        <w:t xml:space="preserve"> capace di rispondere alle molteplici sfide cui è confrontata (in materia di acqua, energia, materie prime critiche, digitalizzazione e autonomia strategica) entro quattro anni;</w:t>
      </w:r>
    </w:p>
    <w:p w:rsidRPr="00C9001B" w:rsidR="00C26C81" w:rsidP="00DC0FAE" w:rsidRDefault="00C26C81" w14:paraId="04F84018"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sottolinea che gli approcci industriali e tecnologici a sostegno di una società che gestisca le risorse idriche in modo intelligente devono essere saldamente strutturati attorno a </w:t>
      </w:r>
      <w:r w:rsidRPr="00C9001B">
        <w:rPr>
          <w:b/>
        </w:rPr>
        <w:t>una politica globale di gestione sostenibile di tali risorse per l'industria,</w:t>
      </w:r>
      <w:r w:rsidRPr="00C9001B">
        <w:t xml:space="preserve"> basata sulla riduzione dell'uso di acqua, la sua riutilizzazione e il suo riciclaggio, la diminuzione del suo inquinamento, nonché l'introduzione graduale e l'impiego di tecnologie efficienti sotto il profilo idrico, e al tempo stesso la garanzia di una transizione giusta che </w:t>
      </w:r>
      <w:r w:rsidRPr="00C9001B">
        <w:rPr>
          <w:b/>
        </w:rPr>
        <w:t>tuteli la competitività industriale</w:t>
      </w:r>
      <w:r w:rsidRPr="00C9001B">
        <w:t>;</w:t>
      </w:r>
    </w:p>
    <w:p w:rsidRPr="00C9001B" w:rsidR="00C26C81" w:rsidP="00DC0FAE" w:rsidRDefault="00C26C81" w14:paraId="42BF90D7"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sottolinea la necessità di un </w:t>
      </w:r>
      <w:r w:rsidRPr="00C9001B">
        <w:rPr>
          <w:b/>
        </w:rPr>
        <w:t>ecosistema europeo di gestione dei dati idrici</w:t>
      </w:r>
      <w:r w:rsidRPr="00C9001B">
        <w:t>, nonché la necessità di misurare il consumo di acqua durante tutti i processi di produzione e ridurre al minimo l'uso di acqua potabile a fini industriali;</w:t>
      </w:r>
    </w:p>
    <w:p w:rsidRPr="00C9001B" w:rsidR="00C26C81" w:rsidP="00DC0FAE" w:rsidRDefault="00C26C81" w14:paraId="4A2463D1"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sottolinea la necessità di </w:t>
      </w:r>
      <w:r w:rsidRPr="00C9001B">
        <w:rPr>
          <w:b/>
        </w:rPr>
        <w:t>garantire l'accesso all'acqua per le industrie più critiche durante le situazioni di crisi</w:t>
      </w:r>
      <w:r w:rsidRPr="00C9001B">
        <w:t>;</w:t>
      </w:r>
    </w:p>
    <w:p w:rsidRPr="00C9001B" w:rsidR="00C26C81" w:rsidP="00DC0FAE" w:rsidRDefault="00C26C81" w14:paraId="71162F5A"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chiede un </w:t>
      </w:r>
      <w:r w:rsidRPr="00C9001B">
        <w:rPr>
          <w:b/>
        </w:rPr>
        <w:t>percorso di transizione per sviluppare un settore tecnologico pulito ed efficiente sotto il profilo idrico</w:t>
      </w:r>
      <w:r w:rsidRPr="00C9001B">
        <w:t>, compresa una tabella di marcia per la dimensione umana al fine di garantire la disponibilità delle competenze richieste, posti di lavoro di qualità e condizioni di lavoro dignitose;</w:t>
      </w:r>
    </w:p>
    <w:p w:rsidRPr="00C9001B" w:rsidR="00C26C81" w:rsidP="00DC0FAE" w:rsidRDefault="00C26C81" w14:paraId="7B237525" w14:textId="77777777">
      <w:pPr>
        <w:numPr>
          <w:ilvl w:val="0"/>
          <w:numId w:val="28"/>
        </w:numPr>
        <w:overflowPunct w:val="0"/>
        <w:autoSpaceDE w:val="0"/>
        <w:autoSpaceDN w:val="0"/>
        <w:adjustRightInd w:val="0"/>
        <w:spacing w:after="200" w:line="276" w:lineRule="auto"/>
        <w:ind w:left="284" w:hanging="284"/>
        <w:contextualSpacing/>
        <w:textAlignment w:val="baseline"/>
        <w:rPr>
          <w:bCs/>
          <w:iCs/>
        </w:rPr>
      </w:pPr>
      <w:r w:rsidRPr="00C9001B">
        <w:t xml:space="preserve">propone misure a sostegno </w:t>
      </w:r>
      <w:r w:rsidRPr="00C9001B">
        <w:rPr>
          <w:b/>
        </w:rPr>
        <w:t>dell'attuazione del fondo per la transizione del Blue Deal dell'UE</w:t>
      </w:r>
      <w:r w:rsidRPr="00C9001B">
        <w:t xml:space="preserve"> nel settore industriale;</w:t>
      </w:r>
    </w:p>
    <w:p w:rsidRPr="00C9001B" w:rsidR="00C26C81" w:rsidP="00DC0FAE" w:rsidRDefault="00C26C81" w14:paraId="1A520A8C" w14:textId="77777777">
      <w:pPr>
        <w:numPr>
          <w:ilvl w:val="0"/>
          <w:numId w:val="28"/>
        </w:numPr>
        <w:overflowPunct w:val="0"/>
        <w:autoSpaceDE w:val="0"/>
        <w:autoSpaceDN w:val="0"/>
        <w:adjustRightInd w:val="0"/>
        <w:spacing w:after="40" w:line="276" w:lineRule="auto"/>
        <w:ind w:left="284" w:hanging="284"/>
        <w:contextualSpacing/>
        <w:textAlignment w:val="baseline"/>
        <w:rPr>
          <w:bCs/>
          <w:iCs/>
        </w:rPr>
      </w:pPr>
      <w:r w:rsidRPr="00C9001B">
        <w:t xml:space="preserve">sostiene la creazione della </w:t>
      </w:r>
      <w:r w:rsidRPr="00C9001B">
        <w:rPr>
          <w:b/>
        </w:rPr>
        <w:t>comunità della conoscenza e dell'innovazione (CCI) in materia di acqua</w:t>
      </w:r>
      <w:r w:rsidRPr="00C9001B">
        <w:t xml:space="preserve"> da parte dell'Istituto europeo di innovazione e tecnologia (EIT).</w:t>
      </w:r>
    </w:p>
    <w:p w:rsidRPr="00C9001B" w:rsidR="00C26C81" w:rsidP="00C26C81" w:rsidRDefault="00C26C81" w14:paraId="586B6B4F" w14:textId="6B11469E">
      <w:pPr>
        <w:spacing w:after="40" w:line="276" w:lineRule="auto"/>
        <w:ind w:left="1276"/>
        <w:contextualSpacing/>
        <w:rPr>
          <w:bCs/>
          <w:iCs/>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4"/>
        <w:gridCol w:w="4325"/>
      </w:tblGrid>
      <w:tr w:rsidRPr="00C9001B" w:rsidR="004F1302" w:rsidTr="0066006A" w14:paraId="598DD9AC" w14:textId="77777777">
        <w:tc>
          <w:tcPr>
            <w:tcW w:w="1556" w:type="pct"/>
          </w:tcPr>
          <w:p w:rsidRPr="00C9001B" w:rsidR="004F1302" w:rsidP="0066006A" w:rsidRDefault="004F1302" w14:paraId="15B56178" w14:textId="77777777">
            <w:pPr>
              <w:overflowPunct w:val="0"/>
              <w:autoSpaceDE w:val="0"/>
              <w:autoSpaceDN w:val="0"/>
              <w:adjustRightInd w:val="0"/>
              <w:spacing w:line="240" w:lineRule="auto"/>
              <w:textAlignment w:val="baseline"/>
              <w:rPr>
                <w:i/>
              </w:rPr>
            </w:pPr>
            <w:r w:rsidRPr="00C9001B">
              <w:rPr>
                <w:b/>
                <w:i/>
              </w:rPr>
              <w:t>Contatto</w:t>
            </w:r>
          </w:p>
        </w:tc>
        <w:tc>
          <w:tcPr>
            <w:tcW w:w="3444" w:type="pct"/>
          </w:tcPr>
          <w:p w:rsidRPr="00C9001B" w:rsidR="004F1302" w:rsidP="0066006A" w:rsidRDefault="004F1302" w14:paraId="6A690265" w14:textId="1C17A6F4">
            <w:pPr>
              <w:overflowPunct w:val="0"/>
              <w:autoSpaceDE w:val="0"/>
              <w:autoSpaceDN w:val="0"/>
              <w:adjustRightInd w:val="0"/>
              <w:spacing w:line="240" w:lineRule="auto"/>
              <w:textAlignment w:val="baseline"/>
              <w:rPr>
                <w:i/>
              </w:rPr>
            </w:pPr>
            <w:r w:rsidRPr="00C9001B">
              <w:rPr>
                <w:i/>
              </w:rPr>
              <w:t>Heli NIEMELÄ-FARRER</w:t>
            </w:r>
          </w:p>
        </w:tc>
      </w:tr>
      <w:tr w:rsidRPr="00C9001B" w:rsidR="004F1302" w:rsidTr="0066006A" w14:paraId="2972FB5B" w14:textId="77777777">
        <w:tc>
          <w:tcPr>
            <w:tcW w:w="1556" w:type="pct"/>
          </w:tcPr>
          <w:p w:rsidRPr="00C9001B" w:rsidR="004F1302" w:rsidP="0066006A" w:rsidRDefault="004F1302" w14:paraId="31E4746D" w14:textId="77777777">
            <w:pPr>
              <w:overflowPunct w:val="0"/>
              <w:autoSpaceDE w:val="0"/>
              <w:autoSpaceDN w:val="0"/>
              <w:adjustRightInd w:val="0"/>
              <w:spacing w:line="240" w:lineRule="auto"/>
              <w:textAlignment w:val="baseline"/>
              <w:rPr>
                <w:i/>
              </w:rPr>
            </w:pPr>
            <w:r w:rsidRPr="00C9001B">
              <w:rPr>
                <w:i/>
              </w:rPr>
              <w:t>Tel.</w:t>
            </w:r>
          </w:p>
        </w:tc>
        <w:tc>
          <w:tcPr>
            <w:tcW w:w="3444" w:type="pct"/>
          </w:tcPr>
          <w:p w:rsidRPr="00C9001B" w:rsidR="004F1302" w:rsidP="0066006A" w:rsidRDefault="004F1302" w14:paraId="24534461" w14:textId="0D1989E1">
            <w:pPr>
              <w:overflowPunct w:val="0"/>
              <w:autoSpaceDE w:val="0"/>
              <w:autoSpaceDN w:val="0"/>
              <w:adjustRightInd w:val="0"/>
              <w:spacing w:line="240" w:lineRule="auto"/>
              <w:textAlignment w:val="baseline"/>
              <w:rPr>
                <w:i/>
              </w:rPr>
            </w:pPr>
            <w:r w:rsidRPr="00C9001B">
              <w:rPr>
                <w:i/>
              </w:rPr>
              <w:t>+32 22822464</w:t>
            </w:r>
          </w:p>
        </w:tc>
      </w:tr>
      <w:tr w:rsidRPr="00C9001B" w:rsidR="004F1302" w:rsidTr="0066006A" w14:paraId="40A463F8" w14:textId="77777777">
        <w:tc>
          <w:tcPr>
            <w:tcW w:w="1556" w:type="pct"/>
          </w:tcPr>
          <w:p w:rsidRPr="00C9001B" w:rsidR="004F1302" w:rsidP="0066006A" w:rsidRDefault="00C9001B" w14:paraId="3B219BCA" w14:textId="141C810D">
            <w:pPr>
              <w:overflowPunct w:val="0"/>
              <w:autoSpaceDE w:val="0"/>
              <w:autoSpaceDN w:val="0"/>
              <w:adjustRightInd w:val="0"/>
              <w:spacing w:line="240" w:lineRule="auto"/>
              <w:textAlignment w:val="baseline"/>
              <w:rPr>
                <w:i/>
              </w:rPr>
            </w:pPr>
            <w:r w:rsidRPr="00C9001B">
              <w:rPr>
                <w:i/>
              </w:rPr>
              <w:t>E</w:t>
            </w:r>
            <w:r w:rsidRPr="00C9001B" w:rsidR="004F1302">
              <w:rPr>
                <w:i/>
              </w:rPr>
              <w:t>-mail</w:t>
            </w:r>
          </w:p>
        </w:tc>
        <w:tc>
          <w:tcPr>
            <w:tcW w:w="3444" w:type="pct"/>
          </w:tcPr>
          <w:p w:rsidRPr="00C9001B" w:rsidR="004F1302" w:rsidP="0066006A" w:rsidRDefault="00E736C8" w14:paraId="0FED9690" w14:textId="7A8281DF">
            <w:pPr>
              <w:overflowPunct w:val="0"/>
              <w:autoSpaceDE w:val="0"/>
              <w:autoSpaceDN w:val="0"/>
              <w:adjustRightInd w:val="0"/>
              <w:spacing w:line="240" w:lineRule="auto"/>
              <w:textAlignment w:val="baseline"/>
              <w:rPr>
                <w:i/>
                <w:color w:val="0000FF"/>
                <w:u w:val="single"/>
              </w:rPr>
            </w:pPr>
            <w:hyperlink w:history="1" r:id="rId40">
              <w:r w:rsidRPr="00C9001B" w:rsidR="004F1302">
                <w:rPr>
                  <w:rStyle w:val="Hyperlink"/>
                </w:rPr>
                <w:t>Heli.Niemela-Farrer</w:t>
              </w:r>
              <w:r w:rsidRPr="00C9001B" w:rsidR="004F1302">
                <w:rPr>
                  <w:rStyle w:val="Hyperlink"/>
                  <w:i/>
                </w:rPr>
                <w:t>@eesc.europa.eu</w:t>
              </w:r>
            </w:hyperlink>
          </w:p>
          <w:p w:rsidRPr="00C9001B" w:rsidR="004F1302" w:rsidP="0066006A" w:rsidRDefault="004F1302" w14:paraId="13626409" w14:textId="51178F9F">
            <w:pPr>
              <w:overflowPunct w:val="0"/>
              <w:autoSpaceDE w:val="0"/>
              <w:autoSpaceDN w:val="0"/>
              <w:adjustRightInd w:val="0"/>
              <w:spacing w:line="240" w:lineRule="auto"/>
              <w:textAlignment w:val="baseline"/>
              <w:rPr>
                <w:i/>
              </w:rPr>
            </w:pPr>
          </w:p>
        </w:tc>
      </w:tr>
    </w:tbl>
    <w:p w:rsidRPr="00C9001B" w:rsidR="0092772D" w:rsidP="006C7863" w:rsidRDefault="00556EDF" w14:paraId="7379A588" w14:textId="3EDEF816">
      <w:pPr>
        <w:overflowPunct w:val="0"/>
        <w:autoSpaceDE w:val="0"/>
        <w:autoSpaceDN w:val="0"/>
        <w:adjustRightInd w:val="0"/>
        <w:jc w:val="center"/>
        <w:textAlignment w:val="baseline"/>
      </w:pPr>
      <w:r w:rsidRPr="00C9001B">
        <w:t>_____________</w:t>
      </w:r>
    </w:p>
    <w:sectPr w:rsidRPr="00C9001B" w:rsidR="0092772D" w:rsidSect="00386C01">
      <w:headerReference w:type="even" r:id="rId41"/>
      <w:headerReference w:type="default" r:id="rId42"/>
      <w:footerReference w:type="even" r:id="rId43"/>
      <w:footerReference w:type="default" r:id="rId44"/>
      <w:headerReference w:type="first" r:id="rId45"/>
      <w:footerReference w:type="first" r:id="rId46"/>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35A"/>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C0363"/>
    <w:rsid w:val="005C0454"/>
    <w:rsid w:val="005C078D"/>
    <w:rsid w:val="005C28F2"/>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0B4"/>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6B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5F1"/>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001B"/>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B73"/>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316F"/>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6C8"/>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it-I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Georgios.Meleas@eesc.europa.eu" TargetMode="External"/><Relationship Id="rId26" Type="http://schemas.openxmlformats.org/officeDocument/2006/relationships/hyperlink" Target="mailto:Judit.CarrerasGarcia@eesc.europa.eu" TargetMode="External"/><Relationship Id="rId39" Type="http://schemas.openxmlformats.org/officeDocument/2006/relationships/hyperlink" Target="https://www.eesc.europa.eu/it/our-work/opinions-information-reports/opinions/industrial-and-technological-approaches-and-best-practices-supporting-water-resilient-society" TargetMode="External"/><Relationship Id="rId21" Type="http://schemas.openxmlformats.org/officeDocument/2006/relationships/hyperlink" Target="https://www.eesc.europa.eu/it/our-work/opinions-information-reports/opinions/revision-de-la-directive-relative-au-comite-dentreprise-europeen" TargetMode="External"/><Relationship Id="rId34" Type="http://schemas.openxmlformats.org/officeDocument/2006/relationships/hyperlink" Target="mailto:Ioannis.Diamantopoulos@eesc.europa.eu" TargetMode="External"/><Relationship Id="rId42" Type="http://schemas.openxmlformats.org/officeDocument/2006/relationships/header" Target="header2.xm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hyperlink" Target="mailto:Georgios.Meleas@eesc.europa.eu" TargetMode="External"/><Relationship Id="rId29" Type="http://schemas.openxmlformats.org/officeDocument/2006/relationships/hyperlink" Target="https://www.eesc.europa.eu/it/our-work/opinions-information-reports/opinions/plan-europeen-pour-vaincre-le-cancer-vers-un-approvisionnement-sur-en-radio-isotopes-usage-medical"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June.Bedaton@eesc.europa.eu" TargetMode="External"/><Relationship Id="rId32" Type="http://schemas.openxmlformats.org/officeDocument/2006/relationships/hyperlink" Target="mailto:Ioannis.Diamantopoulos@eesc.europa.eu" TargetMode="External"/><Relationship Id="rId37" Type="http://schemas.openxmlformats.org/officeDocument/2006/relationships/hyperlink" Target="https://www.eesc.europa.eu/it/our-work/opinions-information-reports/opinions/european-defence-industrial-strategy" TargetMode="External"/><Relationship Id="rId40" Type="http://schemas.openxmlformats.org/officeDocument/2006/relationships/hyperlink" Target="mailto:Heli.Niemela-Farrer@eesc.europa.e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esc.europa.eu/it/our-work/opinions-information-reports/opinions/role-cohesion-policy-upcoming-rounds-eu-enlargement" TargetMode="External"/><Relationship Id="rId23" Type="http://schemas.openxmlformats.org/officeDocument/2006/relationships/hyperlink" Target="https://www.eesc.europa.eu/it/our-work/opinions-information-reports/opinions/no-place-hate-europe-united-against-hatred" TargetMode="External"/><Relationship Id="rId28" Type="http://schemas.openxmlformats.org/officeDocument/2006/relationships/hyperlink" Target="mailto:Arturo.Iniguez@eesc.europa.eu" TargetMode="External"/><Relationship Id="rId36" Type="http://schemas.openxmlformats.org/officeDocument/2006/relationships/hyperlink" Target="mailto:Adam.Dorywalski@eesc.europa.eu" TargetMode="External"/><Relationship Id="rId49"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yperlink" Target="https://www.eesc.europa.eu/it/our-work/opinions-information-reports/opinions/vaccine-preventable-cancers" TargetMode="External"/><Relationship Id="rId31" Type="http://schemas.openxmlformats.org/officeDocument/2006/relationships/hyperlink" Target="https://www.eesc.europa.eu/it/our-work/opinions-information-reports/opinions/european-defence-industry-programme" TargetMode="External"/><Relationship Id="rId44" Type="http://schemas.openxmlformats.org/officeDocument/2006/relationships/footer" Target="footer3.xml"/><Relationship Id="rId52"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Bartek.Bednarowicz@eesc.europa.eu" TargetMode="External"/><Relationship Id="rId27" Type="http://schemas.openxmlformats.org/officeDocument/2006/relationships/hyperlink" Target="https://www.eesc.europa.eu/it/our-work/opinions-information-reports/opinions/revision-animal-welfare-legislation" TargetMode="External"/><Relationship Id="rId30" Type="http://schemas.openxmlformats.org/officeDocument/2006/relationships/hyperlink" Target="mailto:Maja.Radman@eesc.europa.eu" TargetMode="External"/><Relationship Id="rId35" Type="http://schemas.openxmlformats.org/officeDocument/2006/relationships/hyperlink" Target="https://www.eesc.europa.eu/it/our-work/opinions-information-reports/opinions/communication-sur-la-gestion-industrielle-du-carbone"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ustomXml" Target="../customXml/item3.xml"/><Relationship Id="rId12" Type="http://schemas.openxmlformats.org/officeDocument/2006/relationships/hyperlink" Target="https://www.eesc.europa.eu/it/our-work/opinions-information-reports/plenary-session-summaries" TargetMode="External"/><Relationship Id="rId17" Type="http://schemas.openxmlformats.org/officeDocument/2006/relationships/hyperlink" Target="https://www.eesc.europa.eu/it/our-work/opinions-information-reports/opinions/ninth-report-economic-social-and-territorial-cohesion" TargetMode="External"/><Relationship Id="rId25" Type="http://schemas.openxmlformats.org/officeDocument/2006/relationships/hyperlink" Target="https://www.eesc.europa.eu/it/our-work/opinions-information-reports/opinions/eu-climate-target-2040" TargetMode="External"/><Relationship Id="rId33" Type="http://schemas.openxmlformats.org/officeDocument/2006/relationships/hyperlink" Target="https://www.eesc.europa.eu/it/our-work/opinions-information-reports/opinions/drone-manufacturing-industry-case-study-assess-outcome-strategic-sector-different-policies-place-enhance-european" TargetMode="External"/><Relationship Id="rId38" Type="http://schemas.openxmlformats.org/officeDocument/2006/relationships/hyperlink" Target="mailto:Ioannis.Diamantopoulos@eesc.europa.eu" TargetMode="External"/><Relationship Id="rId46" Type="http://schemas.openxmlformats.org/officeDocument/2006/relationships/footer" Target="footer4.xml"/><Relationship Id="rId20" Type="http://schemas.openxmlformats.org/officeDocument/2006/relationships/hyperlink" Target="mailto:Valeria.Atzori@eesc.europa.eu"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F7M6YNZUATRX-917472228-6166</_dlc_DocId>
    <_dlc_DocIdUrl xmlns="59ace41b-6786-4ce3-be71-52c27066c6ef">
      <Url>http://dm/eesc/2024/_layouts/15/DocIdRedir.aspx?ID=F7M6YNZUATRX-917472228-6166</Url>
      <Description>F7M6YNZUATRX-917472228-6166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2024-06-21T12:00:00+00:00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Bertocchi Massimo</DisplayName>
        <AccountId>1566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6063A-8A0C-4B59-8711-7C63AF1ACA52}"/>
</file>

<file path=customXml/itemProps2.xml><?xml version="1.0" encoding="utf-8"?>
<ds:datastoreItem xmlns:ds="http://schemas.openxmlformats.org/officeDocument/2006/customXml" ds:itemID="{51A8996C-84D8-4DE7-B998-6E7BE6BE3EC3}"/>
</file>

<file path=customXml/itemProps3.xml><?xml version="1.0" encoding="utf-8"?>
<ds:datastoreItem xmlns:ds="http://schemas.openxmlformats.org/officeDocument/2006/customXml" ds:itemID="{D479BB12-46C3-48B4-8335-5BAFD2A5C41C}"/>
</file>

<file path=customXml/itemProps4.xml><?xml version="1.0" encoding="utf-8"?>
<ds:datastoreItem xmlns:ds="http://schemas.openxmlformats.org/officeDocument/2006/customXml" ds:itemID="{66A8AA29-9CC0-4A83-9A40-0AF0365AB985}"/>
</file>

<file path=docProps/app.xml><?xml version="1.0" encoding="utf-8"?>
<Properties xmlns="http://schemas.openxmlformats.org/officeDocument/2006/extended-properties" xmlns:vt="http://schemas.openxmlformats.org/officeDocument/2006/docPropsVTypes">
  <Template>Normal.dotm</Template>
  <TotalTime>0</TotalTime>
  <Pages>19</Pages>
  <Words>6229</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dei pareri - 588ª sessione plenaria - maggio 2024  </dc:title>
  <dc:subject>TCD</dc:subject>
  <dc:creator>Nieddu Emma</dc:creator>
  <cp:keywords>EESC-2024-01704-00-00-TCD-TRA-EN</cp:keywords>
  <dc:description>Rapporteur:  - Original language: EN - Date of document: 21/06/2024 - Date of meeting: 30/10/2024 14:30 - External documents:  - Administrator: MME TAMASAUSKIENE Julija</dc:description>
  <cp:lastModifiedBy>Bertocchi Massimo</cp:lastModifiedBy>
  <cp:revision>8</cp:revision>
  <cp:lastPrinted>2023-06-15T08:00:00Z</cp:lastPrinted>
  <dcterms:created xsi:type="dcterms:W3CDTF">2024-06-21T08:32:00Z</dcterms:created>
  <dcterms:modified xsi:type="dcterms:W3CDTF">2024-06-21T08:40:00Z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b6df7af6-bdab-441b-a668-40d6b38a7ef2</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NL|55c6556c-b4f4-441d-9acf-c498d4f838bd;SV|c2ed69e7-a339-43d7-8f22-d93680a92aa0;ES|e7a6b05b-ae16-40c8-add9-68b64b03aeba;DE|f6b31e5a-26fa-4935-b661-318e46daf27e;LV|46f7e311-5d9f-4663-b433-18aeccb7ace7;CS|72f9705b-0217-4fd3-bea2-cbc7ed80e26e;HR|2f555653-ed1a-4fe6-8362-9082d95989e5;PT|50ccc04a-eadd-42ae-a0cb-acaf45f812ba;FR|d2afafd3-4c81-4f60-8f52-ee33f2f54ff3;EL|6d4f4d51-af9b-4650-94b4-4276bee85c91;DA|5d49c027-8956-412b-aa16-e85a0f96ad0e;SL|98a412ae-eb01-49e9-ae3d-585a81724cfc;HU|6b229040-c589-4408-b4c1-4285663d20a8;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32;#HU|6b229040-c589-4408-b4c1-4285663d20a8;#31;#NL|55c6556c-b4f4-441d-9acf-c498d4f838bd;#43;#CS|72f9705b-0217-4fd3-bea2-cbc7ed80e26e;#29;#EL|6d4f4d51-af9b-4650-94b4-4276bee85c91;#28;#LV|46f7e311-5d9f-4663-b433-18aeccb7ace7;#27;#SL|98a412ae-eb01-49e9-ae3d-585a81724cfc;#25;#DE|f6b31e5a-26fa-4935-b661-318e46daf27e;#24;#ES|e7a6b05b-ae16-40c8-add9-68b64b03aeba;#21;#SV|c2ed69e7-a339-43d7-8f22-d93680a92aa0;#17;#PL|1e03da61-4678-4e07-b136-b5024ca9197b;#16;#DA|5d49c027-8956-412b-aa16-e85a0f96ad0e;#14;#FR|d2afafd3-4c81-4f60-8f52-ee33f2f54ff3;#13;#TCD|cd9d6eb6-3f4f-424a-b2d1-57c9d450eaaf;#8;#Final|ea5e6674-7b27-4bac-b091-73adbb394efe;#7;#SPL-CES|32d8cb1f-c9ec-4365-95c7-8385a18618ac;#6;#Unrestricted|826e22d7-d029-4ec0-a450-0c28ff673572;#5;#EN|f2175f21-25d7-44a3-96da-d6a61b075e1b;#3;#TRA|150d2a88-1431-44e6-a8ca-0bb753ab8672;#1;#EESC|422833ec-8d7e-4e65-8e4e-8bed07ffb729;#30;#HR|2f555653-ed1a-4fe6-8362-9082d95989e5</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12;#IT|0774613c-01ed-4e5d-a25d-11d2388de825</vt:lpwstr>
  </property>
</Properties>
</file>