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843E7E" w14:paraId="785AE44C" w14:textId="799276D2">
      <w:pPr>
        <w:jc w:val="center"/>
      </w:pPr>
      <w:r>
        <w:rPr>
          <w:noProof/>
        </w:rPr>
        <w:drawing>
          <wp:inline distT="0" distB="0" distL="0" distR="0" wp14:anchorId="602B4440" wp14:editId="0A12429F">
            <wp:extent cx="1792605" cy="1239520"/>
            <wp:effectExtent l="0" t="0" r="0" b="0"/>
            <wp:docPr id="2" name="Picture 2" title="EESCLogo_FR"/>
            <wp:cNvGraphicFramePr/>
            <a:graphic xmlns:a="http://schemas.openxmlformats.org/drawingml/2006/main">
              <a:graphicData uri="http://schemas.openxmlformats.org/drawingml/2006/picture">
                <pic:pic xmlns:pic="http://schemas.openxmlformats.org/drawingml/2006/picture">
                  <pic:nvPicPr>
                    <pic:cNvPr id="2" name="Picture 2" title="EESCLogo_F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6704" behindDoc="1" locked="0" layoutInCell="0" allowOverlap="1" wp14:editId="02E544D0"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FR</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65E2F485">
      <w:pPr>
        <w:jc w:val="right"/>
      </w:pPr>
      <w:r>
        <w:t>Bruxelles, le</w:t>
      </w:r>
      <w:r w:rsidR="0006677E">
        <w:t xml:space="preserve"> </w:t>
      </w:r>
      <w:r>
        <w:t>21</w:t>
      </w:r>
      <w:r w:rsidR="00204880">
        <w:t> </w:t>
      </w:r>
      <w:r>
        <w:t>juin</w:t>
      </w:r>
      <w:r w:rsidR="00204880">
        <w:t> </w:t>
      </w:r>
      <w:r>
        <w:t>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324300EF">
            <w:pPr>
              <w:snapToGrid w:val="0"/>
              <w:jc w:val="center"/>
              <w:rPr>
                <w:b/>
                <w:sz w:val="32"/>
              </w:rPr>
            </w:pPr>
            <w:r>
              <w:rPr>
                <w:b/>
                <w:sz w:val="32"/>
              </w:rPr>
              <w:t>588</w:t>
            </w:r>
            <w:r>
              <w:rPr>
                <w:b/>
                <w:sz w:val="32"/>
                <w:vertAlign w:val="superscript"/>
              </w:rPr>
              <w:t>e</w:t>
            </w:r>
            <w:r>
              <w:rPr>
                <w:b/>
                <w:sz w:val="32"/>
              </w:rPr>
              <w:t> SESSION PLÉNIÈRE</w:t>
            </w:r>
          </w:p>
          <w:p w:rsidRPr="00094B6B" w:rsidR="001760E9" w:rsidP="00775FC4" w:rsidRDefault="001760E9" w14:paraId="6C87A626" w14:textId="0AE2882C">
            <w:pPr>
              <w:snapToGrid w:val="0"/>
              <w:jc w:val="center"/>
              <w:rPr>
                <w:b/>
                <w:sz w:val="32"/>
              </w:rPr>
            </w:pPr>
          </w:p>
          <w:p w:rsidRPr="00094B6B" w:rsidR="001760E9" w:rsidP="00775FC4" w:rsidRDefault="005E7838" w14:paraId="6CF7229C" w14:textId="476C1E18">
            <w:pPr>
              <w:snapToGrid w:val="0"/>
              <w:jc w:val="center"/>
              <w:rPr>
                <w:b/>
                <w:sz w:val="32"/>
              </w:rPr>
            </w:pPr>
            <w:r>
              <w:rPr>
                <w:b/>
                <w:sz w:val="32"/>
              </w:rPr>
              <w:t>les 30 et 31</w:t>
            </w:r>
            <w:r w:rsidR="00204880">
              <w:rPr>
                <w:b/>
                <w:sz w:val="32"/>
              </w:rPr>
              <w:t> </w:t>
            </w:r>
            <w:r>
              <w:rPr>
                <w:b/>
                <w:sz w:val="32"/>
              </w:rPr>
              <w:t>mai</w:t>
            </w:r>
            <w:r w:rsidR="00204880">
              <w:rPr>
                <w:b/>
                <w:sz w:val="32"/>
              </w:rPr>
              <w:t> </w:t>
            </w:r>
            <w:r>
              <w:rPr>
                <w:b/>
                <w:sz w:val="32"/>
              </w:rPr>
              <w:t>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SYNTHÈSE DES AVIS, RÉSOLUTIONS ET RAPPORTS D’INFORMATION/D’ÉVALUATION ADOPTÉS</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Ce document est disponible dans toutes les langues officielles de l’Union européenne sur le site internet du CESE à l’adresse suivante:</w:t>
            </w:r>
          </w:p>
          <w:p w:rsidRPr="00094B6B" w:rsidR="00B16284" w:rsidP="00775FC4" w:rsidRDefault="00B16284" w14:paraId="4F26A4CE" w14:textId="77777777">
            <w:pPr>
              <w:snapToGrid w:val="0"/>
              <w:jc w:val="center"/>
            </w:pPr>
          </w:p>
          <w:p w:rsidRPr="00094B6B" w:rsidR="004D7AC0" w:rsidP="00775FC4" w:rsidRDefault="00EE33D5" w14:paraId="2A9352A2" w14:textId="0680ADB6">
            <w:pPr>
              <w:snapToGrid w:val="0"/>
              <w:jc w:val="center"/>
            </w:pPr>
            <w:hyperlink w:history="1" r:id="rId12">
              <w:r w:rsidR="00843E7E">
                <w:rPr>
                  <w:rStyle w:val="Hyperlink"/>
                  <w:highlight w:val="yellow"/>
                </w:rPr>
                <w:t>https://www.eesc.europa.eu/fr/our-work/opinions-information-reports/plenary-session-summaries</w:t>
              </w:r>
            </w:hyperlink>
            <w:r w:rsidR="00843E7E">
              <w:t>.</w:t>
            </w:r>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Les avis mentionnés peuvent être consultés en ligne au moyen du moteur de recherche du CESE:</w:t>
            </w:r>
          </w:p>
          <w:p w:rsidRPr="00094B6B" w:rsidR="00B16284" w:rsidP="00775FC4" w:rsidRDefault="00B16284" w14:paraId="7A5411A5" w14:textId="77777777">
            <w:pPr>
              <w:snapToGrid w:val="0"/>
              <w:jc w:val="center"/>
            </w:pPr>
          </w:p>
          <w:p w:rsidRPr="00094B6B" w:rsidR="004D7AC0" w:rsidP="00775FC4" w:rsidRDefault="00EE33D5" w14:paraId="441AC4DD" w14:textId="1194D751">
            <w:pPr>
              <w:snapToGrid w:val="0"/>
              <w:jc w:val="center"/>
            </w:pPr>
            <w:hyperlink w:history="1" r:id="rId13">
              <w:r w:rsidR="00843E7E">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5C28F2">
          <w:footerReference w:type="default" r:id="rId14"/>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Table des matières</w:t>
      </w:r>
    </w:p>
    <w:p w:rsidR="00F5353E" w:rsidRDefault="008772F9" w14:paraId="7F6F4E06" w14:textId="48B94535">
      <w:pPr>
        <w:pStyle w:val="TOC1"/>
        <w:rPr>
          <w:rFonts w:asciiTheme="minorHAnsi" w:hAnsiTheme="minorHAnsi" w:eastAsiaTheme="minorEastAsia" w:cstheme="minorBidi"/>
          <w:bCs w:val="0"/>
          <w:sz w:val="22"/>
          <w:szCs w:val="22"/>
          <w:lang w:val="fr-BE" w:eastAsia="fr-BE"/>
        </w:rPr>
      </w:pPr>
      <w:r>
        <w:fldChar w:fldCharType="begin"/>
      </w:r>
      <w:r>
        <w:instrText xml:space="preserve"> TOC \o "1-1" \h \z \u </w:instrText>
      </w:r>
      <w:r>
        <w:fldChar w:fldCharType="separate"/>
      </w:r>
      <w:hyperlink w:history="1" w:anchor="_Toc169703124">
        <w:r w:rsidRPr="00F72FAA" w:rsidR="00F5353E">
          <w:rPr>
            <w:rStyle w:val="Hyperlink"/>
            <w14:scene3d>
              <w14:camera w14:prst="orthographicFront"/>
              <w14:lightRig w14:rig="threePt" w14:dir="t">
                <w14:rot w14:lat="0" w14:lon="0" w14:rev="0"/>
              </w14:lightRig>
            </w14:scene3d>
          </w:rPr>
          <w:t>1.</w:t>
        </w:r>
        <w:r w:rsidR="00F5353E">
          <w:rPr>
            <w:rFonts w:asciiTheme="minorHAnsi" w:hAnsiTheme="minorHAnsi" w:eastAsiaTheme="minorEastAsia" w:cstheme="minorBidi"/>
            <w:bCs w:val="0"/>
            <w:sz w:val="22"/>
            <w:szCs w:val="22"/>
            <w:lang w:val="fr-BE" w:eastAsia="fr-BE"/>
          </w:rPr>
          <w:tab/>
        </w:r>
        <w:r w:rsidRPr="00F72FAA" w:rsidR="00F5353E">
          <w:rPr>
            <w:rStyle w:val="Hyperlink"/>
            <w:b/>
          </w:rPr>
          <w:t>UNION ÉCONOMIQUE ET MONÉTAIRE ET COHÉSION ÉCONOMIQUE ET SOCIALE</w:t>
        </w:r>
        <w:r w:rsidR="00F5353E">
          <w:rPr>
            <w:webHidden/>
          </w:rPr>
          <w:tab/>
        </w:r>
        <w:r w:rsidR="00F5353E">
          <w:rPr>
            <w:webHidden/>
          </w:rPr>
          <w:fldChar w:fldCharType="begin"/>
        </w:r>
        <w:r w:rsidR="00F5353E">
          <w:rPr>
            <w:webHidden/>
          </w:rPr>
          <w:instrText xml:space="preserve"> PAGEREF _Toc169703124 \h </w:instrText>
        </w:r>
        <w:r w:rsidR="00F5353E">
          <w:rPr>
            <w:webHidden/>
          </w:rPr>
        </w:r>
        <w:r w:rsidR="00F5353E">
          <w:rPr>
            <w:webHidden/>
          </w:rPr>
          <w:fldChar w:fldCharType="separate"/>
        </w:r>
        <w:r w:rsidR="00F5353E">
          <w:rPr>
            <w:webHidden/>
          </w:rPr>
          <w:t>3</w:t>
        </w:r>
        <w:r w:rsidR="00F5353E">
          <w:rPr>
            <w:webHidden/>
          </w:rPr>
          <w:fldChar w:fldCharType="end"/>
        </w:r>
      </w:hyperlink>
    </w:p>
    <w:p w:rsidR="00F5353E" w:rsidRDefault="00EE33D5" w14:paraId="6C1133D6" w14:textId="633AF649">
      <w:pPr>
        <w:pStyle w:val="TOC1"/>
        <w:rPr>
          <w:rFonts w:asciiTheme="minorHAnsi" w:hAnsiTheme="minorHAnsi" w:eastAsiaTheme="minorEastAsia" w:cstheme="minorBidi"/>
          <w:bCs w:val="0"/>
          <w:sz w:val="22"/>
          <w:szCs w:val="22"/>
          <w:lang w:val="fr-BE" w:eastAsia="fr-BE"/>
        </w:rPr>
      </w:pPr>
      <w:hyperlink w:history="1" w:anchor="_Toc169703125">
        <w:r w:rsidRPr="00F72FAA" w:rsidR="00F5353E">
          <w:rPr>
            <w:rStyle w:val="Hyperlink"/>
            <w14:scene3d>
              <w14:camera w14:prst="orthographicFront"/>
              <w14:lightRig w14:rig="threePt" w14:dir="t">
                <w14:rot w14:lat="0" w14:lon="0" w14:rev="0"/>
              </w14:lightRig>
            </w14:scene3d>
          </w:rPr>
          <w:t>2.</w:t>
        </w:r>
        <w:r w:rsidR="00F5353E">
          <w:rPr>
            <w:rFonts w:asciiTheme="minorHAnsi" w:hAnsiTheme="minorHAnsi" w:eastAsiaTheme="minorEastAsia" w:cstheme="minorBidi"/>
            <w:bCs w:val="0"/>
            <w:sz w:val="22"/>
            <w:szCs w:val="22"/>
            <w:lang w:val="fr-BE" w:eastAsia="fr-BE"/>
          </w:rPr>
          <w:tab/>
        </w:r>
        <w:r w:rsidRPr="00F72FAA" w:rsidR="00F5353E">
          <w:rPr>
            <w:rStyle w:val="Hyperlink"/>
            <w:b/>
          </w:rPr>
          <w:t>EMPLOI, AFFAIRES SOCIALES ET CITOYENNETÉ</w:t>
        </w:r>
        <w:r w:rsidR="00F5353E">
          <w:rPr>
            <w:webHidden/>
          </w:rPr>
          <w:tab/>
        </w:r>
        <w:r w:rsidR="00F5353E">
          <w:rPr>
            <w:webHidden/>
          </w:rPr>
          <w:fldChar w:fldCharType="begin"/>
        </w:r>
        <w:r w:rsidR="00F5353E">
          <w:rPr>
            <w:webHidden/>
          </w:rPr>
          <w:instrText xml:space="preserve"> PAGEREF _Toc169703125 \h </w:instrText>
        </w:r>
        <w:r w:rsidR="00F5353E">
          <w:rPr>
            <w:webHidden/>
          </w:rPr>
        </w:r>
        <w:r w:rsidR="00F5353E">
          <w:rPr>
            <w:webHidden/>
          </w:rPr>
          <w:fldChar w:fldCharType="separate"/>
        </w:r>
        <w:r w:rsidR="00F5353E">
          <w:rPr>
            <w:webHidden/>
          </w:rPr>
          <w:t>7</w:t>
        </w:r>
        <w:r w:rsidR="00F5353E">
          <w:rPr>
            <w:webHidden/>
          </w:rPr>
          <w:fldChar w:fldCharType="end"/>
        </w:r>
      </w:hyperlink>
    </w:p>
    <w:p w:rsidR="00F5353E" w:rsidRDefault="00EE33D5" w14:paraId="6AFE9C17" w14:textId="1BD5C46F">
      <w:pPr>
        <w:pStyle w:val="TOC1"/>
        <w:rPr>
          <w:rFonts w:asciiTheme="minorHAnsi" w:hAnsiTheme="minorHAnsi" w:eastAsiaTheme="minorEastAsia" w:cstheme="minorBidi"/>
          <w:bCs w:val="0"/>
          <w:sz w:val="22"/>
          <w:szCs w:val="22"/>
          <w:lang w:val="fr-BE" w:eastAsia="fr-BE"/>
        </w:rPr>
      </w:pPr>
      <w:hyperlink w:history="1" w:anchor="_Toc169703126">
        <w:r w:rsidRPr="00F72FAA" w:rsidR="00F5353E">
          <w:rPr>
            <w:rStyle w:val="Hyperlink"/>
            <w14:scene3d>
              <w14:camera w14:prst="orthographicFront"/>
              <w14:lightRig w14:rig="threePt" w14:dir="t">
                <w14:rot w14:lat="0" w14:lon="0" w14:rev="0"/>
              </w14:lightRig>
            </w14:scene3d>
          </w:rPr>
          <w:t>3.</w:t>
        </w:r>
        <w:r w:rsidR="00F5353E">
          <w:rPr>
            <w:rFonts w:asciiTheme="minorHAnsi" w:hAnsiTheme="minorHAnsi" w:eastAsiaTheme="minorEastAsia" w:cstheme="minorBidi"/>
            <w:bCs w:val="0"/>
            <w:sz w:val="22"/>
            <w:szCs w:val="22"/>
            <w:lang w:val="fr-BE" w:eastAsia="fr-BE"/>
          </w:rPr>
          <w:tab/>
        </w:r>
        <w:r w:rsidRPr="00F72FAA" w:rsidR="00F5353E">
          <w:rPr>
            <w:rStyle w:val="Hyperlink"/>
            <w:b/>
          </w:rPr>
          <w:t>AGRICULTURE, DÉVELOPPEMENT RURAL ET ENVIRONNEMENT</w:t>
        </w:r>
        <w:r w:rsidR="00F5353E">
          <w:rPr>
            <w:webHidden/>
          </w:rPr>
          <w:tab/>
        </w:r>
        <w:r w:rsidR="00F5353E">
          <w:rPr>
            <w:webHidden/>
          </w:rPr>
          <w:fldChar w:fldCharType="begin"/>
        </w:r>
        <w:r w:rsidR="00F5353E">
          <w:rPr>
            <w:webHidden/>
          </w:rPr>
          <w:instrText xml:space="preserve"> PAGEREF _Toc169703126 \h </w:instrText>
        </w:r>
        <w:r w:rsidR="00F5353E">
          <w:rPr>
            <w:webHidden/>
          </w:rPr>
        </w:r>
        <w:r w:rsidR="00F5353E">
          <w:rPr>
            <w:webHidden/>
          </w:rPr>
          <w:fldChar w:fldCharType="separate"/>
        </w:r>
        <w:r w:rsidR="00F5353E">
          <w:rPr>
            <w:webHidden/>
          </w:rPr>
          <w:t>13</w:t>
        </w:r>
        <w:r w:rsidR="00F5353E">
          <w:rPr>
            <w:webHidden/>
          </w:rPr>
          <w:fldChar w:fldCharType="end"/>
        </w:r>
      </w:hyperlink>
    </w:p>
    <w:p w:rsidR="00F5353E" w:rsidRDefault="00EE33D5" w14:paraId="44B7083B" w14:textId="1AEA0D25">
      <w:pPr>
        <w:pStyle w:val="TOC1"/>
        <w:rPr>
          <w:rFonts w:asciiTheme="minorHAnsi" w:hAnsiTheme="minorHAnsi" w:eastAsiaTheme="minorEastAsia" w:cstheme="minorBidi"/>
          <w:bCs w:val="0"/>
          <w:sz w:val="22"/>
          <w:szCs w:val="22"/>
          <w:lang w:val="fr-BE" w:eastAsia="fr-BE"/>
        </w:rPr>
      </w:pPr>
      <w:hyperlink w:history="1" w:anchor="_Toc169703127">
        <w:r w:rsidRPr="00F72FAA" w:rsidR="00F5353E">
          <w:rPr>
            <w:rStyle w:val="Hyperlink"/>
            <w14:scene3d>
              <w14:camera w14:prst="orthographicFront"/>
              <w14:lightRig w14:rig="threePt" w14:dir="t">
                <w14:rot w14:lat="0" w14:lon="0" w14:rev="0"/>
              </w14:lightRig>
            </w14:scene3d>
          </w:rPr>
          <w:t>4.</w:t>
        </w:r>
        <w:r w:rsidR="00F5353E">
          <w:rPr>
            <w:rFonts w:asciiTheme="minorHAnsi" w:hAnsiTheme="minorHAnsi" w:eastAsiaTheme="minorEastAsia" w:cstheme="minorBidi"/>
            <w:bCs w:val="0"/>
            <w:sz w:val="22"/>
            <w:szCs w:val="22"/>
            <w:lang w:val="fr-BE" w:eastAsia="fr-BE"/>
          </w:rPr>
          <w:tab/>
        </w:r>
        <w:r w:rsidRPr="00F72FAA" w:rsidR="00F5353E">
          <w:rPr>
            <w:rStyle w:val="Hyperlink"/>
            <w:b/>
          </w:rPr>
          <w:t>TRANSPORTS, ÉNERGIE, INFRASTRUCTURES ET SOCIÉTÉ DE L’INFORMATION</w:t>
        </w:r>
        <w:r w:rsidR="00F5353E">
          <w:rPr>
            <w:webHidden/>
          </w:rPr>
          <w:tab/>
        </w:r>
        <w:r w:rsidR="00F5353E">
          <w:rPr>
            <w:webHidden/>
          </w:rPr>
          <w:fldChar w:fldCharType="begin"/>
        </w:r>
        <w:r w:rsidR="00F5353E">
          <w:rPr>
            <w:webHidden/>
          </w:rPr>
          <w:instrText xml:space="preserve"> PAGEREF _Toc169703127 \h </w:instrText>
        </w:r>
        <w:r w:rsidR="00F5353E">
          <w:rPr>
            <w:webHidden/>
          </w:rPr>
        </w:r>
        <w:r w:rsidR="00F5353E">
          <w:rPr>
            <w:webHidden/>
          </w:rPr>
          <w:fldChar w:fldCharType="separate"/>
        </w:r>
        <w:r w:rsidR="00F5353E">
          <w:rPr>
            <w:webHidden/>
          </w:rPr>
          <w:t>16</w:t>
        </w:r>
        <w:r w:rsidR="00F5353E">
          <w:rPr>
            <w:webHidden/>
          </w:rPr>
          <w:fldChar w:fldCharType="end"/>
        </w:r>
      </w:hyperlink>
    </w:p>
    <w:p w:rsidR="00F5353E" w:rsidRDefault="00EE33D5" w14:paraId="3CC38C3C" w14:textId="1C56BCB2">
      <w:pPr>
        <w:pStyle w:val="TOC1"/>
        <w:rPr>
          <w:rFonts w:asciiTheme="minorHAnsi" w:hAnsiTheme="minorHAnsi" w:eastAsiaTheme="minorEastAsia" w:cstheme="minorBidi"/>
          <w:bCs w:val="0"/>
          <w:sz w:val="22"/>
          <w:szCs w:val="22"/>
          <w:lang w:val="fr-BE" w:eastAsia="fr-BE"/>
        </w:rPr>
      </w:pPr>
      <w:hyperlink w:history="1" w:anchor="_Toc169703128">
        <w:r w:rsidRPr="00F72FAA" w:rsidR="00F5353E">
          <w:rPr>
            <w:rStyle w:val="Hyperlink"/>
            <w14:scene3d>
              <w14:camera w14:prst="orthographicFront"/>
              <w14:lightRig w14:rig="threePt" w14:dir="t">
                <w14:rot w14:lat="0" w14:lon="0" w14:rev="0"/>
              </w14:lightRig>
            </w14:scene3d>
          </w:rPr>
          <w:t>5.</w:t>
        </w:r>
        <w:r w:rsidR="00F5353E">
          <w:rPr>
            <w:rFonts w:asciiTheme="minorHAnsi" w:hAnsiTheme="minorHAnsi" w:eastAsiaTheme="minorEastAsia" w:cstheme="minorBidi"/>
            <w:bCs w:val="0"/>
            <w:sz w:val="22"/>
            <w:szCs w:val="22"/>
            <w:lang w:val="fr-BE" w:eastAsia="fr-BE"/>
          </w:rPr>
          <w:tab/>
        </w:r>
        <w:r w:rsidRPr="00F72FAA" w:rsidR="00F5353E">
          <w:rPr>
            <w:rStyle w:val="Hyperlink"/>
            <w:b/>
          </w:rPr>
          <w:t>COMMISSION CONSULTATIVE DES MUTATIONS INDUSTRIELLES</w:t>
        </w:r>
        <w:r w:rsidR="00F5353E">
          <w:rPr>
            <w:webHidden/>
          </w:rPr>
          <w:tab/>
        </w:r>
        <w:r w:rsidR="00F5353E">
          <w:rPr>
            <w:webHidden/>
          </w:rPr>
          <w:fldChar w:fldCharType="begin"/>
        </w:r>
        <w:r w:rsidR="00F5353E">
          <w:rPr>
            <w:webHidden/>
          </w:rPr>
          <w:instrText xml:space="preserve"> PAGEREF _Toc169703128 \h </w:instrText>
        </w:r>
        <w:r w:rsidR="00F5353E">
          <w:rPr>
            <w:webHidden/>
          </w:rPr>
        </w:r>
        <w:r w:rsidR="00F5353E">
          <w:rPr>
            <w:webHidden/>
          </w:rPr>
          <w:fldChar w:fldCharType="separate"/>
        </w:r>
        <w:r w:rsidR="00F5353E">
          <w:rPr>
            <w:webHidden/>
          </w:rPr>
          <w:t>17</w:t>
        </w:r>
        <w:r w:rsidR="00F5353E">
          <w:rPr>
            <w:webHidden/>
          </w:rPr>
          <w:fldChar w:fldCharType="end"/>
        </w:r>
      </w:hyperlink>
    </w:p>
    <w:p w:rsidR="00C86ABD" w:rsidRDefault="008772F9" w14:paraId="4EDE006A" w14:textId="34E7BA9B">
      <w:pPr>
        <w:jc w:val="left"/>
      </w:pPr>
      <w:r>
        <w:fldChar w:fldCharType="end"/>
      </w:r>
      <w:r>
        <w:br w:type="page"/>
      </w:r>
    </w:p>
    <w:p w:rsidRPr="00EE2FBD" w:rsidR="0038273B" w:rsidP="00770F41" w:rsidRDefault="0038273B" w14:paraId="62CE6920" w14:textId="4AB21D19">
      <w:pPr>
        <w:pStyle w:val="Heading1"/>
        <w:tabs>
          <w:tab w:val="clear" w:pos="440"/>
          <w:tab w:val="left" w:pos="567"/>
        </w:tabs>
        <w:ind w:left="567" w:hanging="567"/>
        <w:rPr>
          <w:b/>
          <w:bCs/>
        </w:rPr>
      </w:pPr>
      <w:bookmarkStart w:name="_Toc169703124" w:id="0"/>
      <w:r>
        <w:rPr>
          <w:b/>
        </w:rPr>
        <w:lastRenderedPageBreak/>
        <w:t>UNION ÉCONOMIQUE ET MONÉTAIRE ET COHÉSION ÉCONOMIQUE ET SOCIALE</w:t>
      </w:r>
      <w:bookmarkEnd w:id="0"/>
    </w:p>
    <w:p w:rsidR="00105700" w:rsidP="00770F41" w:rsidRDefault="00105700" w14:paraId="72AAE541" w14:textId="7B9D6C9D">
      <w:pPr>
        <w:tabs>
          <w:tab w:val="center" w:pos="284"/>
        </w:tabs>
        <w:overflowPunct w:val="0"/>
        <w:autoSpaceDE w:val="0"/>
        <w:autoSpaceDN w:val="0"/>
        <w:adjustRightInd w:val="0"/>
        <w:ind w:left="266" w:hanging="266"/>
        <w:textAlignment w:val="baseline"/>
        <w:rPr>
          <w:b/>
          <w:sz w:val="24"/>
          <w:szCs w:val="24"/>
        </w:rPr>
      </w:pPr>
    </w:p>
    <w:p w:rsidR="006C19F4" w:rsidP="00770F41" w:rsidRDefault="006C19F4" w14:paraId="615CB201" w14:textId="46FEF5A0">
      <w:pPr>
        <w:tabs>
          <w:tab w:val="center" w:pos="284"/>
        </w:tabs>
        <w:overflowPunct w:val="0"/>
        <w:autoSpaceDE w:val="0"/>
        <w:autoSpaceDN w:val="0"/>
        <w:adjustRightInd w:val="0"/>
        <w:ind w:left="266" w:hanging="266"/>
        <w:textAlignment w:val="baseline"/>
        <w:rPr>
          <w:b/>
          <w:sz w:val="24"/>
          <w:szCs w:val="24"/>
        </w:rPr>
      </w:pPr>
    </w:p>
    <w:p w:rsidRPr="00934A3C" w:rsidR="00DE6AD0" w:rsidP="00DE6AD0" w:rsidRDefault="00EE33D5" w14:paraId="6EE01B4D" w14:textId="79E88AF4">
      <w:pPr>
        <w:widowControl w:val="0"/>
        <w:numPr>
          <w:ilvl w:val="0"/>
          <w:numId w:val="30"/>
        </w:numPr>
        <w:overflowPunct w:val="0"/>
        <w:autoSpaceDE w:val="0"/>
        <w:autoSpaceDN w:val="0"/>
        <w:adjustRightInd w:val="0"/>
        <w:spacing w:after="120"/>
        <w:ind w:hanging="567"/>
        <w:textAlignment w:val="baseline"/>
        <w:rPr>
          <w:rStyle w:val="Hyperlink"/>
          <w:b/>
          <w:i/>
          <w:iCs/>
          <w:sz w:val="28"/>
          <w:szCs w:val="28"/>
        </w:rPr>
      </w:pPr>
      <w:hyperlink w:history="1" r:id="rId15">
        <w:r w:rsidRPr="00934A3C" w:rsidR="00DE6AD0">
          <w:rPr>
            <w:rStyle w:val="Hyperlink"/>
            <w:b/>
            <w:i/>
            <w:sz w:val="28"/>
          </w:rPr>
          <w:t>Le rôle de la politique de cohésion dans les prochaines séries d’élargissement de l’Union</w:t>
        </w:r>
      </w:hyperlink>
    </w:p>
    <w:p w:rsidRPr="00934A3C" w:rsidR="00DE6AD0" w:rsidP="00DE6AD0" w:rsidRDefault="00DE6AD0" w14:paraId="268451CC" w14:textId="77777777">
      <w:pPr>
        <w:widowControl w:val="0"/>
        <w:spacing w:after="120"/>
        <w:ind w:left="567"/>
        <w:rPr>
          <w:b/>
          <w:i/>
          <w:iCs/>
          <w:sz w:val="28"/>
          <w:szCs w:val="28"/>
        </w:rPr>
      </w:pPr>
    </w:p>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934A3C" w:rsidR="00DE6AD0" w:rsidTr="00227409" w14:paraId="3911E458" w14:textId="77777777">
        <w:tc>
          <w:tcPr>
            <w:tcW w:w="1701" w:type="dxa"/>
          </w:tcPr>
          <w:p w:rsidRPr="00934A3C" w:rsidR="00DE6AD0" w:rsidP="00227409" w:rsidRDefault="00DE6AD0" w14:paraId="3D42C1DF" w14:textId="77777777">
            <w:pPr>
              <w:tabs>
                <w:tab w:val="center" w:pos="284"/>
              </w:tabs>
              <w:ind w:left="266" w:hanging="266"/>
              <w:rPr>
                <w:b/>
              </w:rPr>
            </w:pPr>
            <w:proofErr w:type="spellStart"/>
            <w:r w:rsidRPr="00934A3C">
              <w:rPr>
                <w:b/>
              </w:rPr>
              <w:t>Rapporteure</w:t>
            </w:r>
            <w:proofErr w:type="spellEnd"/>
          </w:p>
        </w:tc>
        <w:tc>
          <w:tcPr>
            <w:tcW w:w="7621" w:type="dxa"/>
          </w:tcPr>
          <w:p w:rsidRPr="00934A3C" w:rsidR="00DE6AD0" w:rsidP="00227409" w:rsidRDefault="00DE6AD0" w14:paraId="45145BC8" w14:textId="26FD52E4">
            <w:pPr>
              <w:tabs>
                <w:tab w:val="center" w:pos="284"/>
              </w:tabs>
              <w:ind w:left="266" w:hanging="266"/>
              <w:rPr>
                <w:bCs/>
              </w:rPr>
            </w:pPr>
            <w:r w:rsidRPr="00934A3C">
              <w:t>Maria </w:t>
            </w:r>
            <w:proofErr w:type="spellStart"/>
            <w:r w:rsidRPr="00934A3C">
              <w:t>del</w:t>
            </w:r>
            <w:proofErr w:type="spellEnd"/>
            <w:r w:rsidRPr="00934A3C">
              <w:t> Carmen BARRERA CHAMORRO (groupe des travailleurs</w:t>
            </w:r>
            <w:r w:rsidR="00693BDB">
              <w:t xml:space="preserve"> </w:t>
            </w:r>
            <w:r w:rsidRPr="00934A3C">
              <w:t>—</w:t>
            </w:r>
            <w:r w:rsidR="00204880">
              <w:t xml:space="preserve"> </w:t>
            </w:r>
            <w:r w:rsidRPr="00934A3C">
              <w:t>ES)</w:t>
            </w:r>
          </w:p>
        </w:tc>
      </w:tr>
      <w:tr w:rsidRPr="00934A3C" w:rsidR="00DE6AD0" w:rsidTr="00227409" w14:paraId="6F8E146E" w14:textId="77777777">
        <w:tc>
          <w:tcPr>
            <w:tcW w:w="9322" w:type="dxa"/>
            <w:gridSpan w:val="2"/>
          </w:tcPr>
          <w:p w:rsidRPr="00934A3C" w:rsidR="00DE6AD0" w:rsidP="00227409" w:rsidRDefault="00DE6AD0" w14:paraId="7E71D1E4" w14:textId="77777777">
            <w:pPr>
              <w:tabs>
                <w:tab w:val="center" w:pos="284"/>
              </w:tabs>
              <w:spacing w:line="160" w:lineRule="exact"/>
              <w:ind w:left="266" w:hanging="266"/>
            </w:pPr>
          </w:p>
        </w:tc>
      </w:tr>
      <w:tr w:rsidRPr="00934A3C" w:rsidR="00DE6AD0" w:rsidTr="00227409" w14:paraId="054C33CA" w14:textId="77777777">
        <w:tc>
          <w:tcPr>
            <w:tcW w:w="1701" w:type="dxa"/>
          </w:tcPr>
          <w:p w:rsidRPr="00934A3C" w:rsidR="00DE6AD0" w:rsidP="00227409" w:rsidRDefault="00DE6AD0" w14:paraId="38B2C2DD" w14:textId="77777777">
            <w:pPr>
              <w:tabs>
                <w:tab w:val="center" w:pos="284"/>
              </w:tabs>
              <w:ind w:left="266" w:hanging="266"/>
              <w:rPr>
                <w:b/>
              </w:rPr>
            </w:pPr>
            <w:r w:rsidRPr="00934A3C">
              <w:rPr>
                <w:b/>
              </w:rPr>
              <w:t>Référence</w:t>
            </w:r>
          </w:p>
        </w:tc>
        <w:tc>
          <w:tcPr>
            <w:tcW w:w="7621" w:type="dxa"/>
          </w:tcPr>
          <w:p w:rsidRPr="00934A3C" w:rsidR="00DE6AD0" w:rsidP="00227409" w:rsidRDefault="00DE6AD0" w14:paraId="3CEA5859" w14:textId="77777777">
            <w:pPr>
              <w:tabs>
                <w:tab w:val="center" w:pos="284"/>
              </w:tabs>
              <w:ind w:left="266" w:hanging="266"/>
            </w:pPr>
            <w:r w:rsidRPr="00934A3C">
              <w:t>EESC-2024-00535-00-00-AC</w:t>
            </w:r>
          </w:p>
        </w:tc>
      </w:tr>
    </w:tbl>
    <w:p w:rsidRPr="00934A3C" w:rsidR="00DE6AD0" w:rsidP="00DE6AD0" w:rsidRDefault="00DE6AD0" w14:paraId="576B7D9C" w14:textId="1D5C20C8">
      <w:pPr>
        <w:keepNext/>
        <w:keepLines/>
        <w:tabs>
          <w:tab w:val="center" w:pos="284"/>
        </w:tabs>
        <w:spacing w:before="120"/>
        <w:ind w:left="266" w:hanging="266"/>
        <w:rPr>
          <w:b/>
        </w:rPr>
      </w:pPr>
      <w:r w:rsidRPr="00934A3C">
        <w:rPr>
          <w:b/>
        </w:rPr>
        <w:t>Points clés</w:t>
      </w:r>
    </w:p>
    <w:p w:rsidRPr="00934A3C" w:rsidR="00DE6AD0" w:rsidP="00DE6AD0" w:rsidRDefault="00DE6AD0" w14:paraId="51BEB079" w14:textId="77777777">
      <w:pPr>
        <w:keepNext/>
        <w:keepLines/>
        <w:tabs>
          <w:tab w:val="center" w:pos="284"/>
        </w:tabs>
        <w:spacing w:before="120"/>
        <w:ind w:left="266" w:hanging="266"/>
        <w:rPr>
          <w:b/>
        </w:rPr>
      </w:pPr>
    </w:p>
    <w:p w:rsidR="00DE6AD0" w:rsidP="00DE6AD0" w:rsidRDefault="00DE6AD0" w14:paraId="1B84F3E4" w14:textId="0987E1C9">
      <w:r w:rsidRPr="00934A3C">
        <w:t>Le CESE:</w:t>
      </w:r>
    </w:p>
    <w:p w:rsidRPr="00934A3C" w:rsidR="00693BDB" w:rsidP="00DE6AD0" w:rsidRDefault="00693BDB" w14:paraId="3CED99FC" w14:textId="77777777">
      <w:pPr>
        <w:rPr>
          <w:bCs/>
          <w:iCs/>
        </w:rPr>
      </w:pPr>
    </w:p>
    <w:p w:rsidRPr="00934A3C" w:rsidR="00DE6AD0" w:rsidP="00DE6AD0" w:rsidRDefault="00DE6AD0" w14:paraId="568D34D0" w14:textId="77777777">
      <w:pPr>
        <w:pStyle w:val="ListParagraph"/>
        <w:numPr>
          <w:ilvl w:val="0"/>
          <w:numId w:val="8"/>
        </w:numPr>
        <w:spacing w:after="200" w:line="276" w:lineRule="auto"/>
        <w:rPr>
          <w:bCs/>
          <w:iCs/>
        </w:rPr>
      </w:pPr>
      <w:r w:rsidRPr="00934A3C">
        <w:t>souligne que la politique d’aide de préadhésion de l’UE est un outil indispensable de la politique d’élargissement dont l’influence peut être renforcée pour promouvoir la paix et la prospérité sur l’ensemble du continent européen, en particulier dans les régions où la paix et la stabilité ont été récemment mises à l’épreuve;</w:t>
      </w:r>
    </w:p>
    <w:p w:rsidRPr="00934A3C" w:rsidR="00DE6AD0" w:rsidP="00DE6AD0" w:rsidRDefault="00DE6AD0" w14:paraId="022FF83E" w14:textId="77777777">
      <w:pPr>
        <w:pStyle w:val="ListParagraph"/>
        <w:numPr>
          <w:ilvl w:val="0"/>
          <w:numId w:val="8"/>
        </w:numPr>
        <w:spacing w:after="200" w:line="276" w:lineRule="auto"/>
        <w:rPr>
          <w:bCs/>
          <w:iCs/>
        </w:rPr>
      </w:pPr>
      <w:r w:rsidRPr="00934A3C">
        <w:t>note qu’afin de préparer les pays candidats à mettre pleinement en œuvre les instruments de la politique de cohésion à l’avenir, la politique d’aide de préadhésion devrait être mieux adaptée aux points forts, aux défis et aux besoins des régions concernées de ces pays, ainsi que des régions limitrophes ressortissant aux États membres;</w:t>
      </w:r>
    </w:p>
    <w:p w:rsidRPr="00934A3C" w:rsidR="00DE6AD0" w:rsidP="00DE6AD0" w:rsidRDefault="00DE6AD0" w14:paraId="05530C7D" w14:textId="77777777">
      <w:pPr>
        <w:pStyle w:val="ListParagraph"/>
        <w:numPr>
          <w:ilvl w:val="0"/>
          <w:numId w:val="8"/>
        </w:numPr>
        <w:spacing w:after="200" w:line="276" w:lineRule="auto"/>
        <w:rPr>
          <w:bCs/>
          <w:iCs/>
        </w:rPr>
      </w:pPr>
      <w:r w:rsidRPr="00934A3C">
        <w:t>recommande que cette politique, telle qu’elle est déployée dans les pays candidats, investisse plus systématiquement dans le développement du capital humain, l’éducation et l’intégration sociale afin de prévenir et d’atténuer les inégalités sociales. Il est essentiel de promouvoir les liens avec les organisations de la société civile (OSC) pour améliorer la planification de la politique d’aide de préadhésion;</w:t>
      </w:r>
    </w:p>
    <w:p w:rsidRPr="00934A3C" w:rsidR="00DE6AD0" w:rsidP="00DE6AD0" w:rsidRDefault="00DE6AD0" w14:paraId="5E12C019" w14:textId="77777777">
      <w:pPr>
        <w:pStyle w:val="ListParagraph"/>
        <w:numPr>
          <w:ilvl w:val="0"/>
          <w:numId w:val="8"/>
        </w:numPr>
        <w:spacing w:after="200" w:line="276" w:lineRule="auto"/>
        <w:rPr>
          <w:bCs/>
          <w:iCs/>
        </w:rPr>
      </w:pPr>
      <w:r w:rsidRPr="00934A3C">
        <w:t>relève que dans le cadre de la future politique de cohésion, priorité devrait être accordée à la protection des groupes vulnérables. Ceux-ci sont confrontés à des obstacles supplémentaires fort conséquents qui entravent leur développement économique et social et ils sont susceptibles de faire face à d’autres défis encore lors du futur processus d’adhésion;</w:t>
      </w:r>
    </w:p>
    <w:p w:rsidRPr="00934A3C" w:rsidR="00DE6AD0" w:rsidP="00DE6AD0" w:rsidRDefault="00DE6AD0" w14:paraId="106061C2" w14:textId="77777777">
      <w:pPr>
        <w:pStyle w:val="ListParagraph"/>
        <w:numPr>
          <w:ilvl w:val="0"/>
          <w:numId w:val="8"/>
        </w:numPr>
        <w:spacing w:after="200" w:line="276" w:lineRule="auto"/>
        <w:rPr>
          <w:bCs/>
          <w:iCs/>
        </w:rPr>
      </w:pPr>
      <w:r w:rsidRPr="00934A3C">
        <w:t>met en exergue que le renforcement des partenariats avec les OSC dans les pays candidats n’est pas seulement inestimable du point de vue de la promotion des objectifs de l’élargissement: il participe également de stratégies de développement efficaces et inclusives en utilisant les principes établis d’un partenariat solide et d’une gestion partagée;</w:t>
      </w:r>
    </w:p>
    <w:p w:rsidRPr="00934A3C" w:rsidR="00DE6AD0" w:rsidP="00DE6AD0" w:rsidRDefault="00DE6AD0" w14:paraId="5C92FC22" w14:textId="77777777">
      <w:pPr>
        <w:pStyle w:val="ListParagraph"/>
        <w:numPr>
          <w:ilvl w:val="0"/>
          <w:numId w:val="8"/>
        </w:numPr>
        <w:spacing w:after="200" w:line="276" w:lineRule="auto"/>
        <w:rPr>
          <w:bCs/>
          <w:iCs/>
        </w:rPr>
      </w:pPr>
      <w:r w:rsidRPr="00934A3C">
        <w:t>souligne que la politique de cohésion doit avoir un rôle qui aille bien au-delà des investissements essentiels. Elle doit se concentrer sur le renforcement des institutions et des capacités, notamment sous la forme de programmes de jumelage et d’un soutien à la société civile et aux partenaires sociaux;</w:t>
      </w:r>
    </w:p>
    <w:p w:rsidRPr="00934A3C" w:rsidR="00DE6AD0" w:rsidP="00DE6AD0" w:rsidRDefault="00DE6AD0" w14:paraId="0DDF8816" w14:textId="77777777">
      <w:pPr>
        <w:pStyle w:val="ListParagraph"/>
        <w:numPr>
          <w:ilvl w:val="0"/>
          <w:numId w:val="8"/>
        </w:numPr>
        <w:spacing w:after="200" w:line="276" w:lineRule="auto"/>
        <w:rPr>
          <w:bCs/>
          <w:iCs/>
        </w:rPr>
      </w:pPr>
      <w:r w:rsidRPr="00934A3C">
        <w:t xml:space="preserve">relève que les vagues d’élargissement ont aussi eu une incidence sur les États membres actuels et leurs régions, à mesure que les nouveaux États membres rejoignent le marché unique, impactant ainsi la chaîne de valeur internationale et la migration de la main-d’œuvre dans l’UE. Des fonds supplémentaires sont donc nécessaires pour investir dans les régions limitrophes des pays candidats, ainsi que dans les régions des États membres actuels durement touchées par les </w:t>
      </w:r>
      <w:r w:rsidRPr="00934A3C">
        <w:lastRenderedPageBreak/>
        <w:t>changements intervenus dans l’UE et les chaînes de valeur mondiales à la suite de l’élargissement;</w:t>
      </w:r>
    </w:p>
    <w:p w:rsidRPr="00934A3C" w:rsidR="00DE6AD0" w:rsidP="00DE6AD0" w:rsidRDefault="00DE6AD0" w14:paraId="53745E67" w14:textId="77777777">
      <w:pPr>
        <w:pStyle w:val="ListParagraph"/>
        <w:numPr>
          <w:ilvl w:val="0"/>
          <w:numId w:val="8"/>
        </w:numPr>
        <w:spacing w:after="200" w:line="276" w:lineRule="auto"/>
        <w:rPr>
          <w:bCs/>
          <w:iCs/>
        </w:rPr>
      </w:pPr>
      <w:r w:rsidRPr="00934A3C">
        <w:t>précise que la Commission devrait viser à ce que la politique de cohésion soit réformée de sorte à renforcer l’efficacité des politiques actuelles — sur la base d’une spécialisation et d’une diversification accrues — et à les assortir d’une flexibilité et d’une spécialisation financière plus grandes. Aucun soutien financier ne peut réussir à stimuler la prospérité économique s’il ne s’accompagne pas d’efforts tout aussi conséquents en matière de renforcement des institutions, de réforme de la gouvernance et d’engagement de la société civile;</w:t>
      </w:r>
    </w:p>
    <w:p w:rsidRPr="00934A3C" w:rsidR="00DE6AD0" w:rsidP="00DE6AD0" w:rsidRDefault="00DE6AD0" w14:paraId="325667EA" w14:textId="77777777">
      <w:pPr>
        <w:pStyle w:val="ListParagraph"/>
        <w:numPr>
          <w:ilvl w:val="0"/>
          <w:numId w:val="8"/>
        </w:numPr>
        <w:spacing w:after="200" w:line="276" w:lineRule="auto"/>
        <w:rPr>
          <w:bCs/>
          <w:iCs/>
        </w:rPr>
      </w:pPr>
      <w:r w:rsidRPr="00934A3C">
        <w:t>souligne la nécessité d’agir de toute urgence pour endiguer la vague d’émigration en provenance des pays candidats à l’adhésion à l’UE — qui menace d’étouffer le potentiel de développement économique et social — au moyen de diverses mesures, dont l’investissement dans le capital humain;</w:t>
      </w:r>
    </w:p>
    <w:p w:rsidRPr="00934A3C" w:rsidR="00DE6AD0" w:rsidP="00DE6AD0" w:rsidRDefault="00DE6AD0" w14:paraId="37DD5553" w14:textId="77777777">
      <w:pPr>
        <w:pStyle w:val="ListParagraph"/>
        <w:numPr>
          <w:ilvl w:val="0"/>
          <w:numId w:val="8"/>
        </w:numPr>
        <w:spacing w:after="200" w:line="276" w:lineRule="auto"/>
        <w:rPr>
          <w:bCs/>
          <w:iCs/>
        </w:rPr>
      </w:pPr>
      <w:r w:rsidRPr="00934A3C">
        <w:t>estime qu’il est essentiel d’améliorer la situation des jeunes dans les pays candidats. Des efforts sont nécessaires pour améliorer les compétences et l’emploi des jeunes et accroître les possibilités éducatives et d’emplois de qualité qui s’offrent à eux, ainsi que les solutions de logement. Le dialogue et la participation des jeunes aux initiatives de garantie pour la jeunesse devraient également être encouragés;</w:t>
      </w:r>
    </w:p>
    <w:p w:rsidRPr="00934A3C" w:rsidR="00DE6AD0" w:rsidP="00DE6AD0" w:rsidRDefault="00DE6AD0" w14:paraId="411F1869" w14:textId="77777777">
      <w:pPr>
        <w:pStyle w:val="ListParagraph"/>
        <w:numPr>
          <w:ilvl w:val="0"/>
          <w:numId w:val="8"/>
        </w:numPr>
        <w:spacing w:after="200" w:line="276" w:lineRule="auto"/>
        <w:rPr>
          <w:bCs/>
          <w:iCs/>
        </w:rPr>
      </w:pPr>
      <w:r w:rsidRPr="00934A3C">
        <w:t>recommande de redoubler d’efforts pour s’occuper des personnes les plus vulnérables et des groupes vulnérables dans les pays candidats, en les intégrant non seulement dans les systèmes de protection, mais aussi en les prenant en compte dans le processus décisionnel, ce qui constitue le meilleur moyen d’atteindre le premier principe fondamental de la politique de cohésion, à savoir «ne laisser personne de côté».</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34A3C" w:rsidR="00DE6AD0" w:rsidTr="00227409" w14:paraId="1ACBD047" w14:textId="77777777">
        <w:tc>
          <w:tcPr>
            <w:tcW w:w="1418" w:type="dxa"/>
          </w:tcPr>
          <w:p w:rsidRPr="00934A3C" w:rsidR="00DE6AD0" w:rsidP="00227409" w:rsidRDefault="00DE6AD0" w14:paraId="60F84404" w14:textId="77777777">
            <w:pPr>
              <w:spacing w:line="240" w:lineRule="auto"/>
              <w:rPr>
                <w:i/>
              </w:rPr>
            </w:pPr>
            <w:r w:rsidRPr="00934A3C">
              <w:rPr>
                <w:b/>
                <w:i/>
              </w:rPr>
              <w:t>Contact</w:t>
            </w:r>
          </w:p>
        </w:tc>
        <w:tc>
          <w:tcPr>
            <w:tcW w:w="5670" w:type="dxa"/>
          </w:tcPr>
          <w:p w:rsidRPr="00934A3C" w:rsidR="00DE6AD0" w:rsidP="00227409" w:rsidRDefault="00DE6AD0" w14:paraId="2F563F6C" w14:textId="77777777">
            <w:pPr>
              <w:spacing w:line="240" w:lineRule="auto"/>
              <w:rPr>
                <w:i/>
              </w:rPr>
            </w:pPr>
            <w:proofErr w:type="spellStart"/>
            <w:r w:rsidRPr="00934A3C">
              <w:rPr>
                <w:i/>
              </w:rPr>
              <w:t>Georgios</w:t>
            </w:r>
            <w:proofErr w:type="spellEnd"/>
            <w:r w:rsidRPr="00934A3C">
              <w:rPr>
                <w:i/>
              </w:rPr>
              <w:t> </w:t>
            </w:r>
            <w:proofErr w:type="spellStart"/>
            <w:r w:rsidRPr="00934A3C">
              <w:rPr>
                <w:i/>
              </w:rPr>
              <w:t>Meleas</w:t>
            </w:r>
            <w:proofErr w:type="spellEnd"/>
          </w:p>
        </w:tc>
      </w:tr>
      <w:tr w:rsidRPr="00934A3C" w:rsidR="00DE6AD0" w:rsidTr="00227409" w14:paraId="5CA874BE" w14:textId="77777777">
        <w:tc>
          <w:tcPr>
            <w:tcW w:w="1418" w:type="dxa"/>
          </w:tcPr>
          <w:p w:rsidRPr="00934A3C" w:rsidR="00DE6AD0" w:rsidP="00227409" w:rsidRDefault="00DE6AD0" w14:paraId="1801F68F" w14:textId="77777777">
            <w:pPr>
              <w:spacing w:line="240" w:lineRule="auto"/>
              <w:rPr>
                <w:i/>
              </w:rPr>
            </w:pPr>
            <w:r w:rsidRPr="00934A3C">
              <w:rPr>
                <w:i/>
              </w:rPr>
              <w:t>Tél.</w:t>
            </w:r>
          </w:p>
        </w:tc>
        <w:tc>
          <w:tcPr>
            <w:tcW w:w="5670" w:type="dxa"/>
          </w:tcPr>
          <w:p w:rsidRPr="00934A3C" w:rsidR="00DE6AD0" w:rsidP="00227409" w:rsidRDefault="00DE6AD0" w14:paraId="1E5C795C" w14:textId="77777777">
            <w:pPr>
              <w:spacing w:line="240" w:lineRule="auto"/>
              <w:rPr>
                <w:i/>
              </w:rPr>
            </w:pPr>
            <w:r w:rsidRPr="00934A3C">
              <w:rPr>
                <w:i/>
              </w:rPr>
              <w:t>+32 25469795</w:t>
            </w:r>
          </w:p>
        </w:tc>
      </w:tr>
      <w:tr w:rsidRPr="00934A3C" w:rsidR="00DE6AD0" w:rsidTr="00227409" w14:paraId="64590CCC" w14:textId="77777777">
        <w:tc>
          <w:tcPr>
            <w:tcW w:w="1418" w:type="dxa"/>
          </w:tcPr>
          <w:p w:rsidRPr="00934A3C" w:rsidR="00DE6AD0" w:rsidP="00227409" w:rsidRDefault="00DE6AD0" w14:paraId="45939150" w14:textId="77777777">
            <w:pPr>
              <w:spacing w:line="240" w:lineRule="auto"/>
              <w:rPr>
                <w:i/>
              </w:rPr>
            </w:pPr>
            <w:r w:rsidRPr="00934A3C">
              <w:rPr>
                <w:i/>
              </w:rPr>
              <w:t>Courriel</w:t>
            </w:r>
          </w:p>
        </w:tc>
        <w:tc>
          <w:tcPr>
            <w:tcW w:w="5670" w:type="dxa"/>
          </w:tcPr>
          <w:p w:rsidRPr="00934A3C" w:rsidR="00DE6AD0" w:rsidP="00227409" w:rsidRDefault="00EE33D5" w14:paraId="493A804E" w14:textId="77777777">
            <w:pPr>
              <w:spacing w:line="240" w:lineRule="auto"/>
              <w:rPr>
                <w:i/>
              </w:rPr>
            </w:pPr>
            <w:hyperlink w:history="1" r:id="rId16">
              <w:r w:rsidRPr="00934A3C" w:rsidR="00DE6AD0">
                <w:rPr>
                  <w:rStyle w:val="Hyperlink"/>
                  <w:i/>
                </w:rPr>
                <w:t>Georgios.Meleas@eesc.europa.eu</w:t>
              </w:r>
            </w:hyperlink>
          </w:p>
        </w:tc>
      </w:tr>
    </w:tbl>
    <w:p w:rsidR="001A5EC5" w:rsidRDefault="001A5EC5" w14:paraId="17F9882E" w14:textId="77777777">
      <w:pPr>
        <w:spacing w:after="160" w:line="259" w:lineRule="auto"/>
        <w:jc w:val="left"/>
        <w:rPr>
          <w:b/>
          <w:sz w:val="24"/>
          <w:szCs w:val="24"/>
        </w:rPr>
      </w:pPr>
      <w:r>
        <w:br w:type="page"/>
      </w:r>
    </w:p>
    <w:p w:rsidRPr="00DD3033" w:rsidR="00DE6AD0" w:rsidP="00DE6AD0" w:rsidRDefault="00EE33D5" w14:paraId="079DA2C9" w14:textId="1EC2AC40">
      <w:pPr>
        <w:widowControl w:val="0"/>
        <w:numPr>
          <w:ilvl w:val="0"/>
          <w:numId w:val="30"/>
        </w:numPr>
        <w:overflowPunct w:val="0"/>
        <w:autoSpaceDE w:val="0"/>
        <w:autoSpaceDN w:val="0"/>
        <w:adjustRightInd w:val="0"/>
        <w:spacing w:after="120"/>
        <w:ind w:left="283"/>
        <w:textAlignment w:val="baseline"/>
        <w:rPr>
          <w:rStyle w:val="Hyperlink"/>
          <w:b/>
          <w:i/>
          <w:iCs/>
          <w:sz w:val="28"/>
          <w:szCs w:val="28"/>
        </w:rPr>
      </w:pPr>
      <w:hyperlink w:history="1" r:id="rId17">
        <w:r w:rsidR="00DE6AD0">
          <w:rPr>
            <w:rStyle w:val="Hyperlink"/>
            <w:b/>
            <w:i/>
            <w:sz w:val="28"/>
          </w:rPr>
          <w:t>Neuvième rapport sur la cohésion économique, sociale et territoriale</w:t>
        </w:r>
      </w:hyperlink>
    </w:p>
    <w:p w:rsidRPr="00DD3033" w:rsidR="00DE6AD0" w:rsidP="00DE6AD0" w:rsidRDefault="00DE6AD0" w14:paraId="457AC0CD" w14:textId="77777777">
      <w:pPr>
        <w:widowControl w:val="0"/>
        <w:spacing w:after="120"/>
        <w:ind w:left="283"/>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1417"/>
      </w:tblGrid>
      <w:tr w:rsidRPr="00A6689B" w:rsidR="00DE6AD0" w:rsidTr="00227409" w14:paraId="26CBB908" w14:textId="77777777">
        <w:tc>
          <w:tcPr>
            <w:tcW w:w="1701" w:type="dxa"/>
          </w:tcPr>
          <w:p w:rsidRPr="00A6689B" w:rsidR="00DE6AD0" w:rsidP="00227409" w:rsidRDefault="00DE6AD0" w14:paraId="114352C4" w14:textId="77777777">
            <w:pPr>
              <w:tabs>
                <w:tab w:val="center" w:pos="284"/>
              </w:tabs>
              <w:ind w:left="266" w:hanging="266"/>
              <w:rPr>
                <w:b/>
              </w:rPr>
            </w:pPr>
            <w:r>
              <w:rPr>
                <w:b/>
              </w:rPr>
              <w:t>Rapporteur</w:t>
            </w:r>
          </w:p>
        </w:tc>
        <w:tc>
          <w:tcPr>
            <w:tcW w:w="6804" w:type="dxa"/>
            <w:gridSpan w:val="2"/>
          </w:tcPr>
          <w:p w:rsidRPr="00C232CB" w:rsidR="00DE6AD0" w:rsidP="00227409" w:rsidRDefault="00DE6AD0" w14:paraId="5ECAD7F5" w14:textId="77777777">
            <w:pPr>
              <w:tabs>
                <w:tab w:val="center" w:pos="284"/>
              </w:tabs>
              <w:ind w:left="266" w:hanging="266"/>
              <w:rPr>
                <w:bCs/>
              </w:rPr>
            </w:pPr>
            <w:r>
              <w:t>Matteo Carlo BORSANI (groupe des employeurs — IT)</w:t>
            </w:r>
          </w:p>
        </w:tc>
      </w:tr>
      <w:tr w:rsidRPr="00A6689B" w:rsidR="00DE6AD0" w:rsidTr="00227409" w14:paraId="682DBE39" w14:textId="77777777">
        <w:trPr>
          <w:gridAfter w:val="1"/>
          <w:wAfter w:w="1417" w:type="dxa"/>
        </w:trPr>
        <w:tc>
          <w:tcPr>
            <w:tcW w:w="7088" w:type="dxa"/>
            <w:gridSpan w:val="2"/>
          </w:tcPr>
          <w:p w:rsidRPr="00A6689B" w:rsidR="00DE6AD0" w:rsidP="00227409" w:rsidRDefault="00DE6AD0" w14:paraId="70863860" w14:textId="77777777">
            <w:pPr>
              <w:tabs>
                <w:tab w:val="center" w:pos="284"/>
              </w:tabs>
              <w:spacing w:line="160" w:lineRule="exact"/>
              <w:ind w:left="266" w:hanging="266"/>
              <w:rPr>
                <w:lang w:val="en-US"/>
              </w:rPr>
            </w:pPr>
          </w:p>
        </w:tc>
      </w:tr>
      <w:tr w:rsidRPr="00A6689B" w:rsidR="00DE6AD0" w:rsidTr="00227409" w14:paraId="7A1EBBCC" w14:textId="77777777">
        <w:trPr>
          <w:gridAfter w:val="1"/>
          <w:wAfter w:w="1417" w:type="dxa"/>
        </w:trPr>
        <w:tc>
          <w:tcPr>
            <w:tcW w:w="1701" w:type="dxa"/>
          </w:tcPr>
          <w:p w:rsidRPr="00A6689B" w:rsidR="00DE6AD0" w:rsidP="00227409" w:rsidRDefault="00DE6AD0" w14:paraId="3DE77A95" w14:textId="77777777">
            <w:pPr>
              <w:tabs>
                <w:tab w:val="center" w:pos="284"/>
              </w:tabs>
              <w:ind w:left="266" w:hanging="266"/>
              <w:rPr>
                <w:b/>
              </w:rPr>
            </w:pPr>
            <w:r>
              <w:rPr>
                <w:b/>
              </w:rPr>
              <w:t>Références</w:t>
            </w:r>
          </w:p>
        </w:tc>
        <w:tc>
          <w:tcPr>
            <w:tcW w:w="5387" w:type="dxa"/>
          </w:tcPr>
          <w:p w:rsidR="00DE6AD0" w:rsidP="00227409" w:rsidRDefault="00DE6AD0" w14:paraId="745672DA" w14:textId="77777777">
            <w:pPr>
              <w:tabs>
                <w:tab w:val="center" w:pos="284"/>
              </w:tabs>
              <w:ind w:left="266" w:hanging="266"/>
            </w:pPr>
            <w:r>
              <w:t>COM(2024) 149 final</w:t>
            </w:r>
          </w:p>
          <w:p w:rsidRPr="00C232CB" w:rsidR="00DE6AD0" w:rsidP="00227409" w:rsidRDefault="00DE6AD0" w14:paraId="33811566" w14:textId="77777777">
            <w:pPr>
              <w:tabs>
                <w:tab w:val="center" w:pos="284"/>
              </w:tabs>
              <w:ind w:left="266" w:hanging="266"/>
            </w:pPr>
            <w:r>
              <w:t>EESC-2024-00987-00-00-AC</w:t>
            </w:r>
          </w:p>
        </w:tc>
      </w:tr>
    </w:tbl>
    <w:p w:rsidRPr="00A6689B" w:rsidR="00DE6AD0" w:rsidP="00DE6AD0" w:rsidRDefault="00DE6AD0" w14:paraId="081787D6" w14:textId="77777777">
      <w:pPr>
        <w:keepNext/>
        <w:keepLines/>
        <w:tabs>
          <w:tab w:val="center" w:pos="284"/>
        </w:tabs>
        <w:spacing w:before="120"/>
        <w:ind w:left="266" w:hanging="266"/>
        <w:rPr>
          <w:b/>
        </w:rPr>
      </w:pPr>
      <w:r>
        <w:rPr>
          <w:b/>
        </w:rPr>
        <w:t>Points clés</w:t>
      </w:r>
    </w:p>
    <w:p w:rsidR="00DE6AD0" w:rsidP="00DE6AD0" w:rsidRDefault="00DE6AD0" w14:paraId="09C2C0A3" w14:textId="77777777">
      <w:pPr>
        <w:keepNext/>
        <w:rPr>
          <w:bCs/>
          <w:iCs/>
        </w:rPr>
      </w:pPr>
    </w:p>
    <w:p w:rsidR="00DE6AD0" w:rsidP="00DE6AD0" w:rsidRDefault="00DE6AD0" w14:paraId="0F64E0EB" w14:textId="77777777">
      <w:pPr>
        <w:keepNext/>
        <w:rPr>
          <w:bCs/>
          <w:iCs/>
        </w:rPr>
      </w:pPr>
      <w:r>
        <w:t>Le CESE:</w:t>
      </w:r>
    </w:p>
    <w:p w:rsidR="00DE6AD0" w:rsidP="00DE6AD0" w:rsidRDefault="00DE6AD0" w14:paraId="2C155796" w14:textId="77777777">
      <w:pPr>
        <w:keepNext/>
        <w:rPr>
          <w:bCs/>
          <w:iCs/>
        </w:rPr>
      </w:pPr>
    </w:p>
    <w:p w:rsidRPr="001A168C" w:rsidR="00DE6AD0" w:rsidP="00DE6AD0" w:rsidRDefault="00DE6AD0" w14:paraId="49CDE285" w14:textId="77777777">
      <w:pPr>
        <w:pStyle w:val="ListParagraph"/>
        <w:keepNext/>
        <w:numPr>
          <w:ilvl w:val="0"/>
          <w:numId w:val="9"/>
        </w:numPr>
        <w:spacing w:after="200" w:line="276" w:lineRule="auto"/>
        <w:rPr>
          <w:bCs/>
          <w:iCs/>
        </w:rPr>
      </w:pPr>
      <w:r>
        <w:t>se félicite de la présentation du neuvième rapport sur la cohésion et considère que les résultats décrits sont complets et constituent un point de départ judicieux pour examiner les enseignements tirés;</w:t>
      </w:r>
    </w:p>
    <w:p w:rsidRPr="001A168C" w:rsidR="00DE6AD0" w:rsidP="00DE6AD0" w:rsidRDefault="00DE6AD0" w14:paraId="7A77D7AA" w14:textId="77777777">
      <w:pPr>
        <w:pStyle w:val="ListParagraph"/>
        <w:numPr>
          <w:ilvl w:val="0"/>
          <w:numId w:val="9"/>
        </w:numPr>
        <w:spacing w:after="200" w:line="276" w:lineRule="auto"/>
        <w:rPr>
          <w:bCs/>
          <w:iCs/>
        </w:rPr>
      </w:pPr>
      <w:r>
        <w:t>recommande d’axer les investissements et les politiques sur la consolidation de la base manufacturière afin de renforcer la cohésion territoriale vers le haut, et souligne qu’une corrélation positive entre la croissance de la productivité et l’augmentation du PIB par habitant s’est avérée être la seule similitude entre les chiffres de croissance observés dans tous les types de régions;</w:t>
      </w:r>
    </w:p>
    <w:p w:rsidRPr="001A168C" w:rsidR="00DE6AD0" w:rsidP="00DE6AD0" w:rsidRDefault="00DE6AD0" w14:paraId="62997C4F" w14:textId="77777777">
      <w:pPr>
        <w:pStyle w:val="ListParagraph"/>
        <w:numPr>
          <w:ilvl w:val="0"/>
          <w:numId w:val="9"/>
        </w:numPr>
        <w:spacing w:after="200" w:line="276" w:lineRule="auto"/>
      </w:pPr>
      <w:r>
        <w:t>insiste sur l’importance de la compétitivité pour favoriser la cohésion économique et des investissements productifs pour stimuler la compétitivité et la croissance économique, ce qui entraîne alors des retombées positives sur la cohésion territoriale et sociale. Le Comité souligne également la nécessité d’octroyer aux grandes entreprises faisant partie de l’écosystème des PME un accès élargi aux fonds de la politique de cohésion destinés aux investissements productifs, moyennant le respect de certaines conditions liées à l’effet en cascade que cette démarche pourrait avoir sur les territoires et la société. Les résultats en matière de cohésion économique ne devraient pas être mesurés uniquement à l’aune des montants des investissements économiques consentis dans un domaine donné, mais aussi en tenant compte des réussites sur le plan territorial et social;</w:t>
      </w:r>
    </w:p>
    <w:p w:rsidRPr="001A168C" w:rsidR="00DE6AD0" w:rsidP="00DE6AD0" w:rsidRDefault="00DE6AD0" w14:paraId="3542BDBD" w14:textId="77777777">
      <w:pPr>
        <w:pStyle w:val="ListParagraph"/>
        <w:numPr>
          <w:ilvl w:val="0"/>
          <w:numId w:val="9"/>
        </w:numPr>
        <w:spacing w:after="200" w:line="276" w:lineRule="auto"/>
        <w:rPr>
          <w:bCs/>
          <w:iCs/>
        </w:rPr>
      </w:pPr>
      <w:r>
        <w:t>met en évidence l’importance d’assurer un marché du travail opérationnel et inclusif pour renforcer la cohésion sociale, au moyen de mesures visant à donner aux citoyens et aux travailleurs de l’Union les compétences adéquates pour permettre leur intégration et leur mobilité sur le marché du travail. Dans ce contexte, le CESE recommande d’associer les politiques de promotion de l’emploi à des politiques visant à favoriser l’employabilité, notamment en ciblant les groupes de la société qui risquent d’être laissés pour compte et en encourageant l’inclusion des personnes qui ne participent actuellement pas au marché du travail;</w:t>
      </w:r>
    </w:p>
    <w:p w:rsidR="00DE6AD0" w:rsidP="00DE6AD0" w:rsidRDefault="00DE6AD0" w14:paraId="5C75C9BC" w14:textId="77777777">
      <w:pPr>
        <w:pStyle w:val="ListParagraph"/>
        <w:numPr>
          <w:ilvl w:val="0"/>
          <w:numId w:val="9"/>
        </w:numPr>
        <w:spacing w:after="200" w:line="276" w:lineRule="auto"/>
        <w:rPr>
          <w:bCs/>
          <w:iCs/>
        </w:rPr>
      </w:pPr>
      <w:r>
        <w:t>recommande de promouvoir des investissements stratégiques dans les administrations locales et régionales, de sorte à renforcer le système qui remplit une fonction essentielle dans la mise en œuvre des programmes. En réalité, il est impossible de parvenir à la cohésion sociale, économique et territoriale sans atteindre au préalable une cohésion dans les capacités des administrations publiques;</w:t>
      </w:r>
    </w:p>
    <w:p w:rsidR="00DE6AD0" w:rsidP="00DE6AD0" w:rsidRDefault="00DE6AD0" w14:paraId="2DC9157A" w14:textId="77777777">
      <w:pPr>
        <w:pStyle w:val="ListParagraph"/>
        <w:numPr>
          <w:ilvl w:val="0"/>
          <w:numId w:val="9"/>
        </w:numPr>
        <w:spacing w:after="200" w:line="276" w:lineRule="auto"/>
        <w:rPr>
          <w:bCs/>
          <w:iCs/>
        </w:rPr>
      </w:pPr>
      <w:r>
        <w:t>recommande de garantir la participation des collectivités régionales et locales, de respecter le principe de partenariat et d’associer les partenaires sociaux et les organisations de la société civile à toute réflexion sur l’avenir de la politique de cohésion;</w:t>
      </w:r>
    </w:p>
    <w:p w:rsidRPr="001A168C" w:rsidR="00DE6AD0" w:rsidP="00DE6AD0" w:rsidRDefault="00DE6AD0" w14:paraId="1649BD8B" w14:textId="77777777">
      <w:pPr>
        <w:pStyle w:val="ListParagraph"/>
        <w:numPr>
          <w:ilvl w:val="0"/>
          <w:numId w:val="9"/>
        </w:numPr>
        <w:spacing w:after="200" w:line="276" w:lineRule="auto"/>
        <w:rPr>
          <w:bCs/>
          <w:iCs/>
        </w:rPr>
      </w:pPr>
      <w:r>
        <w:t xml:space="preserve">invite les colégislateurs à faire preuve d’une ambition accrue lorsqu’ils définissent le budget global du cadre financier pluriannuel (CFP) et à garantir un financement adéquat de la politique de cohésion, notamment compte tenu des investissements que l’Union européenne devra </w:t>
      </w:r>
      <w:r>
        <w:lastRenderedPageBreak/>
        <w:t>consentir à l’avenir pour la défense et dans la perspective d’une Union à plus de 27 États membres;</w:t>
      </w:r>
    </w:p>
    <w:p w:rsidRPr="001A168C" w:rsidR="00DE6AD0" w:rsidP="00DE6AD0" w:rsidRDefault="00DE6AD0" w14:paraId="25F93745" w14:textId="77777777">
      <w:pPr>
        <w:pStyle w:val="ListParagraph"/>
        <w:numPr>
          <w:ilvl w:val="0"/>
          <w:numId w:val="9"/>
        </w:numPr>
        <w:spacing w:after="200" w:line="276" w:lineRule="auto"/>
        <w:rPr>
          <w:bCs/>
          <w:iCs/>
        </w:rPr>
      </w:pPr>
      <w:r>
        <w:t>recommande, dans ce contexte, de prendre en compte les futurs élargissements envisagés par l’Union européenne, lesquels nécessiteront une politique de cohésion efficace et fonctionnelle, de manière à garantir l’intégration sans heurts des futurs États membres sans toutefois compromettre les investissements dans les régions actuellement en développement;</w:t>
      </w:r>
    </w:p>
    <w:p w:rsidRPr="001A168C" w:rsidR="00DE6AD0" w:rsidP="00DE6AD0" w:rsidRDefault="00DE6AD0" w14:paraId="64CA0743" w14:textId="77777777">
      <w:pPr>
        <w:pStyle w:val="ListParagraph"/>
        <w:numPr>
          <w:ilvl w:val="0"/>
          <w:numId w:val="9"/>
        </w:numPr>
        <w:spacing w:after="200" w:line="276" w:lineRule="auto"/>
        <w:rPr>
          <w:bCs/>
          <w:iCs/>
        </w:rPr>
      </w:pPr>
      <w:r>
        <w:t>recommande enfin, pour mener à bien la transition vers une Europe plus intelligente et plus verte, d’avoir recours à des outils d’investissement automatiques et faciles à mettre en œuvre. Les défis que pose la réalisation d’une transition juste sur le plan écologique et numérique et les objectifs ambitieux que poursuit cette transition exigent des réactions rapides et un niveau adéquat de préparation.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DE6AD0" w:rsidTr="00227409" w14:paraId="03E023FC" w14:textId="77777777">
        <w:tc>
          <w:tcPr>
            <w:tcW w:w="1418" w:type="dxa"/>
          </w:tcPr>
          <w:p w:rsidRPr="00A6689B" w:rsidR="00DE6AD0" w:rsidP="00227409" w:rsidRDefault="00DE6AD0" w14:paraId="35859432" w14:textId="77777777">
            <w:pPr>
              <w:spacing w:line="240" w:lineRule="auto"/>
              <w:rPr>
                <w:i/>
              </w:rPr>
            </w:pPr>
            <w:r>
              <w:rPr>
                <w:b/>
                <w:i/>
              </w:rPr>
              <w:t>Contact</w:t>
            </w:r>
          </w:p>
        </w:tc>
        <w:tc>
          <w:tcPr>
            <w:tcW w:w="5670" w:type="dxa"/>
          </w:tcPr>
          <w:p w:rsidRPr="00165B52" w:rsidR="00DE6AD0" w:rsidP="00227409" w:rsidRDefault="00DE6AD0" w14:paraId="6093097E" w14:textId="77777777">
            <w:pPr>
              <w:spacing w:line="240" w:lineRule="auto"/>
              <w:rPr>
                <w:i/>
              </w:rPr>
            </w:pPr>
            <w:proofErr w:type="spellStart"/>
            <w:r>
              <w:rPr>
                <w:i/>
              </w:rPr>
              <w:t>Georgios</w:t>
            </w:r>
            <w:proofErr w:type="spellEnd"/>
            <w:r>
              <w:rPr>
                <w:i/>
              </w:rPr>
              <w:t> MELEAS</w:t>
            </w:r>
          </w:p>
        </w:tc>
      </w:tr>
      <w:tr w:rsidRPr="00A6689B" w:rsidR="00DE6AD0" w:rsidTr="00227409" w14:paraId="5C22C65F" w14:textId="77777777">
        <w:tc>
          <w:tcPr>
            <w:tcW w:w="1418" w:type="dxa"/>
          </w:tcPr>
          <w:p w:rsidRPr="00A6689B" w:rsidR="00DE6AD0" w:rsidP="00227409" w:rsidRDefault="00DE6AD0" w14:paraId="48D11BAA" w14:textId="77777777">
            <w:pPr>
              <w:spacing w:line="240" w:lineRule="auto"/>
              <w:rPr>
                <w:i/>
              </w:rPr>
            </w:pPr>
            <w:r>
              <w:rPr>
                <w:i/>
              </w:rPr>
              <w:t>Tél.</w:t>
            </w:r>
          </w:p>
        </w:tc>
        <w:tc>
          <w:tcPr>
            <w:tcW w:w="5670" w:type="dxa"/>
          </w:tcPr>
          <w:p w:rsidRPr="00A6689B" w:rsidR="00DE6AD0" w:rsidP="00227409" w:rsidRDefault="00DE6AD0" w14:paraId="191F2D8A" w14:textId="77777777">
            <w:pPr>
              <w:spacing w:line="240" w:lineRule="auto"/>
              <w:rPr>
                <w:i/>
              </w:rPr>
            </w:pPr>
            <w:r>
              <w:rPr>
                <w:i/>
              </w:rPr>
              <w:t>+32 25469795</w:t>
            </w:r>
          </w:p>
        </w:tc>
      </w:tr>
      <w:tr w:rsidRPr="00A6689B" w:rsidR="00DE6AD0" w:rsidTr="00227409" w14:paraId="6905F07B" w14:textId="77777777">
        <w:tc>
          <w:tcPr>
            <w:tcW w:w="1418" w:type="dxa"/>
          </w:tcPr>
          <w:p w:rsidRPr="00A6689B" w:rsidR="00DE6AD0" w:rsidP="00227409" w:rsidRDefault="00DE6AD0" w14:paraId="3D21100A" w14:textId="77777777">
            <w:pPr>
              <w:spacing w:line="240" w:lineRule="auto"/>
              <w:rPr>
                <w:i/>
              </w:rPr>
            </w:pPr>
            <w:r>
              <w:rPr>
                <w:i/>
              </w:rPr>
              <w:t>Courriel</w:t>
            </w:r>
          </w:p>
        </w:tc>
        <w:tc>
          <w:tcPr>
            <w:tcW w:w="5670" w:type="dxa"/>
          </w:tcPr>
          <w:p w:rsidRPr="00A6689B" w:rsidR="00DE6AD0" w:rsidP="00227409" w:rsidRDefault="00EE33D5" w14:paraId="38712E31" w14:textId="77777777">
            <w:pPr>
              <w:spacing w:line="240" w:lineRule="auto"/>
              <w:rPr>
                <w:i/>
              </w:rPr>
            </w:pPr>
            <w:hyperlink w:history="1" r:id="rId18">
              <w:r w:rsidR="00DE6AD0">
                <w:rPr>
                  <w:rStyle w:val="Hyperlink"/>
                  <w:i/>
                </w:rPr>
                <w:t>Georgios.Meleas@eesc.europa.eu</w:t>
              </w:r>
            </w:hyperlink>
            <w:r w:rsidR="00DE6AD0">
              <w:rPr>
                <w:i/>
              </w:rPr>
              <w:t xml:space="preserve"> </w:t>
            </w:r>
          </w:p>
        </w:tc>
      </w:tr>
    </w:tbl>
    <w:p w:rsidR="005C28F2" w:rsidRDefault="005C28F2" w14:paraId="566BFFD9" w14:textId="77777777">
      <w:pPr>
        <w:spacing w:after="160" w:line="259" w:lineRule="auto"/>
        <w:jc w:val="left"/>
        <w:rPr>
          <w:b/>
          <w:sz w:val="24"/>
          <w:szCs w:val="24"/>
        </w:rPr>
      </w:pPr>
      <w:r>
        <w:br w:type="page"/>
      </w:r>
    </w:p>
    <w:p w:rsidRPr="00502E1F" w:rsidR="00502E1F" w:rsidP="00DC0FAE" w:rsidRDefault="005C28F2" w14:paraId="26F82B31" w14:textId="13D21940">
      <w:pPr>
        <w:pStyle w:val="Heading1"/>
        <w:tabs>
          <w:tab w:val="clear" w:pos="440"/>
          <w:tab w:val="left" w:pos="567"/>
        </w:tabs>
        <w:ind w:left="567" w:hanging="567"/>
        <w:rPr>
          <w:color w:val="000000" w:themeColor="text1"/>
        </w:rPr>
      </w:pPr>
      <w:bookmarkStart w:name="_Toc169703125" w:id="1"/>
      <w:r>
        <w:rPr>
          <w:rStyle w:val="Hyperlink"/>
          <w:b/>
          <w:color w:val="000000" w:themeColor="text1"/>
          <w:u w:val="none"/>
        </w:rPr>
        <w:lastRenderedPageBreak/>
        <w:t>EMPLOI, AFFAIRES SOCIALES ET CITOYENNETÉ</w:t>
      </w:r>
      <w:bookmarkEnd w:id="1"/>
    </w:p>
    <w:p w:rsidR="00502E1F" w:rsidP="00502E1F" w:rsidRDefault="00502E1F" w14:paraId="7FCC1962" w14:textId="6F84DBB9"/>
    <w:p w:rsidRPr="008B089F" w:rsidR="00DE6AD0" w:rsidP="00DE6AD0" w:rsidRDefault="00EE33D5" w14:paraId="280E641D" w14:textId="25A02CE8">
      <w:pPr>
        <w:widowControl w:val="0"/>
        <w:numPr>
          <w:ilvl w:val="0"/>
          <w:numId w:val="30"/>
        </w:numPr>
        <w:overflowPunct w:val="0"/>
        <w:autoSpaceDE w:val="0"/>
        <w:autoSpaceDN w:val="0"/>
        <w:adjustRightInd w:val="0"/>
        <w:ind w:hanging="567"/>
        <w:textAlignment w:val="baseline"/>
        <w:rPr>
          <w:rStyle w:val="Hyperlink"/>
          <w:b/>
          <w:bCs/>
          <w:i/>
          <w:iCs/>
          <w:sz w:val="28"/>
          <w:szCs w:val="28"/>
        </w:rPr>
      </w:pPr>
      <w:hyperlink w:history="1" r:id="rId19">
        <w:r w:rsidRPr="008B089F" w:rsidR="00DE6AD0">
          <w:rPr>
            <w:rStyle w:val="Hyperlink"/>
            <w:b/>
            <w:i/>
            <w:sz w:val="28"/>
          </w:rPr>
          <w:t>Cancers à prévention vaccinale</w:t>
        </w:r>
      </w:hyperlink>
      <w:r w:rsidRPr="008B089F" w:rsidR="00DE6AD0">
        <w:rPr>
          <w:b/>
          <w:i/>
          <w:sz w:val="28"/>
        </w:rPr>
        <w:fldChar w:fldCharType="begin"/>
      </w:r>
      <w:r w:rsidRPr="008B089F" w:rsidR="00DE6AD0">
        <w:rPr>
          <w:b/>
          <w:i/>
          <w:sz w:val="28"/>
        </w:rPr>
        <w:instrText xml:space="preserve"> HYPERLINK "https://www.eesc.europa.eu/fr/our-work/opinions-information-reports/opinions/train-de-mesures-de-lutte-contre-le-trafic-de-migrants" </w:instrText>
      </w:r>
      <w:r w:rsidRPr="008B089F" w:rsidR="00DE6AD0">
        <w:rPr>
          <w:b/>
          <w:i/>
          <w:sz w:val="28"/>
        </w:rPr>
        <w:fldChar w:fldCharType="separate"/>
      </w:r>
    </w:p>
    <w:p w:rsidRPr="008B089F" w:rsidR="00DE6AD0" w:rsidP="00DE6AD0" w:rsidRDefault="00DE6AD0" w14:paraId="4B2362B5" w14:textId="77777777">
      <w:pPr>
        <w:widowControl w:val="0"/>
        <w:ind w:left="567"/>
        <w:rPr>
          <w:b/>
          <w:i/>
          <w:sz w:val="28"/>
        </w:rPr>
      </w:pPr>
      <w:r w:rsidRPr="008B089F">
        <w:rPr>
          <w:b/>
          <w:i/>
          <w:sz w:val="28"/>
        </w:rPr>
        <w:fldChar w:fldCharType="end"/>
      </w:r>
    </w:p>
    <w:tbl>
      <w:tblPr>
        <w:tblStyle w:val="TableGrid"/>
        <w:tblW w:w="387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083"/>
      </w:tblGrid>
      <w:tr w:rsidRPr="008B089F" w:rsidR="00DE6AD0" w:rsidTr="00227409" w14:paraId="54C3DE3F" w14:textId="77777777">
        <w:tc>
          <w:tcPr>
            <w:tcW w:w="1412" w:type="pct"/>
          </w:tcPr>
          <w:p w:rsidRPr="008B089F" w:rsidR="00DE6AD0" w:rsidP="00227409" w:rsidRDefault="00DE6AD0" w14:paraId="278EA01C" w14:textId="77777777">
            <w:pPr>
              <w:widowControl w:val="0"/>
              <w:ind w:left="-113"/>
              <w:rPr>
                <w:b/>
              </w:rPr>
            </w:pPr>
            <w:proofErr w:type="spellStart"/>
            <w:r w:rsidRPr="008B089F">
              <w:rPr>
                <w:b/>
              </w:rPr>
              <w:t>Rapporteure</w:t>
            </w:r>
            <w:proofErr w:type="spellEnd"/>
          </w:p>
          <w:p w:rsidRPr="008B089F" w:rsidR="00DE6AD0" w:rsidP="00227409" w:rsidRDefault="00DE6AD0" w14:paraId="25A10A4C" w14:textId="77777777">
            <w:pPr>
              <w:widowControl w:val="0"/>
              <w:ind w:left="-113"/>
              <w:rPr>
                <w:b/>
              </w:rPr>
            </w:pPr>
            <w:r w:rsidRPr="008B089F">
              <w:rPr>
                <w:b/>
              </w:rPr>
              <w:t>Corapporteure</w:t>
            </w:r>
          </w:p>
          <w:p w:rsidRPr="008B089F" w:rsidR="00DE6AD0" w:rsidP="00227409" w:rsidRDefault="00DE6AD0" w14:paraId="2E14BAF6" w14:textId="77777777">
            <w:pPr>
              <w:widowControl w:val="0"/>
              <w:ind w:left="-113"/>
              <w:rPr>
                <w:b/>
              </w:rPr>
            </w:pPr>
          </w:p>
        </w:tc>
        <w:tc>
          <w:tcPr>
            <w:tcW w:w="3588" w:type="pct"/>
          </w:tcPr>
          <w:p w:rsidRPr="008B089F" w:rsidR="00DE6AD0" w:rsidP="00227409" w:rsidRDefault="00DE6AD0" w14:paraId="6C552F6E" w14:textId="77777777">
            <w:pPr>
              <w:widowControl w:val="0"/>
              <w:tabs>
                <w:tab w:val="left" w:pos="4572"/>
              </w:tabs>
              <w:ind w:left="-113" w:right="-823"/>
            </w:pPr>
            <w:r w:rsidRPr="008B089F">
              <w:t>Milena ANGELOVA (groupe des employeurs — BG)</w:t>
            </w:r>
          </w:p>
          <w:p w:rsidRPr="008B089F" w:rsidR="00DE6AD0" w:rsidP="00227409" w:rsidRDefault="00DE6AD0" w14:paraId="1B09746B" w14:textId="50039C77">
            <w:pPr>
              <w:widowControl w:val="0"/>
              <w:tabs>
                <w:tab w:val="left" w:pos="4572"/>
              </w:tabs>
              <w:ind w:left="-113" w:right="-823"/>
            </w:pPr>
            <w:proofErr w:type="spellStart"/>
            <w:r w:rsidRPr="008B089F">
              <w:t>Sára</w:t>
            </w:r>
            <w:proofErr w:type="spellEnd"/>
            <w:r w:rsidR="00204880">
              <w:t> </w:t>
            </w:r>
            <w:r w:rsidRPr="008B089F">
              <w:t>FELSZEGHI (groupe des travailleurs — HU)</w:t>
            </w:r>
          </w:p>
        </w:tc>
      </w:tr>
      <w:tr w:rsidRPr="008B089F" w:rsidR="00DE6AD0" w:rsidTr="00227409" w14:paraId="3E485FBC" w14:textId="77777777">
        <w:tc>
          <w:tcPr>
            <w:tcW w:w="1412" w:type="pct"/>
            <w:vMerge w:val="restart"/>
          </w:tcPr>
          <w:p w:rsidRPr="008B089F" w:rsidR="00DE6AD0" w:rsidP="00227409" w:rsidRDefault="00DE6AD0" w14:paraId="79320B9F" w14:textId="77777777">
            <w:pPr>
              <w:widowControl w:val="0"/>
              <w:ind w:left="-113"/>
              <w:rPr>
                <w:b/>
              </w:rPr>
            </w:pPr>
            <w:r w:rsidRPr="008B089F">
              <w:rPr>
                <w:b/>
              </w:rPr>
              <w:t>Références</w:t>
            </w:r>
          </w:p>
        </w:tc>
        <w:tc>
          <w:tcPr>
            <w:tcW w:w="3588" w:type="pct"/>
          </w:tcPr>
          <w:p w:rsidRPr="008B089F" w:rsidR="00DE6AD0" w:rsidP="00227409" w:rsidRDefault="00DE6AD0" w14:paraId="0FF4D2D1" w14:textId="5F95E2E8">
            <w:pPr>
              <w:widowControl w:val="0"/>
              <w:tabs>
                <w:tab w:val="left" w:pos="4430"/>
              </w:tabs>
              <w:ind w:left="-113" w:right="-823"/>
            </w:pPr>
            <w:r w:rsidRPr="008B089F">
              <w:t>COM(2024)</w:t>
            </w:r>
            <w:r w:rsidR="00693BDB">
              <w:t> </w:t>
            </w:r>
            <w:r w:rsidRPr="008B089F">
              <w:t>45</w:t>
            </w:r>
            <w:r w:rsidR="00204880">
              <w:t> </w:t>
            </w:r>
            <w:r w:rsidRPr="008B089F">
              <w:t>final</w:t>
            </w:r>
          </w:p>
        </w:tc>
      </w:tr>
      <w:tr w:rsidRPr="008B089F" w:rsidR="00DE6AD0" w:rsidTr="00227409" w14:paraId="20808CE4" w14:textId="77777777">
        <w:tc>
          <w:tcPr>
            <w:tcW w:w="1412" w:type="pct"/>
            <w:vMerge/>
          </w:tcPr>
          <w:p w:rsidRPr="008B089F" w:rsidR="00DE6AD0" w:rsidP="00227409" w:rsidRDefault="00DE6AD0" w14:paraId="798D97E5" w14:textId="77777777">
            <w:pPr>
              <w:widowControl w:val="0"/>
              <w:tabs>
                <w:tab w:val="center" w:pos="284"/>
              </w:tabs>
              <w:ind w:left="266" w:hanging="266"/>
              <w:rPr>
                <w:b/>
              </w:rPr>
            </w:pPr>
          </w:p>
        </w:tc>
        <w:tc>
          <w:tcPr>
            <w:tcW w:w="3588" w:type="pct"/>
          </w:tcPr>
          <w:p w:rsidRPr="008B089F" w:rsidR="00DE6AD0" w:rsidP="00227409" w:rsidRDefault="00DE6AD0" w14:paraId="48091BE9" w14:textId="77777777">
            <w:pPr>
              <w:widowControl w:val="0"/>
              <w:tabs>
                <w:tab w:val="center" w:pos="38"/>
                <w:tab w:val="left" w:pos="4430"/>
              </w:tabs>
              <w:ind w:left="266" w:right="-823" w:hanging="370"/>
            </w:pPr>
            <w:r w:rsidRPr="008B089F">
              <w:t>EESC-2024-00425-00-00-AC-TRA</w:t>
            </w:r>
          </w:p>
        </w:tc>
      </w:tr>
    </w:tbl>
    <w:p w:rsidRPr="008B089F" w:rsidR="00DE6AD0" w:rsidP="00DE6AD0" w:rsidRDefault="00DE6AD0" w14:paraId="7EA9D919" w14:textId="77777777">
      <w:pPr>
        <w:widowControl w:val="0"/>
        <w:tabs>
          <w:tab w:val="center" w:pos="284"/>
        </w:tabs>
        <w:ind w:left="266" w:hanging="266"/>
        <w:rPr>
          <w:b/>
        </w:rPr>
      </w:pPr>
    </w:p>
    <w:p w:rsidRPr="008B089F" w:rsidR="00DE6AD0" w:rsidP="00DE6AD0" w:rsidRDefault="00DE6AD0" w14:paraId="54FA7EDB" w14:textId="77777777">
      <w:pPr>
        <w:widowControl w:val="0"/>
        <w:tabs>
          <w:tab w:val="center" w:pos="284"/>
        </w:tabs>
        <w:ind w:left="266" w:hanging="266"/>
        <w:rPr>
          <w:b/>
        </w:rPr>
      </w:pPr>
      <w:r w:rsidRPr="008B089F">
        <w:rPr>
          <w:b/>
        </w:rPr>
        <w:t>Points clés</w:t>
      </w:r>
    </w:p>
    <w:p w:rsidRPr="008B089F" w:rsidR="00DE6AD0" w:rsidP="00DE6AD0" w:rsidRDefault="00DE6AD0" w14:paraId="28E16B41" w14:textId="77777777">
      <w:pPr>
        <w:widowControl w:val="0"/>
        <w:tabs>
          <w:tab w:val="center" w:pos="284"/>
        </w:tabs>
        <w:ind w:left="266" w:hanging="266"/>
        <w:rPr>
          <w:b/>
        </w:rPr>
      </w:pPr>
    </w:p>
    <w:p w:rsidRPr="008B089F" w:rsidR="00DE6AD0" w:rsidP="00DE6AD0" w:rsidRDefault="00DE6AD0" w14:paraId="6ADC7254" w14:textId="77777777">
      <w:pPr>
        <w:widowControl w:val="0"/>
        <w:tabs>
          <w:tab w:val="center" w:pos="284"/>
        </w:tabs>
        <w:ind w:left="266" w:hanging="266"/>
      </w:pPr>
      <w:r w:rsidRPr="008B089F">
        <w:t>Le CESE:</w:t>
      </w:r>
    </w:p>
    <w:p w:rsidRPr="008B089F" w:rsidR="00DE6AD0" w:rsidP="00DE6AD0" w:rsidRDefault="00DE6AD0" w14:paraId="261AF8ED" w14:textId="77777777">
      <w:pPr>
        <w:widowControl w:val="0"/>
        <w:tabs>
          <w:tab w:val="center" w:pos="284"/>
        </w:tabs>
        <w:ind w:left="266" w:hanging="266"/>
      </w:pPr>
    </w:p>
    <w:p w:rsidR="00693BDB" w:rsidP="00693BDB" w:rsidRDefault="00DE6AD0" w14:paraId="5613C572" w14:textId="77777777">
      <w:pPr>
        <w:pStyle w:val="ListParagraph"/>
        <w:widowControl w:val="0"/>
        <w:numPr>
          <w:ilvl w:val="0"/>
          <w:numId w:val="10"/>
        </w:numPr>
        <w:tabs>
          <w:tab w:val="center" w:pos="284"/>
        </w:tabs>
      </w:pPr>
      <w:r w:rsidRPr="008B089F">
        <w:t>encourage le partage d’expériences et de bonnes pratiques, ainsi qu’une coopération intensive entre les États membres;</w:t>
      </w:r>
    </w:p>
    <w:p w:rsidR="00693BDB" w:rsidP="00693BDB" w:rsidRDefault="00DE6AD0" w14:paraId="5252755D" w14:textId="77777777">
      <w:pPr>
        <w:pStyle w:val="ListParagraph"/>
        <w:widowControl w:val="0"/>
        <w:numPr>
          <w:ilvl w:val="0"/>
          <w:numId w:val="10"/>
        </w:numPr>
        <w:tabs>
          <w:tab w:val="center" w:pos="284"/>
        </w:tabs>
      </w:pPr>
      <w:r w:rsidRPr="008B089F">
        <w:t>recommande de renforcer à la fois la demande et l’offre de vaccination, souligne la nécessité d’une information, d’une éducation et d’une communication adéquates et met en exergue le rôle du système de médecine scolaire et des parents à cette fin. La prévention du cancer devrait devenir une priorité au niveau politique et bénéficier des ressources financières, matérielles et humaines nécessaires;</w:t>
      </w:r>
    </w:p>
    <w:p w:rsidR="00693BDB" w:rsidP="00693BDB" w:rsidRDefault="00DE6AD0" w14:paraId="10DFA75B" w14:textId="77777777">
      <w:pPr>
        <w:pStyle w:val="ListParagraph"/>
        <w:widowControl w:val="0"/>
        <w:numPr>
          <w:ilvl w:val="0"/>
          <w:numId w:val="10"/>
        </w:numPr>
        <w:tabs>
          <w:tab w:val="center" w:pos="284"/>
        </w:tabs>
      </w:pPr>
      <w:r w:rsidRPr="008B089F">
        <w:t>demande que des efforts soutenus soient déployés pour lutter contre la mésinformation et la désinformation, en s’efforçant d’acquérir des preuves scientifiques et en diffusant des informations factuelles par différents canaux, notamment les médias sociaux;</w:t>
      </w:r>
    </w:p>
    <w:p w:rsidR="00693BDB" w:rsidP="00693BDB" w:rsidRDefault="00DE6AD0" w14:paraId="6510F8C7" w14:textId="77777777">
      <w:pPr>
        <w:pStyle w:val="ListParagraph"/>
        <w:widowControl w:val="0"/>
        <w:numPr>
          <w:ilvl w:val="0"/>
          <w:numId w:val="10"/>
        </w:numPr>
        <w:tabs>
          <w:tab w:val="center" w:pos="284"/>
        </w:tabs>
      </w:pPr>
      <w:r w:rsidRPr="008B089F">
        <w:t>estime que les médecins généralistes, les médecins de famille, les médecins scolaires et les organisations de la société civiles peuvent jouer un rôle essentiel pour ce qui est de fournir des informations adéquates, d’atténuer les craintes et le scepticisme et d’amener les personnes à se faire vacciner. Pour s’assurer que les messages soient attrayants pour les jeunes, le Comité préconise d’intensifier les efforts de communication par l’intermédiaire d’organisations dirigées par des jeunes;</w:t>
      </w:r>
    </w:p>
    <w:p w:rsidR="00693BDB" w:rsidP="00693BDB" w:rsidRDefault="00DE6AD0" w14:paraId="7A3A08E9" w14:textId="77777777">
      <w:pPr>
        <w:pStyle w:val="ListParagraph"/>
        <w:widowControl w:val="0"/>
        <w:numPr>
          <w:ilvl w:val="0"/>
          <w:numId w:val="10"/>
        </w:numPr>
        <w:tabs>
          <w:tab w:val="center" w:pos="284"/>
        </w:tabs>
      </w:pPr>
      <w:r w:rsidRPr="008B089F">
        <w:t>souligne la nécessité de garantir l’égalité entre les hommes et les femmes dans les mesures de prévention du cancer et demande que la vaccination contre le HPV soit proposée à toutes les filles et tous les garçons d’un certain âge, d’intensifier la communication sur la disponibilité de la vaccination contre le HPV pour les garçons et de recueillir et publier des informations sur les taux de vaccination des garçons et des filles dans différents États</w:t>
      </w:r>
      <w:r>
        <w:t> </w:t>
      </w:r>
      <w:r w:rsidRPr="008B089F">
        <w:t>membres;</w:t>
      </w:r>
    </w:p>
    <w:p w:rsidRPr="008B089F" w:rsidR="00DE6AD0" w:rsidP="00693BDB" w:rsidRDefault="00DE6AD0" w14:paraId="3667B1DC" w14:textId="7D532832">
      <w:pPr>
        <w:pStyle w:val="ListParagraph"/>
        <w:widowControl w:val="0"/>
        <w:numPr>
          <w:ilvl w:val="0"/>
          <w:numId w:val="10"/>
        </w:numPr>
        <w:tabs>
          <w:tab w:val="center" w:pos="284"/>
        </w:tabs>
      </w:pPr>
      <w:r w:rsidRPr="008B089F">
        <w:t>souligne également l’importance d’un accès géographique aisé à la vaccination, ainsi que la nécessité d’une action ciblée pour atteindre les personnes issues de différents groupes défavorisés et celles présentant des risques spécifiques.</w:t>
      </w:r>
    </w:p>
    <w:p w:rsidRPr="008B089F" w:rsidR="00DE6AD0" w:rsidP="00DE6AD0" w:rsidRDefault="00DE6AD0" w14:paraId="431F1D6A" w14:textId="77777777">
      <w:pPr>
        <w:widowControl w:val="0"/>
        <w:ind w:left="709"/>
        <w:rPr>
          <w:sz w:val="16"/>
          <w:szCs w:val="16"/>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8B089F" w:rsidR="00DE6AD0" w:rsidTr="00227409" w14:paraId="392C89C2" w14:textId="77777777">
        <w:tc>
          <w:tcPr>
            <w:tcW w:w="1556" w:type="pct"/>
          </w:tcPr>
          <w:p w:rsidRPr="008B089F" w:rsidR="00DE6AD0" w:rsidP="00227409" w:rsidRDefault="00DE6AD0" w14:paraId="1BB832D8" w14:textId="77777777">
            <w:pPr>
              <w:widowControl w:val="0"/>
              <w:rPr>
                <w:i/>
              </w:rPr>
            </w:pPr>
            <w:r w:rsidRPr="008B089F">
              <w:rPr>
                <w:b/>
                <w:i/>
              </w:rPr>
              <w:t>Contact</w:t>
            </w:r>
          </w:p>
        </w:tc>
        <w:tc>
          <w:tcPr>
            <w:tcW w:w="3444" w:type="pct"/>
          </w:tcPr>
          <w:p w:rsidRPr="008B089F" w:rsidR="00DE6AD0" w:rsidP="00227409" w:rsidRDefault="00DE6AD0" w14:paraId="048338F4" w14:textId="77777777">
            <w:pPr>
              <w:widowControl w:val="0"/>
              <w:rPr>
                <w:i/>
              </w:rPr>
            </w:pPr>
            <w:r w:rsidRPr="008B089F">
              <w:rPr>
                <w:i/>
              </w:rPr>
              <w:t>Valeria</w:t>
            </w:r>
            <w:r>
              <w:rPr>
                <w:i/>
              </w:rPr>
              <w:t> </w:t>
            </w:r>
            <w:r w:rsidRPr="008B089F">
              <w:rPr>
                <w:i/>
              </w:rPr>
              <w:t>ATZORI</w:t>
            </w:r>
          </w:p>
        </w:tc>
      </w:tr>
      <w:tr w:rsidRPr="008B089F" w:rsidR="00DE6AD0" w:rsidTr="00227409" w14:paraId="3AB4F682" w14:textId="77777777">
        <w:tc>
          <w:tcPr>
            <w:tcW w:w="1556" w:type="pct"/>
          </w:tcPr>
          <w:p w:rsidRPr="008B089F" w:rsidR="00DE6AD0" w:rsidP="00227409" w:rsidRDefault="00DE6AD0" w14:paraId="7CADBC40" w14:textId="77777777">
            <w:pPr>
              <w:widowControl w:val="0"/>
              <w:rPr>
                <w:i/>
              </w:rPr>
            </w:pPr>
            <w:r w:rsidRPr="008B089F">
              <w:rPr>
                <w:i/>
              </w:rPr>
              <w:t>Tél.</w:t>
            </w:r>
          </w:p>
        </w:tc>
        <w:tc>
          <w:tcPr>
            <w:tcW w:w="3444" w:type="pct"/>
          </w:tcPr>
          <w:p w:rsidRPr="008B089F" w:rsidR="00DE6AD0" w:rsidP="00227409" w:rsidRDefault="00DE6AD0" w14:paraId="301BEF38" w14:textId="77777777">
            <w:pPr>
              <w:widowControl w:val="0"/>
              <w:rPr>
                <w:i/>
              </w:rPr>
            </w:pPr>
            <w:r w:rsidRPr="008B089F">
              <w:rPr>
                <w:i/>
              </w:rPr>
              <w:t>+32 2 546 8774</w:t>
            </w:r>
          </w:p>
        </w:tc>
      </w:tr>
      <w:tr w:rsidRPr="008B089F" w:rsidR="00DE6AD0" w:rsidTr="00227409" w14:paraId="55C5BFB5" w14:textId="77777777">
        <w:tc>
          <w:tcPr>
            <w:tcW w:w="1556" w:type="pct"/>
          </w:tcPr>
          <w:p w:rsidRPr="008B089F" w:rsidR="00DE6AD0" w:rsidP="00227409" w:rsidRDefault="00DE6AD0" w14:paraId="4B61B7C9" w14:textId="77777777">
            <w:pPr>
              <w:widowControl w:val="0"/>
              <w:rPr>
                <w:i/>
              </w:rPr>
            </w:pPr>
            <w:r w:rsidRPr="008B089F">
              <w:rPr>
                <w:i/>
              </w:rPr>
              <w:t>Courriel</w:t>
            </w:r>
          </w:p>
        </w:tc>
        <w:tc>
          <w:tcPr>
            <w:tcW w:w="3444" w:type="pct"/>
          </w:tcPr>
          <w:p w:rsidRPr="008B089F" w:rsidR="00DE6AD0" w:rsidP="00227409" w:rsidRDefault="00EE33D5" w14:paraId="7ED47CB2" w14:textId="77777777">
            <w:pPr>
              <w:widowControl w:val="0"/>
              <w:rPr>
                <w:rStyle w:val="Hyperlink"/>
              </w:rPr>
            </w:pPr>
            <w:hyperlink w:history="1" r:id="rId20">
              <w:r w:rsidRPr="008B089F" w:rsidR="00DE6AD0">
                <w:rPr>
                  <w:rStyle w:val="Hyperlink"/>
                  <w:i/>
                </w:rPr>
                <w:t>Valeria.Atzori@eesc.europa.eu</w:t>
              </w:r>
            </w:hyperlink>
          </w:p>
          <w:p w:rsidRPr="008B089F" w:rsidR="00DE6AD0" w:rsidP="00227409" w:rsidRDefault="00DE6AD0" w14:paraId="38C0C156" w14:textId="77777777">
            <w:pPr>
              <w:widowControl w:val="0"/>
              <w:rPr>
                <w:rStyle w:val="Hyperlink"/>
              </w:rPr>
            </w:pPr>
          </w:p>
        </w:tc>
      </w:tr>
    </w:tbl>
    <w:p w:rsidR="0010484C" w:rsidRDefault="0010484C" w14:paraId="3C32ABDC" w14:textId="77777777">
      <w:pPr>
        <w:spacing w:after="160" w:line="259" w:lineRule="auto"/>
        <w:jc w:val="left"/>
        <w:rPr>
          <w:sz w:val="14"/>
          <w:szCs w:val="14"/>
        </w:rPr>
      </w:pPr>
      <w:r>
        <w:br w:type="page"/>
      </w:r>
    </w:p>
    <w:p w:rsidRPr="00E66F29" w:rsidR="008B2FAC" w:rsidP="008B2FAC" w:rsidRDefault="00EE33D5" w14:paraId="019EC081" w14:textId="62BD3BEA">
      <w:pPr>
        <w:widowControl w:val="0"/>
        <w:numPr>
          <w:ilvl w:val="0"/>
          <w:numId w:val="30"/>
        </w:numPr>
        <w:overflowPunct w:val="0"/>
        <w:autoSpaceDE w:val="0"/>
        <w:autoSpaceDN w:val="0"/>
        <w:adjustRightInd w:val="0"/>
        <w:ind w:hanging="567"/>
        <w:textAlignment w:val="baseline"/>
        <w:rPr>
          <w:sz w:val="24"/>
          <w:szCs w:val="24"/>
        </w:rPr>
      </w:pPr>
      <w:hyperlink w:history="1" r:id="rId21">
        <w:r w:rsidRPr="00E66F29" w:rsidR="008B2FAC">
          <w:rPr>
            <w:rStyle w:val="Hyperlink"/>
            <w:b/>
            <w:i/>
            <w:sz w:val="28"/>
          </w:rPr>
          <w:t>Comité d’entreprise européen</w:t>
        </w:r>
      </w:hyperlink>
    </w:p>
    <w:p w:rsidRPr="00E66F29" w:rsidR="008B2FAC" w:rsidP="008B2FAC" w:rsidRDefault="008B2FAC" w14:paraId="424BD5AD"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9"/>
        <w:gridCol w:w="7446"/>
      </w:tblGrid>
      <w:tr w:rsidRPr="00E66F29" w:rsidR="008B2FAC" w:rsidTr="00227409" w14:paraId="56A8AD9B" w14:textId="77777777">
        <w:tc>
          <w:tcPr>
            <w:tcW w:w="1701" w:type="dxa"/>
          </w:tcPr>
          <w:p w:rsidRPr="00E66F29" w:rsidR="008B2FAC" w:rsidP="00227409" w:rsidRDefault="008B2FAC" w14:paraId="72512C41" w14:textId="77777777">
            <w:pPr>
              <w:tabs>
                <w:tab w:val="center" w:pos="284"/>
              </w:tabs>
              <w:ind w:left="266" w:hanging="266"/>
              <w:rPr>
                <w:b/>
              </w:rPr>
            </w:pPr>
            <w:proofErr w:type="spellStart"/>
            <w:r w:rsidRPr="00E66F29">
              <w:rPr>
                <w:b/>
              </w:rPr>
              <w:t>Rapporteure</w:t>
            </w:r>
            <w:proofErr w:type="spellEnd"/>
          </w:p>
        </w:tc>
        <w:tc>
          <w:tcPr>
            <w:tcW w:w="7479" w:type="dxa"/>
          </w:tcPr>
          <w:p w:rsidRPr="00E66F29" w:rsidR="008B2FAC" w:rsidP="00227409" w:rsidRDefault="008B2FAC" w14:paraId="2F1BC030" w14:textId="77777777">
            <w:pPr>
              <w:tabs>
                <w:tab w:val="center" w:pos="284"/>
              </w:tabs>
              <w:ind w:left="266" w:hanging="266"/>
            </w:pPr>
            <w:r w:rsidRPr="00E66F29">
              <w:t>Sophia REISECKER (groupe des travailleurs — AT)</w:t>
            </w:r>
          </w:p>
        </w:tc>
      </w:tr>
      <w:tr w:rsidRPr="00E66F29" w:rsidR="008B2FAC" w:rsidTr="00227409" w14:paraId="767CC5EA" w14:textId="77777777">
        <w:tc>
          <w:tcPr>
            <w:tcW w:w="9180" w:type="dxa"/>
            <w:gridSpan w:val="2"/>
          </w:tcPr>
          <w:p w:rsidRPr="00E66F29" w:rsidR="008B2FAC" w:rsidP="00227409" w:rsidRDefault="008B2FAC" w14:paraId="2018E7AE" w14:textId="77777777">
            <w:pPr>
              <w:tabs>
                <w:tab w:val="center" w:pos="284"/>
              </w:tabs>
              <w:ind w:left="266" w:hanging="266"/>
            </w:pPr>
          </w:p>
        </w:tc>
      </w:tr>
      <w:tr w:rsidRPr="00E66F29" w:rsidR="008B2FAC" w:rsidTr="00227409" w14:paraId="3FFACAC9" w14:textId="77777777">
        <w:tc>
          <w:tcPr>
            <w:tcW w:w="1701" w:type="dxa"/>
            <w:vMerge w:val="restart"/>
          </w:tcPr>
          <w:p w:rsidRPr="00E66F29" w:rsidR="008B2FAC" w:rsidP="00227409" w:rsidRDefault="008B2FAC" w14:paraId="2BC19BB1" w14:textId="77777777">
            <w:pPr>
              <w:tabs>
                <w:tab w:val="center" w:pos="284"/>
              </w:tabs>
              <w:ind w:left="266" w:hanging="266"/>
              <w:rPr>
                <w:b/>
              </w:rPr>
            </w:pPr>
            <w:r w:rsidRPr="00E66F29">
              <w:rPr>
                <w:b/>
              </w:rPr>
              <w:t>Références</w:t>
            </w:r>
          </w:p>
        </w:tc>
        <w:tc>
          <w:tcPr>
            <w:tcW w:w="7479" w:type="dxa"/>
          </w:tcPr>
          <w:p w:rsidRPr="00E66F29" w:rsidR="008B2FAC" w:rsidP="00227409" w:rsidRDefault="008B2FAC" w14:paraId="3D7EAE8A" w14:textId="10B07580">
            <w:pPr>
              <w:tabs>
                <w:tab w:val="center" w:pos="284"/>
              </w:tabs>
              <w:ind w:left="266" w:hanging="266"/>
            </w:pPr>
            <w:r w:rsidRPr="00E66F29">
              <w:t>COM(2024)</w:t>
            </w:r>
            <w:r w:rsidR="00693BDB">
              <w:t> </w:t>
            </w:r>
            <w:r w:rsidRPr="00E66F29">
              <w:t>14</w:t>
            </w:r>
            <w:r w:rsidR="00204880">
              <w:t> </w:t>
            </w:r>
            <w:r w:rsidRPr="00E66F29">
              <w:t>final</w:t>
            </w:r>
          </w:p>
        </w:tc>
      </w:tr>
      <w:tr w:rsidRPr="00E66F29" w:rsidR="008B2FAC" w:rsidTr="00227409" w14:paraId="6EB20C22" w14:textId="77777777">
        <w:tc>
          <w:tcPr>
            <w:tcW w:w="1701" w:type="dxa"/>
            <w:vMerge/>
          </w:tcPr>
          <w:p w:rsidRPr="00E66F29" w:rsidR="008B2FAC" w:rsidP="00227409" w:rsidRDefault="008B2FAC" w14:paraId="13425504" w14:textId="77777777">
            <w:pPr>
              <w:tabs>
                <w:tab w:val="center" w:pos="284"/>
              </w:tabs>
              <w:ind w:left="266" w:hanging="266"/>
              <w:rPr>
                <w:b/>
              </w:rPr>
            </w:pPr>
          </w:p>
        </w:tc>
        <w:tc>
          <w:tcPr>
            <w:tcW w:w="7479" w:type="dxa"/>
          </w:tcPr>
          <w:p w:rsidRPr="00E66F29" w:rsidR="008B2FAC" w:rsidP="00227409" w:rsidRDefault="008B2FAC" w14:paraId="72C445AE" w14:textId="77777777">
            <w:pPr>
              <w:tabs>
                <w:tab w:val="center" w:pos="284"/>
              </w:tabs>
              <w:ind w:left="266" w:hanging="266"/>
            </w:pPr>
            <w:r w:rsidRPr="00E66F29">
              <w:t>EESC-2024-00543-00-00-AC-TRA</w:t>
            </w:r>
          </w:p>
        </w:tc>
      </w:tr>
    </w:tbl>
    <w:p w:rsidRPr="00E66F29" w:rsidR="008B2FAC" w:rsidP="008B2FAC" w:rsidRDefault="008B2FAC" w14:paraId="3F887228" w14:textId="77777777">
      <w:pPr>
        <w:tabs>
          <w:tab w:val="center" w:pos="284"/>
        </w:tabs>
        <w:ind w:left="266" w:hanging="266"/>
      </w:pPr>
    </w:p>
    <w:p w:rsidRPr="00E66F29" w:rsidR="008B2FAC" w:rsidP="008B2FAC" w:rsidRDefault="008B2FAC" w14:paraId="70904178" w14:textId="77777777">
      <w:pPr>
        <w:keepNext/>
        <w:keepLines/>
        <w:tabs>
          <w:tab w:val="center" w:pos="284"/>
        </w:tabs>
        <w:ind w:left="266" w:hanging="266"/>
        <w:rPr>
          <w:b/>
        </w:rPr>
      </w:pPr>
      <w:r w:rsidRPr="00E66F29">
        <w:rPr>
          <w:b/>
        </w:rPr>
        <w:t>Points clés</w:t>
      </w:r>
    </w:p>
    <w:p w:rsidRPr="00E66F29" w:rsidR="008B2FAC" w:rsidP="008B2FAC" w:rsidRDefault="008B2FAC" w14:paraId="692C89BC" w14:textId="77777777">
      <w:pPr>
        <w:keepNext/>
        <w:keepLines/>
        <w:tabs>
          <w:tab w:val="center" w:pos="284"/>
        </w:tabs>
        <w:ind w:left="266" w:hanging="266"/>
        <w:rPr>
          <w:b/>
        </w:rPr>
      </w:pPr>
    </w:p>
    <w:p w:rsidR="008B2FAC" w:rsidP="008B2FAC" w:rsidRDefault="008B2FAC" w14:paraId="6CACD5EC" w14:textId="5C985BC8">
      <w:r w:rsidRPr="00E66F29">
        <w:t>Le CESE:</w:t>
      </w:r>
    </w:p>
    <w:p w:rsidRPr="00E66F29" w:rsidR="00693BDB" w:rsidP="008B2FAC" w:rsidRDefault="00693BDB" w14:paraId="5C05EEE8" w14:textId="77777777">
      <w:pPr>
        <w:rPr>
          <w:bCs/>
          <w:iCs/>
        </w:rPr>
      </w:pPr>
    </w:p>
    <w:p w:rsidRPr="00E66F29" w:rsidR="008B2FAC" w:rsidP="008B2FAC" w:rsidRDefault="008B2FAC" w14:paraId="3D97BCC4" w14:textId="77777777">
      <w:pPr>
        <w:widowControl w:val="0"/>
        <w:numPr>
          <w:ilvl w:val="0"/>
          <w:numId w:val="30"/>
        </w:numPr>
        <w:overflowPunct w:val="0"/>
        <w:autoSpaceDE w:val="0"/>
        <w:autoSpaceDN w:val="0"/>
        <w:adjustRightInd w:val="0"/>
        <w:ind w:hanging="567"/>
        <w:textAlignment w:val="baseline"/>
        <w:rPr>
          <w:rFonts w:asciiTheme="minorHAnsi" w:hAnsiTheme="minorHAnsi"/>
        </w:rPr>
      </w:pPr>
      <w:r w:rsidRPr="00E66F29">
        <w:t>se réjouit des mesures législatives prises par la Commission européenne afin de réviser la directive 2009/38/CE relative aux exigences minimales pour l’institution des comités d’entreprise européens (CEE), garantissant leur bon fonctionnement;</w:t>
      </w:r>
    </w:p>
    <w:p w:rsidRPr="00E66F29" w:rsidR="008B2FAC" w:rsidP="008B2FAC" w:rsidRDefault="008B2FAC" w14:paraId="013172C4" w14:textId="77777777">
      <w:pPr>
        <w:widowControl w:val="0"/>
        <w:numPr>
          <w:ilvl w:val="0"/>
          <w:numId w:val="30"/>
        </w:numPr>
        <w:overflowPunct w:val="0"/>
        <w:autoSpaceDE w:val="0"/>
        <w:autoSpaceDN w:val="0"/>
        <w:adjustRightInd w:val="0"/>
        <w:ind w:hanging="567"/>
        <w:textAlignment w:val="baseline"/>
        <w:rPr>
          <w:rFonts w:asciiTheme="minorHAnsi" w:hAnsiTheme="minorHAnsi"/>
        </w:rPr>
      </w:pPr>
      <w:r w:rsidRPr="00E66F29">
        <w:t>accueille favorablement l’objectif consistant à améliorer l’efficacité et la mise en œuvre des droits des CEE afin d’apporter de la clarté juridique en précisant certaines notions clés de la directive relative aux CEE. Il s’agit en particulier de la définition de la transnationalité, de la suffisance des ressources à la disposition des CEE, de l’accès à la justice ainsi que de l’engagement renforcé des États membres à prévoir des sanctions effectives et suffisamment dissuasives en cas de violation des droits des CEE;</w:t>
      </w:r>
    </w:p>
    <w:p w:rsidRPr="00E66F29" w:rsidR="008B2FAC" w:rsidP="008B2FAC" w:rsidRDefault="008B2FAC" w14:paraId="610C6839" w14:textId="77777777">
      <w:pPr>
        <w:widowControl w:val="0"/>
        <w:numPr>
          <w:ilvl w:val="0"/>
          <w:numId w:val="30"/>
        </w:numPr>
        <w:overflowPunct w:val="0"/>
        <w:autoSpaceDE w:val="0"/>
        <w:autoSpaceDN w:val="0"/>
        <w:adjustRightInd w:val="0"/>
        <w:ind w:hanging="567"/>
        <w:textAlignment w:val="baseline"/>
        <w:rPr>
          <w:rFonts w:asciiTheme="minorHAnsi" w:hAnsiTheme="minorHAnsi"/>
        </w:rPr>
      </w:pPr>
      <w:r w:rsidRPr="00E66F29">
        <w:t>apprécie l’intention de la Commission de revoir la norme en ce qui concerne un processus d’information et de consultation plus efficace et plus constructif en proposant des ajouts substantiels aux prescriptions subsidiaires, d’accroître la fréquence des réunions régulières des CEE et de prévoir l’obligation, pour la direction, de fournir une réponse motivée aux avis exprimés par le CEE. Il note également le renforcement du rôle des représentants syndicaux en tant qu’experts assistant les CEE;</w:t>
      </w:r>
    </w:p>
    <w:p w:rsidRPr="00E66F29" w:rsidR="008B2FAC" w:rsidP="008B2FAC" w:rsidRDefault="008B2FAC" w14:paraId="34073431" w14:textId="77777777">
      <w:pPr>
        <w:widowControl w:val="0"/>
        <w:numPr>
          <w:ilvl w:val="0"/>
          <w:numId w:val="30"/>
        </w:numPr>
        <w:overflowPunct w:val="0"/>
        <w:autoSpaceDE w:val="0"/>
        <w:autoSpaceDN w:val="0"/>
        <w:adjustRightInd w:val="0"/>
        <w:ind w:hanging="567"/>
        <w:textAlignment w:val="baseline"/>
      </w:pPr>
      <w:r w:rsidRPr="00E66F29">
        <w:t>se félicite tout particulièrement des modifications importantes concernant la capacité des CEE et de leurs membres à exercer leurs fonctions. Elles portent notamment sur les ressources à prévoir par la direction en ce qui concerne la formation, les avis d’experts et la représentation en justice, dont les détails doivent être réglés conjointement par les parties dans l’accord de CEE correspondant, ainsi que sur les précisions attendues à propos de la confidentialité;</w:t>
      </w:r>
    </w:p>
    <w:p w:rsidRPr="00E66F29" w:rsidR="008B2FAC" w:rsidP="008B2FAC" w:rsidRDefault="008B2FAC" w14:paraId="136A06CF" w14:textId="77777777">
      <w:pPr>
        <w:widowControl w:val="0"/>
        <w:numPr>
          <w:ilvl w:val="0"/>
          <w:numId w:val="30"/>
        </w:numPr>
        <w:overflowPunct w:val="0"/>
        <w:autoSpaceDE w:val="0"/>
        <w:autoSpaceDN w:val="0"/>
        <w:adjustRightInd w:val="0"/>
        <w:ind w:hanging="567"/>
        <w:textAlignment w:val="baseline"/>
        <w:rPr>
          <w:rFonts w:asciiTheme="minorHAnsi" w:hAnsiTheme="minorHAnsi"/>
        </w:rPr>
      </w:pPr>
      <w:r w:rsidRPr="00E66F29">
        <w:t>invite les institutions législatives à procéder rapidement à la révision de la directive relative au CEE conformément à la proposition de la Commission, et en tenant également compte des recommandations formulées dans le présent avis;</w:t>
      </w:r>
    </w:p>
    <w:p w:rsidR="00693BDB" w:rsidP="00693BDB" w:rsidRDefault="008B2FAC" w14:paraId="131C821D" w14:textId="77777777">
      <w:pPr>
        <w:widowControl w:val="0"/>
        <w:numPr>
          <w:ilvl w:val="0"/>
          <w:numId w:val="30"/>
        </w:numPr>
        <w:overflowPunct w:val="0"/>
        <w:autoSpaceDE w:val="0"/>
        <w:autoSpaceDN w:val="0"/>
        <w:adjustRightInd w:val="0"/>
        <w:ind w:hanging="567"/>
        <w:textAlignment w:val="baseline"/>
        <w:rPr>
          <w:rFonts w:asciiTheme="minorHAnsi" w:hAnsiTheme="minorHAnsi"/>
        </w:rPr>
      </w:pPr>
      <w:r w:rsidRPr="00E66F29">
        <w:t>souligne que pour garantir une transposition et une mise en œuvre correctes de la directive révisée, la Commission doit se doter d’outils de suivi et de mise en œuvre efficaces.</w:t>
      </w:r>
    </w:p>
    <w:p w:rsidR="00693BDB" w:rsidP="00693BDB" w:rsidRDefault="00693BDB" w14:paraId="03D88D77" w14:textId="77777777">
      <w:pPr>
        <w:widowControl w:val="0"/>
        <w:overflowPunct w:val="0"/>
        <w:autoSpaceDE w:val="0"/>
        <w:autoSpaceDN w:val="0"/>
        <w:adjustRightInd w:val="0"/>
        <w:ind w:left="567"/>
        <w:textAlignment w:val="baseline"/>
        <w:rPr>
          <w:rFonts w:asciiTheme="minorHAnsi" w:hAnsiTheme="minorHAnsi"/>
        </w:rPr>
      </w:pPr>
    </w:p>
    <w:p w:rsidRPr="00693BDB" w:rsidR="008B2FAC" w:rsidP="00693BDB" w:rsidRDefault="008B2FAC" w14:paraId="114DBFA9" w14:textId="4D18610B">
      <w:pPr>
        <w:widowControl w:val="0"/>
        <w:overflowPunct w:val="0"/>
        <w:autoSpaceDE w:val="0"/>
        <w:autoSpaceDN w:val="0"/>
        <w:adjustRightInd w:val="0"/>
        <w:ind w:left="567"/>
        <w:textAlignment w:val="baseline"/>
        <w:rPr>
          <w:rFonts w:asciiTheme="minorHAnsi" w:hAnsiTheme="minorHAnsi"/>
        </w:rPr>
      </w:pPr>
      <w:r w:rsidRPr="00693BDB">
        <w:rPr>
          <w:b/>
        </w:rPr>
        <w:t>Les organisations patronales ayant exprimé des points de vue divergents, les membres du groupe des employeurs du CESE ont présenté un contravis. Plus précisément, ils se sont déclarés préoccupés par le fait que la révision puisse compliquer le fonctionnement des CEE et risque de transformer ces moyens d’information et de consultation efficaces au niveau des entreprises en sources de conflits et d’insécurité juridique. Le groupe des employeurs du CESE estime que cela pourrait nuire à la coopération et à la confiance essentielles sur le lieu de travail. Le contravis a été rejeté par le CESE (104 voix</w:t>
      </w:r>
      <w:r w:rsidR="006504B7">
        <w:rPr>
          <w:b/>
        </w:rPr>
        <w:t> </w:t>
      </w:r>
      <w:r w:rsidRPr="00693BDB">
        <w:rPr>
          <w:b/>
        </w:rPr>
        <w:t>pour/125 voix</w:t>
      </w:r>
      <w:r w:rsidR="006504B7">
        <w:rPr>
          <w:b/>
        </w:rPr>
        <w:t> </w:t>
      </w:r>
      <w:r w:rsidRPr="00693BDB">
        <w:rPr>
          <w:b/>
        </w:rPr>
        <w:t xml:space="preserve">contre/11 abstentions), mais étant donné qu’il a recueilli plus </w:t>
      </w:r>
      <w:r w:rsidRPr="00693BDB">
        <w:rPr>
          <w:b/>
        </w:rPr>
        <w:lastRenderedPageBreak/>
        <w:t>d’un quart des suffrages exprimés, il a été annexé à l’avis conformément au règlement intérieur du CESE.</w:t>
      </w:r>
    </w:p>
    <w:p w:rsidRPr="00E66F29" w:rsidR="008B2FAC" w:rsidP="008B2FAC" w:rsidRDefault="008B2FAC" w14:paraId="6EBE62AD" w14:textId="77777777">
      <w:pPr>
        <w:widowControl w:val="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66F29" w:rsidR="008B2FAC" w:rsidTr="00227409" w14:paraId="3CD0313B" w14:textId="77777777">
        <w:tc>
          <w:tcPr>
            <w:tcW w:w="1418" w:type="dxa"/>
          </w:tcPr>
          <w:p w:rsidRPr="00E66F29" w:rsidR="008B2FAC" w:rsidP="00227409" w:rsidRDefault="008B2FAC" w14:paraId="18DC6E1A" w14:textId="77777777">
            <w:pPr>
              <w:rPr>
                <w:i/>
              </w:rPr>
            </w:pPr>
            <w:r w:rsidRPr="00E66F29">
              <w:rPr>
                <w:b/>
                <w:i/>
              </w:rPr>
              <w:t>Contact</w:t>
            </w:r>
          </w:p>
        </w:tc>
        <w:tc>
          <w:tcPr>
            <w:tcW w:w="5670" w:type="dxa"/>
          </w:tcPr>
          <w:p w:rsidRPr="00E66F29" w:rsidR="008B2FAC" w:rsidP="00227409" w:rsidRDefault="008B2FAC" w14:paraId="5B789A9C" w14:textId="77777777">
            <w:pPr>
              <w:rPr>
                <w:i/>
              </w:rPr>
            </w:pPr>
            <w:proofErr w:type="spellStart"/>
            <w:r w:rsidRPr="00E66F29">
              <w:rPr>
                <w:i/>
              </w:rPr>
              <w:t>Bartek</w:t>
            </w:r>
            <w:proofErr w:type="spellEnd"/>
            <w:r w:rsidRPr="00E66F29">
              <w:rPr>
                <w:i/>
              </w:rPr>
              <w:t> BEDNAROWICZ</w:t>
            </w:r>
          </w:p>
        </w:tc>
      </w:tr>
      <w:tr w:rsidRPr="00E66F29" w:rsidR="008B2FAC" w:rsidTr="00227409" w14:paraId="4CC52EEF" w14:textId="77777777">
        <w:tc>
          <w:tcPr>
            <w:tcW w:w="1418" w:type="dxa"/>
          </w:tcPr>
          <w:p w:rsidRPr="00E66F29" w:rsidR="008B2FAC" w:rsidP="00227409" w:rsidRDefault="008B2FAC" w14:paraId="19FD871E" w14:textId="77777777">
            <w:pPr>
              <w:rPr>
                <w:i/>
              </w:rPr>
            </w:pPr>
            <w:r w:rsidRPr="00E66F29">
              <w:rPr>
                <w:i/>
              </w:rPr>
              <w:t>Tél.</w:t>
            </w:r>
          </w:p>
        </w:tc>
        <w:tc>
          <w:tcPr>
            <w:tcW w:w="5670" w:type="dxa"/>
          </w:tcPr>
          <w:p w:rsidRPr="00E66F29" w:rsidR="008B2FAC" w:rsidP="00227409" w:rsidRDefault="008B2FAC" w14:paraId="2E3545D8" w14:textId="77777777">
            <w:pPr>
              <w:rPr>
                <w:i/>
              </w:rPr>
            </w:pPr>
            <w:r w:rsidRPr="00E66F29">
              <w:rPr>
                <w:i/>
              </w:rPr>
              <w:t>+32 25469229</w:t>
            </w:r>
          </w:p>
        </w:tc>
      </w:tr>
      <w:tr w:rsidRPr="00E66F29" w:rsidR="008B2FAC" w:rsidTr="00227409" w14:paraId="0E7C1AC6" w14:textId="77777777">
        <w:tc>
          <w:tcPr>
            <w:tcW w:w="1418" w:type="dxa"/>
          </w:tcPr>
          <w:p w:rsidRPr="00E66F29" w:rsidR="008B2FAC" w:rsidP="00227409" w:rsidRDefault="008B2FAC" w14:paraId="43A65AE5" w14:textId="77777777">
            <w:pPr>
              <w:rPr>
                <w:i/>
              </w:rPr>
            </w:pPr>
            <w:r w:rsidRPr="00E66F29">
              <w:rPr>
                <w:i/>
              </w:rPr>
              <w:t>Courriel</w:t>
            </w:r>
          </w:p>
        </w:tc>
        <w:tc>
          <w:tcPr>
            <w:tcW w:w="5670" w:type="dxa"/>
          </w:tcPr>
          <w:p w:rsidRPr="00E66F29" w:rsidR="008B2FAC" w:rsidP="00227409" w:rsidRDefault="00EE33D5" w14:paraId="5FF9D563" w14:textId="77777777">
            <w:pPr>
              <w:rPr>
                <w:i/>
                <w:iCs/>
              </w:rPr>
            </w:pPr>
            <w:hyperlink w:history="1" r:id="rId22">
              <w:r w:rsidRPr="00E66F29" w:rsidR="008B2FAC">
                <w:rPr>
                  <w:rStyle w:val="Hyperlink"/>
                  <w:i/>
                </w:rPr>
                <w:t>Bartek.Bednarowicz@eesc.europa.eu</w:t>
              </w:r>
            </w:hyperlink>
          </w:p>
        </w:tc>
      </w:tr>
    </w:tbl>
    <w:p w:rsidR="008B2FAC" w:rsidP="008B2FAC" w:rsidRDefault="008B2FAC" w14:paraId="4A1BCF4F" w14:textId="72A7CD29">
      <w:pPr>
        <w:jc w:val="center"/>
      </w:pPr>
      <w:r w:rsidRPr="00E66F29">
        <w:t>_________________</w:t>
      </w:r>
    </w:p>
    <w:p w:rsidR="008B2FAC" w:rsidRDefault="008B2FAC" w14:paraId="2A7698DA" w14:textId="77777777">
      <w:pPr>
        <w:spacing w:after="160" w:line="259" w:lineRule="auto"/>
        <w:jc w:val="left"/>
      </w:pPr>
      <w:r>
        <w:br w:type="page"/>
      </w:r>
    </w:p>
    <w:p w:rsidRPr="00E66F29" w:rsidR="008B2FAC" w:rsidP="008B2FAC" w:rsidRDefault="008B2FAC" w14:paraId="3BB039D7" w14:textId="77777777">
      <w:pPr>
        <w:jc w:val="center"/>
      </w:pPr>
    </w:p>
    <w:p w:rsidRPr="006B7EFE" w:rsidR="008B2FAC" w:rsidP="008B2FAC" w:rsidRDefault="00EE33D5" w14:paraId="0A9EDCC3" w14:textId="0DE783B4">
      <w:pPr>
        <w:widowControl w:val="0"/>
        <w:numPr>
          <w:ilvl w:val="0"/>
          <w:numId w:val="11"/>
        </w:numPr>
        <w:overflowPunct w:val="0"/>
        <w:autoSpaceDE w:val="0"/>
        <w:autoSpaceDN w:val="0"/>
        <w:adjustRightInd w:val="0"/>
        <w:ind w:left="266" w:hanging="266"/>
        <w:textAlignment w:val="baseline"/>
        <w:rPr>
          <w:b/>
        </w:rPr>
      </w:pPr>
      <w:hyperlink w:history="1" r:id="rId23">
        <w:r w:rsidRPr="006B7EFE" w:rsidR="008B2FAC">
          <w:rPr>
            <w:rStyle w:val="Hyperlink"/>
            <w:b/>
            <w:i/>
            <w:sz w:val="28"/>
          </w:rPr>
          <w:t>Pas de place pour la haine: une Europe unie contre toute forme de haine</w:t>
        </w:r>
      </w:hyperlink>
    </w:p>
    <w:p w:rsidRPr="006B7EFE" w:rsidR="008B2FAC" w:rsidP="008B2FAC" w:rsidRDefault="008B2FAC" w14:paraId="0B87CBE2" w14:textId="77777777">
      <w:pPr>
        <w:widowControl w:val="0"/>
        <w:ind w:left="266"/>
        <w:rPr>
          <w:b/>
        </w:rPr>
      </w:pPr>
    </w:p>
    <w:tbl>
      <w:tblPr>
        <w:tblStyle w:val="TableGrid"/>
        <w:tblW w:w="517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31"/>
        <w:gridCol w:w="7332"/>
      </w:tblGrid>
      <w:tr w:rsidRPr="006B7EFE" w:rsidR="008B2FAC" w:rsidTr="00693BDB" w14:paraId="241ABB9A" w14:textId="77777777">
        <w:trPr>
          <w:trHeight w:val="337"/>
        </w:trPr>
        <w:tc>
          <w:tcPr>
            <w:tcW w:w="1126" w:type="pct"/>
          </w:tcPr>
          <w:p w:rsidRPr="006B7EFE" w:rsidR="008B2FAC" w:rsidP="00227409" w:rsidRDefault="008B2FAC" w14:paraId="73A54290" w14:textId="77777777">
            <w:pPr>
              <w:tabs>
                <w:tab w:val="center" w:pos="284"/>
              </w:tabs>
              <w:ind w:left="266" w:hanging="266"/>
              <w:rPr>
                <w:b/>
              </w:rPr>
            </w:pPr>
            <w:r w:rsidRPr="006B7EFE">
              <w:rPr>
                <w:b/>
              </w:rPr>
              <w:t>Rapporteur</w:t>
            </w:r>
          </w:p>
        </w:tc>
        <w:tc>
          <w:tcPr>
            <w:tcW w:w="3874" w:type="pct"/>
          </w:tcPr>
          <w:p w:rsidRPr="006B7EFE" w:rsidR="008B2FAC" w:rsidP="00227409" w:rsidRDefault="008B2FAC" w14:paraId="25F787A0" w14:textId="77777777">
            <w:pPr>
              <w:tabs>
                <w:tab w:val="center" w:pos="0"/>
              </w:tabs>
            </w:pPr>
            <w:r w:rsidRPr="006B7EFE">
              <w:t>Cristian PÎRVULESCU (groupe des organisations de la société civile — RO)</w:t>
            </w:r>
          </w:p>
        </w:tc>
      </w:tr>
      <w:tr w:rsidRPr="006B7EFE" w:rsidR="008B2FAC" w:rsidTr="00693BDB" w14:paraId="4DC5AEB8" w14:textId="77777777">
        <w:trPr>
          <w:trHeight w:val="350"/>
        </w:trPr>
        <w:tc>
          <w:tcPr>
            <w:tcW w:w="1126" w:type="pct"/>
          </w:tcPr>
          <w:p w:rsidRPr="006B7EFE" w:rsidR="008B2FAC" w:rsidP="00227409" w:rsidRDefault="008B2FAC" w14:paraId="309BB872" w14:textId="77777777">
            <w:pPr>
              <w:tabs>
                <w:tab w:val="center" w:pos="284"/>
              </w:tabs>
              <w:ind w:left="266" w:hanging="266"/>
              <w:rPr>
                <w:b/>
              </w:rPr>
            </w:pPr>
            <w:r w:rsidRPr="006B7EFE">
              <w:rPr>
                <w:b/>
              </w:rPr>
              <w:t>Corapporteure</w:t>
            </w:r>
          </w:p>
        </w:tc>
        <w:tc>
          <w:tcPr>
            <w:tcW w:w="3874" w:type="pct"/>
          </w:tcPr>
          <w:p w:rsidRPr="006B7EFE" w:rsidR="008B2FAC" w:rsidP="00227409" w:rsidRDefault="008B2FAC" w14:paraId="60FFBB6A" w14:textId="77777777">
            <w:pPr>
              <w:tabs>
                <w:tab w:val="center" w:pos="284"/>
              </w:tabs>
              <w:ind w:left="266" w:hanging="266"/>
            </w:pPr>
            <w:r w:rsidRPr="006B7EFE">
              <w:t>Milena ANGELOVA (groupe des employeurs — BG)</w:t>
            </w:r>
          </w:p>
        </w:tc>
      </w:tr>
      <w:tr w:rsidRPr="006B7EFE" w:rsidR="008B2FAC" w:rsidTr="00693BDB" w14:paraId="4C5067D5" w14:textId="77777777">
        <w:trPr>
          <w:trHeight w:val="180"/>
        </w:trPr>
        <w:tc>
          <w:tcPr>
            <w:tcW w:w="5000" w:type="pct"/>
            <w:gridSpan w:val="2"/>
          </w:tcPr>
          <w:p w:rsidRPr="006B7EFE" w:rsidR="008B2FAC" w:rsidP="00227409" w:rsidRDefault="008B2FAC" w14:paraId="33CCA12F" w14:textId="77777777">
            <w:pPr>
              <w:tabs>
                <w:tab w:val="center" w:pos="284"/>
              </w:tabs>
              <w:spacing w:line="160" w:lineRule="exact"/>
              <w:ind w:left="266" w:hanging="266"/>
            </w:pPr>
          </w:p>
        </w:tc>
      </w:tr>
      <w:tr w:rsidRPr="006B7EFE" w:rsidR="008B2FAC" w:rsidTr="00693BDB" w14:paraId="50A8B530" w14:textId="77777777">
        <w:trPr>
          <w:trHeight w:val="337"/>
        </w:trPr>
        <w:tc>
          <w:tcPr>
            <w:tcW w:w="1126" w:type="pct"/>
          </w:tcPr>
          <w:p w:rsidRPr="006B7EFE" w:rsidR="008B2FAC" w:rsidP="00227409" w:rsidRDefault="008B2FAC" w14:paraId="43AC3577" w14:textId="77777777">
            <w:pPr>
              <w:tabs>
                <w:tab w:val="center" w:pos="284"/>
              </w:tabs>
              <w:ind w:left="266" w:hanging="266"/>
              <w:rPr>
                <w:b/>
              </w:rPr>
            </w:pPr>
            <w:r w:rsidRPr="006B7EFE">
              <w:rPr>
                <w:b/>
              </w:rPr>
              <w:t>Références</w:t>
            </w:r>
          </w:p>
        </w:tc>
        <w:tc>
          <w:tcPr>
            <w:tcW w:w="3874" w:type="pct"/>
          </w:tcPr>
          <w:p w:rsidRPr="006B7EFE" w:rsidR="008B2FAC" w:rsidP="00227409" w:rsidRDefault="008B2FAC" w14:paraId="408BDCF7" w14:textId="77777777">
            <w:pPr>
              <w:tabs>
                <w:tab w:val="center" w:pos="284"/>
              </w:tabs>
              <w:ind w:left="266" w:hanging="266"/>
            </w:pPr>
            <w:r w:rsidRPr="006B7EFE">
              <w:t>EESC-2024-00795-00-00-AC</w:t>
            </w:r>
          </w:p>
        </w:tc>
      </w:tr>
    </w:tbl>
    <w:p w:rsidRPr="006B7EFE" w:rsidR="008B2FAC" w:rsidP="008B2FAC" w:rsidRDefault="008B2FAC" w14:paraId="733BDAE2" w14:textId="77777777">
      <w:pPr>
        <w:tabs>
          <w:tab w:val="center" w:pos="284"/>
        </w:tabs>
        <w:ind w:left="266" w:hanging="266"/>
        <w:rPr>
          <w:b/>
        </w:rPr>
      </w:pPr>
    </w:p>
    <w:p w:rsidRPr="006B7EFE" w:rsidR="008B2FAC" w:rsidP="008B2FAC" w:rsidRDefault="008B2FAC" w14:paraId="5A49183F" w14:textId="77777777">
      <w:pPr>
        <w:tabs>
          <w:tab w:val="center" w:pos="284"/>
        </w:tabs>
        <w:ind w:left="266" w:hanging="266"/>
        <w:rPr>
          <w:b/>
        </w:rPr>
      </w:pPr>
      <w:r w:rsidRPr="006B7EFE">
        <w:rPr>
          <w:b/>
        </w:rPr>
        <w:t>Points clés</w:t>
      </w:r>
    </w:p>
    <w:p w:rsidRPr="006B7EFE" w:rsidR="008B2FAC" w:rsidP="008B2FAC" w:rsidRDefault="008B2FAC" w14:paraId="41340460" w14:textId="77777777">
      <w:pPr>
        <w:tabs>
          <w:tab w:val="center" w:pos="284"/>
        </w:tabs>
        <w:ind w:left="266" w:hanging="266"/>
        <w:rPr>
          <w:b/>
        </w:rPr>
      </w:pPr>
    </w:p>
    <w:p w:rsidR="008B2FAC" w:rsidP="008B2FAC" w:rsidRDefault="008B2FAC" w14:paraId="0398A867" w14:textId="0FD91D93">
      <w:r w:rsidRPr="006B7EFE">
        <w:t>Le CESE:</w:t>
      </w:r>
    </w:p>
    <w:p w:rsidRPr="006B7EFE" w:rsidR="000C23A1" w:rsidP="008B2FAC" w:rsidRDefault="000C23A1" w14:paraId="1750453B" w14:textId="77777777">
      <w:pPr>
        <w:rPr>
          <w:bCs/>
          <w:iCs/>
        </w:rPr>
      </w:pPr>
    </w:p>
    <w:p w:rsidRPr="006B7EFE" w:rsidR="008B2FAC" w:rsidP="008B2FAC" w:rsidRDefault="008B2FAC" w14:paraId="12811C83" w14:textId="77777777">
      <w:pPr>
        <w:widowControl w:val="0"/>
        <w:numPr>
          <w:ilvl w:val="0"/>
          <w:numId w:val="11"/>
        </w:numPr>
        <w:overflowPunct w:val="0"/>
        <w:autoSpaceDE w:val="0"/>
        <w:autoSpaceDN w:val="0"/>
        <w:adjustRightInd w:val="0"/>
        <w:ind w:left="709" w:hanging="425"/>
        <w:textAlignment w:val="baseline"/>
        <w:rPr>
          <w:bCs/>
          <w:iCs/>
        </w:rPr>
      </w:pPr>
      <w:r w:rsidRPr="006B7EFE">
        <w:t>accueille favorablement la communication à l’examen tout en soulignant la nécessité de nouer un partenariat plus global avec les organisations de la société civile; il appelle de ses vœux des campagnes de sensibilisation et des efforts visant à combattre les «écosystèmes» de haine en ligne et hors ligne, et rappelle qu’il incombe aux responsables politiques d’éviter les rhétoriques qui promeuvent la haine;</w:t>
      </w:r>
    </w:p>
    <w:p w:rsidRPr="006B7EFE" w:rsidR="008B2FAC" w:rsidP="008B2FAC" w:rsidRDefault="008B2FAC" w14:paraId="7E2F7DB1" w14:textId="77777777">
      <w:pPr>
        <w:widowControl w:val="0"/>
        <w:numPr>
          <w:ilvl w:val="0"/>
          <w:numId w:val="11"/>
        </w:numPr>
        <w:overflowPunct w:val="0"/>
        <w:autoSpaceDE w:val="0"/>
        <w:autoSpaceDN w:val="0"/>
        <w:adjustRightInd w:val="0"/>
        <w:ind w:left="709" w:hanging="425"/>
        <w:textAlignment w:val="baseline"/>
        <w:rPr>
          <w:bCs/>
          <w:iCs/>
        </w:rPr>
      </w:pPr>
      <w:r w:rsidRPr="006B7EFE">
        <w:t>invite l’Union européenne à adopter une approche globale et à combattre la haine fondée sur l’une des caractéristiques protégées de la personne humaine, à mettre en œuvre avec efficacité les stratégies et initiatives existantes en faveur de l’égalité et de la non-discrimination, et à adopter avant tout la même approche pour lutter contre tous les types de haine; il invite les États membres à poursuivre la criminalité fondée sur la haine, à encourager les citoyens à en signaler les manifestations et à former les services répressifs à traiter ces situations de manière adéquate, en respectant dûment les personnes qui en sont victimes;</w:t>
      </w:r>
    </w:p>
    <w:p w:rsidRPr="006B7EFE" w:rsidR="008B2FAC" w:rsidP="008B2FAC" w:rsidRDefault="008B2FAC" w14:paraId="7EF5E0AA" w14:textId="77777777">
      <w:pPr>
        <w:widowControl w:val="0"/>
        <w:numPr>
          <w:ilvl w:val="0"/>
          <w:numId w:val="11"/>
        </w:numPr>
        <w:overflowPunct w:val="0"/>
        <w:autoSpaceDE w:val="0"/>
        <w:autoSpaceDN w:val="0"/>
        <w:adjustRightInd w:val="0"/>
        <w:ind w:left="709" w:hanging="425"/>
        <w:textAlignment w:val="baseline"/>
        <w:rPr>
          <w:bCs/>
          <w:iCs/>
        </w:rPr>
      </w:pPr>
      <w:r w:rsidRPr="006B7EFE">
        <w:t>déplore que la dynamique de lutte contre la haine sur les plateformes en ligne ne soit pas suffisamment développée, du point de vue de son ampleur comme de son incidence; il fait observer que le rôle et l’expertise des signaleurs devraient être élargis de manière à couvrir systématiquement tous les types de préjugés haineux en ligne, et qu’il convient d’améliorer l’éducation aux médias et au numérique, de manière à ce que le signalement puisse se faire de façon plus efficace;</w:t>
      </w:r>
    </w:p>
    <w:p w:rsidRPr="006B7EFE" w:rsidR="008B2FAC" w:rsidP="008B2FAC" w:rsidRDefault="008B2FAC" w14:paraId="39B8D338" w14:textId="77777777">
      <w:pPr>
        <w:widowControl w:val="0"/>
        <w:numPr>
          <w:ilvl w:val="0"/>
          <w:numId w:val="11"/>
        </w:numPr>
        <w:overflowPunct w:val="0"/>
        <w:autoSpaceDE w:val="0"/>
        <w:autoSpaceDN w:val="0"/>
        <w:adjustRightInd w:val="0"/>
        <w:ind w:left="709" w:hanging="425"/>
        <w:textAlignment w:val="baseline"/>
        <w:rPr>
          <w:bCs/>
          <w:iCs/>
        </w:rPr>
      </w:pPr>
      <w:r w:rsidRPr="006B7EFE">
        <w:t>estime que les travaux du groupe à haut niveau sur la lutte contre le racisme, la xénophobie et d’autres formes d’intolérance devraient être mis en œuvre de manière plus opérante, et qu’il conviendrait d’accroître les efforts visant à développer la formation et le renforcement des capacités de la société civile, ainsi que de rendre les procédures de signalement plus efficaces; il fait valoir qu’il y a lieu d’établir des rapports et de mener des évaluations comparatives pour cerner les progrès accomplis, et que le signalement des crimes de haine doit être normalisé et institutionnalisé au niveau de l’Union européenne; il estime dès lors que la disponibilité et l’accessibilité de mécanismes pour signaler les crimes de haine sont indispensables, et encourage la Commission à créer une plateforme en ligne sur laquelle les organisations de la société civile et les défenseurs des droits de l’homme pourront signaler rapidement les incidents à cet égard;</w:t>
      </w:r>
    </w:p>
    <w:p w:rsidRPr="006B7EFE" w:rsidR="008B2FAC" w:rsidP="008B2FAC" w:rsidRDefault="008B2FAC" w14:paraId="028BCFC2" w14:textId="77777777">
      <w:pPr>
        <w:keepNext/>
        <w:keepLines/>
        <w:numPr>
          <w:ilvl w:val="0"/>
          <w:numId w:val="11"/>
        </w:numPr>
        <w:overflowPunct w:val="0"/>
        <w:autoSpaceDE w:val="0"/>
        <w:autoSpaceDN w:val="0"/>
        <w:adjustRightInd w:val="0"/>
        <w:ind w:left="709" w:hanging="425"/>
        <w:textAlignment w:val="baseline"/>
        <w:rPr>
          <w:bCs/>
          <w:iCs/>
        </w:rPr>
      </w:pPr>
      <w:r w:rsidRPr="006B7EFE">
        <w:lastRenderedPageBreak/>
        <w:t>souligne que la Commission devrait organiser un examen du travail des organisations de la société civile, de même que celui des signaleurs de confiance, et proposer des mesures pour rendre leur travail plus efficace et mieux adapté aux défis actuels; il estime que l’Union européenne devrait demander instamment aux grandes plateformes en ligne d’éviter que leurs algorithmes n’amplifient la haine, et qu’elle devrait s’appuyer sur les fonds provenant du programme CERV et d’Horizon Europe pour détecter et combattre les écosystèmes de haine en ligne, afin que les structures existantes en matière d’éducation et de recherche puissent apporter leur contribution à la réalisation de cet objectif; fait en outre observer que les programmes d’éducation à la citoyenneté prévus dans le cadre d’Erasmus+ pourraient également y contribuer.</w:t>
      </w:r>
    </w:p>
    <w:p w:rsidRPr="006B7EFE" w:rsidR="008B2FAC" w:rsidP="008B2FAC" w:rsidRDefault="008B2FAC" w14:paraId="48ADF2BC" w14:textId="77777777">
      <w:pPr>
        <w:widowControl w:val="0"/>
        <w:ind w:left="424"/>
        <w:rPr>
          <w:bCs/>
          <w:iCs/>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6B7EFE" w:rsidR="008B2FAC" w:rsidTr="00227409" w14:paraId="3EE22FD5" w14:textId="77777777">
        <w:trPr>
          <w:trHeight w:val="60"/>
        </w:trPr>
        <w:tc>
          <w:tcPr>
            <w:tcW w:w="1556" w:type="pct"/>
          </w:tcPr>
          <w:p w:rsidRPr="006B7EFE" w:rsidR="008B2FAC" w:rsidP="00227409" w:rsidRDefault="008B2FAC" w14:paraId="5445E50C" w14:textId="77777777">
            <w:pPr>
              <w:spacing w:line="240" w:lineRule="auto"/>
              <w:rPr>
                <w:i/>
              </w:rPr>
            </w:pPr>
            <w:r w:rsidRPr="006B7EFE">
              <w:rPr>
                <w:b/>
                <w:i/>
              </w:rPr>
              <w:t>Contact</w:t>
            </w:r>
          </w:p>
        </w:tc>
        <w:tc>
          <w:tcPr>
            <w:tcW w:w="3444" w:type="pct"/>
          </w:tcPr>
          <w:p w:rsidRPr="006B7EFE" w:rsidR="008B2FAC" w:rsidP="00227409" w:rsidRDefault="008B2FAC" w14:paraId="1870EA88" w14:textId="30C96791">
            <w:pPr>
              <w:spacing w:line="240" w:lineRule="auto"/>
              <w:rPr>
                <w:i/>
              </w:rPr>
            </w:pPr>
            <w:r w:rsidRPr="006B7EFE">
              <w:rPr>
                <w:i/>
              </w:rPr>
              <w:t>June </w:t>
            </w:r>
            <w:r w:rsidRPr="006B7EFE" w:rsidR="000C23A1">
              <w:rPr>
                <w:i/>
              </w:rPr>
              <w:t>BEDATON</w:t>
            </w:r>
          </w:p>
        </w:tc>
      </w:tr>
      <w:tr w:rsidRPr="006B7EFE" w:rsidR="008B2FAC" w:rsidTr="00227409" w14:paraId="71029188" w14:textId="77777777">
        <w:tc>
          <w:tcPr>
            <w:tcW w:w="1556" w:type="pct"/>
          </w:tcPr>
          <w:p w:rsidRPr="006B7EFE" w:rsidR="008B2FAC" w:rsidP="00227409" w:rsidRDefault="008B2FAC" w14:paraId="0651E2B6" w14:textId="77777777">
            <w:pPr>
              <w:spacing w:line="240" w:lineRule="auto"/>
              <w:rPr>
                <w:i/>
              </w:rPr>
            </w:pPr>
            <w:r w:rsidRPr="006B7EFE">
              <w:rPr>
                <w:i/>
              </w:rPr>
              <w:t>Tél.</w:t>
            </w:r>
          </w:p>
        </w:tc>
        <w:tc>
          <w:tcPr>
            <w:tcW w:w="3444" w:type="pct"/>
          </w:tcPr>
          <w:p w:rsidRPr="006B7EFE" w:rsidR="008B2FAC" w:rsidP="00227409" w:rsidRDefault="008B2FAC" w14:paraId="0E731BEA" w14:textId="77777777">
            <w:pPr>
              <w:spacing w:line="240" w:lineRule="auto"/>
              <w:rPr>
                <w:i/>
              </w:rPr>
            </w:pPr>
            <w:r w:rsidRPr="006B7EFE">
              <w:rPr>
                <w:i/>
              </w:rPr>
              <w:t>+32 25468134</w:t>
            </w:r>
          </w:p>
        </w:tc>
      </w:tr>
      <w:tr w:rsidRPr="006B7EFE" w:rsidR="008B2FAC" w:rsidTr="00227409" w14:paraId="17E6D7C1" w14:textId="77777777">
        <w:tc>
          <w:tcPr>
            <w:tcW w:w="1556" w:type="pct"/>
          </w:tcPr>
          <w:p w:rsidRPr="006B7EFE" w:rsidR="008B2FAC" w:rsidP="00227409" w:rsidRDefault="008B2FAC" w14:paraId="0A961116" w14:textId="77777777">
            <w:pPr>
              <w:spacing w:line="240" w:lineRule="auto"/>
              <w:rPr>
                <w:i/>
              </w:rPr>
            </w:pPr>
            <w:r w:rsidRPr="006B7EFE">
              <w:rPr>
                <w:i/>
              </w:rPr>
              <w:t>Courriel:</w:t>
            </w:r>
          </w:p>
        </w:tc>
        <w:tc>
          <w:tcPr>
            <w:tcW w:w="3444" w:type="pct"/>
          </w:tcPr>
          <w:p w:rsidRPr="006B7EFE" w:rsidR="008B2FAC" w:rsidP="00227409" w:rsidRDefault="00EE33D5" w14:paraId="3A1A2414" w14:textId="77777777">
            <w:pPr>
              <w:spacing w:line="240" w:lineRule="auto"/>
              <w:rPr>
                <w:i/>
              </w:rPr>
            </w:pPr>
            <w:hyperlink w:history="1" r:id="rId24">
              <w:r w:rsidRPr="006B7EFE" w:rsidR="008B2FAC">
                <w:rPr>
                  <w:rStyle w:val="Hyperlink"/>
                  <w:i/>
                </w:rPr>
                <w:t>June.Bedaton@eesc.europa.eu</w:t>
              </w:r>
            </w:hyperlink>
          </w:p>
        </w:tc>
      </w:tr>
    </w:tbl>
    <w:p w:rsidRPr="00D71D11" w:rsidR="00502E1F" w:rsidRDefault="00502E1F" w14:paraId="3D58FF9D" w14:textId="2586B74C">
      <w:pPr>
        <w:spacing w:after="160" w:line="259" w:lineRule="auto"/>
        <w:jc w:val="left"/>
        <w:rPr>
          <w:sz w:val="14"/>
          <w:szCs w:val="14"/>
        </w:rPr>
      </w:pPr>
      <w:r>
        <w:br w:type="page"/>
      </w:r>
    </w:p>
    <w:p w:rsidRPr="00EE2FBD" w:rsidR="004C3902" w:rsidP="00770F41" w:rsidRDefault="008E2A59" w14:paraId="7AD922B6" w14:textId="2BABB602">
      <w:pPr>
        <w:pStyle w:val="Heading1"/>
        <w:tabs>
          <w:tab w:val="clear" w:pos="440"/>
          <w:tab w:val="left" w:pos="567"/>
        </w:tabs>
        <w:ind w:left="567" w:hanging="567"/>
        <w:rPr>
          <w:b/>
          <w:bCs/>
        </w:rPr>
      </w:pPr>
      <w:bookmarkStart w:name="_Toc166847134" w:id="2"/>
      <w:bookmarkStart w:name="_Toc169703126" w:id="3"/>
      <w:bookmarkEnd w:id="2"/>
      <w:r>
        <w:rPr>
          <w:b/>
        </w:rPr>
        <w:lastRenderedPageBreak/>
        <w:t>AGRICULTURE, DÉVELOPPEMENT RURAL ET ENVIRONNEMENT</w:t>
      </w:r>
      <w:bookmarkEnd w:id="3"/>
    </w:p>
    <w:p w:rsidR="005C28F2" w:rsidRDefault="005C28F2" w14:paraId="70C7CB4F" w14:textId="77777777">
      <w:pPr>
        <w:spacing w:after="160" w:line="259" w:lineRule="auto"/>
        <w:jc w:val="left"/>
        <w:rPr>
          <w:b/>
          <w:bCs/>
        </w:rPr>
      </w:pPr>
    </w:p>
    <w:p w:rsidR="00A329C8" w:rsidRDefault="00A329C8" w14:paraId="207163CE" w14:textId="67E9BB6A">
      <w:pPr>
        <w:spacing w:after="160" w:line="259" w:lineRule="auto"/>
        <w:jc w:val="left"/>
        <w:rPr>
          <w:b/>
          <w:bCs/>
        </w:rPr>
      </w:pPr>
    </w:p>
    <w:p w:rsidRPr="00C56235" w:rsidR="008B2FAC" w:rsidP="008B2FAC" w:rsidRDefault="00EE33D5" w14:paraId="119B3F34" w14:textId="31606A43">
      <w:pPr>
        <w:pStyle w:val="ListParagraph"/>
        <w:numPr>
          <w:ilvl w:val="0"/>
          <w:numId w:val="2"/>
        </w:numPr>
        <w:spacing w:line="276" w:lineRule="auto"/>
        <w:ind w:left="567" w:hanging="567"/>
        <w:jc w:val="left"/>
        <w:rPr>
          <w:i/>
          <w:iCs/>
        </w:rPr>
      </w:pPr>
      <w:hyperlink w:history="1" r:id="rId25">
        <w:r w:rsidRPr="00C56235" w:rsidR="008B2FAC">
          <w:rPr>
            <w:rStyle w:val="Hyperlink"/>
            <w:b/>
            <w:i/>
            <w:sz w:val="28"/>
          </w:rPr>
          <w:t>Objectif climatique de l’UE à l’horizon 2040</w:t>
        </w:r>
      </w:hyperlink>
    </w:p>
    <w:p w:rsidRPr="00C56235" w:rsidR="008B2FAC" w:rsidP="008B2FAC" w:rsidRDefault="008B2FAC" w14:paraId="0BD45E26" w14:textId="77777777">
      <w:pPr>
        <w:widowControl w:val="0"/>
        <w:ind w:left="567"/>
        <w:rPr>
          <w:bCs/>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C56235" w:rsidR="008B2FAC" w:rsidTr="00227409" w14:paraId="180D19DF" w14:textId="77777777">
        <w:tc>
          <w:tcPr>
            <w:tcW w:w="1701" w:type="dxa"/>
          </w:tcPr>
          <w:p w:rsidRPr="00C56235" w:rsidR="008B2FAC" w:rsidP="00227409" w:rsidRDefault="008B2FAC" w14:paraId="6D2C8A61" w14:textId="77777777">
            <w:pPr>
              <w:tabs>
                <w:tab w:val="center" w:pos="284"/>
              </w:tabs>
              <w:ind w:left="266" w:hanging="266"/>
              <w:rPr>
                <w:b/>
              </w:rPr>
            </w:pPr>
            <w:r w:rsidRPr="00C56235">
              <w:rPr>
                <w:b/>
              </w:rPr>
              <w:t>Rapporteur</w:t>
            </w:r>
          </w:p>
        </w:tc>
        <w:tc>
          <w:tcPr>
            <w:tcW w:w="6096" w:type="dxa"/>
          </w:tcPr>
          <w:p w:rsidRPr="00C56235" w:rsidR="008B2FAC" w:rsidP="00227409" w:rsidRDefault="008B2FAC" w14:paraId="60C59C61" w14:textId="424E234D">
            <w:pPr>
              <w:tabs>
                <w:tab w:val="center" w:pos="284"/>
              </w:tabs>
              <w:ind w:left="266" w:hanging="266"/>
              <w:rPr>
                <w:bCs/>
              </w:rPr>
            </w:pPr>
            <w:proofErr w:type="spellStart"/>
            <w:r w:rsidRPr="00693BDB">
              <w:rPr>
                <w:bCs/>
              </w:rPr>
              <w:t>Teppo</w:t>
            </w:r>
            <w:proofErr w:type="spellEnd"/>
            <w:r w:rsidRPr="00693BDB">
              <w:rPr>
                <w:bCs/>
              </w:rPr>
              <w:t> SÄKKINEN</w:t>
            </w:r>
            <w:r w:rsidRPr="00C56235">
              <w:t xml:space="preserve"> (groupe des employeurs </w:t>
            </w:r>
            <w:r w:rsidR="006504B7">
              <w:t>—</w:t>
            </w:r>
            <w:r w:rsidRPr="00C56235">
              <w:t xml:space="preserve"> FI)</w:t>
            </w:r>
          </w:p>
        </w:tc>
      </w:tr>
      <w:tr w:rsidRPr="00C56235" w:rsidR="008B2FAC" w:rsidTr="00227409" w14:paraId="07BEB7D6" w14:textId="77777777">
        <w:tc>
          <w:tcPr>
            <w:tcW w:w="7797" w:type="dxa"/>
            <w:gridSpan w:val="2"/>
          </w:tcPr>
          <w:p w:rsidRPr="00C56235" w:rsidR="008B2FAC" w:rsidP="00227409" w:rsidRDefault="008B2FAC" w14:paraId="49A63150" w14:textId="77777777">
            <w:pPr>
              <w:tabs>
                <w:tab w:val="left" w:pos="2690"/>
              </w:tabs>
              <w:spacing w:line="160" w:lineRule="exact"/>
              <w:ind w:left="266" w:hanging="266"/>
              <w:rPr>
                <w:sz w:val="10"/>
                <w:szCs w:val="10"/>
              </w:rPr>
            </w:pPr>
          </w:p>
        </w:tc>
      </w:tr>
      <w:tr w:rsidRPr="00C56235" w:rsidR="008B2FAC" w:rsidTr="00227409" w14:paraId="45A33D0C" w14:textId="77777777">
        <w:tc>
          <w:tcPr>
            <w:tcW w:w="1701" w:type="dxa"/>
            <w:vMerge w:val="restart"/>
          </w:tcPr>
          <w:p w:rsidRPr="00C56235" w:rsidR="008B2FAC" w:rsidP="00227409" w:rsidRDefault="008B2FAC" w14:paraId="3A9F4431" w14:textId="77777777">
            <w:pPr>
              <w:tabs>
                <w:tab w:val="center" w:pos="284"/>
              </w:tabs>
              <w:ind w:left="266" w:hanging="266"/>
              <w:rPr>
                <w:b/>
              </w:rPr>
            </w:pPr>
            <w:r w:rsidRPr="00C56235">
              <w:rPr>
                <w:b/>
              </w:rPr>
              <w:t>Références:</w:t>
            </w:r>
          </w:p>
        </w:tc>
        <w:tc>
          <w:tcPr>
            <w:tcW w:w="6096" w:type="dxa"/>
          </w:tcPr>
          <w:p w:rsidRPr="00C56235" w:rsidR="008B2FAC" w:rsidP="00227409" w:rsidRDefault="008B2FAC" w14:paraId="0B07CF2A" w14:textId="701D44E6">
            <w:pPr>
              <w:tabs>
                <w:tab w:val="center" w:pos="284"/>
              </w:tabs>
              <w:ind w:left="266" w:hanging="266"/>
            </w:pPr>
            <w:r w:rsidRPr="00C56235">
              <w:t>COM(2024)</w:t>
            </w:r>
            <w:r w:rsidR="000C23A1">
              <w:t> </w:t>
            </w:r>
            <w:r w:rsidRPr="00C56235">
              <w:t>63</w:t>
            </w:r>
            <w:r w:rsidR="00204880">
              <w:t> </w:t>
            </w:r>
            <w:r w:rsidRPr="00C56235">
              <w:t>final</w:t>
            </w:r>
          </w:p>
        </w:tc>
      </w:tr>
      <w:tr w:rsidRPr="00C56235" w:rsidR="008B2FAC" w:rsidTr="00227409" w14:paraId="712F62E3" w14:textId="77777777">
        <w:tc>
          <w:tcPr>
            <w:tcW w:w="1701" w:type="dxa"/>
            <w:vMerge/>
          </w:tcPr>
          <w:p w:rsidRPr="00C56235" w:rsidR="008B2FAC" w:rsidP="00227409" w:rsidRDefault="008B2FAC" w14:paraId="2269D771" w14:textId="77777777">
            <w:pPr>
              <w:tabs>
                <w:tab w:val="center" w:pos="284"/>
              </w:tabs>
              <w:ind w:left="266" w:hanging="266"/>
              <w:rPr>
                <w:b/>
              </w:rPr>
            </w:pPr>
          </w:p>
        </w:tc>
        <w:tc>
          <w:tcPr>
            <w:tcW w:w="6096" w:type="dxa"/>
          </w:tcPr>
          <w:p w:rsidRPr="00C56235" w:rsidR="008B2FAC" w:rsidP="00227409" w:rsidRDefault="008B2FAC" w14:paraId="517ADAF9" w14:textId="77777777">
            <w:pPr>
              <w:tabs>
                <w:tab w:val="center" w:pos="284"/>
              </w:tabs>
              <w:ind w:left="266" w:hanging="266"/>
            </w:pPr>
            <w:r w:rsidRPr="00C56235">
              <w:t>EESC-2024-00418-00-00-AC-TRA</w:t>
            </w:r>
          </w:p>
        </w:tc>
      </w:tr>
    </w:tbl>
    <w:p w:rsidRPr="00C56235" w:rsidR="008B2FAC" w:rsidP="008B2FAC" w:rsidRDefault="008B2FAC" w14:paraId="41F195E7" w14:textId="77777777">
      <w:pPr>
        <w:keepNext/>
        <w:keepLines/>
        <w:tabs>
          <w:tab w:val="center" w:pos="284"/>
        </w:tabs>
        <w:ind w:left="266" w:hanging="266"/>
        <w:rPr>
          <w:b/>
          <w:sz w:val="10"/>
          <w:szCs w:val="10"/>
        </w:rPr>
      </w:pPr>
    </w:p>
    <w:p w:rsidRPr="00C56235" w:rsidR="008B2FAC" w:rsidP="008B2FAC" w:rsidRDefault="008B2FAC" w14:paraId="6C108712" w14:textId="77777777">
      <w:pPr>
        <w:keepNext/>
        <w:keepLines/>
        <w:tabs>
          <w:tab w:val="center" w:pos="284"/>
        </w:tabs>
        <w:spacing w:line="276" w:lineRule="auto"/>
        <w:ind w:left="266" w:hanging="266"/>
        <w:rPr>
          <w:b/>
        </w:rPr>
      </w:pPr>
      <w:r w:rsidRPr="00C56235">
        <w:rPr>
          <w:b/>
        </w:rPr>
        <w:t>Points clés</w:t>
      </w:r>
    </w:p>
    <w:p w:rsidRPr="00C56235" w:rsidR="008B2FAC" w:rsidP="008B2FAC" w:rsidRDefault="008B2FAC" w14:paraId="511ABAAB" w14:textId="77777777">
      <w:pPr>
        <w:keepNext/>
        <w:keepLines/>
        <w:tabs>
          <w:tab w:val="center" w:pos="284"/>
        </w:tabs>
        <w:spacing w:line="276" w:lineRule="auto"/>
        <w:ind w:left="266" w:hanging="266"/>
        <w:rPr>
          <w:bCs/>
          <w:sz w:val="16"/>
          <w:szCs w:val="16"/>
        </w:rPr>
      </w:pPr>
    </w:p>
    <w:p w:rsidRPr="00C56235" w:rsidR="008B2FAC" w:rsidP="008B2FAC" w:rsidRDefault="008B2FAC" w14:paraId="09781927" w14:textId="77777777">
      <w:pPr>
        <w:spacing w:line="240" w:lineRule="auto"/>
        <w:rPr>
          <w:bCs/>
          <w:iCs/>
        </w:rPr>
      </w:pPr>
      <w:r w:rsidRPr="00C56235">
        <w:t>Le CESE:</w:t>
      </w:r>
    </w:p>
    <w:p w:rsidRPr="00C56235" w:rsidR="008B2FAC" w:rsidP="008B2FAC" w:rsidRDefault="008B2FAC" w14:paraId="5F699747" w14:textId="77777777">
      <w:pPr>
        <w:spacing w:line="240" w:lineRule="auto"/>
        <w:rPr>
          <w:bCs/>
          <w:iCs/>
          <w:sz w:val="16"/>
          <w:szCs w:val="16"/>
        </w:rPr>
      </w:pPr>
    </w:p>
    <w:p w:rsidR="00693BDB" w:rsidP="00693BDB" w:rsidRDefault="008B2FAC" w14:paraId="4937C282" w14:textId="77777777">
      <w:pPr>
        <w:pStyle w:val="Heading2"/>
        <w:numPr>
          <w:ilvl w:val="0"/>
          <w:numId w:val="31"/>
        </w:numPr>
        <w:rPr>
          <w:spacing w:val="-4"/>
        </w:rPr>
      </w:pPr>
      <w:r w:rsidRPr="00C56235">
        <w:rPr>
          <w:b/>
          <w:bCs/>
        </w:rPr>
        <w:t>soutient l’objectif recommandé à l’horizon 2040, fixé à 90 %</w:t>
      </w:r>
      <w:r w:rsidRPr="00C56235">
        <w:t xml:space="preserve">, car il est conforme à l’évaluation scientifique de ce qui constitue la contribution équitable de l’Europe à l’objectif de 1,5 °C. Il souligne que </w:t>
      </w:r>
      <w:r w:rsidRPr="00C56235">
        <w:rPr>
          <w:b/>
          <w:bCs/>
        </w:rPr>
        <w:t>cet objectif est ambitieux</w:t>
      </w:r>
      <w:r w:rsidRPr="00C56235">
        <w:t xml:space="preserve"> et qu’il ne pourra être atteint que si les politiques propices sont mises en place pour garantir la </w:t>
      </w:r>
      <w:r w:rsidRPr="00C56235">
        <w:rPr>
          <w:b/>
          <w:bCs/>
        </w:rPr>
        <w:t>compétitivité des industries européennes</w:t>
      </w:r>
      <w:r w:rsidRPr="00C56235">
        <w:t xml:space="preserve"> et une </w:t>
      </w:r>
      <w:r w:rsidRPr="00C56235">
        <w:rPr>
          <w:b/>
          <w:bCs/>
        </w:rPr>
        <w:t>transition juste</w:t>
      </w:r>
      <w:r w:rsidRPr="00C56235">
        <w:t>, et que s’il est tiré parti de toutes les technologies à émissions faibles ou nulles de carbone présentant un bon rapport d’efficacité par rapport aux coûts;</w:t>
      </w:r>
    </w:p>
    <w:p w:rsidR="00693BDB" w:rsidP="00693BDB" w:rsidRDefault="008B2FAC" w14:paraId="7D012A14" w14:textId="77777777">
      <w:pPr>
        <w:pStyle w:val="Heading2"/>
        <w:numPr>
          <w:ilvl w:val="0"/>
          <w:numId w:val="31"/>
        </w:numPr>
        <w:rPr>
          <w:spacing w:val="-4"/>
        </w:rPr>
      </w:pPr>
      <w:r w:rsidRPr="00693BDB">
        <w:rPr>
          <w:b/>
          <w:bCs/>
        </w:rPr>
        <w:t>met l’accent sur les réductions effectives des émissions de carbone moyennant la sortie progressive des combustibles fossiles</w:t>
      </w:r>
      <w:r w:rsidRPr="00C56235">
        <w:t>. Si les absorptions de carbone jouent un rôle grandissant pour atteindre les objectifs climatiques de l’UE, s’en remettre de façon excessive à des puits entraîne des incertitudes et le risque d’un enfermement dans la dépendance aux ressources fossiles ou de la disparition de puits en raison de feux de forêt, d’organismes nuisibles ou d’autres aléas;</w:t>
      </w:r>
    </w:p>
    <w:p w:rsidR="00693BDB" w:rsidP="00693BDB" w:rsidRDefault="008B2FAC" w14:paraId="0D55D17B" w14:textId="77777777">
      <w:pPr>
        <w:pStyle w:val="Heading2"/>
        <w:numPr>
          <w:ilvl w:val="0"/>
          <w:numId w:val="31"/>
        </w:numPr>
        <w:rPr>
          <w:spacing w:val="-4"/>
        </w:rPr>
      </w:pPr>
      <w:r w:rsidRPr="00C56235">
        <w:t xml:space="preserve">invite la Commission à procéder à une évaluation scientifique et économique de </w:t>
      </w:r>
      <w:r w:rsidRPr="00693BDB">
        <w:rPr>
          <w:b/>
          <w:bCs/>
        </w:rPr>
        <w:t>l’équilibre entre réductions et absorptions</w:t>
      </w:r>
      <w:r w:rsidRPr="00C56235">
        <w:t>;</w:t>
      </w:r>
    </w:p>
    <w:p w:rsidR="00693BDB" w:rsidP="00693BDB" w:rsidRDefault="008B2FAC" w14:paraId="4CEBF9BE" w14:textId="77777777">
      <w:pPr>
        <w:pStyle w:val="Heading2"/>
        <w:numPr>
          <w:ilvl w:val="0"/>
          <w:numId w:val="31"/>
        </w:numPr>
        <w:rPr>
          <w:spacing w:val="-4"/>
        </w:rPr>
      </w:pPr>
      <w:r w:rsidRPr="00C56235">
        <w:t>souligne qu’il faut mettre l’accent sur la mise en œuvre de la législation «Ajustement à l’objectif 55» et aider les entreprises et les ménages en Europe à s’adapter au nouvel environnement réglementaire;</w:t>
      </w:r>
    </w:p>
    <w:p w:rsidR="00693BDB" w:rsidP="00693BDB" w:rsidRDefault="008B2FAC" w14:paraId="001397FC" w14:textId="77777777">
      <w:pPr>
        <w:pStyle w:val="Heading2"/>
        <w:numPr>
          <w:ilvl w:val="0"/>
          <w:numId w:val="31"/>
        </w:numPr>
        <w:rPr>
          <w:spacing w:val="-4"/>
        </w:rPr>
      </w:pPr>
      <w:r w:rsidRPr="00C56235">
        <w:t xml:space="preserve">fait observer que les objectifs climatiques exigent </w:t>
      </w:r>
      <w:r w:rsidRPr="00693BDB">
        <w:rPr>
          <w:b/>
          <w:bCs/>
        </w:rPr>
        <w:t>un niveau encore inédit d’investissement dans la décarbonation</w:t>
      </w:r>
      <w:r w:rsidRPr="00C56235">
        <w:t>;</w:t>
      </w:r>
    </w:p>
    <w:p w:rsidR="00693BDB" w:rsidP="00693BDB" w:rsidRDefault="008B2FAC" w14:paraId="028AF816" w14:textId="77777777">
      <w:pPr>
        <w:pStyle w:val="Heading2"/>
        <w:numPr>
          <w:ilvl w:val="0"/>
          <w:numId w:val="31"/>
        </w:numPr>
        <w:rPr>
          <w:spacing w:val="-4"/>
        </w:rPr>
      </w:pPr>
      <w:r w:rsidRPr="00C56235">
        <w:t>invite la Commission à fixer des objectifs visant l’intensification des exportations de produits et services du secteur des technologies propres et à suivre leur réalisation;</w:t>
      </w:r>
    </w:p>
    <w:p w:rsidR="00693BDB" w:rsidP="00693BDB" w:rsidRDefault="008B2FAC" w14:paraId="44CFFCAA" w14:textId="77777777">
      <w:pPr>
        <w:pStyle w:val="Heading2"/>
        <w:numPr>
          <w:ilvl w:val="0"/>
          <w:numId w:val="31"/>
        </w:numPr>
        <w:rPr>
          <w:spacing w:val="-4"/>
        </w:rPr>
      </w:pPr>
      <w:r w:rsidRPr="00C56235">
        <w:t xml:space="preserve">demande que la </w:t>
      </w:r>
      <w:r w:rsidRPr="00693BDB">
        <w:rPr>
          <w:b/>
          <w:bCs/>
        </w:rPr>
        <w:t>production d’électricité</w:t>
      </w:r>
      <w:r w:rsidRPr="00C56235">
        <w:t xml:space="preserve"> dans l’UE soit </w:t>
      </w:r>
      <w:r w:rsidRPr="00693BDB">
        <w:rPr>
          <w:b/>
          <w:bCs/>
        </w:rPr>
        <w:t>exempte de carbone d’ici à 2040</w:t>
      </w:r>
      <w:r w:rsidRPr="00C56235">
        <w:t>, tout comme le chauffage et le refroidissement peu de temps après. La disponibilité d’une énergie propre et abordable ainsi que d’infrastructures énergétiques prêtes pour l’avenir forme la pierre angulaire de la décarbonation d’autres secteurs tels que l’industrie, le bâtiment et les transports;</w:t>
      </w:r>
    </w:p>
    <w:p w:rsidR="00693BDB" w:rsidP="00693BDB" w:rsidRDefault="008B2FAC" w14:paraId="6B3B0672" w14:textId="77777777">
      <w:pPr>
        <w:pStyle w:val="Heading2"/>
        <w:numPr>
          <w:ilvl w:val="0"/>
          <w:numId w:val="31"/>
        </w:numPr>
        <w:rPr>
          <w:spacing w:val="-4"/>
        </w:rPr>
      </w:pPr>
      <w:r w:rsidRPr="00C56235">
        <w:t xml:space="preserve">propose d’établir un </w:t>
      </w:r>
      <w:r w:rsidRPr="00693BDB">
        <w:rPr>
          <w:b/>
          <w:bCs/>
        </w:rPr>
        <w:t>objectif indicatif de réduction des émissions</w:t>
      </w:r>
      <w:r w:rsidRPr="00C56235">
        <w:t xml:space="preserve"> </w:t>
      </w:r>
      <w:r w:rsidRPr="00693BDB">
        <w:rPr>
          <w:b/>
          <w:bCs/>
        </w:rPr>
        <w:t>pour le secteur agroalimentaire</w:t>
      </w:r>
      <w:r w:rsidRPr="00C56235">
        <w:t xml:space="preserve"> en concertation étroite avec les agriculteurs et les autres parties prenantes, fondé sur des données scientifiques, qui garantisse la sécurité alimentaire européenne et tienne compte des conditions naturelles variées prévalant au sein de l’UE;</w:t>
      </w:r>
    </w:p>
    <w:p w:rsidR="00693BDB" w:rsidP="00693BDB" w:rsidRDefault="008B2FAC" w14:paraId="7A1CEF59" w14:textId="77777777">
      <w:pPr>
        <w:pStyle w:val="Heading2"/>
        <w:numPr>
          <w:ilvl w:val="0"/>
          <w:numId w:val="31"/>
        </w:numPr>
        <w:rPr>
          <w:spacing w:val="-4"/>
        </w:rPr>
      </w:pPr>
      <w:r w:rsidRPr="00C56235">
        <w:lastRenderedPageBreak/>
        <w:t>souligne qu’il importe d’entretenir un large dialogue avec les parties prenantes, notamment les partenaires sociaux et la société civile, et de mobiliser les citoyens dans le cadre de la définition de l’objectif pour 2040 et de l’élaboration des politiques qui l’accompagneront;</w:t>
      </w:r>
    </w:p>
    <w:p w:rsidR="00693BDB" w:rsidP="00693BDB" w:rsidRDefault="008B2FAC" w14:paraId="4A1B213C" w14:textId="77777777">
      <w:pPr>
        <w:pStyle w:val="Heading2"/>
        <w:numPr>
          <w:ilvl w:val="0"/>
          <w:numId w:val="31"/>
        </w:numPr>
        <w:rPr>
          <w:spacing w:val="-4"/>
        </w:rPr>
      </w:pPr>
      <w:r w:rsidRPr="00C56235">
        <w:t xml:space="preserve">attire l’attention sur le fait qu’il est possible d’accélérer la réduction des émissions et de faire diminuer la demande de matériaux et d’énergie </w:t>
      </w:r>
      <w:r w:rsidRPr="00693BDB">
        <w:rPr>
          <w:b/>
          <w:bCs/>
        </w:rPr>
        <w:t>en donnant aux consommateurs le choix d’un mode de vie plus durable</w:t>
      </w:r>
      <w:r w:rsidRPr="00C56235">
        <w:t>;</w:t>
      </w:r>
    </w:p>
    <w:p w:rsidRPr="00693BDB" w:rsidR="008B2FAC" w:rsidP="00693BDB" w:rsidRDefault="008B2FAC" w14:paraId="70DB89D4" w14:textId="055FDFD8">
      <w:pPr>
        <w:pStyle w:val="Heading2"/>
        <w:numPr>
          <w:ilvl w:val="0"/>
          <w:numId w:val="31"/>
        </w:numPr>
        <w:rPr>
          <w:spacing w:val="-4"/>
        </w:rPr>
      </w:pPr>
      <w:r w:rsidRPr="00C56235">
        <w:t xml:space="preserve">invite la Commission à </w:t>
      </w:r>
      <w:r w:rsidRPr="00693BDB">
        <w:rPr>
          <w:b/>
          <w:bCs/>
        </w:rPr>
        <w:t>élargir le contrôle de la compétitivité</w:t>
      </w:r>
      <w:r w:rsidRPr="00C56235">
        <w:t xml:space="preserve"> pour établir une comparaison avec d’autres grandes économies, notamment avec leurs politiques climatiques, énergétiques et industrielles ainsi qu’avec leurs indicateurs économiques, afin de formuler des propositions visant à renforcer la base industrielle et la compétitivité de l’Europe sur le plan mondial et à préserver son modèle d’économie de marché ouverte assortie de normes environnementales et sociales élevées.</w:t>
      </w:r>
    </w:p>
    <w:p w:rsidRPr="00C56235" w:rsidR="008B2FAC" w:rsidP="008B2FAC" w:rsidRDefault="008B2FAC" w14:paraId="314388DF" w14:textId="77777777">
      <w:pPr>
        <w:spacing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83"/>
        <w:gridCol w:w="5670"/>
      </w:tblGrid>
      <w:tr w:rsidRPr="00C56235" w:rsidR="008B2FAC" w:rsidTr="00227409" w14:paraId="4F8B74EF" w14:textId="77777777">
        <w:tc>
          <w:tcPr>
            <w:tcW w:w="1634" w:type="dxa"/>
          </w:tcPr>
          <w:p w:rsidRPr="00C56235" w:rsidR="008B2FAC" w:rsidP="00227409" w:rsidRDefault="008B2FAC" w14:paraId="06E69A6C" w14:textId="77777777">
            <w:pPr>
              <w:spacing w:line="240" w:lineRule="auto"/>
              <w:ind w:left="709"/>
              <w:rPr>
                <w:i/>
              </w:rPr>
            </w:pPr>
            <w:r w:rsidRPr="00C56235">
              <w:rPr>
                <w:b/>
                <w:i/>
              </w:rPr>
              <w:t>Contact</w:t>
            </w:r>
          </w:p>
        </w:tc>
        <w:tc>
          <w:tcPr>
            <w:tcW w:w="5670" w:type="dxa"/>
          </w:tcPr>
          <w:p w:rsidRPr="000C23A1" w:rsidR="008B2FAC" w:rsidP="00227409" w:rsidRDefault="008B2FAC" w14:paraId="57BED8AE" w14:textId="77777777">
            <w:pPr>
              <w:spacing w:line="240" w:lineRule="auto"/>
              <w:ind w:left="709"/>
              <w:rPr>
                <w:i/>
                <w:iCs/>
              </w:rPr>
            </w:pPr>
            <w:proofErr w:type="spellStart"/>
            <w:r w:rsidRPr="000C23A1">
              <w:rPr>
                <w:i/>
                <w:iCs/>
              </w:rPr>
              <w:t>Judit</w:t>
            </w:r>
            <w:proofErr w:type="spellEnd"/>
            <w:r w:rsidRPr="000C23A1">
              <w:rPr>
                <w:i/>
                <w:iCs/>
              </w:rPr>
              <w:t> CARRERAS GARCIA</w:t>
            </w:r>
          </w:p>
        </w:tc>
      </w:tr>
      <w:tr w:rsidRPr="00C56235" w:rsidR="008B2FAC" w:rsidTr="00227409" w14:paraId="6BC1C7D7" w14:textId="77777777">
        <w:tc>
          <w:tcPr>
            <w:tcW w:w="1634" w:type="dxa"/>
          </w:tcPr>
          <w:p w:rsidRPr="00C56235" w:rsidR="008B2FAC" w:rsidP="00227409" w:rsidRDefault="008B2FAC" w14:paraId="3411D9FA" w14:textId="77777777">
            <w:pPr>
              <w:spacing w:line="240" w:lineRule="auto"/>
              <w:ind w:left="709"/>
              <w:rPr>
                <w:i/>
              </w:rPr>
            </w:pPr>
            <w:r w:rsidRPr="00C56235">
              <w:rPr>
                <w:i/>
              </w:rPr>
              <w:t>Tél.</w:t>
            </w:r>
          </w:p>
        </w:tc>
        <w:tc>
          <w:tcPr>
            <w:tcW w:w="5670" w:type="dxa"/>
          </w:tcPr>
          <w:p w:rsidRPr="00C56235" w:rsidR="008B2FAC" w:rsidP="00227409" w:rsidRDefault="008B2FAC" w14:paraId="2BE42DE7" w14:textId="77777777">
            <w:pPr>
              <w:spacing w:line="240" w:lineRule="auto"/>
              <w:ind w:left="709"/>
              <w:rPr>
                <w:i/>
                <w:iCs/>
              </w:rPr>
            </w:pPr>
            <w:r w:rsidRPr="00C56235">
              <w:rPr>
                <w:i/>
              </w:rPr>
              <w:t>+32</w:t>
            </w:r>
            <w:r>
              <w:rPr>
                <w:i/>
              </w:rPr>
              <w:t> </w:t>
            </w:r>
            <w:r w:rsidRPr="00C56235">
              <w:rPr>
                <w:i/>
              </w:rPr>
              <w:t>25468421</w:t>
            </w:r>
          </w:p>
        </w:tc>
      </w:tr>
      <w:tr w:rsidRPr="00C56235" w:rsidR="008B2FAC" w:rsidTr="00227409" w14:paraId="7B7D7721" w14:textId="77777777">
        <w:tc>
          <w:tcPr>
            <w:tcW w:w="1634" w:type="dxa"/>
          </w:tcPr>
          <w:p w:rsidRPr="00C56235" w:rsidR="008B2FAC" w:rsidP="00227409" w:rsidRDefault="008B2FAC" w14:paraId="041C638B" w14:textId="77777777">
            <w:pPr>
              <w:spacing w:line="240" w:lineRule="auto"/>
              <w:ind w:left="709"/>
              <w:rPr>
                <w:i/>
              </w:rPr>
            </w:pPr>
            <w:r w:rsidRPr="00C56235">
              <w:rPr>
                <w:i/>
              </w:rPr>
              <w:t>Courriel</w:t>
            </w:r>
          </w:p>
        </w:tc>
        <w:tc>
          <w:tcPr>
            <w:tcW w:w="5670" w:type="dxa"/>
          </w:tcPr>
          <w:p w:rsidRPr="00C56235" w:rsidR="008B2FAC" w:rsidP="00227409" w:rsidRDefault="00EE33D5" w14:paraId="50237648" w14:textId="77777777">
            <w:pPr>
              <w:spacing w:line="240" w:lineRule="auto"/>
              <w:ind w:left="709"/>
              <w:rPr>
                <w:i/>
                <w:iCs/>
                <w:color w:val="0000FF"/>
                <w:u w:val="single"/>
              </w:rPr>
            </w:pPr>
            <w:hyperlink w:history="1" r:id="rId26">
              <w:r w:rsidRPr="00C56235" w:rsidR="008B2FAC">
                <w:rPr>
                  <w:rStyle w:val="Hyperlink"/>
                  <w:i/>
                </w:rPr>
                <w:t>Judit.CarrerasGarcia@eesc.europa.eu</w:t>
              </w:r>
            </w:hyperlink>
          </w:p>
        </w:tc>
      </w:tr>
    </w:tbl>
    <w:p w:rsidR="00A329C8" w:rsidRDefault="00A329C8" w14:paraId="78CB8038" w14:textId="77777777">
      <w:pPr>
        <w:spacing w:after="160" w:line="259" w:lineRule="auto"/>
        <w:jc w:val="left"/>
        <w:rPr>
          <w:b/>
          <w:bCs/>
        </w:rPr>
      </w:pPr>
      <w:r>
        <w:br w:type="page"/>
      </w:r>
    </w:p>
    <w:p w:rsidRPr="008A4509" w:rsidR="004110CA" w:rsidP="004110CA" w:rsidRDefault="00EE33D5" w14:paraId="77A8927E" w14:textId="421E4345">
      <w:pPr>
        <w:widowControl w:val="0"/>
        <w:numPr>
          <w:ilvl w:val="0"/>
          <w:numId w:val="6"/>
        </w:numPr>
        <w:overflowPunct w:val="0"/>
        <w:autoSpaceDE w:val="0"/>
        <w:autoSpaceDN w:val="0"/>
        <w:adjustRightInd w:val="0"/>
        <w:ind w:left="567" w:hanging="567"/>
        <w:textAlignment w:val="baseline"/>
        <w:rPr>
          <w:b/>
          <w:i/>
          <w:sz w:val="28"/>
        </w:rPr>
      </w:pPr>
      <w:hyperlink w:history="1" r:id="rId27">
        <w:r w:rsidRPr="008A4509" w:rsidR="004110CA">
          <w:rPr>
            <w:rStyle w:val="Hyperlink"/>
            <w:b/>
            <w:i/>
            <w:sz w:val="28"/>
          </w:rPr>
          <w:t>Révision de la législation sur le bien-être animal</w:t>
        </w:r>
      </w:hyperlink>
    </w:p>
    <w:p w:rsidRPr="008A4509" w:rsidR="004110CA" w:rsidP="004110CA" w:rsidRDefault="004110CA" w14:paraId="1908F233" w14:textId="77777777">
      <w:pPr>
        <w:tabs>
          <w:tab w:val="center" w:pos="284"/>
        </w:tabs>
        <w:ind w:left="266" w:hanging="266"/>
      </w:pPr>
    </w:p>
    <w:tbl>
      <w:tblPr>
        <w:tblStyle w:val="TableGrid"/>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84"/>
        <w:gridCol w:w="7796"/>
      </w:tblGrid>
      <w:tr w:rsidRPr="008A4509" w:rsidR="004110CA" w:rsidTr="00227409" w14:paraId="710DFC17" w14:textId="77777777">
        <w:tc>
          <w:tcPr>
            <w:tcW w:w="1384" w:type="dxa"/>
          </w:tcPr>
          <w:p w:rsidRPr="008A4509" w:rsidR="004110CA" w:rsidP="00227409" w:rsidRDefault="004110CA" w14:paraId="07403CE9" w14:textId="77777777">
            <w:pPr>
              <w:tabs>
                <w:tab w:val="center" w:pos="284"/>
              </w:tabs>
              <w:ind w:left="266" w:hanging="266"/>
              <w:rPr>
                <w:b/>
              </w:rPr>
            </w:pPr>
            <w:r w:rsidRPr="008A4509">
              <w:rPr>
                <w:b/>
              </w:rPr>
              <w:t xml:space="preserve">Rapporteur </w:t>
            </w:r>
          </w:p>
        </w:tc>
        <w:tc>
          <w:tcPr>
            <w:tcW w:w="7796" w:type="dxa"/>
          </w:tcPr>
          <w:p w:rsidRPr="008A4509" w:rsidR="004110CA" w:rsidP="00227409" w:rsidRDefault="004110CA" w14:paraId="466D7AD4" w14:textId="77777777">
            <w:pPr>
              <w:tabs>
                <w:tab w:val="center" w:pos="284"/>
              </w:tabs>
              <w:ind w:left="266" w:hanging="266"/>
            </w:pPr>
            <w:r w:rsidRPr="008A4509">
              <w:t>Jaume</w:t>
            </w:r>
            <w:r>
              <w:t> </w:t>
            </w:r>
            <w:r w:rsidRPr="008A4509">
              <w:t>BERNIS</w:t>
            </w:r>
            <w:r>
              <w:t> </w:t>
            </w:r>
            <w:r w:rsidRPr="008A4509">
              <w:t>CASTELLS (groupe des organisations de la société civile — ES)</w:t>
            </w:r>
          </w:p>
        </w:tc>
      </w:tr>
      <w:tr w:rsidRPr="008A4509" w:rsidR="004110CA" w:rsidTr="00227409" w14:paraId="7C3F636B" w14:textId="77777777">
        <w:tc>
          <w:tcPr>
            <w:tcW w:w="9180" w:type="dxa"/>
            <w:gridSpan w:val="2"/>
          </w:tcPr>
          <w:p w:rsidRPr="008A4509" w:rsidR="004110CA" w:rsidP="00227409" w:rsidRDefault="004110CA" w14:paraId="408CFFD5" w14:textId="77777777">
            <w:pPr>
              <w:tabs>
                <w:tab w:val="center" w:pos="284"/>
              </w:tabs>
              <w:spacing w:line="160" w:lineRule="exact"/>
              <w:ind w:left="266" w:hanging="266"/>
            </w:pPr>
          </w:p>
        </w:tc>
      </w:tr>
      <w:tr w:rsidRPr="008A4509" w:rsidR="004110CA" w:rsidTr="00227409" w14:paraId="7FEFB774" w14:textId="77777777">
        <w:tc>
          <w:tcPr>
            <w:tcW w:w="1384" w:type="dxa"/>
          </w:tcPr>
          <w:p w:rsidRPr="008A4509" w:rsidR="004110CA" w:rsidP="00227409" w:rsidRDefault="004110CA" w14:paraId="26D6064B" w14:textId="77777777">
            <w:pPr>
              <w:tabs>
                <w:tab w:val="center" w:pos="284"/>
              </w:tabs>
              <w:ind w:left="266" w:hanging="266"/>
              <w:rPr>
                <w:b/>
              </w:rPr>
            </w:pPr>
            <w:r w:rsidRPr="008A4509">
              <w:rPr>
                <w:b/>
              </w:rPr>
              <w:t>Référence</w:t>
            </w:r>
          </w:p>
        </w:tc>
        <w:tc>
          <w:tcPr>
            <w:tcW w:w="7796" w:type="dxa"/>
          </w:tcPr>
          <w:p w:rsidR="00693BDB" w:rsidP="00693BDB" w:rsidRDefault="00693BDB" w14:paraId="2F988E0F" w14:textId="688C2A8C">
            <w:pPr>
              <w:tabs>
                <w:tab w:val="center" w:pos="284"/>
              </w:tabs>
              <w:overflowPunct w:val="0"/>
              <w:autoSpaceDE w:val="0"/>
              <w:autoSpaceDN w:val="0"/>
              <w:adjustRightInd w:val="0"/>
              <w:ind w:left="266" w:hanging="266"/>
              <w:textAlignment w:val="baseline"/>
            </w:pPr>
            <w:r w:rsidRPr="00D704BD">
              <w:t>COM(2023)</w:t>
            </w:r>
            <w:r w:rsidR="000C23A1">
              <w:t> </w:t>
            </w:r>
            <w:r w:rsidRPr="00D704BD">
              <w:t>770</w:t>
            </w:r>
            <w:r w:rsidR="006504B7">
              <w:t> </w:t>
            </w:r>
            <w:r w:rsidRPr="00D704BD">
              <w:t>final</w:t>
            </w:r>
          </w:p>
          <w:p w:rsidRPr="008A4509" w:rsidR="004110CA" w:rsidP="00227409" w:rsidRDefault="004110CA" w14:paraId="7BBC3FFD" w14:textId="423969B1">
            <w:pPr>
              <w:tabs>
                <w:tab w:val="center" w:pos="284"/>
              </w:tabs>
              <w:ind w:left="266" w:hanging="266"/>
            </w:pPr>
            <w:r w:rsidRPr="008A4509">
              <w:t>EESC-2023-05464-00-00-AC</w:t>
            </w:r>
          </w:p>
        </w:tc>
      </w:tr>
    </w:tbl>
    <w:p w:rsidRPr="008A4509" w:rsidR="004110CA" w:rsidP="004110CA" w:rsidRDefault="004110CA" w14:paraId="2A5DE8BC" w14:textId="77777777">
      <w:pPr>
        <w:keepNext/>
        <w:keepLines/>
        <w:tabs>
          <w:tab w:val="center" w:pos="284"/>
        </w:tabs>
        <w:ind w:left="266" w:hanging="266"/>
        <w:rPr>
          <w:b/>
        </w:rPr>
      </w:pPr>
    </w:p>
    <w:p w:rsidRPr="008A4509" w:rsidR="004110CA" w:rsidP="004110CA" w:rsidRDefault="004110CA" w14:paraId="6FB6370E" w14:textId="77777777">
      <w:pPr>
        <w:keepNext/>
        <w:keepLines/>
        <w:tabs>
          <w:tab w:val="center" w:pos="284"/>
        </w:tabs>
        <w:ind w:left="266" w:hanging="266"/>
        <w:rPr>
          <w:b/>
        </w:rPr>
      </w:pPr>
      <w:r w:rsidRPr="008A4509">
        <w:rPr>
          <w:b/>
        </w:rPr>
        <w:t>Points clés</w:t>
      </w:r>
    </w:p>
    <w:p w:rsidRPr="008A4509" w:rsidR="004110CA" w:rsidP="004110CA" w:rsidRDefault="004110CA" w14:paraId="3C6B0E38" w14:textId="77777777">
      <w:pPr>
        <w:keepNext/>
        <w:keepLines/>
        <w:tabs>
          <w:tab w:val="center" w:pos="284"/>
        </w:tabs>
        <w:ind w:left="266" w:hanging="266"/>
      </w:pPr>
    </w:p>
    <w:p w:rsidR="004110CA" w:rsidP="004110CA" w:rsidRDefault="004110CA" w14:paraId="720D572D" w14:textId="3956C133">
      <w:pPr>
        <w:keepNext/>
        <w:keepLines/>
        <w:tabs>
          <w:tab w:val="center" w:pos="284"/>
        </w:tabs>
        <w:ind w:left="266" w:hanging="266"/>
      </w:pPr>
      <w:r w:rsidRPr="008A4509">
        <w:t>Le CESE:</w:t>
      </w:r>
    </w:p>
    <w:p w:rsidRPr="008A4509" w:rsidR="00693BDB" w:rsidP="004110CA" w:rsidRDefault="00693BDB" w14:paraId="503E9B24" w14:textId="77777777">
      <w:pPr>
        <w:keepNext/>
        <w:keepLines/>
        <w:tabs>
          <w:tab w:val="center" w:pos="284"/>
        </w:tabs>
        <w:ind w:left="266" w:hanging="266"/>
      </w:pPr>
    </w:p>
    <w:p w:rsidRPr="008A4509" w:rsidR="004110CA" w:rsidP="004110CA" w:rsidRDefault="004110CA" w14:paraId="04D65B94" w14:textId="77777777">
      <w:pPr>
        <w:pStyle w:val="Heading2"/>
        <w:numPr>
          <w:ilvl w:val="0"/>
          <w:numId w:val="6"/>
        </w:numPr>
        <w:ind w:left="360" w:hanging="360"/>
      </w:pPr>
      <w:r w:rsidRPr="008A4509">
        <w:t>suggère que pour la mise en œuvre et l’harmonisation des réglementations, la Commission tienne compte des connaissances pratiques des éleveurs, des transporteurs et des vétérinaires;</w:t>
      </w:r>
    </w:p>
    <w:p w:rsidRPr="008A4509" w:rsidR="004110CA" w:rsidP="004110CA" w:rsidRDefault="004110CA" w14:paraId="2E83E48E" w14:textId="77777777">
      <w:pPr>
        <w:pStyle w:val="Heading2"/>
        <w:numPr>
          <w:ilvl w:val="0"/>
          <w:numId w:val="6"/>
        </w:numPr>
        <w:ind w:left="360" w:hanging="360"/>
      </w:pPr>
      <w:r w:rsidRPr="008A4509">
        <w:t xml:space="preserve">est d’avis que </w:t>
      </w:r>
      <w:r w:rsidRPr="008A4509">
        <w:rPr>
          <w:b/>
          <w:bCs/>
        </w:rPr>
        <w:t>faute de pouvoir être adaptée</w:t>
      </w:r>
      <w:r w:rsidRPr="008A4509">
        <w:t xml:space="preserve"> aux réalités propres à chacun des 27 États membres,</w:t>
      </w:r>
      <w:r w:rsidRPr="008A4509">
        <w:rPr>
          <w:b/>
          <w:bCs/>
        </w:rPr>
        <w:t xml:space="preserve"> la réglementation risque de donner lieu à des situations asymétriques</w:t>
      </w:r>
      <w:r w:rsidRPr="008A4509">
        <w:t>;</w:t>
      </w:r>
    </w:p>
    <w:p w:rsidRPr="008A4509" w:rsidR="004110CA" w:rsidP="004110CA" w:rsidRDefault="004110CA" w14:paraId="14E3E060" w14:textId="77777777">
      <w:pPr>
        <w:pStyle w:val="Heading2"/>
        <w:numPr>
          <w:ilvl w:val="0"/>
          <w:numId w:val="6"/>
        </w:numPr>
        <w:ind w:left="360" w:hanging="360"/>
      </w:pPr>
      <w:r w:rsidRPr="008A4509">
        <w:t xml:space="preserve">appelle la Commission à </w:t>
      </w:r>
      <w:r w:rsidRPr="008A4509">
        <w:rPr>
          <w:b/>
          <w:bCs/>
        </w:rPr>
        <w:t>faire en sorte que les coûts liés à la mise en œuvre</w:t>
      </w:r>
      <w:r w:rsidRPr="008A4509">
        <w:t xml:space="preserve"> de cette nouvelle législation </w:t>
      </w:r>
      <w:r w:rsidRPr="008A4509">
        <w:rPr>
          <w:b/>
          <w:bCs/>
        </w:rPr>
        <w:t>ne soient pas à la charge des acteurs</w:t>
      </w:r>
      <w:r w:rsidRPr="008A4509">
        <w:t xml:space="preserve"> du secteur;</w:t>
      </w:r>
    </w:p>
    <w:p w:rsidRPr="008A4509" w:rsidR="004110CA" w:rsidP="004110CA" w:rsidRDefault="004110CA" w14:paraId="05236C9D" w14:textId="77777777">
      <w:pPr>
        <w:pStyle w:val="Heading2"/>
        <w:numPr>
          <w:ilvl w:val="0"/>
          <w:numId w:val="6"/>
        </w:numPr>
        <w:ind w:left="360" w:hanging="360"/>
      </w:pPr>
      <w:r w:rsidRPr="008A4509">
        <w:t xml:space="preserve">signale que les </w:t>
      </w:r>
      <w:r w:rsidRPr="008A4509">
        <w:rPr>
          <w:b/>
          <w:bCs/>
        </w:rPr>
        <w:t>dispositions</w:t>
      </w:r>
      <w:r w:rsidRPr="008A4509">
        <w:t xml:space="preserve"> prévues dans la proposition de règlement </w:t>
      </w:r>
      <w:r w:rsidRPr="008A4509">
        <w:rPr>
          <w:b/>
          <w:bCs/>
        </w:rPr>
        <w:t>obligent les opérateurs à travailler en équipes de nuit</w:t>
      </w:r>
      <w:r w:rsidRPr="008A4509">
        <w:t>, en particulier dans le cas des éleveurs, des chauffeurs et des vétérinaires;</w:t>
      </w:r>
    </w:p>
    <w:p w:rsidRPr="008A4509" w:rsidR="004110CA" w:rsidP="004110CA" w:rsidRDefault="004110CA" w14:paraId="3B0A7D2E" w14:textId="77777777">
      <w:pPr>
        <w:pStyle w:val="Heading2"/>
        <w:numPr>
          <w:ilvl w:val="0"/>
          <w:numId w:val="6"/>
        </w:numPr>
        <w:ind w:left="360" w:hanging="360"/>
      </w:pPr>
      <w:r w:rsidRPr="008A4509">
        <w:t xml:space="preserve">invite la Commission à </w:t>
      </w:r>
      <w:r w:rsidRPr="008A4509">
        <w:rPr>
          <w:b/>
        </w:rPr>
        <w:t>examiner l’incidence que cette proposition aura sur les chaînes d’approvisionnement</w:t>
      </w:r>
      <w:r w:rsidRPr="008A4509">
        <w:t xml:space="preserve"> qui se sont structurées et déployées au fil du temps sur la base des limitations de durée en vigueur;</w:t>
      </w:r>
    </w:p>
    <w:p w:rsidRPr="008A4509" w:rsidR="004110CA" w:rsidP="004110CA" w:rsidRDefault="004110CA" w14:paraId="1C7125C1" w14:textId="77777777">
      <w:pPr>
        <w:pStyle w:val="Heading2"/>
        <w:numPr>
          <w:ilvl w:val="0"/>
          <w:numId w:val="6"/>
        </w:numPr>
        <w:ind w:left="360" w:hanging="360"/>
      </w:pPr>
      <w:r w:rsidRPr="008A4509">
        <w:t>met en garde contre les conséquences découlant des restrictions qui, sous la forme d’une limitation des trajets à un maximum de neuf heures, seraient apportées au transport terrestre d’animaux destinés à être abattus;</w:t>
      </w:r>
    </w:p>
    <w:p w:rsidRPr="008A4509" w:rsidR="004110CA" w:rsidP="004110CA" w:rsidRDefault="004110CA" w14:paraId="3BC22100" w14:textId="77777777">
      <w:pPr>
        <w:pStyle w:val="Heading2"/>
        <w:numPr>
          <w:ilvl w:val="0"/>
          <w:numId w:val="6"/>
        </w:numPr>
        <w:ind w:left="360" w:hanging="360"/>
      </w:pPr>
      <w:r w:rsidRPr="008A4509">
        <w:t xml:space="preserve">fait valoir que les nouvelles </w:t>
      </w:r>
      <w:r w:rsidRPr="008A4509">
        <w:rPr>
          <w:b/>
          <w:bCs/>
        </w:rPr>
        <w:t>spécifications techniques proposées</w:t>
      </w:r>
      <w:r w:rsidRPr="008A4509">
        <w:t xml:space="preserve"> en matière d’aptitude au transport des animaux terrestres </w:t>
      </w:r>
      <w:r w:rsidRPr="008A4509">
        <w:rPr>
          <w:b/>
          <w:bCs/>
        </w:rPr>
        <w:t>risquent d’entraîner la fermeture de nombreuses exploitations d’élevage</w:t>
      </w:r>
      <w:r w:rsidRPr="008A4509">
        <w:t>;</w:t>
      </w:r>
    </w:p>
    <w:p w:rsidRPr="008A4509" w:rsidR="004110CA" w:rsidP="004110CA" w:rsidRDefault="004110CA" w14:paraId="2178C635" w14:textId="77777777">
      <w:pPr>
        <w:pStyle w:val="Heading2"/>
        <w:numPr>
          <w:ilvl w:val="0"/>
          <w:numId w:val="6"/>
        </w:numPr>
        <w:ind w:left="360" w:hanging="360"/>
      </w:pPr>
      <w:r w:rsidRPr="008A4509">
        <w:t>estime qu’</w:t>
      </w:r>
      <w:r w:rsidRPr="008A4509">
        <w:rPr>
          <w:b/>
          <w:bCs/>
        </w:rPr>
        <w:t>interdire le transport de longue durée par route pour les jeunes animaux non sevrés</w:t>
      </w:r>
      <w:r w:rsidRPr="008A4509">
        <w:t xml:space="preserve">, tels que veaux, agneaux, chevreaux, porcelets et poulains, </w:t>
      </w:r>
      <w:r w:rsidRPr="008A4509">
        <w:rPr>
          <w:b/>
          <w:bCs/>
        </w:rPr>
        <w:t>exerce une incidence significative sur l’importation de races animales</w:t>
      </w:r>
      <w:r w:rsidRPr="008A4509">
        <w:t xml:space="preserve"> en provenance d’autres États membres de l’Union européenne;</w:t>
      </w:r>
    </w:p>
    <w:p w:rsidRPr="008A4509" w:rsidR="004110CA" w:rsidP="004110CA" w:rsidRDefault="004110CA" w14:paraId="3158A47D" w14:textId="77777777">
      <w:pPr>
        <w:pStyle w:val="Heading2"/>
        <w:numPr>
          <w:ilvl w:val="0"/>
          <w:numId w:val="6"/>
        </w:numPr>
        <w:ind w:left="360" w:hanging="360"/>
      </w:pPr>
      <w:r w:rsidRPr="008A4509">
        <w:t xml:space="preserve">exhorte la Commission à </w:t>
      </w:r>
      <w:r w:rsidRPr="008A4509">
        <w:rPr>
          <w:b/>
          <w:bCs/>
        </w:rPr>
        <w:t>prendre en compte les spécificités climatiques</w:t>
      </w:r>
      <w:r w:rsidRPr="008A4509">
        <w:t xml:space="preserve"> de chaque État membre dans les dispositions de l’article 31 de la proposition;</w:t>
      </w:r>
    </w:p>
    <w:p w:rsidRPr="008A4509" w:rsidR="004110CA" w:rsidP="004110CA" w:rsidRDefault="004110CA" w14:paraId="30AB22F5" w14:textId="77777777">
      <w:pPr>
        <w:pStyle w:val="Heading2"/>
        <w:numPr>
          <w:ilvl w:val="0"/>
          <w:numId w:val="6"/>
        </w:numPr>
        <w:ind w:left="360" w:hanging="360"/>
      </w:pPr>
      <w:r w:rsidRPr="008A4509">
        <w:t xml:space="preserve">soutient qu’il est essentiel de </w:t>
      </w:r>
      <w:r w:rsidRPr="008A4509">
        <w:rPr>
          <w:b/>
          <w:bCs/>
        </w:rPr>
        <w:t>promouvoir les circuits courts de commercialisation</w:t>
      </w:r>
      <w:r w:rsidRPr="008A4509">
        <w:t>, car dès lors qu’ils diminuent la distance entre les lieux d’élevage, d’engraissement et d’abattage, ils offrent une solution efficace pour qu’il soit moins nécessaire d’effectuer des transports de longue durée;</w:t>
      </w:r>
    </w:p>
    <w:p w:rsidRPr="008A4509" w:rsidR="004110CA" w:rsidP="004110CA" w:rsidRDefault="004110CA" w14:paraId="3068D8C9" w14:textId="77777777">
      <w:pPr>
        <w:pStyle w:val="Heading2"/>
        <w:numPr>
          <w:ilvl w:val="0"/>
          <w:numId w:val="6"/>
        </w:numPr>
        <w:ind w:left="360" w:hanging="360"/>
      </w:pPr>
      <w:r w:rsidRPr="008A4509">
        <w:t xml:space="preserve">encourage les initiatives qui font jouer des leviers sanitaires, économiques et juridiques afin de </w:t>
      </w:r>
      <w:r w:rsidRPr="008A4509">
        <w:rPr>
          <w:b/>
          <w:bCs/>
        </w:rPr>
        <w:t>préserver les abattoirs locaux et</w:t>
      </w:r>
      <w:r w:rsidRPr="008A4509">
        <w:t xml:space="preserve"> de </w:t>
      </w:r>
      <w:r w:rsidRPr="008A4509">
        <w:rPr>
          <w:b/>
          <w:bCs/>
        </w:rPr>
        <w:t>favoriser l’abattage à la ferme</w:t>
      </w:r>
      <w:r w:rsidRPr="008A4509">
        <w:t xml:space="preserve"> quand cette démarche est adaptée à la taille de l’exploitation et au contexte local.</w:t>
      </w:r>
    </w:p>
    <w:p w:rsidRPr="008A4509" w:rsidR="004110CA" w:rsidP="004110CA" w:rsidRDefault="004110CA" w14:paraId="4151714F" w14:textId="77777777">
      <w:pPr>
        <w:widowControl w:val="0"/>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8A4509" w:rsidR="004110CA" w:rsidTr="00227409" w14:paraId="260E3131" w14:textId="77777777">
        <w:tc>
          <w:tcPr>
            <w:tcW w:w="2127" w:type="dxa"/>
          </w:tcPr>
          <w:p w:rsidRPr="008A4509" w:rsidR="004110CA" w:rsidP="00227409" w:rsidRDefault="004110CA" w14:paraId="6C74B8D1" w14:textId="77777777">
            <w:pPr>
              <w:spacing w:line="240" w:lineRule="auto"/>
              <w:rPr>
                <w:i/>
              </w:rPr>
            </w:pPr>
            <w:r w:rsidRPr="008A4509">
              <w:rPr>
                <w:b/>
                <w:i/>
              </w:rPr>
              <w:t>Contact</w:t>
            </w:r>
          </w:p>
        </w:tc>
        <w:tc>
          <w:tcPr>
            <w:tcW w:w="4252" w:type="dxa"/>
          </w:tcPr>
          <w:p w:rsidRPr="008A4509" w:rsidR="004110CA" w:rsidP="00227409" w:rsidRDefault="004110CA" w14:paraId="54E310F4" w14:textId="77777777">
            <w:pPr>
              <w:spacing w:line="240" w:lineRule="auto"/>
              <w:rPr>
                <w:i/>
              </w:rPr>
            </w:pPr>
            <w:r w:rsidRPr="008A4509">
              <w:rPr>
                <w:i/>
              </w:rPr>
              <w:t>Arturo ÍÑIGUEZ</w:t>
            </w:r>
          </w:p>
        </w:tc>
      </w:tr>
      <w:tr w:rsidRPr="008A4509" w:rsidR="004110CA" w:rsidTr="00227409" w14:paraId="108E9EDD" w14:textId="77777777">
        <w:tc>
          <w:tcPr>
            <w:tcW w:w="2127" w:type="dxa"/>
          </w:tcPr>
          <w:p w:rsidRPr="008A4509" w:rsidR="004110CA" w:rsidP="00227409" w:rsidRDefault="004110CA" w14:paraId="0981E265" w14:textId="77777777">
            <w:pPr>
              <w:spacing w:line="240" w:lineRule="auto"/>
              <w:rPr>
                <w:i/>
              </w:rPr>
            </w:pPr>
            <w:r w:rsidRPr="008A4509">
              <w:rPr>
                <w:i/>
              </w:rPr>
              <w:t>Tél.</w:t>
            </w:r>
          </w:p>
        </w:tc>
        <w:tc>
          <w:tcPr>
            <w:tcW w:w="4252" w:type="dxa"/>
          </w:tcPr>
          <w:p w:rsidRPr="008A4509" w:rsidR="004110CA" w:rsidP="00227409" w:rsidRDefault="004110CA" w14:paraId="56D6FC01" w14:textId="77777777">
            <w:pPr>
              <w:spacing w:line="240" w:lineRule="auto"/>
              <w:rPr>
                <w:i/>
              </w:rPr>
            </w:pPr>
            <w:r w:rsidRPr="008A4509">
              <w:rPr>
                <w:i/>
              </w:rPr>
              <w:t>+32 25468768</w:t>
            </w:r>
          </w:p>
        </w:tc>
      </w:tr>
      <w:tr w:rsidRPr="008A4509" w:rsidR="004110CA" w:rsidTr="00227409" w14:paraId="3A949B1B" w14:textId="77777777">
        <w:tc>
          <w:tcPr>
            <w:tcW w:w="2127" w:type="dxa"/>
          </w:tcPr>
          <w:p w:rsidRPr="008A4509" w:rsidR="004110CA" w:rsidP="00227409" w:rsidRDefault="004110CA" w14:paraId="4A71385C" w14:textId="77777777">
            <w:pPr>
              <w:spacing w:line="240" w:lineRule="auto"/>
              <w:rPr>
                <w:i/>
              </w:rPr>
            </w:pPr>
            <w:r w:rsidRPr="008A4509">
              <w:rPr>
                <w:i/>
              </w:rPr>
              <w:t>Courriel</w:t>
            </w:r>
          </w:p>
        </w:tc>
        <w:tc>
          <w:tcPr>
            <w:tcW w:w="4252" w:type="dxa"/>
          </w:tcPr>
          <w:p w:rsidRPr="008A4509" w:rsidR="004110CA" w:rsidP="00227409" w:rsidRDefault="00EE33D5" w14:paraId="748C0479" w14:textId="77777777">
            <w:pPr>
              <w:spacing w:line="240" w:lineRule="auto"/>
              <w:rPr>
                <w:i/>
                <w:iCs/>
              </w:rPr>
            </w:pPr>
            <w:hyperlink w:history="1" r:id="rId28">
              <w:r w:rsidRPr="008A4509" w:rsidR="004110CA">
                <w:rPr>
                  <w:rStyle w:val="Hyperlink"/>
                  <w:i/>
                </w:rPr>
                <w:t>Arturo.Iniguez@eesc.europa.eu</w:t>
              </w:r>
            </w:hyperlink>
          </w:p>
        </w:tc>
      </w:tr>
    </w:tbl>
    <w:p w:rsidR="00895853" w:rsidP="00770F41" w:rsidRDefault="00895853" w14:paraId="1C46B2C3" w14:textId="7E834008">
      <w:pPr>
        <w:pStyle w:val="Heading1"/>
        <w:tabs>
          <w:tab w:val="clear" w:pos="440"/>
          <w:tab w:val="left" w:pos="567"/>
        </w:tabs>
        <w:ind w:left="567" w:hanging="567"/>
        <w:rPr>
          <w:b/>
          <w:bCs/>
        </w:rPr>
      </w:pPr>
      <w:bookmarkStart w:name="_Toc166847138" w:id="4"/>
      <w:bookmarkStart w:name="_Toc169703127" w:id="5"/>
      <w:bookmarkEnd w:id="4"/>
      <w:r>
        <w:rPr>
          <w:b/>
        </w:rPr>
        <w:lastRenderedPageBreak/>
        <w:t>TRANSPORTS, ÉNERGIE, INFRASTRUCTURES ET SOCIÉTÉ DE L’INFORMATION</w:t>
      </w:r>
      <w:bookmarkEnd w:id="5"/>
    </w:p>
    <w:p w:rsidR="005C28F2" w:rsidP="00895853" w:rsidRDefault="005C28F2" w14:paraId="089CB383" w14:textId="77777777"/>
    <w:p w:rsidR="00EC48BE" w:rsidP="00895853" w:rsidRDefault="00EC48BE" w14:paraId="2F9D2873" w14:textId="2ADBE64F"/>
    <w:p w:rsidRPr="0003586F" w:rsidR="004110CA" w:rsidP="004110CA" w:rsidRDefault="00EE33D5" w14:paraId="221F3C3A" w14:textId="391CADFC">
      <w:pPr>
        <w:widowControl w:val="0"/>
        <w:numPr>
          <w:ilvl w:val="0"/>
          <w:numId w:val="30"/>
        </w:numPr>
        <w:overflowPunct w:val="0"/>
        <w:autoSpaceDE w:val="0"/>
        <w:autoSpaceDN w:val="0"/>
        <w:adjustRightInd w:val="0"/>
        <w:ind w:hanging="567"/>
        <w:textAlignment w:val="baseline"/>
        <w:rPr>
          <w:sz w:val="20"/>
        </w:rPr>
      </w:pPr>
      <w:hyperlink w:history="1" r:id="rId29">
        <w:r w:rsidR="004110CA">
          <w:rPr>
            <w:rStyle w:val="Hyperlink"/>
            <w:b/>
            <w:i/>
            <w:sz w:val="28"/>
          </w:rPr>
          <w:t>Plan européen pour vaincre le cancer: vers un approvisionnement sûr en radio-isotopes à usage médical</w:t>
        </w:r>
      </w:hyperlink>
    </w:p>
    <w:p w:rsidRPr="00A6689B" w:rsidR="004110CA" w:rsidP="004110CA" w:rsidRDefault="004110CA" w14:paraId="235636D8" w14:textId="77777777">
      <w:pPr>
        <w:tabs>
          <w:tab w:val="center" w:pos="284"/>
        </w:tabs>
        <w:ind w:left="266" w:hanging="266"/>
        <w:rPr>
          <w:b/>
        </w:rPr>
      </w:pPr>
    </w:p>
    <w:tbl>
      <w:tblPr>
        <w:tblStyle w:val="TableGrid"/>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287"/>
      </w:tblGrid>
      <w:tr w:rsidRPr="00A6689B" w:rsidR="004110CA" w:rsidTr="00227409" w14:paraId="0537DF5F" w14:textId="77777777">
        <w:tc>
          <w:tcPr>
            <w:tcW w:w="1591" w:type="pct"/>
          </w:tcPr>
          <w:p w:rsidRPr="00A6689B" w:rsidR="004110CA" w:rsidP="00227409" w:rsidRDefault="004110CA" w14:paraId="3D82B1AB" w14:textId="77777777">
            <w:pPr>
              <w:tabs>
                <w:tab w:val="center" w:pos="284"/>
              </w:tabs>
              <w:ind w:left="266" w:right="318" w:hanging="266"/>
              <w:rPr>
                <w:b/>
              </w:rPr>
            </w:pPr>
            <w:proofErr w:type="spellStart"/>
            <w:r>
              <w:rPr>
                <w:b/>
              </w:rPr>
              <w:t>Rapporteure</w:t>
            </w:r>
            <w:proofErr w:type="spellEnd"/>
          </w:p>
        </w:tc>
        <w:tc>
          <w:tcPr>
            <w:tcW w:w="3409" w:type="pct"/>
          </w:tcPr>
          <w:p w:rsidRPr="00A6689B" w:rsidR="004110CA" w:rsidP="00227409" w:rsidRDefault="004110CA" w14:paraId="59E6C59C" w14:textId="77777777">
            <w:pPr>
              <w:tabs>
                <w:tab w:val="center" w:pos="284"/>
              </w:tabs>
              <w:ind w:left="266" w:hanging="266"/>
            </w:pPr>
            <w:r>
              <w:t>Alena MASTANTUONO (CZ-I)</w:t>
            </w:r>
          </w:p>
        </w:tc>
      </w:tr>
      <w:tr w:rsidRPr="00A6689B" w:rsidR="004110CA" w:rsidTr="00227409" w14:paraId="523A92E4" w14:textId="77777777">
        <w:tc>
          <w:tcPr>
            <w:tcW w:w="1591" w:type="pct"/>
          </w:tcPr>
          <w:p w:rsidRPr="00A6689B" w:rsidR="004110CA" w:rsidP="00227409" w:rsidRDefault="004110CA" w14:paraId="4B80EFFD" w14:textId="77777777">
            <w:pPr>
              <w:tabs>
                <w:tab w:val="center" w:pos="284"/>
              </w:tabs>
              <w:ind w:left="266" w:hanging="266"/>
              <w:rPr>
                <w:b/>
              </w:rPr>
            </w:pPr>
            <w:r>
              <w:rPr>
                <w:b/>
              </w:rPr>
              <w:t>Corapporteur</w:t>
            </w:r>
          </w:p>
        </w:tc>
        <w:tc>
          <w:tcPr>
            <w:tcW w:w="3409" w:type="pct"/>
          </w:tcPr>
          <w:p w:rsidRPr="00A6689B" w:rsidR="004110CA" w:rsidP="00227409" w:rsidRDefault="004110CA" w14:paraId="2C83AAC2" w14:textId="77777777">
            <w:pPr>
              <w:tabs>
                <w:tab w:val="center" w:pos="284"/>
              </w:tabs>
              <w:ind w:left="266" w:hanging="266"/>
            </w:pPr>
            <w:r>
              <w:t>Philippe CHARRY (FR-II)</w:t>
            </w:r>
          </w:p>
        </w:tc>
      </w:tr>
      <w:tr w:rsidRPr="00A6689B" w:rsidR="004110CA" w:rsidTr="00227409" w14:paraId="335CD37D" w14:textId="77777777">
        <w:tc>
          <w:tcPr>
            <w:tcW w:w="5000" w:type="pct"/>
            <w:gridSpan w:val="2"/>
          </w:tcPr>
          <w:p w:rsidRPr="00A6689B" w:rsidR="004110CA" w:rsidP="00227409" w:rsidRDefault="004110CA" w14:paraId="2C221A6F" w14:textId="77777777">
            <w:pPr>
              <w:tabs>
                <w:tab w:val="center" w:pos="284"/>
              </w:tabs>
              <w:spacing w:line="160" w:lineRule="exact"/>
              <w:ind w:left="266" w:hanging="266"/>
              <w:rPr>
                <w:lang w:val="en-US"/>
              </w:rPr>
            </w:pPr>
          </w:p>
        </w:tc>
      </w:tr>
      <w:tr w:rsidRPr="00A6689B" w:rsidR="004110CA" w:rsidTr="00227409" w14:paraId="1F8D2A3D" w14:textId="77777777">
        <w:tc>
          <w:tcPr>
            <w:tcW w:w="1591" w:type="pct"/>
            <w:vMerge w:val="restart"/>
          </w:tcPr>
          <w:p w:rsidRPr="00A6689B" w:rsidR="004110CA" w:rsidP="00227409" w:rsidRDefault="004110CA" w14:paraId="0B2A40F9" w14:textId="77777777">
            <w:pPr>
              <w:tabs>
                <w:tab w:val="center" w:pos="284"/>
              </w:tabs>
              <w:ind w:left="266" w:hanging="266"/>
              <w:rPr>
                <w:b/>
              </w:rPr>
            </w:pPr>
            <w:r>
              <w:rPr>
                <w:b/>
              </w:rPr>
              <w:t>Références</w:t>
            </w:r>
          </w:p>
        </w:tc>
        <w:tc>
          <w:tcPr>
            <w:tcW w:w="3409" w:type="pct"/>
          </w:tcPr>
          <w:p w:rsidRPr="00A6689B" w:rsidR="004110CA" w:rsidP="00227409" w:rsidRDefault="004110CA" w14:paraId="6F0B4CC6" w14:textId="77777777">
            <w:pPr>
              <w:tabs>
                <w:tab w:val="center" w:pos="284"/>
              </w:tabs>
              <w:ind w:left="266" w:hanging="266"/>
            </w:pPr>
            <w:r>
              <w:t>EESC-2024-00265-00-00-AC</w:t>
            </w:r>
          </w:p>
        </w:tc>
      </w:tr>
      <w:tr w:rsidRPr="00A6689B" w:rsidR="004110CA" w:rsidTr="00227409" w14:paraId="3C5F335C" w14:textId="77777777">
        <w:tc>
          <w:tcPr>
            <w:tcW w:w="1591" w:type="pct"/>
            <w:vMerge/>
          </w:tcPr>
          <w:p w:rsidRPr="00A6689B" w:rsidR="004110CA" w:rsidP="00227409" w:rsidRDefault="004110CA" w14:paraId="059A25A1" w14:textId="77777777">
            <w:pPr>
              <w:tabs>
                <w:tab w:val="center" w:pos="284"/>
              </w:tabs>
              <w:ind w:left="266" w:hanging="266"/>
              <w:rPr>
                <w:b/>
                <w:lang w:val="en-US"/>
              </w:rPr>
            </w:pPr>
          </w:p>
        </w:tc>
        <w:tc>
          <w:tcPr>
            <w:tcW w:w="3409" w:type="pct"/>
          </w:tcPr>
          <w:p w:rsidRPr="00A6689B" w:rsidR="004110CA" w:rsidP="00227409" w:rsidRDefault="004110CA" w14:paraId="05A23F33" w14:textId="77777777">
            <w:pPr>
              <w:tabs>
                <w:tab w:val="center" w:pos="284"/>
              </w:tabs>
              <w:ind w:left="266" w:hanging="266"/>
              <w:rPr>
                <w:lang w:val="en-US"/>
              </w:rPr>
            </w:pPr>
          </w:p>
        </w:tc>
      </w:tr>
    </w:tbl>
    <w:p w:rsidRPr="00A6689B" w:rsidR="004110CA" w:rsidP="004110CA" w:rsidRDefault="004110CA" w14:paraId="2B42343A" w14:textId="77777777">
      <w:pPr>
        <w:tabs>
          <w:tab w:val="center" w:pos="284"/>
        </w:tabs>
        <w:ind w:left="266" w:hanging="266"/>
      </w:pPr>
    </w:p>
    <w:p w:rsidRPr="00A6689B" w:rsidR="004110CA" w:rsidP="004110CA" w:rsidRDefault="004110CA" w14:paraId="25DA6CD0" w14:textId="77777777">
      <w:pPr>
        <w:keepNext/>
        <w:keepLines/>
        <w:tabs>
          <w:tab w:val="center" w:pos="284"/>
        </w:tabs>
        <w:ind w:left="266" w:hanging="266"/>
        <w:rPr>
          <w:b/>
        </w:rPr>
      </w:pPr>
      <w:r>
        <w:rPr>
          <w:b/>
        </w:rPr>
        <w:t>Points clés</w:t>
      </w:r>
    </w:p>
    <w:p w:rsidRPr="00A6689B" w:rsidR="004110CA" w:rsidP="004110CA" w:rsidRDefault="004110CA" w14:paraId="478D35F0" w14:textId="77777777">
      <w:pPr>
        <w:keepNext/>
        <w:keepLines/>
        <w:tabs>
          <w:tab w:val="center" w:pos="284"/>
        </w:tabs>
        <w:ind w:left="266" w:hanging="266"/>
        <w:rPr>
          <w:b/>
        </w:rPr>
      </w:pPr>
    </w:p>
    <w:p w:rsidRPr="00A6689B" w:rsidR="004110CA" w:rsidP="004110CA" w:rsidRDefault="004110CA" w14:paraId="0F5B11E1" w14:textId="1C4B7AA9">
      <w:pPr>
        <w:rPr>
          <w:bCs/>
          <w:iCs/>
        </w:rPr>
      </w:pPr>
      <w:r>
        <w:t>Le CESE</w:t>
      </w:r>
      <w:r w:rsidR="00693BDB">
        <w:t>:</w:t>
      </w:r>
    </w:p>
    <w:p w:rsidRPr="00A6689B" w:rsidR="004110CA" w:rsidP="004110CA" w:rsidRDefault="004110CA" w14:paraId="33C9A879" w14:textId="77777777">
      <w:pPr>
        <w:rPr>
          <w:bCs/>
          <w:iCs/>
        </w:rPr>
      </w:pPr>
    </w:p>
    <w:p w:rsidRPr="00A6689B" w:rsidR="004110CA" w:rsidP="004110CA" w:rsidRDefault="004110CA" w14:paraId="5A510B96" w14:textId="77777777">
      <w:pPr>
        <w:widowControl w:val="0"/>
        <w:numPr>
          <w:ilvl w:val="0"/>
          <w:numId w:val="30"/>
        </w:numPr>
        <w:overflowPunct w:val="0"/>
        <w:autoSpaceDE w:val="0"/>
        <w:autoSpaceDN w:val="0"/>
        <w:adjustRightInd w:val="0"/>
        <w:ind w:left="709" w:hanging="425"/>
        <w:textAlignment w:val="baseline"/>
        <w:rPr>
          <w:bCs/>
          <w:iCs/>
        </w:rPr>
      </w:pPr>
      <w:r>
        <w:t>souligne que la médecine nucléaire sauve des millions de vies et représente un grand espoir pour la lutte contre le cancer. Il insiste sur la nécessité de répondre aux besoins des patients en Europe et de garantir à tous les patients un accès égal aux traitements contre le cancer;</w:t>
      </w:r>
    </w:p>
    <w:p w:rsidRPr="00A6689B" w:rsidR="004110CA" w:rsidP="004110CA" w:rsidRDefault="004110CA" w14:paraId="72366D54" w14:textId="77777777">
      <w:pPr>
        <w:widowControl w:val="0"/>
        <w:numPr>
          <w:ilvl w:val="0"/>
          <w:numId w:val="30"/>
        </w:numPr>
        <w:overflowPunct w:val="0"/>
        <w:autoSpaceDE w:val="0"/>
        <w:autoSpaceDN w:val="0"/>
        <w:adjustRightInd w:val="0"/>
        <w:ind w:left="709" w:hanging="425"/>
        <w:textAlignment w:val="baseline"/>
        <w:rPr>
          <w:bCs/>
          <w:iCs/>
        </w:rPr>
      </w:pPr>
      <w:r>
        <w:t>en Europe, 10 millions d’interventions par an sont effectuées à base de radiopharmaceutiques en diagnostic et thérapie. La priorité doit être donnée aux thérapies ciblées par radionucléides qui sont précises et souvent moins nocives que d’autres traitements;</w:t>
      </w:r>
    </w:p>
    <w:p w:rsidRPr="00D466CD" w:rsidR="004110CA" w:rsidP="004110CA" w:rsidRDefault="004110CA" w14:paraId="2D0D28AD" w14:textId="77777777">
      <w:pPr>
        <w:widowControl w:val="0"/>
        <w:numPr>
          <w:ilvl w:val="0"/>
          <w:numId w:val="30"/>
        </w:numPr>
        <w:overflowPunct w:val="0"/>
        <w:autoSpaceDE w:val="0"/>
        <w:autoSpaceDN w:val="0"/>
        <w:adjustRightInd w:val="0"/>
        <w:ind w:left="709" w:hanging="425"/>
        <w:textAlignment w:val="baseline"/>
        <w:rPr>
          <w:bCs/>
          <w:iCs/>
        </w:rPr>
      </w:pPr>
      <w:r>
        <w:t>plaide en faveur d’incitations à la production garantissant une plus grande autonomie stratégique dans l’approvisionnement en radio-isotopes. L’Europe est numéro un dans l’approvisionnement en radio-isotopes pour la médecine. Parallèlement, elle est confrontée à des dépendances critiques à l’égard de pays tiers pour les matériaux de base essentiels et les opérations de transformation spécifiques. En conséquence, le CESE invite l’Alliance pour les médicaments critiques à surveiller attentivement l’approvisionnement en radio-isotopes en Europe et à appuyer le renforcement de la compétitivité industrielle dans ce secteur;</w:t>
      </w:r>
    </w:p>
    <w:p w:rsidRPr="00A6689B" w:rsidR="004110CA" w:rsidP="004110CA" w:rsidRDefault="004110CA" w14:paraId="6CDE43BF" w14:textId="77777777">
      <w:pPr>
        <w:widowControl w:val="0"/>
        <w:numPr>
          <w:ilvl w:val="0"/>
          <w:numId w:val="30"/>
        </w:numPr>
        <w:overflowPunct w:val="0"/>
        <w:autoSpaceDE w:val="0"/>
        <w:autoSpaceDN w:val="0"/>
        <w:adjustRightInd w:val="0"/>
        <w:ind w:left="709" w:hanging="425"/>
        <w:textAlignment w:val="baseline"/>
        <w:rPr>
          <w:bCs/>
          <w:iCs/>
        </w:rPr>
      </w:pPr>
      <w:r>
        <w:t>demande de bien veiller à ce que les mesures de sécurité et de sûreté du personnel soient respectées tout au long de la chaîne d’approvisionnement et plaide en faveur d’investissements urgents dans la planification, l’éducation et la formation des personnes nécessaires dans ce secteur ainsi que dans la mobilité du personnel.</w:t>
      </w:r>
    </w:p>
    <w:p w:rsidRPr="00082FAB" w:rsidR="004110CA" w:rsidP="004110CA" w:rsidRDefault="004110CA" w14:paraId="25D9DA7E" w14:textId="77777777">
      <w:pPr>
        <w:widowControl w:val="0"/>
        <w:ind w:left="709"/>
      </w:pPr>
    </w:p>
    <w:p w:rsidRPr="000624A9" w:rsidR="004110CA" w:rsidP="004110CA" w:rsidRDefault="004110CA" w14:paraId="319FE107"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A6689B" w:rsidR="004110CA" w:rsidTr="00227409" w14:paraId="4A41E59A" w14:textId="77777777">
        <w:tc>
          <w:tcPr>
            <w:tcW w:w="1556" w:type="pct"/>
          </w:tcPr>
          <w:p w:rsidRPr="00A6689B" w:rsidR="004110CA" w:rsidP="00227409" w:rsidRDefault="004110CA" w14:paraId="5D88876F" w14:textId="77777777">
            <w:pPr>
              <w:spacing w:line="240" w:lineRule="auto"/>
              <w:rPr>
                <w:i/>
              </w:rPr>
            </w:pPr>
            <w:r>
              <w:rPr>
                <w:b/>
                <w:i/>
              </w:rPr>
              <w:t>Contact</w:t>
            </w:r>
          </w:p>
        </w:tc>
        <w:tc>
          <w:tcPr>
            <w:tcW w:w="3444" w:type="pct"/>
          </w:tcPr>
          <w:p w:rsidRPr="00A6689B" w:rsidR="004110CA" w:rsidP="00227409" w:rsidRDefault="004110CA" w14:paraId="59C08883" w14:textId="77777777">
            <w:pPr>
              <w:spacing w:line="240" w:lineRule="auto"/>
              <w:rPr>
                <w:i/>
              </w:rPr>
            </w:pPr>
            <w:r>
              <w:rPr>
                <w:i/>
              </w:rPr>
              <w:t>Maja RADMAN</w:t>
            </w:r>
          </w:p>
        </w:tc>
      </w:tr>
      <w:tr w:rsidRPr="00A6689B" w:rsidR="004110CA" w:rsidTr="00227409" w14:paraId="3E73B2A1" w14:textId="77777777">
        <w:tc>
          <w:tcPr>
            <w:tcW w:w="1556" w:type="pct"/>
          </w:tcPr>
          <w:p w:rsidRPr="00A6689B" w:rsidR="004110CA" w:rsidP="00227409" w:rsidRDefault="004110CA" w14:paraId="5D1220E2" w14:textId="77777777">
            <w:pPr>
              <w:spacing w:line="240" w:lineRule="auto"/>
              <w:rPr>
                <w:i/>
              </w:rPr>
            </w:pPr>
            <w:r>
              <w:rPr>
                <w:i/>
              </w:rPr>
              <w:t>Tél.</w:t>
            </w:r>
          </w:p>
        </w:tc>
        <w:tc>
          <w:tcPr>
            <w:tcW w:w="3444" w:type="pct"/>
          </w:tcPr>
          <w:p w:rsidRPr="00A6689B" w:rsidR="004110CA" w:rsidP="00227409" w:rsidRDefault="004110CA" w14:paraId="1B845313" w14:textId="77777777">
            <w:pPr>
              <w:spacing w:line="240" w:lineRule="auto"/>
              <w:rPr>
                <w:i/>
              </w:rPr>
            </w:pPr>
            <w:r>
              <w:rPr>
                <w:i/>
              </w:rPr>
              <w:t>+32 25469051</w:t>
            </w:r>
          </w:p>
        </w:tc>
      </w:tr>
      <w:tr w:rsidRPr="00A6689B" w:rsidR="004110CA" w:rsidTr="00227409" w14:paraId="368B628B" w14:textId="77777777">
        <w:tc>
          <w:tcPr>
            <w:tcW w:w="1556" w:type="pct"/>
          </w:tcPr>
          <w:p w:rsidRPr="00A6689B" w:rsidR="004110CA" w:rsidP="00227409" w:rsidRDefault="004110CA" w14:paraId="7798A333" w14:textId="77777777">
            <w:pPr>
              <w:spacing w:line="240" w:lineRule="auto"/>
              <w:rPr>
                <w:i/>
              </w:rPr>
            </w:pPr>
            <w:r>
              <w:rPr>
                <w:i/>
              </w:rPr>
              <w:t>Courriel</w:t>
            </w:r>
          </w:p>
        </w:tc>
        <w:tc>
          <w:tcPr>
            <w:tcW w:w="3444" w:type="pct"/>
          </w:tcPr>
          <w:p w:rsidRPr="00A6689B" w:rsidR="004110CA" w:rsidP="00227409" w:rsidRDefault="00EE33D5" w14:paraId="35B9DE21" w14:textId="77777777">
            <w:pPr>
              <w:spacing w:line="240" w:lineRule="auto"/>
              <w:rPr>
                <w:i/>
              </w:rPr>
            </w:pPr>
            <w:hyperlink w:history="1" r:id="rId30">
              <w:r w:rsidR="004110CA">
                <w:rPr>
                  <w:rStyle w:val="Hyperlink"/>
                  <w:i/>
                </w:rPr>
                <w:t>Maja.Radman@eesc.europa.eu</w:t>
              </w:r>
            </w:hyperlink>
            <w:r w:rsidR="004110CA">
              <w:rPr>
                <w:i/>
              </w:rPr>
              <w:t xml:space="preserve"> </w:t>
            </w:r>
          </w:p>
        </w:tc>
      </w:tr>
    </w:tbl>
    <w:p w:rsidR="00516A59" w:rsidRDefault="00516A59" w14:paraId="77C764C5" w14:textId="77777777">
      <w:pPr>
        <w:spacing w:after="160" w:line="259" w:lineRule="auto"/>
        <w:jc w:val="left"/>
      </w:pPr>
      <w:r>
        <w:br w:type="page"/>
      </w:r>
    </w:p>
    <w:p w:rsidRPr="000B1C30" w:rsidR="00E110D0" w:rsidP="00770F41" w:rsidRDefault="00895853" w14:paraId="268D0B18" w14:textId="09AC0A5F">
      <w:pPr>
        <w:pStyle w:val="Heading1"/>
        <w:tabs>
          <w:tab w:val="clear" w:pos="440"/>
          <w:tab w:val="left" w:pos="567"/>
        </w:tabs>
        <w:ind w:left="567" w:hanging="567"/>
        <w:rPr>
          <w:b/>
          <w:bCs/>
        </w:rPr>
      </w:pPr>
      <w:bookmarkStart w:name="_Toc166847140" w:id="6"/>
      <w:bookmarkStart w:name="_Toc169703128" w:id="7"/>
      <w:bookmarkEnd w:id="6"/>
      <w:r>
        <w:rPr>
          <w:b/>
        </w:rPr>
        <w:lastRenderedPageBreak/>
        <w:t>COMMISSION CONSULTATIVE DES MUTATIONS INDUSTRIELLES</w:t>
      </w:r>
      <w:bookmarkEnd w:id="7"/>
    </w:p>
    <w:p w:rsidR="004351D4" w:rsidP="00895853" w:rsidRDefault="004351D4" w14:paraId="0AE04AB9" w14:textId="7E9F637B">
      <w:pPr>
        <w:overflowPunct w:val="0"/>
        <w:autoSpaceDE w:val="0"/>
        <w:autoSpaceDN w:val="0"/>
        <w:adjustRightInd w:val="0"/>
        <w:jc w:val="left"/>
        <w:textAlignment w:val="baseline"/>
        <w:rPr>
          <w:lang w:val="nl-BE"/>
        </w:rPr>
      </w:pPr>
    </w:p>
    <w:p w:rsidR="005C28F2" w:rsidP="00895853" w:rsidRDefault="005C28F2" w14:paraId="43B85D0B" w14:textId="77777777">
      <w:pPr>
        <w:overflowPunct w:val="0"/>
        <w:autoSpaceDE w:val="0"/>
        <w:autoSpaceDN w:val="0"/>
        <w:adjustRightInd w:val="0"/>
        <w:jc w:val="left"/>
        <w:textAlignment w:val="baseline"/>
        <w:rPr>
          <w:lang w:val="nl-BE"/>
        </w:rPr>
      </w:pPr>
    </w:p>
    <w:p w:rsidRPr="00660A3E" w:rsidR="001B5867" w:rsidP="001B5867" w:rsidRDefault="00EE33D5" w14:paraId="3C6EDA88" w14:textId="68F4539D">
      <w:pPr>
        <w:pStyle w:val="ListParagraph"/>
        <w:widowControl w:val="0"/>
        <w:numPr>
          <w:ilvl w:val="0"/>
          <w:numId w:val="4"/>
        </w:numPr>
        <w:tabs>
          <w:tab w:val="center" w:pos="567"/>
        </w:tabs>
        <w:overflowPunct w:val="0"/>
        <w:autoSpaceDE w:val="0"/>
        <w:autoSpaceDN w:val="0"/>
        <w:adjustRightInd w:val="0"/>
        <w:ind w:left="567" w:hanging="567"/>
        <w:textAlignment w:val="baseline"/>
        <w:rPr>
          <w:b/>
          <w:i/>
          <w:iCs/>
          <w:sz w:val="28"/>
          <w:szCs w:val="28"/>
        </w:rPr>
      </w:pPr>
      <w:hyperlink w:history="1" r:id="rId31">
        <w:r w:rsidR="001B5867">
          <w:rPr>
            <w:rStyle w:val="Hyperlink"/>
            <w:b/>
            <w:i/>
            <w:sz w:val="28"/>
          </w:rPr>
          <w:t>Programme pour l’industrie européenne de la défense</w:t>
        </w:r>
      </w:hyperlink>
    </w:p>
    <w:p w:rsidR="001B5867" w:rsidP="001B5867" w:rsidRDefault="001B5867" w14:paraId="03C26562" w14:textId="77777777">
      <w:pPr>
        <w:widowControl w:val="0"/>
        <w:tabs>
          <w:tab w:val="center" w:pos="284"/>
        </w:tabs>
        <w:overflowPunct w:val="0"/>
        <w:autoSpaceDE w:val="0"/>
        <w:autoSpaceDN w:val="0"/>
        <w:adjustRightInd w:val="0"/>
        <w:textAlignment w:val="baseline"/>
        <w:rPr>
          <w:b/>
          <w:lang w:val="en-US"/>
        </w:rPr>
      </w:pPr>
    </w:p>
    <w:tbl>
      <w:tblPr>
        <w:tblStyle w:val="TableGrid"/>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953"/>
      </w:tblGrid>
      <w:tr w:rsidRPr="0032671F" w:rsidR="001B5867" w:rsidTr="00224E7B" w14:paraId="72F2B08A" w14:textId="77777777">
        <w:tc>
          <w:tcPr>
            <w:tcW w:w="1258" w:type="pct"/>
          </w:tcPr>
          <w:p w:rsidRPr="0032671F" w:rsidR="001B5867" w:rsidP="00224E7B" w:rsidRDefault="001B5867" w14:paraId="53B80923" w14:textId="77777777">
            <w:pPr>
              <w:tabs>
                <w:tab w:val="center" w:pos="284"/>
              </w:tabs>
              <w:ind w:left="266" w:hanging="266"/>
              <w:rPr>
                <w:b/>
              </w:rPr>
            </w:pPr>
            <w:r w:rsidRPr="0032671F">
              <w:rPr>
                <w:b/>
              </w:rPr>
              <w:t>Rapporteur</w:t>
            </w:r>
          </w:p>
        </w:tc>
        <w:tc>
          <w:tcPr>
            <w:tcW w:w="3742" w:type="pct"/>
          </w:tcPr>
          <w:p w:rsidRPr="00693BDB" w:rsidR="001B5867" w:rsidP="00224E7B" w:rsidRDefault="001B5867" w14:paraId="564367D1" w14:textId="55F530AE">
            <w:pPr>
              <w:tabs>
                <w:tab w:val="center" w:pos="33"/>
              </w:tabs>
              <w:ind w:left="33" w:hanging="33"/>
              <w:rPr>
                <w:bCs/>
              </w:rPr>
            </w:pPr>
            <w:proofErr w:type="spellStart"/>
            <w:r w:rsidRPr="00693BDB">
              <w:rPr>
                <w:bCs/>
              </w:rPr>
              <w:t>Tomasz</w:t>
            </w:r>
            <w:proofErr w:type="spellEnd"/>
            <w:r w:rsidRPr="00693BDB">
              <w:rPr>
                <w:bCs/>
              </w:rPr>
              <w:t xml:space="preserve"> Andrzej WRÓBLEWSKI (gr. I </w:t>
            </w:r>
            <w:r w:rsidR="006504B7">
              <w:rPr>
                <w:bCs/>
              </w:rPr>
              <w:t>—</w:t>
            </w:r>
            <w:r w:rsidRPr="00693BDB">
              <w:rPr>
                <w:bCs/>
              </w:rPr>
              <w:t xml:space="preserve"> PL)</w:t>
            </w:r>
          </w:p>
        </w:tc>
      </w:tr>
      <w:tr w:rsidRPr="0032671F" w:rsidR="001B5867" w:rsidTr="00224E7B" w14:paraId="7CD0D2EB" w14:textId="77777777">
        <w:tc>
          <w:tcPr>
            <w:tcW w:w="1258" w:type="pct"/>
          </w:tcPr>
          <w:p w:rsidRPr="0032671F" w:rsidR="001B5867" w:rsidP="00224E7B" w:rsidRDefault="001B5867" w14:paraId="636B8263" w14:textId="77777777">
            <w:pPr>
              <w:tabs>
                <w:tab w:val="center" w:pos="284"/>
              </w:tabs>
              <w:ind w:left="266" w:hanging="266"/>
              <w:rPr>
                <w:b/>
              </w:rPr>
            </w:pPr>
            <w:r w:rsidRPr="0032671F">
              <w:rPr>
                <w:b/>
              </w:rPr>
              <w:t>Corapporteur</w:t>
            </w:r>
          </w:p>
        </w:tc>
        <w:tc>
          <w:tcPr>
            <w:tcW w:w="3742" w:type="pct"/>
          </w:tcPr>
          <w:p w:rsidRPr="00693BDB" w:rsidR="001B5867" w:rsidP="00224E7B" w:rsidRDefault="001B5867" w14:paraId="2E75EB4E" w14:textId="56EED221">
            <w:pPr>
              <w:tabs>
                <w:tab w:val="center" w:pos="284"/>
              </w:tabs>
              <w:ind w:left="266" w:hanging="266"/>
              <w:rPr>
                <w:bCs/>
              </w:rPr>
            </w:pPr>
            <w:r w:rsidRPr="00693BDB">
              <w:rPr>
                <w:bCs/>
              </w:rPr>
              <w:t xml:space="preserve">Franck UHLIG (cat. 2 </w:t>
            </w:r>
            <w:r w:rsidR="006504B7">
              <w:rPr>
                <w:bCs/>
              </w:rPr>
              <w:t>—</w:t>
            </w:r>
            <w:r w:rsidRPr="00693BDB">
              <w:rPr>
                <w:bCs/>
              </w:rPr>
              <w:t xml:space="preserve"> FR)</w:t>
            </w:r>
          </w:p>
        </w:tc>
      </w:tr>
      <w:tr w:rsidRPr="0032671F" w:rsidR="001B5867" w:rsidTr="00224E7B" w14:paraId="7BE400C0" w14:textId="77777777">
        <w:tc>
          <w:tcPr>
            <w:tcW w:w="5000" w:type="pct"/>
            <w:gridSpan w:val="2"/>
          </w:tcPr>
          <w:p w:rsidRPr="0032671F" w:rsidR="001B5867" w:rsidP="00224E7B" w:rsidRDefault="001B5867" w14:paraId="72387B6D" w14:textId="77777777">
            <w:pPr>
              <w:tabs>
                <w:tab w:val="center" w:pos="284"/>
              </w:tabs>
              <w:spacing w:line="160" w:lineRule="exact"/>
              <w:ind w:left="266" w:hanging="266"/>
              <w:rPr>
                <w:lang w:val="en-US"/>
              </w:rPr>
            </w:pPr>
          </w:p>
        </w:tc>
      </w:tr>
      <w:tr w:rsidRPr="0032671F" w:rsidR="001B5867" w:rsidTr="00224E7B" w14:paraId="3288DA7E" w14:textId="77777777">
        <w:tc>
          <w:tcPr>
            <w:tcW w:w="1258" w:type="pct"/>
            <w:vMerge w:val="restart"/>
          </w:tcPr>
          <w:p w:rsidRPr="0032671F" w:rsidR="001B5867" w:rsidP="00224E7B" w:rsidRDefault="001B5867" w14:paraId="74FDC533" w14:textId="77777777">
            <w:pPr>
              <w:tabs>
                <w:tab w:val="center" w:pos="284"/>
              </w:tabs>
              <w:ind w:left="266" w:hanging="266"/>
              <w:rPr>
                <w:b/>
              </w:rPr>
            </w:pPr>
            <w:r w:rsidRPr="0032671F">
              <w:rPr>
                <w:b/>
              </w:rPr>
              <w:t>Références</w:t>
            </w:r>
          </w:p>
        </w:tc>
        <w:tc>
          <w:tcPr>
            <w:tcW w:w="3742" w:type="pct"/>
          </w:tcPr>
          <w:p w:rsidRPr="0032671F" w:rsidR="001B5867" w:rsidP="00224E7B" w:rsidRDefault="001B5867" w14:paraId="468334AE" w14:textId="77777777">
            <w:pPr>
              <w:tabs>
                <w:tab w:val="center" w:pos="284"/>
              </w:tabs>
              <w:ind w:left="266" w:hanging="266"/>
            </w:pPr>
            <w:r w:rsidRPr="0032671F">
              <w:t>COM(2024)</w:t>
            </w:r>
            <w:r>
              <w:t> </w:t>
            </w:r>
            <w:r w:rsidRPr="0032671F">
              <w:t>150</w:t>
            </w:r>
            <w:r>
              <w:t> </w:t>
            </w:r>
            <w:r w:rsidRPr="0032671F">
              <w:t>final</w:t>
            </w:r>
          </w:p>
        </w:tc>
      </w:tr>
      <w:tr w:rsidRPr="0032671F" w:rsidR="001B5867" w:rsidTr="00224E7B" w14:paraId="3F71F267" w14:textId="77777777">
        <w:tc>
          <w:tcPr>
            <w:tcW w:w="1258" w:type="pct"/>
            <w:vMerge/>
          </w:tcPr>
          <w:p w:rsidRPr="0032671F" w:rsidR="001B5867" w:rsidP="00224E7B" w:rsidRDefault="001B5867" w14:paraId="4732E119" w14:textId="77777777">
            <w:pPr>
              <w:tabs>
                <w:tab w:val="center" w:pos="284"/>
              </w:tabs>
              <w:ind w:left="266" w:hanging="266"/>
              <w:rPr>
                <w:b/>
                <w:lang w:val="en-US"/>
              </w:rPr>
            </w:pPr>
          </w:p>
        </w:tc>
        <w:tc>
          <w:tcPr>
            <w:tcW w:w="3742" w:type="pct"/>
          </w:tcPr>
          <w:p w:rsidRPr="0032671F" w:rsidR="001B5867" w:rsidP="00224E7B" w:rsidRDefault="001B5867" w14:paraId="05F2674F" w14:textId="77777777">
            <w:pPr>
              <w:tabs>
                <w:tab w:val="center" w:pos="284"/>
              </w:tabs>
              <w:ind w:left="266" w:hanging="266"/>
            </w:pPr>
            <w:r w:rsidRPr="0032671F">
              <w:t>EESC-2024-00813-00-00-AC</w:t>
            </w:r>
          </w:p>
        </w:tc>
      </w:tr>
    </w:tbl>
    <w:p w:rsidRPr="00F6194F" w:rsidR="001B5867" w:rsidP="001B5867" w:rsidRDefault="001B5867" w14:paraId="116D35CF" w14:textId="77777777">
      <w:pPr>
        <w:widowControl w:val="0"/>
        <w:tabs>
          <w:tab w:val="center" w:pos="284"/>
        </w:tabs>
        <w:overflowPunct w:val="0"/>
        <w:autoSpaceDE w:val="0"/>
        <w:autoSpaceDN w:val="0"/>
        <w:adjustRightInd w:val="0"/>
        <w:textAlignment w:val="baseline"/>
        <w:rPr>
          <w:b/>
          <w:lang w:val="en-US"/>
        </w:rPr>
      </w:pPr>
    </w:p>
    <w:p w:rsidR="001B5867" w:rsidP="001B5867" w:rsidRDefault="001B5867" w14:paraId="25B5F841" w14:textId="454FB9F9">
      <w:pPr>
        <w:keepNext/>
        <w:keepLines/>
        <w:ind w:left="142" w:hanging="142"/>
        <w:rPr>
          <w:b/>
        </w:rPr>
      </w:pPr>
      <w:r>
        <w:rPr>
          <w:b/>
        </w:rPr>
        <w:t>Points clés</w:t>
      </w:r>
    </w:p>
    <w:p w:rsidRPr="00F6194F" w:rsidR="00693BDB" w:rsidP="001B5867" w:rsidRDefault="00693BDB" w14:paraId="1E9E6AE5" w14:textId="77777777">
      <w:pPr>
        <w:keepNext/>
        <w:keepLines/>
        <w:ind w:left="142" w:hanging="142"/>
        <w:rPr>
          <w:b/>
        </w:rPr>
      </w:pPr>
    </w:p>
    <w:p w:rsidR="001B5867" w:rsidP="001B5867" w:rsidRDefault="001B5867" w14:paraId="510195FA" w14:textId="3E778C4A">
      <w:pPr>
        <w:ind w:left="142"/>
      </w:pPr>
      <w:r>
        <w:t>Le CESE:</w:t>
      </w:r>
    </w:p>
    <w:p w:rsidRPr="007F6262" w:rsidR="00693BDB" w:rsidP="001B5867" w:rsidRDefault="00693BDB" w14:paraId="0B4DB619" w14:textId="77777777">
      <w:pPr>
        <w:ind w:left="142"/>
      </w:pPr>
    </w:p>
    <w:p w:rsidRPr="00306AA6" w:rsidR="001B5867" w:rsidP="001B5867" w:rsidRDefault="001B5867" w14:paraId="44E372C9" w14:textId="77777777">
      <w:pPr>
        <w:pStyle w:val="ListParagraph"/>
        <w:numPr>
          <w:ilvl w:val="0"/>
          <w:numId w:val="5"/>
        </w:numPr>
        <w:spacing w:after="160" w:line="259" w:lineRule="auto"/>
      </w:pPr>
      <w:r>
        <w:t xml:space="preserve">recommande à la Commission européenne de </w:t>
      </w:r>
      <w:r>
        <w:rPr>
          <w:b/>
        </w:rPr>
        <w:t>communiquer amplement avec les citoyens européens afin de faire connaître au plus grand nombre les défis liés au financement conjoint de la défense</w:t>
      </w:r>
      <w:r>
        <w:t xml:space="preserve"> dans le contexte géopolitique actuel, et en vue de construire une sécurité commune, tout en continuant à fonder l’intégration européenne sur un projet de paix et de solidarité;</w:t>
      </w:r>
    </w:p>
    <w:p w:rsidRPr="00306AA6" w:rsidR="001B5867" w:rsidP="001B5867" w:rsidRDefault="001B5867" w14:paraId="64B75020" w14:textId="77777777">
      <w:pPr>
        <w:pStyle w:val="ListParagraph"/>
        <w:numPr>
          <w:ilvl w:val="0"/>
          <w:numId w:val="5"/>
        </w:numPr>
        <w:spacing w:after="160" w:line="259" w:lineRule="auto"/>
      </w:pPr>
      <w:r>
        <w:t xml:space="preserve">demande que </w:t>
      </w:r>
      <w:r>
        <w:rPr>
          <w:b/>
        </w:rPr>
        <w:t>l’enveloppe financière, actuellement limitée (1,5 milliard d’EUR), soit augmentée</w:t>
      </w:r>
      <w:r>
        <w:t xml:space="preserve"> à moyen terme;</w:t>
      </w:r>
    </w:p>
    <w:p w:rsidRPr="00306AA6" w:rsidR="001B5867" w:rsidP="001B5867" w:rsidRDefault="001B5867" w14:paraId="6789C3EC" w14:textId="77777777">
      <w:pPr>
        <w:pStyle w:val="ListParagraph"/>
        <w:numPr>
          <w:ilvl w:val="0"/>
          <w:numId w:val="5"/>
        </w:numPr>
        <w:spacing w:after="160" w:line="259" w:lineRule="auto"/>
      </w:pPr>
      <w:r>
        <w:t xml:space="preserve">souligne que le programme pour l’industrie européenne de la défense (ci-après l’«EDIP») doit non seulement répondre aux besoins immédiats de l’Ukraine, mais aussi aboutir à une </w:t>
      </w:r>
      <w:r>
        <w:rPr>
          <w:b/>
        </w:rPr>
        <w:t>évolution structurelle de l’approche européenne en matière de défense</w:t>
      </w:r>
      <w:r>
        <w:t xml:space="preserve"> et de la base industrielle et technologique de défense européenne (BITDE);</w:t>
      </w:r>
    </w:p>
    <w:p w:rsidRPr="00306AA6" w:rsidR="001B5867" w:rsidP="001B5867" w:rsidRDefault="001B5867" w14:paraId="2B2E2EF2" w14:textId="77777777">
      <w:pPr>
        <w:pStyle w:val="ListParagraph"/>
        <w:numPr>
          <w:ilvl w:val="0"/>
          <w:numId w:val="5"/>
        </w:numPr>
        <w:spacing w:after="160" w:line="259" w:lineRule="auto"/>
      </w:pPr>
      <w:r>
        <w:t xml:space="preserve">recommande au Parlement européen, aux États membres, aux secteurs financiers public et privé et à la Commission européenne d’élaborer un </w:t>
      </w:r>
      <w:r>
        <w:rPr>
          <w:b/>
        </w:rPr>
        <w:t>plan à long terme pour l’augmentation des dépenses et des achats d’armements</w:t>
      </w:r>
      <w:r>
        <w:t>, qui facilitera les investissements à long terme du secteur privé, soutiendra les plans de production d’équipements militaires par la BITDE et appuiera la base industrielle et technologique de défense (BITD) ukrainienne;</w:t>
      </w:r>
    </w:p>
    <w:p w:rsidRPr="00306AA6" w:rsidR="001B5867" w:rsidP="001B5867" w:rsidRDefault="001B5867" w14:paraId="25CBB735" w14:textId="77777777">
      <w:pPr>
        <w:pStyle w:val="ListParagraph"/>
        <w:numPr>
          <w:ilvl w:val="0"/>
          <w:numId w:val="5"/>
        </w:numPr>
        <w:spacing w:after="160" w:line="259" w:lineRule="auto"/>
      </w:pPr>
      <w:r>
        <w:t>recommande à la Commission européenne d’</w:t>
      </w:r>
      <w:r>
        <w:rPr>
          <w:b/>
        </w:rPr>
        <w:t>apporter des éclaircissements quant à l’origine et à l’utilisation des fonds affectés à l’EDIP</w:t>
      </w:r>
      <w:r>
        <w:t>;</w:t>
      </w:r>
    </w:p>
    <w:p w:rsidRPr="00306AA6" w:rsidR="001B5867" w:rsidP="001B5867" w:rsidRDefault="001B5867" w14:paraId="13403610" w14:textId="77777777">
      <w:pPr>
        <w:pStyle w:val="ListParagraph"/>
        <w:numPr>
          <w:ilvl w:val="0"/>
          <w:numId w:val="5"/>
        </w:numPr>
        <w:spacing w:after="160" w:line="259" w:lineRule="auto"/>
      </w:pPr>
      <w:r>
        <w:t xml:space="preserve">recommande </w:t>
      </w:r>
      <w:r>
        <w:rPr>
          <w:b/>
        </w:rPr>
        <w:t>aux entreprises de la BITDE de renforcer leur coopération, en particulier avec les PME et au niveau transnational</w:t>
      </w:r>
      <w:r>
        <w:t>;</w:t>
      </w:r>
    </w:p>
    <w:p w:rsidRPr="00306AA6" w:rsidR="001B5867" w:rsidP="001B5867" w:rsidRDefault="001B5867" w14:paraId="2166B412" w14:textId="77777777">
      <w:pPr>
        <w:pStyle w:val="ListParagraph"/>
        <w:numPr>
          <w:ilvl w:val="0"/>
          <w:numId w:val="5"/>
        </w:numPr>
        <w:spacing w:after="160" w:line="259" w:lineRule="auto"/>
      </w:pPr>
      <w:r>
        <w:t xml:space="preserve">souligne l’importance de la </w:t>
      </w:r>
      <w:r>
        <w:rPr>
          <w:b/>
        </w:rPr>
        <w:t>coopération industrielle avec l’Ukraine</w:t>
      </w:r>
      <w:r>
        <w:t xml:space="preserve"> dans le cadre de l’EDIP;</w:t>
      </w:r>
    </w:p>
    <w:p w:rsidRPr="00306AA6" w:rsidR="001B5867" w:rsidP="001B5867" w:rsidRDefault="001B5867" w14:paraId="7C16C91D" w14:textId="77777777">
      <w:pPr>
        <w:pStyle w:val="ListParagraph"/>
        <w:numPr>
          <w:ilvl w:val="0"/>
          <w:numId w:val="5"/>
        </w:numPr>
        <w:spacing w:after="160" w:line="259" w:lineRule="auto"/>
      </w:pPr>
      <w:r>
        <w:t xml:space="preserve">suggère d’encourager plus avant les </w:t>
      </w:r>
      <w:r>
        <w:rPr>
          <w:b/>
        </w:rPr>
        <w:t>synergies entre les industries de la défense et les industries civiles</w:t>
      </w:r>
      <w:r>
        <w:t>, y compris les PME et les start-up;</w:t>
      </w:r>
    </w:p>
    <w:p w:rsidRPr="00306AA6" w:rsidR="001B5867" w:rsidP="001B5867" w:rsidRDefault="001B5867" w14:paraId="112E4EAE" w14:textId="77777777">
      <w:pPr>
        <w:pStyle w:val="ListParagraph"/>
        <w:numPr>
          <w:ilvl w:val="0"/>
          <w:numId w:val="5"/>
        </w:numPr>
        <w:spacing w:after="160" w:line="259" w:lineRule="auto"/>
      </w:pPr>
      <w:r>
        <w:t>recommande d’</w:t>
      </w:r>
      <w:r>
        <w:rPr>
          <w:b/>
        </w:rPr>
        <w:t>intégrer dans le règlement relatif à l’EDIP les objectifs en pourcentage concernant les achats collaboratifs et intra-UE</w:t>
      </w:r>
      <w:r>
        <w:t xml:space="preserve"> fixés dans la communication relative à la stratégie pour l’industrie européenne de la défense (EDIS).</w:t>
      </w:r>
    </w:p>
    <w:p w:rsidRPr="0077522C" w:rsidR="001B5867" w:rsidP="001B5867" w:rsidRDefault="001B5867" w14:paraId="388D277A" w14:textId="77777777">
      <w:pPr>
        <w:pStyle w:val="ListParagraph"/>
        <w:rPr>
          <w:lang w:val="en-GB"/>
        </w:rPr>
      </w:pPr>
      <w:r w:rsidRPr="0032671F">
        <w:rPr>
          <w:noProof/>
          <w:sz w:val="20"/>
          <w:lang w:val="en-GB" w:eastAsia="en-GB"/>
        </w:rPr>
        <mc:AlternateContent>
          <mc:Choice Requires="wps">
            <w:drawing>
              <wp:anchor distT="0" distB="0" distL="114300" distR="114300" simplePos="0" relativeHeight="251659264" behindDoc="1" locked="0" layoutInCell="0" allowOverlap="1" wp14:editId="1D4C86A2" wp14:anchorId="2E8772D1">
                <wp:simplePos x="0" y="0"/>
                <wp:positionH relativeFrom="page">
                  <wp:posOffset>6769100</wp:posOffset>
                </wp:positionH>
                <wp:positionV relativeFrom="page">
                  <wp:posOffset>10081260</wp:posOffset>
                </wp:positionV>
                <wp:extent cx="647700" cy="396240"/>
                <wp:effectExtent l="0" t="3810" r="3175" b="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B5867" w:rsidP="001B5867" w:rsidRDefault="001B5867" w14:paraId="7D07357F" w14:textId="77777777">
                            <w:pPr>
                              <w:jc w:val="center"/>
                              <w:rPr>
                                <w:rFonts w:ascii="Arial" w:hAnsi="Arial" w:cs="Arial"/>
                                <w:b/>
                                <w:bCs/>
                                <w:sz w:val="48"/>
                                <w:lang w:val="nl-BE"/>
                              </w:rPr>
                            </w:pPr>
                            <w:r>
                              <w:rPr>
                                <w:rFonts w:ascii="Arial" w:hAnsi="Arial" w:cs="Arial"/>
                                <w:b/>
                                <w:bCs/>
                                <w:sz w:val="48"/>
                                <w:lang w:val="nl-BE"/>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" w14:anchorId="2E8772D1">
                <v:textbox>
                  <w:txbxContent>
                    <w:p w:rsidRPr="00260E65" w:rsidR="001B5867" w:rsidP="001B5867" w:rsidRDefault="001B5867" w14:paraId="7D07357F" w14:textId="77777777">
                      <w:pPr>
                        <w:jc w:val="center"/>
                        <w:rPr>
                          <w:rFonts w:ascii="Arial" w:hAnsi="Arial" w:cs="Arial"/>
                          <w:b/>
                          <w:bCs/>
                          <w:sz w:val="48"/>
                          <w:lang w:val="nl-BE"/>
                        </w:rPr>
                      </w:pPr>
                      <w:r>
                        <w:rPr>
                          <w:rFonts w:ascii="Arial" w:hAnsi="Arial" w:cs="Arial"/>
                          <w:b/>
                          <w:bCs/>
                          <w:sz w:val="48"/>
                          <w:lang w:val="nl-BE"/>
                        </w:rPr>
                        <w:t>FR</w:t>
                      </w:r>
                    </w:p>
                  </w:txbxContent>
                </v:textbox>
                <w10:wrap anchorx="page" anchory="page"/>
              </v:shape>
            </w:pict>
          </mc:Fallback>
        </mc:AlternateContent>
      </w: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1"/>
        <w:gridCol w:w="3920"/>
      </w:tblGrid>
      <w:tr w:rsidRPr="007F6262" w:rsidR="001B5867" w:rsidTr="00224E7B" w14:paraId="6F55683C" w14:textId="77777777">
        <w:tc>
          <w:tcPr>
            <w:tcW w:w="3998" w:type="pct"/>
          </w:tcPr>
          <w:p w:rsidRPr="007F6262" w:rsidR="001B5867" w:rsidP="00224E7B" w:rsidRDefault="001B5867" w14:paraId="1A304AFD" w14:textId="77777777">
            <w:pPr>
              <w:rPr>
                <w:i/>
              </w:rPr>
            </w:pPr>
            <w:r>
              <w:rPr>
                <w:b/>
                <w:i/>
              </w:rPr>
              <w:t>Contact</w:t>
            </w:r>
          </w:p>
        </w:tc>
        <w:tc>
          <w:tcPr>
            <w:tcW w:w="1002" w:type="pct"/>
            <w:tcBorders>
              <w:left w:val="nil"/>
            </w:tcBorders>
          </w:tcPr>
          <w:p w:rsidRPr="007F6262" w:rsidR="001B5867" w:rsidP="00224E7B" w:rsidRDefault="001B5867" w14:paraId="49B99351" w14:textId="77777777">
            <w:pPr>
              <w:rPr>
                <w:i/>
              </w:rPr>
            </w:pPr>
            <w:r>
              <w:rPr>
                <w:i/>
              </w:rPr>
              <w:t>Ioannis DIAMANTOPOULOS</w:t>
            </w:r>
          </w:p>
        </w:tc>
      </w:tr>
      <w:tr w:rsidRPr="007F6262" w:rsidR="001B5867" w:rsidTr="00224E7B" w14:paraId="3C08CB8C" w14:textId="77777777">
        <w:tc>
          <w:tcPr>
            <w:tcW w:w="3998" w:type="pct"/>
          </w:tcPr>
          <w:p w:rsidRPr="007F6262" w:rsidR="001B5867" w:rsidP="00224E7B" w:rsidRDefault="001B5867" w14:paraId="3A8CAF85" w14:textId="77777777">
            <w:pPr>
              <w:rPr>
                <w:i/>
              </w:rPr>
            </w:pPr>
            <w:r>
              <w:rPr>
                <w:i/>
              </w:rPr>
              <w:t xml:space="preserve">Tél. </w:t>
            </w:r>
          </w:p>
        </w:tc>
        <w:tc>
          <w:tcPr>
            <w:tcW w:w="1002" w:type="pct"/>
            <w:tcBorders>
              <w:left w:val="nil"/>
            </w:tcBorders>
          </w:tcPr>
          <w:p w:rsidRPr="007F6262" w:rsidR="001B5867" w:rsidP="00224E7B" w:rsidRDefault="001B5867" w14:paraId="4236668B" w14:textId="77777777">
            <w:pPr>
              <w:rPr>
                <w:i/>
              </w:rPr>
            </w:pPr>
            <w:r>
              <w:rPr>
                <w:i/>
              </w:rPr>
              <w:t>+32 25469170</w:t>
            </w:r>
          </w:p>
        </w:tc>
      </w:tr>
      <w:tr w:rsidRPr="007F6262" w:rsidR="001B5867" w:rsidTr="00224E7B" w14:paraId="35E1B271" w14:textId="77777777">
        <w:tc>
          <w:tcPr>
            <w:tcW w:w="3998" w:type="pct"/>
          </w:tcPr>
          <w:p w:rsidRPr="007F6262" w:rsidR="001B5867" w:rsidP="00224E7B" w:rsidRDefault="001B5867" w14:paraId="387586A9" w14:textId="77777777">
            <w:pPr>
              <w:rPr>
                <w:i/>
                <w:iCs/>
              </w:rPr>
            </w:pPr>
            <w:r>
              <w:rPr>
                <w:i/>
              </w:rPr>
              <w:t>Courriel</w:t>
            </w:r>
          </w:p>
        </w:tc>
        <w:tc>
          <w:tcPr>
            <w:tcW w:w="1002" w:type="pct"/>
            <w:tcBorders>
              <w:left w:val="nil"/>
            </w:tcBorders>
          </w:tcPr>
          <w:p w:rsidRPr="00EB0FF7" w:rsidR="001B5867" w:rsidP="00224E7B" w:rsidRDefault="001B5867" w14:paraId="0FBBE235" w14:textId="77777777">
            <w:pPr>
              <w:rPr>
                <w:i/>
                <w:iCs/>
              </w:rPr>
            </w:pPr>
            <w:r>
              <w:rPr>
                <w:i/>
                <w:color w:val="0000FF"/>
                <w:u w:val="single"/>
              </w:rPr>
              <w:t>Ioannis.Diamantopoulos@eesc.europa.eu</w:t>
            </w:r>
          </w:p>
        </w:tc>
      </w:tr>
    </w:tbl>
    <w:p w:rsidR="00B612CA" w:rsidP="00895853" w:rsidRDefault="00B612CA" w14:paraId="1175548C" w14:textId="715AB7C7">
      <w:pPr>
        <w:overflowPunct w:val="0"/>
        <w:autoSpaceDE w:val="0"/>
        <w:autoSpaceDN w:val="0"/>
        <w:adjustRightInd w:val="0"/>
        <w:jc w:val="left"/>
        <w:textAlignment w:val="baseline"/>
        <w:rPr>
          <w:lang w:val="nl-BE"/>
        </w:rPr>
      </w:pPr>
    </w:p>
    <w:p w:rsidR="00B612CA" w:rsidRDefault="00B612CA" w14:paraId="4049531D" w14:textId="77777777">
      <w:pPr>
        <w:spacing w:after="160" w:line="259" w:lineRule="auto"/>
        <w:jc w:val="left"/>
      </w:pPr>
      <w:r>
        <w:br w:type="page"/>
      </w:r>
    </w:p>
    <w:p w:rsidRPr="00AF6E87" w:rsidR="001B5867" w:rsidP="001B5867" w:rsidRDefault="00EE33D5" w14:paraId="28FB0F82" w14:textId="0C602747">
      <w:pPr>
        <w:pStyle w:val="ListParagraph"/>
        <w:widowControl w:val="0"/>
        <w:numPr>
          <w:ilvl w:val="0"/>
          <w:numId w:val="4"/>
        </w:numPr>
        <w:tabs>
          <w:tab w:val="center" w:pos="567"/>
        </w:tabs>
        <w:overflowPunct w:val="0"/>
        <w:autoSpaceDE w:val="0"/>
        <w:autoSpaceDN w:val="0"/>
        <w:adjustRightInd w:val="0"/>
        <w:ind w:left="567" w:hanging="567"/>
        <w:contextualSpacing w:val="0"/>
        <w:textAlignment w:val="baseline"/>
        <w:rPr>
          <w:b/>
          <w:i/>
          <w:sz w:val="28"/>
          <w:szCs w:val="28"/>
        </w:rPr>
      </w:pPr>
      <w:hyperlink w:history="1" r:id="rId32">
        <w:r w:rsidRPr="00AF6E87" w:rsidR="001B5867">
          <w:rPr>
            <w:rStyle w:val="Hyperlink"/>
            <w:b/>
            <w:i/>
            <w:sz w:val="28"/>
            <w:szCs w:val="28"/>
          </w:rPr>
          <w:t>L’industrie des drones: étude de cas pour l’autonomie stratégique</w:t>
        </w:r>
      </w:hyperlink>
    </w:p>
    <w:p w:rsidRPr="00787608" w:rsidR="001B5867" w:rsidP="001B5867" w:rsidRDefault="001B5867" w14:paraId="428EB0B0" w14:textId="77777777">
      <w:pPr>
        <w:widowControl w:val="0"/>
        <w:tabs>
          <w:tab w:val="center" w:pos="284"/>
        </w:tabs>
        <w:overflowPunct w:val="0"/>
        <w:autoSpaceDE w:val="0"/>
        <w:autoSpaceDN w:val="0"/>
        <w:adjustRightInd w:val="0"/>
        <w:textAlignment w:val="baseline"/>
        <w:rPr>
          <w:b/>
          <w:sz w:val="16"/>
          <w:szCs w:val="16"/>
          <w:lang w:val="en-US"/>
        </w:rPr>
      </w:pPr>
    </w:p>
    <w:tbl>
      <w:tblPr>
        <w:tblStyle w:val="TableGrid"/>
        <w:tblW w:w="479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2"/>
        <w:gridCol w:w="6764"/>
      </w:tblGrid>
      <w:tr w:rsidRPr="00787608" w:rsidR="001B5867" w:rsidTr="00224E7B" w14:paraId="5C45ACBE" w14:textId="77777777">
        <w:tc>
          <w:tcPr>
            <w:tcW w:w="1142" w:type="pct"/>
          </w:tcPr>
          <w:p w:rsidRPr="00787608" w:rsidR="001B5867" w:rsidP="00224E7B" w:rsidRDefault="001B5867" w14:paraId="771D2E32" w14:textId="77777777">
            <w:pPr>
              <w:tabs>
                <w:tab w:val="center" w:pos="284"/>
              </w:tabs>
              <w:ind w:left="266" w:hanging="266"/>
              <w:rPr>
                <w:b/>
                <w:szCs w:val="24"/>
              </w:rPr>
            </w:pPr>
            <w:r>
              <w:rPr>
                <w:b/>
              </w:rPr>
              <w:t>Rapporteur</w:t>
            </w:r>
          </w:p>
        </w:tc>
        <w:tc>
          <w:tcPr>
            <w:tcW w:w="3858" w:type="pct"/>
          </w:tcPr>
          <w:p w:rsidRPr="00787608" w:rsidR="001B5867" w:rsidP="00224E7B" w:rsidRDefault="001B5867" w14:paraId="35822156" w14:textId="77777777">
            <w:pPr>
              <w:tabs>
                <w:tab w:val="center" w:pos="0"/>
              </w:tabs>
              <w:ind w:left="27" w:hanging="27"/>
              <w:rPr>
                <w:szCs w:val="24"/>
              </w:rPr>
            </w:pPr>
            <w:proofErr w:type="spellStart"/>
            <w:r>
              <w:t>Panagiotis</w:t>
            </w:r>
            <w:proofErr w:type="spellEnd"/>
            <w:r>
              <w:t> GKOFAS (groupe des organisations de la société civile — EL)</w:t>
            </w:r>
          </w:p>
        </w:tc>
      </w:tr>
      <w:tr w:rsidRPr="00787608" w:rsidR="001B5867" w:rsidTr="00224E7B" w14:paraId="2D2981FF" w14:textId="77777777">
        <w:tc>
          <w:tcPr>
            <w:tcW w:w="1142" w:type="pct"/>
          </w:tcPr>
          <w:p w:rsidRPr="00787608" w:rsidR="001B5867" w:rsidP="00224E7B" w:rsidRDefault="001B5867" w14:paraId="7800E051" w14:textId="77777777">
            <w:pPr>
              <w:tabs>
                <w:tab w:val="center" w:pos="284"/>
              </w:tabs>
              <w:ind w:left="266" w:hanging="266"/>
              <w:rPr>
                <w:b/>
                <w:szCs w:val="24"/>
              </w:rPr>
            </w:pPr>
            <w:r>
              <w:rPr>
                <w:b/>
              </w:rPr>
              <w:t>Corapporteur</w:t>
            </w:r>
          </w:p>
        </w:tc>
        <w:tc>
          <w:tcPr>
            <w:tcW w:w="3858" w:type="pct"/>
          </w:tcPr>
          <w:p w:rsidRPr="00787608" w:rsidR="001B5867" w:rsidP="00224E7B" w:rsidRDefault="001B5867" w14:paraId="54AA87D3" w14:textId="77777777">
            <w:pPr>
              <w:tabs>
                <w:tab w:val="center" w:pos="284"/>
              </w:tabs>
              <w:ind w:left="266" w:hanging="266"/>
              <w:rPr>
                <w:szCs w:val="24"/>
              </w:rPr>
            </w:pPr>
            <w:r>
              <w:t>Patrice CHAZERAND (catégorie 1 — FR)</w:t>
            </w:r>
          </w:p>
        </w:tc>
      </w:tr>
      <w:tr w:rsidRPr="00787608" w:rsidR="001B5867" w:rsidTr="00224E7B" w14:paraId="65028AFD" w14:textId="77777777">
        <w:tc>
          <w:tcPr>
            <w:tcW w:w="5000" w:type="pct"/>
            <w:gridSpan w:val="2"/>
          </w:tcPr>
          <w:p w:rsidRPr="00787608" w:rsidR="001B5867" w:rsidP="00224E7B" w:rsidRDefault="001B5867" w14:paraId="2C6CCD09" w14:textId="77777777">
            <w:pPr>
              <w:tabs>
                <w:tab w:val="center" w:pos="284"/>
              </w:tabs>
              <w:ind w:left="266" w:hanging="266"/>
              <w:rPr>
                <w:sz w:val="16"/>
                <w:szCs w:val="18"/>
                <w:lang w:val="en-US"/>
              </w:rPr>
            </w:pPr>
          </w:p>
        </w:tc>
      </w:tr>
      <w:tr w:rsidRPr="00787608" w:rsidR="001B5867" w:rsidTr="00224E7B" w14:paraId="5F01FE86" w14:textId="77777777">
        <w:tc>
          <w:tcPr>
            <w:tcW w:w="1142" w:type="pct"/>
            <w:vMerge w:val="restart"/>
          </w:tcPr>
          <w:p w:rsidRPr="00787608" w:rsidR="001B5867" w:rsidP="00224E7B" w:rsidRDefault="001B5867" w14:paraId="2D9AF902" w14:textId="77777777">
            <w:pPr>
              <w:tabs>
                <w:tab w:val="center" w:pos="284"/>
              </w:tabs>
              <w:ind w:left="266" w:hanging="266"/>
              <w:rPr>
                <w:b/>
                <w:szCs w:val="24"/>
              </w:rPr>
            </w:pPr>
            <w:r>
              <w:rPr>
                <w:b/>
              </w:rPr>
              <w:t>Référence</w:t>
            </w:r>
          </w:p>
        </w:tc>
        <w:tc>
          <w:tcPr>
            <w:tcW w:w="3858" w:type="pct"/>
          </w:tcPr>
          <w:p w:rsidRPr="00787608" w:rsidR="001B5867" w:rsidP="00224E7B" w:rsidRDefault="001B5867" w14:paraId="2D4F8730" w14:textId="77777777">
            <w:pPr>
              <w:tabs>
                <w:tab w:val="center" w:pos="284"/>
              </w:tabs>
              <w:ind w:left="266" w:hanging="266"/>
              <w:rPr>
                <w:szCs w:val="24"/>
              </w:rPr>
            </w:pPr>
            <w:r>
              <w:t>EESC-2024-00046-00-00-AC</w:t>
            </w:r>
          </w:p>
        </w:tc>
      </w:tr>
      <w:tr w:rsidRPr="00787608" w:rsidR="001B5867" w:rsidTr="00224E7B" w14:paraId="6DA4D2B5" w14:textId="77777777">
        <w:tc>
          <w:tcPr>
            <w:tcW w:w="1142" w:type="pct"/>
            <w:vMerge/>
          </w:tcPr>
          <w:p w:rsidRPr="00787608" w:rsidR="001B5867" w:rsidP="00224E7B" w:rsidRDefault="001B5867" w14:paraId="6A8E3C75" w14:textId="77777777">
            <w:pPr>
              <w:tabs>
                <w:tab w:val="center" w:pos="284"/>
              </w:tabs>
              <w:ind w:left="266" w:hanging="266"/>
              <w:rPr>
                <w:b/>
                <w:szCs w:val="24"/>
                <w:lang w:val="en-US"/>
              </w:rPr>
            </w:pPr>
          </w:p>
        </w:tc>
        <w:tc>
          <w:tcPr>
            <w:tcW w:w="3858" w:type="pct"/>
          </w:tcPr>
          <w:p w:rsidRPr="00787608" w:rsidR="001B5867" w:rsidP="00224E7B" w:rsidRDefault="001B5867" w14:paraId="6DB25647" w14:textId="77777777">
            <w:pPr>
              <w:tabs>
                <w:tab w:val="center" w:pos="284"/>
              </w:tabs>
              <w:ind w:left="266" w:hanging="266"/>
              <w:rPr>
                <w:szCs w:val="24"/>
                <w:lang w:val="en-US"/>
              </w:rPr>
            </w:pPr>
          </w:p>
        </w:tc>
      </w:tr>
    </w:tbl>
    <w:p w:rsidRPr="00787608" w:rsidR="001B5867" w:rsidP="001B5867" w:rsidRDefault="001B5867" w14:paraId="67345FC4" w14:textId="77777777">
      <w:pPr>
        <w:widowControl w:val="0"/>
        <w:tabs>
          <w:tab w:val="left" w:pos="1843"/>
        </w:tabs>
        <w:overflowPunct w:val="0"/>
        <w:autoSpaceDE w:val="0"/>
        <w:autoSpaceDN w:val="0"/>
        <w:adjustRightInd w:val="0"/>
        <w:textAlignment w:val="baseline"/>
        <w:rPr>
          <w:b/>
          <w:sz w:val="16"/>
          <w:szCs w:val="16"/>
          <w:lang w:val="en-US"/>
        </w:rPr>
      </w:pPr>
    </w:p>
    <w:p w:rsidR="001B5867" w:rsidP="001B5867" w:rsidRDefault="001B5867" w14:paraId="5F4ABF56" w14:textId="543B94E9">
      <w:pPr>
        <w:keepNext/>
        <w:keepLines/>
        <w:ind w:left="142" w:hanging="142"/>
        <w:rPr>
          <w:b/>
        </w:rPr>
      </w:pPr>
      <w:r>
        <w:rPr>
          <w:b/>
        </w:rPr>
        <w:t>Points clés</w:t>
      </w:r>
    </w:p>
    <w:p w:rsidRPr="00F6194F" w:rsidR="00773A5A" w:rsidP="001B5867" w:rsidRDefault="00773A5A" w14:paraId="0CCC8617" w14:textId="77777777">
      <w:pPr>
        <w:keepNext/>
        <w:keepLines/>
        <w:ind w:left="142" w:hanging="142"/>
        <w:rPr>
          <w:b/>
        </w:rPr>
      </w:pPr>
    </w:p>
    <w:p w:rsidR="001B5867" w:rsidP="001B5867" w:rsidRDefault="001B5867" w14:paraId="519B3DFA" w14:textId="1D40D2DC">
      <w:pPr>
        <w:ind w:left="142"/>
      </w:pPr>
      <w:r>
        <w:t>Le CESE:</w:t>
      </w:r>
    </w:p>
    <w:p w:rsidRPr="007F6262" w:rsidR="00773A5A" w:rsidP="001B5867" w:rsidRDefault="00773A5A" w14:paraId="5AE605BB" w14:textId="77777777">
      <w:pPr>
        <w:ind w:left="142"/>
      </w:pPr>
    </w:p>
    <w:p w:rsidRPr="00EA5CC5" w:rsidR="001B5867" w:rsidP="001B5867" w:rsidRDefault="001B5867" w14:paraId="4BA583B3" w14:textId="77777777">
      <w:pPr>
        <w:pStyle w:val="ListParagraph"/>
        <w:numPr>
          <w:ilvl w:val="0"/>
          <w:numId w:val="5"/>
        </w:numPr>
        <w:ind w:left="714" w:hanging="357"/>
        <w:contextualSpacing w:val="0"/>
      </w:pPr>
      <w:r>
        <w:t xml:space="preserve">estime que le lien entre la </w:t>
      </w:r>
      <w:r>
        <w:rPr>
          <w:b/>
        </w:rPr>
        <w:t>stratégie européenne en matière de drones</w:t>
      </w:r>
      <w:r>
        <w:t xml:space="preserve"> et la</w:t>
      </w:r>
      <w:r>
        <w:rPr>
          <w:b/>
        </w:rPr>
        <w:t xml:space="preserve"> stratégie pour l’industrie européenne de la défense</w:t>
      </w:r>
      <w:r>
        <w:t xml:space="preserve">, ainsi que l’intégration de la </w:t>
      </w:r>
      <w:r>
        <w:rPr>
          <w:b/>
        </w:rPr>
        <w:t>base industrielle et technologique de défense européenne (BITDE)</w:t>
      </w:r>
      <w:r>
        <w:t xml:space="preserve"> pour soutenir la </w:t>
      </w:r>
      <w:r>
        <w:rPr>
          <w:b/>
        </w:rPr>
        <w:t xml:space="preserve">production de drones en Europe </w:t>
      </w:r>
      <w:r>
        <w:t>grâce à un</w:t>
      </w:r>
      <w:r>
        <w:rPr>
          <w:b/>
        </w:rPr>
        <w:t xml:space="preserve"> flux régulier d’achats publics</w:t>
      </w:r>
      <w:r>
        <w:t>, sont essentiels pour garantir l’indépendance critique de cette dernière;</w:t>
      </w:r>
    </w:p>
    <w:p w:rsidRPr="00EA5CC5" w:rsidR="001B5867" w:rsidP="001B5867" w:rsidRDefault="001B5867" w14:paraId="27BA48BD" w14:textId="77777777">
      <w:pPr>
        <w:pStyle w:val="ListParagraph"/>
        <w:numPr>
          <w:ilvl w:val="0"/>
          <w:numId w:val="5"/>
        </w:numPr>
        <w:ind w:left="714" w:hanging="357"/>
        <w:contextualSpacing w:val="0"/>
      </w:pPr>
      <w:r>
        <w:t xml:space="preserve">continue de plaider en faveur d’une </w:t>
      </w:r>
      <w:r>
        <w:rPr>
          <w:b/>
        </w:rPr>
        <w:t>collaboration et d’une innovation accrues</w:t>
      </w:r>
      <w:r>
        <w:t xml:space="preserve"> ainsi que de l’exploitation de la législation telle que celle sur l’intelligence artificielle et le règlement sur les semi-conducteurs afin d’</w:t>
      </w:r>
      <w:r>
        <w:rPr>
          <w:b/>
        </w:rPr>
        <w:t>accroître l’autonomie stratégique</w:t>
      </w:r>
      <w:r>
        <w:t xml:space="preserve"> et de renforcer la sécurité et la croissance économique des États membres;</w:t>
      </w:r>
    </w:p>
    <w:p w:rsidRPr="00EA5CC5" w:rsidR="001B5867" w:rsidP="001B5867" w:rsidRDefault="001B5867" w14:paraId="308544EA" w14:textId="77777777">
      <w:pPr>
        <w:pStyle w:val="ListParagraph"/>
        <w:numPr>
          <w:ilvl w:val="0"/>
          <w:numId w:val="5"/>
        </w:numPr>
        <w:ind w:left="714" w:hanging="357"/>
        <w:contextualSpacing w:val="0"/>
      </w:pPr>
      <w:r>
        <w:t xml:space="preserve">fait observer que la nécessité d’une </w:t>
      </w:r>
      <w:r>
        <w:rPr>
          <w:b/>
        </w:rPr>
        <w:t>cohérence entre la recherche-développement (R&amp;D)</w:t>
      </w:r>
      <w:r>
        <w:t xml:space="preserve"> militaire et civile ne fera qu’augmenter à mesure de l’utilisation croissante, par les drones, de l’automatisation, de l’apprentissage automatique et de l’intelligence artificielle (IA);</w:t>
      </w:r>
    </w:p>
    <w:p w:rsidRPr="00EA5CC5" w:rsidR="001B5867" w:rsidP="001B5867" w:rsidRDefault="001B5867" w14:paraId="03B19F13" w14:textId="77777777">
      <w:pPr>
        <w:pStyle w:val="ListParagraph"/>
        <w:numPr>
          <w:ilvl w:val="0"/>
          <w:numId w:val="5"/>
        </w:numPr>
        <w:ind w:left="714" w:hanging="357"/>
        <w:contextualSpacing w:val="0"/>
      </w:pPr>
      <w:r>
        <w:t xml:space="preserve">estime qu’une </w:t>
      </w:r>
      <w:r>
        <w:rPr>
          <w:b/>
        </w:rPr>
        <w:t>feuille de route des technologies stratégiques</w:t>
      </w:r>
      <w:r>
        <w:t xml:space="preserve"> </w:t>
      </w:r>
      <w:r>
        <w:rPr>
          <w:b/>
        </w:rPr>
        <w:t>relatives aux drones</w:t>
      </w:r>
      <w:r>
        <w:t xml:space="preserve"> est essentielle pour les technologies de drones critiques et les systèmes de drones à double usage susceptibles de fournir une approche structurée pour faire progresser la technologie des drones;</w:t>
      </w:r>
    </w:p>
    <w:p w:rsidRPr="00EA5CC5" w:rsidR="001B5867" w:rsidP="001B5867" w:rsidRDefault="001B5867" w14:paraId="50305C1D" w14:textId="77777777">
      <w:pPr>
        <w:pStyle w:val="ListParagraph"/>
        <w:numPr>
          <w:ilvl w:val="0"/>
          <w:numId w:val="5"/>
        </w:numPr>
        <w:ind w:left="714" w:hanging="357"/>
        <w:contextualSpacing w:val="0"/>
      </w:pPr>
      <w:r>
        <w:t xml:space="preserve">souligne qu’il convient d’examiner de manière plus approfondie le </w:t>
      </w:r>
      <w:r>
        <w:rPr>
          <w:b/>
        </w:rPr>
        <w:t>soutien financier aux investissements potentiels dans la production de drones et dans l’intégration des chaînes d’approvisionnement et de valeur</w:t>
      </w:r>
      <w:r>
        <w:t>;</w:t>
      </w:r>
    </w:p>
    <w:p w:rsidRPr="00EA5CC5" w:rsidR="001B5867" w:rsidP="001B5867" w:rsidRDefault="001B5867" w14:paraId="6A4AB7EC" w14:textId="77777777">
      <w:pPr>
        <w:pStyle w:val="ListParagraph"/>
        <w:numPr>
          <w:ilvl w:val="0"/>
          <w:numId w:val="5"/>
        </w:numPr>
        <w:ind w:left="714" w:hanging="357"/>
        <w:contextualSpacing w:val="0"/>
      </w:pPr>
      <w:r>
        <w:t>insiste sur le fait que l’Union devrait s’engager plus activement au niveau mondial, notamment en ce qui concerne les procédures de certification;</w:t>
      </w:r>
    </w:p>
    <w:p w:rsidRPr="008F37D6" w:rsidR="001B5867" w:rsidP="001B5867" w:rsidRDefault="001B5867" w14:paraId="4F7ECE72" w14:textId="77777777">
      <w:pPr>
        <w:pStyle w:val="ListParagraph"/>
        <w:numPr>
          <w:ilvl w:val="0"/>
          <w:numId w:val="5"/>
        </w:numPr>
        <w:ind w:left="714" w:hanging="357"/>
        <w:contextualSpacing w:val="0"/>
      </w:pPr>
      <w:r>
        <w:t>note que l’</w:t>
      </w:r>
      <w:r>
        <w:rPr>
          <w:b/>
        </w:rPr>
        <w:t>acceptation par la société</w:t>
      </w:r>
      <w:r>
        <w:t xml:space="preserve"> des opérations innovantes de mobilité aérienne est essentielle: le soutien de l’Union est susceptible de renforcer l’écosystème aérien dans son ensemble, en contribuant à sa croissance et à sa durabilité;</w:t>
      </w:r>
    </w:p>
    <w:p w:rsidR="001B5867" w:rsidP="001B5867" w:rsidRDefault="001B5867" w14:paraId="4EC2D2F7" w14:textId="77777777">
      <w:pPr>
        <w:pStyle w:val="ListParagraph"/>
        <w:numPr>
          <w:ilvl w:val="0"/>
          <w:numId w:val="5"/>
        </w:numPr>
        <w:ind w:left="714" w:hanging="357"/>
        <w:contextualSpacing w:val="0"/>
      </w:pPr>
      <w:r>
        <w:t xml:space="preserve">insiste sur le fait que l’UE devrait également être prête à élaborer une </w:t>
      </w:r>
      <w:r>
        <w:rPr>
          <w:b/>
        </w:rPr>
        <w:t>stratégie</w:t>
      </w:r>
      <w:r>
        <w:t xml:space="preserve"> consolidée </w:t>
      </w:r>
      <w:r>
        <w:rPr>
          <w:b/>
        </w:rPr>
        <w:t>visant à mettre en place un bouclier commun anti-drones</w:t>
      </w:r>
      <w:r>
        <w:t xml:space="preserve"> afin de faire face aux risques multiples liés aux menaces hybrides, aux actes terroristes, aux agressions commises par d’autres États, voire aux abus au niveau civil.</w:t>
      </w:r>
    </w:p>
    <w:p w:rsidR="001B5867" w:rsidP="001B5867" w:rsidRDefault="001B5867" w14:paraId="2324289F" w14:textId="77777777">
      <w:pPr>
        <w:pStyle w:val="ListParagraph"/>
        <w:ind w:left="714"/>
        <w:contextualSpacing w:val="0"/>
        <w:rPr>
          <w:lang w:val="en-GB"/>
        </w:rPr>
      </w:pPr>
    </w:p>
    <w:p w:rsidR="001B5867" w:rsidP="001B5867" w:rsidRDefault="001B5867" w14:paraId="3D371BE7" w14:textId="77777777">
      <w:pPr>
        <w:pStyle w:val="ListParagraph"/>
        <w:ind w:left="714"/>
        <w:contextualSpacing w:val="0"/>
        <w:rPr>
          <w:lang w:val="en-GB"/>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1"/>
        <w:gridCol w:w="3920"/>
      </w:tblGrid>
      <w:tr w:rsidRPr="007F6262" w:rsidR="001B5867" w:rsidTr="00224E7B" w14:paraId="24D02210" w14:textId="77777777">
        <w:tc>
          <w:tcPr>
            <w:tcW w:w="2089" w:type="pct"/>
          </w:tcPr>
          <w:p w:rsidRPr="007F6262" w:rsidR="001B5867" w:rsidP="00224E7B" w:rsidRDefault="001B5867" w14:paraId="063632FB" w14:textId="77777777">
            <w:pPr>
              <w:rPr>
                <w:i/>
              </w:rPr>
            </w:pPr>
            <w:r>
              <w:rPr>
                <w:b/>
                <w:i/>
              </w:rPr>
              <w:t>Contact</w:t>
            </w:r>
          </w:p>
        </w:tc>
        <w:tc>
          <w:tcPr>
            <w:tcW w:w="2911" w:type="pct"/>
            <w:tcBorders>
              <w:left w:val="nil"/>
            </w:tcBorders>
          </w:tcPr>
          <w:p w:rsidRPr="007F6262" w:rsidR="001B5867" w:rsidP="00224E7B" w:rsidRDefault="001B5867" w14:paraId="684E744A" w14:textId="77777777">
            <w:pPr>
              <w:rPr>
                <w:i/>
              </w:rPr>
            </w:pPr>
            <w:r>
              <w:rPr>
                <w:i/>
              </w:rPr>
              <w:t>Ioannis DIAMANTOPOULOS</w:t>
            </w:r>
          </w:p>
        </w:tc>
      </w:tr>
      <w:tr w:rsidRPr="007F6262" w:rsidR="001B5867" w:rsidTr="00224E7B" w14:paraId="29F8EF4F" w14:textId="77777777">
        <w:tc>
          <w:tcPr>
            <w:tcW w:w="2089" w:type="pct"/>
          </w:tcPr>
          <w:p w:rsidRPr="007F6262" w:rsidR="001B5867" w:rsidP="00224E7B" w:rsidRDefault="001B5867" w14:paraId="5FB777DB" w14:textId="77777777">
            <w:pPr>
              <w:rPr>
                <w:i/>
              </w:rPr>
            </w:pPr>
            <w:r>
              <w:rPr>
                <w:i/>
              </w:rPr>
              <w:t xml:space="preserve">Tél. </w:t>
            </w:r>
          </w:p>
        </w:tc>
        <w:tc>
          <w:tcPr>
            <w:tcW w:w="2911" w:type="pct"/>
            <w:tcBorders>
              <w:left w:val="nil"/>
            </w:tcBorders>
          </w:tcPr>
          <w:p w:rsidRPr="007F6262" w:rsidR="001B5867" w:rsidP="00224E7B" w:rsidRDefault="001B5867" w14:paraId="1C7E07AB" w14:textId="77777777">
            <w:pPr>
              <w:rPr>
                <w:i/>
              </w:rPr>
            </w:pPr>
            <w:r>
              <w:rPr>
                <w:i/>
              </w:rPr>
              <w:t>+32 25469170</w:t>
            </w:r>
          </w:p>
        </w:tc>
      </w:tr>
      <w:tr w:rsidRPr="007F6262" w:rsidR="001B5867" w:rsidTr="00224E7B" w14:paraId="1985F9CF" w14:textId="77777777">
        <w:tc>
          <w:tcPr>
            <w:tcW w:w="2089" w:type="pct"/>
          </w:tcPr>
          <w:p w:rsidRPr="007F6262" w:rsidR="001B5867" w:rsidP="00224E7B" w:rsidRDefault="001B5867" w14:paraId="4E01686A" w14:textId="77777777">
            <w:pPr>
              <w:rPr>
                <w:i/>
                <w:iCs/>
              </w:rPr>
            </w:pPr>
            <w:r>
              <w:rPr>
                <w:i/>
              </w:rPr>
              <w:t>Courriel</w:t>
            </w:r>
          </w:p>
        </w:tc>
        <w:tc>
          <w:tcPr>
            <w:tcW w:w="2911" w:type="pct"/>
            <w:tcBorders>
              <w:left w:val="nil"/>
            </w:tcBorders>
          </w:tcPr>
          <w:p w:rsidRPr="00EB0FF7" w:rsidR="001B5867" w:rsidP="00224E7B" w:rsidRDefault="001B5867" w14:paraId="270F859F" w14:textId="77777777">
            <w:pPr>
              <w:rPr>
                <w:i/>
                <w:iCs/>
              </w:rPr>
            </w:pPr>
            <w:r>
              <w:rPr>
                <w:i/>
                <w:color w:val="0000FF"/>
                <w:u w:val="single"/>
              </w:rPr>
              <w:t>Ioannis.Diamantopoulos@eesc.europa.eu</w:t>
            </w:r>
          </w:p>
        </w:tc>
      </w:tr>
    </w:tbl>
    <w:p w:rsidR="00DD6D07" w:rsidRDefault="00DD6D07" w14:paraId="00CC9B58" w14:textId="77777777">
      <w:pPr>
        <w:spacing w:after="160" w:line="259" w:lineRule="auto"/>
        <w:jc w:val="left"/>
      </w:pPr>
      <w:r>
        <w:br w:type="page"/>
      </w:r>
    </w:p>
    <w:p w:rsidRPr="00763103" w:rsidR="00D86BEF" w:rsidP="00D86BEF" w:rsidRDefault="00EE33D5" w14:paraId="612FCF7E" w14:textId="551D1BEA">
      <w:pPr>
        <w:pStyle w:val="ListParagraph"/>
        <w:widowControl w:val="0"/>
        <w:numPr>
          <w:ilvl w:val="0"/>
          <w:numId w:val="4"/>
        </w:numPr>
        <w:tabs>
          <w:tab w:val="center" w:pos="567"/>
        </w:tabs>
        <w:overflowPunct w:val="0"/>
        <w:autoSpaceDE w:val="0"/>
        <w:autoSpaceDN w:val="0"/>
        <w:adjustRightInd w:val="0"/>
        <w:ind w:left="567" w:hanging="567"/>
        <w:textAlignment w:val="baseline"/>
        <w:rPr>
          <w:b/>
          <w:i/>
          <w:iCs/>
          <w:sz w:val="28"/>
          <w:szCs w:val="28"/>
        </w:rPr>
      </w:pPr>
      <w:hyperlink w:history="1" r:id="rId33">
        <w:r w:rsidR="00D86BEF">
          <w:rPr>
            <w:rStyle w:val="Hyperlink"/>
            <w:b/>
            <w:i/>
            <w:sz w:val="28"/>
          </w:rPr>
          <w:t>Communication sur la gestion industrielle du carbone</w:t>
        </w:r>
      </w:hyperlink>
    </w:p>
    <w:p w:rsidRPr="00F6194F" w:rsidR="00D86BEF" w:rsidP="00D86BEF" w:rsidRDefault="00D86BEF" w14:paraId="02381102" w14:textId="77777777">
      <w:pPr>
        <w:widowControl w:val="0"/>
        <w:tabs>
          <w:tab w:val="center" w:pos="284"/>
        </w:tabs>
        <w:overflowPunct w:val="0"/>
        <w:autoSpaceDE w:val="0"/>
        <w:autoSpaceDN w:val="0"/>
        <w:adjustRightInd w:val="0"/>
        <w:textAlignment w:val="baseline"/>
        <w:rPr>
          <w:b/>
          <w:lang w:val="en-US"/>
        </w:rPr>
      </w:pPr>
    </w:p>
    <w:tbl>
      <w:tblPr>
        <w:tblStyle w:val="TableGrid"/>
        <w:tblW w:w="449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0"/>
        <w:gridCol w:w="6225"/>
      </w:tblGrid>
      <w:tr w:rsidRPr="00763103" w:rsidR="00D86BEF" w:rsidTr="00224E7B" w14:paraId="04EA70BE" w14:textId="77777777">
        <w:tc>
          <w:tcPr>
            <w:tcW w:w="1216" w:type="pct"/>
          </w:tcPr>
          <w:p w:rsidRPr="00763103" w:rsidR="00D86BEF" w:rsidP="00224E7B" w:rsidRDefault="00D86BEF" w14:paraId="3BF13359" w14:textId="77777777">
            <w:pPr>
              <w:tabs>
                <w:tab w:val="center" w:pos="284"/>
              </w:tabs>
              <w:ind w:left="266" w:hanging="266"/>
              <w:rPr>
                <w:b/>
                <w:szCs w:val="24"/>
              </w:rPr>
            </w:pPr>
            <w:r>
              <w:rPr>
                <w:b/>
              </w:rPr>
              <w:t>Rapporteur</w:t>
            </w:r>
          </w:p>
        </w:tc>
        <w:tc>
          <w:tcPr>
            <w:tcW w:w="3784" w:type="pct"/>
          </w:tcPr>
          <w:p w:rsidRPr="00763103" w:rsidR="00D86BEF" w:rsidP="00224E7B" w:rsidRDefault="00D86BEF" w14:paraId="2F4BAAF6" w14:textId="55B4E185">
            <w:pPr>
              <w:tabs>
                <w:tab w:val="center" w:pos="284"/>
              </w:tabs>
              <w:ind w:left="266" w:hanging="266"/>
              <w:rPr>
                <w:szCs w:val="24"/>
              </w:rPr>
            </w:pPr>
            <w:proofErr w:type="spellStart"/>
            <w:r>
              <w:t>Gonçalo</w:t>
            </w:r>
            <w:proofErr w:type="spellEnd"/>
            <w:r>
              <w:t xml:space="preserve"> LOBO XAVIER (groupe des employeurs</w:t>
            </w:r>
            <w:r w:rsidR="000C23A1">
              <w:t xml:space="preserve"> </w:t>
            </w:r>
            <w:r>
              <w:t>— PT)</w:t>
            </w:r>
          </w:p>
        </w:tc>
      </w:tr>
      <w:tr w:rsidRPr="00763103" w:rsidR="00D86BEF" w:rsidTr="00224E7B" w14:paraId="0B729ABA" w14:textId="77777777">
        <w:tc>
          <w:tcPr>
            <w:tcW w:w="1216" w:type="pct"/>
          </w:tcPr>
          <w:p w:rsidRPr="00763103" w:rsidR="00D86BEF" w:rsidP="00224E7B" w:rsidRDefault="00D86BEF" w14:paraId="30F3E68A" w14:textId="77777777">
            <w:pPr>
              <w:tabs>
                <w:tab w:val="center" w:pos="284"/>
              </w:tabs>
              <w:ind w:left="266" w:hanging="266"/>
              <w:rPr>
                <w:b/>
                <w:szCs w:val="24"/>
              </w:rPr>
            </w:pPr>
            <w:r>
              <w:rPr>
                <w:b/>
              </w:rPr>
              <w:t>Corapporteur</w:t>
            </w:r>
          </w:p>
        </w:tc>
        <w:tc>
          <w:tcPr>
            <w:tcW w:w="3784" w:type="pct"/>
          </w:tcPr>
          <w:p w:rsidRPr="00763103" w:rsidR="00D86BEF" w:rsidP="00224E7B" w:rsidRDefault="00D86BEF" w14:paraId="17E01AD8" w14:textId="22CD3D5E">
            <w:pPr>
              <w:tabs>
                <w:tab w:val="center" w:pos="284"/>
              </w:tabs>
              <w:ind w:left="266" w:hanging="266"/>
              <w:rPr>
                <w:szCs w:val="24"/>
              </w:rPr>
            </w:pPr>
            <w:r>
              <w:t>Jean-Michel</w:t>
            </w:r>
            <w:r w:rsidR="00204880">
              <w:t> </w:t>
            </w:r>
            <w:r>
              <w:t>POURTEAU (catégorie 2 — FR)</w:t>
            </w:r>
          </w:p>
        </w:tc>
      </w:tr>
      <w:tr w:rsidRPr="00763103" w:rsidR="00D86BEF" w:rsidTr="00224E7B" w14:paraId="7D538EA4" w14:textId="77777777">
        <w:tc>
          <w:tcPr>
            <w:tcW w:w="5000" w:type="pct"/>
            <w:gridSpan w:val="2"/>
          </w:tcPr>
          <w:p w:rsidRPr="00763103" w:rsidR="00D86BEF" w:rsidP="00224E7B" w:rsidRDefault="00D86BEF" w14:paraId="46A68545" w14:textId="77777777">
            <w:pPr>
              <w:tabs>
                <w:tab w:val="center" w:pos="284"/>
              </w:tabs>
              <w:spacing w:line="160" w:lineRule="exact"/>
              <w:ind w:left="266" w:hanging="266"/>
              <w:rPr>
                <w:szCs w:val="24"/>
                <w:lang w:val="en-US"/>
              </w:rPr>
            </w:pPr>
          </w:p>
        </w:tc>
      </w:tr>
      <w:tr w:rsidRPr="00763103" w:rsidR="00D86BEF" w:rsidTr="00224E7B" w14:paraId="2931479A" w14:textId="77777777">
        <w:tc>
          <w:tcPr>
            <w:tcW w:w="1216" w:type="pct"/>
            <w:vMerge w:val="restart"/>
          </w:tcPr>
          <w:p w:rsidRPr="00763103" w:rsidR="00D86BEF" w:rsidP="00224E7B" w:rsidRDefault="00D86BEF" w14:paraId="09941CF9" w14:textId="77777777">
            <w:pPr>
              <w:tabs>
                <w:tab w:val="center" w:pos="284"/>
              </w:tabs>
              <w:ind w:left="266" w:hanging="266"/>
              <w:rPr>
                <w:b/>
                <w:szCs w:val="24"/>
              </w:rPr>
            </w:pPr>
            <w:r>
              <w:rPr>
                <w:b/>
              </w:rPr>
              <w:t>Références</w:t>
            </w:r>
          </w:p>
        </w:tc>
        <w:tc>
          <w:tcPr>
            <w:tcW w:w="3784" w:type="pct"/>
          </w:tcPr>
          <w:p w:rsidRPr="00763103" w:rsidR="00D86BEF" w:rsidP="00224E7B" w:rsidRDefault="00D86BEF" w14:paraId="12282572" w14:textId="66513C28">
            <w:pPr>
              <w:tabs>
                <w:tab w:val="center" w:pos="284"/>
              </w:tabs>
              <w:ind w:left="266" w:hanging="266"/>
              <w:rPr>
                <w:szCs w:val="24"/>
              </w:rPr>
            </w:pPr>
            <w:r>
              <w:t>COM(2024)</w:t>
            </w:r>
            <w:r w:rsidR="000C23A1">
              <w:t> </w:t>
            </w:r>
            <w:r>
              <w:t>62</w:t>
            </w:r>
            <w:r w:rsidR="00204880">
              <w:t> </w:t>
            </w:r>
            <w:r>
              <w:t>final</w:t>
            </w:r>
          </w:p>
        </w:tc>
      </w:tr>
      <w:tr w:rsidRPr="00763103" w:rsidR="00D86BEF" w:rsidTr="00224E7B" w14:paraId="5BD6D228" w14:textId="77777777">
        <w:tc>
          <w:tcPr>
            <w:tcW w:w="1216" w:type="pct"/>
            <w:vMerge/>
          </w:tcPr>
          <w:p w:rsidRPr="00763103" w:rsidR="00D86BEF" w:rsidP="00224E7B" w:rsidRDefault="00D86BEF" w14:paraId="6294B9D5" w14:textId="77777777">
            <w:pPr>
              <w:tabs>
                <w:tab w:val="center" w:pos="284"/>
              </w:tabs>
              <w:ind w:left="266" w:hanging="266"/>
              <w:rPr>
                <w:b/>
                <w:szCs w:val="24"/>
                <w:lang w:val="en-US"/>
              </w:rPr>
            </w:pPr>
          </w:p>
        </w:tc>
        <w:tc>
          <w:tcPr>
            <w:tcW w:w="3784" w:type="pct"/>
          </w:tcPr>
          <w:p w:rsidRPr="00763103" w:rsidR="00D86BEF" w:rsidP="00224E7B" w:rsidRDefault="00D86BEF" w14:paraId="7EAA06E1" w14:textId="77777777">
            <w:pPr>
              <w:tabs>
                <w:tab w:val="center" w:pos="284"/>
              </w:tabs>
              <w:ind w:left="266" w:hanging="266"/>
              <w:rPr>
                <w:szCs w:val="24"/>
              </w:rPr>
            </w:pPr>
            <w:r>
              <w:t>EESC-2024-00878-00-00-AC</w:t>
            </w:r>
          </w:p>
        </w:tc>
      </w:tr>
    </w:tbl>
    <w:p w:rsidRPr="00F6194F" w:rsidR="00D86BEF" w:rsidP="00D86BEF" w:rsidRDefault="00D86BEF" w14:paraId="5B494270" w14:textId="77777777">
      <w:pPr>
        <w:widowControl w:val="0"/>
        <w:tabs>
          <w:tab w:val="left" w:pos="1843"/>
        </w:tabs>
        <w:overflowPunct w:val="0"/>
        <w:autoSpaceDE w:val="0"/>
        <w:autoSpaceDN w:val="0"/>
        <w:adjustRightInd w:val="0"/>
        <w:textAlignment w:val="baseline"/>
        <w:rPr>
          <w:b/>
          <w:lang w:val="en-US"/>
        </w:rPr>
      </w:pPr>
    </w:p>
    <w:p w:rsidR="00D86BEF" w:rsidP="00D86BEF" w:rsidRDefault="00D86BEF" w14:paraId="2486B0D6" w14:textId="58C4D186">
      <w:pPr>
        <w:keepNext/>
        <w:keepLines/>
        <w:ind w:left="142" w:hanging="142"/>
        <w:rPr>
          <w:b/>
        </w:rPr>
      </w:pPr>
      <w:r>
        <w:rPr>
          <w:b/>
        </w:rPr>
        <w:t>Points clés</w:t>
      </w:r>
    </w:p>
    <w:p w:rsidRPr="00F6194F" w:rsidR="00773A5A" w:rsidP="00D86BEF" w:rsidRDefault="00773A5A" w14:paraId="11A6E2A4" w14:textId="77777777">
      <w:pPr>
        <w:keepNext/>
        <w:keepLines/>
        <w:ind w:left="142" w:hanging="142"/>
        <w:rPr>
          <w:b/>
        </w:rPr>
      </w:pPr>
    </w:p>
    <w:p w:rsidR="00D86BEF" w:rsidP="00D86BEF" w:rsidRDefault="00D86BEF" w14:paraId="5E3AB5AA" w14:textId="4A5162B4">
      <w:r>
        <w:t>Le CESE:</w:t>
      </w:r>
    </w:p>
    <w:p w:rsidRPr="007F6262" w:rsidR="00773A5A" w:rsidP="00D86BEF" w:rsidRDefault="00773A5A" w14:paraId="2F4464EA" w14:textId="77777777"/>
    <w:p w:rsidR="00D86BEF" w:rsidP="00D86BEF" w:rsidRDefault="00D86BEF" w14:paraId="0D58363E" w14:textId="77777777">
      <w:pPr>
        <w:pStyle w:val="ListParagraph"/>
        <w:numPr>
          <w:ilvl w:val="0"/>
          <w:numId w:val="5"/>
        </w:numPr>
        <w:ind w:left="567" w:hanging="567"/>
      </w:pPr>
      <w:r>
        <w:t xml:space="preserve">considère que d’une manière générale, la </w:t>
      </w:r>
      <w:r>
        <w:rPr>
          <w:b/>
          <w:bCs/>
        </w:rPr>
        <w:t>stratégie pour la gestion industrielle du carbone</w:t>
      </w:r>
      <w:r>
        <w:t xml:space="preserve"> constitue un </w:t>
      </w:r>
      <w:r>
        <w:rPr>
          <w:b/>
          <w:bCs/>
        </w:rPr>
        <w:t>document tout à fait judicieux et équilibré</w:t>
      </w:r>
      <w:r>
        <w:t xml:space="preserve">, qui aborde bon nombre de facteurs revêtant une importance capitale </w:t>
      </w:r>
      <w:r>
        <w:rPr>
          <w:b/>
          <w:bCs/>
        </w:rPr>
        <w:t>pour que les filières de captage et stockage du carbone (CSC) et de captage et utilisation du carbone (CUC) se déploient à une échelle industrielle dans l’Union européenne</w:t>
      </w:r>
      <w:r>
        <w:t>;</w:t>
      </w:r>
    </w:p>
    <w:p w:rsidRPr="00522A06" w:rsidR="00D86BEF" w:rsidP="00D86BEF" w:rsidRDefault="00D86BEF" w14:paraId="0C25A931" w14:textId="77777777">
      <w:pPr>
        <w:pStyle w:val="ListParagraph"/>
        <w:numPr>
          <w:ilvl w:val="0"/>
          <w:numId w:val="5"/>
        </w:numPr>
        <w:ind w:left="567" w:hanging="567"/>
      </w:pPr>
      <w:r>
        <w:t>reconnaît que pour jeter les bases d’</w:t>
      </w:r>
      <w:r>
        <w:rPr>
          <w:b/>
          <w:bCs/>
        </w:rPr>
        <w:t>un marché unique du carbone</w:t>
      </w:r>
      <w:r>
        <w:t xml:space="preserve">, il y a lieu de </w:t>
      </w:r>
      <w:r>
        <w:rPr>
          <w:b/>
          <w:bCs/>
        </w:rPr>
        <w:t>mettre en place des infrastructures de stockage et de transport, y compris au niveau transfrontière</w:t>
      </w:r>
      <w:r>
        <w:t xml:space="preserve">, ainsi que d’édicter </w:t>
      </w:r>
      <w:r>
        <w:rPr>
          <w:b/>
          <w:bCs/>
        </w:rPr>
        <w:t>des règles pour le gouverner</w:t>
      </w:r>
      <w:r>
        <w:t xml:space="preserve">; </w:t>
      </w:r>
    </w:p>
    <w:p w:rsidR="00D86BEF" w:rsidP="00D86BEF" w:rsidRDefault="00D86BEF" w14:paraId="1BD866EA" w14:textId="77777777">
      <w:pPr>
        <w:pStyle w:val="ListParagraph"/>
        <w:numPr>
          <w:ilvl w:val="0"/>
          <w:numId w:val="5"/>
        </w:numPr>
        <w:ind w:left="567" w:hanging="567"/>
      </w:pPr>
      <w:r>
        <w:t xml:space="preserve">attire l’attention sur la nécessité de </w:t>
      </w:r>
      <w:r>
        <w:rPr>
          <w:b/>
          <w:bCs/>
        </w:rPr>
        <w:t>moduler les stratégies de gestion du carbone en fonction des spécificités de chaque secteur industriel</w:t>
      </w:r>
      <w:r>
        <w:t>;</w:t>
      </w:r>
    </w:p>
    <w:p w:rsidR="00D86BEF" w:rsidP="00D86BEF" w:rsidRDefault="00D86BEF" w14:paraId="57F0D5A1" w14:textId="77777777">
      <w:pPr>
        <w:pStyle w:val="ListParagraph"/>
        <w:numPr>
          <w:ilvl w:val="0"/>
          <w:numId w:val="5"/>
        </w:numPr>
        <w:ind w:left="567" w:hanging="567"/>
      </w:pPr>
      <w:r>
        <w:t xml:space="preserve">affirme que pour assurer la mise en œuvre des changements et la définition de stratégies, il est indispensable de </w:t>
      </w:r>
      <w:r>
        <w:rPr>
          <w:b/>
          <w:bCs/>
        </w:rPr>
        <w:t>détecter les facteurs qui font obstacle à ce que les pratiques actuelles en matière de gestion du carbone soient appliquées de manière efficace</w:t>
      </w:r>
      <w:r>
        <w:t>;</w:t>
      </w:r>
    </w:p>
    <w:p w:rsidR="00D86BEF" w:rsidP="00D86BEF" w:rsidRDefault="00D86BEF" w14:paraId="4D406B49" w14:textId="77777777">
      <w:pPr>
        <w:pStyle w:val="ListParagraph"/>
        <w:numPr>
          <w:ilvl w:val="0"/>
          <w:numId w:val="5"/>
        </w:numPr>
        <w:ind w:left="567" w:hanging="567"/>
      </w:pPr>
      <w:r>
        <w:t xml:space="preserve">est d’avis que l’Union européenne a besoin d’une </w:t>
      </w:r>
      <w:r>
        <w:rPr>
          <w:b/>
          <w:bCs/>
        </w:rPr>
        <w:t>stratégie industrielle pour le carbone qui, stimulant la croissance de manière durable, concrétise</w:t>
      </w:r>
      <w:r>
        <w:t xml:space="preserve"> non seulement </w:t>
      </w:r>
      <w:r>
        <w:rPr>
          <w:b/>
          <w:bCs/>
        </w:rPr>
        <w:t>le pacte vert pour l’Europe</w:t>
      </w:r>
      <w:r>
        <w:t xml:space="preserve"> mais </w:t>
      </w:r>
      <w:r>
        <w:rPr>
          <w:b/>
          <w:bCs/>
        </w:rPr>
        <w:t>garantisse</w:t>
      </w:r>
      <w:r>
        <w:t xml:space="preserve"> aussi </w:t>
      </w:r>
      <w:r>
        <w:rPr>
          <w:b/>
          <w:bCs/>
        </w:rPr>
        <w:t>un emploi de qualité et une transition juste pour les travailleurs</w:t>
      </w:r>
      <w:r>
        <w:t xml:space="preserve">, tout en décelant les </w:t>
      </w:r>
      <w:r>
        <w:rPr>
          <w:b/>
          <w:bCs/>
        </w:rPr>
        <w:t>pénuries de main-d’œuvre et déficits de compétences</w:t>
      </w:r>
      <w:r>
        <w:t>, qu’il conviendra d’</w:t>
      </w:r>
      <w:r>
        <w:rPr>
          <w:b/>
          <w:bCs/>
        </w:rPr>
        <w:t>atténuer par la reconversion et le perfectionnement professionnels</w:t>
      </w:r>
      <w:r>
        <w:t>;</w:t>
      </w:r>
    </w:p>
    <w:p w:rsidR="00D86BEF" w:rsidP="00D86BEF" w:rsidRDefault="00D86BEF" w14:paraId="3B60BBA4" w14:textId="77777777">
      <w:pPr>
        <w:pStyle w:val="ListParagraph"/>
        <w:numPr>
          <w:ilvl w:val="0"/>
          <w:numId w:val="5"/>
        </w:numPr>
        <w:ind w:left="567" w:hanging="567"/>
      </w:pPr>
      <w:r>
        <w:t>prône l’élaboration d’</w:t>
      </w:r>
      <w:r>
        <w:rPr>
          <w:b/>
          <w:bCs/>
        </w:rPr>
        <w:t>un plan d’investissement clair pour le développement des technologies de captage et stockage ou utilisation du carbone, tout financement public devant être assorti d’un mécanisme de conditionnalité, ayant pour visée la création et la préservation d’emplois de qualité</w:t>
      </w:r>
      <w:r>
        <w:t>;</w:t>
      </w:r>
    </w:p>
    <w:p w:rsidRPr="00A5372E" w:rsidR="00D86BEF" w:rsidP="00D86BEF" w:rsidRDefault="00D86BEF" w14:paraId="090B608B" w14:textId="77777777">
      <w:pPr>
        <w:pStyle w:val="ListParagraph"/>
        <w:numPr>
          <w:ilvl w:val="0"/>
          <w:numId w:val="5"/>
        </w:numPr>
        <w:ind w:left="567" w:hanging="567"/>
      </w:pPr>
      <w:r>
        <w:t xml:space="preserve">juge que les projets visant à </w:t>
      </w:r>
      <w:r>
        <w:rPr>
          <w:b/>
          <w:bCs/>
        </w:rPr>
        <w:t>réduire les émissions de carbone</w:t>
      </w:r>
      <w:r>
        <w:t xml:space="preserve"> devraient s’attacher à les faire baisser, tout à la fois et de manière équilibrée, </w:t>
      </w:r>
      <w:r>
        <w:rPr>
          <w:b/>
          <w:bCs/>
        </w:rPr>
        <w:t>en les absorbant et en les évitant</w:t>
      </w:r>
      <w:r>
        <w:t>, bien qu’</w:t>
      </w:r>
      <w:r>
        <w:rPr>
          <w:b/>
          <w:bCs/>
        </w:rPr>
        <w:t>à l’heure actuelle, leur évitement ne bénéficie pas d’un soutien suffisant</w:t>
      </w:r>
      <w:r>
        <w:t>;</w:t>
      </w:r>
    </w:p>
    <w:p w:rsidRPr="002C0942" w:rsidR="00D86BEF" w:rsidP="00D86BEF" w:rsidRDefault="00D86BEF" w14:paraId="14835F6F" w14:textId="77777777">
      <w:pPr>
        <w:pStyle w:val="ListParagraph"/>
        <w:numPr>
          <w:ilvl w:val="0"/>
          <w:numId w:val="5"/>
        </w:numPr>
        <w:ind w:left="567" w:hanging="567"/>
      </w:pPr>
      <w:r>
        <w:t xml:space="preserve">préconise de </w:t>
      </w:r>
      <w:r>
        <w:rPr>
          <w:b/>
          <w:bCs/>
        </w:rPr>
        <w:t>créer, aux fins de cet évitement des émissions de carbone, un nouveau dispositif spécifique, soigneusement conçu, d’une intégrité à toute épreuve et d’une grande robustesse</w:t>
      </w:r>
      <w:r>
        <w:t>, qui comportera des mesures incitant à décarboner;</w:t>
      </w:r>
    </w:p>
    <w:p w:rsidRPr="00020E57" w:rsidR="00D86BEF" w:rsidP="00773A5A" w:rsidRDefault="00D86BEF" w14:paraId="0EF0DBE0" w14:textId="77777777">
      <w:pPr>
        <w:pStyle w:val="ListParagraph"/>
        <w:keepNext/>
        <w:numPr>
          <w:ilvl w:val="0"/>
          <w:numId w:val="5"/>
        </w:numPr>
        <w:ind w:left="567" w:hanging="567"/>
      </w:pPr>
      <w:r>
        <w:t xml:space="preserve">fait valoir que </w:t>
      </w:r>
      <w:r>
        <w:rPr>
          <w:b/>
          <w:bCs/>
        </w:rPr>
        <w:t>les quotas du système d’échange de quotas d’émission de l’Union européenne ne devraient pas être utilisés à titre de «crédits»</w:t>
      </w:r>
      <w:r>
        <w:t>, sous peine de mettre en péril sa nature même, qui est d’être fondée sur le marché.</w:t>
      </w:r>
    </w:p>
    <w:p w:rsidRPr="000E1328" w:rsidR="00D86BEF" w:rsidP="00773A5A" w:rsidRDefault="00D86BEF" w14:paraId="492FDCD8" w14:textId="77777777">
      <w:pPr>
        <w:pStyle w:val="ListParagraph"/>
        <w:keepNext/>
        <w:ind w:left="0"/>
        <w:rPr>
          <w:lang w:val="en-GB"/>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85"/>
        <w:gridCol w:w="5046"/>
      </w:tblGrid>
      <w:tr w:rsidRPr="007F6262" w:rsidR="00D86BEF" w:rsidTr="00224E7B" w14:paraId="02124732" w14:textId="77777777">
        <w:tc>
          <w:tcPr>
            <w:tcW w:w="1077" w:type="pct"/>
          </w:tcPr>
          <w:p w:rsidRPr="007F6262" w:rsidR="00D86BEF" w:rsidP="00773A5A" w:rsidRDefault="00D86BEF" w14:paraId="4C381459" w14:textId="77777777">
            <w:pPr>
              <w:keepNext/>
              <w:rPr>
                <w:i/>
              </w:rPr>
            </w:pPr>
            <w:r>
              <w:rPr>
                <w:b/>
                <w:i/>
              </w:rPr>
              <w:t>Contact</w:t>
            </w:r>
          </w:p>
        </w:tc>
        <w:tc>
          <w:tcPr>
            <w:tcW w:w="3923" w:type="pct"/>
            <w:tcBorders>
              <w:left w:val="nil"/>
            </w:tcBorders>
          </w:tcPr>
          <w:p w:rsidRPr="007F6262" w:rsidR="00D86BEF" w:rsidP="00773A5A" w:rsidRDefault="00D86BEF" w14:paraId="1E7177EB" w14:textId="67654024">
            <w:pPr>
              <w:keepNext/>
              <w:rPr>
                <w:i/>
              </w:rPr>
            </w:pPr>
            <w:r>
              <w:rPr>
                <w:i/>
              </w:rPr>
              <w:t>Adam</w:t>
            </w:r>
            <w:r w:rsidR="00204880">
              <w:rPr>
                <w:i/>
              </w:rPr>
              <w:t> </w:t>
            </w:r>
            <w:r>
              <w:rPr>
                <w:i/>
              </w:rPr>
              <w:t>DORYWALSKI</w:t>
            </w:r>
          </w:p>
        </w:tc>
      </w:tr>
      <w:tr w:rsidRPr="007F6262" w:rsidR="00D86BEF" w:rsidTr="00224E7B" w14:paraId="279C0213" w14:textId="77777777">
        <w:tc>
          <w:tcPr>
            <w:tcW w:w="1077" w:type="pct"/>
          </w:tcPr>
          <w:p w:rsidRPr="007F6262" w:rsidR="00D86BEF" w:rsidP="00773A5A" w:rsidRDefault="00D86BEF" w14:paraId="1241EDF5" w14:textId="77777777">
            <w:pPr>
              <w:keepNext/>
              <w:rPr>
                <w:i/>
              </w:rPr>
            </w:pPr>
            <w:r>
              <w:rPr>
                <w:i/>
              </w:rPr>
              <w:t xml:space="preserve">Tél. </w:t>
            </w:r>
          </w:p>
        </w:tc>
        <w:tc>
          <w:tcPr>
            <w:tcW w:w="3923" w:type="pct"/>
            <w:tcBorders>
              <w:left w:val="nil"/>
            </w:tcBorders>
          </w:tcPr>
          <w:p w:rsidRPr="007F6262" w:rsidR="00D86BEF" w:rsidP="00773A5A" w:rsidRDefault="00D86BEF" w14:paraId="06528A9B" w14:textId="77777777">
            <w:pPr>
              <w:keepNext/>
              <w:rPr>
                <w:i/>
              </w:rPr>
            </w:pPr>
            <w:r>
              <w:rPr>
                <w:i/>
              </w:rPr>
              <w:t>+32 25469397</w:t>
            </w:r>
          </w:p>
        </w:tc>
      </w:tr>
      <w:tr w:rsidRPr="007F6262" w:rsidR="00D86BEF" w:rsidTr="00224E7B" w14:paraId="1BAC3D6C" w14:textId="77777777">
        <w:tc>
          <w:tcPr>
            <w:tcW w:w="1077" w:type="pct"/>
          </w:tcPr>
          <w:p w:rsidRPr="007F6262" w:rsidR="00D86BEF" w:rsidP="00224E7B" w:rsidRDefault="00D86BEF" w14:paraId="27085B5C" w14:textId="77777777">
            <w:pPr>
              <w:rPr>
                <w:i/>
                <w:iCs/>
              </w:rPr>
            </w:pPr>
            <w:r>
              <w:rPr>
                <w:i/>
              </w:rPr>
              <w:t>Courriel</w:t>
            </w:r>
          </w:p>
        </w:tc>
        <w:tc>
          <w:tcPr>
            <w:tcW w:w="3923" w:type="pct"/>
            <w:tcBorders>
              <w:left w:val="nil"/>
            </w:tcBorders>
          </w:tcPr>
          <w:p w:rsidRPr="00EB0FF7" w:rsidR="00D86BEF" w:rsidP="00224E7B" w:rsidRDefault="00EE33D5" w14:paraId="06A5A4B4" w14:textId="77777777">
            <w:pPr>
              <w:rPr>
                <w:i/>
                <w:iCs/>
              </w:rPr>
            </w:pPr>
            <w:hyperlink w:history="1" r:id="rId34">
              <w:r w:rsidR="00D86BEF">
                <w:rPr>
                  <w:rStyle w:val="Hyperlink"/>
                  <w:i/>
                </w:rPr>
                <w:t>Adam.Dorywalski@eesc.europa.eu</w:t>
              </w:r>
            </w:hyperlink>
          </w:p>
        </w:tc>
      </w:tr>
    </w:tbl>
    <w:p w:rsidR="00B612CA" w:rsidP="00895853" w:rsidRDefault="00B612CA" w14:paraId="761EE0FB" w14:textId="19A9F226">
      <w:pPr>
        <w:overflowPunct w:val="0"/>
        <w:autoSpaceDE w:val="0"/>
        <w:autoSpaceDN w:val="0"/>
        <w:adjustRightInd w:val="0"/>
        <w:jc w:val="left"/>
        <w:textAlignment w:val="baseline"/>
        <w:rPr>
          <w:lang w:val="nl-BE"/>
        </w:rPr>
      </w:pPr>
    </w:p>
    <w:p w:rsidR="003C2FB3" w:rsidRDefault="003C2FB3" w14:paraId="27BB641D" w14:textId="1147CAD7">
      <w:pPr>
        <w:spacing w:after="160" w:line="259" w:lineRule="auto"/>
        <w:jc w:val="left"/>
      </w:pPr>
      <w:r>
        <w:br w:type="page"/>
      </w:r>
    </w:p>
    <w:p w:rsidRPr="0003586F" w:rsidR="00D86BEF" w:rsidP="00D86BEF" w:rsidRDefault="00EE33D5" w14:paraId="664841DF" w14:textId="3E25CD60">
      <w:pPr>
        <w:widowControl w:val="0"/>
        <w:numPr>
          <w:ilvl w:val="0"/>
          <w:numId w:val="30"/>
        </w:numPr>
        <w:overflowPunct w:val="0"/>
        <w:autoSpaceDE w:val="0"/>
        <w:autoSpaceDN w:val="0"/>
        <w:adjustRightInd w:val="0"/>
        <w:ind w:hanging="567"/>
        <w:textAlignment w:val="baseline"/>
        <w:rPr>
          <w:sz w:val="20"/>
        </w:rPr>
      </w:pPr>
      <w:hyperlink w:history="1" r:id="rId35">
        <w:r w:rsidR="00D86BEF">
          <w:rPr>
            <w:rStyle w:val="Hyperlink"/>
            <w:b/>
            <w:i/>
            <w:sz w:val="28"/>
          </w:rPr>
          <w:t>Stratégie industrielle de défense européenne</w:t>
        </w:r>
      </w:hyperlink>
    </w:p>
    <w:p w:rsidRPr="00A6689B" w:rsidR="00D86BEF" w:rsidP="00D86BEF" w:rsidRDefault="00D86BEF" w14:paraId="7D140151" w14:textId="77777777">
      <w:pPr>
        <w:tabs>
          <w:tab w:val="center" w:pos="284"/>
        </w:tabs>
        <w:ind w:left="266" w:hanging="266"/>
        <w:rPr>
          <w:b/>
        </w:rPr>
      </w:pPr>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A6689B" w:rsidR="00D86BEF" w:rsidTr="00224E7B" w14:paraId="17EA49C4" w14:textId="77777777">
        <w:tc>
          <w:tcPr>
            <w:tcW w:w="1148" w:type="pct"/>
          </w:tcPr>
          <w:p w:rsidRPr="00A6689B" w:rsidR="00D86BEF" w:rsidP="00224E7B" w:rsidRDefault="00D86BEF" w14:paraId="0383838E" w14:textId="77777777">
            <w:pPr>
              <w:tabs>
                <w:tab w:val="center" w:pos="284"/>
              </w:tabs>
              <w:ind w:left="266" w:hanging="266"/>
              <w:rPr>
                <w:b/>
              </w:rPr>
            </w:pPr>
            <w:r>
              <w:rPr>
                <w:b/>
              </w:rPr>
              <w:t>Rapporteur</w:t>
            </w:r>
          </w:p>
        </w:tc>
        <w:tc>
          <w:tcPr>
            <w:tcW w:w="3852" w:type="pct"/>
          </w:tcPr>
          <w:p w:rsidRPr="00773A5A" w:rsidR="00D86BEF" w:rsidP="00224E7B" w:rsidRDefault="00D86BEF" w14:paraId="675A8D44" w14:textId="77777777">
            <w:pPr>
              <w:tabs>
                <w:tab w:val="center" w:pos="284"/>
              </w:tabs>
              <w:ind w:left="266" w:hanging="266"/>
              <w:rPr>
                <w:bCs/>
              </w:rPr>
            </w:pPr>
            <w:r w:rsidRPr="00773A5A">
              <w:rPr>
                <w:bCs/>
              </w:rPr>
              <w:t>Maurizio MENSI (groupe des organisations de la société civile — IT)</w:t>
            </w:r>
          </w:p>
        </w:tc>
      </w:tr>
      <w:tr w:rsidRPr="00A6689B" w:rsidR="00D86BEF" w:rsidTr="00224E7B" w14:paraId="13D42626" w14:textId="77777777">
        <w:tc>
          <w:tcPr>
            <w:tcW w:w="1148" w:type="pct"/>
          </w:tcPr>
          <w:p w:rsidRPr="00A6689B" w:rsidR="00D86BEF" w:rsidP="00224E7B" w:rsidRDefault="00D86BEF" w14:paraId="121C9270" w14:textId="77777777">
            <w:pPr>
              <w:tabs>
                <w:tab w:val="center" w:pos="284"/>
              </w:tabs>
              <w:ind w:left="266" w:hanging="266"/>
              <w:rPr>
                <w:b/>
              </w:rPr>
            </w:pPr>
            <w:r>
              <w:rPr>
                <w:b/>
              </w:rPr>
              <w:t>Corapporteur</w:t>
            </w:r>
          </w:p>
        </w:tc>
        <w:tc>
          <w:tcPr>
            <w:tcW w:w="3852" w:type="pct"/>
          </w:tcPr>
          <w:p w:rsidRPr="00773A5A" w:rsidR="00D86BEF" w:rsidP="00224E7B" w:rsidRDefault="00D86BEF" w14:paraId="6D2A88EF" w14:textId="77777777">
            <w:pPr>
              <w:tabs>
                <w:tab w:val="center" w:pos="284"/>
              </w:tabs>
              <w:ind w:left="266" w:hanging="266"/>
              <w:rPr>
                <w:bCs/>
              </w:rPr>
            </w:pPr>
            <w:r w:rsidRPr="00773A5A">
              <w:rPr>
                <w:bCs/>
              </w:rPr>
              <w:t>Jan PIE (cat. 1 — SE)</w:t>
            </w:r>
          </w:p>
        </w:tc>
      </w:tr>
      <w:tr w:rsidRPr="00A6689B" w:rsidR="00D86BEF" w:rsidTr="00224E7B" w14:paraId="377B21CB" w14:textId="77777777">
        <w:tc>
          <w:tcPr>
            <w:tcW w:w="5000" w:type="pct"/>
            <w:gridSpan w:val="2"/>
          </w:tcPr>
          <w:p w:rsidRPr="00A6689B" w:rsidR="00D86BEF" w:rsidP="00224E7B" w:rsidRDefault="00D86BEF" w14:paraId="4CC833E1" w14:textId="77777777">
            <w:pPr>
              <w:tabs>
                <w:tab w:val="center" w:pos="284"/>
              </w:tabs>
              <w:spacing w:line="160" w:lineRule="exact"/>
              <w:ind w:left="266" w:hanging="266"/>
              <w:rPr>
                <w:lang w:val="en-US"/>
              </w:rPr>
            </w:pPr>
          </w:p>
        </w:tc>
      </w:tr>
      <w:tr w:rsidRPr="00A6689B" w:rsidR="00D86BEF" w:rsidTr="00224E7B" w14:paraId="5E6EDF6E" w14:textId="77777777">
        <w:tc>
          <w:tcPr>
            <w:tcW w:w="1148" w:type="pct"/>
          </w:tcPr>
          <w:p w:rsidRPr="00A6689B" w:rsidR="00D86BEF" w:rsidP="00224E7B" w:rsidRDefault="00D86BEF" w14:paraId="09CC4789" w14:textId="77777777">
            <w:pPr>
              <w:tabs>
                <w:tab w:val="center" w:pos="284"/>
              </w:tabs>
              <w:ind w:left="266" w:hanging="266"/>
              <w:rPr>
                <w:b/>
              </w:rPr>
            </w:pPr>
            <w:r>
              <w:rPr>
                <w:b/>
              </w:rPr>
              <w:t>Références</w:t>
            </w:r>
          </w:p>
        </w:tc>
        <w:tc>
          <w:tcPr>
            <w:tcW w:w="3852" w:type="pct"/>
          </w:tcPr>
          <w:p w:rsidRPr="00A6689B" w:rsidR="00D86BEF" w:rsidP="00224E7B" w:rsidRDefault="00D86BEF" w14:paraId="7CE0FDA0" w14:textId="77777777">
            <w:pPr>
              <w:tabs>
                <w:tab w:val="center" w:pos="284"/>
              </w:tabs>
              <w:ind w:left="266" w:hanging="266"/>
            </w:pPr>
            <w:r>
              <w:t>EESC-2024-00782-00-00-AS</w:t>
            </w:r>
          </w:p>
        </w:tc>
      </w:tr>
    </w:tbl>
    <w:p w:rsidRPr="00A6689B" w:rsidR="00D86BEF" w:rsidP="00D86BEF" w:rsidRDefault="00D86BEF" w14:paraId="5E7E65FC" w14:textId="77777777">
      <w:pPr>
        <w:tabs>
          <w:tab w:val="center" w:pos="284"/>
        </w:tabs>
        <w:ind w:left="266" w:hanging="266"/>
      </w:pPr>
    </w:p>
    <w:p w:rsidRPr="00A6689B" w:rsidR="00D86BEF" w:rsidP="00D86BEF" w:rsidRDefault="00D86BEF" w14:paraId="321B6B62" w14:textId="77777777">
      <w:pPr>
        <w:keepNext/>
        <w:keepLines/>
        <w:tabs>
          <w:tab w:val="center" w:pos="284"/>
        </w:tabs>
        <w:ind w:left="266" w:hanging="266"/>
        <w:rPr>
          <w:b/>
        </w:rPr>
      </w:pPr>
      <w:r>
        <w:rPr>
          <w:b/>
        </w:rPr>
        <w:t>Points clés</w:t>
      </w:r>
    </w:p>
    <w:p w:rsidRPr="00A6689B" w:rsidR="00D86BEF" w:rsidP="00D86BEF" w:rsidRDefault="00D86BEF" w14:paraId="60F36B96" w14:textId="77777777">
      <w:pPr>
        <w:keepNext/>
        <w:keepLines/>
        <w:tabs>
          <w:tab w:val="center" w:pos="284"/>
        </w:tabs>
        <w:ind w:left="266" w:hanging="266"/>
        <w:rPr>
          <w:b/>
        </w:rPr>
      </w:pPr>
    </w:p>
    <w:p w:rsidRPr="004F5157" w:rsidR="00D86BEF" w:rsidP="00D86BEF" w:rsidRDefault="00D86BEF" w14:paraId="7573434A" w14:textId="77777777">
      <w:pPr>
        <w:rPr>
          <w:bCs/>
          <w:iCs/>
        </w:rPr>
      </w:pPr>
      <w:r>
        <w:t>Le CESE:</w:t>
      </w:r>
    </w:p>
    <w:p w:rsidR="00D86BEF" w:rsidP="00D86BEF" w:rsidRDefault="00D86BEF" w14:paraId="61E95A01" w14:textId="77777777">
      <w:pPr>
        <w:ind w:left="567" w:hanging="567"/>
      </w:pPr>
    </w:p>
    <w:p w:rsidRPr="006568A7" w:rsidR="00D86BEF" w:rsidP="00D86BEF" w:rsidRDefault="00D86BEF" w14:paraId="502EB666" w14:textId="77777777">
      <w:pPr>
        <w:widowControl w:val="0"/>
        <w:numPr>
          <w:ilvl w:val="0"/>
          <w:numId w:val="30"/>
        </w:numPr>
        <w:overflowPunct w:val="0"/>
        <w:autoSpaceDE w:val="0"/>
        <w:autoSpaceDN w:val="0"/>
        <w:adjustRightInd w:val="0"/>
        <w:textAlignment w:val="baseline"/>
        <w:rPr>
          <w:bCs/>
          <w:iCs/>
        </w:rPr>
      </w:pPr>
      <w:r>
        <w:t>se félicite de la stratégie industrielle de défense européenne, qui constitue une étape importante vers le renforcement de la préparation de l’Europe en matière de défense et, partant, de sa capacité à protéger ses citoyens, son territoire, ses valeurs fondamentales et son mode de vie;</w:t>
      </w:r>
    </w:p>
    <w:p w:rsidRPr="003400B3" w:rsidR="00D86BEF" w:rsidP="00D86BEF" w:rsidRDefault="00D86BEF" w14:paraId="2B183F52" w14:textId="77777777">
      <w:pPr>
        <w:widowControl w:val="0"/>
        <w:numPr>
          <w:ilvl w:val="0"/>
          <w:numId w:val="30"/>
        </w:numPr>
        <w:overflowPunct w:val="0"/>
        <w:autoSpaceDE w:val="0"/>
        <w:autoSpaceDN w:val="0"/>
        <w:adjustRightInd w:val="0"/>
        <w:textAlignment w:val="baseline"/>
        <w:rPr>
          <w:bCs/>
          <w:iCs/>
        </w:rPr>
      </w:pPr>
      <w:r>
        <w:t>accueille favorablement le passage de mesures d’urgence à une réponse structurelle à plus long terme. Il salue en particulier l’accent mis sur la nécessité de renforcer l’approvisionnement européen pour répondre aux besoins de l’Union;</w:t>
      </w:r>
    </w:p>
    <w:p w:rsidRPr="006272D8" w:rsidR="00D86BEF" w:rsidP="00D86BEF" w:rsidRDefault="00D86BEF" w14:paraId="5C420594" w14:textId="77777777">
      <w:pPr>
        <w:widowControl w:val="0"/>
        <w:numPr>
          <w:ilvl w:val="0"/>
          <w:numId w:val="30"/>
        </w:numPr>
        <w:overflowPunct w:val="0"/>
        <w:autoSpaceDE w:val="0"/>
        <w:autoSpaceDN w:val="0"/>
        <w:adjustRightInd w:val="0"/>
        <w:textAlignment w:val="baseline"/>
        <w:rPr>
          <w:bCs/>
          <w:iCs/>
        </w:rPr>
      </w:pPr>
      <w:r>
        <w:t>souligne l’importance, pour atteindre les objectifs de la stratégie, de mobiliser des partenariats avec des pays amis ayant des valeurs communes;</w:t>
      </w:r>
    </w:p>
    <w:p w:rsidRPr="006272D8" w:rsidR="00D86BEF" w:rsidP="00D86BEF" w:rsidRDefault="00D86BEF" w14:paraId="6BDCE1F8" w14:textId="77777777">
      <w:pPr>
        <w:widowControl w:val="0"/>
        <w:numPr>
          <w:ilvl w:val="0"/>
          <w:numId w:val="30"/>
        </w:numPr>
        <w:overflowPunct w:val="0"/>
        <w:autoSpaceDE w:val="0"/>
        <w:autoSpaceDN w:val="0"/>
        <w:adjustRightInd w:val="0"/>
        <w:textAlignment w:val="baseline"/>
        <w:rPr>
          <w:bCs/>
          <w:iCs/>
        </w:rPr>
      </w:pPr>
      <w:r>
        <w:t>regrette que la stratégie ne tienne pas compte de la perception du public, étant donné que cette perception représente un facteur clé dans les sociétés démocratiques;</w:t>
      </w:r>
    </w:p>
    <w:p w:rsidRPr="006272D8" w:rsidR="00D86BEF" w:rsidP="00D86BEF" w:rsidRDefault="00D86BEF" w14:paraId="13D5D3D1" w14:textId="77777777">
      <w:pPr>
        <w:widowControl w:val="0"/>
        <w:numPr>
          <w:ilvl w:val="0"/>
          <w:numId w:val="30"/>
        </w:numPr>
        <w:overflowPunct w:val="0"/>
        <w:autoSpaceDE w:val="0"/>
        <w:autoSpaceDN w:val="0"/>
        <w:adjustRightInd w:val="0"/>
        <w:textAlignment w:val="baseline"/>
        <w:rPr>
          <w:bCs/>
          <w:iCs/>
        </w:rPr>
      </w:pPr>
      <w:r>
        <w:t>note qu’il est peu probable que l’instrument clé de la mise en œuvre de la stratégie, à savoir le programme pour l’industrie européenne de la défense (EDIP), soit opérationnel avant fin 2025. Par conséquent, la stratégie doit être complétée par d’autres mesures à court terme visant à répondre aux besoins immédiats;</w:t>
      </w:r>
    </w:p>
    <w:p w:rsidRPr="006272D8" w:rsidR="00D86BEF" w:rsidP="00D86BEF" w:rsidRDefault="00D86BEF" w14:paraId="0D2BC1FC" w14:textId="77777777">
      <w:pPr>
        <w:widowControl w:val="0"/>
        <w:numPr>
          <w:ilvl w:val="0"/>
          <w:numId w:val="30"/>
        </w:numPr>
        <w:overflowPunct w:val="0"/>
        <w:autoSpaceDE w:val="0"/>
        <w:autoSpaceDN w:val="0"/>
        <w:adjustRightInd w:val="0"/>
        <w:textAlignment w:val="baseline"/>
        <w:rPr>
          <w:bCs/>
          <w:iCs/>
        </w:rPr>
      </w:pPr>
      <w:r>
        <w:t>invite dès lors les États membres à accepter l’invitation de la Commission à chercher à court terme les possibilités de stimuler, au moyen des instruments disponibles, les acquisitions conjointes de grande ampleur dans le domaine de la défense, la montée en puissance à grande échelle de la BITDE et le lancement de projets de défense phares;</w:t>
      </w:r>
    </w:p>
    <w:p w:rsidRPr="006272D8" w:rsidR="00D86BEF" w:rsidP="00D86BEF" w:rsidRDefault="00D86BEF" w14:paraId="62BD97D8" w14:textId="77777777">
      <w:pPr>
        <w:widowControl w:val="0"/>
        <w:numPr>
          <w:ilvl w:val="0"/>
          <w:numId w:val="30"/>
        </w:numPr>
        <w:overflowPunct w:val="0"/>
        <w:autoSpaceDE w:val="0"/>
        <w:autoSpaceDN w:val="0"/>
        <w:adjustRightInd w:val="0"/>
        <w:textAlignment w:val="baseline"/>
        <w:rPr>
          <w:bCs/>
          <w:iCs/>
        </w:rPr>
      </w:pPr>
      <w:r>
        <w:t>est également d’avis qu’il est essentiel, d’un point de vue tant industriel que stratégique, de garantir que le secteur de la défense accède aux compétences, aux technologies et à la recherche nécessaires;</w:t>
      </w:r>
    </w:p>
    <w:p w:rsidRPr="004F5157" w:rsidR="00D86BEF" w:rsidP="00D86BEF" w:rsidRDefault="00D86BEF" w14:paraId="1E771542" w14:textId="77777777">
      <w:pPr>
        <w:widowControl w:val="0"/>
        <w:numPr>
          <w:ilvl w:val="0"/>
          <w:numId w:val="30"/>
        </w:numPr>
        <w:overflowPunct w:val="0"/>
        <w:autoSpaceDE w:val="0"/>
        <w:autoSpaceDN w:val="0"/>
        <w:adjustRightInd w:val="0"/>
        <w:textAlignment w:val="baseline"/>
        <w:rPr>
          <w:bCs/>
          <w:iCs/>
        </w:rPr>
      </w:pPr>
      <w:r>
        <w:t>souligne que le succès de la stratégie reposera avant tout sur la pleine participation des États membres et sur leur reconnaissance de la valeur ajoutée d’une approche européenne.</w:t>
      </w:r>
    </w:p>
    <w:p w:rsidRPr="000624A9" w:rsidR="00D86BEF" w:rsidP="00D86BEF" w:rsidRDefault="00D86BEF" w14:paraId="59774C02"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A6689B" w:rsidR="00D86BEF" w:rsidTr="00224E7B" w14:paraId="0E05BACB" w14:textId="77777777">
        <w:tc>
          <w:tcPr>
            <w:tcW w:w="1556" w:type="pct"/>
          </w:tcPr>
          <w:p w:rsidRPr="00A6689B" w:rsidR="00D86BEF" w:rsidP="00224E7B" w:rsidRDefault="00D86BEF" w14:paraId="50ABCA0F" w14:textId="77777777">
            <w:pPr>
              <w:spacing w:line="240" w:lineRule="auto"/>
              <w:rPr>
                <w:i/>
              </w:rPr>
            </w:pPr>
            <w:r>
              <w:rPr>
                <w:b/>
                <w:i/>
              </w:rPr>
              <w:t>Contact</w:t>
            </w:r>
          </w:p>
        </w:tc>
        <w:tc>
          <w:tcPr>
            <w:tcW w:w="3444" w:type="pct"/>
          </w:tcPr>
          <w:p w:rsidRPr="00773A5A" w:rsidR="00D86BEF" w:rsidP="00224E7B" w:rsidRDefault="00D86BEF" w14:paraId="6973796A" w14:textId="77777777">
            <w:pPr>
              <w:spacing w:line="240" w:lineRule="auto"/>
              <w:rPr>
                <w:bCs/>
                <w:i/>
              </w:rPr>
            </w:pPr>
            <w:r w:rsidRPr="00773A5A">
              <w:rPr>
                <w:bCs/>
                <w:i/>
              </w:rPr>
              <w:t>Ioannis DIAMANTOPOULOS</w:t>
            </w:r>
          </w:p>
        </w:tc>
      </w:tr>
      <w:tr w:rsidRPr="00A6689B" w:rsidR="00D86BEF" w:rsidTr="00224E7B" w14:paraId="06C1B3E4" w14:textId="77777777">
        <w:tc>
          <w:tcPr>
            <w:tcW w:w="1556" w:type="pct"/>
          </w:tcPr>
          <w:p w:rsidRPr="00A6689B" w:rsidR="00D86BEF" w:rsidP="00224E7B" w:rsidRDefault="00D86BEF" w14:paraId="0CDBA4B6" w14:textId="77777777">
            <w:pPr>
              <w:spacing w:line="240" w:lineRule="auto"/>
              <w:rPr>
                <w:i/>
              </w:rPr>
            </w:pPr>
            <w:r>
              <w:rPr>
                <w:i/>
              </w:rPr>
              <w:t>Tél.</w:t>
            </w:r>
          </w:p>
        </w:tc>
        <w:tc>
          <w:tcPr>
            <w:tcW w:w="3444" w:type="pct"/>
          </w:tcPr>
          <w:p w:rsidRPr="00A6689B" w:rsidR="00D86BEF" w:rsidP="00224E7B" w:rsidRDefault="00D86BEF" w14:paraId="614A9EF9" w14:textId="77777777">
            <w:pPr>
              <w:spacing w:line="240" w:lineRule="auto"/>
              <w:rPr>
                <w:i/>
              </w:rPr>
            </w:pPr>
            <w:r>
              <w:rPr>
                <w:i/>
              </w:rPr>
              <w:t>+32 25469170</w:t>
            </w:r>
          </w:p>
        </w:tc>
      </w:tr>
      <w:tr w:rsidRPr="00A6689B" w:rsidR="00D86BEF" w:rsidTr="00224E7B" w14:paraId="4DED3D66" w14:textId="77777777">
        <w:tc>
          <w:tcPr>
            <w:tcW w:w="1556" w:type="pct"/>
          </w:tcPr>
          <w:p w:rsidRPr="00A6689B" w:rsidR="00D86BEF" w:rsidP="00224E7B" w:rsidRDefault="00D86BEF" w14:paraId="501EE7DA" w14:textId="77777777">
            <w:pPr>
              <w:spacing w:line="240" w:lineRule="auto"/>
              <w:rPr>
                <w:i/>
              </w:rPr>
            </w:pPr>
            <w:r>
              <w:rPr>
                <w:i/>
              </w:rPr>
              <w:t>Courriel</w:t>
            </w:r>
          </w:p>
        </w:tc>
        <w:tc>
          <w:tcPr>
            <w:tcW w:w="3444" w:type="pct"/>
          </w:tcPr>
          <w:p w:rsidRPr="00A6689B" w:rsidR="00D86BEF" w:rsidP="00224E7B" w:rsidRDefault="00EE33D5" w14:paraId="4CB16E9C" w14:textId="77777777">
            <w:pPr>
              <w:spacing w:line="240" w:lineRule="auto"/>
              <w:rPr>
                <w:i/>
              </w:rPr>
            </w:pPr>
            <w:hyperlink w:history="1" r:id="rId36">
              <w:r w:rsidR="00D86BEF">
                <w:rPr>
                  <w:rStyle w:val="Hyperlink"/>
                  <w:i/>
                </w:rPr>
                <w:t>Ioannis.Diamantopoulos@eesc.europa.eu</w:t>
              </w:r>
            </w:hyperlink>
          </w:p>
        </w:tc>
      </w:tr>
    </w:tbl>
    <w:p w:rsidR="00C26C81" w:rsidRDefault="00C26C81" w14:paraId="209CF203" w14:textId="6268DD8D">
      <w:pPr>
        <w:spacing w:after="160" w:line="259" w:lineRule="auto"/>
        <w:jc w:val="left"/>
      </w:pPr>
      <w:r>
        <w:br w:type="page"/>
      </w:r>
    </w:p>
    <w:p w:rsidRPr="00773A5A" w:rsidR="009936D5" w:rsidP="009936D5" w:rsidRDefault="00EE33D5" w14:paraId="399138F3" w14:textId="4588710A">
      <w:pPr>
        <w:widowControl w:val="0"/>
        <w:numPr>
          <w:ilvl w:val="0"/>
          <w:numId w:val="30"/>
        </w:numPr>
        <w:overflowPunct w:val="0"/>
        <w:autoSpaceDE w:val="0"/>
        <w:autoSpaceDN w:val="0"/>
        <w:adjustRightInd w:val="0"/>
        <w:spacing w:line="240" w:lineRule="auto"/>
        <w:ind w:hanging="567"/>
        <w:textAlignment w:val="baseline"/>
        <w:rPr>
          <w:rStyle w:val="Hyperlink"/>
          <w:color w:val="auto"/>
          <w:sz w:val="20"/>
          <w:u w:val="none"/>
        </w:rPr>
      </w:pPr>
      <w:hyperlink w:history="1" r:id="rId37">
        <w:r w:rsidR="009936D5">
          <w:rPr>
            <w:rStyle w:val="Hyperlink"/>
            <w:b/>
            <w:i/>
            <w:sz w:val="28"/>
          </w:rPr>
          <w:t>Approches et bonnes pratiques industrielles et technologiques en faveur d’une société résiliente dans le domaine de l’eau</w:t>
        </w:r>
      </w:hyperlink>
    </w:p>
    <w:p w:rsidRPr="0003586F" w:rsidR="00773A5A" w:rsidP="00773A5A" w:rsidRDefault="00773A5A" w14:paraId="1E655AA3" w14:textId="77777777">
      <w:pPr>
        <w:widowControl w:val="0"/>
        <w:overflowPunct w:val="0"/>
        <w:autoSpaceDE w:val="0"/>
        <w:autoSpaceDN w:val="0"/>
        <w:adjustRightInd w:val="0"/>
        <w:spacing w:line="240" w:lineRule="auto"/>
        <w:ind w:left="567"/>
        <w:textAlignment w:val="baseline"/>
        <w:rPr>
          <w:sz w:val="20"/>
        </w:rPr>
      </w:pPr>
    </w:p>
    <w:p w:rsidRPr="003D3A09" w:rsidR="009936D5" w:rsidP="009936D5" w:rsidRDefault="009936D5" w14:paraId="13429081" w14:textId="77777777">
      <w:pPr>
        <w:tabs>
          <w:tab w:val="center" w:pos="284"/>
        </w:tabs>
        <w:spacing w:line="240" w:lineRule="auto"/>
        <w:ind w:left="266" w:hanging="266"/>
        <w:rPr>
          <w:b/>
          <w:sz w:val="12"/>
          <w:szCs w:val="12"/>
        </w:rPr>
      </w:pPr>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A6689B" w:rsidR="009936D5" w:rsidTr="00224E7B" w14:paraId="55F728E8" w14:textId="77777777">
        <w:tc>
          <w:tcPr>
            <w:tcW w:w="1148" w:type="pct"/>
          </w:tcPr>
          <w:p w:rsidRPr="00A6689B" w:rsidR="009936D5" w:rsidP="00224E7B" w:rsidRDefault="009936D5" w14:paraId="7BAE709D" w14:textId="77777777">
            <w:pPr>
              <w:tabs>
                <w:tab w:val="center" w:pos="284"/>
              </w:tabs>
              <w:ind w:left="266" w:hanging="266"/>
              <w:rPr>
                <w:b/>
              </w:rPr>
            </w:pPr>
            <w:r>
              <w:rPr>
                <w:b/>
              </w:rPr>
              <w:t>Rapporteur</w:t>
            </w:r>
          </w:p>
        </w:tc>
        <w:tc>
          <w:tcPr>
            <w:tcW w:w="3852" w:type="pct"/>
          </w:tcPr>
          <w:p w:rsidRPr="00773A5A" w:rsidR="009936D5" w:rsidP="00224E7B" w:rsidRDefault="009936D5" w14:paraId="6E232960" w14:textId="77777777">
            <w:pPr>
              <w:tabs>
                <w:tab w:val="center" w:pos="284"/>
              </w:tabs>
              <w:ind w:left="266" w:hanging="266"/>
              <w:rPr>
                <w:bCs/>
              </w:rPr>
            </w:pPr>
            <w:r w:rsidRPr="00773A5A">
              <w:rPr>
                <w:bCs/>
              </w:rPr>
              <w:t>Florian MARIN (groupe des travailleurs — RO)</w:t>
            </w:r>
          </w:p>
        </w:tc>
      </w:tr>
      <w:tr w:rsidRPr="00A6689B" w:rsidR="009936D5" w:rsidTr="00224E7B" w14:paraId="1F115988" w14:textId="77777777">
        <w:tc>
          <w:tcPr>
            <w:tcW w:w="1148" w:type="pct"/>
          </w:tcPr>
          <w:p w:rsidRPr="00A6689B" w:rsidR="009936D5" w:rsidP="00224E7B" w:rsidRDefault="009936D5" w14:paraId="05E92ED1" w14:textId="77777777">
            <w:pPr>
              <w:tabs>
                <w:tab w:val="center" w:pos="284"/>
              </w:tabs>
              <w:ind w:left="266" w:hanging="266"/>
              <w:rPr>
                <w:b/>
              </w:rPr>
            </w:pPr>
            <w:r>
              <w:rPr>
                <w:b/>
              </w:rPr>
              <w:t>Corapporteur</w:t>
            </w:r>
          </w:p>
        </w:tc>
        <w:tc>
          <w:tcPr>
            <w:tcW w:w="3852" w:type="pct"/>
          </w:tcPr>
          <w:p w:rsidRPr="00773A5A" w:rsidR="009936D5" w:rsidP="00224E7B" w:rsidRDefault="009936D5" w14:paraId="5DB5B5EE" w14:textId="28F91F0F">
            <w:pPr>
              <w:tabs>
                <w:tab w:val="center" w:pos="284"/>
              </w:tabs>
              <w:ind w:left="266" w:hanging="266"/>
              <w:rPr>
                <w:bCs/>
              </w:rPr>
            </w:pPr>
            <w:r w:rsidRPr="00773A5A">
              <w:rPr>
                <w:bCs/>
              </w:rPr>
              <w:t>John</w:t>
            </w:r>
            <w:r w:rsidRPr="00773A5A" w:rsidR="00204880">
              <w:rPr>
                <w:bCs/>
              </w:rPr>
              <w:t> </w:t>
            </w:r>
            <w:r w:rsidRPr="00773A5A">
              <w:rPr>
                <w:bCs/>
              </w:rPr>
              <w:t>BRYAN (cat. 3 — IE)</w:t>
            </w:r>
          </w:p>
        </w:tc>
      </w:tr>
      <w:tr w:rsidRPr="00A6689B" w:rsidR="009936D5" w:rsidTr="00224E7B" w14:paraId="7E447DCE" w14:textId="77777777">
        <w:tc>
          <w:tcPr>
            <w:tcW w:w="5000" w:type="pct"/>
            <w:gridSpan w:val="2"/>
          </w:tcPr>
          <w:p w:rsidRPr="00A6689B" w:rsidR="009936D5" w:rsidP="00224E7B" w:rsidRDefault="009936D5" w14:paraId="77A489B9" w14:textId="77777777">
            <w:pPr>
              <w:tabs>
                <w:tab w:val="center" w:pos="284"/>
              </w:tabs>
              <w:spacing w:line="240" w:lineRule="auto"/>
              <w:ind w:left="266" w:hanging="266"/>
              <w:rPr>
                <w:lang w:val="en-US"/>
              </w:rPr>
            </w:pPr>
          </w:p>
        </w:tc>
      </w:tr>
      <w:tr w:rsidRPr="00A6689B" w:rsidR="009936D5" w:rsidTr="00224E7B" w14:paraId="40B783CA" w14:textId="77777777">
        <w:tc>
          <w:tcPr>
            <w:tcW w:w="1148" w:type="pct"/>
          </w:tcPr>
          <w:p w:rsidRPr="00A6689B" w:rsidR="009936D5" w:rsidP="00224E7B" w:rsidRDefault="009936D5" w14:paraId="249B54EE" w14:textId="77777777">
            <w:pPr>
              <w:tabs>
                <w:tab w:val="center" w:pos="284"/>
              </w:tabs>
              <w:spacing w:line="240" w:lineRule="auto"/>
              <w:ind w:left="266" w:hanging="266"/>
              <w:rPr>
                <w:b/>
              </w:rPr>
            </w:pPr>
            <w:r>
              <w:rPr>
                <w:b/>
              </w:rPr>
              <w:t>Références</w:t>
            </w:r>
          </w:p>
        </w:tc>
        <w:tc>
          <w:tcPr>
            <w:tcW w:w="3852" w:type="pct"/>
          </w:tcPr>
          <w:p w:rsidRPr="00A6689B" w:rsidR="009936D5" w:rsidP="00224E7B" w:rsidRDefault="009936D5" w14:paraId="7615E322" w14:textId="77777777">
            <w:pPr>
              <w:tabs>
                <w:tab w:val="center" w:pos="284"/>
              </w:tabs>
              <w:spacing w:line="240" w:lineRule="auto"/>
              <w:ind w:left="266" w:hanging="266"/>
            </w:pPr>
            <w:r>
              <w:t>EESC-2024-00209-00-00-AC</w:t>
            </w:r>
          </w:p>
        </w:tc>
      </w:tr>
    </w:tbl>
    <w:p w:rsidRPr="003D3A09" w:rsidR="009936D5" w:rsidP="009936D5" w:rsidRDefault="009936D5" w14:paraId="5B47C0B6" w14:textId="77777777">
      <w:pPr>
        <w:tabs>
          <w:tab w:val="center" w:pos="284"/>
        </w:tabs>
        <w:spacing w:line="240" w:lineRule="auto"/>
        <w:ind w:left="266" w:hanging="266"/>
        <w:rPr>
          <w:sz w:val="12"/>
          <w:szCs w:val="12"/>
        </w:rPr>
      </w:pPr>
    </w:p>
    <w:p w:rsidR="009936D5" w:rsidP="009936D5" w:rsidRDefault="009936D5" w14:paraId="6AB8E845" w14:textId="77777777">
      <w:pPr>
        <w:keepNext/>
        <w:keepLines/>
        <w:tabs>
          <w:tab w:val="center" w:pos="284"/>
        </w:tabs>
        <w:spacing w:line="240" w:lineRule="auto"/>
        <w:ind w:left="266" w:hanging="266"/>
        <w:rPr>
          <w:b/>
        </w:rPr>
      </w:pPr>
      <w:r>
        <w:rPr>
          <w:b/>
        </w:rPr>
        <w:t>Points clés</w:t>
      </w:r>
    </w:p>
    <w:p w:rsidRPr="003D3A09" w:rsidR="009936D5" w:rsidP="009936D5" w:rsidRDefault="009936D5" w14:paraId="52B39D52" w14:textId="77777777">
      <w:pPr>
        <w:keepNext/>
        <w:keepLines/>
        <w:tabs>
          <w:tab w:val="center" w:pos="284"/>
        </w:tabs>
        <w:spacing w:line="240" w:lineRule="auto"/>
        <w:ind w:left="266" w:hanging="266"/>
        <w:rPr>
          <w:b/>
          <w:sz w:val="12"/>
          <w:szCs w:val="12"/>
        </w:rPr>
      </w:pPr>
    </w:p>
    <w:p w:rsidR="009936D5" w:rsidP="009936D5" w:rsidRDefault="009936D5" w14:paraId="4FA72F1A" w14:textId="3152D610">
      <w:pPr>
        <w:spacing w:line="240" w:lineRule="auto"/>
      </w:pPr>
      <w:r>
        <w:t>Le CESE:</w:t>
      </w:r>
    </w:p>
    <w:p w:rsidRPr="002F5AA4" w:rsidR="00773A5A" w:rsidP="009936D5" w:rsidRDefault="00773A5A" w14:paraId="51EAFC27" w14:textId="77777777">
      <w:pPr>
        <w:spacing w:line="240" w:lineRule="auto"/>
        <w:rPr>
          <w:bCs/>
          <w:iCs/>
        </w:rPr>
      </w:pPr>
    </w:p>
    <w:p w:rsidR="009936D5" w:rsidP="009936D5" w:rsidRDefault="009936D5" w14:paraId="5BC6C9E4" w14:textId="77777777">
      <w:pPr>
        <w:pStyle w:val="ListParagraph"/>
        <w:numPr>
          <w:ilvl w:val="0"/>
          <w:numId w:val="12"/>
        </w:numPr>
        <w:ind w:left="567" w:hanging="567"/>
        <w:rPr>
          <w:bCs/>
          <w:iCs/>
        </w:rPr>
      </w:pPr>
      <w:r>
        <w:t xml:space="preserve">appelle de ses vœux une </w:t>
      </w:r>
      <w:r>
        <w:rPr>
          <w:b/>
        </w:rPr>
        <w:t>stratégie autonome</w:t>
      </w:r>
      <w:r>
        <w:t xml:space="preserve"> — un pacte bleu pour l’Europe — et un plan d’action </w:t>
      </w:r>
      <w:r>
        <w:rPr>
          <w:b/>
        </w:rPr>
        <w:t>sur l’eau afin de garantir la résilience, la sécurité et la durabilité dans le domaine de l’eau, en complément du pacte vert pour l’Europe</w:t>
      </w:r>
      <w:r>
        <w:t>;</w:t>
      </w:r>
    </w:p>
    <w:p w:rsidR="009936D5" w:rsidP="009936D5" w:rsidRDefault="009936D5" w14:paraId="743C1AAC" w14:textId="77777777">
      <w:pPr>
        <w:pStyle w:val="ListParagraph"/>
        <w:numPr>
          <w:ilvl w:val="0"/>
          <w:numId w:val="12"/>
        </w:numPr>
        <w:ind w:left="567" w:hanging="567"/>
        <w:rPr>
          <w:bCs/>
          <w:iCs/>
        </w:rPr>
      </w:pPr>
      <w:r>
        <w:t>demande instamment à l’Union d’</w:t>
      </w:r>
      <w:r>
        <w:rPr>
          <w:b/>
        </w:rPr>
        <w:t>intégrer les enjeux liés à l’eau dans un cadre stratégique industriel révisé</w:t>
      </w:r>
      <w:r>
        <w:t xml:space="preserve"> et dans les trajectoires de transition en adoptant une approche sectorielle;</w:t>
      </w:r>
    </w:p>
    <w:p w:rsidRPr="00041DB9" w:rsidR="009936D5" w:rsidP="009936D5" w:rsidRDefault="009936D5" w14:paraId="40D83970" w14:textId="77777777">
      <w:pPr>
        <w:pStyle w:val="ListParagraph"/>
        <w:numPr>
          <w:ilvl w:val="0"/>
          <w:numId w:val="12"/>
        </w:numPr>
        <w:ind w:left="567" w:hanging="567"/>
        <w:rPr>
          <w:bCs/>
          <w:iCs/>
        </w:rPr>
      </w:pPr>
      <w:r>
        <w:t xml:space="preserve">note que cette révision devrait examiner l’idée de mettre en place un </w:t>
      </w:r>
      <w:r>
        <w:rPr>
          <w:b/>
        </w:rPr>
        <w:t>nouveau pacte industriel visant à offrir à l’industrie européenne une stratégie consolidée</w:t>
      </w:r>
      <w:r>
        <w:t xml:space="preserve"> qui réponde aux multiples défis auxquels elle est confrontée (dans les domaines de l’eau, de l’énergie, des matières premières critiques, de la numérisation et de l’autonomie stratégique) dans un délai de quatre ans;</w:t>
      </w:r>
    </w:p>
    <w:p w:rsidR="009936D5" w:rsidP="009936D5" w:rsidRDefault="009936D5" w14:paraId="42204864" w14:textId="77777777">
      <w:pPr>
        <w:pStyle w:val="ListParagraph"/>
        <w:numPr>
          <w:ilvl w:val="0"/>
          <w:numId w:val="12"/>
        </w:numPr>
        <w:ind w:left="567" w:hanging="567"/>
        <w:rPr>
          <w:bCs/>
          <w:iCs/>
        </w:rPr>
      </w:pPr>
      <w:r>
        <w:t>souligne que les approches industrielles et technologiques en faveur d’une société intelligente dans ses usages de l’eau doivent être solidement structurées autour d’</w:t>
      </w:r>
      <w:r>
        <w:rPr>
          <w:b/>
        </w:rPr>
        <w:t>une politique globale et durable de gestion de l’eau pour l’industrie</w:t>
      </w:r>
      <w:r>
        <w:t xml:space="preserve">, fondée sur la réduction, la réutilisation et le recyclage de l’eau, qui favorise la réduction de la pollution, et qui prévoit notamment l’introduction et l’utilisation progressives de technologies économes en eau, tout en garantissant également une transition juste qui </w:t>
      </w:r>
      <w:r>
        <w:rPr>
          <w:b/>
        </w:rPr>
        <w:t>préserve la compétitivité industrielle</w:t>
      </w:r>
      <w:r>
        <w:t>;</w:t>
      </w:r>
    </w:p>
    <w:p w:rsidR="009936D5" w:rsidP="009936D5" w:rsidRDefault="009936D5" w14:paraId="6B8601D6" w14:textId="77777777">
      <w:pPr>
        <w:pStyle w:val="ListParagraph"/>
        <w:numPr>
          <w:ilvl w:val="0"/>
          <w:numId w:val="12"/>
        </w:numPr>
        <w:ind w:left="567" w:hanging="567"/>
        <w:rPr>
          <w:bCs/>
          <w:iCs/>
        </w:rPr>
      </w:pPr>
      <w:r>
        <w:t xml:space="preserve">souligne la nécessité d’un </w:t>
      </w:r>
      <w:r>
        <w:rPr>
          <w:b/>
        </w:rPr>
        <w:t>écosystème européen de gestion des données relatives à l’eau</w:t>
      </w:r>
      <w:r>
        <w:t>, ainsi que l’importance de mesurer la consommation d’eau tout au long des processus de production et de réduire au minimum l’utilisation de l’eau potable à des fins industrielles;</w:t>
      </w:r>
    </w:p>
    <w:p w:rsidR="009936D5" w:rsidP="009936D5" w:rsidRDefault="009936D5" w14:paraId="0F0162F6" w14:textId="77777777">
      <w:pPr>
        <w:pStyle w:val="ListParagraph"/>
        <w:numPr>
          <w:ilvl w:val="0"/>
          <w:numId w:val="12"/>
        </w:numPr>
        <w:ind w:left="567" w:hanging="567"/>
        <w:rPr>
          <w:bCs/>
          <w:iCs/>
        </w:rPr>
      </w:pPr>
      <w:r>
        <w:t xml:space="preserve">insiste sur la nécessité de </w:t>
      </w:r>
      <w:r>
        <w:rPr>
          <w:b/>
        </w:rPr>
        <w:t>garantir l’accès à l’eau pour les industries les plus critiques dans les situations de crise</w:t>
      </w:r>
      <w:r>
        <w:t>;</w:t>
      </w:r>
    </w:p>
    <w:p w:rsidR="009936D5" w:rsidP="009936D5" w:rsidRDefault="009936D5" w14:paraId="433E205A" w14:textId="77777777">
      <w:pPr>
        <w:pStyle w:val="ListParagraph"/>
        <w:numPr>
          <w:ilvl w:val="0"/>
          <w:numId w:val="12"/>
        </w:numPr>
        <w:ind w:left="567" w:hanging="567"/>
        <w:rPr>
          <w:bCs/>
          <w:iCs/>
        </w:rPr>
      </w:pPr>
      <w:r>
        <w:t xml:space="preserve">appelle de ses vœux un </w:t>
      </w:r>
      <w:r>
        <w:rPr>
          <w:b/>
        </w:rPr>
        <w:t>parcours de transition pour développer le secteur des technologies propres et économes en eau</w:t>
      </w:r>
      <w:r>
        <w:t>, y compris une feuille de route pour la dimension humaine afin de garantir la disponibilité des compétences requises, ainsi que des emplois de qualité et des conditions de travail décentes;</w:t>
      </w:r>
    </w:p>
    <w:p w:rsidR="009936D5" w:rsidP="009936D5" w:rsidRDefault="009936D5" w14:paraId="416C043F" w14:textId="77777777">
      <w:pPr>
        <w:pStyle w:val="ListParagraph"/>
        <w:numPr>
          <w:ilvl w:val="0"/>
          <w:numId w:val="12"/>
        </w:numPr>
        <w:ind w:left="567" w:hanging="567"/>
        <w:rPr>
          <w:bCs/>
          <w:iCs/>
        </w:rPr>
      </w:pPr>
      <w:r>
        <w:t xml:space="preserve">propose des mesures de soutien à la </w:t>
      </w:r>
      <w:r>
        <w:rPr>
          <w:b/>
        </w:rPr>
        <w:t>mise en œuvre du Fonds pour une transition bleue du pacte bleu pour l’Europe</w:t>
      </w:r>
      <w:r>
        <w:t xml:space="preserve"> dans le domaine industriel;</w:t>
      </w:r>
    </w:p>
    <w:p w:rsidRPr="00773A5A" w:rsidR="009936D5" w:rsidP="009936D5" w:rsidRDefault="009936D5" w14:paraId="67EBBFC6" w14:textId="4CFB2646">
      <w:pPr>
        <w:pStyle w:val="ListParagraph"/>
        <w:numPr>
          <w:ilvl w:val="0"/>
          <w:numId w:val="12"/>
        </w:numPr>
        <w:ind w:left="567" w:hanging="567"/>
        <w:rPr>
          <w:bCs/>
          <w:iCs/>
        </w:rPr>
      </w:pPr>
      <w:r>
        <w:t xml:space="preserve">soutient la création d’une </w:t>
      </w:r>
      <w:r>
        <w:rPr>
          <w:b/>
        </w:rPr>
        <w:t>communauté de la connaissance et de l’innovation (CCI) dans le domaine de l’eau</w:t>
      </w:r>
      <w:r>
        <w:t xml:space="preserve"> par l’Institut européen d’innovation et de technologie (EIT).</w:t>
      </w:r>
    </w:p>
    <w:p w:rsidR="00773A5A" w:rsidP="00773A5A" w:rsidRDefault="00773A5A" w14:paraId="59F81814" w14:textId="1DC0B081">
      <w:pPr>
        <w:pStyle w:val="ListParagraph"/>
        <w:ind w:left="567"/>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3C2FB3" w:rsidR="00773A5A" w:rsidTr="000721F8" w14:paraId="770D2259" w14:textId="77777777">
        <w:tc>
          <w:tcPr>
            <w:tcW w:w="1556" w:type="pct"/>
          </w:tcPr>
          <w:p w:rsidRPr="003C2FB3" w:rsidR="00773A5A" w:rsidP="000721F8" w:rsidRDefault="00773A5A" w14:paraId="248BBA43" w14:textId="77777777">
            <w:pPr>
              <w:overflowPunct w:val="0"/>
              <w:autoSpaceDE w:val="0"/>
              <w:autoSpaceDN w:val="0"/>
              <w:adjustRightInd w:val="0"/>
              <w:spacing w:line="240" w:lineRule="auto"/>
              <w:textAlignment w:val="baseline"/>
              <w:rPr>
                <w:i/>
              </w:rPr>
            </w:pPr>
            <w:r w:rsidRPr="003C2FB3">
              <w:rPr>
                <w:b/>
                <w:i/>
              </w:rPr>
              <w:t>Contact</w:t>
            </w:r>
          </w:p>
        </w:tc>
        <w:tc>
          <w:tcPr>
            <w:tcW w:w="3444" w:type="pct"/>
          </w:tcPr>
          <w:p w:rsidRPr="0066006A" w:rsidR="00773A5A" w:rsidP="000721F8" w:rsidRDefault="00773A5A" w14:paraId="1F756E17" w14:textId="64600AFA">
            <w:pPr>
              <w:overflowPunct w:val="0"/>
              <w:autoSpaceDE w:val="0"/>
              <w:autoSpaceDN w:val="0"/>
              <w:adjustRightInd w:val="0"/>
              <w:spacing w:line="240" w:lineRule="auto"/>
              <w:textAlignment w:val="baseline"/>
              <w:rPr>
                <w:i/>
              </w:rPr>
            </w:pPr>
            <w:proofErr w:type="spellStart"/>
            <w:r>
              <w:rPr>
                <w:i/>
              </w:rPr>
              <w:t>Heli</w:t>
            </w:r>
            <w:proofErr w:type="spellEnd"/>
            <w:r w:rsidR="00E35863">
              <w:rPr>
                <w:i/>
              </w:rPr>
              <w:t> NIEMELÄ-FARRER</w:t>
            </w:r>
          </w:p>
        </w:tc>
      </w:tr>
      <w:tr w:rsidRPr="003C2FB3" w:rsidR="00773A5A" w:rsidTr="000721F8" w14:paraId="72AE5045" w14:textId="77777777">
        <w:tc>
          <w:tcPr>
            <w:tcW w:w="1556" w:type="pct"/>
          </w:tcPr>
          <w:p w:rsidRPr="003C2FB3" w:rsidR="00773A5A" w:rsidP="000721F8" w:rsidRDefault="00773A5A" w14:paraId="4DEBA0CD" w14:textId="4C143E79">
            <w:pPr>
              <w:overflowPunct w:val="0"/>
              <w:autoSpaceDE w:val="0"/>
              <w:autoSpaceDN w:val="0"/>
              <w:adjustRightInd w:val="0"/>
              <w:spacing w:line="240" w:lineRule="auto"/>
              <w:textAlignment w:val="baseline"/>
              <w:rPr>
                <w:i/>
              </w:rPr>
            </w:pPr>
            <w:r w:rsidRPr="00773A5A">
              <w:rPr>
                <w:i/>
              </w:rPr>
              <w:t>Tél</w:t>
            </w:r>
            <w:r w:rsidRPr="003C2FB3">
              <w:rPr>
                <w:i/>
              </w:rPr>
              <w:t>.</w:t>
            </w:r>
          </w:p>
        </w:tc>
        <w:tc>
          <w:tcPr>
            <w:tcW w:w="3444" w:type="pct"/>
          </w:tcPr>
          <w:p w:rsidRPr="003C2FB3" w:rsidR="00773A5A" w:rsidP="000721F8" w:rsidRDefault="00773A5A" w14:paraId="6384A4AC" w14:textId="77777777">
            <w:pPr>
              <w:overflowPunct w:val="0"/>
              <w:autoSpaceDE w:val="0"/>
              <w:autoSpaceDN w:val="0"/>
              <w:adjustRightInd w:val="0"/>
              <w:spacing w:line="240" w:lineRule="auto"/>
              <w:textAlignment w:val="baseline"/>
              <w:rPr>
                <w:i/>
              </w:rPr>
            </w:pPr>
            <w:r w:rsidRPr="003C2FB3">
              <w:rPr>
                <w:i/>
              </w:rPr>
              <w:t>+32 2</w:t>
            </w:r>
            <w:r>
              <w:rPr>
                <w:i/>
              </w:rPr>
              <w:t>28224</w:t>
            </w:r>
            <w:r w:rsidRPr="003C2FB3">
              <w:rPr>
                <w:i/>
              </w:rPr>
              <w:t>6</w:t>
            </w:r>
            <w:r>
              <w:rPr>
                <w:i/>
              </w:rPr>
              <w:t>4</w:t>
            </w:r>
          </w:p>
        </w:tc>
      </w:tr>
      <w:tr w:rsidRPr="003C2FB3" w:rsidR="00773A5A" w:rsidTr="000721F8" w14:paraId="6A1AA1FC" w14:textId="77777777">
        <w:tc>
          <w:tcPr>
            <w:tcW w:w="1556" w:type="pct"/>
          </w:tcPr>
          <w:p w:rsidRPr="003C2FB3" w:rsidR="00773A5A" w:rsidP="000721F8" w:rsidRDefault="00773A5A" w14:paraId="244A5596" w14:textId="02C7373A">
            <w:pPr>
              <w:overflowPunct w:val="0"/>
              <w:autoSpaceDE w:val="0"/>
              <w:autoSpaceDN w:val="0"/>
              <w:adjustRightInd w:val="0"/>
              <w:spacing w:line="240" w:lineRule="auto"/>
              <w:textAlignment w:val="baseline"/>
              <w:rPr>
                <w:i/>
              </w:rPr>
            </w:pPr>
            <w:r w:rsidRPr="00773A5A">
              <w:rPr>
                <w:i/>
              </w:rPr>
              <w:t>Courriel</w:t>
            </w:r>
          </w:p>
        </w:tc>
        <w:tc>
          <w:tcPr>
            <w:tcW w:w="3444" w:type="pct"/>
          </w:tcPr>
          <w:p w:rsidRPr="00260CCE" w:rsidR="00773A5A" w:rsidP="000721F8" w:rsidRDefault="00EE33D5" w14:paraId="7F11D4B8" w14:textId="498C9F1C">
            <w:pPr>
              <w:overflowPunct w:val="0"/>
              <w:autoSpaceDE w:val="0"/>
              <w:autoSpaceDN w:val="0"/>
              <w:adjustRightInd w:val="0"/>
              <w:spacing w:line="240" w:lineRule="auto"/>
              <w:textAlignment w:val="baseline"/>
              <w:rPr>
                <w:i/>
                <w:color w:val="0000FF"/>
                <w:u w:val="single"/>
              </w:rPr>
            </w:pPr>
            <w:hyperlink w:history="1" r:id="rId38">
              <w:r w:rsidRPr="00260CCE" w:rsidR="00773A5A">
                <w:rPr>
                  <w:rStyle w:val="Hyperlink"/>
                  <w:i/>
                  <w:iCs/>
                </w:rPr>
                <w:t>Heli.Niemela-Farrer@</w:t>
              </w:r>
              <w:r w:rsidRPr="002152B5" w:rsidR="00773A5A">
                <w:rPr>
                  <w:rStyle w:val="Hyperlink"/>
                  <w:i/>
                </w:rPr>
                <w:t>eesc.europa.eu</w:t>
              </w:r>
            </w:hyperlink>
          </w:p>
        </w:tc>
      </w:tr>
    </w:tbl>
    <w:p w:rsidR="00773A5A" w:rsidP="00773A5A" w:rsidRDefault="00773A5A" w14:paraId="043FF44C" w14:textId="77777777">
      <w:pPr>
        <w:pStyle w:val="ListParagraph"/>
        <w:ind w:left="567"/>
        <w:rPr>
          <w:bCs/>
          <w:iCs/>
        </w:rPr>
      </w:pPr>
    </w:p>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386C01">
      <w:headerReference w:type="even" r:id="rId39"/>
      <w:headerReference w:type="default" r:id="rId40"/>
      <w:footerReference w:type="even" r:id="rId41"/>
      <w:footerReference w:type="default" r:id="rId42"/>
      <w:headerReference w:type="first" r:id="rId43"/>
      <w:footerReference w:type="first" r:id="rId44"/>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0DCC470F" w:rsidR="00765C4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rsidR="00DC0FAE">
      <w:t>1</w:t>
    </w:r>
    <w:r>
      <w:fldChar w:fldCharType="end"/>
    </w:r>
    <w:r>
      <w:t>/</w:t>
    </w:r>
    <w:fldSimple w:instr=" NUMPAGES ">
      <w:r w:rsidR="00DC0FAE">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86C01" w:rsidRDefault="00E4258F" w:rsidP="005C2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DACB8BF" w:rsidR="00E4258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86C01" w:rsidRDefault="00E4258F" w:rsidP="005C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86C01" w:rsidRDefault="00E4258F" w:rsidP="00386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386C01" w:rsidRDefault="00E4258F" w:rsidP="00386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86C01" w:rsidRDefault="00E4258F" w:rsidP="0038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22EB68"/>
    <w:lvl w:ilvl="0">
      <w:numFmt w:val="decimal"/>
      <w:lvlText w:val="*"/>
      <w:lvlJc w:val="left"/>
    </w:lvl>
  </w:abstractNum>
  <w:abstractNum w:abstractNumId="1" w15:restartNumberingAfterBreak="0">
    <w:nsid w:val="033E08C8"/>
    <w:multiLevelType w:val="hybridMultilevel"/>
    <w:tmpl w:val="4690530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020295"/>
    <w:multiLevelType w:val="hybridMultilevel"/>
    <w:tmpl w:val="67767474"/>
    <w:lvl w:ilvl="0" w:tplc="F6166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F3FE3"/>
    <w:multiLevelType w:val="hybridMultilevel"/>
    <w:tmpl w:val="39DE4E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 w15:restartNumberingAfterBreak="0">
    <w:nsid w:val="057B6B6A"/>
    <w:multiLevelType w:val="hybridMultilevel"/>
    <w:tmpl w:val="05EC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3388C"/>
    <w:multiLevelType w:val="hybridMultilevel"/>
    <w:tmpl w:val="274AB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38E32A4"/>
    <w:multiLevelType w:val="hybridMultilevel"/>
    <w:tmpl w:val="D138115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994545"/>
    <w:multiLevelType w:val="hybridMultilevel"/>
    <w:tmpl w:val="543AAAC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7B45D08"/>
    <w:multiLevelType w:val="hybridMultilevel"/>
    <w:tmpl w:val="819CD394"/>
    <w:lvl w:ilvl="0" w:tplc="85C8C05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0E20584"/>
    <w:multiLevelType w:val="hybridMultilevel"/>
    <w:tmpl w:val="960CE05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32A63C20"/>
    <w:multiLevelType w:val="hybridMultilevel"/>
    <w:tmpl w:val="EA508A0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7E5443"/>
    <w:multiLevelType w:val="hybridMultilevel"/>
    <w:tmpl w:val="CAB65DF6"/>
    <w:lvl w:ilvl="0" w:tplc="F6166D28">
      <w:start w:val="1"/>
      <w:numFmt w:val="bullet"/>
      <w:lvlText w:val=""/>
      <w:lvlJc w:val="left"/>
      <w:pPr>
        <w:ind w:left="501" w:hanging="360"/>
      </w:pPr>
      <w:rPr>
        <w:rFonts w:ascii="Symbol" w:hAnsi="Symbol" w:hint="default"/>
      </w:rPr>
    </w:lvl>
    <w:lvl w:ilvl="1" w:tplc="080C0003" w:tentative="1">
      <w:start w:val="1"/>
      <w:numFmt w:val="bullet"/>
      <w:lvlText w:val="o"/>
      <w:lvlJc w:val="left"/>
      <w:pPr>
        <w:ind w:left="1221" w:hanging="360"/>
      </w:pPr>
      <w:rPr>
        <w:rFonts w:ascii="Courier New" w:hAnsi="Courier New" w:cs="Courier New" w:hint="default"/>
      </w:rPr>
    </w:lvl>
    <w:lvl w:ilvl="2" w:tplc="080C0005" w:tentative="1">
      <w:start w:val="1"/>
      <w:numFmt w:val="bullet"/>
      <w:lvlText w:val=""/>
      <w:lvlJc w:val="left"/>
      <w:pPr>
        <w:ind w:left="1941" w:hanging="360"/>
      </w:pPr>
      <w:rPr>
        <w:rFonts w:ascii="Wingdings" w:hAnsi="Wingdings" w:hint="default"/>
      </w:rPr>
    </w:lvl>
    <w:lvl w:ilvl="3" w:tplc="080C0001" w:tentative="1">
      <w:start w:val="1"/>
      <w:numFmt w:val="bullet"/>
      <w:lvlText w:val=""/>
      <w:lvlJc w:val="left"/>
      <w:pPr>
        <w:ind w:left="2661" w:hanging="360"/>
      </w:pPr>
      <w:rPr>
        <w:rFonts w:ascii="Symbol" w:hAnsi="Symbol" w:hint="default"/>
      </w:rPr>
    </w:lvl>
    <w:lvl w:ilvl="4" w:tplc="080C0003" w:tentative="1">
      <w:start w:val="1"/>
      <w:numFmt w:val="bullet"/>
      <w:lvlText w:val="o"/>
      <w:lvlJc w:val="left"/>
      <w:pPr>
        <w:ind w:left="3381" w:hanging="360"/>
      </w:pPr>
      <w:rPr>
        <w:rFonts w:ascii="Courier New" w:hAnsi="Courier New" w:cs="Courier New" w:hint="default"/>
      </w:rPr>
    </w:lvl>
    <w:lvl w:ilvl="5" w:tplc="080C0005" w:tentative="1">
      <w:start w:val="1"/>
      <w:numFmt w:val="bullet"/>
      <w:lvlText w:val=""/>
      <w:lvlJc w:val="left"/>
      <w:pPr>
        <w:ind w:left="4101" w:hanging="360"/>
      </w:pPr>
      <w:rPr>
        <w:rFonts w:ascii="Wingdings" w:hAnsi="Wingdings" w:hint="default"/>
      </w:rPr>
    </w:lvl>
    <w:lvl w:ilvl="6" w:tplc="080C0001" w:tentative="1">
      <w:start w:val="1"/>
      <w:numFmt w:val="bullet"/>
      <w:lvlText w:val=""/>
      <w:lvlJc w:val="left"/>
      <w:pPr>
        <w:ind w:left="4821" w:hanging="360"/>
      </w:pPr>
      <w:rPr>
        <w:rFonts w:ascii="Symbol" w:hAnsi="Symbol" w:hint="default"/>
      </w:rPr>
    </w:lvl>
    <w:lvl w:ilvl="7" w:tplc="080C0003" w:tentative="1">
      <w:start w:val="1"/>
      <w:numFmt w:val="bullet"/>
      <w:lvlText w:val="o"/>
      <w:lvlJc w:val="left"/>
      <w:pPr>
        <w:ind w:left="5541" w:hanging="360"/>
      </w:pPr>
      <w:rPr>
        <w:rFonts w:ascii="Courier New" w:hAnsi="Courier New" w:cs="Courier New" w:hint="default"/>
      </w:rPr>
    </w:lvl>
    <w:lvl w:ilvl="8" w:tplc="080C0005" w:tentative="1">
      <w:start w:val="1"/>
      <w:numFmt w:val="bullet"/>
      <w:lvlText w:val=""/>
      <w:lvlJc w:val="left"/>
      <w:pPr>
        <w:ind w:left="6261" w:hanging="360"/>
      </w:pPr>
      <w:rPr>
        <w:rFonts w:ascii="Wingdings" w:hAnsi="Wingdings" w:hint="default"/>
      </w:rPr>
    </w:lvl>
  </w:abstractNum>
  <w:abstractNum w:abstractNumId="14"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419F3886"/>
    <w:multiLevelType w:val="hybridMultilevel"/>
    <w:tmpl w:val="6D48DD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1C43CC1"/>
    <w:multiLevelType w:val="hybridMultilevel"/>
    <w:tmpl w:val="0F629792"/>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42A57F35"/>
    <w:multiLevelType w:val="hybridMultilevel"/>
    <w:tmpl w:val="E5E40D6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43F84B37"/>
    <w:multiLevelType w:val="hybridMultilevel"/>
    <w:tmpl w:val="8092051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CA23ACC"/>
    <w:multiLevelType w:val="hybridMultilevel"/>
    <w:tmpl w:val="E262473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DDA6B31"/>
    <w:multiLevelType w:val="hybridMultilevel"/>
    <w:tmpl w:val="028E43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08E1C33"/>
    <w:multiLevelType w:val="hybridMultilevel"/>
    <w:tmpl w:val="FA6C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022B7"/>
    <w:multiLevelType w:val="hybridMultilevel"/>
    <w:tmpl w:val="100849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3933F59"/>
    <w:multiLevelType w:val="hybridMultilevel"/>
    <w:tmpl w:val="C854D3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5F652F1"/>
    <w:multiLevelType w:val="hybridMultilevel"/>
    <w:tmpl w:val="6722E5EA"/>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2"/>
  </w:num>
  <w:num w:numId="4">
    <w:abstractNumId w:val="23"/>
  </w:num>
  <w:num w:numId="5">
    <w:abstractNumId w:val="7"/>
  </w:num>
  <w:num w:numId="6">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7">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8">
    <w:abstractNumId w:val="22"/>
  </w:num>
  <w:num w:numId="9">
    <w:abstractNumId w:val="27"/>
  </w:num>
  <w:num w:numId="10">
    <w:abstractNumId w:val="26"/>
  </w:num>
  <w:num w:numId="11">
    <w:abstractNumId w:val="0"/>
    <w:lvlOverride w:ilvl="0">
      <w:lvl w:ilvl="0">
        <w:start w:val="1"/>
        <w:numFmt w:val="bullet"/>
        <w:lvlText w:val=""/>
        <w:legacy w:legacy="1" w:legacySpace="0" w:legacyIndent="283"/>
        <w:lvlJc w:val="left"/>
        <w:pPr>
          <w:ind w:left="424" w:hanging="283"/>
        </w:pPr>
        <w:rPr>
          <w:rFonts w:ascii="Symbol" w:hAnsi="Symbol" w:hint="default"/>
          <w:color w:val="auto"/>
        </w:rPr>
      </w:lvl>
    </w:lvlOverride>
  </w:num>
  <w:num w:numId="12">
    <w:abstractNumId w:val="21"/>
  </w:num>
  <w:num w:numId="13">
    <w:abstractNumId w:val="25"/>
  </w:num>
  <w:num w:numId="14">
    <w:abstractNumId w:val="16"/>
  </w:num>
  <w:num w:numId="15">
    <w:abstractNumId w:val="6"/>
  </w:num>
  <w:num w:numId="16">
    <w:abstractNumId w:val="11"/>
  </w:num>
  <w:num w:numId="17">
    <w:abstractNumId w:val="13"/>
  </w:num>
  <w:num w:numId="18">
    <w:abstractNumId w:val="18"/>
  </w:num>
  <w:num w:numId="19">
    <w:abstractNumId w:val="19"/>
  </w:num>
  <w:num w:numId="20">
    <w:abstractNumId w:val="24"/>
  </w:num>
  <w:num w:numId="21">
    <w:abstractNumId w:val="12"/>
  </w:num>
  <w:num w:numId="22">
    <w:abstractNumId w:val="1"/>
  </w:num>
  <w:num w:numId="23">
    <w:abstractNumId w:val="4"/>
  </w:num>
  <w:num w:numId="24">
    <w:abstractNumId w:val="9"/>
  </w:num>
  <w:num w:numId="25">
    <w:abstractNumId w:val="20"/>
  </w:num>
  <w:num w:numId="26">
    <w:abstractNumId w:val="8"/>
  </w:num>
  <w:num w:numId="27">
    <w:abstractNumId w:val="17"/>
  </w:num>
  <w:num w:numId="28">
    <w:abstractNumId w:val="3"/>
  </w:num>
  <w:num w:numId="29">
    <w:abstractNumId w:val="5"/>
  </w:num>
  <w:num w:numId="30">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0E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343"/>
    <w:rsid w:val="000257FE"/>
    <w:rsid w:val="00025CE3"/>
    <w:rsid w:val="0002700A"/>
    <w:rsid w:val="00027072"/>
    <w:rsid w:val="000273E5"/>
    <w:rsid w:val="00027441"/>
    <w:rsid w:val="0003047E"/>
    <w:rsid w:val="00030AA7"/>
    <w:rsid w:val="00030ED3"/>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5A8"/>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77E"/>
    <w:rsid w:val="00066DC7"/>
    <w:rsid w:val="000676C4"/>
    <w:rsid w:val="0007015C"/>
    <w:rsid w:val="00070AAE"/>
    <w:rsid w:val="00070FEE"/>
    <w:rsid w:val="0007146F"/>
    <w:rsid w:val="00071568"/>
    <w:rsid w:val="00071B33"/>
    <w:rsid w:val="00071F4C"/>
    <w:rsid w:val="00072D9B"/>
    <w:rsid w:val="00073491"/>
    <w:rsid w:val="000736D0"/>
    <w:rsid w:val="00073B39"/>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BE5"/>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3A1"/>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84C"/>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47442"/>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0D28"/>
    <w:rsid w:val="00191584"/>
    <w:rsid w:val="00191597"/>
    <w:rsid w:val="00192911"/>
    <w:rsid w:val="00192BCD"/>
    <w:rsid w:val="00193D92"/>
    <w:rsid w:val="00194870"/>
    <w:rsid w:val="001951FD"/>
    <w:rsid w:val="00195380"/>
    <w:rsid w:val="001965D5"/>
    <w:rsid w:val="0019674A"/>
    <w:rsid w:val="00196909"/>
    <w:rsid w:val="0019715D"/>
    <w:rsid w:val="001A0AD4"/>
    <w:rsid w:val="001A1CC5"/>
    <w:rsid w:val="001A2273"/>
    <w:rsid w:val="001A2632"/>
    <w:rsid w:val="001A2ED2"/>
    <w:rsid w:val="001A5EC5"/>
    <w:rsid w:val="001A60BB"/>
    <w:rsid w:val="001A7110"/>
    <w:rsid w:val="001A7476"/>
    <w:rsid w:val="001B10DA"/>
    <w:rsid w:val="001B146A"/>
    <w:rsid w:val="001B5867"/>
    <w:rsid w:val="001B612B"/>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3F"/>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80"/>
    <w:rsid w:val="002048F7"/>
    <w:rsid w:val="002049FA"/>
    <w:rsid w:val="00204FE8"/>
    <w:rsid w:val="00205D0D"/>
    <w:rsid w:val="002062DF"/>
    <w:rsid w:val="00206D17"/>
    <w:rsid w:val="00207025"/>
    <w:rsid w:val="00207B3C"/>
    <w:rsid w:val="00210F85"/>
    <w:rsid w:val="002119AD"/>
    <w:rsid w:val="00214437"/>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24E"/>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078"/>
    <w:rsid w:val="002571FC"/>
    <w:rsid w:val="002578F2"/>
    <w:rsid w:val="00260129"/>
    <w:rsid w:val="00260907"/>
    <w:rsid w:val="00260B0A"/>
    <w:rsid w:val="00260CCE"/>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841"/>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7E9"/>
    <w:rsid w:val="002F5819"/>
    <w:rsid w:val="002F5EE1"/>
    <w:rsid w:val="002F63EB"/>
    <w:rsid w:val="002F6997"/>
    <w:rsid w:val="002F6E84"/>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2F"/>
    <w:rsid w:val="00360C81"/>
    <w:rsid w:val="00361E48"/>
    <w:rsid w:val="00361F46"/>
    <w:rsid w:val="00363F5C"/>
    <w:rsid w:val="003641AD"/>
    <w:rsid w:val="003661D3"/>
    <w:rsid w:val="0036641A"/>
    <w:rsid w:val="00370548"/>
    <w:rsid w:val="00370CCB"/>
    <w:rsid w:val="003746E1"/>
    <w:rsid w:val="003748B6"/>
    <w:rsid w:val="00374BB8"/>
    <w:rsid w:val="003754CD"/>
    <w:rsid w:val="00375E65"/>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2FB3"/>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1BC9"/>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10CA"/>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4F0D"/>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8AF"/>
    <w:rsid w:val="00464E60"/>
    <w:rsid w:val="00465427"/>
    <w:rsid w:val="004655F9"/>
    <w:rsid w:val="004656EF"/>
    <w:rsid w:val="0046592D"/>
    <w:rsid w:val="0046631E"/>
    <w:rsid w:val="00466CD9"/>
    <w:rsid w:val="00467BE4"/>
    <w:rsid w:val="00470719"/>
    <w:rsid w:val="00472A79"/>
    <w:rsid w:val="00472ACA"/>
    <w:rsid w:val="00472C23"/>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972FA"/>
    <w:rsid w:val="004A3CBD"/>
    <w:rsid w:val="004A46D9"/>
    <w:rsid w:val="004A5563"/>
    <w:rsid w:val="004A5CD7"/>
    <w:rsid w:val="004A6166"/>
    <w:rsid w:val="004A654F"/>
    <w:rsid w:val="004A66EE"/>
    <w:rsid w:val="004A688A"/>
    <w:rsid w:val="004A6B7F"/>
    <w:rsid w:val="004B1BC7"/>
    <w:rsid w:val="004B2250"/>
    <w:rsid w:val="004B32D3"/>
    <w:rsid w:val="004B344F"/>
    <w:rsid w:val="004B3B56"/>
    <w:rsid w:val="004B4150"/>
    <w:rsid w:val="004B45B8"/>
    <w:rsid w:val="004B4B28"/>
    <w:rsid w:val="004B7248"/>
    <w:rsid w:val="004B72DD"/>
    <w:rsid w:val="004C0C1D"/>
    <w:rsid w:val="004C1520"/>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0C2"/>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105"/>
    <w:rsid w:val="004E77E1"/>
    <w:rsid w:val="004F0CF5"/>
    <w:rsid w:val="004F1302"/>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C9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A59"/>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279"/>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6B8"/>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5D8B"/>
    <w:rsid w:val="005B6007"/>
    <w:rsid w:val="005B7660"/>
    <w:rsid w:val="005C0363"/>
    <w:rsid w:val="005C0454"/>
    <w:rsid w:val="005C078D"/>
    <w:rsid w:val="005C28F2"/>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838"/>
    <w:rsid w:val="005E7B87"/>
    <w:rsid w:val="005E7FD6"/>
    <w:rsid w:val="005F04D4"/>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992"/>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4B7"/>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1753"/>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5CF8"/>
    <w:rsid w:val="00686FAC"/>
    <w:rsid w:val="00687437"/>
    <w:rsid w:val="00687C49"/>
    <w:rsid w:val="0069051C"/>
    <w:rsid w:val="00691253"/>
    <w:rsid w:val="00691356"/>
    <w:rsid w:val="006917E2"/>
    <w:rsid w:val="00692875"/>
    <w:rsid w:val="006929F2"/>
    <w:rsid w:val="0069379F"/>
    <w:rsid w:val="006938FA"/>
    <w:rsid w:val="00693BDB"/>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19F4"/>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137"/>
    <w:rsid w:val="006E16D5"/>
    <w:rsid w:val="006E1DD7"/>
    <w:rsid w:val="006E224A"/>
    <w:rsid w:val="006E245B"/>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462A"/>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7A9"/>
    <w:rsid w:val="00760B02"/>
    <w:rsid w:val="00760C0A"/>
    <w:rsid w:val="0076429F"/>
    <w:rsid w:val="007650A7"/>
    <w:rsid w:val="00765480"/>
    <w:rsid w:val="00765C4F"/>
    <w:rsid w:val="00766372"/>
    <w:rsid w:val="00766B65"/>
    <w:rsid w:val="0076753A"/>
    <w:rsid w:val="00770B2E"/>
    <w:rsid w:val="00770F41"/>
    <w:rsid w:val="00771110"/>
    <w:rsid w:val="007717CB"/>
    <w:rsid w:val="007724A0"/>
    <w:rsid w:val="00772F61"/>
    <w:rsid w:val="00773A5A"/>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300E"/>
    <w:rsid w:val="007A4DC4"/>
    <w:rsid w:val="007A4F58"/>
    <w:rsid w:val="007A51DE"/>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29B9"/>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2E2B"/>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3E7E"/>
    <w:rsid w:val="00844B87"/>
    <w:rsid w:val="00845AE2"/>
    <w:rsid w:val="008469D4"/>
    <w:rsid w:val="00847288"/>
    <w:rsid w:val="0084732A"/>
    <w:rsid w:val="0084765B"/>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7D8"/>
    <w:rsid w:val="00866A9D"/>
    <w:rsid w:val="00870153"/>
    <w:rsid w:val="00871481"/>
    <w:rsid w:val="00871B5A"/>
    <w:rsid w:val="00871ED8"/>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275F"/>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2FAC"/>
    <w:rsid w:val="008B4283"/>
    <w:rsid w:val="008B47C5"/>
    <w:rsid w:val="008B4C8C"/>
    <w:rsid w:val="008B5703"/>
    <w:rsid w:val="008B659D"/>
    <w:rsid w:val="008B66DD"/>
    <w:rsid w:val="008B7198"/>
    <w:rsid w:val="008B72DD"/>
    <w:rsid w:val="008B792B"/>
    <w:rsid w:val="008C18DE"/>
    <w:rsid w:val="008C3DBE"/>
    <w:rsid w:val="008C3E09"/>
    <w:rsid w:val="008C4B50"/>
    <w:rsid w:val="008C4FD1"/>
    <w:rsid w:val="008C5358"/>
    <w:rsid w:val="008C5DFD"/>
    <w:rsid w:val="008C790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5F1F"/>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733C"/>
    <w:rsid w:val="009476EF"/>
    <w:rsid w:val="00947E08"/>
    <w:rsid w:val="009508AD"/>
    <w:rsid w:val="00950C4F"/>
    <w:rsid w:val="009530C5"/>
    <w:rsid w:val="0095386D"/>
    <w:rsid w:val="0095396D"/>
    <w:rsid w:val="0095532C"/>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36D5"/>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2ADA"/>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5F39"/>
    <w:rsid w:val="00A06825"/>
    <w:rsid w:val="00A06E9E"/>
    <w:rsid w:val="00A1036D"/>
    <w:rsid w:val="00A10A98"/>
    <w:rsid w:val="00A10B0E"/>
    <w:rsid w:val="00A10C1C"/>
    <w:rsid w:val="00A11AB2"/>
    <w:rsid w:val="00A12627"/>
    <w:rsid w:val="00A12A65"/>
    <w:rsid w:val="00A13493"/>
    <w:rsid w:val="00A13A09"/>
    <w:rsid w:val="00A1414A"/>
    <w:rsid w:val="00A14846"/>
    <w:rsid w:val="00A15A99"/>
    <w:rsid w:val="00A17267"/>
    <w:rsid w:val="00A1771A"/>
    <w:rsid w:val="00A2086E"/>
    <w:rsid w:val="00A20E9D"/>
    <w:rsid w:val="00A2120F"/>
    <w:rsid w:val="00A2178F"/>
    <w:rsid w:val="00A21FFA"/>
    <w:rsid w:val="00A22B10"/>
    <w:rsid w:val="00A23F52"/>
    <w:rsid w:val="00A24264"/>
    <w:rsid w:val="00A26217"/>
    <w:rsid w:val="00A3013F"/>
    <w:rsid w:val="00A3055E"/>
    <w:rsid w:val="00A30792"/>
    <w:rsid w:val="00A30B84"/>
    <w:rsid w:val="00A31DC8"/>
    <w:rsid w:val="00A3262A"/>
    <w:rsid w:val="00A329C8"/>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5D6F"/>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28A4"/>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2CA"/>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5BEF"/>
    <w:rsid w:val="00B767ED"/>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1A3E"/>
    <w:rsid w:val="00BA2DE5"/>
    <w:rsid w:val="00BA3851"/>
    <w:rsid w:val="00BA46F3"/>
    <w:rsid w:val="00BA494E"/>
    <w:rsid w:val="00BA51ED"/>
    <w:rsid w:val="00BA579D"/>
    <w:rsid w:val="00BA6CB2"/>
    <w:rsid w:val="00BB01E4"/>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044"/>
    <w:rsid w:val="00C1769B"/>
    <w:rsid w:val="00C17A76"/>
    <w:rsid w:val="00C20094"/>
    <w:rsid w:val="00C2260E"/>
    <w:rsid w:val="00C23477"/>
    <w:rsid w:val="00C23683"/>
    <w:rsid w:val="00C237F1"/>
    <w:rsid w:val="00C240FA"/>
    <w:rsid w:val="00C259DF"/>
    <w:rsid w:val="00C25DB3"/>
    <w:rsid w:val="00C26828"/>
    <w:rsid w:val="00C26C81"/>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0B6"/>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7CD"/>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5119"/>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2B39"/>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8"/>
    <w:rsid w:val="00D6320E"/>
    <w:rsid w:val="00D633D2"/>
    <w:rsid w:val="00D63656"/>
    <w:rsid w:val="00D6423D"/>
    <w:rsid w:val="00D64E2D"/>
    <w:rsid w:val="00D65CD6"/>
    <w:rsid w:val="00D67943"/>
    <w:rsid w:val="00D67B5F"/>
    <w:rsid w:val="00D67CAD"/>
    <w:rsid w:val="00D704B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BEF"/>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6C7"/>
    <w:rsid w:val="00DB2B61"/>
    <w:rsid w:val="00DB34D6"/>
    <w:rsid w:val="00DB3C05"/>
    <w:rsid w:val="00DB3DBA"/>
    <w:rsid w:val="00DB4124"/>
    <w:rsid w:val="00DB5B6E"/>
    <w:rsid w:val="00DB678B"/>
    <w:rsid w:val="00DB6D98"/>
    <w:rsid w:val="00DC057E"/>
    <w:rsid w:val="00DC097D"/>
    <w:rsid w:val="00DC0FAE"/>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6911"/>
    <w:rsid w:val="00DD6D07"/>
    <w:rsid w:val="00DD7044"/>
    <w:rsid w:val="00DE010C"/>
    <w:rsid w:val="00DE0F02"/>
    <w:rsid w:val="00DE2301"/>
    <w:rsid w:val="00DE29AC"/>
    <w:rsid w:val="00DE2C99"/>
    <w:rsid w:val="00DE308B"/>
    <w:rsid w:val="00DE3CA7"/>
    <w:rsid w:val="00DE43CE"/>
    <w:rsid w:val="00DE4A3B"/>
    <w:rsid w:val="00DE4C21"/>
    <w:rsid w:val="00DE4C77"/>
    <w:rsid w:val="00DE5DA2"/>
    <w:rsid w:val="00DE65D0"/>
    <w:rsid w:val="00DE69CB"/>
    <w:rsid w:val="00DE6AD0"/>
    <w:rsid w:val="00DE78E2"/>
    <w:rsid w:val="00DF132B"/>
    <w:rsid w:val="00DF1937"/>
    <w:rsid w:val="00DF2015"/>
    <w:rsid w:val="00DF25DF"/>
    <w:rsid w:val="00DF2640"/>
    <w:rsid w:val="00DF2912"/>
    <w:rsid w:val="00DF2B94"/>
    <w:rsid w:val="00DF305C"/>
    <w:rsid w:val="00DF349B"/>
    <w:rsid w:val="00DF3AB4"/>
    <w:rsid w:val="00DF3AB5"/>
    <w:rsid w:val="00DF3ABC"/>
    <w:rsid w:val="00DF3E74"/>
    <w:rsid w:val="00DF590D"/>
    <w:rsid w:val="00DF6944"/>
    <w:rsid w:val="00DF7BC0"/>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07B22"/>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E7D"/>
    <w:rsid w:val="00E20FC5"/>
    <w:rsid w:val="00E211D9"/>
    <w:rsid w:val="00E21482"/>
    <w:rsid w:val="00E227B2"/>
    <w:rsid w:val="00E22C3B"/>
    <w:rsid w:val="00E22F64"/>
    <w:rsid w:val="00E24300"/>
    <w:rsid w:val="00E24CDF"/>
    <w:rsid w:val="00E25AC4"/>
    <w:rsid w:val="00E26B20"/>
    <w:rsid w:val="00E26F29"/>
    <w:rsid w:val="00E302BC"/>
    <w:rsid w:val="00E30B65"/>
    <w:rsid w:val="00E31152"/>
    <w:rsid w:val="00E3132D"/>
    <w:rsid w:val="00E31954"/>
    <w:rsid w:val="00E32E37"/>
    <w:rsid w:val="00E33923"/>
    <w:rsid w:val="00E33D03"/>
    <w:rsid w:val="00E34279"/>
    <w:rsid w:val="00E35863"/>
    <w:rsid w:val="00E35F6C"/>
    <w:rsid w:val="00E36007"/>
    <w:rsid w:val="00E36C7E"/>
    <w:rsid w:val="00E36EA1"/>
    <w:rsid w:val="00E3738B"/>
    <w:rsid w:val="00E37A8F"/>
    <w:rsid w:val="00E40125"/>
    <w:rsid w:val="00E4107B"/>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07A"/>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6F8B"/>
    <w:rsid w:val="00E87122"/>
    <w:rsid w:val="00E87965"/>
    <w:rsid w:val="00E87B7B"/>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48BE"/>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5F1D"/>
    <w:rsid w:val="00ED7BC2"/>
    <w:rsid w:val="00EE0235"/>
    <w:rsid w:val="00EE03C2"/>
    <w:rsid w:val="00EE1D94"/>
    <w:rsid w:val="00EE1E04"/>
    <w:rsid w:val="00EE1FFA"/>
    <w:rsid w:val="00EE27EF"/>
    <w:rsid w:val="00EE2FBD"/>
    <w:rsid w:val="00EE33D5"/>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3F8"/>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353E"/>
    <w:rsid w:val="00F54023"/>
    <w:rsid w:val="00F54247"/>
    <w:rsid w:val="00F545CF"/>
    <w:rsid w:val="00F5682F"/>
    <w:rsid w:val="00F569A1"/>
    <w:rsid w:val="00F5763E"/>
    <w:rsid w:val="00F6157E"/>
    <w:rsid w:val="00F63F2A"/>
    <w:rsid w:val="00F646EF"/>
    <w:rsid w:val="00F64B0A"/>
    <w:rsid w:val="00F6655D"/>
    <w:rsid w:val="00F66741"/>
    <w:rsid w:val="00F70268"/>
    <w:rsid w:val="00F70851"/>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093"/>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3"/>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fr-FR"/>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 w:type="table" w:customStyle="1" w:styleId="TableGrid212">
    <w:name w:val="Table Grid212"/>
    <w:basedOn w:val="TableNormal"/>
    <w:next w:val="TableGrid"/>
    <w:rsid w:val="006C1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1A5E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4E7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1048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0253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A148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A329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EC48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012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3C2F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26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5F1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8">
    <w:name w:val="Unresolved Mention8"/>
    <w:basedOn w:val="DefaultParagraphFont"/>
    <w:uiPriority w:val="99"/>
    <w:semiHidden/>
    <w:unhideWhenUsed/>
    <w:rsid w:val="004F1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mailto:Georgios.Meleas@eesc.europa.eu" TargetMode="External"/><Relationship Id="rId26" Type="http://schemas.openxmlformats.org/officeDocument/2006/relationships/hyperlink" Target="mailto:Judit.CarrerasGarcia@eesc.europa.eu" TargetMode="External"/><Relationship Id="rId39" Type="http://schemas.openxmlformats.org/officeDocument/2006/relationships/header" Target="header1.xml"/><Relationship Id="rId21" Type="http://schemas.openxmlformats.org/officeDocument/2006/relationships/hyperlink" Target="https://www.eesc.europa.eu/fr/our-work/opinions-information-reports/opinions/revision-de-la-directive-relative-au-comite-dentreprise-europeen" TargetMode="External"/><Relationship Id="rId34" Type="http://schemas.openxmlformats.org/officeDocument/2006/relationships/hyperlink" Target="mailto:Adam.Dorywalski@eesc.europa.eu" TargetMode="External"/><Relationship Id="rId42" Type="http://schemas.openxmlformats.org/officeDocument/2006/relationships/footer" Target="footer3.xml"/><Relationship Id="rId47" Type="http://schemas.openxmlformats.org/officeDocument/2006/relationships/customXml" Target="../customXml/item1.xml"/><Relationship Id="rId50"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hyperlink" Target="mailto:Georgios.Meleas@eesc.europa.eu" TargetMode="External"/><Relationship Id="rId29" Type="http://schemas.openxmlformats.org/officeDocument/2006/relationships/hyperlink" Target="https://www.eesc.europa.eu/fr/our-work/opinions-information-reports/opinions/plan-europeen-pour-vaincre-le-cancer-vers-un-approvisionnement-sur-en-radio-isotopes-usage-medical"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June.Bedaton@eesc.europa.eu" TargetMode="External"/><Relationship Id="rId32" Type="http://schemas.openxmlformats.org/officeDocument/2006/relationships/hyperlink" Target="https://www.eesc.europa.eu/fr/our-work/opinions-information-reports/opinions/lindustrie-de-fabrication-de-drones-etude-de-cas-pour-evaluer-dans-un-secteur-strategique-les-resultats-des-differentes" TargetMode="External"/><Relationship Id="rId37" Type="http://schemas.openxmlformats.org/officeDocument/2006/relationships/hyperlink" Target="https://www.eesc.europa.eu/fr/our-work/opinions-information-reports/opinions/approches-et-bonnes-pratiques-industrielles-et-technologiques-en-faveur-dune-societe-resiliente-dans-le-domaine-de-leau"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esc.europa.eu/fr/our-work/opinions-information-reports/opinions/le-role-de-la-politique-de-cohesion-dans-les-prochaines-series-delargissement-de-lunion" TargetMode="External"/><Relationship Id="rId23" Type="http://schemas.openxmlformats.org/officeDocument/2006/relationships/hyperlink" Target="https://www.eesc.europa.eu/fr/our-work/opinions-information-reports/opinions/un-lieu-ou-il-est-exclu-de-hair-une-europe-unie-contre-la-haine" TargetMode="External"/><Relationship Id="rId28" Type="http://schemas.openxmlformats.org/officeDocument/2006/relationships/hyperlink" Target="mailto:Arturo.Iniguez@eesc.europa.eu" TargetMode="External"/><Relationship Id="rId36" Type="http://schemas.openxmlformats.org/officeDocument/2006/relationships/hyperlink" Target="mailto:Ioannis.Diamantopoulos@eesc.europa.eu" TargetMode="External"/><Relationship Id="rId49"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hyperlink" Target="https://www.eesc.europa.eu/fr/our-work/opinions-information-reports/opinions/train-de-mesures-sur-la-prevention-du-cancer-revision-de-la-recommandation-du-conseil-relative-aux-environnements-sans" TargetMode="External"/><Relationship Id="rId31" Type="http://schemas.openxmlformats.org/officeDocument/2006/relationships/hyperlink" Target="https://www.eesc.europa.eu/fr/our-work/opinions-information-reports/opinions/programme-europeen-dinvestissement-dans-le-domaine-de-la-defense" TargetMode="External"/><Relationship Id="rId44"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Bartek.Bednarowicz@eesc.europa.eu" TargetMode="External"/><Relationship Id="rId27" Type="http://schemas.openxmlformats.org/officeDocument/2006/relationships/hyperlink" Target="https://www.eesc.europa.eu/fr/our-work/opinions-information-reports/opinions/revision-de-la-legislation-sur-le-bien-etre-animal" TargetMode="External"/><Relationship Id="rId30" Type="http://schemas.openxmlformats.org/officeDocument/2006/relationships/hyperlink" Target="mailto:Maja.Radman@eesc.europa.eu" TargetMode="External"/><Relationship Id="rId35" Type="http://schemas.openxmlformats.org/officeDocument/2006/relationships/hyperlink" Target="https://www.eesc.europa.eu/fr/our-work/opinions-information-reports/opinions/strategie-industrielle-de-defense-europeenne" TargetMode="External"/><Relationship Id="rId43" Type="http://schemas.openxmlformats.org/officeDocument/2006/relationships/header" Target="header3.xml"/><Relationship Id="rId48" Type="http://schemas.openxmlformats.org/officeDocument/2006/relationships/customXml" Target="../customXml/item2.xml"/><Relationship Id="rId8" Type="http://schemas.openxmlformats.org/officeDocument/2006/relationships/webSettings" Target="webSettings.xml"/><Relationship Id="rId12" Type="http://schemas.openxmlformats.org/officeDocument/2006/relationships/hyperlink" Target="https://www.eesc.europa.eu/fr/our-work/opinions-information-reports/plenary-session-summaries" TargetMode="External"/><Relationship Id="rId17" Type="http://schemas.openxmlformats.org/officeDocument/2006/relationships/hyperlink" Target="https://www.eesc.europa.eu/fr/our-work/opinions-information-reports/opinions/neuvieme-rapport-sur-la-cohesion-economique-sociale-et-territoriale" TargetMode="External"/><Relationship Id="rId25" Type="http://schemas.openxmlformats.org/officeDocument/2006/relationships/hyperlink" Target="https://www.eesc.europa.eu/fr/our-work/opinions-information-reports/opinions/objectif-climatique-de-lue-lhorizon-2040" TargetMode="External"/><Relationship Id="rId33" Type="http://schemas.openxmlformats.org/officeDocument/2006/relationships/hyperlink" Target="https://www.eesc.europa.eu/fr/our-work/opinions-information-reports/opinions/communication-sur-la-gestion-industrielle-du-carbone" TargetMode="External"/><Relationship Id="rId38" Type="http://schemas.openxmlformats.org/officeDocument/2006/relationships/hyperlink" Target="mailto:Heli.Niemela-Farrer@eesc.europa.eu" TargetMode="External"/><Relationship Id="rId46" Type="http://schemas.openxmlformats.org/officeDocument/2006/relationships/theme" Target="theme/theme1.xml"/><Relationship Id="rId20" Type="http://schemas.openxmlformats.org/officeDocument/2006/relationships/hyperlink" Target="mailto:Valeria.Atzori@eesc.europa.eu"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F7M6YNZUATRX-917472228-6095</_dlc_DocId>
    <_dlc_DocIdUrl xmlns="59ace41b-6786-4ce3-be71-52c27066c6ef">
      <Url>http://dm/eesc/2024/_layouts/15/DocIdRedir.aspx?ID=F7M6YNZUATRX-917472228-6095</Url>
      <Description>F7M6YNZUATRX-917472228-6095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2024-06-20T12:00:00+00:00</ProductionDate>
    <DocumentNumber xmlns="14d11ec3-fd82-4994-a217-1a91de9b2d2a">1704</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2024-07-10T12:00:00+00:00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6412</FicheNumber>
    <OriginalSender xmlns="59ace41b-6786-4ce3-be71-52c27066c6ef">
      <UserInfo>
        <DisplayName>Antunes Cristiano</DisplayName>
        <AccountId>713</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589</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3248F5-99DB-4F16-8B13-D6E17BA00A35}"/>
</file>

<file path=customXml/itemProps2.xml><?xml version="1.0" encoding="utf-8"?>
<ds:datastoreItem xmlns:ds="http://schemas.openxmlformats.org/officeDocument/2006/customXml" ds:itemID="{B1AB84C8-3570-48AF-99D5-9DE01CED5770}"/>
</file>

<file path=customXml/itemProps3.xml><?xml version="1.0" encoding="utf-8"?>
<ds:datastoreItem xmlns:ds="http://schemas.openxmlformats.org/officeDocument/2006/customXml" ds:itemID="{BF2400A9-3A9D-43A0-A771-33D64DCB0E6D}"/>
</file>

<file path=customXml/itemProps4.xml><?xml version="1.0" encoding="utf-8"?>
<ds:datastoreItem xmlns:ds="http://schemas.openxmlformats.org/officeDocument/2006/customXml" ds:itemID="{951F0CB2-C24B-4034-AF1A-1CAFB2B76177}"/>
</file>

<file path=docProps/app.xml><?xml version="1.0" encoding="utf-8"?>
<Properties xmlns="http://schemas.openxmlformats.org/officeDocument/2006/extended-properties" xmlns:vt="http://schemas.openxmlformats.org/officeDocument/2006/docPropsVTypes">
  <Template>Normal</Template>
  <TotalTime>250</TotalTime>
  <Pages>17</Pages>
  <Words>6678</Words>
  <Characters>36733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Summary of opinions - 587th plenary session - April 2024</vt:lpstr>
    </vt:vector>
  </TitlesOfParts>
  <Company>CESE-CdR</Company>
  <LinksUpToDate>false</LinksUpToDate>
  <CharactersWithSpaces>43325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SYNTHÈSE DES AVIS - 588e SESSION PLÉNIÈRE - Mai 2024</dc:title>
  <dc:subject>TCD</dc:subject>
  <dc:creator>Nieddu Emma</dc:creator>
  <cp:keywords>EESC-2024-01704-00-00-TCD-TRA-EN</cp:keywords>
  <dc:description>Rapporteur:  - Original language: EN - Date of document: 20-06-2024 - Date of meeting: 30-10-2024 14:30 - External documents:  - Administrator: MME TAMASAUSKIENE Julija</dc:description>
  <cp:lastModifiedBy>Antunes Cristiano</cp:lastModifiedBy>
  <cp:revision>49</cp:revision>
  <cp:lastPrinted>2023-06-15T08:00:00Z</cp:lastPrinted>
  <dcterms:created xsi:type="dcterms:W3CDTF">2024-06-14T14:52:00Z</dcterms:created>
  <dcterms:modified xsi:type="dcterms:W3CDTF">2024-06-20T09:17:00Z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14/06/2024, 17/05/2024, 13/05/2024, 09/04/2024, 27/03/2024, 03/01/2024, 13/11/2023, 25/09/2023, 25/07/2023, 30/06/2023, 23/06/2023, 26/05/2023, 07/03/2023, 11/01/2023, 10/01/2023, 29/03/2022, 04/03/2022, 15/12/2021, 13/09/2021, 03/09/2021, 28/06/2021</vt:lpwstr>
  </property>
  <property fmtid="{D5CDD505-2E9C-101B-9397-08002B2CF9AE}" pid="4" name="Pref_Time">
    <vt:lpwstr>16:44:05, 13:50:35, 15:20:37, 17:11:40, 12:24:19, 15:02:18, 17:01:12, 16:07:19, 11:58:41, 14:00:08, 12:39:02, 15:12:50, 10:27:54, 10:12:15, 11:41:25, 14:21:50, 16:54:06, 17:56:36, 14:13:00, 10:08:10, 08:41:48</vt:lpwstr>
  </property>
  <property fmtid="{D5CDD505-2E9C-101B-9397-08002B2CF9AE}" pid="5" name="Pref_User">
    <vt:lpwstr>pacup, pacup, jhvi, jhvi, pacup, enied, amett, amett, jhvi, pacup, jhvi, pacup, enied, pacup, enied, jhvi, enied, hnic, amett, enied, enied</vt:lpwstr>
  </property>
  <property fmtid="{D5CDD505-2E9C-101B-9397-08002B2CF9AE}" pid="6" name="Pref_FileName">
    <vt:lpwstr>EESC-2024-01704-00-00-TCD-TRA.docx, EESC-2024-01233-00-01-TCD-TRA.docx, eesc-2024-01233-00-00-tcd-ori.docx, EESC-2024-00740-00-01-TCD-ORI.docx, EESC-2024-00740-00-00-TCD-TRA.docx, EESC-2023-04915-00-00-TCD-ORI.docx, EESC-2023-04201-00-00-TCD-ORI.docx,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ff2e6816-5da9-400f-a56c-ba2b1faa88bd</vt:lpwstr>
  </property>
  <property fmtid="{D5CDD505-2E9C-101B-9397-08002B2CF9AE}" pid="9" name="AvailableTranslations">
    <vt:lpwstr>5;#EN|f2175f21-25d7-44a3-96da-d6a61b075e1b;#37;#RO|feb747a2-64cd-4299-af12-4833ddc30497;#31;#NL|55c6556c-b4f4-441d-9acf-c498d4f838bd;#12;#IT|0774613c-01ed-4e5d-a25d-11d2388de825;#21;#SV|c2ed69e7-a339-43d7-8f22-d93680a92aa0;#24;#ES|e7a6b05b-ae16-40c8-add9-68b64b03aeba;#25;#DE|f6b31e5a-26fa-4935-b661-318e46daf27e;#28;#LV|46f7e311-5d9f-4663-b433-18aeccb7ace7;#43;#CS|72f9705b-0217-4fd3-bea2-cbc7ed80e26e;#30;#HR|2f555653-ed1a-4fe6-8362-9082d95989e5;#35;#FI|87606a43-d45f-42d6-b8c9-e1a3457db5b7;#36;#PT|50ccc04a-eadd-42ae-a0cb-acaf45f812ba;#22;#BG|1a1b3951-7821-4e6a-85f5-5673fc08bd2c;#33;#ET|ff6c3f4c-b02c-4c3c-ab07-2c37995a7a0a;#14;#FR|d2afafd3-4c81-4f60-8f52-ee33f2f54ff3;#29;#EL|6d4f4d51-af9b-4650-94b4-4276bee85c91;#16;#DA|5d49c027-8956-412b-aa16-e85a0f96ad0e;#27;#SL|98a412ae-eb01-49e9-ae3d-585a81724cfc;#26;#SK|46d9fce0-ef79-4f71-b89b-cd6aa82426b8;#34;#LT|a7ff5ce7-6123-4f68-865a-a57c31810414;#32;#HU|6b229040-c589-4408-b4c1-4285663d20a8;#17;#PL|1e03da61-4678-4e07-b136-b5024ca9197b</vt:lpwstr>
  </property>
  <property fmtid="{D5CDD505-2E9C-101B-9397-08002B2CF9AE}" pid="10" name="DocumentType_0">
    <vt:lpwstr>TCD|cd9d6eb6-3f4f-424a-b2d1-57c9d450eaaf</vt:lpwstr>
  </property>
  <property fmtid="{D5CDD505-2E9C-101B-9397-08002B2CF9AE}" pid="11" name="MeetingNumber">
    <vt:i4>589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1704</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2024-07-10T12:00:00Z</vt:filetime>
  </property>
  <property fmtid="{D5CDD505-2E9C-101B-9397-08002B2CF9AE}" pid="29" name="AvailableTranslations_0">
    <vt:lpwstr>EN|f2175f21-25d7-44a3-96da-d6a61b075e1b;NL|55c6556c-b4f4-441d-9acf-c498d4f838bd;SV|c2ed69e7-a339-43d7-8f22-d93680a92aa0;ES|e7a6b05b-ae16-40c8-add9-68b64b03aeba;DE|f6b31e5a-26fa-4935-b661-318e46daf27e;LV|46f7e311-5d9f-4663-b433-18aeccb7ace7;CS|72f9705b-0217-4fd3-bea2-cbc7ed80e26e;PT|50ccc04a-eadd-42ae-a0cb-acaf45f812ba;EL|6d4f4d51-af9b-4650-94b4-4276bee85c91;SL|98a412ae-eb01-49e9-ae3d-585a81724cfc;HU|6b229040-c589-4408-b4c1-4285663d20a8;PL|1e03da61-4678-4e07-b136-b5024ca9197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32;#HU|6b229040-c589-4408-b4c1-4285663d20a8;#31;#NL|55c6556c-b4f4-441d-9acf-c498d4f838bd;#43;#CS|72f9705b-0217-4fd3-bea2-cbc7ed80e26e;#29;#EL|6d4f4d51-af9b-4650-94b4-4276bee85c91;#28;#LV|46f7e311-5d9f-4663-b433-18aeccb7ace7;#27;#SL|98a412ae-eb01-49e9-ae3d-585a81724cfc;#25;#DE|f6b31e5a-26fa-4935-b661-318e46daf27e;#24;#ES|e7a6b05b-ae16-40c8-add9-68b64b03aeba;#21;#SV|c2ed69e7-a339-43d7-8f22-d93680a92aa0;#17;#PL|1e03da61-4678-4e07-b136-b5024ca9197b;#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6412</vt:i4>
  </property>
  <property fmtid="{D5CDD505-2E9C-101B-9397-08002B2CF9AE}" pid="37" name="DocumentLanguage">
    <vt:lpwstr>14;#FR|d2afafd3-4c81-4f60-8f52-ee33f2f54ff3</vt:lpwstr>
  </property>
</Properties>
</file>