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8B284B" w14:paraId="785AE44C" w14:textId="2378414C">
      <w:pPr>
        <w:jc w:val="center"/>
      </w:pPr>
      <w:r>
        <w:rPr>
          <w:noProof/>
        </w:rPr>
        <w:drawing>
          <wp:inline distT="0" distB="0" distL="0" distR="0" wp14:anchorId="621B9B11" wp14:editId="53D813B1">
            <wp:extent cx="1792605" cy="1239520"/>
            <wp:effectExtent l="0" t="0" r="0" b="0"/>
            <wp:docPr id="2" name="Picture 2" title="EESCLogo_FI"/>
            <wp:cNvGraphicFramePr/>
            <a:graphic xmlns:a="http://schemas.openxmlformats.org/drawingml/2006/main">
              <a:graphicData uri="http://schemas.openxmlformats.org/drawingml/2006/picture">
                <pic:pic xmlns:pic="http://schemas.openxmlformats.org/drawingml/2006/picture">
                  <pic:nvPicPr>
                    <pic:cNvPr id="2" name="Picture 2" title="EESCLogo_FI"/>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6704" behindDoc="1" locked="0" layoutInCell="0" allowOverlap="1" wp14:editId="576DCBD6"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FI</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3DA65CCD">
      <w:pPr>
        <w:jc w:val="right"/>
      </w:pPr>
      <w:r>
        <w:t>Bryssel 21. kesäkuuta 2024</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324300EF">
            <w:pPr>
              <w:snapToGrid w:val="0"/>
              <w:jc w:val="center"/>
              <w:rPr>
                <w:b/>
                <w:sz w:val="32"/>
              </w:rPr>
            </w:pPr>
            <w:r>
              <w:rPr>
                <w:b/>
                <w:sz w:val="32"/>
              </w:rPr>
              <w:t>588. TÄYSISTUNTO</w:t>
            </w:r>
          </w:p>
          <w:p w:rsidRPr="00094B6B" w:rsidR="001760E9" w:rsidP="00775FC4" w:rsidRDefault="001760E9" w14:paraId="6C87A626" w14:textId="0AE2882C">
            <w:pPr>
              <w:snapToGrid w:val="0"/>
              <w:jc w:val="center"/>
              <w:rPr>
                <w:b/>
                <w:sz w:val="32"/>
              </w:rPr>
            </w:pPr>
          </w:p>
          <w:p w:rsidRPr="00094B6B" w:rsidR="001760E9" w:rsidP="00775FC4" w:rsidRDefault="005E7838" w14:paraId="6CF7229C" w14:textId="287F4AF2">
            <w:pPr>
              <w:snapToGrid w:val="0"/>
              <w:jc w:val="center"/>
              <w:rPr>
                <w:b/>
                <w:sz w:val="32"/>
              </w:rPr>
            </w:pPr>
            <w:r>
              <w:rPr>
                <w:b/>
                <w:sz w:val="32"/>
              </w:rPr>
              <w:t>30. ja 31. toukokuuta 2024</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YHTEENVETO HYVÄKSYTYISTÄ LAUSUNNOISTA, PÄÄTÖSLAUSELMISTA JA TIEDOTUS- JA ARVIOINTIKERTOMUKSISTA</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Tämä asiakirja on saatavana unionin virallisilla kielillä komitean internetsivuilla osoitteessa</w:t>
            </w:r>
          </w:p>
          <w:p w:rsidRPr="00094B6B" w:rsidR="00B16284" w:rsidP="00775FC4" w:rsidRDefault="00B16284" w14:paraId="4F26A4CE" w14:textId="77777777">
            <w:pPr>
              <w:snapToGrid w:val="0"/>
              <w:jc w:val="center"/>
            </w:pPr>
          </w:p>
          <w:p w:rsidRPr="00094B6B" w:rsidR="004D7AC0" w:rsidP="00775FC4" w:rsidRDefault="00A23B4B" w14:paraId="2A9352A2" w14:textId="0680ADB6">
            <w:pPr>
              <w:snapToGrid w:val="0"/>
              <w:jc w:val="center"/>
            </w:pPr>
            <w:hyperlink w:history="1" r:id="rId12">
              <w:r w:rsidR="008B284B">
                <w:rPr>
                  <w:rStyle w:val="Hyperlink"/>
                  <w:highlight w:val="yellow"/>
                </w:rPr>
                <w:t>https://www.eesc.europa.eu/fi/our-work/opinions-information-reports/plenary-session-summaries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Mainitut lausunnot ovat haettavissa sähköisessä muodossa komitean hakukoneella</w:t>
            </w:r>
          </w:p>
          <w:p w:rsidRPr="00094B6B" w:rsidR="00B16284" w:rsidP="00775FC4" w:rsidRDefault="00B16284" w14:paraId="7A5411A5" w14:textId="77777777">
            <w:pPr>
              <w:snapToGrid w:val="0"/>
              <w:jc w:val="center"/>
            </w:pPr>
          </w:p>
          <w:p w:rsidRPr="00094B6B" w:rsidR="004D7AC0" w:rsidP="00775FC4" w:rsidRDefault="00A23B4B" w14:paraId="441AC4DD" w14:textId="1194D751">
            <w:pPr>
              <w:snapToGrid w:val="0"/>
              <w:jc w:val="center"/>
            </w:pPr>
            <w:hyperlink w:history="1" r:id="rId13">
              <w:r w:rsidR="008B284B">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5C28F2">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E31152" w:rsidR="00E31152" w:rsidP="00775FC4" w:rsidRDefault="0014322B" w14:paraId="0D3450B1" w14:textId="72CD896C">
      <w:pPr>
        <w:keepNext/>
        <w:keepLines/>
        <w:ind w:hanging="284"/>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lastRenderedPageBreak/>
        <w:t>Sisällys</w:t>
      </w:r>
    </w:p>
    <w:p w:rsidR="00714C38" w:rsidRDefault="008772F9" w14:paraId="7C8604ED" w14:textId="54CF76DA">
      <w:pPr>
        <w:pStyle w:val="TOC1"/>
        <w:rPr>
          <w:rFonts w:asciiTheme="minorHAnsi" w:hAnsiTheme="minorHAnsi" w:eastAsiaTheme="minorEastAsia" w:cstheme="minorBidi"/>
          <w:bCs w:val="0"/>
          <w:sz w:val="22"/>
          <w:szCs w:val="22"/>
          <w:lang w:val="en-US"/>
        </w:rPr>
      </w:pPr>
      <w:r>
        <w:fldChar w:fldCharType="begin"/>
      </w:r>
      <w:r>
        <w:instrText xml:space="preserve"> TOC \o "1-1" \h \z \u </w:instrText>
      </w:r>
      <w:r>
        <w:fldChar w:fldCharType="separate"/>
      </w:r>
      <w:hyperlink w:history="1" w:anchor="_Toc169873279">
        <w:r w:rsidRPr="003F1324" w:rsidR="00714C38">
          <w:rPr>
            <w:rStyle w:val="Hyperlink"/>
            <w14:scene3d>
              <w14:camera w14:prst="orthographicFront"/>
              <w14:lightRig w14:rig="threePt" w14:dir="t">
                <w14:rot w14:lat="0" w14:lon="0" w14:rev="0"/>
              </w14:lightRig>
            </w14:scene3d>
          </w:rPr>
          <w:t>1.</w:t>
        </w:r>
        <w:r w:rsidR="00714C38">
          <w:rPr>
            <w:rFonts w:asciiTheme="minorHAnsi" w:hAnsiTheme="minorHAnsi" w:eastAsiaTheme="minorEastAsia" w:cstheme="minorBidi"/>
            <w:bCs w:val="0"/>
            <w:sz w:val="22"/>
            <w:szCs w:val="22"/>
            <w:lang w:val="en-US"/>
          </w:rPr>
          <w:tab/>
        </w:r>
        <w:r w:rsidRPr="003F1324" w:rsidR="00714C38">
          <w:rPr>
            <w:rStyle w:val="Hyperlink"/>
            <w:b/>
          </w:rPr>
          <w:t>TALOUS- JA RAHALIITTO, TALOUDELLINEN JA SOSIAALINEN YHTEENKUULUVUUS</w:t>
        </w:r>
        <w:r w:rsidR="00714C38">
          <w:rPr>
            <w:webHidden/>
          </w:rPr>
          <w:tab/>
        </w:r>
        <w:r w:rsidR="00714C38">
          <w:rPr>
            <w:webHidden/>
          </w:rPr>
          <w:fldChar w:fldCharType="begin"/>
        </w:r>
        <w:r w:rsidR="00714C38">
          <w:rPr>
            <w:webHidden/>
          </w:rPr>
          <w:instrText xml:space="preserve"> PAGEREF _Toc169873279 \h </w:instrText>
        </w:r>
        <w:r w:rsidR="00714C38">
          <w:rPr>
            <w:webHidden/>
          </w:rPr>
        </w:r>
        <w:r w:rsidR="00714C38">
          <w:rPr>
            <w:webHidden/>
          </w:rPr>
          <w:fldChar w:fldCharType="separate"/>
        </w:r>
        <w:r w:rsidR="00714C38">
          <w:rPr>
            <w:webHidden/>
          </w:rPr>
          <w:t>3</w:t>
        </w:r>
        <w:r w:rsidR="00714C38">
          <w:rPr>
            <w:webHidden/>
          </w:rPr>
          <w:fldChar w:fldCharType="end"/>
        </w:r>
      </w:hyperlink>
    </w:p>
    <w:p w:rsidR="00714C38" w:rsidRDefault="00714C38" w14:paraId="3C77F71A" w14:textId="1878A329">
      <w:pPr>
        <w:pStyle w:val="TOC1"/>
        <w:rPr>
          <w:rFonts w:asciiTheme="minorHAnsi" w:hAnsiTheme="minorHAnsi" w:eastAsiaTheme="minorEastAsia" w:cstheme="minorBidi"/>
          <w:bCs w:val="0"/>
          <w:sz w:val="22"/>
          <w:szCs w:val="22"/>
          <w:lang w:val="en-US"/>
        </w:rPr>
      </w:pPr>
      <w:hyperlink w:history="1" w:anchor="_Toc169873280">
        <w:r w:rsidRPr="003F1324">
          <w:rPr>
            <w:rStyle w:val="Hyperlink"/>
            <w14:scene3d>
              <w14:camera w14:prst="orthographicFront"/>
              <w14:lightRig w14:rig="threePt" w14:dir="t">
                <w14:rot w14:lat="0" w14:lon="0" w14:rev="0"/>
              </w14:lightRig>
            </w14:scene3d>
          </w:rPr>
          <w:t>2.</w:t>
        </w:r>
        <w:r>
          <w:rPr>
            <w:rFonts w:asciiTheme="minorHAnsi" w:hAnsiTheme="minorHAnsi" w:eastAsiaTheme="minorEastAsia" w:cstheme="minorBidi"/>
            <w:bCs w:val="0"/>
            <w:sz w:val="22"/>
            <w:szCs w:val="22"/>
            <w:lang w:val="en-US"/>
          </w:rPr>
          <w:tab/>
        </w:r>
        <w:r w:rsidRPr="003F1324">
          <w:rPr>
            <w:rStyle w:val="Hyperlink"/>
            <w:b/>
          </w:rPr>
          <w:t>TYÖLLISYYS, SOSIAALIASIAT JA KANSALAISUUS</w:t>
        </w:r>
        <w:r>
          <w:rPr>
            <w:webHidden/>
          </w:rPr>
          <w:tab/>
        </w:r>
        <w:r>
          <w:rPr>
            <w:webHidden/>
          </w:rPr>
          <w:fldChar w:fldCharType="begin"/>
        </w:r>
        <w:r>
          <w:rPr>
            <w:webHidden/>
          </w:rPr>
          <w:instrText xml:space="preserve"> PAGEREF _Toc169873280 \h </w:instrText>
        </w:r>
        <w:r>
          <w:rPr>
            <w:webHidden/>
          </w:rPr>
        </w:r>
        <w:r>
          <w:rPr>
            <w:webHidden/>
          </w:rPr>
          <w:fldChar w:fldCharType="separate"/>
        </w:r>
        <w:r>
          <w:rPr>
            <w:webHidden/>
          </w:rPr>
          <w:t>7</w:t>
        </w:r>
        <w:r>
          <w:rPr>
            <w:webHidden/>
          </w:rPr>
          <w:fldChar w:fldCharType="end"/>
        </w:r>
      </w:hyperlink>
    </w:p>
    <w:p w:rsidR="00714C38" w:rsidRDefault="00714C38" w14:paraId="614F75C9" w14:textId="7448044C">
      <w:pPr>
        <w:pStyle w:val="TOC1"/>
        <w:rPr>
          <w:rFonts w:asciiTheme="minorHAnsi" w:hAnsiTheme="minorHAnsi" w:eastAsiaTheme="minorEastAsia" w:cstheme="minorBidi"/>
          <w:bCs w:val="0"/>
          <w:sz w:val="22"/>
          <w:szCs w:val="22"/>
          <w:lang w:val="en-US"/>
        </w:rPr>
      </w:pPr>
      <w:hyperlink w:history="1" w:anchor="_Toc169873281">
        <w:r w:rsidRPr="003F1324">
          <w:rPr>
            <w:rStyle w:val="Hyperlink"/>
            <w14:scene3d>
              <w14:camera w14:prst="orthographicFront"/>
              <w14:lightRig w14:rig="threePt" w14:dir="t">
                <w14:rot w14:lat="0" w14:lon="0" w14:rev="0"/>
              </w14:lightRig>
            </w14:scene3d>
          </w:rPr>
          <w:t>3.</w:t>
        </w:r>
        <w:r>
          <w:rPr>
            <w:rFonts w:asciiTheme="minorHAnsi" w:hAnsiTheme="minorHAnsi" w:eastAsiaTheme="minorEastAsia" w:cstheme="minorBidi"/>
            <w:bCs w:val="0"/>
            <w:sz w:val="22"/>
            <w:szCs w:val="22"/>
            <w:lang w:val="en-US"/>
          </w:rPr>
          <w:tab/>
        </w:r>
        <w:r w:rsidRPr="003F1324">
          <w:rPr>
            <w:rStyle w:val="Hyperlink"/>
            <w:b/>
          </w:rPr>
          <w:t>MAATALOUS, MAASEUDUN KEHITTÄMINEN JA YMPÄRISTÖ</w:t>
        </w:r>
        <w:r>
          <w:rPr>
            <w:webHidden/>
          </w:rPr>
          <w:tab/>
        </w:r>
        <w:r>
          <w:rPr>
            <w:webHidden/>
          </w:rPr>
          <w:fldChar w:fldCharType="begin"/>
        </w:r>
        <w:r>
          <w:rPr>
            <w:webHidden/>
          </w:rPr>
          <w:instrText xml:space="preserve"> PAGEREF _Toc169873281 \h </w:instrText>
        </w:r>
        <w:r>
          <w:rPr>
            <w:webHidden/>
          </w:rPr>
        </w:r>
        <w:r>
          <w:rPr>
            <w:webHidden/>
          </w:rPr>
          <w:fldChar w:fldCharType="separate"/>
        </w:r>
        <w:r>
          <w:rPr>
            <w:webHidden/>
          </w:rPr>
          <w:t>11</w:t>
        </w:r>
        <w:r>
          <w:rPr>
            <w:webHidden/>
          </w:rPr>
          <w:fldChar w:fldCharType="end"/>
        </w:r>
      </w:hyperlink>
    </w:p>
    <w:p w:rsidR="00714C38" w:rsidRDefault="00714C38" w14:paraId="40669BF4" w14:textId="512C92AC">
      <w:pPr>
        <w:pStyle w:val="TOC1"/>
        <w:rPr>
          <w:rFonts w:asciiTheme="minorHAnsi" w:hAnsiTheme="minorHAnsi" w:eastAsiaTheme="minorEastAsia" w:cstheme="minorBidi"/>
          <w:bCs w:val="0"/>
          <w:sz w:val="22"/>
          <w:szCs w:val="22"/>
          <w:lang w:val="en-US"/>
        </w:rPr>
      </w:pPr>
      <w:hyperlink w:history="1" w:anchor="_Toc169873282">
        <w:r w:rsidRPr="003F1324">
          <w:rPr>
            <w:rStyle w:val="Hyperlink"/>
            <w14:scene3d>
              <w14:camera w14:prst="orthographicFront"/>
              <w14:lightRig w14:rig="threePt" w14:dir="t">
                <w14:rot w14:lat="0" w14:lon="0" w14:rev="0"/>
              </w14:lightRig>
            </w14:scene3d>
          </w:rPr>
          <w:t>4.</w:t>
        </w:r>
        <w:r>
          <w:rPr>
            <w:rFonts w:asciiTheme="minorHAnsi" w:hAnsiTheme="minorHAnsi" w:eastAsiaTheme="minorEastAsia" w:cstheme="minorBidi"/>
            <w:bCs w:val="0"/>
            <w:sz w:val="22"/>
            <w:szCs w:val="22"/>
            <w:lang w:val="en-US"/>
          </w:rPr>
          <w:tab/>
        </w:r>
        <w:r w:rsidRPr="003F1324">
          <w:rPr>
            <w:rStyle w:val="Hyperlink"/>
            <w:b/>
          </w:rPr>
          <w:t>LIIKENNE, ENERGIA, PERUSRAKENTEET, TIETOYHTEISKUNTA</w:t>
        </w:r>
        <w:r>
          <w:rPr>
            <w:webHidden/>
          </w:rPr>
          <w:tab/>
        </w:r>
        <w:r>
          <w:rPr>
            <w:webHidden/>
          </w:rPr>
          <w:fldChar w:fldCharType="begin"/>
        </w:r>
        <w:r>
          <w:rPr>
            <w:webHidden/>
          </w:rPr>
          <w:instrText xml:space="preserve"> PAGEREF _Toc169873282 \h </w:instrText>
        </w:r>
        <w:r>
          <w:rPr>
            <w:webHidden/>
          </w:rPr>
        </w:r>
        <w:r>
          <w:rPr>
            <w:webHidden/>
          </w:rPr>
          <w:fldChar w:fldCharType="separate"/>
        </w:r>
        <w:r>
          <w:rPr>
            <w:webHidden/>
          </w:rPr>
          <w:t>14</w:t>
        </w:r>
        <w:r>
          <w:rPr>
            <w:webHidden/>
          </w:rPr>
          <w:fldChar w:fldCharType="end"/>
        </w:r>
      </w:hyperlink>
    </w:p>
    <w:p w:rsidR="00714C38" w:rsidRDefault="00714C38" w14:paraId="3B79A3C0" w14:textId="2E5B29C7">
      <w:pPr>
        <w:pStyle w:val="TOC1"/>
        <w:rPr>
          <w:rFonts w:asciiTheme="minorHAnsi" w:hAnsiTheme="minorHAnsi" w:eastAsiaTheme="minorEastAsia" w:cstheme="minorBidi"/>
          <w:bCs w:val="0"/>
          <w:sz w:val="22"/>
          <w:szCs w:val="22"/>
          <w:lang w:val="en-US"/>
        </w:rPr>
      </w:pPr>
      <w:hyperlink w:history="1" w:anchor="_Toc169873283">
        <w:r w:rsidRPr="003F1324">
          <w:rPr>
            <w:rStyle w:val="Hyperlink"/>
            <w14:scene3d>
              <w14:camera w14:prst="orthographicFront"/>
              <w14:lightRig w14:rig="threePt" w14:dir="t">
                <w14:rot w14:lat="0" w14:lon="0" w14:rev="0"/>
              </w14:lightRig>
            </w14:scene3d>
          </w:rPr>
          <w:t>5.</w:t>
        </w:r>
        <w:r>
          <w:rPr>
            <w:rFonts w:asciiTheme="minorHAnsi" w:hAnsiTheme="minorHAnsi" w:eastAsiaTheme="minorEastAsia" w:cstheme="minorBidi"/>
            <w:bCs w:val="0"/>
            <w:sz w:val="22"/>
            <w:szCs w:val="22"/>
            <w:lang w:val="en-US"/>
          </w:rPr>
          <w:tab/>
        </w:r>
        <w:r w:rsidRPr="003F1324">
          <w:rPr>
            <w:rStyle w:val="Hyperlink"/>
            <w:b/>
          </w:rPr>
          <w:t>NEUVOA-ANTAVA VALIOKUNTA ”TEOLLISUUDEN MUUTOKSET”</w:t>
        </w:r>
        <w:r>
          <w:rPr>
            <w:webHidden/>
          </w:rPr>
          <w:tab/>
        </w:r>
        <w:r>
          <w:rPr>
            <w:webHidden/>
          </w:rPr>
          <w:fldChar w:fldCharType="begin"/>
        </w:r>
        <w:r>
          <w:rPr>
            <w:webHidden/>
          </w:rPr>
          <w:instrText xml:space="preserve"> PAGEREF _Toc169873283 \h </w:instrText>
        </w:r>
        <w:r>
          <w:rPr>
            <w:webHidden/>
          </w:rPr>
        </w:r>
        <w:r>
          <w:rPr>
            <w:webHidden/>
          </w:rPr>
          <w:fldChar w:fldCharType="separate"/>
        </w:r>
        <w:r>
          <w:rPr>
            <w:webHidden/>
          </w:rPr>
          <w:t>15</w:t>
        </w:r>
        <w:r>
          <w:rPr>
            <w:webHidden/>
          </w:rPr>
          <w:fldChar w:fldCharType="end"/>
        </w:r>
      </w:hyperlink>
    </w:p>
    <w:p w:rsidR="00C86ABD" w:rsidRDefault="008772F9" w14:paraId="4EDE006A" w14:textId="448BDADC">
      <w:pPr>
        <w:jc w:val="left"/>
      </w:pPr>
      <w:r>
        <w:fldChar w:fldCharType="end"/>
      </w:r>
      <w:r>
        <w:br w:type="page"/>
      </w:r>
    </w:p>
    <w:p w:rsidRPr="00EE2FBD" w:rsidR="0038273B" w:rsidP="00770F41" w:rsidRDefault="0038273B" w14:paraId="62CE6920" w14:textId="4AB21D19">
      <w:pPr>
        <w:pStyle w:val="Heading1"/>
        <w:tabs>
          <w:tab w:val="clear" w:pos="440"/>
          <w:tab w:val="left" w:pos="567"/>
        </w:tabs>
        <w:ind w:left="567" w:hanging="567"/>
        <w:rPr>
          <w:b/>
          <w:bCs/>
        </w:rPr>
      </w:pPr>
      <w:bookmarkStart w:name="_Toc169873279" w:id="0"/>
      <w:r>
        <w:rPr>
          <w:b/>
        </w:rPr>
        <w:lastRenderedPageBreak/>
        <w:t>TALOUS- JA RAHALIITTO, TALOUDELLINEN JA SOSIAALINEN YHTEENKUULUVUUS</w:t>
      </w:r>
      <w:bookmarkEnd w:id="0"/>
    </w:p>
    <w:p w:rsidR="00105700" w:rsidP="00770F41" w:rsidRDefault="00105700" w14:paraId="72AAE541" w14:textId="7B9D6C9D">
      <w:pPr>
        <w:tabs>
          <w:tab w:val="center" w:pos="284"/>
        </w:tabs>
        <w:overflowPunct w:val="0"/>
        <w:autoSpaceDE w:val="0"/>
        <w:autoSpaceDN w:val="0"/>
        <w:adjustRightInd w:val="0"/>
        <w:ind w:left="266" w:hanging="266"/>
        <w:textAlignment w:val="baseline"/>
        <w:rPr>
          <w:b/>
          <w:sz w:val="24"/>
          <w:szCs w:val="24"/>
        </w:rPr>
      </w:pPr>
    </w:p>
    <w:p w:rsidR="006C19F4" w:rsidP="00770F41" w:rsidRDefault="006C19F4" w14:paraId="615CB201" w14:textId="46FEF5A0">
      <w:pPr>
        <w:tabs>
          <w:tab w:val="center" w:pos="284"/>
        </w:tabs>
        <w:overflowPunct w:val="0"/>
        <w:autoSpaceDE w:val="0"/>
        <w:autoSpaceDN w:val="0"/>
        <w:adjustRightInd w:val="0"/>
        <w:ind w:left="266" w:hanging="266"/>
        <w:textAlignment w:val="baseline"/>
        <w:rPr>
          <w:b/>
          <w:sz w:val="24"/>
          <w:szCs w:val="24"/>
        </w:rPr>
      </w:pPr>
    </w:p>
    <w:p w:rsidRPr="00DC0FAE" w:rsidR="006C19F4" w:rsidP="00C26C81" w:rsidRDefault="00175296" w14:paraId="3A82A886" w14:textId="7A4FE994">
      <w:pPr>
        <w:widowControl w:val="0"/>
        <w:numPr>
          <w:ilvl w:val="0"/>
          <w:numId w:val="7"/>
        </w:numPr>
        <w:overflowPunct w:val="0"/>
        <w:autoSpaceDE w:val="0"/>
        <w:autoSpaceDN w:val="0"/>
        <w:adjustRightInd w:val="0"/>
        <w:spacing w:after="120"/>
        <w:ind w:hanging="567"/>
        <w:textAlignment w:val="baseline"/>
        <w:rPr>
          <w:b/>
          <w:i/>
          <w:iCs/>
          <w:sz w:val="28"/>
          <w:szCs w:val="28"/>
        </w:rPr>
      </w:pPr>
      <w:hyperlink w:history="1" r:id="rId20">
        <w:r>
          <w:rPr>
            <w:rStyle w:val="Hyperlink"/>
            <w:b/>
            <w:i/>
            <w:sz w:val="28"/>
          </w:rPr>
          <w:t>Koheesiopolitiikan rooli EU:n seuraavilla laajentumiskierroksilla</w:t>
        </w:r>
      </w:hyperlink>
    </w:p>
    <w:p w:rsidRPr="006C19F4" w:rsidR="00190D28" w:rsidP="00DC0FAE" w:rsidRDefault="00190D28" w14:paraId="647D4419" w14:textId="77777777">
      <w:pPr>
        <w:widowControl w:val="0"/>
        <w:overflowPunct w:val="0"/>
        <w:autoSpaceDE w:val="0"/>
        <w:autoSpaceDN w:val="0"/>
        <w:adjustRightInd w:val="0"/>
        <w:spacing w:after="120"/>
        <w:ind w:left="284"/>
        <w:textAlignment w:val="baseline"/>
        <w:rPr>
          <w:b/>
          <w:i/>
          <w:iCs/>
          <w:sz w:val="28"/>
          <w:szCs w:val="28"/>
        </w:rPr>
      </w:pPr>
    </w:p>
    <w:tbl>
      <w:tblPr>
        <w:tblStyle w:val="TableGrid212"/>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621"/>
      </w:tblGrid>
      <w:tr w:rsidRPr="006C19F4" w:rsidR="006C19F4" w:rsidTr="00FE3058" w14:paraId="7BA389F8" w14:textId="77777777">
        <w:tc>
          <w:tcPr>
            <w:tcW w:w="1701" w:type="dxa"/>
          </w:tcPr>
          <w:p w:rsidRPr="006C19F4" w:rsidR="006C19F4" w:rsidP="006C19F4" w:rsidRDefault="00175296" w14:paraId="4187F6BE" w14:textId="60749482">
            <w:pPr>
              <w:tabs>
                <w:tab w:val="center" w:pos="284"/>
              </w:tabs>
              <w:overflowPunct w:val="0"/>
              <w:autoSpaceDE w:val="0"/>
              <w:autoSpaceDN w:val="0"/>
              <w:adjustRightInd w:val="0"/>
              <w:ind w:left="266" w:hanging="266"/>
              <w:textAlignment w:val="baseline"/>
              <w:rPr>
                <w:b/>
              </w:rPr>
            </w:pPr>
            <w:r>
              <w:rPr>
                <w:b/>
              </w:rPr>
              <w:t>Esittelijä</w:t>
            </w:r>
          </w:p>
        </w:tc>
        <w:tc>
          <w:tcPr>
            <w:tcW w:w="7621" w:type="dxa"/>
          </w:tcPr>
          <w:p w:rsidRPr="006C19F4" w:rsidR="006C19F4" w:rsidP="006C19F4" w:rsidRDefault="006C19F4" w14:paraId="1811BD9A" w14:textId="77777777">
            <w:pPr>
              <w:tabs>
                <w:tab w:val="center" w:pos="284"/>
              </w:tabs>
              <w:overflowPunct w:val="0"/>
              <w:autoSpaceDE w:val="0"/>
              <w:autoSpaceDN w:val="0"/>
              <w:adjustRightInd w:val="0"/>
              <w:ind w:left="266" w:hanging="266"/>
              <w:textAlignment w:val="baseline"/>
              <w:rPr>
                <w:bCs/>
              </w:rPr>
            </w:pPr>
            <w:r>
              <w:t>Maria del Carmen BARRERA CHAMORRO (</w:t>
            </w:r>
            <w:proofErr w:type="spellStart"/>
            <w:r>
              <w:t>Workers</w:t>
            </w:r>
            <w:proofErr w:type="spellEnd"/>
            <w:r>
              <w:t>' Group - ES)</w:t>
            </w:r>
          </w:p>
        </w:tc>
      </w:tr>
      <w:tr w:rsidRPr="006C19F4" w:rsidR="006C19F4" w:rsidTr="00FE3058" w14:paraId="73869A75" w14:textId="77777777">
        <w:tc>
          <w:tcPr>
            <w:tcW w:w="9322" w:type="dxa"/>
            <w:gridSpan w:val="2"/>
          </w:tcPr>
          <w:p w:rsidRPr="006C19F4" w:rsidR="006C19F4" w:rsidP="006C19F4" w:rsidRDefault="006C19F4" w14:paraId="4BF0E4CE" w14:textId="77777777">
            <w:pPr>
              <w:tabs>
                <w:tab w:val="center" w:pos="284"/>
              </w:tabs>
              <w:overflowPunct w:val="0"/>
              <w:autoSpaceDE w:val="0"/>
              <w:autoSpaceDN w:val="0"/>
              <w:adjustRightInd w:val="0"/>
              <w:spacing w:line="160" w:lineRule="exact"/>
              <w:ind w:left="266" w:hanging="266"/>
              <w:textAlignment w:val="baseline"/>
            </w:pPr>
          </w:p>
        </w:tc>
      </w:tr>
      <w:tr w:rsidRPr="006C19F4" w:rsidR="006C19F4" w:rsidTr="00FE3058" w14:paraId="232B8808" w14:textId="77777777">
        <w:tc>
          <w:tcPr>
            <w:tcW w:w="1701" w:type="dxa"/>
          </w:tcPr>
          <w:p w:rsidRPr="006C19F4" w:rsidR="006C19F4" w:rsidP="006C19F4" w:rsidRDefault="00175296" w14:paraId="0DE082BA" w14:textId="5264AF9A">
            <w:pPr>
              <w:tabs>
                <w:tab w:val="center" w:pos="284"/>
              </w:tabs>
              <w:overflowPunct w:val="0"/>
              <w:autoSpaceDE w:val="0"/>
              <w:autoSpaceDN w:val="0"/>
              <w:adjustRightInd w:val="0"/>
              <w:ind w:left="266" w:hanging="266"/>
              <w:textAlignment w:val="baseline"/>
              <w:rPr>
                <w:b/>
              </w:rPr>
            </w:pPr>
            <w:r>
              <w:rPr>
                <w:b/>
              </w:rPr>
              <w:t>Viiteasiakirjat</w:t>
            </w:r>
          </w:p>
        </w:tc>
        <w:tc>
          <w:tcPr>
            <w:tcW w:w="7621" w:type="dxa"/>
          </w:tcPr>
          <w:p w:rsidRPr="00DC0FAE" w:rsidR="00ED5F1D" w:rsidP="00ED5F1D" w:rsidRDefault="00175296" w14:paraId="6C26CE56" w14:textId="1957431E">
            <w:pPr>
              <w:pStyle w:val="Default"/>
              <w:jc w:val="both"/>
              <w:rPr>
                <w:sz w:val="20"/>
                <w:szCs w:val="20"/>
              </w:rPr>
            </w:pPr>
            <w:r>
              <w:rPr>
                <w:sz w:val="20"/>
              </w:rPr>
              <w:t>Euroopan komission valmisteleva lausunto</w:t>
            </w:r>
            <w:r w:rsidR="00ED5F1D">
              <w:rPr>
                <w:sz w:val="20"/>
              </w:rPr>
              <w:t xml:space="preserve"> </w:t>
            </w:r>
          </w:p>
          <w:p w:rsidRPr="006C19F4" w:rsidR="006C19F4" w:rsidP="006C19F4" w:rsidRDefault="006C19F4" w14:paraId="7903D5BC" w14:textId="592052F7">
            <w:pPr>
              <w:tabs>
                <w:tab w:val="center" w:pos="284"/>
              </w:tabs>
              <w:overflowPunct w:val="0"/>
              <w:autoSpaceDE w:val="0"/>
              <w:autoSpaceDN w:val="0"/>
              <w:adjustRightInd w:val="0"/>
              <w:ind w:left="266" w:hanging="266"/>
              <w:textAlignment w:val="baseline"/>
            </w:pPr>
            <w:r>
              <w:t>EESC-2024-00535-00-00-AC</w:t>
            </w:r>
          </w:p>
        </w:tc>
      </w:tr>
    </w:tbl>
    <w:p w:rsidR="00556279" w:rsidP="006C19F4" w:rsidRDefault="00556279" w14:paraId="3EB4A714" w14:textId="77777777">
      <w:pPr>
        <w:keepNext/>
        <w:keepLines/>
        <w:tabs>
          <w:tab w:val="center" w:pos="284"/>
        </w:tabs>
        <w:overflowPunct w:val="0"/>
        <w:autoSpaceDE w:val="0"/>
        <w:autoSpaceDN w:val="0"/>
        <w:adjustRightInd w:val="0"/>
        <w:spacing w:before="120"/>
        <w:ind w:left="266" w:hanging="266"/>
        <w:textAlignment w:val="baseline"/>
        <w:rPr>
          <w:b/>
        </w:rPr>
      </w:pPr>
    </w:p>
    <w:p w:rsidRPr="00A6689B" w:rsidR="00175296" w:rsidP="00175296" w:rsidRDefault="00175296" w14:paraId="5B3861FA" w14:textId="77777777">
      <w:pPr>
        <w:keepNext/>
        <w:keepLines/>
        <w:tabs>
          <w:tab w:val="center" w:pos="284"/>
        </w:tabs>
        <w:spacing w:before="120"/>
        <w:ind w:left="266" w:hanging="266"/>
        <w:rPr>
          <w:b/>
        </w:rPr>
      </w:pPr>
      <w:r>
        <w:rPr>
          <w:b/>
        </w:rPr>
        <w:t>Keskeiset kohdat</w:t>
      </w:r>
    </w:p>
    <w:p w:rsidR="00175296" w:rsidP="00175296" w:rsidRDefault="00175296" w14:paraId="1D138F76" w14:textId="77777777">
      <w:pPr>
        <w:rPr>
          <w:bCs/>
          <w:iCs/>
        </w:rPr>
      </w:pPr>
      <w:r>
        <w:t>ETSK</w:t>
      </w:r>
    </w:p>
    <w:p w:rsidRPr="00552170" w:rsidR="00175296" w:rsidP="00175296" w:rsidRDefault="00175296" w14:paraId="12735AF7" w14:textId="77777777">
      <w:pPr>
        <w:pStyle w:val="ListParagraph"/>
        <w:numPr>
          <w:ilvl w:val="0"/>
          <w:numId w:val="8"/>
        </w:numPr>
        <w:spacing w:after="200" w:line="276" w:lineRule="auto"/>
        <w:rPr>
          <w:bCs/>
          <w:iCs/>
        </w:rPr>
      </w:pPr>
      <w:r>
        <w:t>korostaa, että liittymistä edeltävä tukipolitiikka on välttämätön väline laajentumispolitiikassa. Sen vaikutusta voidaan vahvistaa ja näin voidaan edistää rauhaa ja vaurautta kaikkialla Euroopan mantereella ja erityisesti niillä alueilla, joilla rauha ja vakaus ovat viime aikoina olleet koetuksella.</w:t>
      </w:r>
    </w:p>
    <w:p w:rsidRPr="00552170" w:rsidR="00175296" w:rsidP="00175296" w:rsidRDefault="00175296" w14:paraId="6E7578F0" w14:textId="77777777">
      <w:pPr>
        <w:pStyle w:val="ListParagraph"/>
        <w:numPr>
          <w:ilvl w:val="0"/>
          <w:numId w:val="8"/>
        </w:numPr>
        <w:spacing w:after="200" w:line="276" w:lineRule="auto"/>
        <w:rPr>
          <w:bCs/>
          <w:iCs/>
        </w:rPr>
      </w:pPr>
      <w:r>
        <w:t>toteaa, että jotta ehdokasvaltioita voitaisiin valmistaa kaikkien koheesiopolitiikan välineiden käyttöönottoon tulevaisuudessa, liittymistä edeltävä tukipolitiikka olisi räätälöitävä vastaamaan paremmin kyseisten maiden alueiden sekä niiden naapurijäsenvaltioiden raja-alueiden vahvuuksia, haasteita ja tarpeita.</w:t>
      </w:r>
    </w:p>
    <w:p w:rsidRPr="00552170" w:rsidR="00175296" w:rsidP="00175296" w:rsidRDefault="00175296" w14:paraId="2BAD8CC5" w14:textId="77777777">
      <w:pPr>
        <w:pStyle w:val="ListParagraph"/>
        <w:numPr>
          <w:ilvl w:val="0"/>
          <w:numId w:val="8"/>
        </w:numPr>
        <w:spacing w:after="200" w:line="276" w:lineRule="auto"/>
        <w:rPr>
          <w:bCs/>
          <w:iCs/>
        </w:rPr>
      </w:pPr>
      <w:r>
        <w:t>katsoo, että ehdokasvaltioihin sovellettavan liittymistä edeltävän tukipolitiikan varoja olisi investoitava järjestelmällisemmin inhimillisen pääoman kehittämiseen, koulutukseen ja sosiaaliseen integraatioon sosiaalisen eriarvoisuuden ehkäisemiseksi ja vähentämiseksi. Pyrittäessä kehittämään liittymistä edeltävän tukipolitiikan suunnittelua on olennaisen tärkeää edistää yhteyksiä kansalaisyhteiskunnan organisaatioihin.</w:t>
      </w:r>
    </w:p>
    <w:p w:rsidRPr="00552170" w:rsidR="00175296" w:rsidP="00175296" w:rsidRDefault="00175296" w14:paraId="3BFE2587" w14:textId="77777777">
      <w:pPr>
        <w:pStyle w:val="ListParagraph"/>
        <w:numPr>
          <w:ilvl w:val="0"/>
          <w:numId w:val="8"/>
        </w:numPr>
        <w:spacing w:after="200" w:line="276" w:lineRule="auto"/>
        <w:rPr>
          <w:bCs/>
          <w:iCs/>
        </w:rPr>
      </w:pPr>
      <w:r>
        <w:t>toteaa, että tulevassa koheesiopolitiikassa olisi asetettava etusijalle sellaisten haavoittuvassa asemassa olevien ryhmien suojelu, joiden taloudellisen ja sosiaalisen kehityksen tiellä on suuria ylimääräisiä esteitä ja jotka saattavat tulevan liittymisprosessin aikana kohdata lisää haasteita.</w:t>
      </w:r>
    </w:p>
    <w:p w:rsidRPr="00552170" w:rsidR="00175296" w:rsidP="00175296" w:rsidRDefault="00175296" w14:paraId="1FF27C38" w14:textId="77777777">
      <w:pPr>
        <w:pStyle w:val="ListParagraph"/>
        <w:numPr>
          <w:ilvl w:val="0"/>
          <w:numId w:val="8"/>
        </w:numPr>
        <w:spacing w:after="200" w:line="276" w:lineRule="auto"/>
        <w:rPr>
          <w:bCs/>
          <w:iCs/>
        </w:rPr>
      </w:pPr>
      <w:r>
        <w:t>tähdentää, että entistä tiiviimmät kumppanuudet ehdokasvaltioiden kansalaisyhteiskunnan organisaatioiden kanssa ovat korvaamattoman tärkeitä laajentumistavoitteiden saavuttamisen edistämiseksi. Lisäksi ne ovat tehokkaiden ja osallistavien kehitysstrategioiden mukaisia, sillä niissä noudatetaan vakiintuneita vahvan kumppanuuden ja yhteistyöhön perustuvan hallinnoinnin periaatteita.</w:t>
      </w:r>
    </w:p>
    <w:p w:rsidRPr="00552170" w:rsidR="00175296" w:rsidP="00175296" w:rsidRDefault="00175296" w14:paraId="34943175" w14:textId="77777777">
      <w:pPr>
        <w:pStyle w:val="ListParagraph"/>
        <w:numPr>
          <w:ilvl w:val="0"/>
          <w:numId w:val="8"/>
        </w:numPr>
        <w:spacing w:after="200" w:line="276" w:lineRule="auto"/>
        <w:rPr>
          <w:bCs/>
          <w:iCs/>
        </w:rPr>
      </w:pPr>
      <w:r>
        <w:t>korostaa, että koheesiopolitiikan roolin on mentävä paljon perusinvestointeja pidemmälle. Painopisteen on oltava instituutioiden ja valmiuksien kehittämisessä, ystävyystoimintaohjelmat sekä kansalaisyhteiskunnan ja työmarkkinaosapuolten tukeminen mukaan lukien.</w:t>
      </w:r>
    </w:p>
    <w:p w:rsidRPr="00091238" w:rsidR="00175296" w:rsidP="00175296" w:rsidRDefault="00175296" w14:paraId="343A296D" w14:textId="77777777">
      <w:pPr>
        <w:pStyle w:val="ListParagraph"/>
        <w:numPr>
          <w:ilvl w:val="0"/>
          <w:numId w:val="8"/>
        </w:numPr>
        <w:spacing w:after="200" w:line="276" w:lineRule="auto"/>
        <w:rPr>
          <w:bCs/>
          <w:iCs/>
        </w:rPr>
      </w:pPr>
      <w:r>
        <w:t>painottaa, että laajentumisilla on ollut vaikutusta myös nykyisiin jäsenvaltioihin ja niiden alueisiin, kun uudet jäsenvaltiot ovat liittyneet sisämarkkinoihin ja tämä on vaikuttanut kansainväliseen arvoketjuun ja työvoiman muuttoliikkeeseen EU:ssa. Lisävarat ovatkin tarpeen, jotta voidaan investoida ehdokasmaiden tuntumassa sijaitseville rajaseuduille ja niille nykyisten jäsenvaltioiden alueille, jotka joutuvat kärsimään laajentumisesta johtuvista muutoksista unionin sisäisissä ja maailmanlaajuisissa arvoketjuissa.</w:t>
      </w:r>
    </w:p>
    <w:p w:rsidRPr="00552170" w:rsidR="00175296" w:rsidP="00175296" w:rsidRDefault="00175296" w14:paraId="3653FEDC" w14:textId="77777777">
      <w:pPr>
        <w:pStyle w:val="ListParagraph"/>
        <w:numPr>
          <w:ilvl w:val="0"/>
          <w:numId w:val="8"/>
        </w:numPr>
        <w:spacing w:after="200" w:line="276" w:lineRule="auto"/>
        <w:rPr>
          <w:bCs/>
          <w:iCs/>
        </w:rPr>
      </w:pPr>
      <w:r>
        <w:t xml:space="preserve">katsoo, että komission olisi pyrittävä laajentumisprosessin ohella uudistamaan tulevaa koheesiopolitiikkaa niin, että nykyisiä toimintapolitiikkoja saataisiin tehostettua tukeutumalla </w:t>
      </w:r>
      <w:r>
        <w:lastRenderedPageBreak/>
        <w:t>yhä pidemmälle menevään erikoistumiseen ja monipuolistamiseen sekä joustavuuden lisäämiseen ja vahvempaan taloudelliseen erikoistumiseen. Jotta rahoitustuesta olisi apua taloudellisen vaurauden luomisessa, sen rinnalla tarvitaan myös toimia instituutioiden kehittämiseksi, hallinnon uudistamiseksi ja kansalaisyhteiskunnan osallistamiseksi.</w:t>
      </w:r>
    </w:p>
    <w:p w:rsidRPr="00552170" w:rsidR="00175296" w:rsidP="00175296" w:rsidRDefault="00175296" w14:paraId="4F65039B" w14:textId="77777777">
      <w:pPr>
        <w:pStyle w:val="ListParagraph"/>
        <w:numPr>
          <w:ilvl w:val="0"/>
          <w:numId w:val="8"/>
        </w:numPr>
        <w:spacing w:after="200" w:line="276" w:lineRule="auto"/>
        <w:rPr>
          <w:bCs/>
          <w:iCs/>
        </w:rPr>
      </w:pPr>
      <w:r>
        <w:t>korostaa, että runsasta maastamuuttoa EU:n ehdokasmaista on pyrittävä kiireellisesti hillitsemään erilaisin politiikkatoimin, mm. inhimilliseen pääomaan tehtävin investoinnein, sillä se uhkaa vesittää taloudellisen ja sosiaalisen kehityksen mahdollisuudet.</w:t>
      </w:r>
    </w:p>
    <w:p w:rsidRPr="00552170" w:rsidR="00175296" w:rsidP="00175296" w:rsidRDefault="00175296" w14:paraId="7148284C" w14:textId="77777777">
      <w:pPr>
        <w:pStyle w:val="ListParagraph"/>
        <w:numPr>
          <w:ilvl w:val="0"/>
          <w:numId w:val="8"/>
        </w:numPr>
        <w:spacing w:after="200" w:line="276" w:lineRule="auto"/>
        <w:rPr>
          <w:bCs/>
          <w:iCs/>
        </w:rPr>
      </w:pPr>
      <w:r>
        <w:t>katsoo, että on olennaisen tärkeää kohentaa nuorten tilannetta ehdokasmaissa. Tarvitaan toimia nuorten taitojen ja työllisyyden parantamiseksi ja heidän koulutusmahdollisuuksiensa ja laadukkaiden työllistymismahdollisuuksiensa lisäämiseksi, ja myös asumisratkaisut ovat tarpeen. Lisäksi olisi edistettävä nuorten kanssa käytävää vuoropuhelua ja heidän osallistumistaan nuorisotakuualoitteisiin.</w:t>
      </w:r>
    </w:p>
    <w:p w:rsidRPr="00552170" w:rsidR="00175296" w:rsidP="00175296" w:rsidRDefault="00175296" w14:paraId="783EE763" w14:textId="77777777">
      <w:pPr>
        <w:pStyle w:val="ListParagraph"/>
        <w:numPr>
          <w:ilvl w:val="0"/>
          <w:numId w:val="8"/>
        </w:numPr>
        <w:spacing w:after="200" w:line="276" w:lineRule="auto"/>
        <w:rPr>
          <w:bCs/>
          <w:iCs/>
        </w:rPr>
      </w:pPr>
      <w:r>
        <w:t>suosittaa, että ehdokasmaissa tehostetaan pyrkimyksiä pitää huolta kaikkein heikoimmassa asemassa olevista ihmisistä ja väestöryhmistä paitsi ottamalla heidät suojelujärjestelmien piiriin myös huomioimalla heidät päätöksentekoprosessissa, sillä tämä on paras keino tehdä totta koheesiopolitiikan ensimmäisestä perusperiaatteesta, jonka mukaan ketään ei jätetä selviytymään yksin.</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6689B" w:rsidR="00175296" w:rsidTr="004427BF" w14:paraId="317EBA92" w14:textId="77777777">
        <w:tc>
          <w:tcPr>
            <w:tcW w:w="1418" w:type="dxa"/>
          </w:tcPr>
          <w:p w:rsidRPr="00A6689B" w:rsidR="00175296" w:rsidP="004427BF" w:rsidRDefault="00175296" w14:paraId="203FC3DE" w14:textId="77777777">
            <w:pPr>
              <w:spacing w:line="240" w:lineRule="auto"/>
              <w:rPr>
                <w:i/>
              </w:rPr>
            </w:pPr>
            <w:r>
              <w:rPr>
                <w:b/>
                <w:i/>
              </w:rPr>
              <w:t>Yhteydenotot</w:t>
            </w:r>
          </w:p>
        </w:tc>
        <w:tc>
          <w:tcPr>
            <w:tcW w:w="5670" w:type="dxa"/>
          </w:tcPr>
          <w:p w:rsidRPr="00982D73" w:rsidR="00175296" w:rsidP="004427BF" w:rsidRDefault="00175296" w14:paraId="4949DBB6" w14:textId="77777777">
            <w:pPr>
              <w:spacing w:line="240" w:lineRule="auto"/>
              <w:rPr>
                <w:i/>
              </w:rPr>
            </w:pPr>
            <w:proofErr w:type="spellStart"/>
            <w:r>
              <w:rPr>
                <w:i/>
              </w:rPr>
              <w:t>Georgios</w:t>
            </w:r>
            <w:proofErr w:type="spellEnd"/>
            <w:r>
              <w:rPr>
                <w:i/>
              </w:rPr>
              <w:t xml:space="preserve"> </w:t>
            </w:r>
            <w:proofErr w:type="spellStart"/>
            <w:r>
              <w:rPr>
                <w:i/>
              </w:rPr>
              <w:t>Meleas</w:t>
            </w:r>
            <w:proofErr w:type="spellEnd"/>
          </w:p>
        </w:tc>
      </w:tr>
      <w:tr w:rsidRPr="00A6689B" w:rsidR="00175296" w:rsidTr="004427BF" w14:paraId="75799DD0" w14:textId="77777777">
        <w:tc>
          <w:tcPr>
            <w:tcW w:w="1418" w:type="dxa"/>
          </w:tcPr>
          <w:p w:rsidRPr="00A6689B" w:rsidR="00175296" w:rsidP="004427BF" w:rsidRDefault="00175296" w14:paraId="65C84AA1" w14:textId="77777777">
            <w:pPr>
              <w:spacing w:line="240" w:lineRule="auto"/>
              <w:rPr>
                <w:i/>
              </w:rPr>
            </w:pPr>
            <w:r>
              <w:rPr>
                <w:i/>
              </w:rPr>
              <w:t>P.</w:t>
            </w:r>
          </w:p>
        </w:tc>
        <w:tc>
          <w:tcPr>
            <w:tcW w:w="5670" w:type="dxa"/>
          </w:tcPr>
          <w:p w:rsidRPr="00A6689B" w:rsidR="00175296" w:rsidP="004427BF" w:rsidRDefault="00175296" w14:paraId="4FE3E94A" w14:textId="77777777">
            <w:pPr>
              <w:spacing w:line="240" w:lineRule="auto"/>
              <w:rPr>
                <w:i/>
              </w:rPr>
            </w:pPr>
            <w:r>
              <w:rPr>
                <w:i/>
              </w:rPr>
              <w:t>+32 25469795</w:t>
            </w:r>
          </w:p>
        </w:tc>
      </w:tr>
      <w:tr w:rsidRPr="00A6689B" w:rsidR="00175296" w:rsidTr="004427BF" w14:paraId="163845DB" w14:textId="77777777">
        <w:tc>
          <w:tcPr>
            <w:tcW w:w="1418" w:type="dxa"/>
          </w:tcPr>
          <w:p w:rsidRPr="00A6689B" w:rsidR="00175296" w:rsidP="004427BF" w:rsidRDefault="00175296" w14:paraId="55A81DE9" w14:textId="77777777">
            <w:pPr>
              <w:spacing w:line="240" w:lineRule="auto"/>
              <w:rPr>
                <w:i/>
              </w:rPr>
            </w:pPr>
            <w:r>
              <w:rPr>
                <w:i/>
              </w:rPr>
              <w:t>Sähköposti</w:t>
            </w:r>
          </w:p>
        </w:tc>
        <w:tc>
          <w:tcPr>
            <w:tcW w:w="5670" w:type="dxa"/>
          </w:tcPr>
          <w:p w:rsidRPr="00A6689B" w:rsidR="00175296" w:rsidP="004427BF" w:rsidRDefault="00175296" w14:paraId="2D905C78" w14:textId="77777777">
            <w:pPr>
              <w:spacing w:line="240" w:lineRule="auto"/>
              <w:rPr>
                <w:i/>
              </w:rPr>
            </w:pPr>
            <w:hyperlink w:history="1" r:id="rId21">
              <w:r>
                <w:rPr>
                  <w:rStyle w:val="Hyperlink"/>
                  <w:i/>
                </w:rPr>
                <w:t>Georgios.Meleas@eesc.europa.eu</w:t>
              </w:r>
            </w:hyperlink>
          </w:p>
        </w:tc>
      </w:tr>
    </w:tbl>
    <w:p w:rsidR="001A5EC5" w:rsidP="00770F41" w:rsidRDefault="001A5EC5" w14:paraId="3A3398AC" w14:textId="4B0EF5D3">
      <w:pPr>
        <w:tabs>
          <w:tab w:val="center" w:pos="284"/>
        </w:tabs>
        <w:overflowPunct w:val="0"/>
        <w:autoSpaceDE w:val="0"/>
        <w:autoSpaceDN w:val="0"/>
        <w:adjustRightInd w:val="0"/>
        <w:ind w:left="266" w:hanging="266"/>
        <w:textAlignment w:val="baseline"/>
        <w:rPr>
          <w:b/>
          <w:sz w:val="24"/>
          <w:szCs w:val="24"/>
        </w:rPr>
      </w:pPr>
    </w:p>
    <w:p w:rsidR="001A5EC5" w:rsidRDefault="001A5EC5" w14:paraId="17F9882E" w14:textId="77777777">
      <w:pPr>
        <w:spacing w:after="160" w:line="259" w:lineRule="auto"/>
        <w:jc w:val="left"/>
        <w:rPr>
          <w:b/>
          <w:sz w:val="24"/>
          <w:szCs w:val="24"/>
        </w:rPr>
      </w:pPr>
      <w:r>
        <w:br w:type="page"/>
      </w:r>
    </w:p>
    <w:p w:rsidRPr="00DC0FAE" w:rsidR="001A5EC5" w:rsidP="00C26C81" w:rsidRDefault="00175296" w14:paraId="5AEA0F19" w14:textId="52B243FD">
      <w:pPr>
        <w:widowControl w:val="0"/>
        <w:numPr>
          <w:ilvl w:val="0"/>
          <w:numId w:val="7"/>
        </w:numPr>
        <w:overflowPunct w:val="0"/>
        <w:autoSpaceDE w:val="0"/>
        <w:autoSpaceDN w:val="0"/>
        <w:adjustRightInd w:val="0"/>
        <w:spacing w:after="120"/>
        <w:ind w:left="283"/>
        <w:textAlignment w:val="baseline"/>
        <w:rPr>
          <w:b/>
          <w:i/>
          <w:iCs/>
          <w:sz w:val="28"/>
          <w:szCs w:val="28"/>
        </w:rPr>
      </w:pPr>
      <w:hyperlink w:history="1" r:id="rId22">
        <w:r>
          <w:rPr>
            <w:rStyle w:val="Hyperlink"/>
            <w:b/>
            <w:i/>
            <w:sz w:val="28"/>
          </w:rPr>
          <w:t>Yhdeksäs kertomus taloudellisesta, sosiaalisesta ja alueellisesta yhteenkuuluvuudesta</w:t>
        </w:r>
      </w:hyperlink>
    </w:p>
    <w:p w:rsidRPr="001A5EC5" w:rsidR="00444F0D" w:rsidP="00DC0FAE" w:rsidRDefault="00444F0D" w14:paraId="5992C072" w14:textId="77777777">
      <w:pPr>
        <w:widowControl w:val="0"/>
        <w:overflowPunct w:val="0"/>
        <w:autoSpaceDE w:val="0"/>
        <w:autoSpaceDN w:val="0"/>
        <w:adjustRightInd w:val="0"/>
        <w:spacing w:after="120"/>
        <w:ind w:left="284"/>
        <w:textAlignment w:val="baseline"/>
        <w:rPr>
          <w:b/>
          <w:i/>
          <w:iCs/>
          <w:sz w:val="28"/>
          <w:szCs w:val="2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gridCol w:w="1417"/>
      </w:tblGrid>
      <w:tr w:rsidRPr="00A6689B" w:rsidR="00175296" w:rsidTr="004427BF" w14:paraId="23D299F5" w14:textId="77777777">
        <w:tc>
          <w:tcPr>
            <w:tcW w:w="1701" w:type="dxa"/>
          </w:tcPr>
          <w:p w:rsidRPr="00A6689B" w:rsidR="00175296" w:rsidP="004427BF" w:rsidRDefault="00175296" w14:paraId="563784FB" w14:textId="77777777">
            <w:pPr>
              <w:tabs>
                <w:tab w:val="center" w:pos="284"/>
              </w:tabs>
              <w:ind w:left="266" w:hanging="266"/>
              <w:rPr>
                <w:b/>
              </w:rPr>
            </w:pPr>
            <w:r>
              <w:rPr>
                <w:b/>
              </w:rPr>
              <w:t>Esittelijä</w:t>
            </w:r>
          </w:p>
        </w:tc>
        <w:tc>
          <w:tcPr>
            <w:tcW w:w="6804" w:type="dxa"/>
            <w:gridSpan w:val="2"/>
          </w:tcPr>
          <w:p w:rsidRPr="00C232CB" w:rsidR="00175296" w:rsidP="004427BF" w:rsidRDefault="00175296" w14:paraId="2AF5693A" w14:textId="77777777">
            <w:pPr>
              <w:tabs>
                <w:tab w:val="center" w:pos="284"/>
              </w:tabs>
              <w:ind w:left="266" w:hanging="266"/>
              <w:rPr>
                <w:bCs/>
              </w:rPr>
            </w:pPr>
            <w:proofErr w:type="spellStart"/>
            <w:r>
              <w:t>Matteo</w:t>
            </w:r>
            <w:proofErr w:type="spellEnd"/>
            <w:r>
              <w:t xml:space="preserve"> Carlo </w:t>
            </w:r>
            <w:proofErr w:type="spellStart"/>
            <w:r>
              <w:t>Borsani</w:t>
            </w:r>
            <w:proofErr w:type="spellEnd"/>
            <w:r>
              <w:t xml:space="preserve"> (työnantajat – IT)</w:t>
            </w:r>
          </w:p>
        </w:tc>
      </w:tr>
      <w:tr w:rsidRPr="00A6689B" w:rsidR="00175296" w:rsidTr="004427BF" w14:paraId="175F7DDB" w14:textId="77777777">
        <w:trPr>
          <w:gridAfter w:val="1"/>
          <w:wAfter w:w="1417" w:type="dxa"/>
        </w:trPr>
        <w:tc>
          <w:tcPr>
            <w:tcW w:w="7088" w:type="dxa"/>
            <w:gridSpan w:val="2"/>
          </w:tcPr>
          <w:p w:rsidRPr="00A6689B" w:rsidR="00175296" w:rsidP="004427BF" w:rsidRDefault="00175296" w14:paraId="61691535" w14:textId="77777777">
            <w:pPr>
              <w:tabs>
                <w:tab w:val="center" w:pos="284"/>
              </w:tabs>
              <w:spacing w:line="160" w:lineRule="exact"/>
              <w:ind w:left="266" w:hanging="266"/>
              <w:rPr>
                <w:lang w:val="en-US"/>
              </w:rPr>
            </w:pPr>
          </w:p>
        </w:tc>
      </w:tr>
      <w:tr w:rsidRPr="00A6689B" w:rsidR="00175296" w:rsidTr="004427BF" w14:paraId="0BA098BF" w14:textId="77777777">
        <w:trPr>
          <w:gridAfter w:val="1"/>
          <w:wAfter w:w="1417" w:type="dxa"/>
        </w:trPr>
        <w:tc>
          <w:tcPr>
            <w:tcW w:w="1701" w:type="dxa"/>
          </w:tcPr>
          <w:p w:rsidRPr="00A6689B" w:rsidR="00175296" w:rsidP="004427BF" w:rsidRDefault="00175296" w14:paraId="456BE7BE" w14:textId="77777777">
            <w:pPr>
              <w:tabs>
                <w:tab w:val="center" w:pos="284"/>
              </w:tabs>
              <w:ind w:left="266" w:hanging="266"/>
              <w:rPr>
                <w:b/>
              </w:rPr>
            </w:pPr>
            <w:r>
              <w:rPr>
                <w:b/>
              </w:rPr>
              <w:t>Viiteasiakirjat</w:t>
            </w:r>
          </w:p>
        </w:tc>
        <w:tc>
          <w:tcPr>
            <w:tcW w:w="5387" w:type="dxa"/>
          </w:tcPr>
          <w:p w:rsidR="00175296" w:rsidP="004427BF" w:rsidRDefault="00175296" w14:paraId="57A62BCE" w14:textId="77777777">
            <w:pPr>
              <w:tabs>
                <w:tab w:val="center" w:pos="284"/>
              </w:tabs>
              <w:ind w:left="266" w:hanging="266"/>
            </w:pPr>
            <w:r>
              <w:t xml:space="preserve">COM(2024) 149 </w:t>
            </w:r>
            <w:proofErr w:type="spellStart"/>
            <w:r>
              <w:t>final</w:t>
            </w:r>
            <w:proofErr w:type="spellEnd"/>
          </w:p>
          <w:p w:rsidRPr="00C232CB" w:rsidR="00175296" w:rsidP="004427BF" w:rsidRDefault="00175296" w14:paraId="1CEB5821" w14:textId="77777777">
            <w:pPr>
              <w:tabs>
                <w:tab w:val="center" w:pos="284"/>
              </w:tabs>
              <w:ind w:left="266" w:hanging="266"/>
            </w:pPr>
            <w:r>
              <w:t>EESC-2024-00987-00-00-AC</w:t>
            </w:r>
          </w:p>
        </w:tc>
      </w:tr>
    </w:tbl>
    <w:p w:rsidRPr="00A6689B" w:rsidR="00175296" w:rsidP="00175296" w:rsidRDefault="00175296" w14:paraId="2B10980D" w14:textId="77777777">
      <w:pPr>
        <w:keepNext/>
        <w:keepLines/>
        <w:tabs>
          <w:tab w:val="center" w:pos="284"/>
        </w:tabs>
        <w:spacing w:before="120"/>
        <w:ind w:left="266" w:hanging="266"/>
        <w:rPr>
          <w:b/>
        </w:rPr>
      </w:pPr>
      <w:r>
        <w:rPr>
          <w:b/>
        </w:rPr>
        <w:t>Keskeiset kohdat</w:t>
      </w:r>
    </w:p>
    <w:p w:rsidR="00175296" w:rsidP="00175296" w:rsidRDefault="00175296" w14:paraId="36A5FB32" w14:textId="77777777">
      <w:pPr>
        <w:rPr>
          <w:bCs/>
          <w:iCs/>
        </w:rPr>
      </w:pPr>
    </w:p>
    <w:p w:rsidR="00175296" w:rsidP="00175296" w:rsidRDefault="00175296" w14:paraId="18A28A27" w14:textId="77777777">
      <w:pPr>
        <w:rPr>
          <w:bCs/>
          <w:iCs/>
        </w:rPr>
      </w:pPr>
      <w:r>
        <w:t>ETSK</w:t>
      </w:r>
    </w:p>
    <w:p w:rsidR="00175296" w:rsidP="00175296" w:rsidRDefault="00175296" w14:paraId="2E9ABD9B" w14:textId="77777777">
      <w:pPr>
        <w:rPr>
          <w:bCs/>
          <w:iCs/>
        </w:rPr>
      </w:pPr>
    </w:p>
    <w:p w:rsidRPr="001A168C" w:rsidR="00175296" w:rsidP="00175296" w:rsidRDefault="00175296" w14:paraId="0168A912" w14:textId="77777777">
      <w:pPr>
        <w:pStyle w:val="ListParagraph"/>
        <w:numPr>
          <w:ilvl w:val="0"/>
          <w:numId w:val="9"/>
        </w:numPr>
        <w:spacing w:after="200" w:line="276" w:lineRule="auto"/>
        <w:rPr>
          <w:bCs/>
          <w:iCs/>
        </w:rPr>
      </w:pPr>
      <w:r>
        <w:t xml:space="preserve">on tyytyväinen yhdeksännen koheesiokertomuksen esittämiseen, pitää siinä esitettyä tulosten kuvausta kattavana ja katsoo, että se tarjoaa hyödyllisen lähtökohdan saaduista kokemuksista opiksi ottamiselle. </w:t>
      </w:r>
    </w:p>
    <w:p w:rsidRPr="001A168C" w:rsidR="00175296" w:rsidP="00175296" w:rsidRDefault="00175296" w14:paraId="272ACF23" w14:textId="77777777">
      <w:pPr>
        <w:pStyle w:val="ListParagraph"/>
        <w:numPr>
          <w:ilvl w:val="0"/>
          <w:numId w:val="9"/>
        </w:numPr>
        <w:spacing w:after="200" w:line="276" w:lineRule="auto"/>
        <w:rPr>
          <w:bCs/>
          <w:iCs/>
        </w:rPr>
      </w:pPr>
      <w:r>
        <w:t>suosittaa, että investoinnit ja politiikkatoimet kohdennetaan nimenomaan tuotantopohjan vahvistamiseen, jotta saataisiin lujitettua alueellista yhteenkuuluvuutta. Komitea korostaa, että ainoaksi erityyppisten alueiden kasvun yhteiseksi nimittäjäksi on osoittautunut positiivinen korrelaatio tuottavuuden kasvun ja asukaskohtaisen BKT:n nousun välillä.</w:t>
      </w:r>
    </w:p>
    <w:p w:rsidRPr="001A168C" w:rsidR="00175296" w:rsidP="00175296" w:rsidRDefault="00175296" w14:paraId="30594304" w14:textId="77777777">
      <w:pPr>
        <w:pStyle w:val="ListParagraph"/>
        <w:numPr>
          <w:ilvl w:val="0"/>
          <w:numId w:val="9"/>
        </w:numPr>
        <w:spacing w:after="200" w:line="276" w:lineRule="auto"/>
      </w:pPr>
      <w:r>
        <w:t>painottaa kilpailukyvyn merkitystä taloudellisen yhteenkuuluvuuden edistäjänä ja tuotannollisten investointien tärkeää piristävää vaikutusta kilpailukykyyn ja talouskasvuun, joilla puolestaan on myönteinen heijastusvaikutus alueelliseen ja sosiaaliseen yhteenkuuluvuuteen. Komitea tähdentää lisäksi sitä, että myös suurten yritysten, jotka kuuluvat pk-yritysten ekosysteemiin, on tärkeää voida hyödyntää tuotannollisissa investoinneissaan koheesiopolitiikan varoja. Tälle on asetettava tiettyjä ehtoja, jotka koskevat alueellisia ja yhteiskunnallisia kerrannaisvaikutuksia. Taloudellisen yhteenkuuluvuuden tuloksia ei pitäisi mitata vain tietyllä alueella tehtyjen taloudellisten investointien määrän vaan myös alueellisten ja sosiaalisten tulosten perusteella.</w:t>
      </w:r>
    </w:p>
    <w:p w:rsidRPr="001A168C" w:rsidR="00175296" w:rsidP="00175296" w:rsidRDefault="00175296" w14:paraId="6B6CB280" w14:textId="77777777">
      <w:pPr>
        <w:pStyle w:val="ListParagraph"/>
        <w:numPr>
          <w:ilvl w:val="0"/>
          <w:numId w:val="9"/>
        </w:numPr>
        <w:spacing w:after="200" w:line="276" w:lineRule="auto"/>
        <w:rPr>
          <w:bCs/>
          <w:iCs/>
        </w:rPr>
      </w:pPr>
      <w:r>
        <w:t>korostaa toimivien ja osallistavien työmarkkinoiden merkitystä sosiaalisen yhteenkuuluvuuden lisäämisessä. Tätä varten on varmistettava, että EU:n kansalaisilla ja työntekijöillä on mahdollisuudet hankkia työmarkkinoille pääsyn ja niillä liikkumisen edellyttämät taidot. Komitea katsoo, että työllisyyspolitiikkaa ja työllistyvyyttä edistävää politiikkaa pitäisi toteuttaa rinnakkain. Toimia tulee kohdentaa nimenomaan siihen osaan yhteiskuntaa, joka on vaarassa jäädä jälkeen, ja työmarkkinoiden ulkopuolella tällä hetkellä olevien ihmisten osallisuutta tulee parantaa.</w:t>
      </w:r>
    </w:p>
    <w:p w:rsidR="00175296" w:rsidP="00175296" w:rsidRDefault="00175296" w14:paraId="4408C9FB" w14:textId="77777777">
      <w:pPr>
        <w:pStyle w:val="ListParagraph"/>
        <w:numPr>
          <w:ilvl w:val="0"/>
          <w:numId w:val="9"/>
        </w:numPr>
        <w:spacing w:after="200" w:line="276" w:lineRule="auto"/>
        <w:rPr>
          <w:bCs/>
          <w:iCs/>
        </w:rPr>
      </w:pPr>
      <w:r>
        <w:t>kehottaa edistämään strategisia investointeja paikallis- ja aluehallintoon, jotta ohjelmien täytäntöönpanon kannalta keskeistä järjestelmää saataisiin vahvistettua. Sosiaalista, taloudellista ja alueellista yhteenkuuluvuutta ei voida saavuttaa, ellei ensin saada yhtenäistettyä julkishallintojen valmiuksia.</w:t>
      </w:r>
    </w:p>
    <w:p w:rsidR="00175296" w:rsidP="00175296" w:rsidRDefault="00175296" w14:paraId="20396C97" w14:textId="77777777">
      <w:pPr>
        <w:pStyle w:val="ListParagraph"/>
        <w:numPr>
          <w:ilvl w:val="0"/>
          <w:numId w:val="9"/>
        </w:numPr>
        <w:spacing w:after="200" w:line="276" w:lineRule="auto"/>
        <w:rPr>
          <w:bCs/>
          <w:iCs/>
        </w:rPr>
      </w:pPr>
      <w:r>
        <w:t>katsoo, että alue- ja paikallisviranomaisten osallistumismahdollisuudet on taattava, kumppanuusperiaatetta on noudatettava ja työmarkkinaosapuolet sekä kansalaisyhteiskunnan organisaatiot on otettava mukaan kaikkeen koheesiopolitiikan tulevaisuuden pohdintaan.</w:t>
      </w:r>
    </w:p>
    <w:p w:rsidRPr="001A168C" w:rsidR="00175296" w:rsidP="00175296" w:rsidRDefault="00175296" w14:paraId="56079E7E" w14:textId="77777777">
      <w:pPr>
        <w:pStyle w:val="ListParagraph"/>
        <w:numPr>
          <w:ilvl w:val="0"/>
          <w:numId w:val="9"/>
        </w:numPr>
        <w:spacing w:after="200" w:line="276" w:lineRule="auto"/>
        <w:rPr>
          <w:bCs/>
          <w:iCs/>
        </w:rPr>
      </w:pPr>
      <w:r>
        <w:t>kehottaa lainsäätäjiä tekemään monivuotisesta rahoituskehyksestä kaiken kaikkiaan kunnianhimoisemman ja takaamaan koheesiopolitiikalle riittävän rahoituksen. Tässä tulee ottaa huomioon myös EU:n tulevat puolustusinvestointitarpeet sekä unionin jäsenvaltioiden määrän kasvu nykyisestä 27:stä.</w:t>
      </w:r>
    </w:p>
    <w:p w:rsidRPr="001A168C" w:rsidR="00175296" w:rsidP="00175296" w:rsidRDefault="00175296" w14:paraId="7D58261B" w14:textId="77777777">
      <w:pPr>
        <w:pStyle w:val="ListParagraph"/>
        <w:numPr>
          <w:ilvl w:val="0"/>
          <w:numId w:val="9"/>
        </w:numPr>
        <w:spacing w:after="200" w:line="276" w:lineRule="auto"/>
        <w:rPr>
          <w:bCs/>
          <w:iCs/>
        </w:rPr>
      </w:pPr>
      <w:r>
        <w:lastRenderedPageBreak/>
        <w:t>kehottaa ottamaan tässä yhteydessä huomioon EU:n kaavailemat tulevat laajentumiset, sillä koheesiopolitiikan on oltava tehokasta ja toimivaa, jotta uusien jäsenvaltioiden sujuva yhdentyminen unioniin pystytään takaamaan vaarantamatta nykyisiin kehittyviin alueisiin kohdistuvia investointeja.</w:t>
      </w:r>
    </w:p>
    <w:p w:rsidRPr="001A168C" w:rsidR="00175296" w:rsidP="00175296" w:rsidRDefault="00175296" w14:paraId="39BACDF3" w14:textId="77777777">
      <w:pPr>
        <w:pStyle w:val="ListParagraph"/>
        <w:numPr>
          <w:ilvl w:val="0"/>
          <w:numId w:val="9"/>
        </w:numPr>
        <w:spacing w:after="200" w:line="276" w:lineRule="auto"/>
        <w:rPr>
          <w:bCs/>
          <w:iCs/>
        </w:rPr>
      </w:pPr>
      <w:r>
        <w:t xml:space="preserve">suosittaa myös, että siirtymistä älykkäämpään ja vihreämpään Eurooppaan edistetään hyödyntämällä automaattisia ja käyttäjäystävällisiä investointivälineitä. Oikeudenmukaisen vihreän ja digitaalisen siirtymän haasteet ja kunnianhimoiset siirtymätavoitteet edellyttävät nopeita toimia ja reagointivalmiutta.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6689B" w:rsidR="00175296" w:rsidTr="004427BF" w14:paraId="0F2D38CC" w14:textId="77777777">
        <w:tc>
          <w:tcPr>
            <w:tcW w:w="1418" w:type="dxa"/>
          </w:tcPr>
          <w:p w:rsidRPr="00A6689B" w:rsidR="00175296" w:rsidP="004427BF" w:rsidRDefault="00175296" w14:paraId="4E7BABBC" w14:textId="77777777">
            <w:pPr>
              <w:spacing w:line="240" w:lineRule="auto"/>
              <w:rPr>
                <w:i/>
              </w:rPr>
            </w:pPr>
            <w:r>
              <w:rPr>
                <w:b/>
                <w:i/>
              </w:rPr>
              <w:t>Yhteydenotot</w:t>
            </w:r>
          </w:p>
        </w:tc>
        <w:tc>
          <w:tcPr>
            <w:tcW w:w="5670" w:type="dxa"/>
          </w:tcPr>
          <w:p w:rsidRPr="00165B52" w:rsidR="00175296" w:rsidP="004427BF" w:rsidRDefault="00175296" w14:paraId="79781792" w14:textId="77777777">
            <w:pPr>
              <w:spacing w:line="240" w:lineRule="auto"/>
              <w:rPr>
                <w:i/>
              </w:rPr>
            </w:pPr>
            <w:proofErr w:type="spellStart"/>
            <w:r>
              <w:rPr>
                <w:i/>
              </w:rPr>
              <w:t>Georgios</w:t>
            </w:r>
            <w:proofErr w:type="spellEnd"/>
            <w:r>
              <w:rPr>
                <w:i/>
              </w:rPr>
              <w:t xml:space="preserve"> </w:t>
            </w:r>
            <w:proofErr w:type="spellStart"/>
            <w:r>
              <w:rPr>
                <w:i/>
              </w:rPr>
              <w:t>Meleas</w:t>
            </w:r>
            <w:proofErr w:type="spellEnd"/>
          </w:p>
        </w:tc>
      </w:tr>
      <w:tr w:rsidRPr="00A6689B" w:rsidR="00175296" w:rsidTr="004427BF" w14:paraId="5EC9D95F" w14:textId="77777777">
        <w:tc>
          <w:tcPr>
            <w:tcW w:w="1418" w:type="dxa"/>
          </w:tcPr>
          <w:p w:rsidRPr="00A6689B" w:rsidR="00175296" w:rsidP="004427BF" w:rsidRDefault="00175296" w14:paraId="54E8AE38" w14:textId="77777777">
            <w:pPr>
              <w:spacing w:line="240" w:lineRule="auto"/>
              <w:rPr>
                <w:i/>
              </w:rPr>
            </w:pPr>
            <w:r>
              <w:rPr>
                <w:i/>
              </w:rPr>
              <w:t>P.</w:t>
            </w:r>
          </w:p>
        </w:tc>
        <w:tc>
          <w:tcPr>
            <w:tcW w:w="5670" w:type="dxa"/>
          </w:tcPr>
          <w:p w:rsidRPr="00A6689B" w:rsidR="00175296" w:rsidP="004427BF" w:rsidRDefault="00175296" w14:paraId="7D707873" w14:textId="77777777">
            <w:pPr>
              <w:spacing w:line="240" w:lineRule="auto"/>
              <w:rPr>
                <w:i/>
              </w:rPr>
            </w:pPr>
            <w:r>
              <w:rPr>
                <w:i/>
              </w:rPr>
              <w:t>+32 25469795</w:t>
            </w:r>
          </w:p>
        </w:tc>
      </w:tr>
      <w:tr w:rsidRPr="00A6689B" w:rsidR="00175296" w:rsidTr="004427BF" w14:paraId="35586FFF" w14:textId="77777777">
        <w:tc>
          <w:tcPr>
            <w:tcW w:w="1418" w:type="dxa"/>
          </w:tcPr>
          <w:p w:rsidRPr="00A6689B" w:rsidR="00175296" w:rsidP="004427BF" w:rsidRDefault="00175296" w14:paraId="00A50CA0" w14:textId="77777777">
            <w:pPr>
              <w:spacing w:line="240" w:lineRule="auto"/>
              <w:rPr>
                <w:i/>
              </w:rPr>
            </w:pPr>
            <w:r>
              <w:rPr>
                <w:i/>
              </w:rPr>
              <w:t>Sähköposti</w:t>
            </w:r>
          </w:p>
        </w:tc>
        <w:tc>
          <w:tcPr>
            <w:tcW w:w="5670" w:type="dxa"/>
          </w:tcPr>
          <w:p w:rsidRPr="00A6689B" w:rsidR="00175296" w:rsidP="004427BF" w:rsidRDefault="00175296" w14:paraId="56E1F3F2" w14:textId="77777777">
            <w:pPr>
              <w:spacing w:line="240" w:lineRule="auto"/>
              <w:rPr>
                <w:i/>
              </w:rPr>
            </w:pPr>
            <w:hyperlink w:history="1" r:id="rId23">
              <w:r>
                <w:rPr>
                  <w:rStyle w:val="Hyperlink"/>
                  <w:i/>
                </w:rPr>
                <w:t>Georgios.Meleas@eesc.europa.eu</w:t>
              </w:r>
            </w:hyperlink>
            <w:r>
              <w:rPr>
                <w:i/>
              </w:rPr>
              <w:t xml:space="preserve"> </w:t>
            </w:r>
          </w:p>
        </w:tc>
      </w:tr>
    </w:tbl>
    <w:p w:rsidR="005C28F2" w:rsidP="00770F41" w:rsidRDefault="005C28F2" w14:paraId="75A160E4" w14:textId="4CAAFB00">
      <w:pPr>
        <w:tabs>
          <w:tab w:val="center" w:pos="284"/>
        </w:tabs>
        <w:overflowPunct w:val="0"/>
        <w:autoSpaceDE w:val="0"/>
        <w:autoSpaceDN w:val="0"/>
        <w:adjustRightInd w:val="0"/>
        <w:ind w:left="266" w:hanging="266"/>
        <w:textAlignment w:val="baseline"/>
        <w:rPr>
          <w:b/>
          <w:sz w:val="24"/>
          <w:szCs w:val="24"/>
        </w:rPr>
      </w:pPr>
    </w:p>
    <w:p w:rsidR="005C28F2" w:rsidRDefault="005C28F2" w14:paraId="566BFFD9" w14:textId="77777777">
      <w:pPr>
        <w:spacing w:after="160" w:line="259" w:lineRule="auto"/>
        <w:jc w:val="left"/>
        <w:rPr>
          <w:b/>
          <w:sz w:val="24"/>
          <w:szCs w:val="24"/>
        </w:rPr>
      </w:pPr>
      <w:r>
        <w:br w:type="page"/>
      </w:r>
    </w:p>
    <w:p w:rsidRPr="00502E1F" w:rsidR="00502E1F" w:rsidP="00DC0FAE" w:rsidRDefault="00A23B4B" w14:paraId="26F82B31" w14:textId="7E654BB7">
      <w:pPr>
        <w:pStyle w:val="Heading1"/>
        <w:tabs>
          <w:tab w:val="clear" w:pos="440"/>
          <w:tab w:val="left" w:pos="567"/>
        </w:tabs>
        <w:ind w:left="567" w:hanging="567"/>
        <w:rPr>
          <w:color w:val="000000" w:themeColor="text1"/>
        </w:rPr>
      </w:pPr>
      <w:hyperlink w:history="1" w:anchor="_Toc159831769">
        <w:bookmarkStart w:name="_Toc169873280" w:id="1"/>
        <w:r w:rsidR="00714C38">
          <w:rPr>
            <w:rStyle w:val="Hyperlink"/>
            <w:b/>
            <w:color w:val="000000" w:themeColor="text1"/>
            <w:u w:val="none"/>
          </w:rPr>
          <w:t>TYÖLLISYYS, SOSIAALIASIAT JA KANSALAISUUS</w:t>
        </w:r>
        <w:bookmarkEnd w:id="1"/>
      </w:hyperlink>
      <w:r w:rsidR="00714C38">
        <w:rPr>
          <w:rStyle w:val="Hyperlink"/>
          <w:b/>
          <w:color w:val="000000" w:themeColor="text1"/>
          <w:u w:val="none"/>
        </w:rPr>
        <w:t xml:space="preserve"> </w:t>
      </w:r>
    </w:p>
    <w:p w:rsidR="00502E1F" w:rsidP="00502E1F" w:rsidRDefault="00502E1F" w14:paraId="7FCC1962" w14:textId="6F84DBB9"/>
    <w:p w:rsidR="005C28F2" w:rsidP="00502E1F" w:rsidRDefault="005C28F2" w14:paraId="56EE42DD" w14:textId="77777777"/>
    <w:p w:rsidRPr="004E7105" w:rsidR="004E7105" w:rsidP="00C26C81" w:rsidRDefault="00175296" w14:paraId="7766257F" w14:textId="0F4AD241">
      <w:pPr>
        <w:widowControl w:val="0"/>
        <w:numPr>
          <w:ilvl w:val="0"/>
          <w:numId w:val="7"/>
        </w:numPr>
        <w:overflowPunct w:val="0"/>
        <w:autoSpaceDE w:val="0"/>
        <w:autoSpaceDN w:val="0"/>
        <w:adjustRightInd w:val="0"/>
        <w:ind w:hanging="567"/>
        <w:textAlignment w:val="baseline"/>
        <w:rPr>
          <w:b/>
          <w:bCs/>
          <w:i/>
          <w:iCs/>
          <w:color w:val="0000FF"/>
          <w:sz w:val="28"/>
          <w:szCs w:val="28"/>
          <w:u w:val="single"/>
        </w:rPr>
      </w:pPr>
      <w:hyperlink w:history="1" r:id="rId24">
        <w:r>
          <w:rPr>
            <w:rStyle w:val="Hyperlink"/>
            <w:b/>
            <w:i/>
            <w:sz w:val="28"/>
          </w:rPr>
          <w:t>Rokotteilla ehkäistävissä olevat syövät</w:t>
        </w:r>
      </w:hyperlink>
      <w:r w:rsidRPr="004E7105" w:rsidR="004E7105">
        <w:rPr>
          <w:b/>
          <w:i/>
          <w:sz w:val="28"/>
        </w:rPr>
        <w:fldChar w:fldCharType="begin"/>
      </w:r>
      <w:r w:rsidRPr="004E7105" w:rsidR="004E7105">
        <w:rPr>
          <w:b/>
          <w:i/>
          <w:sz w:val="28"/>
        </w:rPr>
        <w:instrText xml:space="preserve"> HYPERLINK "https://www.eesc.europa.eu/en/our-work/opinions-information-reports/opinions/anti-smuggling-package" </w:instrText>
      </w:r>
      <w:r w:rsidRPr="004E7105" w:rsidR="004E7105">
        <w:rPr>
          <w:b/>
          <w:i/>
          <w:sz w:val="28"/>
        </w:rPr>
        <w:fldChar w:fldCharType="separate"/>
      </w:r>
    </w:p>
    <w:p w:rsidRPr="004E7105" w:rsidR="004E7105" w:rsidP="004E7105" w:rsidRDefault="004E7105" w14:paraId="24B983D5" w14:textId="763F0B12">
      <w:pPr>
        <w:widowControl w:val="0"/>
        <w:overflowPunct w:val="0"/>
        <w:autoSpaceDE w:val="0"/>
        <w:autoSpaceDN w:val="0"/>
        <w:adjustRightInd w:val="0"/>
        <w:ind w:left="567"/>
        <w:textAlignment w:val="baseline"/>
        <w:rPr>
          <w:b/>
          <w:i/>
          <w:sz w:val="28"/>
        </w:rPr>
      </w:pPr>
      <w:r w:rsidRPr="004E7105">
        <w:rPr>
          <w:b/>
          <w:i/>
          <w:sz w:val="28"/>
        </w:rPr>
        <w:fldChar w:fldCharType="end"/>
      </w:r>
    </w:p>
    <w:tbl>
      <w:tblPr>
        <w:tblStyle w:val="TableGrid"/>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572"/>
      </w:tblGrid>
      <w:tr w:rsidRPr="00A6689B" w:rsidR="00175296" w:rsidTr="004427BF" w14:paraId="7FCB04C8" w14:textId="77777777">
        <w:tc>
          <w:tcPr>
            <w:tcW w:w="1522" w:type="pct"/>
          </w:tcPr>
          <w:p w:rsidR="00175296" w:rsidP="004427BF" w:rsidRDefault="00175296" w14:paraId="5BAB6812" w14:textId="77777777">
            <w:pPr>
              <w:widowControl w:val="0"/>
              <w:ind w:left="-113"/>
              <w:rPr>
                <w:b/>
              </w:rPr>
            </w:pPr>
            <w:r>
              <w:rPr>
                <w:b/>
              </w:rPr>
              <w:t>Esittelijä:</w:t>
            </w:r>
          </w:p>
          <w:p w:rsidR="00175296" w:rsidP="004427BF" w:rsidRDefault="00175296" w14:paraId="59C4622A" w14:textId="77777777">
            <w:pPr>
              <w:widowControl w:val="0"/>
              <w:ind w:left="-113"/>
              <w:rPr>
                <w:b/>
              </w:rPr>
            </w:pPr>
            <w:r>
              <w:rPr>
                <w:b/>
              </w:rPr>
              <w:t>Yhteisesittelijä:</w:t>
            </w:r>
          </w:p>
          <w:p w:rsidRPr="00A6689B" w:rsidR="00175296" w:rsidP="004427BF" w:rsidRDefault="00175296" w14:paraId="5DF6C71D" w14:textId="77777777">
            <w:pPr>
              <w:widowControl w:val="0"/>
              <w:ind w:left="-113"/>
              <w:rPr>
                <w:b/>
                <w:lang w:val="en-US"/>
              </w:rPr>
            </w:pPr>
          </w:p>
        </w:tc>
        <w:tc>
          <w:tcPr>
            <w:tcW w:w="3478" w:type="pct"/>
          </w:tcPr>
          <w:p w:rsidR="00175296" w:rsidP="004427BF" w:rsidRDefault="00175296" w14:paraId="5F4185EA" w14:textId="77777777">
            <w:pPr>
              <w:widowControl w:val="0"/>
              <w:tabs>
                <w:tab w:val="left" w:pos="4572"/>
              </w:tabs>
              <w:ind w:left="-113" w:right="-823"/>
            </w:pPr>
            <w:r>
              <w:t xml:space="preserve">Milena </w:t>
            </w:r>
            <w:proofErr w:type="spellStart"/>
            <w:r>
              <w:t>Angelova</w:t>
            </w:r>
            <w:proofErr w:type="spellEnd"/>
            <w:r>
              <w:t xml:space="preserve"> (työnantajat – BG)</w:t>
            </w:r>
          </w:p>
          <w:p w:rsidRPr="00E51944" w:rsidR="00175296" w:rsidP="004427BF" w:rsidRDefault="00175296" w14:paraId="6FBB4ECD" w14:textId="77777777">
            <w:pPr>
              <w:widowControl w:val="0"/>
              <w:tabs>
                <w:tab w:val="left" w:pos="4572"/>
              </w:tabs>
              <w:ind w:left="-113" w:right="-823"/>
            </w:pPr>
            <w:proofErr w:type="spellStart"/>
            <w:r>
              <w:t>Sára</w:t>
            </w:r>
            <w:proofErr w:type="spellEnd"/>
            <w:r>
              <w:t xml:space="preserve"> </w:t>
            </w:r>
            <w:proofErr w:type="spellStart"/>
            <w:r>
              <w:t>Felszeghi</w:t>
            </w:r>
            <w:proofErr w:type="spellEnd"/>
            <w:r>
              <w:t xml:space="preserve"> (työntekijät – HU)</w:t>
            </w:r>
          </w:p>
        </w:tc>
      </w:tr>
      <w:tr w:rsidRPr="00A6689B" w:rsidR="00175296" w:rsidTr="004427BF" w14:paraId="68229BF9" w14:textId="77777777">
        <w:tc>
          <w:tcPr>
            <w:tcW w:w="1522" w:type="pct"/>
            <w:vMerge w:val="restart"/>
          </w:tcPr>
          <w:p w:rsidRPr="00557B11" w:rsidR="00175296" w:rsidP="004427BF" w:rsidRDefault="00175296" w14:paraId="2A8365AB" w14:textId="77777777">
            <w:pPr>
              <w:widowControl w:val="0"/>
              <w:ind w:left="-113"/>
              <w:rPr>
                <w:b/>
              </w:rPr>
            </w:pPr>
            <w:r>
              <w:rPr>
                <w:b/>
              </w:rPr>
              <w:t>Viiteasiakirjat:</w:t>
            </w:r>
          </w:p>
        </w:tc>
        <w:tc>
          <w:tcPr>
            <w:tcW w:w="3478" w:type="pct"/>
          </w:tcPr>
          <w:p w:rsidRPr="00557B11" w:rsidR="00175296" w:rsidP="004427BF" w:rsidRDefault="00175296" w14:paraId="0DE01216" w14:textId="77777777">
            <w:pPr>
              <w:widowControl w:val="0"/>
              <w:tabs>
                <w:tab w:val="left" w:pos="4430"/>
              </w:tabs>
              <w:ind w:left="-113" w:right="-823"/>
            </w:pPr>
            <w:r>
              <w:t xml:space="preserve">COM(2024) 45 </w:t>
            </w:r>
            <w:proofErr w:type="spellStart"/>
            <w:r>
              <w:t>final</w:t>
            </w:r>
            <w:proofErr w:type="spellEnd"/>
          </w:p>
        </w:tc>
      </w:tr>
      <w:tr w:rsidRPr="00A6689B" w:rsidR="00175296" w:rsidTr="004427BF" w14:paraId="76C90D06" w14:textId="77777777">
        <w:tc>
          <w:tcPr>
            <w:tcW w:w="1522" w:type="pct"/>
            <w:vMerge/>
          </w:tcPr>
          <w:p w:rsidRPr="00A6689B" w:rsidR="00175296" w:rsidP="004427BF" w:rsidRDefault="00175296" w14:paraId="12C69253" w14:textId="77777777">
            <w:pPr>
              <w:widowControl w:val="0"/>
              <w:tabs>
                <w:tab w:val="center" w:pos="284"/>
              </w:tabs>
              <w:ind w:left="266" w:hanging="266"/>
              <w:rPr>
                <w:b/>
                <w:lang w:val="en-US"/>
              </w:rPr>
            </w:pPr>
          </w:p>
        </w:tc>
        <w:tc>
          <w:tcPr>
            <w:tcW w:w="3478" w:type="pct"/>
          </w:tcPr>
          <w:p w:rsidRPr="00A6689B" w:rsidR="00175296" w:rsidP="004427BF" w:rsidRDefault="00175296" w14:paraId="66E83F16" w14:textId="77777777">
            <w:pPr>
              <w:widowControl w:val="0"/>
              <w:tabs>
                <w:tab w:val="center" w:pos="38"/>
                <w:tab w:val="left" w:pos="4430"/>
              </w:tabs>
              <w:ind w:left="266" w:right="-823" w:hanging="370"/>
            </w:pPr>
            <w:r>
              <w:t>EESC-2024-00425-00-00-AC-TRA</w:t>
            </w:r>
          </w:p>
        </w:tc>
      </w:tr>
    </w:tbl>
    <w:p w:rsidR="00175296" w:rsidP="00175296" w:rsidRDefault="00175296" w14:paraId="1A059DD0" w14:textId="77777777">
      <w:pPr>
        <w:widowControl w:val="0"/>
        <w:tabs>
          <w:tab w:val="center" w:pos="284"/>
        </w:tabs>
        <w:ind w:left="266" w:hanging="266"/>
        <w:rPr>
          <w:b/>
        </w:rPr>
      </w:pPr>
    </w:p>
    <w:p w:rsidR="00175296" w:rsidP="00175296" w:rsidRDefault="00175296" w14:paraId="6483E723" w14:textId="77777777">
      <w:pPr>
        <w:widowControl w:val="0"/>
        <w:tabs>
          <w:tab w:val="center" w:pos="284"/>
        </w:tabs>
        <w:ind w:left="266" w:hanging="266"/>
        <w:rPr>
          <w:b/>
        </w:rPr>
      </w:pPr>
      <w:r>
        <w:rPr>
          <w:b/>
        </w:rPr>
        <w:t>Keskeiset kohdat:</w:t>
      </w:r>
    </w:p>
    <w:p w:rsidRPr="008C5734" w:rsidR="00175296" w:rsidP="00175296" w:rsidRDefault="00175296" w14:paraId="33471ADC" w14:textId="77777777">
      <w:pPr>
        <w:widowControl w:val="0"/>
        <w:tabs>
          <w:tab w:val="center" w:pos="284"/>
        </w:tabs>
        <w:ind w:left="266" w:hanging="266"/>
        <w:rPr>
          <w:b/>
          <w:sz w:val="16"/>
          <w:szCs w:val="16"/>
        </w:rPr>
      </w:pPr>
    </w:p>
    <w:p w:rsidR="00175296" w:rsidP="00175296" w:rsidRDefault="00175296" w14:paraId="49DE280A" w14:textId="77777777">
      <w:pPr>
        <w:widowControl w:val="0"/>
        <w:tabs>
          <w:tab w:val="center" w:pos="284"/>
        </w:tabs>
        <w:ind w:left="266" w:hanging="266"/>
      </w:pPr>
      <w:r>
        <w:t>ETSK</w:t>
      </w:r>
    </w:p>
    <w:p w:rsidRPr="00AC32EB" w:rsidR="00175296" w:rsidP="00175296" w:rsidRDefault="00175296" w14:paraId="6AB2D15C" w14:textId="77777777">
      <w:pPr>
        <w:widowControl w:val="0"/>
        <w:tabs>
          <w:tab w:val="center" w:pos="284"/>
        </w:tabs>
        <w:ind w:left="266" w:hanging="266"/>
        <w:rPr>
          <w:sz w:val="16"/>
          <w:szCs w:val="16"/>
        </w:rPr>
      </w:pPr>
    </w:p>
    <w:p w:rsidRPr="00AC32EB" w:rsidR="00175296" w:rsidP="00175296" w:rsidRDefault="00175296" w14:paraId="6916AC6F" w14:textId="77777777">
      <w:pPr>
        <w:pStyle w:val="ListParagraph"/>
        <w:widowControl w:val="0"/>
        <w:numPr>
          <w:ilvl w:val="0"/>
          <w:numId w:val="10"/>
        </w:numPr>
        <w:tabs>
          <w:tab w:val="center" w:pos="284"/>
        </w:tabs>
      </w:pPr>
      <w:r>
        <w:t>kannustaa jäsenvaltioita vaihtamaan kokemuksia ja hyviä käytäntöjä sekä tekemään tiivistä yhteistyötä.</w:t>
      </w:r>
    </w:p>
    <w:p w:rsidRPr="00AC32EB" w:rsidR="00175296" w:rsidP="00175296" w:rsidRDefault="00175296" w14:paraId="25E1FB63" w14:textId="77777777">
      <w:pPr>
        <w:pStyle w:val="ListParagraph"/>
        <w:widowControl w:val="0"/>
        <w:numPr>
          <w:ilvl w:val="0"/>
          <w:numId w:val="10"/>
        </w:numPr>
        <w:tabs>
          <w:tab w:val="center" w:pos="284"/>
        </w:tabs>
      </w:pPr>
      <w:r>
        <w:t>suosittaa lisäämään rokotusten kysyntää ja tarjontaa, korostaa asianmukaisen tiedotuksen, koulutuksen ja viestinnän tarvetta sekä painottaa kouluterveydenhuoltojärjestelmän ja vanhempien roolia näissä toimissa. Syövän ennaltaehkäisystä olisi tehtävä poliittinen tavoite, ja siihen olisi varattava tarvittavat taloudelliset, aineelliset ja henkilöresurssit.</w:t>
      </w:r>
    </w:p>
    <w:p w:rsidRPr="00AC32EB" w:rsidR="00175296" w:rsidP="00175296" w:rsidRDefault="00175296" w14:paraId="6975CF5E" w14:textId="77777777">
      <w:pPr>
        <w:pStyle w:val="ListParagraph"/>
        <w:widowControl w:val="0"/>
        <w:numPr>
          <w:ilvl w:val="0"/>
          <w:numId w:val="10"/>
        </w:numPr>
        <w:tabs>
          <w:tab w:val="center" w:pos="284"/>
        </w:tabs>
      </w:pPr>
      <w:r>
        <w:t>kehottaa toteuttamaan järeitä toimia väärän tiedon ja disinformaation torjumiseksi hankkimalla tieteeseen perustuvaa näyttöä ja levittämällä tosiasioihin perustuvaa tietoa eri kanavien, kuten sosiaalisen median, kautta.</w:t>
      </w:r>
    </w:p>
    <w:p w:rsidRPr="00AC32EB" w:rsidR="00175296" w:rsidP="00175296" w:rsidRDefault="00175296" w14:paraId="67A13126" w14:textId="77777777">
      <w:pPr>
        <w:pStyle w:val="ListParagraph"/>
        <w:widowControl w:val="0"/>
        <w:numPr>
          <w:ilvl w:val="0"/>
          <w:numId w:val="10"/>
        </w:numPr>
        <w:tabs>
          <w:tab w:val="center" w:pos="284"/>
        </w:tabs>
      </w:pPr>
      <w:r>
        <w:t>katsoo, että yleis-, perhe- ja koululääkäreillä sekä kansalaisjärjestöillä on tärkeä tehtävä asiatiedon tarjoamisessa, pelkojen ja skeptisyyden vähentämisessä sekä ihmisten ohjaamisessa ottamaan rokotuksia. Jotta viestit olisivat nuorten kannalta houkuttelevia, ETSK kannattaa tiedotuksen tehostamista nuorten johtamien järjestöjen kautta.</w:t>
      </w:r>
    </w:p>
    <w:p w:rsidRPr="00AC32EB" w:rsidR="00175296" w:rsidP="00175296" w:rsidRDefault="00175296" w14:paraId="2DE75D24" w14:textId="77777777">
      <w:pPr>
        <w:pStyle w:val="ListParagraph"/>
        <w:widowControl w:val="0"/>
        <w:numPr>
          <w:ilvl w:val="0"/>
          <w:numId w:val="10"/>
        </w:numPr>
        <w:tabs>
          <w:tab w:val="center" w:pos="284"/>
        </w:tabs>
      </w:pPr>
      <w:r>
        <w:t>painottaa sukupuolten tasa-arvon merkitystä syövän ehkäisytoimissa ja kehottaa tarjoamaan HPV-rokotuksia kaikille tietynikäisille tytöille ja pojille, tehostamaan viestintää HPV-rokotusten saatavuudesta pojille sekä keräämään ja julkaisemaan tietoa sekä poikien että tyttöjen rokotuskattavuudesta eri jäsenvaltioissa.</w:t>
      </w:r>
    </w:p>
    <w:p w:rsidRPr="00E83D9E" w:rsidR="00175296" w:rsidP="00175296" w:rsidRDefault="00175296" w14:paraId="1FECFBDB" w14:textId="77777777">
      <w:pPr>
        <w:pStyle w:val="ListParagraph"/>
        <w:keepNext/>
        <w:keepLines/>
        <w:numPr>
          <w:ilvl w:val="0"/>
          <w:numId w:val="10"/>
        </w:numPr>
        <w:tabs>
          <w:tab w:val="center" w:pos="284"/>
        </w:tabs>
        <w:ind w:left="714" w:hanging="357"/>
      </w:pPr>
      <w:r>
        <w:t>korostaa, että on tärkeää huolehtia rokotusten helposta saatavuudesta läheltä, minkä lisäksi tarvitaan kohdennettuja toimia, joilla voidaan tavoittaa erilaisiin muita heikommassa asemassa oleviin ryhmiin ja erityisiin riskiryhmiin kuuluvat ihmiset.</w:t>
      </w:r>
    </w:p>
    <w:p w:rsidRPr="00C47742" w:rsidR="00175296" w:rsidP="00175296" w:rsidRDefault="00175296" w14:paraId="6186C8DD" w14:textId="77777777">
      <w:pPr>
        <w:widowControl w:val="0"/>
        <w:ind w:left="709"/>
        <w:rPr>
          <w:sz w:val="16"/>
          <w:szCs w:val="16"/>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A6689B" w:rsidR="00175296" w:rsidTr="004427BF" w14:paraId="5EBFE025" w14:textId="77777777">
        <w:tc>
          <w:tcPr>
            <w:tcW w:w="1556" w:type="pct"/>
          </w:tcPr>
          <w:p w:rsidRPr="00A6689B" w:rsidR="00175296" w:rsidP="004427BF" w:rsidRDefault="00175296" w14:paraId="0AD4AAFE" w14:textId="77777777">
            <w:pPr>
              <w:widowControl w:val="0"/>
              <w:rPr>
                <w:i/>
              </w:rPr>
            </w:pPr>
            <w:r>
              <w:rPr>
                <w:b/>
                <w:i/>
              </w:rPr>
              <w:t>Yhteydenotot:</w:t>
            </w:r>
          </w:p>
        </w:tc>
        <w:tc>
          <w:tcPr>
            <w:tcW w:w="3444" w:type="pct"/>
          </w:tcPr>
          <w:p w:rsidRPr="00A6689B" w:rsidR="00175296" w:rsidP="004427BF" w:rsidRDefault="00175296" w14:paraId="1BB08A8C" w14:textId="77777777">
            <w:pPr>
              <w:widowControl w:val="0"/>
              <w:rPr>
                <w:i/>
              </w:rPr>
            </w:pPr>
            <w:r>
              <w:rPr>
                <w:i/>
              </w:rPr>
              <w:t xml:space="preserve">Valeria </w:t>
            </w:r>
            <w:proofErr w:type="spellStart"/>
            <w:r>
              <w:rPr>
                <w:i/>
              </w:rPr>
              <w:t>Atzori</w:t>
            </w:r>
            <w:proofErr w:type="spellEnd"/>
          </w:p>
        </w:tc>
      </w:tr>
      <w:tr w:rsidRPr="00A6689B" w:rsidR="00175296" w:rsidTr="004427BF" w14:paraId="01779812" w14:textId="77777777">
        <w:tc>
          <w:tcPr>
            <w:tcW w:w="1556" w:type="pct"/>
          </w:tcPr>
          <w:p w:rsidRPr="00A6689B" w:rsidR="00175296" w:rsidP="004427BF" w:rsidRDefault="00175296" w14:paraId="0206C9A1" w14:textId="77777777">
            <w:pPr>
              <w:widowControl w:val="0"/>
              <w:rPr>
                <w:i/>
              </w:rPr>
            </w:pPr>
            <w:r>
              <w:rPr>
                <w:i/>
              </w:rPr>
              <w:t>P.</w:t>
            </w:r>
          </w:p>
        </w:tc>
        <w:tc>
          <w:tcPr>
            <w:tcW w:w="3444" w:type="pct"/>
          </w:tcPr>
          <w:p w:rsidRPr="00A6689B" w:rsidR="00175296" w:rsidP="004427BF" w:rsidRDefault="00175296" w14:paraId="5971E553" w14:textId="77777777">
            <w:pPr>
              <w:widowControl w:val="0"/>
              <w:rPr>
                <w:i/>
              </w:rPr>
            </w:pPr>
            <w:r>
              <w:rPr>
                <w:i/>
              </w:rPr>
              <w:t>+32 25468774</w:t>
            </w:r>
          </w:p>
        </w:tc>
      </w:tr>
      <w:tr w:rsidRPr="00A6689B" w:rsidR="00175296" w:rsidTr="004427BF" w14:paraId="161E4FB3" w14:textId="77777777">
        <w:tc>
          <w:tcPr>
            <w:tcW w:w="1556" w:type="pct"/>
          </w:tcPr>
          <w:p w:rsidRPr="00A6689B" w:rsidR="00175296" w:rsidP="004427BF" w:rsidRDefault="00175296" w14:paraId="641198C5" w14:textId="77777777">
            <w:pPr>
              <w:widowControl w:val="0"/>
              <w:rPr>
                <w:i/>
              </w:rPr>
            </w:pPr>
            <w:r>
              <w:rPr>
                <w:i/>
              </w:rPr>
              <w:t>Sähköposti:</w:t>
            </w:r>
          </w:p>
        </w:tc>
        <w:tc>
          <w:tcPr>
            <w:tcW w:w="3444" w:type="pct"/>
          </w:tcPr>
          <w:p w:rsidRPr="009A2735" w:rsidR="00175296" w:rsidP="004427BF" w:rsidRDefault="00175296" w14:paraId="121E9A2F" w14:textId="77777777">
            <w:pPr>
              <w:widowControl w:val="0"/>
              <w:rPr>
                <w:rStyle w:val="Hyperlink"/>
              </w:rPr>
            </w:pPr>
            <w:hyperlink w:history="1" r:id="rId25">
              <w:r>
                <w:rPr>
                  <w:rStyle w:val="Hyperlink"/>
                  <w:i/>
                </w:rPr>
                <w:t>Valeria.Atzori@eesc.europa.eu</w:t>
              </w:r>
            </w:hyperlink>
          </w:p>
          <w:p w:rsidRPr="009A2735" w:rsidR="00175296" w:rsidP="004427BF" w:rsidRDefault="00175296" w14:paraId="3B0DA922" w14:textId="77777777">
            <w:pPr>
              <w:widowControl w:val="0"/>
              <w:rPr>
                <w:rStyle w:val="Hyperlink"/>
              </w:rPr>
            </w:pPr>
          </w:p>
        </w:tc>
      </w:tr>
    </w:tbl>
    <w:p w:rsidR="0010484C" w:rsidRDefault="0010484C" w14:paraId="6CA58907" w14:textId="77777777">
      <w:pPr>
        <w:spacing w:after="160" w:line="259" w:lineRule="auto"/>
        <w:jc w:val="left"/>
        <w:rPr>
          <w:sz w:val="14"/>
          <w:szCs w:val="14"/>
        </w:rPr>
      </w:pPr>
    </w:p>
    <w:p w:rsidR="0010484C" w:rsidRDefault="0010484C" w14:paraId="3C32ABDC" w14:textId="77777777">
      <w:pPr>
        <w:spacing w:after="160" w:line="259" w:lineRule="auto"/>
        <w:jc w:val="left"/>
        <w:rPr>
          <w:sz w:val="14"/>
          <w:szCs w:val="14"/>
        </w:rPr>
      </w:pPr>
      <w:r>
        <w:br w:type="page"/>
      </w:r>
    </w:p>
    <w:p w:rsidRPr="0010484C" w:rsidR="0010484C" w:rsidP="00C26C81" w:rsidRDefault="00175296" w14:paraId="3ECE05AC" w14:textId="09375909">
      <w:pPr>
        <w:widowControl w:val="0"/>
        <w:numPr>
          <w:ilvl w:val="0"/>
          <w:numId w:val="7"/>
        </w:numPr>
        <w:overflowPunct w:val="0"/>
        <w:autoSpaceDE w:val="0"/>
        <w:autoSpaceDN w:val="0"/>
        <w:adjustRightInd w:val="0"/>
        <w:ind w:hanging="567"/>
        <w:textAlignment w:val="baseline"/>
        <w:rPr>
          <w:sz w:val="24"/>
          <w:szCs w:val="24"/>
        </w:rPr>
      </w:pPr>
      <w:hyperlink w:history="1" r:id="rId26">
        <w:r>
          <w:rPr>
            <w:rStyle w:val="Hyperlink"/>
            <w:b/>
            <w:i/>
            <w:sz w:val="28"/>
          </w:rPr>
          <w:t>Eurooppalaista yritysneuvostoa koskevan direktiivin tarkistaminen</w:t>
        </w:r>
      </w:hyperlink>
    </w:p>
    <w:p w:rsidRPr="00DC0FAE" w:rsidR="0010484C" w:rsidP="0010484C" w:rsidRDefault="0010484C" w14:paraId="00BC5CCC" w14:textId="690E0BC3">
      <w:pPr>
        <w:tabs>
          <w:tab w:val="center" w:pos="284"/>
        </w:tabs>
        <w:overflowPunct w:val="0"/>
        <w:autoSpaceDE w:val="0"/>
        <w:autoSpaceDN w:val="0"/>
        <w:adjustRightInd w:val="0"/>
        <w:ind w:left="266" w:hanging="266"/>
        <w:textAlignment w:val="baseline"/>
        <w:rPr>
          <w:b/>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B4456F" w:rsidR="00175296" w:rsidTr="004427BF" w14:paraId="4ED0A194" w14:textId="77777777">
        <w:tc>
          <w:tcPr>
            <w:tcW w:w="1701" w:type="dxa"/>
          </w:tcPr>
          <w:p w:rsidRPr="00B4456F" w:rsidR="00175296" w:rsidP="004427BF" w:rsidRDefault="00175296" w14:paraId="14C9F22D" w14:textId="77777777">
            <w:pPr>
              <w:tabs>
                <w:tab w:val="center" w:pos="284"/>
              </w:tabs>
              <w:ind w:left="266" w:hanging="266"/>
              <w:rPr>
                <w:b/>
              </w:rPr>
            </w:pPr>
            <w:r>
              <w:rPr>
                <w:b/>
              </w:rPr>
              <w:t>Esittelijä</w:t>
            </w:r>
          </w:p>
        </w:tc>
        <w:tc>
          <w:tcPr>
            <w:tcW w:w="5387" w:type="dxa"/>
          </w:tcPr>
          <w:p w:rsidRPr="00B4456F" w:rsidR="00175296" w:rsidP="004427BF" w:rsidRDefault="00175296" w14:paraId="225C6D0F" w14:textId="77777777">
            <w:pPr>
              <w:tabs>
                <w:tab w:val="center" w:pos="284"/>
              </w:tabs>
              <w:ind w:left="266" w:hanging="266"/>
            </w:pPr>
            <w:r>
              <w:t>Sophia REISECKER (työntekijät – AT)</w:t>
            </w:r>
          </w:p>
        </w:tc>
      </w:tr>
      <w:tr w:rsidRPr="00B4456F" w:rsidR="00175296" w:rsidTr="004427BF" w14:paraId="3330ED5C" w14:textId="77777777">
        <w:tc>
          <w:tcPr>
            <w:tcW w:w="7088" w:type="dxa"/>
            <w:gridSpan w:val="2"/>
          </w:tcPr>
          <w:p w:rsidRPr="00B4456F" w:rsidR="00175296" w:rsidP="004427BF" w:rsidRDefault="00175296" w14:paraId="34D38F65" w14:textId="77777777">
            <w:pPr>
              <w:tabs>
                <w:tab w:val="center" w:pos="284"/>
              </w:tabs>
              <w:ind w:left="266" w:hanging="266"/>
            </w:pPr>
          </w:p>
        </w:tc>
      </w:tr>
      <w:tr w:rsidRPr="00B4456F" w:rsidR="00175296" w:rsidTr="004427BF" w14:paraId="7EB7135F" w14:textId="77777777">
        <w:tc>
          <w:tcPr>
            <w:tcW w:w="1701" w:type="dxa"/>
            <w:vMerge w:val="restart"/>
          </w:tcPr>
          <w:p w:rsidRPr="00B4456F" w:rsidR="00175296" w:rsidP="004427BF" w:rsidRDefault="00175296" w14:paraId="770EA9D3" w14:textId="77777777">
            <w:pPr>
              <w:tabs>
                <w:tab w:val="center" w:pos="284"/>
              </w:tabs>
              <w:ind w:left="266" w:hanging="266"/>
              <w:rPr>
                <w:b/>
              </w:rPr>
            </w:pPr>
            <w:r>
              <w:rPr>
                <w:b/>
              </w:rPr>
              <w:t>Viiteasiakirjat</w:t>
            </w:r>
          </w:p>
        </w:tc>
        <w:tc>
          <w:tcPr>
            <w:tcW w:w="5387" w:type="dxa"/>
          </w:tcPr>
          <w:p w:rsidRPr="00B4456F" w:rsidR="00175296" w:rsidP="004427BF" w:rsidRDefault="00175296" w14:paraId="089607D4" w14:textId="77777777">
            <w:pPr>
              <w:tabs>
                <w:tab w:val="center" w:pos="284"/>
              </w:tabs>
              <w:ind w:left="266" w:hanging="266"/>
            </w:pPr>
            <w:r>
              <w:t xml:space="preserve">COM(2024) 14 </w:t>
            </w:r>
            <w:proofErr w:type="spellStart"/>
            <w:r>
              <w:t>final</w:t>
            </w:r>
            <w:proofErr w:type="spellEnd"/>
          </w:p>
        </w:tc>
      </w:tr>
      <w:tr w:rsidRPr="00B4456F" w:rsidR="00175296" w:rsidTr="004427BF" w14:paraId="4E8CE7CA" w14:textId="77777777">
        <w:tc>
          <w:tcPr>
            <w:tcW w:w="1701" w:type="dxa"/>
            <w:vMerge/>
          </w:tcPr>
          <w:p w:rsidRPr="00B4456F" w:rsidR="00175296" w:rsidP="004427BF" w:rsidRDefault="00175296" w14:paraId="506F2F07" w14:textId="77777777">
            <w:pPr>
              <w:tabs>
                <w:tab w:val="center" w:pos="284"/>
              </w:tabs>
              <w:ind w:left="266" w:hanging="266"/>
              <w:rPr>
                <w:b/>
              </w:rPr>
            </w:pPr>
          </w:p>
        </w:tc>
        <w:tc>
          <w:tcPr>
            <w:tcW w:w="5387" w:type="dxa"/>
          </w:tcPr>
          <w:p w:rsidRPr="00B4456F" w:rsidR="00175296" w:rsidP="004427BF" w:rsidRDefault="00175296" w14:paraId="546C01C6" w14:textId="77777777">
            <w:pPr>
              <w:tabs>
                <w:tab w:val="center" w:pos="284"/>
              </w:tabs>
              <w:ind w:left="266" w:hanging="266"/>
            </w:pPr>
            <w:r>
              <w:t>EESC-2024-00543-00-00-AC-TRA</w:t>
            </w:r>
          </w:p>
        </w:tc>
      </w:tr>
    </w:tbl>
    <w:p w:rsidRPr="00B4456F" w:rsidR="00175296" w:rsidP="00175296" w:rsidRDefault="00175296" w14:paraId="0EA50894" w14:textId="77777777">
      <w:pPr>
        <w:tabs>
          <w:tab w:val="center" w:pos="284"/>
        </w:tabs>
        <w:ind w:left="266" w:hanging="266"/>
      </w:pPr>
    </w:p>
    <w:p w:rsidRPr="00B4456F" w:rsidR="00175296" w:rsidP="00175296" w:rsidRDefault="00175296" w14:paraId="6C46C139" w14:textId="77777777">
      <w:pPr>
        <w:keepNext/>
        <w:keepLines/>
        <w:tabs>
          <w:tab w:val="center" w:pos="284"/>
        </w:tabs>
        <w:ind w:left="266" w:hanging="266"/>
        <w:rPr>
          <w:b/>
        </w:rPr>
      </w:pPr>
      <w:r>
        <w:rPr>
          <w:b/>
        </w:rPr>
        <w:t>Keskeiset kohdat</w:t>
      </w:r>
    </w:p>
    <w:p w:rsidRPr="00B4456F" w:rsidR="00175296" w:rsidP="00175296" w:rsidRDefault="00175296" w14:paraId="716F8F08" w14:textId="77777777">
      <w:pPr>
        <w:keepNext/>
        <w:keepLines/>
        <w:tabs>
          <w:tab w:val="center" w:pos="284"/>
        </w:tabs>
        <w:ind w:left="266" w:hanging="266"/>
        <w:rPr>
          <w:b/>
        </w:rPr>
      </w:pPr>
    </w:p>
    <w:p w:rsidRPr="00B4456F" w:rsidR="00175296" w:rsidP="00175296" w:rsidRDefault="00175296" w14:paraId="5FCF1253" w14:textId="77777777">
      <w:pPr>
        <w:rPr>
          <w:bCs/>
          <w:iCs/>
        </w:rPr>
      </w:pPr>
      <w:r>
        <w:t>ETSK</w:t>
      </w:r>
    </w:p>
    <w:p w:rsidRPr="00B4456F" w:rsidR="00175296" w:rsidP="00175296" w:rsidRDefault="00175296" w14:paraId="25FEF410" w14:textId="77777777">
      <w:pPr>
        <w:widowControl w:val="0"/>
        <w:numPr>
          <w:ilvl w:val="0"/>
          <w:numId w:val="30"/>
        </w:numPr>
        <w:overflowPunct w:val="0"/>
        <w:autoSpaceDE w:val="0"/>
        <w:autoSpaceDN w:val="0"/>
        <w:adjustRightInd w:val="0"/>
        <w:ind w:hanging="567"/>
        <w:textAlignment w:val="baseline"/>
        <w:rPr>
          <w:rFonts w:asciiTheme="minorHAnsi" w:hAnsiTheme="minorHAnsi"/>
        </w:rPr>
      </w:pPr>
      <w:r>
        <w:t>suhtautuu myönteisesti Euroopan komission lainsäädäntötoimiin direktiivin 2009/38/EY tarkistamiseksi siltä osin kuin on kyse eurooppalaisten yritysneuvostojen perustamiseen ja niiden tehokkaan toiminnan varmistamiseen liittyvistä vähimmäisvaatimuksista.</w:t>
      </w:r>
    </w:p>
    <w:p w:rsidRPr="00B4456F" w:rsidR="00175296" w:rsidP="00175296" w:rsidRDefault="00175296" w14:paraId="40E5D198" w14:textId="77777777">
      <w:pPr>
        <w:widowControl w:val="0"/>
        <w:numPr>
          <w:ilvl w:val="0"/>
          <w:numId w:val="30"/>
        </w:numPr>
        <w:overflowPunct w:val="0"/>
        <w:autoSpaceDE w:val="0"/>
        <w:autoSpaceDN w:val="0"/>
        <w:adjustRightInd w:val="0"/>
        <w:ind w:hanging="567"/>
        <w:textAlignment w:val="baseline"/>
        <w:rPr>
          <w:rFonts w:asciiTheme="minorHAnsi" w:hAnsiTheme="minorHAnsi"/>
        </w:rPr>
      </w:pPr>
      <w:r>
        <w:t>pitää kannatettavana tavoitetta tehostaa eurooppalaisten yritysneuvostojen oikeuksien toteutumista ja täytäntöönpanoa oikeusvarmuuden takaamiseksi selkeyttämällä eurooppalaisesta yritysneuvostosta annetun direktiivin keskeisiä käsitteitä. Tämä koskee erityisesti ylikansallisuuden määrittelyä, asianmukaisten resurssien saatavuutta eurooppalaisille yritysneuvostoille, oikeussuojan toteutumista sekä jäsenvaltioiden entistä vahvempaa sitoutumista tehokkaiden ja riittävän varoittavien seuraamusten määräämiseen eurooppalaisten yritysneuvostojen oikeuksien rikkomisesta.</w:t>
      </w:r>
    </w:p>
    <w:p w:rsidRPr="001C0C5F" w:rsidR="00175296" w:rsidP="00175296" w:rsidRDefault="00175296" w14:paraId="4BA68E82" w14:textId="77777777">
      <w:pPr>
        <w:widowControl w:val="0"/>
        <w:numPr>
          <w:ilvl w:val="0"/>
          <w:numId w:val="30"/>
        </w:numPr>
        <w:overflowPunct w:val="0"/>
        <w:autoSpaceDE w:val="0"/>
        <w:autoSpaceDN w:val="0"/>
        <w:adjustRightInd w:val="0"/>
        <w:ind w:hanging="567"/>
        <w:textAlignment w:val="baseline"/>
        <w:rPr>
          <w:rFonts w:asciiTheme="minorHAnsi" w:hAnsiTheme="minorHAnsi"/>
        </w:rPr>
      </w:pPr>
      <w:r>
        <w:t>on tyytyväinen komission aikeeseen tarkistaa vaatimuksia ehdottamalla lisäyksiä toissijaisiin määräyksiin, jotta tiedottamis- ja kuulemismenettelystä saataisiin tehokkaampi ja merkityksellisempi, sekä sen aikeisiin tihentää eurooppalaisten yritysneuvostojen sääntömääräisiä kokouksia ja velvoittaa yritysjohto antamaan eurooppalaisen yritysneuvoston lausuntoihin perusteltu vastaus. Komitea kiinnittää huomiota myös siihen, että ammattijärjestöjen edustajien asemaa eurooppalaisten yritysneuvostojen asiantuntijoiden avustajina aiotaan vahvistaa.</w:t>
      </w:r>
    </w:p>
    <w:p w:rsidRPr="001C0C5F" w:rsidR="00175296" w:rsidP="00175296" w:rsidRDefault="00175296" w14:paraId="4FB5E658" w14:textId="77777777">
      <w:pPr>
        <w:widowControl w:val="0"/>
        <w:numPr>
          <w:ilvl w:val="0"/>
          <w:numId w:val="30"/>
        </w:numPr>
        <w:overflowPunct w:val="0"/>
        <w:autoSpaceDE w:val="0"/>
        <w:autoSpaceDN w:val="0"/>
        <w:adjustRightInd w:val="0"/>
        <w:ind w:hanging="567"/>
        <w:textAlignment w:val="baseline"/>
      </w:pPr>
      <w:r>
        <w:t>puoltaa tärkeitä muutoksia, jotka liittyvät eurooppalaisten yritysneuvostojen ja niiden jäsenten edellytyksiin hoitaa tehtävänsä. Tämä koskee erityisesti koulutukseen, asiantuntijoihin ja oikeudelliseen edustukseen liittyvien resurssien tarjoamista yrityksen keskushallinnon taholta, kun yksityiskohdista on sovittu yhteisesti asiaan liittyvässä eurooppalaista yritysneuvostoa koskevassa sopimuksessa, sekä suunniteltuja selvennyksiä luottamuksellisuudesta.</w:t>
      </w:r>
    </w:p>
    <w:p w:rsidRPr="001C0C5F" w:rsidR="00175296" w:rsidP="00175296" w:rsidRDefault="00175296" w14:paraId="1052A500" w14:textId="77777777">
      <w:pPr>
        <w:widowControl w:val="0"/>
        <w:numPr>
          <w:ilvl w:val="0"/>
          <w:numId w:val="30"/>
        </w:numPr>
        <w:overflowPunct w:val="0"/>
        <w:autoSpaceDE w:val="0"/>
        <w:autoSpaceDN w:val="0"/>
        <w:adjustRightInd w:val="0"/>
        <w:ind w:hanging="567"/>
        <w:textAlignment w:val="baseline"/>
        <w:rPr>
          <w:rFonts w:asciiTheme="minorHAnsi" w:hAnsiTheme="minorHAnsi"/>
        </w:rPr>
      </w:pPr>
      <w:r>
        <w:t>kehottaa lainsäätäjiä etenemään komission ehdottamassa eurooppalaisesta yritysneuvostosta annetun direktiivin tarkistamisessa nopeasti ja ottamaan huomioon myös tässä lausunnossa esitetyt suositukset.</w:t>
      </w:r>
    </w:p>
    <w:p w:rsidRPr="0081435E" w:rsidR="00175296" w:rsidP="00175296" w:rsidRDefault="00175296" w14:paraId="4D909B1C" w14:textId="77777777">
      <w:pPr>
        <w:widowControl w:val="0"/>
        <w:numPr>
          <w:ilvl w:val="0"/>
          <w:numId w:val="30"/>
        </w:numPr>
        <w:overflowPunct w:val="0"/>
        <w:autoSpaceDE w:val="0"/>
        <w:autoSpaceDN w:val="0"/>
        <w:adjustRightInd w:val="0"/>
        <w:ind w:hanging="567"/>
        <w:textAlignment w:val="baseline"/>
        <w:rPr>
          <w:rFonts w:asciiTheme="minorHAnsi" w:hAnsiTheme="minorHAnsi"/>
        </w:rPr>
      </w:pPr>
      <w:r>
        <w:t>pitää tärkeänä huolehtia siitä, että komissiolla on käytettävissään tarkoituksenmukaiset ja tehokkaat seuranta- ja täytäntöönpanovälineet sen varmistamiseksi, että tarkistettu direktiivi saatetaan asianmukaisesti osaksi kansallista lainsäädäntöä ja pannaan asianmukaisesti täytäntöön.</w:t>
      </w:r>
    </w:p>
    <w:p w:rsidR="00175296" w:rsidP="00175296" w:rsidRDefault="00175296" w14:paraId="3F9B5E29" w14:textId="77777777">
      <w:pPr>
        <w:widowControl w:val="0"/>
        <w:ind w:left="709"/>
      </w:pPr>
    </w:p>
    <w:p w:rsidR="00175296" w:rsidP="00175296" w:rsidRDefault="00175296" w14:paraId="46780E54" w14:textId="77777777">
      <w:pPr>
        <w:widowControl w:val="0"/>
        <w:rPr>
          <w:b/>
          <w:bCs/>
        </w:rPr>
      </w:pPr>
      <w:r>
        <w:rPr>
          <w:b/>
        </w:rPr>
        <w:t xml:space="preserve">Työnantajajärjestöjen esiin tuomien eriävien näkemysten vuoksi </w:t>
      </w:r>
      <w:proofErr w:type="spellStart"/>
      <w:r>
        <w:rPr>
          <w:b/>
        </w:rPr>
        <w:t>ETSK:n</w:t>
      </w:r>
      <w:proofErr w:type="spellEnd"/>
      <w:r>
        <w:rPr>
          <w:b/>
        </w:rPr>
        <w:t xml:space="preserve"> työnantajat-ryhmän jäsenet esittivät vastalausunnon. He ilmaisivat tarkemmin sanottuna huolensa siitä, että direktiivin tarkistaminen voisi hankaloittaa eurooppalaisten yritysneuvostojen toimintaa ja saattaisi muuttaa ne tehokkaista yritystason tiedotus- ja kuulemiskanavista kiistojen ja oikeudellisen epävarmuuden lähteiksi. </w:t>
      </w:r>
      <w:proofErr w:type="spellStart"/>
      <w:r>
        <w:rPr>
          <w:b/>
        </w:rPr>
        <w:t>ETSK:n</w:t>
      </w:r>
      <w:proofErr w:type="spellEnd"/>
      <w:r>
        <w:rPr>
          <w:b/>
        </w:rPr>
        <w:t xml:space="preserve"> työnantajat-ryhmä katsoo, että tämä voisi </w:t>
      </w:r>
      <w:r>
        <w:rPr>
          <w:b/>
        </w:rPr>
        <w:lastRenderedPageBreak/>
        <w:t xml:space="preserve">heikentää olennaisen tärkeää yhteistyön ja luottamuksen henkeä työpaikalla. ETSK hylkäsi vastalausunnon (äänin 104 puolesta ja 125 vastaan 11:n pidättyessä äänestämästä), mutta koska se sai yli neljänneksen annetuista äänistä, se liitetään lausuntoon </w:t>
      </w:r>
      <w:proofErr w:type="spellStart"/>
      <w:r>
        <w:rPr>
          <w:b/>
        </w:rPr>
        <w:t>ETSK:n</w:t>
      </w:r>
      <w:proofErr w:type="spellEnd"/>
      <w:r>
        <w:rPr>
          <w:b/>
        </w:rPr>
        <w:t xml:space="preserve"> työjärjestyksen mukaisesti.</w:t>
      </w:r>
    </w:p>
    <w:p w:rsidRPr="00B4456F" w:rsidR="00175296" w:rsidP="00175296" w:rsidRDefault="00175296" w14:paraId="06CA98A4" w14:textId="77777777">
      <w:pPr>
        <w:widowControl w:val="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B4456F" w:rsidR="00175296" w:rsidTr="004427BF" w14:paraId="56D664DA" w14:textId="77777777">
        <w:tc>
          <w:tcPr>
            <w:tcW w:w="1418" w:type="dxa"/>
          </w:tcPr>
          <w:p w:rsidRPr="00B4456F" w:rsidR="00175296" w:rsidP="004427BF" w:rsidRDefault="00175296" w14:paraId="254E832D" w14:textId="77777777">
            <w:pPr>
              <w:rPr>
                <w:i/>
              </w:rPr>
            </w:pPr>
            <w:r>
              <w:rPr>
                <w:b/>
                <w:i/>
              </w:rPr>
              <w:t>Yhteydenotot</w:t>
            </w:r>
          </w:p>
        </w:tc>
        <w:tc>
          <w:tcPr>
            <w:tcW w:w="5670" w:type="dxa"/>
          </w:tcPr>
          <w:p w:rsidRPr="00B4456F" w:rsidR="00175296" w:rsidP="004427BF" w:rsidRDefault="00175296" w14:paraId="500B26A5" w14:textId="77777777">
            <w:pPr>
              <w:rPr>
                <w:i/>
              </w:rPr>
            </w:pPr>
            <w:proofErr w:type="spellStart"/>
            <w:r>
              <w:rPr>
                <w:i/>
              </w:rPr>
              <w:t>Bartek</w:t>
            </w:r>
            <w:proofErr w:type="spellEnd"/>
            <w:r>
              <w:rPr>
                <w:i/>
              </w:rPr>
              <w:t xml:space="preserve"> BEDNAROWICZ</w:t>
            </w:r>
          </w:p>
        </w:tc>
      </w:tr>
      <w:tr w:rsidRPr="00B4456F" w:rsidR="00175296" w:rsidTr="004427BF" w14:paraId="03D23CF9" w14:textId="77777777">
        <w:tc>
          <w:tcPr>
            <w:tcW w:w="1418" w:type="dxa"/>
          </w:tcPr>
          <w:p w:rsidRPr="00B4456F" w:rsidR="00175296" w:rsidP="004427BF" w:rsidRDefault="00175296" w14:paraId="79E7E206" w14:textId="77777777">
            <w:pPr>
              <w:rPr>
                <w:i/>
              </w:rPr>
            </w:pPr>
            <w:r>
              <w:rPr>
                <w:i/>
              </w:rPr>
              <w:t>P.</w:t>
            </w:r>
          </w:p>
        </w:tc>
        <w:tc>
          <w:tcPr>
            <w:tcW w:w="5670" w:type="dxa"/>
          </w:tcPr>
          <w:p w:rsidRPr="00B4456F" w:rsidR="00175296" w:rsidP="004427BF" w:rsidRDefault="00175296" w14:paraId="4FD6F06C" w14:textId="77777777">
            <w:pPr>
              <w:rPr>
                <w:i/>
              </w:rPr>
            </w:pPr>
            <w:r>
              <w:rPr>
                <w:i/>
              </w:rPr>
              <w:t>+32 25469229</w:t>
            </w:r>
          </w:p>
        </w:tc>
      </w:tr>
      <w:tr w:rsidRPr="00B4456F" w:rsidR="00175296" w:rsidTr="004427BF" w14:paraId="40087B84" w14:textId="77777777">
        <w:tc>
          <w:tcPr>
            <w:tcW w:w="1418" w:type="dxa"/>
          </w:tcPr>
          <w:p w:rsidRPr="00B4456F" w:rsidR="00175296" w:rsidP="004427BF" w:rsidRDefault="00175296" w14:paraId="3379D8DA" w14:textId="77777777">
            <w:pPr>
              <w:rPr>
                <w:i/>
              </w:rPr>
            </w:pPr>
            <w:r>
              <w:rPr>
                <w:i/>
              </w:rPr>
              <w:t>Sähköposti</w:t>
            </w:r>
          </w:p>
        </w:tc>
        <w:tc>
          <w:tcPr>
            <w:tcW w:w="5670" w:type="dxa"/>
          </w:tcPr>
          <w:p w:rsidR="00175296" w:rsidP="004427BF" w:rsidRDefault="00175296" w14:paraId="02A50E43" w14:textId="77777777">
            <w:pPr>
              <w:rPr>
                <w:rStyle w:val="Hyperlink"/>
                <w:i/>
              </w:rPr>
            </w:pPr>
            <w:hyperlink w:history="1" r:id="rId27">
              <w:r>
                <w:rPr>
                  <w:rStyle w:val="Hyperlink"/>
                  <w:i/>
                </w:rPr>
                <w:t>Bartek.Bednarowicz@eesc.europa.eu</w:t>
              </w:r>
            </w:hyperlink>
          </w:p>
          <w:p w:rsidR="00175296" w:rsidP="004427BF" w:rsidRDefault="00175296" w14:paraId="33D245F2" w14:textId="77777777">
            <w:pPr>
              <w:rPr>
                <w:rStyle w:val="Hyperlink"/>
                <w:i/>
              </w:rPr>
            </w:pPr>
          </w:p>
          <w:p w:rsidRPr="0042654E" w:rsidR="00175296" w:rsidP="004427BF" w:rsidRDefault="00175296" w14:paraId="6480E61B" w14:textId="1120D684">
            <w:pPr>
              <w:rPr>
                <w:i/>
                <w:iCs/>
              </w:rPr>
            </w:pPr>
          </w:p>
        </w:tc>
      </w:tr>
    </w:tbl>
    <w:p w:rsidRPr="005C28F2" w:rsidR="00025343" w:rsidP="00DC0FAE" w:rsidRDefault="00175296" w14:paraId="05A78CB9" w14:textId="697CE073">
      <w:pPr>
        <w:widowControl w:val="0"/>
        <w:numPr>
          <w:ilvl w:val="0"/>
          <w:numId w:val="7"/>
        </w:numPr>
        <w:overflowPunct w:val="0"/>
        <w:autoSpaceDE w:val="0"/>
        <w:autoSpaceDN w:val="0"/>
        <w:adjustRightInd w:val="0"/>
        <w:ind w:hanging="567"/>
        <w:textAlignment w:val="baseline"/>
        <w:rPr>
          <w:b/>
        </w:rPr>
      </w:pPr>
      <w:hyperlink w:history="1" r:id="rId28">
        <w:r>
          <w:rPr>
            <w:rStyle w:val="Hyperlink"/>
            <w:b/>
            <w:i/>
            <w:sz w:val="28"/>
          </w:rPr>
          <w:t>Ei sijaa vihalle – Eurooppa yhdessä vihaa vastaan</w:t>
        </w:r>
      </w:hyperlink>
    </w:p>
    <w:p w:rsidRPr="00025343" w:rsidR="00025343" w:rsidP="00025343" w:rsidRDefault="00025343" w14:paraId="07CE56B3" w14:textId="576C118A">
      <w:pPr>
        <w:widowControl w:val="0"/>
        <w:overflowPunct w:val="0"/>
        <w:autoSpaceDE w:val="0"/>
        <w:autoSpaceDN w:val="0"/>
        <w:adjustRightInd w:val="0"/>
        <w:ind w:left="266"/>
        <w:textAlignment w:val="baseline"/>
        <w:rPr>
          <w:b/>
        </w:rPr>
      </w:pPr>
    </w:p>
    <w:tbl>
      <w:tblPr>
        <w:tblStyle w:val="TableGrid"/>
        <w:tblW w:w="453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72"/>
        <w:gridCol w:w="6117"/>
      </w:tblGrid>
      <w:tr w:rsidRPr="00A6689B" w:rsidR="00175296" w:rsidTr="004427BF" w14:paraId="11BF4ECF" w14:textId="77777777">
        <w:trPr>
          <w:trHeight w:val="337"/>
        </w:trPr>
        <w:tc>
          <w:tcPr>
            <w:tcW w:w="1310" w:type="pct"/>
          </w:tcPr>
          <w:p w:rsidRPr="00A6689B" w:rsidR="00175296" w:rsidP="004427BF" w:rsidRDefault="00175296" w14:paraId="24AF0D00" w14:textId="77777777">
            <w:pPr>
              <w:tabs>
                <w:tab w:val="center" w:pos="284"/>
              </w:tabs>
              <w:ind w:left="266" w:hanging="266"/>
              <w:rPr>
                <w:b/>
              </w:rPr>
            </w:pPr>
            <w:r>
              <w:rPr>
                <w:b/>
              </w:rPr>
              <w:t>Esittelijä</w:t>
            </w:r>
          </w:p>
        </w:tc>
        <w:tc>
          <w:tcPr>
            <w:tcW w:w="3690" w:type="pct"/>
          </w:tcPr>
          <w:p w:rsidRPr="00A6689B" w:rsidR="00175296" w:rsidP="004427BF" w:rsidRDefault="00175296" w14:paraId="6A92832D" w14:textId="77777777">
            <w:pPr>
              <w:tabs>
                <w:tab w:val="center" w:pos="0"/>
              </w:tabs>
            </w:pPr>
            <w:proofErr w:type="spellStart"/>
            <w:r>
              <w:t>Cristian</w:t>
            </w:r>
            <w:proofErr w:type="spellEnd"/>
            <w:r>
              <w:t xml:space="preserve"> </w:t>
            </w:r>
            <w:proofErr w:type="spellStart"/>
            <w:r>
              <w:t>Pîrvulescu</w:t>
            </w:r>
            <w:proofErr w:type="spellEnd"/>
            <w:r>
              <w:t xml:space="preserve"> (kansalaisyhteiskunnan organisaatiot – RO)</w:t>
            </w:r>
          </w:p>
        </w:tc>
      </w:tr>
      <w:tr w:rsidRPr="00A6689B" w:rsidR="00175296" w:rsidTr="004427BF" w14:paraId="2022DD2F" w14:textId="77777777">
        <w:trPr>
          <w:trHeight w:val="350"/>
        </w:trPr>
        <w:tc>
          <w:tcPr>
            <w:tcW w:w="1310" w:type="pct"/>
          </w:tcPr>
          <w:p w:rsidRPr="00A6689B" w:rsidR="00175296" w:rsidP="004427BF" w:rsidRDefault="00175296" w14:paraId="733F1F88" w14:textId="77777777">
            <w:pPr>
              <w:tabs>
                <w:tab w:val="center" w:pos="284"/>
              </w:tabs>
              <w:ind w:left="266" w:hanging="266"/>
              <w:rPr>
                <w:b/>
              </w:rPr>
            </w:pPr>
            <w:r>
              <w:rPr>
                <w:b/>
              </w:rPr>
              <w:t>Yhteisesittelijä</w:t>
            </w:r>
          </w:p>
        </w:tc>
        <w:tc>
          <w:tcPr>
            <w:tcW w:w="3690" w:type="pct"/>
          </w:tcPr>
          <w:p w:rsidRPr="00A6689B" w:rsidR="00175296" w:rsidP="004427BF" w:rsidRDefault="00175296" w14:paraId="57A9976C" w14:textId="77777777">
            <w:pPr>
              <w:tabs>
                <w:tab w:val="center" w:pos="284"/>
              </w:tabs>
              <w:ind w:left="266" w:hanging="266"/>
            </w:pPr>
            <w:r>
              <w:t xml:space="preserve">Milena </w:t>
            </w:r>
            <w:proofErr w:type="spellStart"/>
            <w:r>
              <w:t>Angelova</w:t>
            </w:r>
            <w:proofErr w:type="spellEnd"/>
            <w:r>
              <w:t xml:space="preserve"> (työnantajat – BG)</w:t>
            </w:r>
          </w:p>
        </w:tc>
      </w:tr>
      <w:tr w:rsidRPr="00A6689B" w:rsidR="00175296" w:rsidTr="004427BF" w14:paraId="3B7A98DA" w14:textId="77777777">
        <w:trPr>
          <w:trHeight w:val="180"/>
        </w:trPr>
        <w:tc>
          <w:tcPr>
            <w:tcW w:w="5000" w:type="pct"/>
            <w:gridSpan w:val="2"/>
          </w:tcPr>
          <w:p w:rsidRPr="00A6689B" w:rsidR="00175296" w:rsidP="004427BF" w:rsidRDefault="00175296" w14:paraId="748C0A78" w14:textId="77777777">
            <w:pPr>
              <w:tabs>
                <w:tab w:val="center" w:pos="284"/>
              </w:tabs>
              <w:spacing w:line="160" w:lineRule="exact"/>
              <w:ind w:left="266" w:hanging="266"/>
              <w:rPr>
                <w:lang w:val="en-US"/>
              </w:rPr>
            </w:pPr>
          </w:p>
        </w:tc>
      </w:tr>
      <w:tr w:rsidRPr="00A6689B" w:rsidR="00175296" w:rsidTr="004427BF" w14:paraId="7E976D17" w14:textId="77777777">
        <w:trPr>
          <w:trHeight w:val="337"/>
        </w:trPr>
        <w:tc>
          <w:tcPr>
            <w:tcW w:w="1310" w:type="pct"/>
          </w:tcPr>
          <w:p w:rsidRPr="00A6689B" w:rsidR="00175296" w:rsidP="004427BF" w:rsidRDefault="00175296" w14:paraId="6946B564" w14:textId="77777777">
            <w:pPr>
              <w:tabs>
                <w:tab w:val="center" w:pos="284"/>
              </w:tabs>
              <w:ind w:left="266" w:hanging="266"/>
              <w:rPr>
                <w:b/>
              </w:rPr>
            </w:pPr>
            <w:r>
              <w:rPr>
                <w:b/>
              </w:rPr>
              <w:t>Viiteasiakirja</w:t>
            </w:r>
          </w:p>
        </w:tc>
        <w:tc>
          <w:tcPr>
            <w:tcW w:w="3690" w:type="pct"/>
          </w:tcPr>
          <w:p w:rsidRPr="00A6689B" w:rsidR="00175296" w:rsidP="004427BF" w:rsidRDefault="00175296" w14:paraId="58A9A122" w14:textId="77777777">
            <w:pPr>
              <w:tabs>
                <w:tab w:val="center" w:pos="284"/>
              </w:tabs>
              <w:ind w:left="266" w:hanging="266"/>
            </w:pPr>
            <w:r>
              <w:t>EESC-2024-00795-00-00-AC</w:t>
            </w:r>
          </w:p>
        </w:tc>
      </w:tr>
    </w:tbl>
    <w:p w:rsidR="00175296" w:rsidP="00175296" w:rsidRDefault="00175296" w14:paraId="12410019" w14:textId="77777777">
      <w:pPr>
        <w:tabs>
          <w:tab w:val="center" w:pos="284"/>
        </w:tabs>
        <w:ind w:left="266" w:hanging="266"/>
        <w:rPr>
          <w:b/>
        </w:rPr>
      </w:pPr>
    </w:p>
    <w:p w:rsidRPr="00A6689B" w:rsidR="00175296" w:rsidP="00175296" w:rsidRDefault="00175296" w14:paraId="62AD728E" w14:textId="77777777">
      <w:pPr>
        <w:tabs>
          <w:tab w:val="center" w:pos="284"/>
        </w:tabs>
        <w:ind w:left="266" w:hanging="266"/>
        <w:rPr>
          <w:b/>
        </w:rPr>
      </w:pPr>
      <w:r>
        <w:rPr>
          <w:b/>
        </w:rPr>
        <w:t>Keskeiset kohdat</w:t>
      </w:r>
    </w:p>
    <w:p w:rsidRPr="00A6689B" w:rsidR="00175296" w:rsidP="00175296" w:rsidRDefault="00175296" w14:paraId="3310A99F" w14:textId="77777777">
      <w:pPr>
        <w:tabs>
          <w:tab w:val="center" w:pos="284"/>
        </w:tabs>
        <w:ind w:left="266" w:hanging="266"/>
        <w:rPr>
          <w:b/>
        </w:rPr>
      </w:pPr>
    </w:p>
    <w:p w:rsidRPr="00A6689B" w:rsidR="00175296" w:rsidP="00175296" w:rsidRDefault="00175296" w14:paraId="21481227" w14:textId="77777777">
      <w:pPr>
        <w:rPr>
          <w:bCs/>
          <w:iCs/>
        </w:rPr>
      </w:pPr>
      <w:r>
        <w:t>ETSK</w:t>
      </w:r>
    </w:p>
    <w:p w:rsidRPr="004C546F" w:rsidR="00175296" w:rsidP="00175296" w:rsidRDefault="00175296" w14:paraId="64ED3064" w14:textId="77777777">
      <w:pPr>
        <w:widowControl w:val="0"/>
        <w:numPr>
          <w:ilvl w:val="0"/>
          <w:numId w:val="31"/>
        </w:numPr>
        <w:overflowPunct w:val="0"/>
        <w:autoSpaceDE w:val="0"/>
        <w:autoSpaceDN w:val="0"/>
        <w:adjustRightInd w:val="0"/>
        <w:ind w:left="360" w:hanging="360"/>
        <w:textAlignment w:val="baseline"/>
        <w:rPr>
          <w:bCs/>
          <w:iCs/>
        </w:rPr>
      </w:pPr>
      <w:r>
        <w:t>suhtautuu esitettyyn tiedonantoon myönteisesti mutta tähdentää, että kattavampi kumppanuus kansalaisyhteiskunnan organisaatioiden kanssa on tarpeen. Komitea kehottaa toteuttamaan tiedotuskampanjoita ja toimia verkossa esiintyvän vihan ”ekosysteemien” torjumiseksi ja muistuttaa, että poliittisilla päättäjillä on velvollisuus välttää vihaa lietsovaa kielenkäyttöä.</w:t>
      </w:r>
    </w:p>
    <w:p w:rsidRPr="004C546F" w:rsidR="00175296" w:rsidP="00175296" w:rsidRDefault="00175296" w14:paraId="7A665E71" w14:textId="77777777">
      <w:pPr>
        <w:widowControl w:val="0"/>
        <w:numPr>
          <w:ilvl w:val="0"/>
          <w:numId w:val="31"/>
        </w:numPr>
        <w:overflowPunct w:val="0"/>
        <w:autoSpaceDE w:val="0"/>
        <w:autoSpaceDN w:val="0"/>
        <w:adjustRightInd w:val="0"/>
        <w:ind w:left="709" w:hanging="425"/>
        <w:textAlignment w:val="baseline"/>
        <w:rPr>
          <w:bCs/>
          <w:iCs/>
        </w:rPr>
      </w:pPr>
      <w:r>
        <w:t>kehottaa EU:ta torjumaan kokonaisvaltaisesti kaikkea ihmisten suojeltuihin ominaisuuksiin perustuvaa vihaa, panemaan nykyiset tasa-arvoa ja syrjimättömyyttä edistävät strategiat ja aloitteet tehokkaasti täytäntöön ja soveltamaan kaikenlaisen vihan torjunnassa pääsääntöisesti samaa toimintamallia. Lisäksi komitea kehottaa jäsenvaltioita nostamaan syytteitä viharikoksista, kannustamaan ihmisiä viharikostapausten ilmoittamiseen sekä kouluttamaan lainvalvontaviranomaisia käsittelemään tällaisia tapauksia asianmukaisesti niin, että uhrit otetaan asiaan kuuluvalla tavalla huomioon.</w:t>
      </w:r>
    </w:p>
    <w:p w:rsidRPr="004C546F" w:rsidR="00175296" w:rsidP="00175296" w:rsidRDefault="00175296" w14:paraId="44420764" w14:textId="77777777">
      <w:pPr>
        <w:widowControl w:val="0"/>
        <w:numPr>
          <w:ilvl w:val="0"/>
          <w:numId w:val="31"/>
        </w:numPr>
        <w:overflowPunct w:val="0"/>
        <w:autoSpaceDE w:val="0"/>
        <w:autoSpaceDN w:val="0"/>
        <w:adjustRightInd w:val="0"/>
        <w:ind w:left="709" w:hanging="425"/>
        <w:textAlignment w:val="baseline"/>
        <w:rPr>
          <w:bCs/>
          <w:iCs/>
        </w:rPr>
      </w:pPr>
      <w:r>
        <w:t>pitää valitettavana, että vihan torjunta verkkoalustoilla ei ole vielä riittävän laajamittaista ja sen vaikutukset ovat liian vähäisiä. Ilmoittajien tehtävää ja asiantuntemusta olisi laajennettava niin, että se kattaa johdonmukaisesti kaikenlaiset verkossa esiintyvät vihamieliset ennakkoasenteet. Medialukutaitoa ja digitaalista lukutaitoa olisi parannettava, jotta tapauksista todella ilmoitettaisiin entistä useammin.</w:t>
      </w:r>
    </w:p>
    <w:p w:rsidRPr="004C546F" w:rsidR="00175296" w:rsidP="00175296" w:rsidRDefault="00175296" w14:paraId="3422685C" w14:textId="77777777">
      <w:pPr>
        <w:widowControl w:val="0"/>
        <w:numPr>
          <w:ilvl w:val="0"/>
          <w:numId w:val="31"/>
        </w:numPr>
        <w:overflowPunct w:val="0"/>
        <w:autoSpaceDE w:val="0"/>
        <w:autoSpaceDN w:val="0"/>
        <w:adjustRightInd w:val="0"/>
        <w:ind w:left="709" w:hanging="425"/>
        <w:textAlignment w:val="baseline"/>
        <w:rPr>
          <w:bCs/>
          <w:iCs/>
        </w:rPr>
      </w:pPr>
      <w:r>
        <w:t>katsoo, että rasismin, muukalaisvihan ja muiden suvaitsemattomuuden muotojen torjumista käsittelevän korkean tason työryhmän toimintaa olisi parannettava, kansalaisyhteiskunnan toimijoiden koulutusta ja valmiuksien kehittämistä olisi lisättävä ja ilmoitusmenettelyjä olisi tehostettava. Toimista olisi raportoitava ja laadittava vertailuanalyysejä, jotta nähdään, onko edistystä tapahtunut. EU:n tasolla olisi otettava virallisesti käyttöön vakiomenettelyt viharikoksia koskevien ilmoitusten tekoa varten. Ilmoitusmekanismien on oltava kaikkien ulottuvilla ja käytettävissä, ja komissiota kannustetaan perustamaan verkkoalusta, jonka kautta kansalaisyhteiskunnan organisaatiot ja ihmisoikeuksien puolustajat voivat ilmoittaa havaituista tapauksista nopeasti.</w:t>
      </w:r>
    </w:p>
    <w:p w:rsidR="00175296" w:rsidP="00175296" w:rsidRDefault="00175296" w14:paraId="270A73E1" w14:textId="77777777">
      <w:pPr>
        <w:widowControl w:val="0"/>
        <w:numPr>
          <w:ilvl w:val="0"/>
          <w:numId w:val="31"/>
        </w:numPr>
        <w:overflowPunct w:val="0"/>
        <w:autoSpaceDE w:val="0"/>
        <w:autoSpaceDN w:val="0"/>
        <w:adjustRightInd w:val="0"/>
        <w:ind w:left="709" w:hanging="425"/>
        <w:textAlignment w:val="baseline"/>
        <w:rPr>
          <w:bCs/>
          <w:iCs/>
        </w:rPr>
      </w:pPr>
      <w:r>
        <w:lastRenderedPageBreak/>
        <w:t xml:space="preserve">korostaa, että komission olisi tehtävä kokonaisvaltainen arviointi kansalaisyhteiskunnan organisaatioiden sekä luotettavien ilmoittajien työstä ja ehdotettava toimenpiteitä niiden toiminnan tehostamiseksi. Lisäksi olisi pidettävä huoli siitä, että niiden työ pysyy ajankohtaisten haasteiden tasalla. EU:n olisi vaadittava suuria verkkoalustoja huolehtimaan siitä, ettei viha pääse leviämään niiden algoritmien avulla, ja osoitettava verkossa esiintyvän vihan ekosysteemien tunnistamiseen ja torjuntaan nykyistä enemmän varoja kansalaisten, tasa-arvon, perusoikeuksien ja arvojen ohjelmasta ja Horisontti Eurooppa </w:t>
      </w:r>
      <w:r>
        <w:noBreakHyphen/>
        <w:t>puiteohjelmasta. Näin tunnistus- ja torjuntatavoitteen saavuttamista voitaisiin edistää nykyisten koulutus- ja tutkimusalan voimavarojen turvin. Tähän tarkoitukseen voitaisiin käyttää myös kansalaiskasvatukseen varattua Erasmus+-ohjelman rahoitusta.</w:t>
      </w:r>
    </w:p>
    <w:p w:rsidRPr="00DA2CB3" w:rsidR="00175296" w:rsidP="00175296" w:rsidRDefault="00175296" w14:paraId="570C4C23" w14:textId="77777777">
      <w:pPr>
        <w:widowControl w:val="0"/>
        <w:ind w:left="424"/>
        <w:rPr>
          <w:bCs/>
          <w:iCs/>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A6689B" w:rsidR="00175296" w:rsidTr="004427BF" w14:paraId="7D1E94D4" w14:textId="77777777">
        <w:trPr>
          <w:trHeight w:val="60"/>
        </w:trPr>
        <w:tc>
          <w:tcPr>
            <w:tcW w:w="1556" w:type="pct"/>
          </w:tcPr>
          <w:p w:rsidRPr="00A6689B" w:rsidR="00175296" w:rsidP="004427BF" w:rsidRDefault="00175296" w14:paraId="0DD1CCE9" w14:textId="77777777">
            <w:pPr>
              <w:spacing w:line="240" w:lineRule="auto"/>
              <w:rPr>
                <w:i/>
              </w:rPr>
            </w:pPr>
            <w:r>
              <w:rPr>
                <w:b/>
                <w:i/>
              </w:rPr>
              <w:t>Yhteydenotot</w:t>
            </w:r>
          </w:p>
        </w:tc>
        <w:tc>
          <w:tcPr>
            <w:tcW w:w="3444" w:type="pct"/>
          </w:tcPr>
          <w:p w:rsidRPr="00A6689B" w:rsidR="00175296" w:rsidP="004427BF" w:rsidRDefault="00175296" w14:paraId="44AEB33A" w14:textId="77777777">
            <w:pPr>
              <w:spacing w:line="240" w:lineRule="auto"/>
              <w:rPr>
                <w:i/>
              </w:rPr>
            </w:pPr>
            <w:proofErr w:type="spellStart"/>
            <w:r>
              <w:rPr>
                <w:i/>
              </w:rPr>
              <w:t>June</w:t>
            </w:r>
            <w:proofErr w:type="spellEnd"/>
            <w:r>
              <w:rPr>
                <w:i/>
              </w:rPr>
              <w:t xml:space="preserve"> </w:t>
            </w:r>
            <w:proofErr w:type="spellStart"/>
            <w:r>
              <w:rPr>
                <w:i/>
              </w:rPr>
              <w:t>Bedaton</w:t>
            </w:r>
            <w:proofErr w:type="spellEnd"/>
          </w:p>
        </w:tc>
      </w:tr>
      <w:tr w:rsidRPr="00A6689B" w:rsidR="00175296" w:rsidTr="004427BF" w14:paraId="597234EE" w14:textId="77777777">
        <w:tc>
          <w:tcPr>
            <w:tcW w:w="1556" w:type="pct"/>
          </w:tcPr>
          <w:p w:rsidRPr="00A6689B" w:rsidR="00175296" w:rsidP="004427BF" w:rsidRDefault="00175296" w14:paraId="19408446" w14:textId="77777777">
            <w:pPr>
              <w:spacing w:line="240" w:lineRule="auto"/>
              <w:rPr>
                <w:i/>
              </w:rPr>
            </w:pPr>
            <w:r>
              <w:rPr>
                <w:i/>
              </w:rPr>
              <w:t>P.</w:t>
            </w:r>
          </w:p>
        </w:tc>
        <w:tc>
          <w:tcPr>
            <w:tcW w:w="3444" w:type="pct"/>
          </w:tcPr>
          <w:p w:rsidRPr="00A6689B" w:rsidR="00175296" w:rsidP="004427BF" w:rsidRDefault="00175296" w14:paraId="5B1F43A0" w14:textId="77777777">
            <w:pPr>
              <w:spacing w:line="240" w:lineRule="auto"/>
              <w:rPr>
                <w:i/>
              </w:rPr>
            </w:pPr>
            <w:r>
              <w:rPr>
                <w:i/>
              </w:rPr>
              <w:t>+32 25468134</w:t>
            </w:r>
          </w:p>
        </w:tc>
      </w:tr>
      <w:tr w:rsidRPr="00A6689B" w:rsidR="00175296" w:rsidTr="004427BF" w14:paraId="7B33B564" w14:textId="77777777">
        <w:tc>
          <w:tcPr>
            <w:tcW w:w="1556" w:type="pct"/>
          </w:tcPr>
          <w:p w:rsidRPr="00A6689B" w:rsidR="00175296" w:rsidP="004427BF" w:rsidRDefault="00175296" w14:paraId="0D656635" w14:textId="77777777">
            <w:pPr>
              <w:spacing w:line="240" w:lineRule="auto"/>
              <w:rPr>
                <w:i/>
              </w:rPr>
            </w:pPr>
            <w:r>
              <w:rPr>
                <w:i/>
              </w:rPr>
              <w:t>Sähköposti</w:t>
            </w:r>
          </w:p>
        </w:tc>
        <w:tc>
          <w:tcPr>
            <w:tcW w:w="3444" w:type="pct"/>
          </w:tcPr>
          <w:p w:rsidRPr="00A6689B" w:rsidR="00175296" w:rsidP="004427BF" w:rsidRDefault="00175296" w14:paraId="060EA745" w14:textId="77777777">
            <w:pPr>
              <w:spacing w:line="240" w:lineRule="auto"/>
              <w:rPr>
                <w:i/>
              </w:rPr>
            </w:pPr>
            <w:hyperlink w:history="1" r:id="rId29">
              <w:r>
                <w:rPr>
                  <w:rStyle w:val="Hyperlink"/>
                  <w:i/>
                </w:rPr>
                <w:t>June.Bedaton@eesc.europa.eu</w:t>
              </w:r>
            </w:hyperlink>
          </w:p>
        </w:tc>
      </w:tr>
    </w:tbl>
    <w:p w:rsidRPr="00D71D11" w:rsidR="00502E1F" w:rsidRDefault="00502E1F" w14:paraId="3D58FF9D" w14:textId="2586B74C">
      <w:pPr>
        <w:spacing w:after="160" w:line="259" w:lineRule="auto"/>
        <w:jc w:val="left"/>
        <w:rPr>
          <w:sz w:val="14"/>
          <w:szCs w:val="14"/>
        </w:rPr>
      </w:pPr>
      <w:r>
        <w:br w:type="page"/>
      </w:r>
    </w:p>
    <w:p w:rsidRPr="00EE2FBD" w:rsidR="004C3902" w:rsidP="00770F41" w:rsidRDefault="008E2A59" w14:paraId="7AD922B6" w14:textId="2BABB602">
      <w:pPr>
        <w:pStyle w:val="Heading1"/>
        <w:tabs>
          <w:tab w:val="clear" w:pos="440"/>
          <w:tab w:val="left" w:pos="567"/>
        </w:tabs>
        <w:ind w:left="567" w:hanging="567"/>
        <w:rPr>
          <w:b/>
          <w:bCs/>
        </w:rPr>
      </w:pPr>
      <w:bookmarkStart w:name="_Toc166847134" w:id="2"/>
      <w:bookmarkStart w:name="_Toc169873281" w:id="3"/>
      <w:bookmarkEnd w:id="2"/>
      <w:r>
        <w:rPr>
          <w:b/>
        </w:rPr>
        <w:lastRenderedPageBreak/>
        <w:t>MAATALOUS, MAASEUDUN KEHITTÄMINEN JA YMPÄRISTÖ</w:t>
      </w:r>
      <w:bookmarkEnd w:id="3"/>
    </w:p>
    <w:p w:rsidR="005C28F2" w:rsidRDefault="005C28F2" w14:paraId="70C7CB4F" w14:textId="77777777">
      <w:pPr>
        <w:spacing w:after="160" w:line="259" w:lineRule="auto"/>
        <w:jc w:val="left"/>
        <w:rPr>
          <w:b/>
          <w:bCs/>
        </w:rPr>
      </w:pPr>
    </w:p>
    <w:p w:rsidR="00A329C8" w:rsidRDefault="00A329C8" w14:paraId="207163CE" w14:textId="67E9BB6A">
      <w:pPr>
        <w:spacing w:after="160" w:line="259" w:lineRule="auto"/>
        <w:jc w:val="left"/>
        <w:rPr>
          <w:b/>
          <w:bCs/>
        </w:rPr>
      </w:pPr>
    </w:p>
    <w:p w:rsidRPr="00053DC6" w:rsidR="00175296" w:rsidP="00175296" w:rsidRDefault="00175296" w14:paraId="30B30F4C" w14:textId="77777777">
      <w:pPr>
        <w:pStyle w:val="ListParagraph"/>
        <w:numPr>
          <w:ilvl w:val="0"/>
          <w:numId w:val="2"/>
        </w:numPr>
        <w:spacing w:line="276" w:lineRule="auto"/>
        <w:ind w:left="567" w:hanging="567"/>
        <w:jc w:val="left"/>
        <w:rPr>
          <w:i/>
          <w:iCs/>
        </w:rPr>
      </w:pPr>
      <w:hyperlink w:history="1" r:id="rId30">
        <w:r>
          <w:rPr>
            <w:rStyle w:val="Hyperlink"/>
            <w:b/>
            <w:i/>
            <w:sz w:val="28"/>
          </w:rPr>
          <w:t>EU:n ilmastotavoite vuodeksi 2040</w:t>
        </w:r>
      </w:hyperlink>
    </w:p>
    <w:p w:rsidRPr="007E0BEE" w:rsidR="00175296" w:rsidP="00175296" w:rsidRDefault="00175296" w14:paraId="605EAE80" w14:textId="77777777">
      <w:pPr>
        <w:widowControl w:val="0"/>
        <w:ind w:left="567"/>
        <w:rPr>
          <w:bCs/>
          <w:sz w:val="16"/>
          <w:szCs w:val="16"/>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A6689B" w:rsidR="00175296" w:rsidTr="004427BF" w14:paraId="2EE96093" w14:textId="77777777">
        <w:tc>
          <w:tcPr>
            <w:tcW w:w="1701" w:type="dxa"/>
          </w:tcPr>
          <w:p w:rsidRPr="00A6689B" w:rsidR="00175296" w:rsidP="004427BF" w:rsidRDefault="00175296" w14:paraId="2B5940D0" w14:textId="77777777">
            <w:pPr>
              <w:tabs>
                <w:tab w:val="center" w:pos="284"/>
              </w:tabs>
              <w:ind w:left="266" w:hanging="266"/>
              <w:rPr>
                <w:b/>
              </w:rPr>
            </w:pPr>
            <w:r>
              <w:rPr>
                <w:b/>
              </w:rPr>
              <w:t>Esittelijä</w:t>
            </w:r>
          </w:p>
        </w:tc>
        <w:tc>
          <w:tcPr>
            <w:tcW w:w="6096" w:type="dxa"/>
          </w:tcPr>
          <w:p w:rsidRPr="00933BE1" w:rsidR="00175296" w:rsidP="004427BF" w:rsidRDefault="00175296" w14:paraId="1A183D03" w14:textId="77777777">
            <w:pPr>
              <w:tabs>
                <w:tab w:val="center" w:pos="284"/>
              </w:tabs>
              <w:ind w:left="266" w:hanging="266"/>
              <w:rPr>
                <w:bCs/>
              </w:rPr>
            </w:pPr>
            <w:r>
              <w:t>Teppo SÄKKINEN (työnantajat – FI)</w:t>
            </w:r>
          </w:p>
        </w:tc>
      </w:tr>
      <w:tr w:rsidRPr="00A6689B" w:rsidR="00175296" w:rsidTr="004427BF" w14:paraId="6560F7E6" w14:textId="77777777">
        <w:tc>
          <w:tcPr>
            <w:tcW w:w="7797" w:type="dxa"/>
            <w:gridSpan w:val="2"/>
          </w:tcPr>
          <w:p w:rsidRPr="00597F63" w:rsidR="00175296" w:rsidP="004427BF" w:rsidRDefault="00175296" w14:paraId="4A2AC1FE" w14:textId="77777777">
            <w:pPr>
              <w:tabs>
                <w:tab w:val="left" w:pos="2690"/>
              </w:tabs>
              <w:spacing w:line="160" w:lineRule="exact"/>
              <w:ind w:left="266" w:hanging="266"/>
              <w:rPr>
                <w:sz w:val="10"/>
                <w:szCs w:val="10"/>
                <w:lang w:val="en-US"/>
              </w:rPr>
            </w:pPr>
          </w:p>
        </w:tc>
      </w:tr>
      <w:tr w:rsidRPr="00A6689B" w:rsidR="00175296" w:rsidTr="004427BF" w14:paraId="3A046E01" w14:textId="77777777">
        <w:tc>
          <w:tcPr>
            <w:tcW w:w="1701" w:type="dxa"/>
            <w:vMerge w:val="restart"/>
          </w:tcPr>
          <w:p w:rsidRPr="00597F63" w:rsidR="00175296" w:rsidP="004427BF" w:rsidRDefault="00175296" w14:paraId="54132F76" w14:textId="77777777">
            <w:pPr>
              <w:tabs>
                <w:tab w:val="center" w:pos="284"/>
              </w:tabs>
              <w:ind w:left="266" w:hanging="266"/>
              <w:rPr>
                <w:b/>
              </w:rPr>
            </w:pPr>
            <w:r>
              <w:rPr>
                <w:b/>
              </w:rPr>
              <w:t>Viiteasiakirjat</w:t>
            </w:r>
          </w:p>
        </w:tc>
        <w:tc>
          <w:tcPr>
            <w:tcW w:w="6096" w:type="dxa"/>
          </w:tcPr>
          <w:p w:rsidRPr="00597F63" w:rsidR="00175296" w:rsidP="004427BF" w:rsidRDefault="00175296" w14:paraId="7F1093D6" w14:textId="77777777">
            <w:pPr>
              <w:tabs>
                <w:tab w:val="center" w:pos="284"/>
              </w:tabs>
              <w:ind w:left="266" w:hanging="266"/>
            </w:pPr>
            <w:r>
              <w:t xml:space="preserve">COM(2024) 63 </w:t>
            </w:r>
            <w:proofErr w:type="spellStart"/>
            <w:r>
              <w:t>final</w:t>
            </w:r>
            <w:proofErr w:type="spellEnd"/>
          </w:p>
        </w:tc>
      </w:tr>
      <w:tr w:rsidRPr="00A6689B" w:rsidR="00175296" w:rsidTr="004427BF" w14:paraId="0AF7549E" w14:textId="77777777">
        <w:tc>
          <w:tcPr>
            <w:tcW w:w="1701" w:type="dxa"/>
            <w:vMerge/>
          </w:tcPr>
          <w:p w:rsidRPr="00C548EC" w:rsidR="00175296" w:rsidP="004427BF" w:rsidRDefault="00175296" w14:paraId="56FD008B" w14:textId="77777777">
            <w:pPr>
              <w:tabs>
                <w:tab w:val="center" w:pos="284"/>
              </w:tabs>
              <w:ind w:left="266" w:hanging="266"/>
              <w:rPr>
                <w:b/>
                <w:lang w:val="en-US"/>
              </w:rPr>
            </w:pPr>
          </w:p>
        </w:tc>
        <w:tc>
          <w:tcPr>
            <w:tcW w:w="6096" w:type="dxa"/>
          </w:tcPr>
          <w:p w:rsidRPr="00C548EC" w:rsidR="00175296" w:rsidP="004427BF" w:rsidRDefault="00175296" w14:paraId="430AA8B7" w14:textId="77777777">
            <w:pPr>
              <w:tabs>
                <w:tab w:val="center" w:pos="284"/>
              </w:tabs>
              <w:ind w:left="266" w:hanging="266"/>
            </w:pPr>
            <w:r>
              <w:t>EESC-2024-00418-00-00-AC-TRA</w:t>
            </w:r>
          </w:p>
        </w:tc>
      </w:tr>
    </w:tbl>
    <w:p w:rsidRPr="00DA5490" w:rsidR="00175296" w:rsidP="00175296" w:rsidRDefault="00175296" w14:paraId="4D75E699" w14:textId="77777777">
      <w:pPr>
        <w:keepNext/>
        <w:keepLines/>
        <w:tabs>
          <w:tab w:val="center" w:pos="284"/>
        </w:tabs>
        <w:ind w:left="266" w:hanging="266"/>
        <w:rPr>
          <w:b/>
          <w:sz w:val="10"/>
          <w:szCs w:val="10"/>
        </w:rPr>
      </w:pPr>
    </w:p>
    <w:p w:rsidRPr="00C24F1A" w:rsidR="00175296" w:rsidP="00175296" w:rsidRDefault="00175296" w14:paraId="3F1C5413" w14:textId="77777777">
      <w:pPr>
        <w:keepNext/>
        <w:keepLines/>
        <w:tabs>
          <w:tab w:val="center" w:pos="284"/>
        </w:tabs>
        <w:spacing w:line="276" w:lineRule="auto"/>
        <w:ind w:left="266" w:hanging="266"/>
        <w:rPr>
          <w:b/>
        </w:rPr>
      </w:pPr>
      <w:r>
        <w:rPr>
          <w:b/>
        </w:rPr>
        <w:t>Keskeiset kohdat</w:t>
      </w:r>
    </w:p>
    <w:p w:rsidRPr="006C4C9B" w:rsidR="00175296" w:rsidP="00175296" w:rsidRDefault="00175296" w14:paraId="3CD2243C" w14:textId="77777777">
      <w:pPr>
        <w:keepNext/>
        <w:keepLines/>
        <w:tabs>
          <w:tab w:val="center" w:pos="284"/>
        </w:tabs>
        <w:spacing w:line="276" w:lineRule="auto"/>
        <w:ind w:left="266" w:hanging="266"/>
        <w:rPr>
          <w:bCs/>
          <w:sz w:val="16"/>
          <w:szCs w:val="16"/>
        </w:rPr>
      </w:pPr>
    </w:p>
    <w:p w:rsidR="00175296" w:rsidP="00175296" w:rsidRDefault="00175296" w14:paraId="64C4E8A3" w14:textId="77777777">
      <w:pPr>
        <w:spacing w:line="240" w:lineRule="auto"/>
        <w:rPr>
          <w:bCs/>
          <w:iCs/>
        </w:rPr>
      </w:pPr>
      <w:r>
        <w:t>ETSK</w:t>
      </w:r>
    </w:p>
    <w:p w:rsidRPr="00363A01" w:rsidR="00175296" w:rsidP="00175296" w:rsidRDefault="00175296" w14:paraId="711DA30F" w14:textId="77777777">
      <w:pPr>
        <w:spacing w:line="240" w:lineRule="auto"/>
        <w:rPr>
          <w:bCs/>
          <w:iCs/>
          <w:sz w:val="16"/>
          <w:szCs w:val="16"/>
        </w:rPr>
      </w:pPr>
    </w:p>
    <w:p w:rsidRPr="009726FF" w:rsidR="00175296" w:rsidP="00175296" w:rsidRDefault="00175296" w14:paraId="19055B3B" w14:textId="77777777">
      <w:pPr>
        <w:pStyle w:val="Heading2"/>
        <w:ind w:left="567" w:hanging="567"/>
        <w:rPr>
          <w:spacing w:val="-4"/>
        </w:rPr>
      </w:pPr>
      <w:r>
        <w:rPr>
          <w:b/>
        </w:rPr>
        <w:t>kannattaa suositeltua vuoteen 2040 asetettua 90 prosentin tavoitetta</w:t>
      </w:r>
      <w:r>
        <w:t xml:space="preserve">, koska se vastaa tutkijoiden käsitystä Euroopan oikeudenmukaisesta osuudesta 1,5 asteen tavoitetta ajatellen. ETSK korostaa, että </w:t>
      </w:r>
      <w:r>
        <w:rPr>
          <w:b/>
        </w:rPr>
        <w:t>tavoite on vaativa</w:t>
      </w:r>
      <w:r>
        <w:t xml:space="preserve"> ja se voidaan saavuttaa vain, jos luodaan mahdollistavat toimintapolitiikat </w:t>
      </w:r>
      <w:r>
        <w:rPr>
          <w:b/>
        </w:rPr>
        <w:t>Euroopan teollisuuden kilpailukyvyn</w:t>
      </w:r>
      <w:r>
        <w:t xml:space="preserve"> ja </w:t>
      </w:r>
      <w:r>
        <w:rPr>
          <w:b/>
        </w:rPr>
        <w:t>oikeudenmukaisen siirtymän</w:t>
      </w:r>
      <w:r>
        <w:t xml:space="preserve"> varmistamiseksi ja hyödynnetään kustannustehokkaasti kaikkia päästöttömiä ja vähähiilisiä teknologioita.</w:t>
      </w:r>
    </w:p>
    <w:p w:rsidRPr="000D1659" w:rsidR="00175296" w:rsidP="00175296" w:rsidRDefault="00175296" w14:paraId="7D89A5BF" w14:textId="77777777">
      <w:pPr>
        <w:pStyle w:val="Heading2"/>
        <w:ind w:left="567" w:hanging="567"/>
        <w:rPr>
          <w:spacing w:val="-4"/>
        </w:rPr>
      </w:pPr>
      <w:r>
        <w:rPr>
          <w:b/>
        </w:rPr>
        <w:t>pitää tärkeinä todellisia päästövähennyksiä, jotka toteutetaan luopumalla asteittain fossiilisista polttoaineista</w:t>
      </w:r>
      <w:r>
        <w:t>. Vaikka hiilenpoistoilla on yhä suurempi rooli EU:n ilmastotavoitteiden saavuttamisessa, liialliseen riippuvuuteen nieluista liittyy epävarmuustekijöitä ja riskejä, kuten riippuvuus fossiilisista polttoaineista tai nielujen menettäminen metsäpalojen, tuholaisten tai muiden vaarojen vuoksi.</w:t>
      </w:r>
    </w:p>
    <w:p w:rsidRPr="00A640A6" w:rsidR="00175296" w:rsidP="00175296" w:rsidRDefault="00175296" w14:paraId="24A87CE3" w14:textId="77777777">
      <w:pPr>
        <w:pStyle w:val="Heading2"/>
        <w:ind w:left="567" w:hanging="567"/>
      </w:pPr>
      <w:r>
        <w:t xml:space="preserve">kehottaa komissiota laatimaan tieteellisen ja taloudellisen arvioinnin </w:t>
      </w:r>
      <w:r>
        <w:rPr>
          <w:b/>
        </w:rPr>
        <w:t>vähennysten ja poistojen välisestä tasapainosta</w:t>
      </w:r>
      <w:r>
        <w:t>.</w:t>
      </w:r>
    </w:p>
    <w:p w:rsidRPr="00A640A6" w:rsidR="00175296" w:rsidP="00175296" w:rsidRDefault="00175296" w14:paraId="6ECBC48A" w14:textId="77777777">
      <w:pPr>
        <w:pStyle w:val="Heading2"/>
        <w:ind w:left="567" w:hanging="567"/>
      </w:pPr>
      <w:r>
        <w:t>korostaa, että on keskityttävä 55-valmiuspakettia koskevan lainsäädännön täytäntöönpanoon sekä eurooppalaisten yritysten ja kotitalouksien tukemiseen uuteen sääntely-ympäristöön mukautumisessa.</w:t>
      </w:r>
    </w:p>
    <w:p w:rsidR="00175296" w:rsidP="00175296" w:rsidRDefault="00175296" w14:paraId="1A3FC531" w14:textId="77777777">
      <w:pPr>
        <w:pStyle w:val="Heading2"/>
        <w:ind w:left="567" w:hanging="567"/>
      </w:pPr>
      <w:r>
        <w:t xml:space="preserve">toteaa, että ilmastotavoitteet edellyttävät </w:t>
      </w:r>
      <w:r>
        <w:rPr>
          <w:b/>
        </w:rPr>
        <w:t>ennennäkemättömiä investointeja hiilestä irtautumiseen</w:t>
      </w:r>
      <w:r>
        <w:t>.</w:t>
      </w:r>
    </w:p>
    <w:p w:rsidRPr="00A640A6" w:rsidR="00175296" w:rsidP="00175296" w:rsidRDefault="00175296" w14:paraId="1B7CA160" w14:textId="77777777">
      <w:pPr>
        <w:pStyle w:val="Heading2"/>
        <w:ind w:left="567" w:hanging="567"/>
      </w:pPr>
      <w:r>
        <w:t>kehottaa komissiota kartoittamaan eurooppalaisten puhtaan teknologian tuotteiden ja palvelujen vientiä ja asettamaan tavoitteita sen kasvulle.</w:t>
      </w:r>
    </w:p>
    <w:p w:rsidRPr="009726FF" w:rsidR="00175296" w:rsidP="00175296" w:rsidRDefault="00175296" w14:paraId="174798AC" w14:textId="77777777">
      <w:pPr>
        <w:pStyle w:val="Heading2"/>
        <w:ind w:left="567" w:hanging="567"/>
        <w:rPr>
          <w:spacing w:val="-6"/>
        </w:rPr>
      </w:pPr>
      <w:r>
        <w:t xml:space="preserve">katsoo, että EU:n </w:t>
      </w:r>
      <w:r>
        <w:rPr>
          <w:b/>
        </w:rPr>
        <w:t>sähköntuotannon</w:t>
      </w:r>
      <w:r>
        <w:t xml:space="preserve"> olisi oltava </w:t>
      </w:r>
      <w:r>
        <w:rPr>
          <w:b/>
        </w:rPr>
        <w:t>hiilivapaata vuoteen 2040 mennessä</w:t>
      </w:r>
      <w:r>
        <w:t>, ja lämmityksen ja jäähdytyksen vuoro on pian sen jälkeen. Puhtaan ja kohtuuhintaisen energian saatavuus ja tulevaisuuden vaatimukset täyttävä energiainfrastruktuuri muodostavat perustan hiilestä irtautumiselle muilla aloilla, kuten teollisuudessa, rakennusalalla ja liikenteessä.</w:t>
      </w:r>
    </w:p>
    <w:p w:rsidRPr="00A640A6" w:rsidR="00175296" w:rsidP="00175296" w:rsidRDefault="00175296" w14:paraId="30B8CC30" w14:textId="77777777">
      <w:pPr>
        <w:pStyle w:val="Heading2"/>
        <w:ind w:left="567" w:hanging="567"/>
      </w:pPr>
      <w:r>
        <w:t xml:space="preserve">ehdottaa, että </w:t>
      </w:r>
      <w:r>
        <w:rPr>
          <w:b/>
        </w:rPr>
        <w:t>maatalouselintarvikealalle</w:t>
      </w:r>
      <w:r>
        <w:t xml:space="preserve"> asetettaisiin ohjeellinen </w:t>
      </w:r>
      <w:r>
        <w:rPr>
          <w:b/>
        </w:rPr>
        <w:t>päästöjen vähentämistavoite</w:t>
      </w:r>
      <w:r>
        <w:t xml:space="preserve"> maataloustuottajien ja muiden sidosryhmien välisen tiiviin vuoropuhelun ja tieteen pohjalta, ja samalla olisi varmistettava Euroopan elintarviketurva ja otettava huomioon EU:n eri alueilla vallitsevat erilaiset luonnonolosuhteet.</w:t>
      </w:r>
    </w:p>
    <w:p w:rsidRPr="009726FF" w:rsidR="00175296" w:rsidP="00175296" w:rsidRDefault="00175296" w14:paraId="3C7E0EC7" w14:textId="77777777">
      <w:pPr>
        <w:pStyle w:val="Heading2"/>
        <w:ind w:left="567" w:hanging="567"/>
        <w:rPr>
          <w:spacing w:val="-6"/>
        </w:rPr>
      </w:pPr>
      <w:r>
        <w:t>korostaa myös työmarkkinaosapuolten ja kansalaisyhteiskunnan kanssa käytävän laajan sidosryhmävuoropuhelun ja kansalaisten osallistumisen merkitystä vuoden 2040 tavoitteen asettamisessa ja siihen liittyvien toimintapolitiikkojen kehittämisessä.</w:t>
      </w:r>
    </w:p>
    <w:p w:rsidRPr="00A640A6" w:rsidR="00175296" w:rsidP="00175296" w:rsidRDefault="00175296" w14:paraId="4B09AAC1" w14:textId="77777777">
      <w:pPr>
        <w:pStyle w:val="Heading2"/>
        <w:ind w:left="567" w:hanging="567"/>
      </w:pPr>
      <w:r>
        <w:t xml:space="preserve">korostaa, että on mahdollista lisätä päästövähennyksiä ja vähentää materiaalien ja energian kysyntää, jos </w:t>
      </w:r>
      <w:r>
        <w:rPr>
          <w:b/>
        </w:rPr>
        <w:t>kuluttajille annetaan mahdollisuus tehdä kestävien elämäntapojen mukaisia valintoja</w:t>
      </w:r>
      <w:r>
        <w:t>.</w:t>
      </w:r>
    </w:p>
    <w:p w:rsidRPr="00566F22" w:rsidR="00175296" w:rsidP="00175296" w:rsidRDefault="00175296" w14:paraId="4CE88C5F" w14:textId="77777777">
      <w:pPr>
        <w:pStyle w:val="Heading2"/>
        <w:spacing w:line="240" w:lineRule="auto"/>
        <w:ind w:left="567" w:hanging="567"/>
      </w:pPr>
      <w:r>
        <w:lastRenderedPageBreak/>
        <w:t xml:space="preserve">kehottaa komissiota </w:t>
      </w:r>
      <w:r>
        <w:rPr>
          <w:b/>
        </w:rPr>
        <w:t>ulottamaan kilpailukykytarkastuksen</w:t>
      </w:r>
      <w:r>
        <w:t xml:space="preserve"> myös muihin suuriin talouksiin ja tarkastelemaan muun muassa niiden ilmasto-, energia- ja teollisuuspolitiikkaa ja taloudellisia indikaattoreita sekä esittämään ehdotuksia siitä, miten Euroopan maailmanlaajuista kilpailukykyä ja teollista perustaa voidaan vahvistaa ja miten voidaan turvata eurooppalainen avoimen markkinatalouden malli, jossa noudatetaan tiukkoja ympäristö- ja sosiaalinormeja.</w:t>
      </w:r>
    </w:p>
    <w:p w:rsidRPr="009726FF" w:rsidR="00175296" w:rsidP="00175296" w:rsidRDefault="00175296" w14:paraId="105E05AF" w14:textId="77777777">
      <w:pPr>
        <w:spacing w:line="240" w:lineRule="auto"/>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11"/>
        <w:gridCol w:w="5670"/>
      </w:tblGrid>
      <w:tr w:rsidRPr="00A6689B" w:rsidR="00175296" w:rsidTr="004427BF" w14:paraId="58701BAC" w14:textId="77777777">
        <w:tc>
          <w:tcPr>
            <w:tcW w:w="1634" w:type="dxa"/>
          </w:tcPr>
          <w:p w:rsidRPr="00A6689B" w:rsidR="00175296" w:rsidP="004427BF" w:rsidRDefault="00175296" w14:paraId="020CD701" w14:textId="77777777">
            <w:pPr>
              <w:spacing w:line="240" w:lineRule="auto"/>
              <w:ind w:left="709"/>
              <w:rPr>
                <w:i/>
              </w:rPr>
            </w:pPr>
            <w:r>
              <w:rPr>
                <w:b/>
                <w:i/>
              </w:rPr>
              <w:t>Yhteydenotot</w:t>
            </w:r>
          </w:p>
        </w:tc>
        <w:tc>
          <w:tcPr>
            <w:tcW w:w="5670" w:type="dxa"/>
          </w:tcPr>
          <w:p w:rsidRPr="00A6689B" w:rsidR="00175296" w:rsidP="004427BF" w:rsidRDefault="00175296" w14:paraId="41A0FF54" w14:textId="77777777">
            <w:pPr>
              <w:spacing w:line="240" w:lineRule="auto"/>
              <w:ind w:left="709"/>
              <w:rPr>
                <w:i/>
              </w:rPr>
            </w:pPr>
            <w:r>
              <w:t>Judit CARRERAS GARCIA</w:t>
            </w:r>
          </w:p>
        </w:tc>
      </w:tr>
      <w:tr w:rsidRPr="00A6689B" w:rsidR="00175296" w:rsidTr="004427BF" w14:paraId="04057752" w14:textId="77777777">
        <w:tc>
          <w:tcPr>
            <w:tcW w:w="1634" w:type="dxa"/>
          </w:tcPr>
          <w:p w:rsidRPr="00A6689B" w:rsidR="00175296" w:rsidP="004427BF" w:rsidRDefault="00175296" w14:paraId="5FE28460" w14:textId="77777777">
            <w:pPr>
              <w:spacing w:line="240" w:lineRule="auto"/>
              <w:ind w:left="709"/>
              <w:rPr>
                <w:i/>
              </w:rPr>
            </w:pPr>
            <w:r>
              <w:rPr>
                <w:i/>
              </w:rPr>
              <w:t>P.</w:t>
            </w:r>
          </w:p>
        </w:tc>
        <w:tc>
          <w:tcPr>
            <w:tcW w:w="5670" w:type="dxa"/>
          </w:tcPr>
          <w:p w:rsidRPr="00E0431A" w:rsidR="00175296" w:rsidP="004427BF" w:rsidRDefault="00175296" w14:paraId="0FFD507D" w14:textId="77777777">
            <w:pPr>
              <w:spacing w:line="240" w:lineRule="auto"/>
              <w:ind w:left="709"/>
              <w:rPr>
                <w:i/>
                <w:iCs/>
              </w:rPr>
            </w:pPr>
            <w:r>
              <w:rPr>
                <w:i/>
              </w:rPr>
              <w:t>+32 25468421</w:t>
            </w:r>
          </w:p>
        </w:tc>
      </w:tr>
      <w:tr w:rsidRPr="00A6689B" w:rsidR="00175296" w:rsidTr="004427BF" w14:paraId="2167698E" w14:textId="77777777">
        <w:tc>
          <w:tcPr>
            <w:tcW w:w="1634" w:type="dxa"/>
          </w:tcPr>
          <w:p w:rsidRPr="00A6689B" w:rsidR="00175296" w:rsidP="004427BF" w:rsidRDefault="00175296" w14:paraId="60BF4932" w14:textId="77777777">
            <w:pPr>
              <w:spacing w:line="240" w:lineRule="auto"/>
              <w:ind w:left="709"/>
              <w:rPr>
                <w:i/>
              </w:rPr>
            </w:pPr>
            <w:r>
              <w:rPr>
                <w:i/>
              </w:rPr>
              <w:t>Sähköposti</w:t>
            </w:r>
          </w:p>
        </w:tc>
        <w:tc>
          <w:tcPr>
            <w:tcW w:w="5670" w:type="dxa"/>
          </w:tcPr>
          <w:p w:rsidRPr="000A3410" w:rsidR="00175296" w:rsidP="004427BF" w:rsidRDefault="00175296" w14:paraId="2567FD26" w14:textId="77777777">
            <w:pPr>
              <w:spacing w:line="240" w:lineRule="auto"/>
              <w:ind w:left="709"/>
              <w:rPr>
                <w:i/>
                <w:iCs/>
                <w:color w:val="0000FF"/>
                <w:u w:val="single"/>
              </w:rPr>
            </w:pPr>
            <w:hyperlink w:history="1" r:id="rId31">
              <w:r>
                <w:rPr>
                  <w:rStyle w:val="Hyperlink"/>
                  <w:i/>
                </w:rPr>
                <w:t>Judit.CarrerasGarcia@eesc.europa.eu</w:t>
              </w:r>
            </w:hyperlink>
          </w:p>
        </w:tc>
      </w:tr>
    </w:tbl>
    <w:p w:rsidR="00A329C8" w:rsidRDefault="00A329C8" w14:paraId="78CB8038" w14:textId="77777777">
      <w:pPr>
        <w:spacing w:after="160" w:line="259" w:lineRule="auto"/>
        <w:jc w:val="left"/>
        <w:rPr>
          <w:b/>
          <w:bCs/>
        </w:rPr>
      </w:pPr>
      <w:r>
        <w:br w:type="page"/>
      </w:r>
    </w:p>
    <w:p w:rsidRPr="00AC2083" w:rsidR="00175296" w:rsidP="00175296" w:rsidRDefault="00175296" w14:paraId="71F9AA62" w14:textId="77777777">
      <w:pPr>
        <w:widowControl w:val="0"/>
        <w:numPr>
          <w:ilvl w:val="0"/>
          <w:numId w:val="6"/>
        </w:numPr>
        <w:overflowPunct w:val="0"/>
        <w:autoSpaceDE w:val="0"/>
        <w:autoSpaceDN w:val="0"/>
        <w:adjustRightInd w:val="0"/>
        <w:ind w:left="567" w:hanging="567"/>
        <w:textAlignment w:val="baseline"/>
        <w:rPr>
          <w:b/>
          <w:i/>
          <w:sz w:val="28"/>
        </w:rPr>
      </w:pPr>
      <w:hyperlink w:history="1" r:id="rId32">
        <w:r>
          <w:rPr>
            <w:rStyle w:val="Hyperlink"/>
            <w:b/>
            <w:i/>
            <w:sz w:val="28"/>
          </w:rPr>
          <w:t>Eläinten hyvinvointia koskevan lainsäädännön tarkistaminen</w:t>
        </w:r>
      </w:hyperlink>
    </w:p>
    <w:p w:rsidRPr="008F787F" w:rsidR="00175296" w:rsidP="00175296" w:rsidRDefault="00175296" w14:paraId="120A684B" w14:textId="77777777">
      <w:pPr>
        <w:tabs>
          <w:tab w:val="center" w:pos="284"/>
        </w:tabs>
        <w:ind w:left="266" w:hanging="266"/>
      </w:pPr>
    </w:p>
    <w:tbl>
      <w:tblPr>
        <w:tblStyle w:val="TableGrid"/>
        <w:tblW w:w="89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6804"/>
      </w:tblGrid>
      <w:tr w:rsidRPr="00A6689B" w:rsidR="00175296" w:rsidTr="004427BF" w14:paraId="2B389AE0" w14:textId="77777777">
        <w:tc>
          <w:tcPr>
            <w:tcW w:w="2127" w:type="dxa"/>
          </w:tcPr>
          <w:p w:rsidRPr="00A6689B" w:rsidR="00175296" w:rsidP="004427BF" w:rsidRDefault="00175296" w14:paraId="344FADEF" w14:textId="77777777">
            <w:pPr>
              <w:tabs>
                <w:tab w:val="center" w:pos="284"/>
              </w:tabs>
              <w:ind w:left="266" w:hanging="266"/>
              <w:rPr>
                <w:b/>
              </w:rPr>
            </w:pPr>
            <w:r>
              <w:rPr>
                <w:b/>
              </w:rPr>
              <w:t xml:space="preserve">Esittelijä </w:t>
            </w:r>
          </w:p>
        </w:tc>
        <w:tc>
          <w:tcPr>
            <w:tcW w:w="6804" w:type="dxa"/>
          </w:tcPr>
          <w:p w:rsidRPr="00A6689B" w:rsidR="00175296" w:rsidP="004427BF" w:rsidRDefault="00175296" w14:paraId="6FD07580" w14:textId="77777777">
            <w:pPr>
              <w:tabs>
                <w:tab w:val="center" w:pos="284"/>
              </w:tabs>
              <w:ind w:left="266" w:hanging="266"/>
            </w:pPr>
            <w:proofErr w:type="spellStart"/>
            <w:r>
              <w:t>Jaume</w:t>
            </w:r>
            <w:proofErr w:type="spellEnd"/>
            <w:r>
              <w:t xml:space="preserve"> BERNIS CASTELLS (kansalaisyhteiskunnan organisaatiot – ES)</w:t>
            </w:r>
          </w:p>
        </w:tc>
      </w:tr>
      <w:tr w:rsidRPr="00A6689B" w:rsidR="00175296" w:rsidTr="004427BF" w14:paraId="79E64777" w14:textId="77777777">
        <w:tc>
          <w:tcPr>
            <w:tcW w:w="8931" w:type="dxa"/>
            <w:gridSpan w:val="2"/>
          </w:tcPr>
          <w:p w:rsidRPr="00A6689B" w:rsidR="00175296" w:rsidP="004427BF" w:rsidRDefault="00175296" w14:paraId="359A4217" w14:textId="77777777">
            <w:pPr>
              <w:tabs>
                <w:tab w:val="center" w:pos="284"/>
              </w:tabs>
              <w:spacing w:line="160" w:lineRule="exact"/>
              <w:ind w:left="266" w:hanging="266"/>
              <w:rPr>
                <w:lang w:val="en-US"/>
              </w:rPr>
            </w:pPr>
          </w:p>
        </w:tc>
      </w:tr>
      <w:tr w:rsidRPr="00A6689B" w:rsidR="00175296" w:rsidTr="004427BF" w14:paraId="09CDDDE6" w14:textId="77777777">
        <w:tc>
          <w:tcPr>
            <w:tcW w:w="2127" w:type="dxa"/>
          </w:tcPr>
          <w:p w:rsidRPr="00A6689B" w:rsidR="00175296" w:rsidP="004427BF" w:rsidRDefault="00175296" w14:paraId="12509BA4" w14:textId="77777777">
            <w:pPr>
              <w:tabs>
                <w:tab w:val="center" w:pos="284"/>
              </w:tabs>
              <w:ind w:left="266" w:hanging="266"/>
              <w:rPr>
                <w:b/>
              </w:rPr>
            </w:pPr>
            <w:r>
              <w:rPr>
                <w:b/>
              </w:rPr>
              <w:t>Viiteasiakirja</w:t>
            </w:r>
          </w:p>
        </w:tc>
        <w:tc>
          <w:tcPr>
            <w:tcW w:w="6804" w:type="dxa"/>
          </w:tcPr>
          <w:p w:rsidRPr="00A6689B" w:rsidR="00175296" w:rsidP="004427BF" w:rsidRDefault="00175296" w14:paraId="396F9C59" w14:textId="77777777">
            <w:pPr>
              <w:tabs>
                <w:tab w:val="center" w:pos="284"/>
              </w:tabs>
              <w:ind w:left="266" w:hanging="266"/>
            </w:pPr>
            <w:r>
              <w:t>EESC-2023-05464-00-00-AC</w:t>
            </w:r>
          </w:p>
        </w:tc>
      </w:tr>
    </w:tbl>
    <w:p w:rsidR="00175296" w:rsidP="00175296" w:rsidRDefault="00175296" w14:paraId="39C672AF" w14:textId="77777777">
      <w:pPr>
        <w:keepNext/>
        <w:keepLines/>
        <w:tabs>
          <w:tab w:val="center" w:pos="284"/>
        </w:tabs>
        <w:ind w:left="266" w:hanging="266"/>
        <w:rPr>
          <w:b/>
        </w:rPr>
      </w:pPr>
    </w:p>
    <w:p w:rsidRPr="00A6689B" w:rsidR="00175296" w:rsidP="00175296" w:rsidRDefault="00175296" w14:paraId="0D2A6AE9" w14:textId="77777777">
      <w:pPr>
        <w:keepNext/>
        <w:keepLines/>
        <w:tabs>
          <w:tab w:val="center" w:pos="284"/>
        </w:tabs>
        <w:ind w:left="266" w:hanging="266"/>
        <w:rPr>
          <w:b/>
        </w:rPr>
      </w:pPr>
      <w:r>
        <w:rPr>
          <w:b/>
        </w:rPr>
        <w:t>Keskeiset kohdat</w:t>
      </w:r>
    </w:p>
    <w:p w:rsidRPr="0006661F" w:rsidR="00175296" w:rsidP="00175296" w:rsidRDefault="00175296" w14:paraId="2F541D20" w14:textId="77777777">
      <w:pPr>
        <w:keepNext/>
        <w:keepLines/>
        <w:tabs>
          <w:tab w:val="center" w:pos="284"/>
        </w:tabs>
        <w:ind w:left="266" w:hanging="266"/>
      </w:pPr>
    </w:p>
    <w:p w:rsidRPr="0006661F" w:rsidR="00175296" w:rsidP="00175296" w:rsidRDefault="00175296" w14:paraId="48EE1C1B" w14:textId="77777777">
      <w:pPr>
        <w:keepNext/>
        <w:keepLines/>
        <w:tabs>
          <w:tab w:val="center" w:pos="284"/>
        </w:tabs>
        <w:ind w:left="266" w:hanging="266"/>
      </w:pPr>
      <w:r>
        <w:t>ETSK</w:t>
      </w:r>
    </w:p>
    <w:p w:rsidR="00175296" w:rsidP="00175296" w:rsidRDefault="00175296" w14:paraId="71B91C96" w14:textId="77777777">
      <w:pPr>
        <w:pStyle w:val="Heading2"/>
        <w:numPr>
          <w:ilvl w:val="0"/>
          <w:numId w:val="6"/>
        </w:numPr>
        <w:ind w:left="360" w:hanging="360"/>
      </w:pPr>
      <w:r>
        <w:t>pyytää komissiota ottamaan huomioon karjankasvattajien, eläinkuljettajien ja eläinlääkärien käytännön tietämyksen säännösten täytäntöönpanemiseksi ja yhdenmukaistamiseksi.</w:t>
      </w:r>
    </w:p>
    <w:p w:rsidR="00175296" w:rsidP="00175296" w:rsidRDefault="00175296" w14:paraId="658A8C18" w14:textId="77777777">
      <w:pPr>
        <w:pStyle w:val="Heading2"/>
        <w:numPr>
          <w:ilvl w:val="0"/>
          <w:numId w:val="6"/>
        </w:numPr>
        <w:ind w:left="360" w:hanging="360"/>
      </w:pPr>
      <w:r>
        <w:t xml:space="preserve">katsoo, että </w:t>
      </w:r>
      <w:r>
        <w:rPr>
          <w:b/>
        </w:rPr>
        <w:t>lainsäädäntö, jota ei kyetä mukauttamaan</w:t>
      </w:r>
      <w:r>
        <w:t xml:space="preserve"> 27 jäsenvaltiossa vallitseviin erilaisiin olosuhteisiin, </w:t>
      </w:r>
      <w:r>
        <w:rPr>
          <w:b/>
        </w:rPr>
        <w:t>voi johtaa epäsymmetrisiin tilanteisiin</w:t>
      </w:r>
      <w:r>
        <w:t>.</w:t>
      </w:r>
    </w:p>
    <w:p w:rsidR="00175296" w:rsidP="00175296" w:rsidRDefault="00175296" w14:paraId="0F2D5A40" w14:textId="77777777">
      <w:pPr>
        <w:pStyle w:val="Heading2"/>
        <w:numPr>
          <w:ilvl w:val="0"/>
          <w:numId w:val="6"/>
        </w:numPr>
        <w:ind w:left="360" w:hanging="360"/>
      </w:pPr>
      <w:r>
        <w:t xml:space="preserve">pyytää komissiota </w:t>
      </w:r>
      <w:r>
        <w:rPr>
          <w:b/>
        </w:rPr>
        <w:t>varmistamaan</w:t>
      </w:r>
      <w:r>
        <w:t xml:space="preserve">, </w:t>
      </w:r>
      <w:r>
        <w:rPr>
          <w:b/>
        </w:rPr>
        <w:t>etteivät</w:t>
      </w:r>
      <w:r>
        <w:t xml:space="preserve"> lainsäädännön </w:t>
      </w:r>
      <w:r>
        <w:rPr>
          <w:b/>
        </w:rPr>
        <w:t>täytäntöönpanon kustannukset</w:t>
      </w:r>
      <w:r>
        <w:t xml:space="preserve"> </w:t>
      </w:r>
      <w:r>
        <w:rPr>
          <w:b/>
        </w:rPr>
        <w:t>päädy</w:t>
      </w:r>
      <w:r>
        <w:t xml:space="preserve"> alan </w:t>
      </w:r>
      <w:r>
        <w:rPr>
          <w:b/>
        </w:rPr>
        <w:t>toimijoiden maksettaviksi</w:t>
      </w:r>
      <w:r>
        <w:t>.</w:t>
      </w:r>
    </w:p>
    <w:p w:rsidR="00175296" w:rsidP="00175296" w:rsidRDefault="00175296" w14:paraId="59EC0172" w14:textId="77777777">
      <w:pPr>
        <w:pStyle w:val="Heading2"/>
        <w:numPr>
          <w:ilvl w:val="0"/>
          <w:numId w:val="6"/>
        </w:numPr>
        <w:ind w:left="360" w:hanging="360"/>
      </w:pPr>
      <w:r>
        <w:t xml:space="preserve">toteaa, että </w:t>
      </w:r>
      <w:r>
        <w:rPr>
          <w:b/>
        </w:rPr>
        <w:t>toimijat</w:t>
      </w:r>
      <w:r>
        <w:t xml:space="preserve"> (erityisesti karjankasvattajat, kuljettajat ja eläinlääkärit) </w:t>
      </w:r>
      <w:r>
        <w:rPr>
          <w:b/>
        </w:rPr>
        <w:t>joutuvat</w:t>
      </w:r>
      <w:r>
        <w:t xml:space="preserve"> asetusehdotuksen </w:t>
      </w:r>
      <w:r>
        <w:rPr>
          <w:b/>
        </w:rPr>
        <w:t>säännösten</w:t>
      </w:r>
      <w:r>
        <w:t xml:space="preserve"> </w:t>
      </w:r>
      <w:r>
        <w:rPr>
          <w:b/>
        </w:rPr>
        <w:t>seurauksena työskentelemään yövuoroissa</w:t>
      </w:r>
      <w:r>
        <w:t>.</w:t>
      </w:r>
    </w:p>
    <w:p w:rsidR="00175296" w:rsidP="00175296" w:rsidRDefault="00175296" w14:paraId="4E005518" w14:textId="77777777">
      <w:pPr>
        <w:pStyle w:val="Heading2"/>
        <w:numPr>
          <w:ilvl w:val="0"/>
          <w:numId w:val="6"/>
        </w:numPr>
        <w:ind w:left="360" w:hanging="360"/>
      </w:pPr>
      <w:r>
        <w:t xml:space="preserve">pyytää komissiota </w:t>
      </w:r>
      <w:r>
        <w:rPr>
          <w:b/>
        </w:rPr>
        <w:t>ottamaan huomioon ehdotuksen vaikutukset toimitusketjuihin</w:t>
      </w:r>
      <w:r>
        <w:t>, jotka ovat rakentuneet ja yleistyneet vuosien kuluessa nykyisten aikataulurajoitusten pohjalta.</w:t>
      </w:r>
    </w:p>
    <w:p w:rsidR="00175296" w:rsidP="00175296" w:rsidRDefault="00175296" w14:paraId="7DCD5C05" w14:textId="77777777">
      <w:pPr>
        <w:pStyle w:val="Heading2"/>
        <w:numPr>
          <w:ilvl w:val="0"/>
          <w:numId w:val="6"/>
        </w:numPr>
        <w:ind w:left="360" w:hanging="360"/>
      </w:pPr>
      <w:r>
        <w:t>varoittaa seurauksista, joita voi aiheutua siitä, että eläinten kuljetukset teurastettavaksi rajoitetaan lyhyisiin alle yhdeksän tuntia kestäviin kuljetuksiin.</w:t>
      </w:r>
    </w:p>
    <w:p w:rsidR="00175296" w:rsidP="00175296" w:rsidRDefault="00175296" w14:paraId="4A503802" w14:textId="77777777">
      <w:pPr>
        <w:pStyle w:val="Heading2"/>
        <w:numPr>
          <w:ilvl w:val="0"/>
          <w:numId w:val="6"/>
        </w:numPr>
        <w:ind w:left="360" w:hanging="360"/>
      </w:pPr>
      <w:r>
        <w:t xml:space="preserve">katsoo, että </w:t>
      </w:r>
      <w:r>
        <w:rPr>
          <w:b/>
        </w:rPr>
        <w:t>ehdotetut</w:t>
      </w:r>
      <w:r>
        <w:t xml:space="preserve"> uudet </w:t>
      </w:r>
      <w:r>
        <w:rPr>
          <w:b/>
        </w:rPr>
        <w:t>tekniset vaatimukset</w:t>
      </w:r>
      <w:r>
        <w:t xml:space="preserve"> maaeläinten kuljetuskuntoisuudesta </w:t>
      </w:r>
      <w:r>
        <w:rPr>
          <w:b/>
        </w:rPr>
        <w:t>saattavat johtaa lukuisien karjatilojen toiminnan lopettamiseen</w:t>
      </w:r>
      <w:r>
        <w:t>.</w:t>
      </w:r>
    </w:p>
    <w:p w:rsidR="00175296" w:rsidP="00175296" w:rsidRDefault="00175296" w14:paraId="028178E0" w14:textId="77777777">
      <w:pPr>
        <w:pStyle w:val="Heading2"/>
        <w:numPr>
          <w:ilvl w:val="0"/>
          <w:numId w:val="6"/>
        </w:numPr>
        <w:ind w:left="360" w:hanging="360"/>
      </w:pPr>
      <w:r>
        <w:t xml:space="preserve">katsoo, että </w:t>
      </w:r>
      <w:r>
        <w:rPr>
          <w:b/>
        </w:rPr>
        <w:t>nuorten eläinten</w:t>
      </w:r>
      <w:r>
        <w:t xml:space="preserve">, kuten vieroittamattomien vasikoiden, karitsojen, vohlien, porsaiden ja varsojen, </w:t>
      </w:r>
      <w:r>
        <w:rPr>
          <w:b/>
        </w:rPr>
        <w:t>pitkien maantiekuljetusten kiellolla on merkittäviä vaikutuksia eläinrotujen tuontiin</w:t>
      </w:r>
      <w:r>
        <w:t xml:space="preserve"> muista Euroopan unionin jäsenvaltioista.</w:t>
      </w:r>
    </w:p>
    <w:p w:rsidR="00175296" w:rsidP="00175296" w:rsidRDefault="00175296" w14:paraId="3C06DC2D" w14:textId="77777777">
      <w:pPr>
        <w:pStyle w:val="Heading2"/>
        <w:numPr>
          <w:ilvl w:val="0"/>
          <w:numId w:val="6"/>
        </w:numPr>
        <w:ind w:left="360" w:hanging="360"/>
      </w:pPr>
      <w:r>
        <w:t xml:space="preserve">kehottaa komissiota </w:t>
      </w:r>
      <w:r>
        <w:rPr>
          <w:b/>
        </w:rPr>
        <w:t>ottamaan</w:t>
      </w:r>
      <w:r>
        <w:t xml:space="preserve"> ehdotuksen 31 artiklan säännöksissä </w:t>
      </w:r>
      <w:r>
        <w:rPr>
          <w:b/>
        </w:rPr>
        <w:t>huomioon</w:t>
      </w:r>
      <w:r>
        <w:t xml:space="preserve"> jäsenvaltioiden</w:t>
      </w:r>
      <w:r>
        <w:rPr>
          <w:b/>
        </w:rPr>
        <w:t xml:space="preserve"> erilaiset ilmasto-olosuhteet</w:t>
      </w:r>
      <w:r>
        <w:t>.</w:t>
      </w:r>
    </w:p>
    <w:p w:rsidR="00175296" w:rsidP="00175296" w:rsidRDefault="00175296" w14:paraId="6E398A08" w14:textId="77777777">
      <w:pPr>
        <w:pStyle w:val="Heading2"/>
        <w:numPr>
          <w:ilvl w:val="0"/>
          <w:numId w:val="6"/>
        </w:numPr>
        <w:ind w:left="360" w:hanging="360"/>
      </w:pPr>
      <w:r>
        <w:t xml:space="preserve">pitää perustavan tärkeänä </w:t>
      </w:r>
      <w:r>
        <w:rPr>
          <w:b/>
        </w:rPr>
        <w:t>edistää lyhyitä jakelukanavia</w:t>
      </w:r>
      <w:r>
        <w:t>, sillä se on tehokas keino vähentää pitkien kuljetusten tarvetta, kun etäisyydet eläinten kasvatus-, lihotus-, teurastus- ja kulutuspaikkojen välillä ovat lyhyempiä.</w:t>
      </w:r>
    </w:p>
    <w:p w:rsidRPr="0006661F" w:rsidR="00175296" w:rsidP="00175296" w:rsidRDefault="00175296" w14:paraId="30714407" w14:textId="77777777">
      <w:pPr>
        <w:pStyle w:val="Heading2"/>
        <w:numPr>
          <w:ilvl w:val="0"/>
          <w:numId w:val="6"/>
        </w:numPr>
        <w:ind w:left="360" w:hanging="360"/>
      </w:pPr>
      <w:r>
        <w:t xml:space="preserve">kannattaa aloitteita, joilla pyritään terveydellisin, taloudellisin ja oikeudellisin perustein </w:t>
      </w:r>
      <w:r>
        <w:rPr>
          <w:b/>
        </w:rPr>
        <w:t>turvaamaan paikalliset teurastamot ja edistämään tiloilla tapahtuvaa teurastusta</w:t>
      </w:r>
      <w:r>
        <w:t>, kun se on tarkoituksenmukaista tilan koon ja paikallisten olosuhteiden kannalta.</w:t>
      </w:r>
    </w:p>
    <w:p w:rsidRPr="005F1799" w:rsidR="00175296" w:rsidP="00175296" w:rsidRDefault="00175296" w14:paraId="044B8269" w14:textId="77777777">
      <w:pPr>
        <w:widowControl w:val="0"/>
        <w:rPr>
          <w:sz w:val="16"/>
          <w:szCs w:val="16"/>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A6689B" w:rsidR="00175296" w:rsidTr="004427BF" w14:paraId="33A58EA1" w14:textId="77777777">
        <w:tc>
          <w:tcPr>
            <w:tcW w:w="2127" w:type="dxa"/>
          </w:tcPr>
          <w:p w:rsidRPr="00A6689B" w:rsidR="00175296" w:rsidP="004427BF" w:rsidRDefault="00175296" w14:paraId="5FD69CA8" w14:textId="77777777">
            <w:pPr>
              <w:spacing w:line="240" w:lineRule="auto"/>
              <w:rPr>
                <w:i/>
              </w:rPr>
            </w:pPr>
            <w:r>
              <w:rPr>
                <w:b/>
                <w:i/>
              </w:rPr>
              <w:t xml:space="preserve">Yhteydenotot </w:t>
            </w:r>
          </w:p>
        </w:tc>
        <w:tc>
          <w:tcPr>
            <w:tcW w:w="4252" w:type="dxa"/>
          </w:tcPr>
          <w:p w:rsidRPr="00A6689B" w:rsidR="00175296" w:rsidP="004427BF" w:rsidRDefault="00175296" w14:paraId="4744C0CF" w14:textId="77777777">
            <w:pPr>
              <w:spacing w:line="240" w:lineRule="auto"/>
              <w:rPr>
                <w:i/>
              </w:rPr>
            </w:pPr>
            <w:proofErr w:type="spellStart"/>
            <w:r>
              <w:rPr>
                <w:i/>
              </w:rPr>
              <w:t>Arturo</w:t>
            </w:r>
            <w:proofErr w:type="spellEnd"/>
            <w:r>
              <w:rPr>
                <w:i/>
              </w:rPr>
              <w:t xml:space="preserve"> ÍÑIGUEZ</w:t>
            </w:r>
          </w:p>
        </w:tc>
      </w:tr>
      <w:tr w:rsidRPr="00A6689B" w:rsidR="00175296" w:rsidTr="004427BF" w14:paraId="779E8A89" w14:textId="77777777">
        <w:tc>
          <w:tcPr>
            <w:tcW w:w="2127" w:type="dxa"/>
          </w:tcPr>
          <w:p w:rsidRPr="00A6689B" w:rsidR="00175296" w:rsidP="004427BF" w:rsidRDefault="00175296" w14:paraId="715D90A0" w14:textId="77777777">
            <w:pPr>
              <w:spacing w:line="240" w:lineRule="auto"/>
              <w:rPr>
                <w:i/>
              </w:rPr>
            </w:pPr>
            <w:r>
              <w:rPr>
                <w:i/>
              </w:rPr>
              <w:t>P.</w:t>
            </w:r>
          </w:p>
        </w:tc>
        <w:tc>
          <w:tcPr>
            <w:tcW w:w="4252" w:type="dxa"/>
          </w:tcPr>
          <w:p w:rsidRPr="00A6689B" w:rsidR="00175296" w:rsidP="004427BF" w:rsidRDefault="00175296" w14:paraId="2D8237AC" w14:textId="77777777">
            <w:pPr>
              <w:spacing w:line="240" w:lineRule="auto"/>
              <w:rPr>
                <w:i/>
              </w:rPr>
            </w:pPr>
            <w:r>
              <w:rPr>
                <w:i/>
              </w:rPr>
              <w:t>+32 25468768</w:t>
            </w:r>
          </w:p>
        </w:tc>
      </w:tr>
      <w:tr w:rsidRPr="00A6689B" w:rsidR="00175296" w:rsidTr="004427BF" w14:paraId="1C47AE8C" w14:textId="77777777">
        <w:tc>
          <w:tcPr>
            <w:tcW w:w="2127" w:type="dxa"/>
          </w:tcPr>
          <w:p w:rsidRPr="00A6689B" w:rsidR="00175296" w:rsidP="004427BF" w:rsidRDefault="00175296" w14:paraId="1835ADCC" w14:textId="77777777">
            <w:pPr>
              <w:spacing w:line="240" w:lineRule="auto"/>
              <w:rPr>
                <w:i/>
              </w:rPr>
            </w:pPr>
            <w:r>
              <w:rPr>
                <w:i/>
              </w:rPr>
              <w:t>Sähköposti</w:t>
            </w:r>
          </w:p>
        </w:tc>
        <w:tc>
          <w:tcPr>
            <w:tcW w:w="4252" w:type="dxa"/>
          </w:tcPr>
          <w:p w:rsidRPr="003212B1" w:rsidR="00175296" w:rsidP="004427BF" w:rsidRDefault="00175296" w14:paraId="5E5920AE" w14:textId="77777777">
            <w:pPr>
              <w:spacing w:line="240" w:lineRule="auto"/>
              <w:rPr>
                <w:i/>
                <w:iCs/>
              </w:rPr>
            </w:pPr>
            <w:hyperlink w:history="1" r:id="rId33">
              <w:r>
                <w:rPr>
                  <w:rStyle w:val="Hyperlink"/>
                  <w:i/>
                </w:rPr>
                <w:t>Arturo.Iniguez@eesc.europa.eu</w:t>
              </w:r>
            </w:hyperlink>
          </w:p>
        </w:tc>
      </w:tr>
    </w:tbl>
    <w:p w:rsidR="00A329C8" w:rsidP="00A329C8" w:rsidRDefault="00A329C8" w14:paraId="4A4D6D18" w14:textId="77777777">
      <w:pPr>
        <w:spacing w:after="160" w:line="259" w:lineRule="auto"/>
        <w:jc w:val="left"/>
        <w:rPr>
          <w:b/>
          <w:bCs/>
        </w:rPr>
      </w:pPr>
    </w:p>
    <w:p w:rsidR="00386C01" w:rsidRDefault="00386C01" w14:paraId="783F6CD8" w14:textId="765D6A7F">
      <w:pPr>
        <w:spacing w:after="160" w:line="259" w:lineRule="auto"/>
        <w:jc w:val="left"/>
        <w:rPr>
          <w:b/>
          <w:bCs/>
        </w:rPr>
      </w:pPr>
      <w:r>
        <w:br w:type="page"/>
      </w:r>
    </w:p>
    <w:p w:rsidR="00895853" w:rsidP="00770F41" w:rsidRDefault="00895853" w14:paraId="1C46B2C3" w14:textId="7E834008">
      <w:pPr>
        <w:pStyle w:val="Heading1"/>
        <w:tabs>
          <w:tab w:val="clear" w:pos="440"/>
          <w:tab w:val="left" w:pos="567"/>
        </w:tabs>
        <w:ind w:left="567" w:hanging="567"/>
        <w:rPr>
          <w:b/>
          <w:bCs/>
        </w:rPr>
      </w:pPr>
      <w:bookmarkStart w:name="_Toc166847138" w:id="4"/>
      <w:bookmarkStart w:name="_Toc169873282" w:id="5"/>
      <w:bookmarkEnd w:id="4"/>
      <w:r>
        <w:rPr>
          <w:b/>
        </w:rPr>
        <w:lastRenderedPageBreak/>
        <w:t>LIIKENNE, ENERGIA, PERUSRAKENTEET, TIETOYHTEISKUNTA</w:t>
      </w:r>
      <w:bookmarkEnd w:id="5"/>
    </w:p>
    <w:p w:rsidR="005C28F2" w:rsidP="00895853" w:rsidRDefault="005C28F2" w14:paraId="089CB383" w14:textId="77777777"/>
    <w:p w:rsidR="00EC48BE" w:rsidP="00895853" w:rsidRDefault="00EC48BE" w14:paraId="2F9D2873" w14:textId="2ADBE64F"/>
    <w:p w:rsidRPr="0090785F" w:rsidR="00175296" w:rsidP="00175296" w:rsidRDefault="00175296" w14:paraId="70731C4F" w14:textId="77777777">
      <w:pPr>
        <w:widowControl w:val="0"/>
        <w:numPr>
          <w:ilvl w:val="0"/>
          <w:numId w:val="30"/>
        </w:numPr>
        <w:overflowPunct w:val="0"/>
        <w:autoSpaceDE w:val="0"/>
        <w:autoSpaceDN w:val="0"/>
        <w:adjustRightInd w:val="0"/>
        <w:ind w:hanging="567"/>
        <w:textAlignment w:val="baseline"/>
        <w:rPr>
          <w:b/>
          <w:bCs/>
          <w:i/>
          <w:iCs/>
          <w:sz w:val="28"/>
          <w:szCs w:val="28"/>
        </w:rPr>
      </w:pPr>
      <w:hyperlink w:history="1" r:id="rId34">
        <w:r w:rsidRPr="0090785F">
          <w:rPr>
            <w:rStyle w:val="Hyperlink"/>
            <w:b/>
            <w:bCs/>
            <w:i/>
            <w:iCs/>
            <w:sz w:val="28"/>
            <w:szCs w:val="28"/>
          </w:rPr>
          <w:t>EU:n syöväntorjuntasuunnitelma: lääketieteellisten radioisotooppien toimitusvarmuuden edistäminen</w:t>
        </w:r>
      </w:hyperlink>
    </w:p>
    <w:p w:rsidRPr="00A6689B" w:rsidR="00175296" w:rsidP="00175296" w:rsidRDefault="00175296" w14:paraId="0B11F0D9" w14:textId="77777777">
      <w:pPr>
        <w:tabs>
          <w:tab w:val="center" w:pos="284"/>
        </w:tabs>
        <w:ind w:left="266" w:hanging="266"/>
        <w:rPr>
          <w:b/>
        </w:rPr>
      </w:pPr>
    </w:p>
    <w:tbl>
      <w:tblPr>
        <w:tblStyle w:val="TableGrid"/>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287"/>
      </w:tblGrid>
      <w:tr w:rsidRPr="00A6689B" w:rsidR="00175296" w:rsidTr="004427BF" w14:paraId="19E61507" w14:textId="77777777">
        <w:tc>
          <w:tcPr>
            <w:tcW w:w="1591" w:type="pct"/>
          </w:tcPr>
          <w:p w:rsidRPr="00A6689B" w:rsidR="00175296" w:rsidP="004427BF" w:rsidRDefault="00175296" w14:paraId="4A5168E8" w14:textId="77777777">
            <w:pPr>
              <w:tabs>
                <w:tab w:val="center" w:pos="284"/>
              </w:tabs>
              <w:ind w:left="266" w:right="318" w:hanging="266"/>
              <w:rPr>
                <w:b/>
              </w:rPr>
            </w:pPr>
            <w:r>
              <w:rPr>
                <w:b/>
              </w:rPr>
              <w:t>Esittelijä</w:t>
            </w:r>
          </w:p>
        </w:tc>
        <w:tc>
          <w:tcPr>
            <w:tcW w:w="3409" w:type="pct"/>
          </w:tcPr>
          <w:p w:rsidRPr="00A6689B" w:rsidR="00175296" w:rsidP="004427BF" w:rsidRDefault="00175296" w14:paraId="30326F56" w14:textId="77777777">
            <w:pPr>
              <w:tabs>
                <w:tab w:val="center" w:pos="284"/>
              </w:tabs>
              <w:ind w:left="266" w:hanging="266"/>
            </w:pPr>
            <w:r>
              <w:t xml:space="preserve">Alena </w:t>
            </w:r>
            <w:proofErr w:type="spellStart"/>
            <w:r>
              <w:t>Mastantuono</w:t>
            </w:r>
            <w:proofErr w:type="spellEnd"/>
            <w:r>
              <w:t xml:space="preserve"> (CZ–I)</w:t>
            </w:r>
          </w:p>
        </w:tc>
      </w:tr>
      <w:tr w:rsidRPr="00A6689B" w:rsidR="00175296" w:rsidTr="004427BF" w14:paraId="2B37A165" w14:textId="77777777">
        <w:tc>
          <w:tcPr>
            <w:tcW w:w="1591" w:type="pct"/>
          </w:tcPr>
          <w:p w:rsidRPr="00A6689B" w:rsidR="00175296" w:rsidP="004427BF" w:rsidRDefault="00175296" w14:paraId="2AC17EC4" w14:textId="77777777">
            <w:pPr>
              <w:tabs>
                <w:tab w:val="center" w:pos="284"/>
              </w:tabs>
              <w:ind w:left="266" w:hanging="266"/>
              <w:rPr>
                <w:b/>
              </w:rPr>
            </w:pPr>
            <w:r>
              <w:rPr>
                <w:b/>
              </w:rPr>
              <w:t>Yhteisesittelijä</w:t>
            </w:r>
          </w:p>
        </w:tc>
        <w:tc>
          <w:tcPr>
            <w:tcW w:w="3409" w:type="pct"/>
          </w:tcPr>
          <w:p w:rsidRPr="00A6689B" w:rsidR="00175296" w:rsidP="004427BF" w:rsidRDefault="00175296" w14:paraId="5C28FB25" w14:textId="77777777">
            <w:pPr>
              <w:tabs>
                <w:tab w:val="center" w:pos="284"/>
              </w:tabs>
              <w:ind w:left="266" w:hanging="266"/>
            </w:pPr>
            <w:r>
              <w:t xml:space="preserve">Philippe </w:t>
            </w:r>
            <w:proofErr w:type="spellStart"/>
            <w:r>
              <w:t>Charry</w:t>
            </w:r>
            <w:proofErr w:type="spellEnd"/>
            <w:r>
              <w:t xml:space="preserve"> (FR–II)</w:t>
            </w:r>
          </w:p>
        </w:tc>
      </w:tr>
      <w:tr w:rsidRPr="00A6689B" w:rsidR="00175296" w:rsidTr="004427BF" w14:paraId="38CB8446" w14:textId="77777777">
        <w:tc>
          <w:tcPr>
            <w:tcW w:w="5000" w:type="pct"/>
            <w:gridSpan w:val="2"/>
          </w:tcPr>
          <w:p w:rsidRPr="00A6689B" w:rsidR="00175296" w:rsidP="004427BF" w:rsidRDefault="00175296" w14:paraId="10376933" w14:textId="77777777">
            <w:pPr>
              <w:tabs>
                <w:tab w:val="center" w:pos="284"/>
              </w:tabs>
              <w:spacing w:line="160" w:lineRule="exact"/>
              <w:ind w:left="266" w:hanging="266"/>
              <w:rPr>
                <w:lang w:val="en-US"/>
              </w:rPr>
            </w:pPr>
          </w:p>
        </w:tc>
      </w:tr>
      <w:tr w:rsidRPr="00A6689B" w:rsidR="00175296" w:rsidTr="004427BF" w14:paraId="3F8CD870" w14:textId="77777777">
        <w:tc>
          <w:tcPr>
            <w:tcW w:w="1591" w:type="pct"/>
            <w:vMerge w:val="restart"/>
          </w:tcPr>
          <w:p w:rsidRPr="00A6689B" w:rsidR="00175296" w:rsidP="004427BF" w:rsidRDefault="00175296" w14:paraId="729E347D" w14:textId="77777777">
            <w:pPr>
              <w:tabs>
                <w:tab w:val="center" w:pos="284"/>
              </w:tabs>
              <w:ind w:left="266" w:hanging="266"/>
              <w:rPr>
                <w:b/>
              </w:rPr>
            </w:pPr>
            <w:r>
              <w:rPr>
                <w:b/>
              </w:rPr>
              <w:t>Viiteasiakirja</w:t>
            </w:r>
          </w:p>
        </w:tc>
        <w:tc>
          <w:tcPr>
            <w:tcW w:w="3409" w:type="pct"/>
          </w:tcPr>
          <w:p w:rsidRPr="00A6689B" w:rsidR="00175296" w:rsidP="004427BF" w:rsidRDefault="00175296" w14:paraId="3A508F0E" w14:textId="77777777">
            <w:pPr>
              <w:tabs>
                <w:tab w:val="center" w:pos="284"/>
              </w:tabs>
              <w:ind w:left="266" w:hanging="266"/>
            </w:pPr>
            <w:r>
              <w:t>EESC-2024-00265-00-00-AC</w:t>
            </w:r>
          </w:p>
        </w:tc>
      </w:tr>
      <w:tr w:rsidRPr="00A6689B" w:rsidR="00175296" w:rsidTr="004427BF" w14:paraId="743D7CBA" w14:textId="77777777">
        <w:tc>
          <w:tcPr>
            <w:tcW w:w="1591" w:type="pct"/>
            <w:vMerge/>
          </w:tcPr>
          <w:p w:rsidRPr="00A6689B" w:rsidR="00175296" w:rsidP="004427BF" w:rsidRDefault="00175296" w14:paraId="19581E0D" w14:textId="77777777">
            <w:pPr>
              <w:tabs>
                <w:tab w:val="center" w:pos="284"/>
              </w:tabs>
              <w:ind w:left="266" w:hanging="266"/>
              <w:rPr>
                <w:b/>
                <w:lang w:val="en-US"/>
              </w:rPr>
            </w:pPr>
          </w:p>
        </w:tc>
        <w:tc>
          <w:tcPr>
            <w:tcW w:w="3409" w:type="pct"/>
          </w:tcPr>
          <w:p w:rsidRPr="00A6689B" w:rsidR="00175296" w:rsidP="004427BF" w:rsidRDefault="00175296" w14:paraId="648598A2" w14:textId="77777777">
            <w:pPr>
              <w:tabs>
                <w:tab w:val="center" w:pos="284"/>
              </w:tabs>
              <w:ind w:left="266" w:hanging="266"/>
              <w:rPr>
                <w:lang w:val="en-US"/>
              </w:rPr>
            </w:pPr>
          </w:p>
        </w:tc>
      </w:tr>
    </w:tbl>
    <w:p w:rsidRPr="00A6689B" w:rsidR="00175296" w:rsidP="00175296" w:rsidRDefault="00175296" w14:paraId="75E6F1C4" w14:textId="77777777">
      <w:pPr>
        <w:tabs>
          <w:tab w:val="center" w:pos="284"/>
        </w:tabs>
        <w:ind w:left="266" w:hanging="266"/>
      </w:pPr>
    </w:p>
    <w:p w:rsidRPr="00A6689B" w:rsidR="00175296" w:rsidP="00175296" w:rsidRDefault="00175296" w14:paraId="37D5D255" w14:textId="77777777">
      <w:pPr>
        <w:keepNext/>
        <w:keepLines/>
        <w:tabs>
          <w:tab w:val="center" w:pos="284"/>
        </w:tabs>
        <w:ind w:left="266" w:hanging="266"/>
        <w:rPr>
          <w:b/>
        </w:rPr>
      </w:pPr>
      <w:r>
        <w:rPr>
          <w:b/>
        </w:rPr>
        <w:t>Keskeiset kohdat</w:t>
      </w:r>
    </w:p>
    <w:p w:rsidRPr="00A6689B" w:rsidR="00175296" w:rsidP="00175296" w:rsidRDefault="00175296" w14:paraId="20F2D089" w14:textId="77777777">
      <w:pPr>
        <w:keepNext/>
        <w:keepLines/>
        <w:tabs>
          <w:tab w:val="center" w:pos="284"/>
        </w:tabs>
        <w:ind w:left="266" w:hanging="266"/>
        <w:rPr>
          <w:b/>
        </w:rPr>
      </w:pPr>
    </w:p>
    <w:p w:rsidRPr="00A6689B" w:rsidR="00175296" w:rsidP="00175296" w:rsidRDefault="00175296" w14:paraId="1E36E074" w14:textId="77777777">
      <w:pPr>
        <w:rPr>
          <w:bCs/>
          <w:iCs/>
        </w:rPr>
      </w:pPr>
      <w:r>
        <w:t>ETSK</w:t>
      </w:r>
    </w:p>
    <w:p w:rsidRPr="00A6689B" w:rsidR="00175296" w:rsidP="00175296" w:rsidRDefault="00175296" w14:paraId="3A4D7CF6" w14:textId="77777777">
      <w:pPr>
        <w:rPr>
          <w:bCs/>
          <w:iCs/>
        </w:rPr>
      </w:pPr>
    </w:p>
    <w:p w:rsidRPr="00A6689B" w:rsidR="00175296" w:rsidP="00175296" w:rsidRDefault="00175296" w14:paraId="49BFB365" w14:textId="77777777">
      <w:pPr>
        <w:widowControl w:val="0"/>
        <w:numPr>
          <w:ilvl w:val="0"/>
          <w:numId w:val="30"/>
        </w:numPr>
        <w:overflowPunct w:val="0"/>
        <w:autoSpaceDE w:val="0"/>
        <w:autoSpaceDN w:val="0"/>
        <w:adjustRightInd w:val="0"/>
        <w:ind w:left="709" w:hanging="425"/>
        <w:textAlignment w:val="baseline"/>
        <w:rPr>
          <w:bCs/>
          <w:iCs/>
        </w:rPr>
      </w:pPr>
      <w:r>
        <w:t>korostaa, että isotooppilääketiede pelastaa miljoonia ihmishenkiä, ja se antaa suurta toivoa syöväntorjuntaan. Komitea tähdentää tarvetta vastata potilaiden tarpeisiin Euroopassa ja varmistaa, että kaikilla potilailla on yhtäläiset mahdollisuudet saada syöpähoitoja.</w:t>
      </w:r>
    </w:p>
    <w:p w:rsidRPr="00A6689B" w:rsidR="00175296" w:rsidP="00175296" w:rsidRDefault="00175296" w14:paraId="5A521536" w14:textId="77777777">
      <w:pPr>
        <w:widowControl w:val="0"/>
        <w:numPr>
          <w:ilvl w:val="0"/>
          <w:numId w:val="30"/>
        </w:numPr>
        <w:overflowPunct w:val="0"/>
        <w:autoSpaceDE w:val="0"/>
        <w:autoSpaceDN w:val="0"/>
        <w:adjustRightInd w:val="0"/>
        <w:ind w:left="709" w:hanging="425"/>
        <w:textAlignment w:val="baseline"/>
        <w:rPr>
          <w:bCs/>
          <w:iCs/>
        </w:rPr>
      </w:pPr>
      <w:r>
        <w:t>toteaa, että Euroopassa tehdään vuosittain kymmenen miljoonaa toimenpidettä, jotka perustuvat diagnosoinnissa ja hoidoissa käytettäviin radiofarmaseuttisiin valmisteisiin. Etusijalle olisi asetettava kohdennetut radionuklidihoidot, jotka ovat tarkkoja ja usein vähemmän haitallisia kuin muut hoidot.</w:t>
      </w:r>
    </w:p>
    <w:p w:rsidRPr="00D466CD" w:rsidR="00175296" w:rsidP="00175296" w:rsidRDefault="00175296" w14:paraId="1A04AB8F" w14:textId="77777777">
      <w:pPr>
        <w:widowControl w:val="0"/>
        <w:numPr>
          <w:ilvl w:val="0"/>
          <w:numId w:val="30"/>
        </w:numPr>
        <w:overflowPunct w:val="0"/>
        <w:autoSpaceDE w:val="0"/>
        <w:autoSpaceDN w:val="0"/>
        <w:adjustRightInd w:val="0"/>
        <w:ind w:left="709" w:hanging="425"/>
        <w:textAlignment w:val="baseline"/>
        <w:rPr>
          <w:bCs/>
          <w:iCs/>
        </w:rPr>
      </w:pPr>
      <w:r>
        <w:t>vetoaa tuotantokannustimien puolesta, sillä niiden avulla voidaan varmistaa yhä suurempi strateginen riippumattomuus radioisotooppien toimituksissa. Eurooppa hallitsee lääketieteessä käytettävien radioisotooppien maailmanlaajuista tarjontaa. Samaan aikaan sillä on kuitenkin kriittisiä riippuvuuksia kolmansista maista tietyissä keskeisissä raaka-aineissa ja prosessoinnissa. Komitea kehottaakin kriittisten lääkkeiden allianssia seuraamaan tarkasti radioisotooppien tarjontaa Euroopassa ja tukemaan alan teollisuuden kilpailukyvyn vahvistamista.</w:t>
      </w:r>
    </w:p>
    <w:p w:rsidRPr="00A6689B" w:rsidR="00175296" w:rsidP="00175296" w:rsidRDefault="00175296" w14:paraId="403658DA" w14:textId="77777777">
      <w:pPr>
        <w:widowControl w:val="0"/>
        <w:numPr>
          <w:ilvl w:val="0"/>
          <w:numId w:val="30"/>
        </w:numPr>
        <w:overflowPunct w:val="0"/>
        <w:autoSpaceDE w:val="0"/>
        <w:autoSpaceDN w:val="0"/>
        <w:adjustRightInd w:val="0"/>
        <w:ind w:left="709" w:hanging="425"/>
        <w:textAlignment w:val="baseline"/>
        <w:rPr>
          <w:bCs/>
          <w:iCs/>
        </w:rPr>
      </w:pPr>
      <w:r>
        <w:t>kehottaa huolehtimaan siitä, että henkilöstön turvallisuutta koskevia toimenpiteitä noudatetaan toimitusketjun kaikissa vaiheissa, ja kannustaa investoimaan kiireellisesti alan työvoimatarpeen suunnitteluun sekä alalla tarvittavan henkilöstön koulutukseen ja liikkuvuuteen.</w:t>
      </w:r>
    </w:p>
    <w:p w:rsidRPr="00082FAB" w:rsidR="00175296" w:rsidP="00175296" w:rsidRDefault="00175296" w14:paraId="7FFB7D1B" w14:textId="77777777">
      <w:pPr>
        <w:widowControl w:val="0"/>
        <w:ind w:left="709"/>
      </w:pPr>
    </w:p>
    <w:p w:rsidRPr="000624A9" w:rsidR="00175296" w:rsidP="00175296" w:rsidRDefault="00175296" w14:paraId="6DFB73CF" w14:textId="77777777">
      <w:pPr>
        <w:widowControl w:val="0"/>
        <w:ind w:left="709"/>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A6689B" w:rsidR="00175296" w:rsidTr="004427BF" w14:paraId="3E7E232D" w14:textId="77777777">
        <w:tc>
          <w:tcPr>
            <w:tcW w:w="1556" w:type="pct"/>
          </w:tcPr>
          <w:p w:rsidRPr="00A6689B" w:rsidR="00175296" w:rsidP="004427BF" w:rsidRDefault="00175296" w14:paraId="6296C7E7" w14:textId="77777777">
            <w:pPr>
              <w:spacing w:line="240" w:lineRule="auto"/>
              <w:rPr>
                <w:i/>
              </w:rPr>
            </w:pPr>
            <w:r>
              <w:rPr>
                <w:b/>
                <w:i/>
              </w:rPr>
              <w:t>Yhteydenotot</w:t>
            </w:r>
          </w:p>
        </w:tc>
        <w:tc>
          <w:tcPr>
            <w:tcW w:w="3444" w:type="pct"/>
          </w:tcPr>
          <w:p w:rsidRPr="00A6689B" w:rsidR="00175296" w:rsidP="004427BF" w:rsidRDefault="00175296" w14:paraId="4D7FE4EC" w14:textId="77777777">
            <w:pPr>
              <w:spacing w:line="240" w:lineRule="auto"/>
              <w:rPr>
                <w:i/>
              </w:rPr>
            </w:pPr>
            <w:r>
              <w:rPr>
                <w:i/>
              </w:rPr>
              <w:t xml:space="preserve">Maja </w:t>
            </w:r>
            <w:proofErr w:type="spellStart"/>
            <w:r>
              <w:rPr>
                <w:i/>
              </w:rPr>
              <w:t>Radman</w:t>
            </w:r>
            <w:proofErr w:type="spellEnd"/>
          </w:p>
        </w:tc>
      </w:tr>
      <w:tr w:rsidRPr="00A6689B" w:rsidR="00175296" w:rsidTr="004427BF" w14:paraId="04BDFD59" w14:textId="77777777">
        <w:tc>
          <w:tcPr>
            <w:tcW w:w="1556" w:type="pct"/>
          </w:tcPr>
          <w:p w:rsidRPr="00A6689B" w:rsidR="00175296" w:rsidP="004427BF" w:rsidRDefault="00175296" w14:paraId="08184F57" w14:textId="77777777">
            <w:pPr>
              <w:spacing w:line="240" w:lineRule="auto"/>
              <w:rPr>
                <w:i/>
              </w:rPr>
            </w:pPr>
            <w:r>
              <w:rPr>
                <w:i/>
              </w:rPr>
              <w:t>P.</w:t>
            </w:r>
          </w:p>
        </w:tc>
        <w:tc>
          <w:tcPr>
            <w:tcW w:w="3444" w:type="pct"/>
          </w:tcPr>
          <w:p w:rsidRPr="00A6689B" w:rsidR="00175296" w:rsidP="004427BF" w:rsidRDefault="00175296" w14:paraId="27A875DA" w14:textId="77777777">
            <w:pPr>
              <w:spacing w:line="240" w:lineRule="auto"/>
              <w:rPr>
                <w:i/>
              </w:rPr>
            </w:pPr>
            <w:r>
              <w:rPr>
                <w:i/>
              </w:rPr>
              <w:t>+32 25469051</w:t>
            </w:r>
          </w:p>
        </w:tc>
      </w:tr>
      <w:tr w:rsidRPr="00A6689B" w:rsidR="00175296" w:rsidTr="004427BF" w14:paraId="49710A41" w14:textId="77777777">
        <w:tc>
          <w:tcPr>
            <w:tcW w:w="1556" w:type="pct"/>
          </w:tcPr>
          <w:p w:rsidRPr="00A6689B" w:rsidR="00175296" w:rsidP="004427BF" w:rsidRDefault="00175296" w14:paraId="07ACE7F2" w14:textId="77777777">
            <w:pPr>
              <w:spacing w:line="240" w:lineRule="auto"/>
              <w:rPr>
                <w:i/>
              </w:rPr>
            </w:pPr>
            <w:r>
              <w:rPr>
                <w:i/>
              </w:rPr>
              <w:t>Sähköposti</w:t>
            </w:r>
          </w:p>
        </w:tc>
        <w:tc>
          <w:tcPr>
            <w:tcW w:w="3444" w:type="pct"/>
          </w:tcPr>
          <w:p w:rsidRPr="00A6689B" w:rsidR="00175296" w:rsidP="004427BF" w:rsidRDefault="00175296" w14:paraId="0F4AF3A0" w14:textId="77777777">
            <w:pPr>
              <w:spacing w:line="240" w:lineRule="auto"/>
              <w:rPr>
                <w:i/>
              </w:rPr>
            </w:pPr>
            <w:hyperlink w:history="1" r:id="rId35">
              <w:r>
                <w:rPr>
                  <w:rStyle w:val="Hyperlink"/>
                  <w:i/>
                </w:rPr>
                <w:t>Maja.Radman@eesc.europa.eu</w:t>
              </w:r>
            </w:hyperlink>
            <w:r>
              <w:rPr>
                <w:i/>
              </w:rPr>
              <w:t xml:space="preserve"> </w:t>
            </w:r>
          </w:p>
        </w:tc>
      </w:tr>
    </w:tbl>
    <w:p w:rsidR="00516A59" w:rsidRDefault="00516A59" w14:paraId="7DD6A790" w14:textId="77777777">
      <w:pPr>
        <w:spacing w:after="160" w:line="259" w:lineRule="auto"/>
        <w:jc w:val="left"/>
      </w:pPr>
    </w:p>
    <w:p w:rsidR="00516A59" w:rsidRDefault="00516A59" w14:paraId="77C764C5" w14:textId="77777777">
      <w:pPr>
        <w:spacing w:after="160" w:line="259" w:lineRule="auto"/>
        <w:jc w:val="left"/>
      </w:pPr>
      <w:r>
        <w:br w:type="page"/>
      </w:r>
    </w:p>
    <w:p w:rsidRPr="000B1C30" w:rsidR="00E110D0" w:rsidP="00770F41" w:rsidRDefault="00895853" w14:paraId="268D0B18" w14:textId="09AC0A5F">
      <w:pPr>
        <w:pStyle w:val="Heading1"/>
        <w:tabs>
          <w:tab w:val="clear" w:pos="440"/>
          <w:tab w:val="left" w:pos="567"/>
        </w:tabs>
        <w:ind w:left="567" w:hanging="567"/>
        <w:rPr>
          <w:b/>
          <w:bCs/>
        </w:rPr>
      </w:pPr>
      <w:bookmarkStart w:name="_Toc166847140" w:id="6"/>
      <w:bookmarkStart w:name="_Toc169873283" w:id="7"/>
      <w:bookmarkEnd w:id="6"/>
      <w:r>
        <w:rPr>
          <w:b/>
        </w:rPr>
        <w:lastRenderedPageBreak/>
        <w:t>NEUVOA-ANTAVA VALIOKUNTA ”TEOLLISUUDEN MUUTOKSET”</w:t>
      </w:r>
      <w:bookmarkEnd w:id="7"/>
    </w:p>
    <w:p w:rsidR="004351D4" w:rsidP="00895853" w:rsidRDefault="004351D4" w14:paraId="0AE04AB9" w14:textId="7E9F637B">
      <w:pPr>
        <w:overflowPunct w:val="0"/>
        <w:autoSpaceDE w:val="0"/>
        <w:autoSpaceDN w:val="0"/>
        <w:adjustRightInd w:val="0"/>
        <w:jc w:val="left"/>
        <w:textAlignment w:val="baseline"/>
        <w:rPr>
          <w:lang w:val="nl-BE"/>
        </w:rPr>
      </w:pPr>
    </w:p>
    <w:p w:rsidR="005C28F2" w:rsidP="00895853" w:rsidRDefault="005C28F2" w14:paraId="43B85D0B" w14:textId="77777777">
      <w:pPr>
        <w:overflowPunct w:val="0"/>
        <w:autoSpaceDE w:val="0"/>
        <w:autoSpaceDN w:val="0"/>
        <w:adjustRightInd w:val="0"/>
        <w:jc w:val="left"/>
        <w:textAlignment w:val="baseline"/>
        <w:rPr>
          <w:lang w:val="nl-BE"/>
        </w:rPr>
      </w:pPr>
    </w:p>
    <w:p w:rsidRPr="00660A3E" w:rsidR="00175296" w:rsidP="00175296" w:rsidRDefault="00175296" w14:paraId="0E3A14D1" w14:textId="77777777">
      <w:pPr>
        <w:pStyle w:val="ListParagraph"/>
        <w:widowControl w:val="0"/>
        <w:numPr>
          <w:ilvl w:val="0"/>
          <w:numId w:val="4"/>
        </w:numPr>
        <w:tabs>
          <w:tab w:val="center" w:pos="567"/>
        </w:tabs>
        <w:overflowPunct w:val="0"/>
        <w:autoSpaceDE w:val="0"/>
        <w:autoSpaceDN w:val="0"/>
        <w:adjustRightInd w:val="0"/>
        <w:ind w:left="567" w:hanging="567"/>
        <w:textAlignment w:val="baseline"/>
        <w:rPr>
          <w:b/>
          <w:i/>
          <w:iCs/>
          <w:sz w:val="28"/>
          <w:szCs w:val="28"/>
        </w:rPr>
      </w:pPr>
      <w:hyperlink w:history="1" r:id="rId36">
        <w:r>
          <w:rPr>
            <w:rStyle w:val="Hyperlink"/>
            <w:b/>
            <w:i/>
            <w:sz w:val="28"/>
          </w:rPr>
          <w:t>Euroopan puolustusteollisuusohjelma</w:t>
        </w:r>
      </w:hyperlink>
    </w:p>
    <w:p w:rsidR="00175296" w:rsidP="00175296" w:rsidRDefault="00175296" w14:paraId="653D4B33" w14:textId="77777777">
      <w:pPr>
        <w:widowControl w:val="0"/>
        <w:tabs>
          <w:tab w:val="center" w:pos="284"/>
        </w:tabs>
        <w:overflowPunct w:val="0"/>
        <w:autoSpaceDE w:val="0"/>
        <w:autoSpaceDN w:val="0"/>
        <w:adjustRightInd w:val="0"/>
        <w:textAlignment w:val="baseline"/>
        <w:rPr>
          <w:b/>
          <w:lang w:val="en-US"/>
        </w:rPr>
      </w:pPr>
    </w:p>
    <w:tbl>
      <w:tblPr>
        <w:tblStyle w:val="TableGrid"/>
        <w:tblW w:w="434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5953"/>
      </w:tblGrid>
      <w:tr w:rsidRPr="00EC71E8" w:rsidR="00175296" w:rsidTr="004427BF" w14:paraId="54C4A78D" w14:textId="77777777">
        <w:tc>
          <w:tcPr>
            <w:tcW w:w="1258" w:type="pct"/>
          </w:tcPr>
          <w:p w:rsidRPr="009E1380" w:rsidR="00175296" w:rsidP="004427BF" w:rsidRDefault="00175296" w14:paraId="7B7AC2FC" w14:textId="77777777">
            <w:pPr>
              <w:tabs>
                <w:tab w:val="center" w:pos="284"/>
              </w:tabs>
              <w:ind w:left="266" w:hanging="266"/>
              <w:rPr>
                <w:b/>
                <w:szCs w:val="24"/>
              </w:rPr>
            </w:pPr>
            <w:r>
              <w:rPr>
                <w:b/>
              </w:rPr>
              <w:t>Esittelijä</w:t>
            </w:r>
          </w:p>
        </w:tc>
        <w:tc>
          <w:tcPr>
            <w:tcW w:w="3742" w:type="pct"/>
          </w:tcPr>
          <w:p w:rsidRPr="009E1380" w:rsidR="00175296" w:rsidP="004427BF" w:rsidRDefault="00175296" w14:paraId="2F97271F" w14:textId="77777777">
            <w:pPr>
              <w:tabs>
                <w:tab w:val="center" w:pos="33"/>
              </w:tabs>
              <w:ind w:left="33" w:hanging="33"/>
              <w:rPr>
                <w:szCs w:val="24"/>
              </w:rPr>
            </w:pPr>
            <w:proofErr w:type="spellStart"/>
            <w:r>
              <w:rPr>
                <w:b/>
              </w:rPr>
              <w:t>Tomasz</w:t>
            </w:r>
            <w:proofErr w:type="spellEnd"/>
            <w:r>
              <w:rPr>
                <w:b/>
              </w:rPr>
              <w:t xml:space="preserve"> </w:t>
            </w:r>
            <w:proofErr w:type="spellStart"/>
            <w:r>
              <w:rPr>
                <w:b/>
              </w:rPr>
              <w:t>Andrzej</w:t>
            </w:r>
            <w:proofErr w:type="spellEnd"/>
            <w:r>
              <w:rPr>
                <w:b/>
              </w:rPr>
              <w:t xml:space="preserve"> WRÓBLEWSKI (työnantajat – PL)</w:t>
            </w:r>
          </w:p>
        </w:tc>
      </w:tr>
      <w:tr w:rsidRPr="00EC71E8" w:rsidR="00175296" w:rsidTr="004427BF" w14:paraId="1E343737" w14:textId="77777777">
        <w:tc>
          <w:tcPr>
            <w:tcW w:w="1258" w:type="pct"/>
          </w:tcPr>
          <w:p w:rsidRPr="009E1380" w:rsidR="00175296" w:rsidP="004427BF" w:rsidRDefault="00175296" w14:paraId="175CBD84" w14:textId="77777777">
            <w:pPr>
              <w:tabs>
                <w:tab w:val="center" w:pos="284"/>
              </w:tabs>
              <w:ind w:left="266" w:hanging="266"/>
              <w:rPr>
                <w:b/>
                <w:szCs w:val="24"/>
              </w:rPr>
            </w:pPr>
            <w:r>
              <w:rPr>
                <w:b/>
              </w:rPr>
              <w:t>Yhteisesittelijä</w:t>
            </w:r>
          </w:p>
        </w:tc>
        <w:tc>
          <w:tcPr>
            <w:tcW w:w="3742" w:type="pct"/>
          </w:tcPr>
          <w:p w:rsidRPr="009E1380" w:rsidR="00175296" w:rsidP="004427BF" w:rsidRDefault="00175296" w14:paraId="5BDF3D01" w14:textId="77777777">
            <w:pPr>
              <w:tabs>
                <w:tab w:val="center" w:pos="284"/>
              </w:tabs>
              <w:ind w:left="266" w:hanging="266"/>
              <w:rPr>
                <w:szCs w:val="24"/>
              </w:rPr>
            </w:pPr>
            <w:r>
              <w:rPr>
                <w:b/>
              </w:rPr>
              <w:t>Franck UHLIG (kat. 2 – FR)</w:t>
            </w:r>
          </w:p>
        </w:tc>
      </w:tr>
      <w:tr w:rsidRPr="00EC71E8" w:rsidR="00175296" w:rsidTr="004427BF" w14:paraId="5E6FA441" w14:textId="77777777">
        <w:tc>
          <w:tcPr>
            <w:tcW w:w="5000" w:type="pct"/>
            <w:gridSpan w:val="2"/>
          </w:tcPr>
          <w:p w:rsidRPr="009E1380" w:rsidR="00175296" w:rsidP="004427BF" w:rsidRDefault="00175296" w14:paraId="54370961" w14:textId="77777777">
            <w:pPr>
              <w:tabs>
                <w:tab w:val="center" w:pos="284"/>
              </w:tabs>
              <w:spacing w:line="160" w:lineRule="exact"/>
              <w:ind w:left="266" w:hanging="266"/>
              <w:rPr>
                <w:szCs w:val="24"/>
                <w:lang w:val="en-US"/>
              </w:rPr>
            </w:pPr>
          </w:p>
        </w:tc>
      </w:tr>
      <w:tr w:rsidRPr="00EC71E8" w:rsidR="00175296" w:rsidTr="004427BF" w14:paraId="39F329CD" w14:textId="77777777">
        <w:tc>
          <w:tcPr>
            <w:tcW w:w="1258" w:type="pct"/>
            <w:vMerge w:val="restart"/>
          </w:tcPr>
          <w:p w:rsidRPr="009E1380" w:rsidR="00175296" w:rsidP="004427BF" w:rsidRDefault="00175296" w14:paraId="7BFD3F88" w14:textId="77777777">
            <w:pPr>
              <w:tabs>
                <w:tab w:val="center" w:pos="284"/>
              </w:tabs>
              <w:ind w:left="266" w:hanging="266"/>
              <w:rPr>
                <w:b/>
                <w:szCs w:val="24"/>
              </w:rPr>
            </w:pPr>
            <w:r>
              <w:rPr>
                <w:b/>
              </w:rPr>
              <w:t>Viiteasiakirjat</w:t>
            </w:r>
          </w:p>
        </w:tc>
        <w:tc>
          <w:tcPr>
            <w:tcW w:w="3742" w:type="pct"/>
          </w:tcPr>
          <w:p w:rsidRPr="009E1380" w:rsidR="00175296" w:rsidP="004427BF" w:rsidRDefault="00175296" w14:paraId="3D7B3027" w14:textId="77777777">
            <w:pPr>
              <w:tabs>
                <w:tab w:val="center" w:pos="284"/>
              </w:tabs>
              <w:ind w:left="266" w:hanging="266"/>
              <w:rPr>
                <w:szCs w:val="24"/>
              </w:rPr>
            </w:pPr>
            <w:r>
              <w:t xml:space="preserve">COM(2024) 150 </w:t>
            </w:r>
            <w:proofErr w:type="spellStart"/>
            <w:r>
              <w:t>final</w:t>
            </w:r>
            <w:proofErr w:type="spellEnd"/>
          </w:p>
        </w:tc>
      </w:tr>
      <w:tr w:rsidRPr="00EC71E8" w:rsidR="00175296" w:rsidTr="004427BF" w14:paraId="61250ABA" w14:textId="77777777">
        <w:tc>
          <w:tcPr>
            <w:tcW w:w="1258" w:type="pct"/>
            <w:vMerge/>
          </w:tcPr>
          <w:p w:rsidRPr="009E1380" w:rsidR="00175296" w:rsidP="004427BF" w:rsidRDefault="00175296" w14:paraId="40976AF3" w14:textId="77777777">
            <w:pPr>
              <w:tabs>
                <w:tab w:val="center" w:pos="284"/>
              </w:tabs>
              <w:ind w:left="266" w:hanging="266"/>
              <w:rPr>
                <w:b/>
                <w:szCs w:val="24"/>
                <w:lang w:val="en-US"/>
              </w:rPr>
            </w:pPr>
          </w:p>
        </w:tc>
        <w:tc>
          <w:tcPr>
            <w:tcW w:w="3742" w:type="pct"/>
          </w:tcPr>
          <w:p w:rsidRPr="009E1380" w:rsidR="00175296" w:rsidP="004427BF" w:rsidRDefault="00175296" w14:paraId="0BEEBF14" w14:textId="77777777">
            <w:pPr>
              <w:tabs>
                <w:tab w:val="center" w:pos="284"/>
              </w:tabs>
              <w:ind w:left="266" w:hanging="266"/>
              <w:rPr>
                <w:szCs w:val="24"/>
              </w:rPr>
            </w:pPr>
            <w:r>
              <w:t>EESC-2024-00813-00-00-AC</w:t>
            </w:r>
          </w:p>
        </w:tc>
      </w:tr>
    </w:tbl>
    <w:p w:rsidRPr="00F6194F" w:rsidR="00175296" w:rsidP="00175296" w:rsidRDefault="00175296" w14:paraId="65195EB4" w14:textId="77777777">
      <w:pPr>
        <w:widowControl w:val="0"/>
        <w:tabs>
          <w:tab w:val="center" w:pos="284"/>
        </w:tabs>
        <w:overflowPunct w:val="0"/>
        <w:autoSpaceDE w:val="0"/>
        <w:autoSpaceDN w:val="0"/>
        <w:adjustRightInd w:val="0"/>
        <w:textAlignment w:val="baseline"/>
        <w:rPr>
          <w:b/>
          <w:lang w:val="en-US"/>
        </w:rPr>
      </w:pPr>
    </w:p>
    <w:p w:rsidRPr="00F6194F" w:rsidR="00175296" w:rsidP="00175296" w:rsidRDefault="00175296" w14:paraId="19531721" w14:textId="77777777">
      <w:pPr>
        <w:keepNext/>
        <w:keepLines/>
        <w:ind w:left="142" w:hanging="142"/>
        <w:rPr>
          <w:b/>
        </w:rPr>
      </w:pPr>
      <w:r>
        <w:rPr>
          <w:b/>
        </w:rPr>
        <w:t>Keskeiset kohdat</w:t>
      </w:r>
    </w:p>
    <w:p w:rsidRPr="007F6262" w:rsidR="00175296" w:rsidP="00175296" w:rsidRDefault="00175296" w14:paraId="23AB0A82" w14:textId="77777777">
      <w:pPr>
        <w:ind w:left="142"/>
      </w:pPr>
      <w:r>
        <w:t>ETSK</w:t>
      </w:r>
    </w:p>
    <w:p w:rsidRPr="00306AA6" w:rsidR="00175296" w:rsidP="00175296" w:rsidRDefault="00175296" w14:paraId="73BED592" w14:textId="77777777">
      <w:pPr>
        <w:pStyle w:val="ListParagraph"/>
        <w:numPr>
          <w:ilvl w:val="0"/>
          <w:numId w:val="5"/>
        </w:numPr>
        <w:spacing w:after="160" w:line="259" w:lineRule="auto"/>
      </w:pPr>
      <w:r>
        <w:t xml:space="preserve">suosittaa, että Euroopan komissio </w:t>
      </w:r>
      <w:r>
        <w:rPr>
          <w:b/>
        </w:rPr>
        <w:t>viestii unionin kansalaisille kattavasti ja laajalti yhteisen puolustusrahoituksen haasteista</w:t>
      </w:r>
      <w:r>
        <w:t xml:space="preserve"> nykyisessä geopoliittisessa tilanteessa. Ajatuksena on rakentaa yhteistä turvallisuutta ja pitää samalla edelleen kiinni siitä lähtökohdasta, että Euroopan yhdentyminen on rauhan ja solidaarisuuden hanke.</w:t>
      </w:r>
    </w:p>
    <w:p w:rsidRPr="00306AA6" w:rsidR="00175296" w:rsidP="00175296" w:rsidRDefault="00175296" w14:paraId="7B1432A7" w14:textId="77777777">
      <w:pPr>
        <w:pStyle w:val="ListParagraph"/>
        <w:numPr>
          <w:ilvl w:val="0"/>
          <w:numId w:val="5"/>
        </w:numPr>
        <w:spacing w:after="160" w:line="259" w:lineRule="auto"/>
      </w:pPr>
      <w:r>
        <w:t xml:space="preserve">pyytää, että </w:t>
      </w:r>
      <w:r>
        <w:rPr>
          <w:b/>
        </w:rPr>
        <w:t>nykyisellään vähäistä rahoitusta (1,5 miljardia euroa) lisätään</w:t>
      </w:r>
      <w:r>
        <w:t xml:space="preserve"> keskipitkällä aikavälillä.</w:t>
      </w:r>
    </w:p>
    <w:p w:rsidRPr="00306AA6" w:rsidR="00175296" w:rsidP="00175296" w:rsidRDefault="00175296" w14:paraId="50E8312B" w14:textId="77777777">
      <w:pPr>
        <w:pStyle w:val="ListParagraph"/>
        <w:numPr>
          <w:ilvl w:val="0"/>
          <w:numId w:val="5"/>
        </w:numPr>
        <w:spacing w:after="160" w:line="259" w:lineRule="auto"/>
      </w:pPr>
      <w:r>
        <w:t xml:space="preserve">korostaa, että Euroopan puolustusteollisuusohjelman avulla on paitsi vastattava Ukrainan kiireellisiin tarpeisiin myös </w:t>
      </w:r>
      <w:r>
        <w:rPr>
          <w:b/>
        </w:rPr>
        <w:t>kehitettävä eurooppalaista puolustusalan toimintamallia</w:t>
      </w:r>
      <w:r>
        <w:t xml:space="preserve"> ja siihen liittyvää Euroopan puolustusalan teollista ja teknologista perustaa (EDTIB) </w:t>
      </w:r>
      <w:r>
        <w:rPr>
          <w:b/>
        </w:rPr>
        <w:t>rakenteellisesti</w:t>
      </w:r>
      <w:r>
        <w:t>.</w:t>
      </w:r>
    </w:p>
    <w:p w:rsidRPr="00306AA6" w:rsidR="00175296" w:rsidP="00175296" w:rsidRDefault="00175296" w14:paraId="76B32C3D" w14:textId="77777777">
      <w:pPr>
        <w:pStyle w:val="ListParagraph"/>
        <w:numPr>
          <w:ilvl w:val="0"/>
          <w:numId w:val="5"/>
        </w:numPr>
        <w:spacing w:after="160" w:line="259" w:lineRule="auto"/>
      </w:pPr>
      <w:r>
        <w:t xml:space="preserve">suosittaa, että Euroopan parlamentti, jäsenvaltiot, julkinen ja yksityinen rahoitussektori ja Euroopan komissio laativat </w:t>
      </w:r>
      <w:r>
        <w:rPr>
          <w:b/>
        </w:rPr>
        <w:t xml:space="preserve">pitkän aikavälin suunnitelman puolustusmateriaalirahoituksen ja </w:t>
      </w:r>
      <w:r>
        <w:rPr>
          <w:b/>
        </w:rPr>
        <w:noBreakHyphen/>
        <w:t>hankintojen lisäämiseksi</w:t>
      </w:r>
      <w:r>
        <w:t xml:space="preserve">, sillä näin voidaan edistää yksityisen sektorin pitkän aikavälin investointeja ja tukea </w:t>
      </w:r>
      <w:proofErr w:type="spellStart"/>
      <w:r>
        <w:t>EDTIB:n</w:t>
      </w:r>
      <w:proofErr w:type="spellEnd"/>
      <w:r>
        <w:t xml:space="preserve"> puolustustarvikkeiden tuotantosuunnitelmia, sekä tukevat Ukrainan puolustusalan teollista ja teknologista perustaa.</w:t>
      </w:r>
    </w:p>
    <w:p w:rsidRPr="00306AA6" w:rsidR="00175296" w:rsidP="00175296" w:rsidRDefault="00175296" w14:paraId="52B51665" w14:textId="77777777">
      <w:pPr>
        <w:pStyle w:val="ListParagraph"/>
        <w:numPr>
          <w:ilvl w:val="0"/>
          <w:numId w:val="5"/>
        </w:numPr>
        <w:spacing w:after="160" w:line="259" w:lineRule="auto"/>
      </w:pPr>
      <w:r>
        <w:t xml:space="preserve">kehottaa Euroopan komissiota </w:t>
      </w:r>
      <w:r>
        <w:rPr>
          <w:b/>
        </w:rPr>
        <w:t>selventämään EDIP-ohjelmaan varattujen määrärahojen alkuperää ja käyttöä</w:t>
      </w:r>
      <w:r>
        <w:t>.</w:t>
      </w:r>
    </w:p>
    <w:p w:rsidRPr="00306AA6" w:rsidR="00175296" w:rsidP="00175296" w:rsidRDefault="00175296" w14:paraId="082912D0" w14:textId="77777777">
      <w:pPr>
        <w:pStyle w:val="ListParagraph"/>
        <w:numPr>
          <w:ilvl w:val="0"/>
          <w:numId w:val="5"/>
        </w:numPr>
        <w:spacing w:after="160" w:line="259" w:lineRule="auto"/>
      </w:pPr>
      <w:r>
        <w:t xml:space="preserve">suosittaa, että </w:t>
      </w:r>
      <w:r>
        <w:rPr>
          <w:b/>
        </w:rPr>
        <w:t>Euroopan puolustusalan teolliseen ja teknologiseen perustaan kuuluvat yritykset vahvistavat yhteistyötään erityisesti pk-yritysten kanssa ja yli valtiorajojen</w:t>
      </w:r>
      <w:r>
        <w:t>.</w:t>
      </w:r>
    </w:p>
    <w:p w:rsidRPr="00306AA6" w:rsidR="00175296" w:rsidP="00175296" w:rsidRDefault="00175296" w14:paraId="2AC35B2E" w14:textId="77777777">
      <w:pPr>
        <w:pStyle w:val="ListParagraph"/>
        <w:numPr>
          <w:ilvl w:val="0"/>
          <w:numId w:val="5"/>
        </w:numPr>
        <w:spacing w:after="160" w:line="259" w:lineRule="auto"/>
      </w:pPr>
      <w:r>
        <w:t xml:space="preserve">korostaa </w:t>
      </w:r>
      <w:r>
        <w:rPr>
          <w:b/>
        </w:rPr>
        <w:t>Ukrainan kanssa</w:t>
      </w:r>
      <w:r>
        <w:t xml:space="preserve"> EDIP-ohjelman puitteissa </w:t>
      </w:r>
      <w:r>
        <w:rPr>
          <w:b/>
        </w:rPr>
        <w:t>tehtävän teollisuusyhteistyön</w:t>
      </w:r>
      <w:r>
        <w:t xml:space="preserve"> tärkeää merkitystä.</w:t>
      </w:r>
    </w:p>
    <w:p w:rsidRPr="00306AA6" w:rsidR="00175296" w:rsidP="00175296" w:rsidRDefault="00175296" w14:paraId="238DAE3B" w14:textId="77777777">
      <w:pPr>
        <w:pStyle w:val="ListParagraph"/>
        <w:numPr>
          <w:ilvl w:val="0"/>
          <w:numId w:val="5"/>
        </w:numPr>
        <w:spacing w:after="160" w:line="259" w:lineRule="auto"/>
      </w:pPr>
      <w:r>
        <w:t xml:space="preserve">ehdottaa, että </w:t>
      </w:r>
      <w:r>
        <w:rPr>
          <w:b/>
        </w:rPr>
        <w:t>puolustus- ja siviilialan teollisuuden välistä synergiaa</w:t>
      </w:r>
      <w:r>
        <w:t xml:space="preserve"> edistetään entisestään, myös </w:t>
      </w:r>
      <w:proofErr w:type="spellStart"/>
      <w:r>
        <w:t>pk-</w:t>
      </w:r>
      <w:proofErr w:type="spellEnd"/>
      <w:r>
        <w:t xml:space="preserve"> ja startup-yritysten osalta.</w:t>
      </w:r>
    </w:p>
    <w:p w:rsidRPr="00306AA6" w:rsidR="00175296" w:rsidP="00175296" w:rsidRDefault="00175296" w14:paraId="0D61E1F5" w14:textId="77777777">
      <w:pPr>
        <w:pStyle w:val="ListParagraph"/>
        <w:numPr>
          <w:ilvl w:val="0"/>
          <w:numId w:val="5"/>
        </w:numPr>
        <w:spacing w:after="160" w:line="259" w:lineRule="auto"/>
      </w:pPr>
      <w:r>
        <w:t xml:space="preserve">suosittaa, että Euroopan puolustusteollisuusstrategiaa käsittelevässä tiedonannossa esitetyt </w:t>
      </w:r>
      <w:r>
        <w:rPr>
          <w:b/>
        </w:rPr>
        <w:t>yhteisostojen ja EU:n sisäisten ostojen prosenttiosuustavoitteet sisällytetään</w:t>
      </w:r>
      <w:r>
        <w:t xml:space="preserve"> EDIP-ohjelmasta annettavaan </w:t>
      </w:r>
      <w:r>
        <w:rPr>
          <w:b/>
        </w:rPr>
        <w:t>asetukseen</w:t>
      </w:r>
      <w:r>
        <w:t>.</w:t>
      </w:r>
    </w:p>
    <w:p w:rsidRPr="0077522C" w:rsidR="00175296" w:rsidP="00175296" w:rsidRDefault="00175296" w14:paraId="7F262348" w14:textId="77777777">
      <w:pPr>
        <w:pStyle w:val="ListParagraph"/>
        <w:rPr>
          <w:lang w:val="en-GB"/>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11"/>
        <w:gridCol w:w="3920"/>
      </w:tblGrid>
      <w:tr w:rsidRPr="007F6262" w:rsidR="00175296" w:rsidTr="004427BF" w14:paraId="36794D77" w14:textId="77777777">
        <w:tc>
          <w:tcPr>
            <w:tcW w:w="3998" w:type="pct"/>
          </w:tcPr>
          <w:p w:rsidRPr="007F6262" w:rsidR="00175296" w:rsidP="004427BF" w:rsidRDefault="00175296" w14:paraId="75247298" w14:textId="77777777">
            <w:pPr>
              <w:rPr>
                <w:i/>
              </w:rPr>
            </w:pPr>
            <w:r>
              <w:rPr>
                <w:b/>
                <w:i/>
              </w:rPr>
              <w:t>Yhteydenotot</w:t>
            </w:r>
          </w:p>
        </w:tc>
        <w:tc>
          <w:tcPr>
            <w:tcW w:w="1002" w:type="pct"/>
            <w:tcBorders>
              <w:left w:val="nil"/>
            </w:tcBorders>
          </w:tcPr>
          <w:p w:rsidRPr="007F6262" w:rsidR="00175296" w:rsidP="004427BF" w:rsidRDefault="00175296" w14:paraId="124D31B9" w14:textId="77777777">
            <w:pPr>
              <w:rPr>
                <w:i/>
              </w:rPr>
            </w:pPr>
            <w:proofErr w:type="spellStart"/>
            <w:r>
              <w:rPr>
                <w:i/>
              </w:rPr>
              <w:t>Ioannis</w:t>
            </w:r>
            <w:proofErr w:type="spellEnd"/>
            <w:r>
              <w:rPr>
                <w:i/>
              </w:rPr>
              <w:t xml:space="preserve"> DIAMANTOPOULOS</w:t>
            </w:r>
          </w:p>
        </w:tc>
      </w:tr>
      <w:tr w:rsidRPr="007F6262" w:rsidR="00175296" w:rsidTr="004427BF" w14:paraId="418BC98C" w14:textId="77777777">
        <w:tc>
          <w:tcPr>
            <w:tcW w:w="3998" w:type="pct"/>
          </w:tcPr>
          <w:p w:rsidRPr="007F6262" w:rsidR="00175296" w:rsidP="004427BF" w:rsidRDefault="00175296" w14:paraId="669D9E1A" w14:textId="77777777">
            <w:pPr>
              <w:rPr>
                <w:i/>
              </w:rPr>
            </w:pPr>
            <w:r>
              <w:rPr>
                <w:i/>
              </w:rPr>
              <w:t xml:space="preserve">P. </w:t>
            </w:r>
          </w:p>
        </w:tc>
        <w:tc>
          <w:tcPr>
            <w:tcW w:w="1002" w:type="pct"/>
            <w:tcBorders>
              <w:left w:val="nil"/>
            </w:tcBorders>
          </w:tcPr>
          <w:p w:rsidRPr="007F6262" w:rsidR="00175296" w:rsidP="004427BF" w:rsidRDefault="00175296" w14:paraId="47C73D69" w14:textId="77777777">
            <w:pPr>
              <w:rPr>
                <w:i/>
              </w:rPr>
            </w:pPr>
            <w:r>
              <w:rPr>
                <w:i/>
              </w:rPr>
              <w:t>+32 25469170</w:t>
            </w:r>
          </w:p>
        </w:tc>
      </w:tr>
      <w:tr w:rsidRPr="007F6262" w:rsidR="00175296" w:rsidTr="004427BF" w14:paraId="55D9031C" w14:textId="77777777">
        <w:tc>
          <w:tcPr>
            <w:tcW w:w="3998" w:type="pct"/>
          </w:tcPr>
          <w:p w:rsidRPr="007F6262" w:rsidR="00175296" w:rsidP="004427BF" w:rsidRDefault="00175296" w14:paraId="2ABFE8FC" w14:textId="77777777">
            <w:pPr>
              <w:rPr>
                <w:i/>
                <w:iCs/>
              </w:rPr>
            </w:pPr>
            <w:r>
              <w:rPr>
                <w:i/>
              </w:rPr>
              <w:t>Sähköposti</w:t>
            </w:r>
          </w:p>
        </w:tc>
        <w:tc>
          <w:tcPr>
            <w:tcW w:w="1002" w:type="pct"/>
            <w:tcBorders>
              <w:left w:val="nil"/>
            </w:tcBorders>
          </w:tcPr>
          <w:p w:rsidRPr="00EB0FF7" w:rsidR="00175296" w:rsidP="004427BF" w:rsidRDefault="00175296" w14:paraId="1F59DF52" w14:textId="77777777">
            <w:pPr>
              <w:rPr>
                <w:i/>
                <w:iCs/>
              </w:rPr>
            </w:pPr>
            <w:r>
              <w:rPr>
                <w:i/>
                <w:color w:val="0000FF"/>
                <w:u w:val="single"/>
              </w:rPr>
              <w:t>Ioannis.Diamantopoulos@eesc.europa.eu</w:t>
            </w:r>
          </w:p>
        </w:tc>
      </w:tr>
    </w:tbl>
    <w:p w:rsidR="00B612CA" w:rsidP="00895853" w:rsidRDefault="00B612CA" w14:paraId="1175548C" w14:textId="715AB7C7">
      <w:pPr>
        <w:overflowPunct w:val="0"/>
        <w:autoSpaceDE w:val="0"/>
        <w:autoSpaceDN w:val="0"/>
        <w:adjustRightInd w:val="0"/>
        <w:jc w:val="left"/>
        <w:textAlignment w:val="baseline"/>
        <w:rPr>
          <w:lang w:val="nl-BE"/>
        </w:rPr>
      </w:pPr>
    </w:p>
    <w:p w:rsidR="00B612CA" w:rsidRDefault="00B612CA" w14:paraId="4049531D" w14:textId="77777777">
      <w:pPr>
        <w:spacing w:after="160" w:line="259" w:lineRule="auto"/>
        <w:jc w:val="left"/>
      </w:pPr>
      <w:r>
        <w:br w:type="page"/>
      </w:r>
    </w:p>
    <w:p w:rsidRPr="004805B8" w:rsidR="00175296" w:rsidP="00175296" w:rsidRDefault="00175296" w14:paraId="3454B585" w14:textId="77777777">
      <w:pPr>
        <w:pStyle w:val="ListParagraph"/>
        <w:widowControl w:val="0"/>
        <w:numPr>
          <w:ilvl w:val="0"/>
          <w:numId w:val="4"/>
        </w:numPr>
        <w:tabs>
          <w:tab w:val="center" w:pos="567"/>
        </w:tabs>
        <w:overflowPunct w:val="0"/>
        <w:autoSpaceDE w:val="0"/>
        <w:autoSpaceDN w:val="0"/>
        <w:adjustRightInd w:val="0"/>
        <w:ind w:left="567" w:hanging="567"/>
        <w:contextualSpacing w:val="0"/>
        <w:textAlignment w:val="baseline"/>
        <w:rPr>
          <w:b/>
          <w:sz w:val="28"/>
          <w:szCs w:val="28"/>
        </w:rPr>
      </w:pPr>
      <w:hyperlink w:history="1" r:id="rId37">
        <w:proofErr w:type="spellStart"/>
        <w:r>
          <w:rPr>
            <w:rStyle w:val="Hyperlink"/>
            <w:b/>
            <w:sz w:val="28"/>
          </w:rPr>
          <w:t>Drooniteollisuus</w:t>
        </w:r>
        <w:proofErr w:type="spellEnd"/>
        <w:r>
          <w:rPr>
            <w:rStyle w:val="Hyperlink"/>
            <w:b/>
            <w:sz w:val="28"/>
          </w:rPr>
          <w:t>: strategista riippumattomuutta koskeva tapaustutkimus</w:t>
        </w:r>
      </w:hyperlink>
    </w:p>
    <w:p w:rsidRPr="00787608" w:rsidR="00175296" w:rsidP="00175296" w:rsidRDefault="00175296" w14:paraId="30C47ED1" w14:textId="77777777">
      <w:pPr>
        <w:widowControl w:val="0"/>
        <w:tabs>
          <w:tab w:val="center" w:pos="284"/>
        </w:tabs>
        <w:overflowPunct w:val="0"/>
        <w:autoSpaceDE w:val="0"/>
        <w:autoSpaceDN w:val="0"/>
        <w:adjustRightInd w:val="0"/>
        <w:textAlignment w:val="baseline"/>
        <w:rPr>
          <w:b/>
          <w:sz w:val="16"/>
          <w:szCs w:val="16"/>
          <w:lang w:val="en-US"/>
        </w:rPr>
      </w:pPr>
    </w:p>
    <w:tbl>
      <w:tblPr>
        <w:tblStyle w:val="TableGrid"/>
        <w:tblW w:w="434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5953"/>
      </w:tblGrid>
      <w:tr w:rsidRPr="00787608" w:rsidR="00175296" w:rsidTr="004427BF" w14:paraId="79FFED79" w14:textId="77777777">
        <w:tc>
          <w:tcPr>
            <w:tcW w:w="1258" w:type="pct"/>
          </w:tcPr>
          <w:p w:rsidRPr="00787608" w:rsidR="00175296" w:rsidP="004427BF" w:rsidRDefault="00175296" w14:paraId="7D41E70C" w14:textId="77777777">
            <w:pPr>
              <w:tabs>
                <w:tab w:val="center" w:pos="284"/>
              </w:tabs>
              <w:ind w:left="266" w:hanging="266"/>
              <w:rPr>
                <w:b/>
                <w:szCs w:val="24"/>
              </w:rPr>
            </w:pPr>
            <w:r>
              <w:rPr>
                <w:b/>
              </w:rPr>
              <w:t>Esittelijä</w:t>
            </w:r>
          </w:p>
        </w:tc>
        <w:tc>
          <w:tcPr>
            <w:tcW w:w="3742" w:type="pct"/>
          </w:tcPr>
          <w:p w:rsidRPr="00787608" w:rsidR="00175296" w:rsidP="004427BF" w:rsidRDefault="00175296" w14:paraId="6449B05E" w14:textId="77777777">
            <w:pPr>
              <w:tabs>
                <w:tab w:val="center" w:pos="0"/>
              </w:tabs>
              <w:ind w:left="27" w:hanging="27"/>
              <w:rPr>
                <w:szCs w:val="24"/>
              </w:rPr>
            </w:pPr>
            <w:proofErr w:type="spellStart"/>
            <w:r>
              <w:t>Panagiotis</w:t>
            </w:r>
            <w:proofErr w:type="spellEnd"/>
            <w:r>
              <w:t xml:space="preserve"> GKOFAS (kansalaisyhteiskunnan organisaatiot </w:t>
            </w:r>
            <w:r>
              <w:noBreakHyphen/>
              <w:t>ryhmä – EL)</w:t>
            </w:r>
          </w:p>
        </w:tc>
      </w:tr>
      <w:tr w:rsidRPr="00787608" w:rsidR="00175296" w:rsidTr="004427BF" w14:paraId="6A5F67C7" w14:textId="77777777">
        <w:tc>
          <w:tcPr>
            <w:tcW w:w="1258" w:type="pct"/>
          </w:tcPr>
          <w:p w:rsidRPr="00787608" w:rsidR="00175296" w:rsidP="004427BF" w:rsidRDefault="00175296" w14:paraId="6A46274D" w14:textId="77777777">
            <w:pPr>
              <w:tabs>
                <w:tab w:val="center" w:pos="284"/>
              </w:tabs>
              <w:ind w:left="266" w:hanging="266"/>
              <w:rPr>
                <w:b/>
                <w:szCs w:val="24"/>
              </w:rPr>
            </w:pPr>
            <w:r>
              <w:rPr>
                <w:b/>
              </w:rPr>
              <w:t>Yhteisesittelijä</w:t>
            </w:r>
          </w:p>
        </w:tc>
        <w:tc>
          <w:tcPr>
            <w:tcW w:w="3742" w:type="pct"/>
          </w:tcPr>
          <w:p w:rsidRPr="00787608" w:rsidR="00175296" w:rsidP="004427BF" w:rsidRDefault="00175296" w14:paraId="205EA7FD" w14:textId="77777777">
            <w:pPr>
              <w:tabs>
                <w:tab w:val="center" w:pos="284"/>
              </w:tabs>
              <w:ind w:left="266" w:hanging="266"/>
              <w:rPr>
                <w:szCs w:val="24"/>
              </w:rPr>
            </w:pPr>
            <w:proofErr w:type="spellStart"/>
            <w:r>
              <w:t>Patrice</w:t>
            </w:r>
            <w:proofErr w:type="spellEnd"/>
            <w:r>
              <w:t xml:space="preserve"> CHAZERAND (kat. 1 – FR)</w:t>
            </w:r>
          </w:p>
        </w:tc>
      </w:tr>
      <w:tr w:rsidRPr="00787608" w:rsidR="00175296" w:rsidTr="004427BF" w14:paraId="2131C9CB" w14:textId="77777777">
        <w:tc>
          <w:tcPr>
            <w:tcW w:w="5000" w:type="pct"/>
            <w:gridSpan w:val="2"/>
          </w:tcPr>
          <w:p w:rsidRPr="00787608" w:rsidR="00175296" w:rsidP="004427BF" w:rsidRDefault="00175296" w14:paraId="691D3972" w14:textId="77777777">
            <w:pPr>
              <w:tabs>
                <w:tab w:val="center" w:pos="284"/>
              </w:tabs>
              <w:ind w:left="266" w:hanging="266"/>
              <w:rPr>
                <w:sz w:val="16"/>
                <w:szCs w:val="18"/>
                <w:lang w:val="en-US"/>
              </w:rPr>
            </w:pPr>
          </w:p>
        </w:tc>
      </w:tr>
      <w:tr w:rsidRPr="00787608" w:rsidR="00175296" w:rsidTr="004427BF" w14:paraId="26642E75" w14:textId="77777777">
        <w:tc>
          <w:tcPr>
            <w:tcW w:w="1258" w:type="pct"/>
            <w:vMerge w:val="restart"/>
          </w:tcPr>
          <w:p w:rsidRPr="00787608" w:rsidR="00175296" w:rsidP="004427BF" w:rsidRDefault="00175296" w14:paraId="0E17427F" w14:textId="77777777">
            <w:pPr>
              <w:tabs>
                <w:tab w:val="center" w:pos="284"/>
              </w:tabs>
              <w:ind w:left="266" w:hanging="266"/>
              <w:rPr>
                <w:b/>
                <w:szCs w:val="24"/>
              </w:rPr>
            </w:pPr>
            <w:r>
              <w:rPr>
                <w:b/>
              </w:rPr>
              <w:t>Viiteasiakirja</w:t>
            </w:r>
          </w:p>
        </w:tc>
        <w:tc>
          <w:tcPr>
            <w:tcW w:w="3742" w:type="pct"/>
          </w:tcPr>
          <w:p w:rsidRPr="00787608" w:rsidR="00175296" w:rsidP="004427BF" w:rsidRDefault="00175296" w14:paraId="2D5EBC22" w14:textId="77777777">
            <w:pPr>
              <w:tabs>
                <w:tab w:val="center" w:pos="284"/>
              </w:tabs>
              <w:ind w:left="266" w:hanging="266"/>
              <w:rPr>
                <w:szCs w:val="24"/>
              </w:rPr>
            </w:pPr>
            <w:r>
              <w:t>EESC-2024-00046-00-00-AC</w:t>
            </w:r>
          </w:p>
        </w:tc>
      </w:tr>
      <w:tr w:rsidRPr="00787608" w:rsidR="00175296" w:rsidTr="004427BF" w14:paraId="4081F00D" w14:textId="77777777">
        <w:tc>
          <w:tcPr>
            <w:tcW w:w="1258" w:type="pct"/>
            <w:vMerge/>
          </w:tcPr>
          <w:p w:rsidRPr="00787608" w:rsidR="00175296" w:rsidP="004427BF" w:rsidRDefault="00175296" w14:paraId="6C570AA1" w14:textId="77777777">
            <w:pPr>
              <w:tabs>
                <w:tab w:val="center" w:pos="284"/>
              </w:tabs>
              <w:ind w:left="266" w:hanging="266"/>
              <w:rPr>
                <w:b/>
                <w:szCs w:val="24"/>
                <w:lang w:val="en-US"/>
              </w:rPr>
            </w:pPr>
          </w:p>
        </w:tc>
        <w:tc>
          <w:tcPr>
            <w:tcW w:w="3742" w:type="pct"/>
          </w:tcPr>
          <w:p w:rsidRPr="00787608" w:rsidR="00175296" w:rsidP="004427BF" w:rsidRDefault="00175296" w14:paraId="623FB14E" w14:textId="77777777">
            <w:pPr>
              <w:tabs>
                <w:tab w:val="center" w:pos="284"/>
              </w:tabs>
              <w:ind w:left="266" w:hanging="266"/>
              <w:rPr>
                <w:szCs w:val="24"/>
                <w:lang w:val="en-US"/>
              </w:rPr>
            </w:pPr>
          </w:p>
        </w:tc>
      </w:tr>
    </w:tbl>
    <w:p w:rsidRPr="00787608" w:rsidR="00175296" w:rsidP="00175296" w:rsidRDefault="00175296" w14:paraId="53E30015" w14:textId="77777777">
      <w:pPr>
        <w:widowControl w:val="0"/>
        <w:tabs>
          <w:tab w:val="left" w:pos="1843"/>
        </w:tabs>
        <w:overflowPunct w:val="0"/>
        <w:autoSpaceDE w:val="0"/>
        <w:autoSpaceDN w:val="0"/>
        <w:adjustRightInd w:val="0"/>
        <w:textAlignment w:val="baseline"/>
        <w:rPr>
          <w:b/>
          <w:sz w:val="16"/>
          <w:szCs w:val="16"/>
          <w:lang w:val="en-US"/>
        </w:rPr>
      </w:pPr>
    </w:p>
    <w:p w:rsidRPr="00F6194F" w:rsidR="00175296" w:rsidP="00175296" w:rsidRDefault="00175296" w14:paraId="46870BE8" w14:textId="77777777">
      <w:pPr>
        <w:keepNext/>
        <w:keepLines/>
        <w:ind w:left="142" w:hanging="142"/>
        <w:rPr>
          <w:b/>
        </w:rPr>
      </w:pPr>
      <w:r>
        <w:rPr>
          <w:b/>
        </w:rPr>
        <w:t>Keskeiset kohdat</w:t>
      </w:r>
    </w:p>
    <w:p w:rsidRPr="007F6262" w:rsidR="00175296" w:rsidP="00175296" w:rsidRDefault="00175296" w14:paraId="45E09ACC" w14:textId="77777777">
      <w:pPr>
        <w:ind w:left="142"/>
      </w:pPr>
      <w:r>
        <w:t>ETSK</w:t>
      </w:r>
    </w:p>
    <w:p w:rsidRPr="00EA5CC5" w:rsidR="00175296" w:rsidP="00175296" w:rsidRDefault="00175296" w14:paraId="549F63F1" w14:textId="77777777">
      <w:pPr>
        <w:pStyle w:val="ListParagraph"/>
        <w:numPr>
          <w:ilvl w:val="0"/>
          <w:numId w:val="5"/>
        </w:numPr>
        <w:ind w:left="714" w:hanging="357"/>
        <w:contextualSpacing w:val="0"/>
      </w:pPr>
      <w:r>
        <w:t xml:space="preserve">katsoo, että </w:t>
      </w:r>
      <w:r>
        <w:rPr>
          <w:b/>
        </w:rPr>
        <w:t xml:space="preserve">Euroopan </w:t>
      </w:r>
      <w:proofErr w:type="spellStart"/>
      <w:r>
        <w:rPr>
          <w:b/>
        </w:rPr>
        <w:t>droonistrategian</w:t>
      </w:r>
      <w:proofErr w:type="spellEnd"/>
      <w:r>
        <w:rPr>
          <w:b/>
        </w:rPr>
        <w:t xml:space="preserve"> </w:t>
      </w:r>
      <w:r>
        <w:t xml:space="preserve">yhdistäminen </w:t>
      </w:r>
      <w:r>
        <w:rPr>
          <w:b/>
        </w:rPr>
        <w:t xml:space="preserve">Euroopan puolustusteollisuusstrategiaan </w:t>
      </w:r>
      <w:r>
        <w:t xml:space="preserve">sekä </w:t>
      </w:r>
      <w:r>
        <w:rPr>
          <w:b/>
        </w:rPr>
        <w:t xml:space="preserve">Euroopan puolustusalan teollisen ja teknologisen perustan (EDTIB) </w:t>
      </w:r>
      <w:r>
        <w:t xml:space="preserve">integrointi </w:t>
      </w:r>
      <w:r>
        <w:rPr>
          <w:b/>
        </w:rPr>
        <w:t xml:space="preserve">korkealaatuisten ja suuren kapasiteetin </w:t>
      </w:r>
      <w:proofErr w:type="spellStart"/>
      <w:r>
        <w:rPr>
          <w:b/>
        </w:rPr>
        <w:t>droonien</w:t>
      </w:r>
      <w:proofErr w:type="spellEnd"/>
      <w:r>
        <w:rPr>
          <w:b/>
        </w:rPr>
        <w:t xml:space="preserve"> EU-tuotannon</w:t>
      </w:r>
      <w:r>
        <w:t xml:space="preserve"> tukemiseksi </w:t>
      </w:r>
      <w:r>
        <w:rPr>
          <w:b/>
        </w:rPr>
        <w:t>tasaisen julkisten hankintojen virran</w:t>
      </w:r>
      <w:r>
        <w:t xml:space="preserve"> avulla on olennaisen tärkeää Euroopan riippumattomuuden varmistamiseksi kriittisten valmiuksien osalta.</w:t>
      </w:r>
    </w:p>
    <w:p w:rsidRPr="00EA5CC5" w:rsidR="00175296" w:rsidP="00175296" w:rsidRDefault="00175296" w14:paraId="01C9FA9B" w14:textId="77777777">
      <w:pPr>
        <w:pStyle w:val="ListParagraph"/>
        <w:numPr>
          <w:ilvl w:val="0"/>
          <w:numId w:val="5"/>
        </w:numPr>
        <w:ind w:left="714" w:hanging="357"/>
        <w:contextualSpacing w:val="0"/>
      </w:pPr>
      <w:r>
        <w:t xml:space="preserve">kannattaa edelleen </w:t>
      </w:r>
      <w:r>
        <w:rPr>
          <w:b/>
        </w:rPr>
        <w:t>parannettua yhteistyötä ja innovointia</w:t>
      </w:r>
      <w:r>
        <w:t xml:space="preserve"> sekä tekoälysäädöksen ja sirusäädöksen kaltaisen lainsäädännön hyödyntämistä </w:t>
      </w:r>
      <w:r>
        <w:rPr>
          <w:b/>
        </w:rPr>
        <w:t>strategisen riippumattomuuden lisäämiseksi</w:t>
      </w:r>
      <w:r>
        <w:t xml:space="preserve"> sekä kansallisen turvallisuuden ja talouskasvun vahvistamiseksi.</w:t>
      </w:r>
    </w:p>
    <w:p w:rsidRPr="00EA5CC5" w:rsidR="00175296" w:rsidP="00175296" w:rsidRDefault="00175296" w14:paraId="3C9FCEEC" w14:textId="77777777">
      <w:pPr>
        <w:pStyle w:val="ListParagraph"/>
        <w:numPr>
          <w:ilvl w:val="0"/>
          <w:numId w:val="5"/>
        </w:numPr>
        <w:ind w:left="714" w:hanging="357"/>
        <w:contextualSpacing w:val="0"/>
      </w:pPr>
      <w:r>
        <w:t xml:space="preserve">korostaa, että </w:t>
      </w:r>
      <w:r>
        <w:rPr>
          <w:b/>
        </w:rPr>
        <w:t>sotilas- ja siviilialan tutkimus- ja kehittämistoiminnan yhteensovittamisen</w:t>
      </w:r>
      <w:r>
        <w:t xml:space="preserve"> tarve kasvaa edelleen, sillä </w:t>
      </w:r>
      <w:proofErr w:type="spellStart"/>
      <w:r>
        <w:t>drooneissa</w:t>
      </w:r>
      <w:proofErr w:type="spellEnd"/>
      <w:r>
        <w:t xml:space="preserve"> hyödynnetään yhä enemmän automaatiota, koneoppimista ja tekoälyä.</w:t>
      </w:r>
    </w:p>
    <w:p w:rsidRPr="00EA5CC5" w:rsidR="00175296" w:rsidP="00175296" w:rsidRDefault="00175296" w14:paraId="59D1F992" w14:textId="77777777">
      <w:pPr>
        <w:pStyle w:val="ListParagraph"/>
        <w:numPr>
          <w:ilvl w:val="0"/>
          <w:numId w:val="5"/>
        </w:numPr>
        <w:ind w:left="714" w:hanging="357"/>
        <w:contextualSpacing w:val="0"/>
      </w:pPr>
      <w:r>
        <w:t xml:space="preserve">katsoo, että </w:t>
      </w:r>
      <w:proofErr w:type="spellStart"/>
      <w:r>
        <w:rPr>
          <w:b/>
        </w:rPr>
        <w:t>drooniteknologiaa</w:t>
      </w:r>
      <w:proofErr w:type="spellEnd"/>
      <w:r>
        <w:rPr>
          <w:b/>
        </w:rPr>
        <w:t xml:space="preserve"> koskeva EU:n strateginen etenemissuunnitelma</w:t>
      </w:r>
      <w:r>
        <w:t xml:space="preserve"> on olennaisen tärkeä kriittisten </w:t>
      </w:r>
      <w:proofErr w:type="spellStart"/>
      <w:r>
        <w:t>drooniteknologioiden</w:t>
      </w:r>
      <w:proofErr w:type="spellEnd"/>
      <w:r>
        <w:t xml:space="preserve"> ja kaksikäyttöisten </w:t>
      </w:r>
      <w:proofErr w:type="spellStart"/>
      <w:r>
        <w:t>droonijärjestelmien</w:t>
      </w:r>
      <w:proofErr w:type="spellEnd"/>
      <w:r>
        <w:t xml:space="preserve"> kannalta ja voi tarjota jäsennellyn lähestymistavan </w:t>
      </w:r>
      <w:proofErr w:type="spellStart"/>
      <w:r>
        <w:t>drooniteknologian</w:t>
      </w:r>
      <w:proofErr w:type="spellEnd"/>
      <w:r>
        <w:t xml:space="preserve"> edistämiseen.</w:t>
      </w:r>
    </w:p>
    <w:p w:rsidRPr="00EA5CC5" w:rsidR="00175296" w:rsidP="00175296" w:rsidRDefault="00175296" w14:paraId="67602B9B" w14:textId="77777777">
      <w:pPr>
        <w:pStyle w:val="ListParagraph"/>
        <w:numPr>
          <w:ilvl w:val="0"/>
          <w:numId w:val="5"/>
        </w:numPr>
        <w:ind w:left="714" w:hanging="357"/>
        <w:contextualSpacing w:val="0"/>
      </w:pPr>
      <w:r>
        <w:t xml:space="preserve">korostaa tarvetta pohtia perusteellisesti mahdollisuutta </w:t>
      </w:r>
      <w:r>
        <w:rPr>
          <w:b/>
        </w:rPr>
        <w:t xml:space="preserve">tukea mahdollisia investointeja </w:t>
      </w:r>
      <w:proofErr w:type="spellStart"/>
      <w:r>
        <w:rPr>
          <w:b/>
        </w:rPr>
        <w:t>droonien</w:t>
      </w:r>
      <w:proofErr w:type="spellEnd"/>
      <w:r>
        <w:rPr>
          <w:b/>
        </w:rPr>
        <w:t xml:space="preserve"> tuotantoon sekä toimitus- ja arvoketjujen integrointiin</w:t>
      </w:r>
      <w:r>
        <w:t>.</w:t>
      </w:r>
    </w:p>
    <w:p w:rsidRPr="00EA5CC5" w:rsidR="00175296" w:rsidP="00175296" w:rsidRDefault="00175296" w14:paraId="6F75C3C7" w14:textId="77777777">
      <w:pPr>
        <w:pStyle w:val="ListParagraph"/>
        <w:numPr>
          <w:ilvl w:val="0"/>
          <w:numId w:val="5"/>
        </w:numPr>
        <w:ind w:left="714" w:hanging="357"/>
        <w:contextualSpacing w:val="0"/>
      </w:pPr>
      <w:r>
        <w:t>painottaa, että EU:n olisi toimittava aktiivisemmin maailmanlaajuisella tasolla, erityisesti sertifiointimenettelyjen osalta.</w:t>
      </w:r>
    </w:p>
    <w:p w:rsidRPr="008F37D6" w:rsidR="00175296" w:rsidP="00175296" w:rsidRDefault="00175296" w14:paraId="13E4ADC5" w14:textId="77777777">
      <w:pPr>
        <w:pStyle w:val="ListParagraph"/>
        <w:numPr>
          <w:ilvl w:val="0"/>
          <w:numId w:val="5"/>
        </w:numPr>
        <w:ind w:left="714" w:hanging="357"/>
        <w:contextualSpacing w:val="0"/>
      </w:pPr>
      <w:r>
        <w:t xml:space="preserve">toteaa, että innovatiivisten lentoliikennetoimintojen </w:t>
      </w:r>
      <w:r>
        <w:rPr>
          <w:b/>
        </w:rPr>
        <w:t>yhteiskunnallinen hyväksyntä</w:t>
      </w:r>
      <w:r>
        <w:t xml:space="preserve"> on olennaisen tärkeää: EU:n tuella voidaan vahvistaa ilmailun yleistä ekosysteemiä ja edistää sen kasvua ja kestävyyttä.</w:t>
      </w:r>
    </w:p>
    <w:p w:rsidR="00175296" w:rsidP="00175296" w:rsidRDefault="00175296" w14:paraId="46EB1770" w14:textId="77777777">
      <w:pPr>
        <w:pStyle w:val="ListParagraph"/>
        <w:numPr>
          <w:ilvl w:val="0"/>
          <w:numId w:val="5"/>
        </w:numPr>
        <w:ind w:left="714" w:hanging="357"/>
        <w:contextualSpacing w:val="0"/>
      </w:pPr>
      <w:r>
        <w:t xml:space="preserve">korostaa, että EU:n olisi myös oltava valmis laatimaan </w:t>
      </w:r>
      <w:r>
        <w:rPr>
          <w:b/>
        </w:rPr>
        <w:t xml:space="preserve">yhteisen </w:t>
      </w:r>
      <w:proofErr w:type="spellStart"/>
      <w:r>
        <w:rPr>
          <w:b/>
        </w:rPr>
        <w:t>droonintorjuntajärjestelmän</w:t>
      </w:r>
      <w:proofErr w:type="spellEnd"/>
      <w:r>
        <w:rPr>
          <w:b/>
        </w:rPr>
        <w:t xml:space="preserve"> kehittämistä koskeva yhtenäinen strategia</w:t>
      </w:r>
      <w:r>
        <w:t>, jotta voidaan vastata moninaisiin riskeihin, jotka voivat liittyä esimerkiksi hybridiuhkiin, terroritoimintaan, muiden valtioiden hyökkäyksiin ja jopa siviilitason väärinkäytöksiin.</w:t>
      </w:r>
    </w:p>
    <w:p w:rsidR="00175296" w:rsidP="00175296" w:rsidRDefault="00175296" w14:paraId="43EEF85B" w14:textId="77777777">
      <w:pPr>
        <w:pStyle w:val="ListParagraph"/>
        <w:ind w:left="714"/>
        <w:contextualSpacing w:val="0"/>
        <w:rPr>
          <w:lang w:val="en-GB"/>
        </w:rPr>
      </w:pPr>
    </w:p>
    <w:p w:rsidR="00175296" w:rsidP="00175296" w:rsidRDefault="00175296" w14:paraId="41BA9EA3" w14:textId="77777777">
      <w:pPr>
        <w:pStyle w:val="ListParagraph"/>
        <w:ind w:left="714"/>
        <w:contextualSpacing w:val="0"/>
        <w:rPr>
          <w:lang w:val="en-GB"/>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11"/>
        <w:gridCol w:w="3920"/>
      </w:tblGrid>
      <w:tr w:rsidRPr="007F6262" w:rsidR="00175296" w:rsidTr="004427BF" w14:paraId="11788E75" w14:textId="77777777">
        <w:tc>
          <w:tcPr>
            <w:tcW w:w="2089" w:type="pct"/>
          </w:tcPr>
          <w:p w:rsidRPr="007F6262" w:rsidR="00175296" w:rsidP="004427BF" w:rsidRDefault="00175296" w14:paraId="2F64BC6A" w14:textId="77777777">
            <w:pPr>
              <w:rPr>
                <w:i/>
              </w:rPr>
            </w:pPr>
            <w:r>
              <w:rPr>
                <w:b/>
                <w:i/>
              </w:rPr>
              <w:t>Yhteydenotot</w:t>
            </w:r>
          </w:p>
        </w:tc>
        <w:tc>
          <w:tcPr>
            <w:tcW w:w="2911" w:type="pct"/>
            <w:tcBorders>
              <w:left w:val="nil"/>
            </w:tcBorders>
          </w:tcPr>
          <w:p w:rsidRPr="007F6262" w:rsidR="00175296" w:rsidP="004427BF" w:rsidRDefault="00175296" w14:paraId="469D093F" w14:textId="77777777">
            <w:pPr>
              <w:rPr>
                <w:i/>
              </w:rPr>
            </w:pPr>
            <w:proofErr w:type="spellStart"/>
            <w:r>
              <w:rPr>
                <w:i/>
              </w:rPr>
              <w:t>Ioannis</w:t>
            </w:r>
            <w:proofErr w:type="spellEnd"/>
            <w:r>
              <w:rPr>
                <w:i/>
              </w:rPr>
              <w:t xml:space="preserve"> DIAMANTOPOULOS</w:t>
            </w:r>
          </w:p>
        </w:tc>
      </w:tr>
      <w:tr w:rsidRPr="007F6262" w:rsidR="00175296" w:rsidTr="004427BF" w14:paraId="540E06C9" w14:textId="77777777">
        <w:tc>
          <w:tcPr>
            <w:tcW w:w="2089" w:type="pct"/>
          </w:tcPr>
          <w:p w:rsidRPr="007F6262" w:rsidR="00175296" w:rsidP="004427BF" w:rsidRDefault="00175296" w14:paraId="58FDC671" w14:textId="77777777">
            <w:pPr>
              <w:rPr>
                <w:i/>
              </w:rPr>
            </w:pPr>
            <w:r>
              <w:rPr>
                <w:i/>
              </w:rPr>
              <w:t xml:space="preserve">P. </w:t>
            </w:r>
          </w:p>
        </w:tc>
        <w:tc>
          <w:tcPr>
            <w:tcW w:w="2911" w:type="pct"/>
            <w:tcBorders>
              <w:left w:val="nil"/>
            </w:tcBorders>
          </w:tcPr>
          <w:p w:rsidRPr="007F6262" w:rsidR="00175296" w:rsidP="004427BF" w:rsidRDefault="00175296" w14:paraId="1AB2AFC6" w14:textId="77777777">
            <w:pPr>
              <w:rPr>
                <w:i/>
              </w:rPr>
            </w:pPr>
            <w:r>
              <w:rPr>
                <w:i/>
              </w:rPr>
              <w:t>+32 25469170</w:t>
            </w:r>
          </w:p>
        </w:tc>
      </w:tr>
      <w:tr w:rsidRPr="007F6262" w:rsidR="00175296" w:rsidTr="004427BF" w14:paraId="0CA16ECA" w14:textId="77777777">
        <w:tc>
          <w:tcPr>
            <w:tcW w:w="2089" w:type="pct"/>
          </w:tcPr>
          <w:p w:rsidRPr="007F6262" w:rsidR="00175296" w:rsidP="004427BF" w:rsidRDefault="00175296" w14:paraId="39272E47" w14:textId="77777777">
            <w:pPr>
              <w:rPr>
                <w:i/>
                <w:iCs/>
              </w:rPr>
            </w:pPr>
            <w:r>
              <w:rPr>
                <w:i/>
              </w:rPr>
              <w:t>Sähköposti</w:t>
            </w:r>
          </w:p>
        </w:tc>
        <w:tc>
          <w:tcPr>
            <w:tcW w:w="2911" w:type="pct"/>
            <w:tcBorders>
              <w:left w:val="nil"/>
            </w:tcBorders>
          </w:tcPr>
          <w:p w:rsidRPr="00EB0FF7" w:rsidR="00175296" w:rsidP="004427BF" w:rsidRDefault="00175296" w14:paraId="2F272ACB" w14:textId="77777777">
            <w:pPr>
              <w:rPr>
                <w:i/>
                <w:iCs/>
              </w:rPr>
            </w:pPr>
            <w:r>
              <w:rPr>
                <w:i/>
                <w:color w:val="0000FF"/>
                <w:u w:val="single"/>
              </w:rPr>
              <w:t>Ioannis.Diamantopoulos@eesc.europa.eu</w:t>
            </w:r>
          </w:p>
        </w:tc>
      </w:tr>
    </w:tbl>
    <w:p w:rsidR="00DD6D07" w:rsidRDefault="00DD6D07" w14:paraId="00CC9B58" w14:textId="77777777">
      <w:pPr>
        <w:spacing w:after="160" w:line="259" w:lineRule="auto"/>
        <w:jc w:val="left"/>
      </w:pPr>
      <w:r>
        <w:br w:type="page"/>
      </w:r>
    </w:p>
    <w:p w:rsidR="00B612CA" w:rsidP="00895853" w:rsidRDefault="00B612CA" w14:paraId="57B89030" w14:textId="77777777">
      <w:pPr>
        <w:overflowPunct w:val="0"/>
        <w:autoSpaceDE w:val="0"/>
        <w:autoSpaceDN w:val="0"/>
        <w:adjustRightInd w:val="0"/>
        <w:jc w:val="left"/>
        <w:textAlignment w:val="baseline"/>
        <w:rPr>
          <w:lang w:val="nl-BE"/>
        </w:rPr>
      </w:pPr>
    </w:p>
    <w:p w:rsidRPr="00763103" w:rsidR="00645C28" w:rsidP="00645C28" w:rsidRDefault="00645C28" w14:paraId="349C97D6" w14:textId="77777777">
      <w:pPr>
        <w:pStyle w:val="ListParagraph"/>
        <w:widowControl w:val="0"/>
        <w:numPr>
          <w:ilvl w:val="0"/>
          <w:numId w:val="4"/>
        </w:numPr>
        <w:tabs>
          <w:tab w:val="center" w:pos="567"/>
        </w:tabs>
        <w:overflowPunct w:val="0"/>
        <w:autoSpaceDE w:val="0"/>
        <w:autoSpaceDN w:val="0"/>
        <w:adjustRightInd w:val="0"/>
        <w:ind w:left="567" w:hanging="567"/>
        <w:textAlignment w:val="baseline"/>
        <w:rPr>
          <w:b/>
          <w:i/>
          <w:iCs/>
          <w:sz w:val="28"/>
          <w:szCs w:val="28"/>
        </w:rPr>
      </w:pPr>
      <w:hyperlink w:history="1" r:id="rId38">
        <w:r>
          <w:rPr>
            <w:rStyle w:val="Hyperlink"/>
            <w:b/>
            <w:i/>
            <w:sz w:val="28"/>
          </w:rPr>
          <w:t>Tiedonanto teollisesta hiilenhallinnasta</w:t>
        </w:r>
      </w:hyperlink>
    </w:p>
    <w:p w:rsidRPr="00F6194F" w:rsidR="00645C28" w:rsidP="00645C28" w:rsidRDefault="00645C28" w14:paraId="7679B259" w14:textId="77777777">
      <w:pPr>
        <w:widowControl w:val="0"/>
        <w:tabs>
          <w:tab w:val="center" w:pos="284"/>
        </w:tabs>
        <w:overflowPunct w:val="0"/>
        <w:autoSpaceDE w:val="0"/>
        <w:autoSpaceDN w:val="0"/>
        <w:adjustRightInd w:val="0"/>
        <w:textAlignment w:val="baseline"/>
        <w:rPr>
          <w:b/>
          <w:lang w:val="en-US"/>
        </w:rPr>
      </w:pPr>
    </w:p>
    <w:tbl>
      <w:tblPr>
        <w:tblStyle w:val="TableGrid"/>
        <w:tblW w:w="4497"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0"/>
        <w:gridCol w:w="6225"/>
      </w:tblGrid>
      <w:tr w:rsidRPr="00763103" w:rsidR="00645C28" w:rsidTr="004427BF" w14:paraId="7804EDC3" w14:textId="77777777">
        <w:tc>
          <w:tcPr>
            <w:tcW w:w="1216" w:type="pct"/>
          </w:tcPr>
          <w:p w:rsidRPr="00763103" w:rsidR="00645C28" w:rsidP="004427BF" w:rsidRDefault="00645C28" w14:paraId="35BBF6B8" w14:textId="77777777">
            <w:pPr>
              <w:tabs>
                <w:tab w:val="center" w:pos="284"/>
              </w:tabs>
              <w:ind w:left="266" w:hanging="266"/>
              <w:rPr>
                <w:b/>
                <w:szCs w:val="24"/>
              </w:rPr>
            </w:pPr>
            <w:r>
              <w:rPr>
                <w:b/>
              </w:rPr>
              <w:t>Esittelijä</w:t>
            </w:r>
          </w:p>
        </w:tc>
        <w:tc>
          <w:tcPr>
            <w:tcW w:w="3784" w:type="pct"/>
          </w:tcPr>
          <w:p w:rsidRPr="00763103" w:rsidR="00645C28" w:rsidP="004427BF" w:rsidRDefault="00645C28" w14:paraId="06F4CA63" w14:textId="77777777">
            <w:pPr>
              <w:tabs>
                <w:tab w:val="center" w:pos="284"/>
              </w:tabs>
              <w:ind w:left="266" w:hanging="266"/>
              <w:rPr>
                <w:szCs w:val="24"/>
              </w:rPr>
            </w:pPr>
            <w:r>
              <w:t>Gonçalo LOBO XAVIER (työnantajat – PT)</w:t>
            </w:r>
          </w:p>
        </w:tc>
      </w:tr>
      <w:tr w:rsidRPr="00763103" w:rsidR="00645C28" w:rsidTr="004427BF" w14:paraId="4699B30A" w14:textId="77777777">
        <w:tc>
          <w:tcPr>
            <w:tcW w:w="1216" w:type="pct"/>
          </w:tcPr>
          <w:p w:rsidRPr="00763103" w:rsidR="00645C28" w:rsidP="004427BF" w:rsidRDefault="00645C28" w14:paraId="70223BB6" w14:textId="77777777">
            <w:pPr>
              <w:tabs>
                <w:tab w:val="center" w:pos="284"/>
              </w:tabs>
              <w:ind w:left="266" w:hanging="266"/>
              <w:rPr>
                <w:b/>
                <w:szCs w:val="24"/>
              </w:rPr>
            </w:pPr>
            <w:r>
              <w:rPr>
                <w:b/>
              </w:rPr>
              <w:t>Yhteisesittelijä</w:t>
            </w:r>
          </w:p>
        </w:tc>
        <w:tc>
          <w:tcPr>
            <w:tcW w:w="3784" w:type="pct"/>
          </w:tcPr>
          <w:p w:rsidRPr="00763103" w:rsidR="00645C28" w:rsidP="004427BF" w:rsidRDefault="00645C28" w14:paraId="6C59A848" w14:textId="77777777">
            <w:pPr>
              <w:tabs>
                <w:tab w:val="center" w:pos="284"/>
              </w:tabs>
              <w:ind w:left="266" w:hanging="266"/>
              <w:rPr>
                <w:szCs w:val="24"/>
              </w:rPr>
            </w:pPr>
            <w:r>
              <w:t>Jean-Michel POURTEAU (kat. 2 – FR)</w:t>
            </w:r>
          </w:p>
        </w:tc>
      </w:tr>
      <w:tr w:rsidRPr="00763103" w:rsidR="00645C28" w:rsidTr="004427BF" w14:paraId="04969CB0" w14:textId="77777777">
        <w:tc>
          <w:tcPr>
            <w:tcW w:w="5000" w:type="pct"/>
            <w:gridSpan w:val="2"/>
          </w:tcPr>
          <w:p w:rsidRPr="00763103" w:rsidR="00645C28" w:rsidP="004427BF" w:rsidRDefault="00645C28" w14:paraId="11765B3B" w14:textId="77777777">
            <w:pPr>
              <w:tabs>
                <w:tab w:val="center" w:pos="284"/>
              </w:tabs>
              <w:spacing w:line="160" w:lineRule="exact"/>
              <w:ind w:left="266" w:hanging="266"/>
              <w:rPr>
                <w:szCs w:val="24"/>
                <w:lang w:val="en-US"/>
              </w:rPr>
            </w:pPr>
          </w:p>
        </w:tc>
      </w:tr>
      <w:tr w:rsidRPr="00763103" w:rsidR="00645C28" w:rsidTr="004427BF" w14:paraId="566EDCA7" w14:textId="77777777">
        <w:tc>
          <w:tcPr>
            <w:tcW w:w="1216" w:type="pct"/>
            <w:vMerge w:val="restart"/>
          </w:tcPr>
          <w:p w:rsidRPr="00763103" w:rsidR="00645C28" w:rsidP="004427BF" w:rsidRDefault="00645C28" w14:paraId="2105AC89" w14:textId="77777777">
            <w:pPr>
              <w:tabs>
                <w:tab w:val="center" w:pos="284"/>
              </w:tabs>
              <w:ind w:left="266" w:hanging="266"/>
              <w:rPr>
                <w:b/>
                <w:szCs w:val="24"/>
              </w:rPr>
            </w:pPr>
            <w:r>
              <w:rPr>
                <w:b/>
              </w:rPr>
              <w:t>Viiteasiakirjat</w:t>
            </w:r>
          </w:p>
        </w:tc>
        <w:tc>
          <w:tcPr>
            <w:tcW w:w="3784" w:type="pct"/>
          </w:tcPr>
          <w:p w:rsidRPr="00763103" w:rsidR="00645C28" w:rsidP="004427BF" w:rsidRDefault="00645C28" w14:paraId="71B8B7C4" w14:textId="77777777">
            <w:pPr>
              <w:tabs>
                <w:tab w:val="center" w:pos="284"/>
              </w:tabs>
              <w:ind w:left="266" w:hanging="266"/>
              <w:rPr>
                <w:szCs w:val="24"/>
              </w:rPr>
            </w:pPr>
            <w:r>
              <w:t xml:space="preserve">COM(2024) 62 </w:t>
            </w:r>
            <w:proofErr w:type="spellStart"/>
            <w:r>
              <w:t>final</w:t>
            </w:r>
            <w:proofErr w:type="spellEnd"/>
          </w:p>
        </w:tc>
      </w:tr>
      <w:tr w:rsidRPr="00763103" w:rsidR="00645C28" w:rsidTr="004427BF" w14:paraId="55E88F9B" w14:textId="77777777">
        <w:tc>
          <w:tcPr>
            <w:tcW w:w="1216" w:type="pct"/>
            <w:vMerge/>
          </w:tcPr>
          <w:p w:rsidRPr="00763103" w:rsidR="00645C28" w:rsidP="004427BF" w:rsidRDefault="00645C28" w14:paraId="7613D5A5" w14:textId="77777777">
            <w:pPr>
              <w:tabs>
                <w:tab w:val="center" w:pos="284"/>
              </w:tabs>
              <w:ind w:left="266" w:hanging="266"/>
              <w:rPr>
                <w:b/>
                <w:szCs w:val="24"/>
                <w:lang w:val="en-US"/>
              </w:rPr>
            </w:pPr>
          </w:p>
        </w:tc>
        <w:tc>
          <w:tcPr>
            <w:tcW w:w="3784" w:type="pct"/>
          </w:tcPr>
          <w:p w:rsidRPr="00763103" w:rsidR="00645C28" w:rsidP="004427BF" w:rsidRDefault="00645C28" w14:paraId="71F8191E" w14:textId="77777777">
            <w:pPr>
              <w:tabs>
                <w:tab w:val="center" w:pos="284"/>
              </w:tabs>
              <w:ind w:left="266" w:hanging="266"/>
              <w:rPr>
                <w:szCs w:val="24"/>
              </w:rPr>
            </w:pPr>
            <w:r>
              <w:t>EESC-2024-00878-00-00-AC</w:t>
            </w:r>
          </w:p>
        </w:tc>
      </w:tr>
    </w:tbl>
    <w:p w:rsidRPr="00F6194F" w:rsidR="00645C28" w:rsidP="00645C28" w:rsidRDefault="00645C28" w14:paraId="55DA02F3" w14:textId="77777777">
      <w:pPr>
        <w:widowControl w:val="0"/>
        <w:tabs>
          <w:tab w:val="left" w:pos="1843"/>
        </w:tabs>
        <w:overflowPunct w:val="0"/>
        <w:autoSpaceDE w:val="0"/>
        <w:autoSpaceDN w:val="0"/>
        <w:adjustRightInd w:val="0"/>
        <w:textAlignment w:val="baseline"/>
        <w:rPr>
          <w:b/>
          <w:lang w:val="en-US"/>
        </w:rPr>
      </w:pPr>
    </w:p>
    <w:p w:rsidRPr="00F6194F" w:rsidR="00645C28" w:rsidP="00645C28" w:rsidRDefault="00645C28" w14:paraId="27B015B8" w14:textId="77777777">
      <w:pPr>
        <w:keepNext/>
        <w:keepLines/>
        <w:ind w:left="142" w:hanging="142"/>
        <w:rPr>
          <w:b/>
        </w:rPr>
      </w:pPr>
      <w:r>
        <w:rPr>
          <w:b/>
        </w:rPr>
        <w:t>Keskeiset kohdat</w:t>
      </w:r>
    </w:p>
    <w:p w:rsidRPr="007F6262" w:rsidR="00645C28" w:rsidP="00645C28" w:rsidRDefault="00645C28" w14:paraId="293E0DD6" w14:textId="77777777">
      <w:pPr>
        <w:ind w:left="142"/>
      </w:pPr>
      <w:r>
        <w:t>ETSK</w:t>
      </w:r>
    </w:p>
    <w:p w:rsidR="00645C28" w:rsidP="00645C28" w:rsidRDefault="00645C28" w14:paraId="4CA583FD" w14:textId="77777777">
      <w:pPr>
        <w:pStyle w:val="ListParagraph"/>
        <w:numPr>
          <w:ilvl w:val="0"/>
          <w:numId w:val="5"/>
        </w:numPr>
        <w:spacing w:after="160" w:line="259" w:lineRule="auto"/>
      </w:pPr>
      <w:r>
        <w:t xml:space="preserve">katsoo, että </w:t>
      </w:r>
      <w:r>
        <w:rPr>
          <w:b/>
        </w:rPr>
        <w:t>teollinen hiilenhallintastrategia on erittäin tervetullut ja tasapainoinen</w:t>
      </w:r>
      <w:r>
        <w:t xml:space="preserve">, sillä se kattaa näkökohtia, jotka ovat ratkaisevan tärkeitä </w:t>
      </w:r>
      <w:r>
        <w:rPr>
          <w:b/>
        </w:rPr>
        <w:t>hiilidioksidin talteenoton ja varastoinnin (</w:t>
      </w:r>
      <w:proofErr w:type="spellStart"/>
      <w:r>
        <w:rPr>
          <w:b/>
          <w:i/>
          <w:iCs/>
        </w:rPr>
        <w:t>Carbon</w:t>
      </w:r>
      <w:proofErr w:type="spellEnd"/>
      <w:r>
        <w:rPr>
          <w:b/>
          <w:i/>
          <w:iCs/>
        </w:rPr>
        <w:t xml:space="preserve"> </w:t>
      </w:r>
      <w:proofErr w:type="spellStart"/>
      <w:r>
        <w:rPr>
          <w:b/>
          <w:i/>
          <w:iCs/>
        </w:rPr>
        <w:t>Capture</w:t>
      </w:r>
      <w:proofErr w:type="spellEnd"/>
      <w:r>
        <w:rPr>
          <w:b/>
          <w:i/>
          <w:iCs/>
        </w:rPr>
        <w:t xml:space="preserve"> and Storage</w:t>
      </w:r>
      <w:r>
        <w:rPr>
          <w:b/>
        </w:rPr>
        <w:t>, CCS) sekä hiilidioksidin talteenoton ja käytön (</w:t>
      </w:r>
      <w:proofErr w:type="spellStart"/>
      <w:r>
        <w:rPr>
          <w:b/>
          <w:i/>
          <w:iCs/>
        </w:rPr>
        <w:t>Carbon</w:t>
      </w:r>
      <w:proofErr w:type="spellEnd"/>
      <w:r>
        <w:rPr>
          <w:b/>
          <w:i/>
          <w:iCs/>
        </w:rPr>
        <w:t xml:space="preserve"> </w:t>
      </w:r>
      <w:proofErr w:type="spellStart"/>
      <w:r>
        <w:rPr>
          <w:b/>
          <w:i/>
          <w:iCs/>
        </w:rPr>
        <w:t>Capture</w:t>
      </w:r>
      <w:proofErr w:type="spellEnd"/>
      <w:r>
        <w:rPr>
          <w:b/>
          <w:i/>
          <w:iCs/>
        </w:rPr>
        <w:t xml:space="preserve"> and </w:t>
      </w:r>
      <w:proofErr w:type="spellStart"/>
      <w:r>
        <w:rPr>
          <w:b/>
          <w:i/>
          <w:iCs/>
        </w:rPr>
        <w:t>Utilisation</w:t>
      </w:r>
      <w:proofErr w:type="spellEnd"/>
      <w:r>
        <w:rPr>
          <w:b/>
        </w:rPr>
        <w:t>, CCU) toteuttamiseksi teollisessa mittakaavassa EU:ssa</w:t>
      </w:r>
      <w:r>
        <w:t>.</w:t>
      </w:r>
    </w:p>
    <w:p w:rsidRPr="00522A06" w:rsidR="00645C28" w:rsidP="00645C28" w:rsidRDefault="00645C28" w14:paraId="04C55210" w14:textId="77777777">
      <w:pPr>
        <w:pStyle w:val="ListParagraph"/>
        <w:numPr>
          <w:ilvl w:val="0"/>
          <w:numId w:val="5"/>
        </w:numPr>
        <w:spacing w:after="160" w:line="259" w:lineRule="auto"/>
      </w:pPr>
      <w:r>
        <w:t xml:space="preserve">toteaa, että </w:t>
      </w:r>
      <w:r>
        <w:rPr>
          <w:b/>
        </w:rPr>
        <w:t>hiilen sisämarkkinoiden</w:t>
      </w:r>
      <w:r>
        <w:t xml:space="preserve"> luominen edellyttää</w:t>
      </w:r>
      <w:r>
        <w:rPr>
          <w:b/>
        </w:rPr>
        <w:t xml:space="preserve"> (myös </w:t>
      </w:r>
      <w:proofErr w:type="spellStart"/>
      <w:r>
        <w:rPr>
          <w:b/>
        </w:rPr>
        <w:t>rajatylittävän</w:t>
      </w:r>
      <w:proofErr w:type="spellEnd"/>
      <w:r>
        <w:rPr>
          <w:b/>
        </w:rPr>
        <w:t>) varastointi- ja siirtoinfrastruktuurin</w:t>
      </w:r>
      <w:r>
        <w:t xml:space="preserve"> sekä </w:t>
      </w:r>
      <w:r>
        <w:rPr>
          <w:b/>
        </w:rPr>
        <w:t>markkinoita koskevien sääntöjen käyttöön ottamista</w:t>
      </w:r>
      <w:r>
        <w:t xml:space="preserve">. </w:t>
      </w:r>
    </w:p>
    <w:p w:rsidR="00645C28" w:rsidP="00645C28" w:rsidRDefault="00645C28" w14:paraId="20E9D86D" w14:textId="77777777">
      <w:pPr>
        <w:pStyle w:val="ListParagraph"/>
        <w:numPr>
          <w:ilvl w:val="0"/>
          <w:numId w:val="5"/>
        </w:numPr>
        <w:spacing w:after="160" w:line="259" w:lineRule="auto"/>
      </w:pPr>
      <w:r>
        <w:t xml:space="preserve">korostaa, että </w:t>
      </w:r>
      <w:r>
        <w:rPr>
          <w:b/>
        </w:rPr>
        <w:t>hiilenhallintastrategiat</w:t>
      </w:r>
      <w:r>
        <w:t xml:space="preserve"> on tarpeen </w:t>
      </w:r>
      <w:r>
        <w:rPr>
          <w:b/>
        </w:rPr>
        <w:t>mukauttaa eri teollisuudenaloille</w:t>
      </w:r>
      <w:r>
        <w:t>.</w:t>
      </w:r>
    </w:p>
    <w:p w:rsidR="00645C28" w:rsidP="00645C28" w:rsidRDefault="00645C28" w14:paraId="4620924F" w14:textId="77777777">
      <w:pPr>
        <w:pStyle w:val="ListParagraph"/>
        <w:numPr>
          <w:ilvl w:val="0"/>
          <w:numId w:val="5"/>
        </w:numPr>
        <w:spacing w:after="160" w:line="259" w:lineRule="auto"/>
      </w:pPr>
      <w:r>
        <w:t xml:space="preserve">katsoo, että on olennaisen tärkeää </w:t>
      </w:r>
      <w:r>
        <w:rPr>
          <w:b/>
        </w:rPr>
        <w:t>tunnistaa esteet, jotka haittaavat nykyisten hiilenhallintakäytäntöjen tehokasta täytäntöönpanoa</w:t>
      </w:r>
      <w:r>
        <w:t xml:space="preserve"> muutosten toteuttamiseksi ja strategioiden määrittelemiseksi.</w:t>
      </w:r>
    </w:p>
    <w:p w:rsidR="00645C28" w:rsidP="00645C28" w:rsidRDefault="00645C28" w14:paraId="6A99A9D4" w14:textId="77777777">
      <w:pPr>
        <w:pStyle w:val="ListParagraph"/>
        <w:numPr>
          <w:ilvl w:val="0"/>
          <w:numId w:val="5"/>
        </w:numPr>
        <w:spacing w:after="160" w:line="259" w:lineRule="auto"/>
      </w:pPr>
      <w:r>
        <w:t xml:space="preserve">katsoo, että EU tarvitsee </w:t>
      </w:r>
      <w:r>
        <w:rPr>
          <w:b/>
        </w:rPr>
        <w:t>hiilidioksidia koskevan teollisuusstrategian, joka vauhdittaa kasvua kestävällä tavalla</w:t>
      </w:r>
      <w:r>
        <w:t xml:space="preserve"> ja </w:t>
      </w:r>
      <w:r>
        <w:rPr>
          <w:b/>
        </w:rPr>
        <w:t>auttaa</w:t>
      </w:r>
      <w:r>
        <w:t xml:space="preserve"> paitsi </w:t>
      </w:r>
      <w:r>
        <w:rPr>
          <w:b/>
        </w:rPr>
        <w:t>toteuttamaan vihreän kehityksen ohjelman tavoitteet</w:t>
      </w:r>
      <w:r>
        <w:t xml:space="preserve"> myös </w:t>
      </w:r>
      <w:r>
        <w:rPr>
          <w:b/>
        </w:rPr>
        <w:t>varmistamaan laadukkaat työpaikat ja oikeudenmukaisen siirtymän työntekijöille</w:t>
      </w:r>
      <w:r>
        <w:t xml:space="preserve"> sekä tunnistamaan </w:t>
      </w:r>
      <w:r>
        <w:rPr>
          <w:b/>
        </w:rPr>
        <w:t>työvoimapulan ja osaamisvajeet, joita helpotetaan uudelleen- ja täydennyskoulutuksella</w:t>
      </w:r>
      <w:r>
        <w:t>.</w:t>
      </w:r>
    </w:p>
    <w:p w:rsidR="00645C28" w:rsidP="00645C28" w:rsidRDefault="00645C28" w14:paraId="24150EA5" w14:textId="77777777">
      <w:pPr>
        <w:pStyle w:val="ListParagraph"/>
        <w:numPr>
          <w:ilvl w:val="0"/>
          <w:numId w:val="5"/>
        </w:numPr>
        <w:spacing w:after="160" w:line="259" w:lineRule="auto"/>
      </w:pPr>
      <w:r>
        <w:t xml:space="preserve">suosittaa, että </w:t>
      </w:r>
      <w:r>
        <w:rPr>
          <w:b/>
        </w:rPr>
        <w:t>laaditaan selkeä investointisuunnitelma CCS- ja CCU-teknologioiden kehittämiseksi</w:t>
      </w:r>
      <w:r>
        <w:t xml:space="preserve"> ja että </w:t>
      </w:r>
      <w:r>
        <w:rPr>
          <w:b/>
        </w:rPr>
        <w:t>julkiseen rahoitukseen olisi sisällyttävä sosiaalisen ehdollisuuden mekanismi, jolla pyritään laadukkaiden työpaikkojen luomiseen ja säilyttämiseen</w:t>
      </w:r>
      <w:r>
        <w:t>.</w:t>
      </w:r>
    </w:p>
    <w:p w:rsidRPr="00A5372E" w:rsidR="00645C28" w:rsidP="00645C28" w:rsidRDefault="00645C28" w14:paraId="56DFA79B" w14:textId="77777777">
      <w:pPr>
        <w:pStyle w:val="ListParagraph"/>
        <w:numPr>
          <w:ilvl w:val="0"/>
          <w:numId w:val="5"/>
        </w:numPr>
        <w:spacing w:after="160" w:line="259" w:lineRule="auto"/>
      </w:pPr>
      <w:r>
        <w:t xml:space="preserve">katsoo, että hiilidioksidin vähentämishankkeisiin olisi sisällyttävä tasapainoisella tavalla sekä </w:t>
      </w:r>
      <w:r>
        <w:rPr>
          <w:b/>
        </w:rPr>
        <w:t>hiilenpoisto että hiilidioksidipäästöjen ehkäiseminen</w:t>
      </w:r>
      <w:r>
        <w:t xml:space="preserve">. </w:t>
      </w:r>
      <w:r>
        <w:rPr>
          <w:b/>
        </w:rPr>
        <w:t>Hiilidioksidipäästöjen ehkäisemistä ei</w:t>
      </w:r>
      <w:r>
        <w:t xml:space="preserve"> kuitenkaan </w:t>
      </w:r>
      <w:r>
        <w:rPr>
          <w:b/>
        </w:rPr>
        <w:t>tueta nykyisin riittävästi</w:t>
      </w:r>
      <w:r>
        <w:t>.</w:t>
      </w:r>
    </w:p>
    <w:p w:rsidRPr="002C0942" w:rsidR="00645C28" w:rsidP="00645C28" w:rsidRDefault="00645C28" w14:paraId="5D2DD314" w14:textId="77777777">
      <w:pPr>
        <w:pStyle w:val="ListParagraph"/>
        <w:numPr>
          <w:ilvl w:val="0"/>
          <w:numId w:val="5"/>
        </w:numPr>
        <w:spacing w:after="160" w:line="259" w:lineRule="auto"/>
      </w:pPr>
      <w:r>
        <w:t xml:space="preserve">suosittaa, että </w:t>
      </w:r>
      <w:r>
        <w:rPr>
          <w:b/>
        </w:rPr>
        <w:t>hiilidioksidipäästöjen ehkäisemistä varten otetaan käyttöön uusi erillinen, hyvin suunniteltu, vankka ja tinkimätön hyvitysjärjestelmä</w:t>
      </w:r>
      <w:r>
        <w:t>, joka tarjoaa kannustimia hiilestä irtautumiseen.</w:t>
      </w:r>
    </w:p>
    <w:p w:rsidRPr="00020E57" w:rsidR="00645C28" w:rsidP="00645C28" w:rsidRDefault="00645C28" w14:paraId="42078413" w14:textId="77777777">
      <w:pPr>
        <w:pStyle w:val="ListParagraph"/>
        <w:numPr>
          <w:ilvl w:val="0"/>
          <w:numId w:val="5"/>
        </w:numPr>
        <w:spacing w:after="160" w:line="259" w:lineRule="auto"/>
        <w:jc w:val="left"/>
      </w:pPr>
      <w:r>
        <w:t xml:space="preserve">toteaa, että </w:t>
      </w:r>
      <w:r>
        <w:rPr>
          <w:b/>
        </w:rPr>
        <w:t>EU:n päästökauppajärjestelmän päästöoikeuksia ei tulisi käyttää ”hyvityksinä”</w:t>
      </w:r>
      <w:r>
        <w:t>, koska tämä voisi heikentää EU:n hiilidioksidipäästökauppajärjestelmän nykyistä markkinapohjaista luonnetta.</w:t>
      </w:r>
    </w:p>
    <w:p w:rsidRPr="000E1328" w:rsidR="00645C28" w:rsidP="00645C28" w:rsidRDefault="00645C28" w14:paraId="3562B6A1" w14:textId="77777777">
      <w:pPr>
        <w:pStyle w:val="ListParagraph"/>
        <w:rPr>
          <w:lang w:val="en-GB"/>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0"/>
        <w:gridCol w:w="3321"/>
      </w:tblGrid>
      <w:tr w:rsidRPr="007F6262" w:rsidR="00645C28" w:rsidTr="004427BF" w14:paraId="052B584D" w14:textId="77777777">
        <w:tc>
          <w:tcPr>
            <w:tcW w:w="3998" w:type="pct"/>
          </w:tcPr>
          <w:p w:rsidRPr="007F6262" w:rsidR="00645C28" w:rsidP="004427BF" w:rsidRDefault="00645C28" w14:paraId="2704FD48" w14:textId="77777777">
            <w:pPr>
              <w:rPr>
                <w:i/>
              </w:rPr>
            </w:pPr>
            <w:r>
              <w:rPr>
                <w:b/>
                <w:i/>
              </w:rPr>
              <w:t>Yhteydenotot</w:t>
            </w:r>
          </w:p>
        </w:tc>
        <w:tc>
          <w:tcPr>
            <w:tcW w:w="1002" w:type="pct"/>
            <w:tcBorders>
              <w:left w:val="nil"/>
            </w:tcBorders>
          </w:tcPr>
          <w:p w:rsidRPr="007F6262" w:rsidR="00645C28" w:rsidP="004427BF" w:rsidRDefault="00645C28" w14:paraId="05756EE1" w14:textId="77777777">
            <w:pPr>
              <w:rPr>
                <w:i/>
              </w:rPr>
            </w:pPr>
            <w:r>
              <w:rPr>
                <w:i/>
              </w:rPr>
              <w:t>Adam DORYWALSKI</w:t>
            </w:r>
          </w:p>
        </w:tc>
      </w:tr>
      <w:tr w:rsidRPr="007F6262" w:rsidR="00645C28" w:rsidTr="004427BF" w14:paraId="7FD4D1B1" w14:textId="77777777">
        <w:tc>
          <w:tcPr>
            <w:tcW w:w="3998" w:type="pct"/>
          </w:tcPr>
          <w:p w:rsidRPr="007F6262" w:rsidR="00645C28" w:rsidP="004427BF" w:rsidRDefault="00645C28" w14:paraId="6AE73C0A" w14:textId="77777777">
            <w:pPr>
              <w:rPr>
                <w:i/>
              </w:rPr>
            </w:pPr>
            <w:r>
              <w:rPr>
                <w:i/>
              </w:rPr>
              <w:t xml:space="preserve">P. </w:t>
            </w:r>
          </w:p>
        </w:tc>
        <w:tc>
          <w:tcPr>
            <w:tcW w:w="1002" w:type="pct"/>
            <w:tcBorders>
              <w:left w:val="nil"/>
            </w:tcBorders>
          </w:tcPr>
          <w:p w:rsidRPr="007F6262" w:rsidR="00645C28" w:rsidP="004427BF" w:rsidRDefault="00645C28" w14:paraId="43F74312" w14:textId="77777777">
            <w:pPr>
              <w:rPr>
                <w:i/>
              </w:rPr>
            </w:pPr>
            <w:r>
              <w:rPr>
                <w:i/>
              </w:rPr>
              <w:t>+32 25469397</w:t>
            </w:r>
          </w:p>
        </w:tc>
      </w:tr>
      <w:tr w:rsidRPr="007F6262" w:rsidR="00645C28" w:rsidTr="004427BF" w14:paraId="11984463" w14:textId="77777777">
        <w:tc>
          <w:tcPr>
            <w:tcW w:w="3998" w:type="pct"/>
          </w:tcPr>
          <w:p w:rsidRPr="007F6262" w:rsidR="00645C28" w:rsidP="004427BF" w:rsidRDefault="00645C28" w14:paraId="227D706F" w14:textId="77777777">
            <w:pPr>
              <w:rPr>
                <w:i/>
                <w:iCs/>
              </w:rPr>
            </w:pPr>
            <w:r>
              <w:rPr>
                <w:i/>
              </w:rPr>
              <w:t>Sähköposti</w:t>
            </w:r>
          </w:p>
        </w:tc>
        <w:tc>
          <w:tcPr>
            <w:tcW w:w="1002" w:type="pct"/>
            <w:tcBorders>
              <w:left w:val="nil"/>
            </w:tcBorders>
          </w:tcPr>
          <w:p w:rsidRPr="00EB0FF7" w:rsidR="00645C28" w:rsidP="004427BF" w:rsidRDefault="00645C28" w14:paraId="414F12FD" w14:textId="77777777">
            <w:pPr>
              <w:rPr>
                <w:i/>
                <w:iCs/>
              </w:rPr>
            </w:pPr>
            <w:hyperlink w:history="1" r:id="rId39">
              <w:r>
                <w:rPr>
                  <w:rStyle w:val="Hyperlink"/>
                  <w:i/>
                </w:rPr>
                <w:t>Adam.Dorywalski@eesc.europa.eu</w:t>
              </w:r>
            </w:hyperlink>
          </w:p>
        </w:tc>
      </w:tr>
    </w:tbl>
    <w:p w:rsidR="00B612CA" w:rsidP="00895853" w:rsidRDefault="00B612CA" w14:paraId="761EE0FB" w14:textId="19A9F226">
      <w:pPr>
        <w:overflowPunct w:val="0"/>
        <w:autoSpaceDE w:val="0"/>
        <w:autoSpaceDN w:val="0"/>
        <w:adjustRightInd w:val="0"/>
        <w:jc w:val="left"/>
        <w:textAlignment w:val="baseline"/>
        <w:rPr>
          <w:lang w:val="nl-BE"/>
        </w:rPr>
      </w:pPr>
    </w:p>
    <w:p w:rsidR="003C2FB3" w:rsidRDefault="003C2FB3" w14:paraId="27BB641D" w14:textId="1147CAD7">
      <w:pPr>
        <w:spacing w:after="160" w:line="259" w:lineRule="auto"/>
        <w:jc w:val="left"/>
      </w:pPr>
      <w:r>
        <w:br w:type="page"/>
      </w:r>
    </w:p>
    <w:p w:rsidRPr="0003586F" w:rsidR="00645C28" w:rsidP="00645C28" w:rsidRDefault="00645C28" w14:paraId="11A6BACB" w14:textId="77777777">
      <w:pPr>
        <w:widowControl w:val="0"/>
        <w:numPr>
          <w:ilvl w:val="0"/>
          <w:numId w:val="30"/>
        </w:numPr>
        <w:overflowPunct w:val="0"/>
        <w:autoSpaceDE w:val="0"/>
        <w:autoSpaceDN w:val="0"/>
        <w:adjustRightInd w:val="0"/>
        <w:ind w:hanging="567"/>
        <w:textAlignment w:val="baseline"/>
        <w:rPr>
          <w:sz w:val="20"/>
        </w:rPr>
      </w:pPr>
      <w:hyperlink w:history="1" r:id="rId40">
        <w:r>
          <w:rPr>
            <w:rStyle w:val="Hyperlink"/>
            <w:b/>
            <w:i/>
            <w:sz w:val="28"/>
          </w:rPr>
          <w:t>Eurooppalainen puolustusteollisuusstrategia</w:t>
        </w:r>
      </w:hyperlink>
    </w:p>
    <w:p w:rsidRPr="00A6689B" w:rsidR="00645C28" w:rsidP="00645C28" w:rsidRDefault="00645C28" w14:paraId="4458C30E" w14:textId="77777777">
      <w:pPr>
        <w:tabs>
          <w:tab w:val="center" w:pos="284"/>
        </w:tabs>
        <w:ind w:left="266" w:hanging="266"/>
        <w:rPr>
          <w:b/>
        </w:rPr>
      </w:pPr>
    </w:p>
    <w:tbl>
      <w:tblPr>
        <w:tblStyle w:val="TableGrid"/>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6716"/>
      </w:tblGrid>
      <w:tr w:rsidRPr="00A6689B" w:rsidR="00645C28" w:rsidTr="004427BF" w14:paraId="6481D840" w14:textId="77777777">
        <w:tc>
          <w:tcPr>
            <w:tcW w:w="1148" w:type="pct"/>
          </w:tcPr>
          <w:p w:rsidRPr="00A6689B" w:rsidR="00645C28" w:rsidP="004427BF" w:rsidRDefault="00645C28" w14:paraId="1C3FD61A" w14:textId="77777777">
            <w:pPr>
              <w:tabs>
                <w:tab w:val="center" w:pos="284"/>
              </w:tabs>
              <w:ind w:left="266" w:hanging="266"/>
              <w:rPr>
                <w:b/>
              </w:rPr>
            </w:pPr>
            <w:r>
              <w:rPr>
                <w:b/>
              </w:rPr>
              <w:t>Esittelijä</w:t>
            </w:r>
          </w:p>
        </w:tc>
        <w:tc>
          <w:tcPr>
            <w:tcW w:w="3852" w:type="pct"/>
          </w:tcPr>
          <w:p w:rsidRPr="000E6176" w:rsidR="00645C28" w:rsidP="004427BF" w:rsidRDefault="00645C28" w14:paraId="580575B7" w14:textId="77777777">
            <w:pPr>
              <w:tabs>
                <w:tab w:val="center" w:pos="284"/>
              </w:tabs>
              <w:ind w:left="266" w:hanging="266"/>
              <w:rPr>
                <w:b/>
                <w:bCs/>
              </w:rPr>
            </w:pPr>
            <w:proofErr w:type="spellStart"/>
            <w:r>
              <w:rPr>
                <w:b/>
              </w:rPr>
              <w:t>Maurizio</w:t>
            </w:r>
            <w:proofErr w:type="spellEnd"/>
            <w:r>
              <w:rPr>
                <w:b/>
              </w:rPr>
              <w:t xml:space="preserve"> </w:t>
            </w:r>
            <w:proofErr w:type="spellStart"/>
            <w:r>
              <w:rPr>
                <w:b/>
              </w:rPr>
              <w:t>Mensi</w:t>
            </w:r>
            <w:proofErr w:type="spellEnd"/>
            <w:r>
              <w:rPr>
                <w:b/>
              </w:rPr>
              <w:t xml:space="preserve"> (kansalaisyhteiskunnan organisaatiot – IT)</w:t>
            </w:r>
          </w:p>
        </w:tc>
      </w:tr>
      <w:tr w:rsidRPr="00A6689B" w:rsidR="00645C28" w:rsidTr="004427BF" w14:paraId="3A62FE07" w14:textId="77777777">
        <w:tc>
          <w:tcPr>
            <w:tcW w:w="1148" w:type="pct"/>
          </w:tcPr>
          <w:p w:rsidRPr="00A6689B" w:rsidR="00645C28" w:rsidP="004427BF" w:rsidRDefault="00645C28" w14:paraId="6452093B" w14:textId="77777777">
            <w:pPr>
              <w:tabs>
                <w:tab w:val="center" w:pos="284"/>
              </w:tabs>
              <w:ind w:left="266" w:hanging="266"/>
              <w:rPr>
                <w:b/>
              </w:rPr>
            </w:pPr>
            <w:r>
              <w:rPr>
                <w:b/>
              </w:rPr>
              <w:t>Yhteisesittelijä</w:t>
            </w:r>
          </w:p>
        </w:tc>
        <w:tc>
          <w:tcPr>
            <w:tcW w:w="3852" w:type="pct"/>
          </w:tcPr>
          <w:p w:rsidRPr="000E6176" w:rsidR="00645C28" w:rsidP="004427BF" w:rsidRDefault="00645C28" w14:paraId="3A39118C" w14:textId="77777777">
            <w:pPr>
              <w:tabs>
                <w:tab w:val="center" w:pos="284"/>
              </w:tabs>
              <w:ind w:left="266" w:hanging="266"/>
              <w:rPr>
                <w:b/>
                <w:bCs/>
              </w:rPr>
            </w:pPr>
            <w:r>
              <w:rPr>
                <w:b/>
              </w:rPr>
              <w:t xml:space="preserve">Jan </w:t>
            </w:r>
            <w:proofErr w:type="spellStart"/>
            <w:r>
              <w:rPr>
                <w:b/>
              </w:rPr>
              <w:t>Pie</w:t>
            </w:r>
            <w:proofErr w:type="spellEnd"/>
            <w:r>
              <w:rPr>
                <w:b/>
              </w:rPr>
              <w:t xml:space="preserve"> (kat. 1 – SE)</w:t>
            </w:r>
          </w:p>
        </w:tc>
      </w:tr>
      <w:tr w:rsidRPr="00A6689B" w:rsidR="00645C28" w:rsidTr="004427BF" w14:paraId="6DE4C4C6" w14:textId="77777777">
        <w:tc>
          <w:tcPr>
            <w:tcW w:w="5000" w:type="pct"/>
            <w:gridSpan w:val="2"/>
          </w:tcPr>
          <w:p w:rsidRPr="00A6689B" w:rsidR="00645C28" w:rsidP="004427BF" w:rsidRDefault="00645C28" w14:paraId="02B8280A" w14:textId="77777777">
            <w:pPr>
              <w:tabs>
                <w:tab w:val="center" w:pos="284"/>
              </w:tabs>
              <w:spacing w:line="160" w:lineRule="exact"/>
              <w:ind w:left="266" w:hanging="266"/>
              <w:rPr>
                <w:lang w:val="en-US"/>
              </w:rPr>
            </w:pPr>
          </w:p>
        </w:tc>
      </w:tr>
      <w:tr w:rsidRPr="00A6689B" w:rsidR="00645C28" w:rsidTr="004427BF" w14:paraId="62CDA5AD" w14:textId="77777777">
        <w:tc>
          <w:tcPr>
            <w:tcW w:w="1148" w:type="pct"/>
          </w:tcPr>
          <w:p w:rsidRPr="00A6689B" w:rsidR="00645C28" w:rsidP="004427BF" w:rsidRDefault="00645C28" w14:paraId="7C5DC229" w14:textId="77777777">
            <w:pPr>
              <w:tabs>
                <w:tab w:val="center" w:pos="284"/>
              </w:tabs>
              <w:ind w:left="266" w:hanging="266"/>
              <w:rPr>
                <w:b/>
              </w:rPr>
            </w:pPr>
            <w:r>
              <w:rPr>
                <w:b/>
              </w:rPr>
              <w:t>Viiteasiakirja</w:t>
            </w:r>
          </w:p>
        </w:tc>
        <w:tc>
          <w:tcPr>
            <w:tcW w:w="3852" w:type="pct"/>
          </w:tcPr>
          <w:p w:rsidRPr="00A6689B" w:rsidR="00645C28" w:rsidP="004427BF" w:rsidRDefault="00645C28" w14:paraId="33EE94C2" w14:textId="77777777">
            <w:pPr>
              <w:tabs>
                <w:tab w:val="center" w:pos="284"/>
              </w:tabs>
              <w:ind w:left="266" w:hanging="266"/>
            </w:pPr>
            <w:r>
              <w:t>EESC-2024-00782-00-00-AS</w:t>
            </w:r>
          </w:p>
        </w:tc>
      </w:tr>
    </w:tbl>
    <w:p w:rsidRPr="00A6689B" w:rsidR="00645C28" w:rsidP="00645C28" w:rsidRDefault="00645C28" w14:paraId="0659B777" w14:textId="77777777">
      <w:pPr>
        <w:tabs>
          <w:tab w:val="center" w:pos="284"/>
        </w:tabs>
        <w:ind w:left="266" w:hanging="266"/>
      </w:pPr>
    </w:p>
    <w:p w:rsidRPr="00A6689B" w:rsidR="00645C28" w:rsidP="00645C28" w:rsidRDefault="00645C28" w14:paraId="3AE00CFF" w14:textId="77777777">
      <w:pPr>
        <w:keepNext/>
        <w:keepLines/>
        <w:tabs>
          <w:tab w:val="center" w:pos="284"/>
        </w:tabs>
        <w:ind w:left="266" w:hanging="266"/>
        <w:rPr>
          <w:b/>
        </w:rPr>
      </w:pPr>
      <w:r>
        <w:rPr>
          <w:b/>
        </w:rPr>
        <w:t>Keskeiset kohdat</w:t>
      </w:r>
    </w:p>
    <w:p w:rsidRPr="00A6689B" w:rsidR="00645C28" w:rsidP="00645C28" w:rsidRDefault="00645C28" w14:paraId="405F7864" w14:textId="77777777">
      <w:pPr>
        <w:keepNext/>
        <w:keepLines/>
        <w:tabs>
          <w:tab w:val="center" w:pos="284"/>
        </w:tabs>
        <w:ind w:left="266" w:hanging="266"/>
        <w:rPr>
          <w:b/>
        </w:rPr>
      </w:pPr>
    </w:p>
    <w:p w:rsidRPr="004F5157" w:rsidR="00645C28" w:rsidP="00645C28" w:rsidRDefault="00645C28" w14:paraId="299A616E" w14:textId="77777777">
      <w:pPr>
        <w:rPr>
          <w:bCs/>
          <w:iCs/>
        </w:rPr>
      </w:pPr>
      <w:r>
        <w:t>ETSK</w:t>
      </w:r>
    </w:p>
    <w:p w:rsidR="00645C28" w:rsidP="00645C28" w:rsidRDefault="00645C28" w14:paraId="22988F48" w14:textId="77777777">
      <w:pPr>
        <w:ind w:left="567" w:hanging="567"/>
      </w:pPr>
    </w:p>
    <w:p w:rsidRPr="006568A7" w:rsidR="00645C28" w:rsidP="00645C28" w:rsidRDefault="00645C28" w14:paraId="51BD7A39" w14:textId="77777777">
      <w:pPr>
        <w:widowControl w:val="0"/>
        <w:numPr>
          <w:ilvl w:val="0"/>
          <w:numId w:val="30"/>
        </w:numPr>
        <w:overflowPunct w:val="0"/>
        <w:autoSpaceDE w:val="0"/>
        <w:autoSpaceDN w:val="0"/>
        <w:adjustRightInd w:val="0"/>
        <w:textAlignment w:val="baseline"/>
        <w:rPr>
          <w:bCs/>
          <w:iCs/>
        </w:rPr>
      </w:pPr>
      <w:r>
        <w:t>pitää Euroopan puolustusteollisuusstrategiaa tärkeänä askeleena, joka auttaa vahvistamaan Euroopan puolustusvalmiutta ja parantamaan siten Euroopan kykyä suojella kansalaisiaan, aluettaan, perusarvojaan ja eurooppalaista elämäntapaa.</w:t>
      </w:r>
    </w:p>
    <w:p w:rsidRPr="003400B3" w:rsidR="00645C28" w:rsidP="00645C28" w:rsidRDefault="00645C28" w14:paraId="6D06B7F8" w14:textId="77777777">
      <w:pPr>
        <w:widowControl w:val="0"/>
        <w:numPr>
          <w:ilvl w:val="0"/>
          <w:numId w:val="30"/>
        </w:numPr>
        <w:overflowPunct w:val="0"/>
        <w:autoSpaceDE w:val="0"/>
        <w:autoSpaceDN w:val="0"/>
        <w:adjustRightInd w:val="0"/>
        <w:textAlignment w:val="baseline"/>
        <w:rPr>
          <w:bCs/>
          <w:iCs/>
        </w:rPr>
      </w:pPr>
      <w:r>
        <w:t>on tyytyväinen siihen, että painopiste on nyt siirtynyt hätätoimista pidempikestoisiin rakenteellisiin toimiin. Erityisen tervetullut on pyrkimys käyttää Euroopan tarpeiden täyttämiseen yhä enemmän eurooppalaisia hankintalähteitä.</w:t>
      </w:r>
    </w:p>
    <w:p w:rsidRPr="006272D8" w:rsidR="00645C28" w:rsidP="00645C28" w:rsidRDefault="00645C28" w14:paraId="35CC8813" w14:textId="77777777">
      <w:pPr>
        <w:widowControl w:val="0"/>
        <w:numPr>
          <w:ilvl w:val="0"/>
          <w:numId w:val="30"/>
        </w:numPr>
        <w:overflowPunct w:val="0"/>
        <w:autoSpaceDE w:val="0"/>
        <w:autoSpaceDN w:val="0"/>
        <w:adjustRightInd w:val="0"/>
        <w:textAlignment w:val="baseline"/>
        <w:rPr>
          <w:bCs/>
          <w:iCs/>
        </w:rPr>
      </w:pPr>
      <w:r>
        <w:t>pitää tärkeänä, että strategian tavoitteisiin pyritään solmimalla kumppanuuksia ystävällismielisten, samat arvot jakavien maiden kanssa.</w:t>
      </w:r>
    </w:p>
    <w:p w:rsidRPr="006272D8" w:rsidR="00645C28" w:rsidP="00645C28" w:rsidRDefault="00645C28" w14:paraId="028D18CC" w14:textId="77777777">
      <w:pPr>
        <w:widowControl w:val="0"/>
        <w:numPr>
          <w:ilvl w:val="0"/>
          <w:numId w:val="30"/>
        </w:numPr>
        <w:overflowPunct w:val="0"/>
        <w:autoSpaceDE w:val="0"/>
        <w:autoSpaceDN w:val="0"/>
        <w:adjustRightInd w:val="0"/>
        <w:textAlignment w:val="baseline"/>
        <w:rPr>
          <w:bCs/>
          <w:iCs/>
        </w:rPr>
      </w:pPr>
      <w:r>
        <w:t>pitää valitettavana, ettei strategiassa käsitellä julkisuuskuvaa, joka on tärkeä tekijä demokraattisissa yhteiskunnissa.</w:t>
      </w:r>
    </w:p>
    <w:p w:rsidRPr="006272D8" w:rsidR="00645C28" w:rsidP="00645C28" w:rsidRDefault="00645C28" w14:paraId="79FD000E" w14:textId="77777777">
      <w:pPr>
        <w:widowControl w:val="0"/>
        <w:numPr>
          <w:ilvl w:val="0"/>
          <w:numId w:val="30"/>
        </w:numPr>
        <w:overflowPunct w:val="0"/>
        <w:autoSpaceDE w:val="0"/>
        <w:autoSpaceDN w:val="0"/>
        <w:adjustRightInd w:val="0"/>
        <w:textAlignment w:val="baseline"/>
        <w:rPr>
          <w:bCs/>
          <w:iCs/>
        </w:rPr>
      </w:pPr>
      <w:r>
        <w:t>toteaa, että strategian tärkein täytäntöönpanoväline (EDIP) on tuskin toimintavalmis ennen vuoden 2025 loppupuolta. Strategiaa onkin täydennettävä muilla, lyhyen aikavälin toimenpiteillä, joilla voidaan vastata välittömiin tarpeisiin.</w:t>
      </w:r>
    </w:p>
    <w:p w:rsidRPr="006272D8" w:rsidR="00645C28" w:rsidP="00645C28" w:rsidRDefault="00645C28" w14:paraId="79F810E5" w14:textId="77777777">
      <w:pPr>
        <w:widowControl w:val="0"/>
        <w:numPr>
          <w:ilvl w:val="0"/>
          <w:numId w:val="30"/>
        </w:numPr>
        <w:overflowPunct w:val="0"/>
        <w:autoSpaceDE w:val="0"/>
        <w:autoSpaceDN w:val="0"/>
        <w:adjustRightInd w:val="0"/>
        <w:textAlignment w:val="baseline"/>
        <w:rPr>
          <w:bCs/>
          <w:iCs/>
        </w:rPr>
      </w:pPr>
      <w:r>
        <w:t>kehottaa jäsenvaltioita hyväksymään komission kehotuksen tutkia lyhyellä aikavälillä keinoja vauhdittaa laajamittaisia yhteisiä puolustushankintoja, Euroopan puolustuksen teollisen ja teknologisen perustan mittavaa laajentamista ja puolustusalan lippulaivahankkeiden käynnistämistä käytettävissä olevien välineiden avulla.</w:t>
      </w:r>
    </w:p>
    <w:p w:rsidRPr="006272D8" w:rsidR="00645C28" w:rsidP="00645C28" w:rsidRDefault="00645C28" w14:paraId="3CAD230B" w14:textId="77777777">
      <w:pPr>
        <w:widowControl w:val="0"/>
        <w:numPr>
          <w:ilvl w:val="0"/>
          <w:numId w:val="30"/>
        </w:numPr>
        <w:overflowPunct w:val="0"/>
        <w:autoSpaceDE w:val="0"/>
        <w:autoSpaceDN w:val="0"/>
        <w:adjustRightInd w:val="0"/>
        <w:textAlignment w:val="baseline"/>
        <w:rPr>
          <w:bCs/>
          <w:iCs/>
        </w:rPr>
      </w:pPr>
      <w:r>
        <w:t>katsoo, että puolustusteollisuuden käytettävissä olisi oltava osaamista, teknologiaa ja tutkimusta ja että tämä on ratkaisevan tärkeää sekä teollisuuden näkökulmasta että strategisesti.</w:t>
      </w:r>
    </w:p>
    <w:p w:rsidRPr="004F5157" w:rsidR="00645C28" w:rsidP="00645C28" w:rsidRDefault="00645C28" w14:paraId="59262E97" w14:textId="77777777">
      <w:pPr>
        <w:widowControl w:val="0"/>
        <w:numPr>
          <w:ilvl w:val="0"/>
          <w:numId w:val="30"/>
        </w:numPr>
        <w:overflowPunct w:val="0"/>
        <w:autoSpaceDE w:val="0"/>
        <w:autoSpaceDN w:val="0"/>
        <w:adjustRightInd w:val="0"/>
        <w:textAlignment w:val="baseline"/>
        <w:rPr>
          <w:bCs/>
          <w:iCs/>
        </w:rPr>
      </w:pPr>
      <w:r>
        <w:t>korostaa, että strategian onnistuminen riippuu ennen kaikkea siitä, sitoutuvatko jäsenvaltiot siihen ja tunnustavatko ne EU-tason toimintatavan lisäarvon.</w:t>
      </w:r>
    </w:p>
    <w:p w:rsidRPr="000624A9" w:rsidR="00645C28" w:rsidP="00645C28" w:rsidRDefault="00645C28" w14:paraId="28D64FA4" w14:textId="77777777">
      <w:pPr>
        <w:widowControl w:val="0"/>
        <w:ind w:left="709"/>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A6689B" w:rsidR="00645C28" w:rsidTr="004427BF" w14:paraId="453AA2D2" w14:textId="77777777">
        <w:tc>
          <w:tcPr>
            <w:tcW w:w="1556" w:type="pct"/>
          </w:tcPr>
          <w:p w:rsidRPr="00A6689B" w:rsidR="00645C28" w:rsidP="004427BF" w:rsidRDefault="00645C28" w14:paraId="40BA18ED" w14:textId="77777777">
            <w:pPr>
              <w:spacing w:line="240" w:lineRule="auto"/>
              <w:rPr>
                <w:i/>
              </w:rPr>
            </w:pPr>
            <w:r>
              <w:rPr>
                <w:b/>
                <w:i/>
              </w:rPr>
              <w:t>Yhteydenotot</w:t>
            </w:r>
          </w:p>
        </w:tc>
        <w:tc>
          <w:tcPr>
            <w:tcW w:w="3444" w:type="pct"/>
          </w:tcPr>
          <w:p w:rsidRPr="004F5157" w:rsidR="00645C28" w:rsidP="004427BF" w:rsidRDefault="00645C28" w14:paraId="3E5B077A" w14:textId="77777777">
            <w:pPr>
              <w:spacing w:line="240" w:lineRule="auto"/>
              <w:rPr>
                <w:b/>
                <w:bCs/>
                <w:i/>
              </w:rPr>
            </w:pPr>
            <w:proofErr w:type="spellStart"/>
            <w:r>
              <w:rPr>
                <w:b/>
                <w:i/>
              </w:rPr>
              <w:t>Ioannis</w:t>
            </w:r>
            <w:proofErr w:type="spellEnd"/>
            <w:r>
              <w:rPr>
                <w:b/>
                <w:i/>
              </w:rPr>
              <w:t xml:space="preserve"> DIAMANTOPOULOS</w:t>
            </w:r>
          </w:p>
        </w:tc>
      </w:tr>
      <w:tr w:rsidRPr="00A6689B" w:rsidR="00645C28" w:rsidTr="004427BF" w14:paraId="6542697E" w14:textId="77777777">
        <w:tc>
          <w:tcPr>
            <w:tcW w:w="1556" w:type="pct"/>
          </w:tcPr>
          <w:p w:rsidRPr="00A6689B" w:rsidR="00645C28" w:rsidP="004427BF" w:rsidRDefault="00645C28" w14:paraId="75852169" w14:textId="77777777">
            <w:pPr>
              <w:spacing w:line="240" w:lineRule="auto"/>
              <w:rPr>
                <w:i/>
              </w:rPr>
            </w:pPr>
            <w:r>
              <w:rPr>
                <w:i/>
              </w:rPr>
              <w:t>P.</w:t>
            </w:r>
          </w:p>
        </w:tc>
        <w:tc>
          <w:tcPr>
            <w:tcW w:w="3444" w:type="pct"/>
          </w:tcPr>
          <w:p w:rsidRPr="00A6689B" w:rsidR="00645C28" w:rsidP="004427BF" w:rsidRDefault="00645C28" w14:paraId="0F5FB228" w14:textId="77777777">
            <w:pPr>
              <w:spacing w:line="240" w:lineRule="auto"/>
              <w:rPr>
                <w:i/>
              </w:rPr>
            </w:pPr>
            <w:r>
              <w:rPr>
                <w:i/>
              </w:rPr>
              <w:t>+32 25469170</w:t>
            </w:r>
          </w:p>
        </w:tc>
      </w:tr>
      <w:tr w:rsidRPr="00A6689B" w:rsidR="00645C28" w:rsidTr="004427BF" w14:paraId="67A8FC23" w14:textId="77777777">
        <w:tc>
          <w:tcPr>
            <w:tcW w:w="1556" w:type="pct"/>
          </w:tcPr>
          <w:p w:rsidRPr="00A6689B" w:rsidR="00645C28" w:rsidP="004427BF" w:rsidRDefault="00645C28" w14:paraId="3FD5F31F" w14:textId="77777777">
            <w:pPr>
              <w:spacing w:line="240" w:lineRule="auto"/>
              <w:rPr>
                <w:i/>
              </w:rPr>
            </w:pPr>
            <w:r>
              <w:rPr>
                <w:i/>
              </w:rPr>
              <w:t>Sähköposti</w:t>
            </w:r>
          </w:p>
        </w:tc>
        <w:tc>
          <w:tcPr>
            <w:tcW w:w="3444" w:type="pct"/>
          </w:tcPr>
          <w:p w:rsidRPr="00A6689B" w:rsidR="00645C28" w:rsidP="004427BF" w:rsidRDefault="00645C28" w14:paraId="0DDCB8C4" w14:textId="77777777">
            <w:pPr>
              <w:spacing w:line="240" w:lineRule="auto"/>
              <w:rPr>
                <w:i/>
              </w:rPr>
            </w:pPr>
            <w:hyperlink w:history="1" r:id="rId41">
              <w:r>
                <w:rPr>
                  <w:rStyle w:val="Hyperlink"/>
                  <w:i/>
                </w:rPr>
                <w:t>Ioannis.Diamantopoulos@eesc.europa.eu</w:t>
              </w:r>
            </w:hyperlink>
          </w:p>
        </w:tc>
      </w:tr>
    </w:tbl>
    <w:p w:rsidR="00B612CA" w:rsidP="00895853" w:rsidRDefault="00B612CA" w14:paraId="0A3D4AF6" w14:textId="77777777">
      <w:pPr>
        <w:overflowPunct w:val="0"/>
        <w:autoSpaceDE w:val="0"/>
        <w:autoSpaceDN w:val="0"/>
        <w:adjustRightInd w:val="0"/>
        <w:jc w:val="left"/>
        <w:textAlignment w:val="baseline"/>
        <w:rPr>
          <w:lang w:val="nl-BE"/>
        </w:rPr>
      </w:pPr>
    </w:p>
    <w:p w:rsidR="00C26C81" w:rsidRDefault="00C26C81" w14:paraId="209CF203" w14:textId="6268DD8D">
      <w:pPr>
        <w:spacing w:after="160" w:line="259" w:lineRule="auto"/>
        <w:jc w:val="left"/>
      </w:pPr>
      <w:r>
        <w:br w:type="page"/>
      </w:r>
    </w:p>
    <w:p w:rsidRPr="0003586F" w:rsidR="00645C28" w:rsidP="00645C28" w:rsidRDefault="00645C28" w14:paraId="0D530142" w14:textId="77777777">
      <w:pPr>
        <w:widowControl w:val="0"/>
        <w:numPr>
          <w:ilvl w:val="0"/>
          <w:numId w:val="30"/>
        </w:numPr>
        <w:overflowPunct w:val="0"/>
        <w:autoSpaceDE w:val="0"/>
        <w:autoSpaceDN w:val="0"/>
        <w:adjustRightInd w:val="0"/>
        <w:ind w:hanging="567"/>
        <w:textAlignment w:val="baseline"/>
        <w:rPr>
          <w:sz w:val="20"/>
        </w:rPr>
      </w:pPr>
      <w:hyperlink w:history="1" r:id="rId42">
        <w:r>
          <w:rPr>
            <w:rStyle w:val="Hyperlink"/>
            <w:b/>
            <w:i/>
            <w:sz w:val="28"/>
          </w:rPr>
          <w:t xml:space="preserve">Yhteiskunnan </w:t>
        </w:r>
        <w:proofErr w:type="spellStart"/>
        <w:r>
          <w:rPr>
            <w:rStyle w:val="Hyperlink"/>
            <w:b/>
            <w:i/>
            <w:sz w:val="28"/>
          </w:rPr>
          <w:t>vesiresilienssiä</w:t>
        </w:r>
        <w:proofErr w:type="spellEnd"/>
        <w:r>
          <w:rPr>
            <w:rStyle w:val="Hyperlink"/>
            <w:b/>
            <w:i/>
            <w:sz w:val="28"/>
          </w:rPr>
          <w:t xml:space="preserve"> tukevat teolliset ja teknologiset toimintatavat ja parhaat käytännöt</w:t>
        </w:r>
      </w:hyperlink>
    </w:p>
    <w:p w:rsidRPr="0050517D" w:rsidR="00645C28" w:rsidP="00645C28" w:rsidRDefault="00645C28" w14:paraId="4463E76B" w14:textId="77777777">
      <w:pPr>
        <w:tabs>
          <w:tab w:val="center" w:pos="284"/>
        </w:tabs>
        <w:ind w:left="266" w:hanging="266"/>
        <w:rPr>
          <w:b/>
          <w:sz w:val="16"/>
          <w:szCs w:val="16"/>
        </w:rPr>
      </w:pPr>
    </w:p>
    <w:tbl>
      <w:tblPr>
        <w:tblStyle w:val="TableGrid"/>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6716"/>
      </w:tblGrid>
      <w:tr w:rsidRPr="00A6689B" w:rsidR="00645C28" w:rsidTr="004427BF" w14:paraId="218039D5" w14:textId="77777777">
        <w:tc>
          <w:tcPr>
            <w:tcW w:w="1148" w:type="pct"/>
          </w:tcPr>
          <w:p w:rsidRPr="00A6689B" w:rsidR="00645C28" w:rsidP="004427BF" w:rsidRDefault="00645C28" w14:paraId="47B1C54F" w14:textId="77777777">
            <w:pPr>
              <w:tabs>
                <w:tab w:val="center" w:pos="284"/>
              </w:tabs>
              <w:ind w:left="266" w:hanging="266"/>
              <w:rPr>
                <w:b/>
              </w:rPr>
            </w:pPr>
            <w:r>
              <w:rPr>
                <w:b/>
              </w:rPr>
              <w:t>Esittelijä</w:t>
            </w:r>
          </w:p>
        </w:tc>
        <w:tc>
          <w:tcPr>
            <w:tcW w:w="3852" w:type="pct"/>
          </w:tcPr>
          <w:p w:rsidRPr="000E6176" w:rsidR="00645C28" w:rsidP="004427BF" w:rsidRDefault="00645C28" w14:paraId="09EB4344" w14:textId="77777777">
            <w:pPr>
              <w:tabs>
                <w:tab w:val="center" w:pos="284"/>
              </w:tabs>
              <w:ind w:left="266" w:hanging="266"/>
              <w:rPr>
                <w:b/>
                <w:bCs/>
              </w:rPr>
            </w:pPr>
            <w:proofErr w:type="spellStart"/>
            <w:r>
              <w:rPr>
                <w:b/>
              </w:rPr>
              <w:t>Florian</w:t>
            </w:r>
            <w:proofErr w:type="spellEnd"/>
            <w:r>
              <w:rPr>
                <w:b/>
              </w:rPr>
              <w:t xml:space="preserve"> MARIN (työntekijät – RO)</w:t>
            </w:r>
          </w:p>
        </w:tc>
      </w:tr>
      <w:tr w:rsidRPr="00A6689B" w:rsidR="00645C28" w:rsidTr="004427BF" w14:paraId="5F76AFD9" w14:textId="77777777">
        <w:tc>
          <w:tcPr>
            <w:tcW w:w="1148" w:type="pct"/>
          </w:tcPr>
          <w:p w:rsidRPr="00A6689B" w:rsidR="00645C28" w:rsidP="004427BF" w:rsidRDefault="00645C28" w14:paraId="4F3767B6" w14:textId="77777777">
            <w:pPr>
              <w:tabs>
                <w:tab w:val="center" w:pos="284"/>
              </w:tabs>
              <w:ind w:left="266" w:hanging="266"/>
              <w:rPr>
                <w:b/>
              </w:rPr>
            </w:pPr>
            <w:r>
              <w:rPr>
                <w:b/>
              </w:rPr>
              <w:t>Yhteisesittelijä</w:t>
            </w:r>
          </w:p>
        </w:tc>
        <w:tc>
          <w:tcPr>
            <w:tcW w:w="3852" w:type="pct"/>
          </w:tcPr>
          <w:p w:rsidRPr="000E6176" w:rsidR="00645C28" w:rsidP="004427BF" w:rsidRDefault="00645C28" w14:paraId="1B9287F6" w14:textId="77777777">
            <w:pPr>
              <w:tabs>
                <w:tab w:val="center" w:pos="284"/>
              </w:tabs>
              <w:ind w:left="266" w:hanging="266"/>
              <w:rPr>
                <w:b/>
                <w:bCs/>
              </w:rPr>
            </w:pPr>
            <w:r>
              <w:rPr>
                <w:b/>
              </w:rPr>
              <w:t>John BRYAN (kat. 3 – IE)</w:t>
            </w:r>
          </w:p>
        </w:tc>
      </w:tr>
      <w:tr w:rsidRPr="00A6689B" w:rsidR="00645C28" w:rsidTr="004427BF" w14:paraId="5C9BD246" w14:textId="77777777">
        <w:tc>
          <w:tcPr>
            <w:tcW w:w="5000" w:type="pct"/>
            <w:gridSpan w:val="2"/>
          </w:tcPr>
          <w:p w:rsidRPr="00A6689B" w:rsidR="00645C28" w:rsidP="004427BF" w:rsidRDefault="00645C28" w14:paraId="6744FC9C" w14:textId="77777777">
            <w:pPr>
              <w:tabs>
                <w:tab w:val="center" w:pos="284"/>
              </w:tabs>
              <w:spacing w:line="160" w:lineRule="exact"/>
              <w:ind w:left="266" w:hanging="266"/>
              <w:rPr>
                <w:lang w:val="en-US"/>
              </w:rPr>
            </w:pPr>
          </w:p>
        </w:tc>
      </w:tr>
      <w:tr w:rsidRPr="00A6689B" w:rsidR="00645C28" w:rsidTr="004427BF" w14:paraId="2014A3FF" w14:textId="77777777">
        <w:tc>
          <w:tcPr>
            <w:tcW w:w="1148" w:type="pct"/>
            <w:vMerge w:val="restart"/>
          </w:tcPr>
          <w:p w:rsidRPr="00A6689B" w:rsidR="00645C28" w:rsidP="004427BF" w:rsidRDefault="00645C28" w14:paraId="60DEACF5" w14:textId="77777777">
            <w:pPr>
              <w:tabs>
                <w:tab w:val="center" w:pos="284"/>
              </w:tabs>
              <w:ind w:left="266" w:hanging="266"/>
              <w:rPr>
                <w:b/>
              </w:rPr>
            </w:pPr>
            <w:r>
              <w:rPr>
                <w:b/>
              </w:rPr>
              <w:t>Viiteasiakirja</w:t>
            </w:r>
          </w:p>
        </w:tc>
        <w:tc>
          <w:tcPr>
            <w:tcW w:w="3852" w:type="pct"/>
          </w:tcPr>
          <w:p w:rsidRPr="00A6689B" w:rsidR="00645C28" w:rsidP="004427BF" w:rsidRDefault="00645C28" w14:paraId="599E1190" w14:textId="77777777">
            <w:pPr>
              <w:tabs>
                <w:tab w:val="center" w:pos="284"/>
              </w:tabs>
              <w:ind w:left="266" w:hanging="266"/>
            </w:pPr>
            <w:r>
              <w:t>EESC-2024-00209-00-00-AC</w:t>
            </w:r>
          </w:p>
        </w:tc>
      </w:tr>
      <w:tr w:rsidRPr="00A6689B" w:rsidR="00645C28" w:rsidTr="004427BF" w14:paraId="4A1CB34A" w14:textId="77777777">
        <w:tc>
          <w:tcPr>
            <w:tcW w:w="1148" w:type="pct"/>
            <w:vMerge/>
          </w:tcPr>
          <w:p w:rsidRPr="00A6689B" w:rsidR="00645C28" w:rsidP="004427BF" w:rsidRDefault="00645C28" w14:paraId="52E42994" w14:textId="77777777">
            <w:pPr>
              <w:tabs>
                <w:tab w:val="center" w:pos="284"/>
              </w:tabs>
              <w:ind w:left="266" w:hanging="266"/>
              <w:rPr>
                <w:b/>
                <w:lang w:val="en-US"/>
              </w:rPr>
            </w:pPr>
          </w:p>
        </w:tc>
        <w:tc>
          <w:tcPr>
            <w:tcW w:w="3852" w:type="pct"/>
          </w:tcPr>
          <w:p w:rsidRPr="00A6689B" w:rsidR="00645C28" w:rsidP="004427BF" w:rsidRDefault="00645C28" w14:paraId="161BF899" w14:textId="77777777">
            <w:pPr>
              <w:tabs>
                <w:tab w:val="center" w:pos="284"/>
              </w:tabs>
              <w:ind w:left="266" w:hanging="266"/>
              <w:rPr>
                <w:lang w:val="en-US"/>
              </w:rPr>
            </w:pPr>
          </w:p>
        </w:tc>
      </w:tr>
    </w:tbl>
    <w:p w:rsidRPr="0050517D" w:rsidR="00645C28" w:rsidP="00645C28" w:rsidRDefault="00645C28" w14:paraId="4A16F014" w14:textId="77777777">
      <w:pPr>
        <w:tabs>
          <w:tab w:val="center" w:pos="284"/>
        </w:tabs>
        <w:spacing w:line="240" w:lineRule="auto"/>
        <w:ind w:left="266" w:hanging="266"/>
        <w:rPr>
          <w:sz w:val="16"/>
          <w:szCs w:val="16"/>
        </w:rPr>
      </w:pPr>
    </w:p>
    <w:p w:rsidR="00645C28" w:rsidP="00645C28" w:rsidRDefault="00645C28" w14:paraId="6D051311" w14:textId="77777777">
      <w:pPr>
        <w:keepNext/>
        <w:keepLines/>
        <w:tabs>
          <w:tab w:val="center" w:pos="284"/>
        </w:tabs>
        <w:spacing w:line="240" w:lineRule="auto"/>
        <w:ind w:left="266" w:hanging="266"/>
        <w:rPr>
          <w:b/>
        </w:rPr>
      </w:pPr>
      <w:r>
        <w:rPr>
          <w:b/>
        </w:rPr>
        <w:t>Keskeiset kohdat</w:t>
      </w:r>
    </w:p>
    <w:p w:rsidRPr="0050517D" w:rsidR="00645C28" w:rsidP="00645C28" w:rsidRDefault="00645C28" w14:paraId="76B97147" w14:textId="77777777">
      <w:pPr>
        <w:keepNext/>
        <w:keepLines/>
        <w:tabs>
          <w:tab w:val="center" w:pos="284"/>
        </w:tabs>
        <w:spacing w:line="240" w:lineRule="auto"/>
        <w:ind w:left="266" w:hanging="266"/>
        <w:rPr>
          <w:b/>
          <w:sz w:val="16"/>
          <w:szCs w:val="16"/>
        </w:rPr>
      </w:pPr>
    </w:p>
    <w:p w:rsidRPr="002F5AA4" w:rsidR="00645C28" w:rsidP="00645C28" w:rsidRDefault="00645C28" w14:paraId="433BA59B" w14:textId="77777777">
      <w:pPr>
        <w:spacing w:line="240" w:lineRule="auto"/>
        <w:rPr>
          <w:bCs/>
          <w:iCs/>
        </w:rPr>
      </w:pPr>
      <w:r>
        <w:t>ETSK</w:t>
      </w:r>
    </w:p>
    <w:p w:rsidR="00645C28" w:rsidP="00645C28" w:rsidRDefault="00645C28" w14:paraId="624D0C0A" w14:textId="77777777">
      <w:pPr>
        <w:pStyle w:val="ListParagraph"/>
        <w:numPr>
          <w:ilvl w:val="0"/>
          <w:numId w:val="12"/>
        </w:numPr>
        <w:spacing w:after="200" w:line="240" w:lineRule="auto"/>
        <w:ind w:left="992" w:hanging="425"/>
        <w:rPr>
          <w:bCs/>
          <w:iCs/>
        </w:rPr>
      </w:pPr>
      <w:r>
        <w:t xml:space="preserve">kehottaa laatimaan </w:t>
      </w:r>
      <w:r>
        <w:rPr>
          <w:b/>
        </w:rPr>
        <w:t>erillisen strategian</w:t>
      </w:r>
      <w:r>
        <w:t xml:space="preserve"> – EU:n sinisen kehityksen ohjelman – sekä </w:t>
      </w:r>
      <w:r>
        <w:rPr>
          <w:b/>
        </w:rPr>
        <w:t xml:space="preserve">vettä koskevan toimintasuunnitelman, jolla varmistetaan </w:t>
      </w:r>
      <w:proofErr w:type="spellStart"/>
      <w:r>
        <w:rPr>
          <w:b/>
        </w:rPr>
        <w:t>vesiresilienssi</w:t>
      </w:r>
      <w:proofErr w:type="spellEnd"/>
      <w:r>
        <w:rPr>
          <w:b/>
        </w:rPr>
        <w:t>, veden saanti ja vedenkäytön kestävyys ja täydennetään EU:n vihreän kehityksen ohjelmaa</w:t>
      </w:r>
      <w:r>
        <w:t>.</w:t>
      </w:r>
    </w:p>
    <w:p w:rsidR="00645C28" w:rsidP="00645C28" w:rsidRDefault="00645C28" w14:paraId="40D3C894" w14:textId="77777777">
      <w:pPr>
        <w:pStyle w:val="ListParagraph"/>
        <w:numPr>
          <w:ilvl w:val="0"/>
          <w:numId w:val="12"/>
        </w:numPr>
        <w:spacing w:after="200" w:line="240" w:lineRule="auto"/>
        <w:ind w:left="992" w:hanging="425"/>
        <w:rPr>
          <w:bCs/>
          <w:iCs/>
        </w:rPr>
      </w:pPr>
      <w:r>
        <w:t xml:space="preserve">kehottaa EU:ta </w:t>
      </w:r>
      <w:r>
        <w:rPr>
          <w:b/>
        </w:rPr>
        <w:t>huomioimaan veden tarkistetussa teollisuuden strategiakehyksessä</w:t>
      </w:r>
      <w:r>
        <w:t xml:space="preserve"> ja siirtymäpoluissa alakohtaista lähestymistapaa soveltaen.</w:t>
      </w:r>
    </w:p>
    <w:p w:rsidRPr="00041DB9" w:rsidR="00645C28" w:rsidP="00645C28" w:rsidRDefault="00645C28" w14:paraId="17C2B3A7" w14:textId="77777777">
      <w:pPr>
        <w:pStyle w:val="ListParagraph"/>
        <w:numPr>
          <w:ilvl w:val="0"/>
          <w:numId w:val="12"/>
        </w:numPr>
        <w:spacing w:after="200" w:line="240" w:lineRule="auto"/>
        <w:ind w:left="992" w:hanging="425"/>
        <w:rPr>
          <w:bCs/>
          <w:iCs/>
        </w:rPr>
      </w:pPr>
      <w:r>
        <w:t xml:space="preserve">toteaa, että tarkistamisen yhteydessä tulisi harkita sellaisen </w:t>
      </w:r>
      <w:r>
        <w:rPr>
          <w:b/>
        </w:rPr>
        <w:t>uuden teollisuusohjelman luomista, joka tarjoaisi Euroopan teollisuudelle yhtenäisen strategian</w:t>
      </w:r>
      <w:r>
        <w:t xml:space="preserve"> sen edessä oleviin moninaisiin haasteisiin (vesi, energia, kriittiset raaka-aineet, digitalisaatio ja strateginen riippumattomuus) vastaamiseksi neljän vuoden kuluessa.</w:t>
      </w:r>
    </w:p>
    <w:p w:rsidR="00645C28" w:rsidP="00645C28" w:rsidRDefault="00645C28" w14:paraId="2372D800" w14:textId="77777777">
      <w:pPr>
        <w:pStyle w:val="ListParagraph"/>
        <w:numPr>
          <w:ilvl w:val="0"/>
          <w:numId w:val="12"/>
        </w:numPr>
        <w:spacing w:after="200" w:line="240" w:lineRule="auto"/>
        <w:ind w:left="992" w:hanging="425"/>
        <w:rPr>
          <w:bCs/>
          <w:iCs/>
        </w:rPr>
      </w:pPr>
      <w:r>
        <w:t xml:space="preserve">korostaa, että vettä älykkäästi käyttävää yhteiskuntaa edistävät teolliset ja teknologiset toimintatavat on nivottava tiiviisti </w:t>
      </w:r>
      <w:r>
        <w:rPr>
          <w:b/>
        </w:rPr>
        <w:t>teollisuuden kestävää vesihuoltoa koskevaan kattavaan toimintapolitiikkaan</w:t>
      </w:r>
      <w:r>
        <w:t xml:space="preserve">, joka perustuu veden käytön vähentämiseen, veden uudelleenkäyttöön ja kierrätykseen ja pilaantumisen vähentämiseen ja johon kuuluu vesitehokkaan teknologian asteittainen käyttöönotto ja hyödyntäminen. Samalla on varmistettava, että siirtymä on oikeudenmukainen ja että sen yhteydessä </w:t>
      </w:r>
      <w:r>
        <w:rPr>
          <w:b/>
        </w:rPr>
        <w:t>turvataan teollisuuden kilpailukyky</w:t>
      </w:r>
      <w:r>
        <w:t>.</w:t>
      </w:r>
    </w:p>
    <w:p w:rsidR="00645C28" w:rsidP="00645C28" w:rsidRDefault="00645C28" w14:paraId="07D532AC" w14:textId="77777777">
      <w:pPr>
        <w:pStyle w:val="ListParagraph"/>
        <w:numPr>
          <w:ilvl w:val="0"/>
          <w:numId w:val="12"/>
        </w:numPr>
        <w:spacing w:after="200" w:line="240" w:lineRule="auto"/>
        <w:ind w:left="992" w:hanging="425"/>
        <w:rPr>
          <w:bCs/>
          <w:iCs/>
        </w:rPr>
      </w:pPr>
      <w:r>
        <w:t xml:space="preserve">korostaa, että tarvitaan </w:t>
      </w:r>
      <w:r>
        <w:rPr>
          <w:b/>
        </w:rPr>
        <w:t>eurooppalainen vesitietojen hallinnan ekosysteemi</w:t>
      </w:r>
      <w:r>
        <w:t>, että vedenkulutusta on mitattava tuotantoprosessien kaikissa vaiheissa ja että juomaveden käyttö teollisiin tarkoituksiin on minimoitava.</w:t>
      </w:r>
    </w:p>
    <w:p w:rsidR="00645C28" w:rsidP="00645C28" w:rsidRDefault="00645C28" w14:paraId="1905AC94" w14:textId="77777777">
      <w:pPr>
        <w:pStyle w:val="ListParagraph"/>
        <w:numPr>
          <w:ilvl w:val="0"/>
          <w:numId w:val="12"/>
        </w:numPr>
        <w:spacing w:after="200" w:line="240" w:lineRule="auto"/>
        <w:ind w:left="992" w:hanging="425"/>
        <w:rPr>
          <w:bCs/>
          <w:iCs/>
        </w:rPr>
      </w:pPr>
      <w:r>
        <w:t xml:space="preserve">korostaa tarvetta </w:t>
      </w:r>
      <w:r>
        <w:rPr>
          <w:b/>
        </w:rPr>
        <w:t>varmistaa kaikkein tärkeimpien teollisuudenalojen vedensaanti kriisitilanteissa</w:t>
      </w:r>
      <w:r>
        <w:t>.</w:t>
      </w:r>
    </w:p>
    <w:p w:rsidR="00645C28" w:rsidP="00645C28" w:rsidRDefault="00645C28" w14:paraId="09BA772C" w14:textId="77777777">
      <w:pPr>
        <w:pStyle w:val="ListParagraph"/>
        <w:numPr>
          <w:ilvl w:val="0"/>
          <w:numId w:val="12"/>
        </w:numPr>
        <w:spacing w:after="200" w:line="240" w:lineRule="auto"/>
        <w:ind w:left="992" w:hanging="425"/>
        <w:rPr>
          <w:bCs/>
          <w:iCs/>
        </w:rPr>
      </w:pPr>
      <w:r>
        <w:t xml:space="preserve">peräänkuuluttaa </w:t>
      </w:r>
      <w:r>
        <w:rPr>
          <w:b/>
        </w:rPr>
        <w:t>siirtymäpolkua puhtaan ja vesitehokkaan teknologian alan kehittämiseksi</w:t>
      </w:r>
      <w:r>
        <w:t>, mukaan lukien inhimillisen ulottuvuuden etenemissuunnitelma, jolla varmistetaan tarvittavan osaamisen saatavuus, laadukkaat työpaikat sekä kunnolliset työolot ja -ehdot.</w:t>
      </w:r>
    </w:p>
    <w:p w:rsidR="00645C28" w:rsidP="00645C28" w:rsidRDefault="00645C28" w14:paraId="517A7873" w14:textId="77777777">
      <w:pPr>
        <w:pStyle w:val="ListParagraph"/>
        <w:numPr>
          <w:ilvl w:val="0"/>
          <w:numId w:val="12"/>
        </w:numPr>
        <w:spacing w:after="200" w:line="240" w:lineRule="auto"/>
        <w:ind w:left="992" w:hanging="425"/>
        <w:rPr>
          <w:bCs/>
          <w:iCs/>
        </w:rPr>
      </w:pPr>
      <w:r>
        <w:t xml:space="preserve">ehdottaa toimenpiteitä, joilla tuetaan </w:t>
      </w:r>
      <w:r>
        <w:rPr>
          <w:b/>
        </w:rPr>
        <w:t>EU:n sinisen kehityksen ohjelman siirtymärahaston täytäntöönpanoa</w:t>
      </w:r>
      <w:r>
        <w:t xml:space="preserve"> teollisuusalalla.</w:t>
      </w:r>
    </w:p>
    <w:p w:rsidR="00645C28" w:rsidP="00645C28" w:rsidRDefault="00645C28" w14:paraId="626BA6B9" w14:textId="77777777">
      <w:pPr>
        <w:pStyle w:val="ListParagraph"/>
        <w:numPr>
          <w:ilvl w:val="0"/>
          <w:numId w:val="12"/>
        </w:numPr>
        <w:spacing w:after="40" w:line="240" w:lineRule="auto"/>
        <w:ind w:left="992" w:hanging="425"/>
        <w:rPr>
          <w:bCs/>
          <w:iCs/>
        </w:rPr>
      </w:pPr>
      <w:r>
        <w:t xml:space="preserve">kannattaa Euroopan innovaatio- ja teknologiainstituutin (EIT) rahoittaman </w:t>
      </w:r>
      <w:r>
        <w:rPr>
          <w:b/>
        </w:rPr>
        <w:t>veteen keskittyvän osaamis- ja innovointiyhteisön</w:t>
      </w:r>
      <w:r>
        <w:t xml:space="preserve"> perustamista.</w:t>
      </w:r>
    </w:p>
    <w:p w:rsidRPr="00A00E27" w:rsidR="00645C28" w:rsidP="00645C28" w:rsidRDefault="00645C28" w14:paraId="56E7E3F8" w14:textId="77777777">
      <w:pPr>
        <w:pStyle w:val="ListParagraph"/>
        <w:spacing w:after="40" w:line="240" w:lineRule="auto"/>
        <w:ind w:left="1276"/>
        <w:rPr>
          <w:bCs/>
          <w:iCs/>
          <w:sz w:val="16"/>
          <w:szCs w:val="16"/>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431"/>
      </w:tblGrid>
      <w:tr w:rsidRPr="007F6262" w:rsidR="00645C28" w:rsidTr="004427BF" w14:paraId="33B83D08" w14:textId="77777777">
        <w:tc>
          <w:tcPr>
            <w:tcW w:w="3998" w:type="pct"/>
          </w:tcPr>
          <w:p w:rsidRPr="007F6262" w:rsidR="00645C28" w:rsidP="004427BF" w:rsidRDefault="00645C28" w14:paraId="192175FD" w14:textId="77777777">
            <w:pPr>
              <w:spacing w:line="240" w:lineRule="auto"/>
              <w:rPr>
                <w:i/>
              </w:rPr>
            </w:pPr>
            <w:r>
              <w:rPr>
                <w:b/>
                <w:i/>
              </w:rPr>
              <w:t>Yhteydenotot: Heli NIEMELÄ-FARRER</w:t>
            </w:r>
          </w:p>
        </w:tc>
      </w:tr>
      <w:tr w:rsidRPr="007F6262" w:rsidR="00645C28" w:rsidTr="004427BF" w14:paraId="292FACE3" w14:textId="77777777">
        <w:tc>
          <w:tcPr>
            <w:tcW w:w="3998" w:type="pct"/>
          </w:tcPr>
          <w:p w:rsidRPr="007F6262" w:rsidR="00645C28" w:rsidP="004427BF" w:rsidRDefault="00645C28" w14:paraId="3E0A38BE" w14:textId="77777777">
            <w:pPr>
              <w:spacing w:line="240" w:lineRule="auto"/>
              <w:rPr>
                <w:i/>
              </w:rPr>
            </w:pPr>
            <w:r>
              <w:rPr>
                <w:i/>
              </w:rPr>
              <w:t>P. +32 22822464</w:t>
            </w:r>
          </w:p>
        </w:tc>
      </w:tr>
      <w:tr w:rsidRPr="007F6262" w:rsidR="00645C28" w:rsidTr="004427BF" w14:paraId="4AB70871" w14:textId="77777777">
        <w:tc>
          <w:tcPr>
            <w:tcW w:w="3998" w:type="pct"/>
          </w:tcPr>
          <w:p w:rsidRPr="007F6262" w:rsidR="00645C28" w:rsidP="004427BF" w:rsidRDefault="00645C28" w14:paraId="25084E78" w14:textId="77777777">
            <w:pPr>
              <w:tabs>
                <w:tab w:val="left" w:pos="5160"/>
              </w:tabs>
              <w:spacing w:line="240" w:lineRule="auto"/>
              <w:rPr>
                <w:i/>
                <w:iCs/>
              </w:rPr>
            </w:pPr>
            <w:r>
              <w:rPr>
                <w:i/>
                <w:iCs/>
              </w:rPr>
              <w:t>Sähköposti</w:t>
            </w:r>
            <w:r>
              <w:rPr>
                <w:i/>
              </w:rPr>
              <w:t xml:space="preserve">: </w:t>
            </w:r>
            <w:hyperlink w:history="1" r:id="rId43">
              <w:r>
                <w:rPr>
                  <w:rStyle w:val="Hyperlink"/>
                  <w:i/>
                </w:rPr>
                <w:t>Heli.Niemela-Farrer@eesc.europa.eu</w:t>
              </w:r>
            </w:hyperlink>
          </w:p>
        </w:tc>
      </w:tr>
    </w:tbl>
    <w:p w:rsidRPr="006C7863" w:rsidR="0092772D" w:rsidP="006C7863" w:rsidRDefault="00556EDF" w14:paraId="7379A588" w14:textId="3EDEF816">
      <w:pPr>
        <w:overflowPunct w:val="0"/>
        <w:autoSpaceDE w:val="0"/>
        <w:autoSpaceDN w:val="0"/>
        <w:adjustRightInd w:val="0"/>
        <w:jc w:val="center"/>
        <w:textAlignment w:val="baseline"/>
      </w:pPr>
      <w:r>
        <w:t>_____________</w:t>
      </w:r>
    </w:p>
    <w:sectPr w:rsidRPr="006C7863" w:rsidR="0092772D" w:rsidSect="00386C01">
      <w:headerReference w:type="even" r:id="rId44"/>
      <w:headerReference w:type="default" r:id="rId45"/>
      <w:footerReference w:type="even" r:id="rId46"/>
      <w:footerReference w:type="default" r:id="rId47"/>
      <w:headerReference w:type="first" r:id="rId48"/>
      <w:footerReference w:type="first" r:id="rId49"/>
      <w:pgSz w:w="11907" w:h="16839" w:code="9"/>
      <w:pgMar w:top="1418" w:right="1418" w:bottom="14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20479" w14:textId="77777777" w:rsidR="002578F2" w:rsidRDefault="002578F2" w:rsidP="003B0516">
      <w:pPr>
        <w:spacing w:line="240" w:lineRule="auto"/>
      </w:pPr>
      <w:r>
        <w:separator/>
      </w:r>
    </w:p>
  </w:endnote>
  <w:endnote w:type="continuationSeparator" w:id="0">
    <w:p w14:paraId="18869CFE" w14:textId="77777777" w:rsidR="002578F2" w:rsidRDefault="002578F2"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66391" w14:textId="77777777" w:rsidR="00631992" w:rsidRDefault="00631992" w:rsidP="005C28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0DCC470F" w:rsidR="00765C4F" w:rsidRPr="005C28F2" w:rsidRDefault="005C28F2" w:rsidP="005C28F2">
    <w:pPr>
      <w:pStyle w:val="Footer"/>
    </w:pPr>
    <w:r>
      <w:t xml:space="preserve">EESC-2024-01704-00-00-TCD-TRA (EN) </w:t>
    </w:r>
    <w:r>
      <w:fldChar w:fldCharType="begin"/>
    </w:r>
    <w:r>
      <w:instrText xml:space="preserve"> PAGE  \* Arabic  \* MERGEFORMAT </w:instrText>
    </w:r>
    <w:r>
      <w:fldChar w:fldCharType="separate"/>
    </w:r>
    <w:r w:rsidR="00DC0FAE">
      <w:t>1</w:t>
    </w:r>
    <w:r>
      <w:fldChar w:fldCharType="end"/>
    </w:r>
    <w:r>
      <w:t>/</w:t>
    </w:r>
    <w:fldSimple w:instr=" NUMPAGES ">
      <w:r w:rsidR="00DC0FAE">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F63DF" w14:textId="77777777" w:rsidR="00631992" w:rsidRDefault="00631992" w:rsidP="005C28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386C01" w:rsidRDefault="00E4258F" w:rsidP="005C28F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6DACB8BF" w:rsidR="00E4258F" w:rsidRPr="005C28F2" w:rsidRDefault="005C28F2" w:rsidP="005C28F2">
    <w:pPr>
      <w:pStyle w:val="Footer"/>
    </w:pPr>
    <w:r>
      <w:t xml:space="preserve">EESC-2024-01704-00-00-TCD-TRA (EN) </w:t>
    </w:r>
    <w:r>
      <w:fldChar w:fldCharType="begin"/>
    </w:r>
    <w:r>
      <w:instrText xml:space="preserve"> PAGE  \* Arabic  \* MERGEFORMAT </w:instrText>
    </w:r>
    <w:r>
      <w:fldChar w:fldCharType="separate"/>
    </w:r>
    <w:r>
      <w:t>1</w:t>
    </w:r>
    <w:r>
      <w:fldChar w:fldCharType="end"/>
    </w:r>
    <w:r>
      <w:t>/</w:t>
    </w:r>
    <w:fldSimple w:instr=" NUMPAGES ">
      <w:r>
        <w:t>1</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386C01" w:rsidRDefault="00E4258F" w:rsidP="005C2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86F73" w14:textId="77777777" w:rsidR="002578F2" w:rsidRDefault="002578F2" w:rsidP="003B0516">
      <w:pPr>
        <w:spacing w:line="240" w:lineRule="auto"/>
      </w:pPr>
      <w:r>
        <w:separator/>
      </w:r>
    </w:p>
  </w:footnote>
  <w:footnote w:type="continuationSeparator" w:id="0">
    <w:p w14:paraId="5065BE47" w14:textId="77777777" w:rsidR="002578F2" w:rsidRDefault="002578F2"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475E2" w14:textId="77777777" w:rsidR="00631992" w:rsidRDefault="006319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55AEF" w14:textId="77777777" w:rsidR="00631992" w:rsidRDefault="006319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17C3B" w14:textId="77777777" w:rsidR="00631992" w:rsidRDefault="006319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386C01" w:rsidRDefault="00E4258F" w:rsidP="00386C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6655C03D" w:rsidR="00E4258F" w:rsidRPr="00386C01" w:rsidRDefault="00E4258F" w:rsidP="00386C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386C01" w:rsidRDefault="00E4258F" w:rsidP="00386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B22EB68"/>
    <w:lvl w:ilvl="0">
      <w:numFmt w:val="decimal"/>
      <w:lvlText w:val="*"/>
      <w:lvlJc w:val="left"/>
    </w:lvl>
  </w:abstractNum>
  <w:abstractNum w:abstractNumId="1" w15:restartNumberingAfterBreak="0">
    <w:nsid w:val="033E08C8"/>
    <w:multiLevelType w:val="hybridMultilevel"/>
    <w:tmpl w:val="46905308"/>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4020295"/>
    <w:multiLevelType w:val="hybridMultilevel"/>
    <w:tmpl w:val="67767474"/>
    <w:lvl w:ilvl="0" w:tplc="F6166D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3A566D"/>
    <w:multiLevelType w:val="singleLevel"/>
    <w:tmpl w:val="3B22EB68"/>
    <w:lvl w:ilvl="0">
      <w:numFmt w:val="decimal"/>
      <w:lvlText w:val="*"/>
      <w:lvlJc w:val="left"/>
    </w:lvl>
  </w:abstractNum>
  <w:abstractNum w:abstractNumId="5" w15:restartNumberingAfterBreak="0">
    <w:nsid w:val="04BF3FE3"/>
    <w:multiLevelType w:val="hybridMultilevel"/>
    <w:tmpl w:val="39DE4EA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 w15:restartNumberingAfterBreak="0">
    <w:nsid w:val="057B6B6A"/>
    <w:multiLevelType w:val="hybridMultilevel"/>
    <w:tmpl w:val="05EC7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03388C"/>
    <w:multiLevelType w:val="hybridMultilevel"/>
    <w:tmpl w:val="274AB46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0829479D"/>
    <w:multiLevelType w:val="hybridMultilevel"/>
    <w:tmpl w:val="6F22E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38E32A4"/>
    <w:multiLevelType w:val="hybridMultilevel"/>
    <w:tmpl w:val="D138115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4994545"/>
    <w:multiLevelType w:val="hybridMultilevel"/>
    <w:tmpl w:val="543AAAC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7B45D08"/>
    <w:multiLevelType w:val="hybridMultilevel"/>
    <w:tmpl w:val="819CD394"/>
    <w:lvl w:ilvl="0" w:tplc="85C8C05E">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0E20584"/>
    <w:multiLevelType w:val="hybridMultilevel"/>
    <w:tmpl w:val="960CE05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3" w15:restartNumberingAfterBreak="0">
    <w:nsid w:val="32A63C20"/>
    <w:multiLevelType w:val="hybridMultilevel"/>
    <w:tmpl w:val="EA508A0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97E5443"/>
    <w:multiLevelType w:val="hybridMultilevel"/>
    <w:tmpl w:val="CAB65DF6"/>
    <w:lvl w:ilvl="0" w:tplc="F6166D28">
      <w:start w:val="1"/>
      <w:numFmt w:val="bullet"/>
      <w:lvlText w:val=""/>
      <w:lvlJc w:val="left"/>
      <w:pPr>
        <w:ind w:left="501" w:hanging="360"/>
      </w:pPr>
      <w:rPr>
        <w:rFonts w:ascii="Symbol" w:hAnsi="Symbol" w:hint="default"/>
      </w:rPr>
    </w:lvl>
    <w:lvl w:ilvl="1" w:tplc="080C0003" w:tentative="1">
      <w:start w:val="1"/>
      <w:numFmt w:val="bullet"/>
      <w:lvlText w:val="o"/>
      <w:lvlJc w:val="left"/>
      <w:pPr>
        <w:ind w:left="1221" w:hanging="360"/>
      </w:pPr>
      <w:rPr>
        <w:rFonts w:ascii="Courier New" w:hAnsi="Courier New" w:cs="Courier New" w:hint="default"/>
      </w:rPr>
    </w:lvl>
    <w:lvl w:ilvl="2" w:tplc="080C0005" w:tentative="1">
      <w:start w:val="1"/>
      <w:numFmt w:val="bullet"/>
      <w:lvlText w:val=""/>
      <w:lvlJc w:val="left"/>
      <w:pPr>
        <w:ind w:left="1941" w:hanging="360"/>
      </w:pPr>
      <w:rPr>
        <w:rFonts w:ascii="Wingdings" w:hAnsi="Wingdings" w:hint="default"/>
      </w:rPr>
    </w:lvl>
    <w:lvl w:ilvl="3" w:tplc="080C0001" w:tentative="1">
      <w:start w:val="1"/>
      <w:numFmt w:val="bullet"/>
      <w:lvlText w:val=""/>
      <w:lvlJc w:val="left"/>
      <w:pPr>
        <w:ind w:left="2661" w:hanging="360"/>
      </w:pPr>
      <w:rPr>
        <w:rFonts w:ascii="Symbol" w:hAnsi="Symbol" w:hint="default"/>
      </w:rPr>
    </w:lvl>
    <w:lvl w:ilvl="4" w:tplc="080C0003" w:tentative="1">
      <w:start w:val="1"/>
      <w:numFmt w:val="bullet"/>
      <w:lvlText w:val="o"/>
      <w:lvlJc w:val="left"/>
      <w:pPr>
        <w:ind w:left="3381" w:hanging="360"/>
      </w:pPr>
      <w:rPr>
        <w:rFonts w:ascii="Courier New" w:hAnsi="Courier New" w:cs="Courier New" w:hint="default"/>
      </w:rPr>
    </w:lvl>
    <w:lvl w:ilvl="5" w:tplc="080C0005" w:tentative="1">
      <w:start w:val="1"/>
      <w:numFmt w:val="bullet"/>
      <w:lvlText w:val=""/>
      <w:lvlJc w:val="left"/>
      <w:pPr>
        <w:ind w:left="4101" w:hanging="360"/>
      </w:pPr>
      <w:rPr>
        <w:rFonts w:ascii="Wingdings" w:hAnsi="Wingdings" w:hint="default"/>
      </w:rPr>
    </w:lvl>
    <w:lvl w:ilvl="6" w:tplc="080C0001" w:tentative="1">
      <w:start w:val="1"/>
      <w:numFmt w:val="bullet"/>
      <w:lvlText w:val=""/>
      <w:lvlJc w:val="left"/>
      <w:pPr>
        <w:ind w:left="4821" w:hanging="360"/>
      </w:pPr>
      <w:rPr>
        <w:rFonts w:ascii="Symbol" w:hAnsi="Symbol" w:hint="default"/>
      </w:rPr>
    </w:lvl>
    <w:lvl w:ilvl="7" w:tplc="080C0003" w:tentative="1">
      <w:start w:val="1"/>
      <w:numFmt w:val="bullet"/>
      <w:lvlText w:val="o"/>
      <w:lvlJc w:val="left"/>
      <w:pPr>
        <w:ind w:left="5541" w:hanging="360"/>
      </w:pPr>
      <w:rPr>
        <w:rFonts w:ascii="Courier New" w:hAnsi="Courier New" w:cs="Courier New" w:hint="default"/>
      </w:rPr>
    </w:lvl>
    <w:lvl w:ilvl="8" w:tplc="080C0005" w:tentative="1">
      <w:start w:val="1"/>
      <w:numFmt w:val="bullet"/>
      <w:lvlText w:val=""/>
      <w:lvlJc w:val="left"/>
      <w:pPr>
        <w:ind w:left="6261" w:hanging="360"/>
      </w:pPr>
      <w:rPr>
        <w:rFonts w:ascii="Wingdings" w:hAnsi="Wingdings" w:hint="default"/>
      </w:rPr>
    </w:lvl>
  </w:abstractNum>
  <w:abstractNum w:abstractNumId="15" w15:restartNumberingAfterBreak="0">
    <w:nsid w:val="403C7B2A"/>
    <w:multiLevelType w:val="hybridMultilevel"/>
    <w:tmpl w:val="3264802E"/>
    <w:lvl w:ilvl="0" w:tplc="00E836BA">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6" w15:restartNumberingAfterBreak="0">
    <w:nsid w:val="41C43CC1"/>
    <w:multiLevelType w:val="hybridMultilevel"/>
    <w:tmpl w:val="0F629792"/>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7" w15:restartNumberingAfterBreak="0">
    <w:nsid w:val="42A57F35"/>
    <w:multiLevelType w:val="hybridMultilevel"/>
    <w:tmpl w:val="E5E40D66"/>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8" w15:restartNumberingAfterBreak="0">
    <w:nsid w:val="43F84B37"/>
    <w:multiLevelType w:val="hybridMultilevel"/>
    <w:tmpl w:val="8092051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CA23ACC"/>
    <w:multiLevelType w:val="hybridMultilevel"/>
    <w:tmpl w:val="E2624734"/>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DDA6B31"/>
    <w:multiLevelType w:val="hybridMultilevel"/>
    <w:tmpl w:val="028E43B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508E1C33"/>
    <w:multiLevelType w:val="hybridMultilevel"/>
    <w:tmpl w:val="FA6CB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7022B7"/>
    <w:multiLevelType w:val="hybridMultilevel"/>
    <w:tmpl w:val="1008497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3"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63933F59"/>
    <w:multiLevelType w:val="hybridMultilevel"/>
    <w:tmpl w:val="C854D33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65F652F1"/>
    <w:multiLevelType w:val="hybridMultilevel"/>
    <w:tmpl w:val="6722E5EA"/>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6" w15:restartNumberingAfterBreak="0">
    <w:nsid w:val="679336FE"/>
    <w:multiLevelType w:val="hybridMultilevel"/>
    <w:tmpl w:val="50B487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70C03F41"/>
    <w:multiLevelType w:val="hybridMultilevel"/>
    <w:tmpl w:val="069C00D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11"/>
  </w:num>
  <w:num w:numId="2">
    <w:abstractNumId w:val="15"/>
  </w:num>
  <w:num w:numId="3">
    <w:abstractNumId w:val="2"/>
  </w:num>
  <w:num w:numId="4">
    <w:abstractNumId w:val="23"/>
  </w:num>
  <w:num w:numId="5">
    <w:abstractNumId w:val="8"/>
  </w:num>
  <w:num w:numId="6">
    <w:abstractNumId w:val="0"/>
    <w:lvlOverride w:ilvl="0">
      <w:lvl w:ilvl="0">
        <w:start w:val="1"/>
        <w:numFmt w:val="bullet"/>
        <w:lvlText w:val=""/>
        <w:legacy w:legacy="1" w:legacySpace="0" w:legacyIndent="283"/>
        <w:lvlJc w:val="left"/>
        <w:pPr>
          <w:ind w:left="283" w:hanging="283"/>
        </w:pPr>
        <w:rPr>
          <w:rFonts w:ascii="Symbol" w:hAnsi="Symbol" w:hint="default"/>
          <w:color w:val="auto"/>
        </w:rPr>
      </w:lvl>
    </w:lvlOverride>
  </w:num>
  <w:num w:numId="7">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8">
    <w:abstractNumId w:val="22"/>
  </w:num>
  <w:num w:numId="9">
    <w:abstractNumId w:val="27"/>
  </w:num>
  <w:num w:numId="10">
    <w:abstractNumId w:val="26"/>
  </w:num>
  <w:num w:numId="11">
    <w:abstractNumId w:val="0"/>
    <w:lvlOverride w:ilvl="0">
      <w:lvl w:ilvl="0">
        <w:start w:val="1"/>
        <w:numFmt w:val="bullet"/>
        <w:lvlText w:val=""/>
        <w:legacy w:legacy="1" w:legacySpace="0" w:legacyIndent="283"/>
        <w:lvlJc w:val="left"/>
        <w:pPr>
          <w:ind w:left="424" w:hanging="283"/>
        </w:pPr>
        <w:rPr>
          <w:rFonts w:ascii="Symbol" w:hAnsi="Symbol" w:hint="default"/>
          <w:color w:val="auto"/>
        </w:rPr>
      </w:lvl>
    </w:lvlOverride>
  </w:num>
  <w:num w:numId="12">
    <w:abstractNumId w:val="21"/>
  </w:num>
  <w:num w:numId="13">
    <w:abstractNumId w:val="25"/>
  </w:num>
  <w:num w:numId="14">
    <w:abstractNumId w:val="16"/>
  </w:num>
  <w:num w:numId="15">
    <w:abstractNumId w:val="7"/>
  </w:num>
  <w:num w:numId="16">
    <w:abstractNumId w:val="12"/>
  </w:num>
  <w:num w:numId="17">
    <w:abstractNumId w:val="14"/>
  </w:num>
  <w:num w:numId="18">
    <w:abstractNumId w:val="18"/>
  </w:num>
  <w:num w:numId="19">
    <w:abstractNumId w:val="19"/>
  </w:num>
  <w:num w:numId="20">
    <w:abstractNumId w:val="24"/>
  </w:num>
  <w:num w:numId="21">
    <w:abstractNumId w:val="13"/>
  </w:num>
  <w:num w:numId="22">
    <w:abstractNumId w:val="1"/>
  </w:num>
  <w:num w:numId="23">
    <w:abstractNumId w:val="5"/>
  </w:num>
  <w:num w:numId="24">
    <w:abstractNumId w:val="10"/>
  </w:num>
  <w:num w:numId="25">
    <w:abstractNumId w:val="20"/>
  </w:num>
  <w:num w:numId="26">
    <w:abstractNumId w:val="9"/>
  </w:num>
  <w:num w:numId="27">
    <w:abstractNumId w:val="17"/>
  </w:num>
  <w:num w:numId="28">
    <w:abstractNumId w:val="3"/>
  </w:num>
  <w:num w:numId="29">
    <w:abstractNumId w:val="6"/>
  </w:num>
  <w:num w:numId="30">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8F8"/>
    <w:rsid w:val="00007729"/>
    <w:rsid w:val="000077FC"/>
    <w:rsid w:val="000104A6"/>
    <w:rsid w:val="00011582"/>
    <w:rsid w:val="00011846"/>
    <w:rsid w:val="00012071"/>
    <w:rsid w:val="000120E1"/>
    <w:rsid w:val="000124A6"/>
    <w:rsid w:val="00013CEE"/>
    <w:rsid w:val="00014132"/>
    <w:rsid w:val="000142E0"/>
    <w:rsid w:val="00014C93"/>
    <w:rsid w:val="00015A43"/>
    <w:rsid w:val="00015E18"/>
    <w:rsid w:val="00016015"/>
    <w:rsid w:val="00017B56"/>
    <w:rsid w:val="00020557"/>
    <w:rsid w:val="0002109C"/>
    <w:rsid w:val="00021CE3"/>
    <w:rsid w:val="000232FA"/>
    <w:rsid w:val="00023B5F"/>
    <w:rsid w:val="00023DE9"/>
    <w:rsid w:val="000243E7"/>
    <w:rsid w:val="0002450A"/>
    <w:rsid w:val="00024601"/>
    <w:rsid w:val="000247C5"/>
    <w:rsid w:val="00024D79"/>
    <w:rsid w:val="00025304"/>
    <w:rsid w:val="00025343"/>
    <w:rsid w:val="000257FE"/>
    <w:rsid w:val="00025CE3"/>
    <w:rsid w:val="0002700A"/>
    <w:rsid w:val="00027072"/>
    <w:rsid w:val="000273E5"/>
    <w:rsid w:val="00027441"/>
    <w:rsid w:val="0003047E"/>
    <w:rsid w:val="00030AA7"/>
    <w:rsid w:val="00030ED3"/>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22C9"/>
    <w:rsid w:val="00043287"/>
    <w:rsid w:val="00043A3F"/>
    <w:rsid w:val="00046621"/>
    <w:rsid w:val="00046E56"/>
    <w:rsid w:val="00047887"/>
    <w:rsid w:val="00050002"/>
    <w:rsid w:val="000507DF"/>
    <w:rsid w:val="0005110E"/>
    <w:rsid w:val="0005170F"/>
    <w:rsid w:val="00052BF1"/>
    <w:rsid w:val="00052DD1"/>
    <w:rsid w:val="000545A8"/>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3B39"/>
    <w:rsid w:val="0007419A"/>
    <w:rsid w:val="0007457E"/>
    <w:rsid w:val="00075ECB"/>
    <w:rsid w:val="000764E8"/>
    <w:rsid w:val="00076BA9"/>
    <w:rsid w:val="00077FF5"/>
    <w:rsid w:val="000830F4"/>
    <w:rsid w:val="00083845"/>
    <w:rsid w:val="00085082"/>
    <w:rsid w:val="00086B53"/>
    <w:rsid w:val="00086D43"/>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4E0B"/>
    <w:rsid w:val="000A558D"/>
    <w:rsid w:val="000A74DC"/>
    <w:rsid w:val="000A7BA8"/>
    <w:rsid w:val="000A7EC1"/>
    <w:rsid w:val="000B01F7"/>
    <w:rsid w:val="000B0B9A"/>
    <w:rsid w:val="000B1628"/>
    <w:rsid w:val="000B19C4"/>
    <w:rsid w:val="000B1AE6"/>
    <w:rsid w:val="000B1C30"/>
    <w:rsid w:val="000B1C78"/>
    <w:rsid w:val="000B25D7"/>
    <w:rsid w:val="000B2AC9"/>
    <w:rsid w:val="000B37D6"/>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139"/>
    <w:rsid w:val="000F442A"/>
    <w:rsid w:val="000F4825"/>
    <w:rsid w:val="000F53B7"/>
    <w:rsid w:val="000F679A"/>
    <w:rsid w:val="000F6FCF"/>
    <w:rsid w:val="000F791D"/>
    <w:rsid w:val="001000A8"/>
    <w:rsid w:val="00100FAC"/>
    <w:rsid w:val="0010109E"/>
    <w:rsid w:val="001016BE"/>
    <w:rsid w:val="00101D87"/>
    <w:rsid w:val="001023AA"/>
    <w:rsid w:val="00104302"/>
    <w:rsid w:val="0010484C"/>
    <w:rsid w:val="00104B7A"/>
    <w:rsid w:val="001052A1"/>
    <w:rsid w:val="0010535A"/>
    <w:rsid w:val="00105700"/>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D3E"/>
    <w:rsid w:val="00126D40"/>
    <w:rsid w:val="001271C3"/>
    <w:rsid w:val="001275C6"/>
    <w:rsid w:val="0013052F"/>
    <w:rsid w:val="00132B56"/>
    <w:rsid w:val="001332A2"/>
    <w:rsid w:val="00133C08"/>
    <w:rsid w:val="001348CC"/>
    <w:rsid w:val="00135610"/>
    <w:rsid w:val="00135769"/>
    <w:rsid w:val="00137686"/>
    <w:rsid w:val="00137BCC"/>
    <w:rsid w:val="001400C7"/>
    <w:rsid w:val="0014322B"/>
    <w:rsid w:val="001435E4"/>
    <w:rsid w:val="001445A7"/>
    <w:rsid w:val="001455A1"/>
    <w:rsid w:val="0014589C"/>
    <w:rsid w:val="00145DCD"/>
    <w:rsid w:val="00147108"/>
    <w:rsid w:val="00147442"/>
    <w:rsid w:val="00150AD8"/>
    <w:rsid w:val="00150B75"/>
    <w:rsid w:val="00150E51"/>
    <w:rsid w:val="001513FD"/>
    <w:rsid w:val="00151EDB"/>
    <w:rsid w:val="0015211E"/>
    <w:rsid w:val="00153032"/>
    <w:rsid w:val="00153F0C"/>
    <w:rsid w:val="00153FB4"/>
    <w:rsid w:val="001543FE"/>
    <w:rsid w:val="00154EC7"/>
    <w:rsid w:val="00155B53"/>
    <w:rsid w:val="001563F6"/>
    <w:rsid w:val="00157F0F"/>
    <w:rsid w:val="001606AD"/>
    <w:rsid w:val="00163106"/>
    <w:rsid w:val="00164813"/>
    <w:rsid w:val="0016534C"/>
    <w:rsid w:val="00165EA2"/>
    <w:rsid w:val="00172541"/>
    <w:rsid w:val="0017287C"/>
    <w:rsid w:val="00173E94"/>
    <w:rsid w:val="00174253"/>
    <w:rsid w:val="001744F9"/>
    <w:rsid w:val="00174763"/>
    <w:rsid w:val="00175296"/>
    <w:rsid w:val="001755E0"/>
    <w:rsid w:val="001756D1"/>
    <w:rsid w:val="00175EC3"/>
    <w:rsid w:val="001760E9"/>
    <w:rsid w:val="00176786"/>
    <w:rsid w:val="001800DA"/>
    <w:rsid w:val="001801FC"/>
    <w:rsid w:val="00180F0B"/>
    <w:rsid w:val="00180F59"/>
    <w:rsid w:val="0018231C"/>
    <w:rsid w:val="00182F92"/>
    <w:rsid w:val="0018432F"/>
    <w:rsid w:val="00184D19"/>
    <w:rsid w:val="001861B4"/>
    <w:rsid w:val="001865D3"/>
    <w:rsid w:val="00186A73"/>
    <w:rsid w:val="00187F8B"/>
    <w:rsid w:val="00190D28"/>
    <w:rsid w:val="00191584"/>
    <w:rsid w:val="00191597"/>
    <w:rsid w:val="00192911"/>
    <w:rsid w:val="00192BCD"/>
    <w:rsid w:val="00193D92"/>
    <w:rsid w:val="00194870"/>
    <w:rsid w:val="001951FD"/>
    <w:rsid w:val="00195380"/>
    <w:rsid w:val="001965D5"/>
    <w:rsid w:val="0019674A"/>
    <w:rsid w:val="00196909"/>
    <w:rsid w:val="0019715D"/>
    <w:rsid w:val="001A0AD4"/>
    <w:rsid w:val="001A1CC5"/>
    <w:rsid w:val="001A2273"/>
    <w:rsid w:val="001A2632"/>
    <w:rsid w:val="001A2ED2"/>
    <w:rsid w:val="001A5EC5"/>
    <w:rsid w:val="001A60BB"/>
    <w:rsid w:val="001A7110"/>
    <w:rsid w:val="001A7476"/>
    <w:rsid w:val="001B10DA"/>
    <w:rsid w:val="001B146A"/>
    <w:rsid w:val="001B612B"/>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3F"/>
    <w:rsid w:val="001C64EB"/>
    <w:rsid w:val="001C6DC3"/>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2DF"/>
    <w:rsid w:val="00206D17"/>
    <w:rsid w:val="00207025"/>
    <w:rsid w:val="00207B3C"/>
    <w:rsid w:val="00210F85"/>
    <w:rsid w:val="002119AD"/>
    <w:rsid w:val="00214437"/>
    <w:rsid w:val="00215520"/>
    <w:rsid w:val="0021590B"/>
    <w:rsid w:val="00215FAB"/>
    <w:rsid w:val="00217695"/>
    <w:rsid w:val="002205F3"/>
    <w:rsid w:val="00221313"/>
    <w:rsid w:val="002213A3"/>
    <w:rsid w:val="002216CC"/>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7481"/>
    <w:rsid w:val="00240C09"/>
    <w:rsid w:val="00240D4D"/>
    <w:rsid w:val="002419CA"/>
    <w:rsid w:val="00241C29"/>
    <w:rsid w:val="00242666"/>
    <w:rsid w:val="00242952"/>
    <w:rsid w:val="0024324E"/>
    <w:rsid w:val="00243BC0"/>
    <w:rsid w:val="0024479A"/>
    <w:rsid w:val="00245136"/>
    <w:rsid w:val="002457A2"/>
    <w:rsid w:val="00245A60"/>
    <w:rsid w:val="00245CD4"/>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1FC"/>
    <w:rsid w:val="002578F2"/>
    <w:rsid w:val="00260129"/>
    <w:rsid w:val="00260907"/>
    <w:rsid w:val="00260B0A"/>
    <w:rsid w:val="00261903"/>
    <w:rsid w:val="00261EA6"/>
    <w:rsid w:val="00261FDB"/>
    <w:rsid w:val="002634CF"/>
    <w:rsid w:val="002635C7"/>
    <w:rsid w:val="00263616"/>
    <w:rsid w:val="00267ABD"/>
    <w:rsid w:val="002706AD"/>
    <w:rsid w:val="00270828"/>
    <w:rsid w:val="00270AEC"/>
    <w:rsid w:val="002713AA"/>
    <w:rsid w:val="002713F4"/>
    <w:rsid w:val="002725D3"/>
    <w:rsid w:val="002736DF"/>
    <w:rsid w:val="002737D4"/>
    <w:rsid w:val="00274160"/>
    <w:rsid w:val="00274765"/>
    <w:rsid w:val="00274C1C"/>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97B9F"/>
    <w:rsid w:val="002A0BCA"/>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5510"/>
    <w:rsid w:val="002B6D6C"/>
    <w:rsid w:val="002B75A5"/>
    <w:rsid w:val="002B7841"/>
    <w:rsid w:val="002B7981"/>
    <w:rsid w:val="002B7C5C"/>
    <w:rsid w:val="002B7F3A"/>
    <w:rsid w:val="002C016E"/>
    <w:rsid w:val="002C07E4"/>
    <w:rsid w:val="002C08B8"/>
    <w:rsid w:val="002C0E2F"/>
    <w:rsid w:val="002C2466"/>
    <w:rsid w:val="002C24B9"/>
    <w:rsid w:val="002C2B80"/>
    <w:rsid w:val="002C4B6E"/>
    <w:rsid w:val="002C5F52"/>
    <w:rsid w:val="002C704D"/>
    <w:rsid w:val="002D03B9"/>
    <w:rsid w:val="002D10D5"/>
    <w:rsid w:val="002D1175"/>
    <w:rsid w:val="002D3D63"/>
    <w:rsid w:val="002D3FFF"/>
    <w:rsid w:val="002D4382"/>
    <w:rsid w:val="002D4A78"/>
    <w:rsid w:val="002D4C38"/>
    <w:rsid w:val="002D4C63"/>
    <w:rsid w:val="002D4D5D"/>
    <w:rsid w:val="002D5381"/>
    <w:rsid w:val="002D5A51"/>
    <w:rsid w:val="002D691D"/>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AF0"/>
    <w:rsid w:val="002F5750"/>
    <w:rsid w:val="002F57AC"/>
    <w:rsid w:val="002F57E9"/>
    <w:rsid w:val="002F5819"/>
    <w:rsid w:val="002F5EE1"/>
    <w:rsid w:val="002F63EB"/>
    <w:rsid w:val="002F6997"/>
    <w:rsid w:val="002F6E84"/>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3D28"/>
    <w:rsid w:val="00325509"/>
    <w:rsid w:val="00325F6C"/>
    <w:rsid w:val="003262D8"/>
    <w:rsid w:val="00326919"/>
    <w:rsid w:val="00326F5F"/>
    <w:rsid w:val="00327162"/>
    <w:rsid w:val="0033098C"/>
    <w:rsid w:val="0033099B"/>
    <w:rsid w:val="00330A97"/>
    <w:rsid w:val="00331ACB"/>
    <w:rsid w:val="00331C12"/>
    <w:rsid w:val="00331F0C"/>
    <w:rsid w:val="00331F6F"/>
    <w:rsid w:val="00332490"/>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48"/>
    <w:rsid w:val="003512EC"/>
    <w:rsid w:val="0035145B"/>
    <w:rsid w:val="00351E31"/>
    <w:rsid w:val="00351F56"/>
    <w:rsid w:val="003527B4"/>
    <w:rsid w:val="003529C2"/>
    <w:rsid w:val="00353184"/>
    <w:rsid w:val="00353D37"/>
    <w:rsid w:val="00354714"/>
    <w:rsid w:val="00356BAD"/>
    <w:rsid w:val="00356CCD"/>
    <w:rsid w:val="003604AE"/>
    <w:rsid w:val="00360C2F"/>
    <w:rsid w:val="00360C81"/>
    <w:rsid w:val="00361E48"/>
    <w:rsid w:val="00361F46"/>
    <w:rsid w:val="00363F5C"/>
    <w:rsid w:val="003641AD"/>
    <w:rsid w:val="003661D3"/>
    <w:rsid w:val="0036641A"/>
    <w:rsid w:val="00370548"/>
    <w:rsid w:val="00370CCB"/>
    <w:rsid w:val="003746E1"/>
    <w:rsid w:val="003748B6"/>
    <w:rsid w:val="00374BB8"/>
    <w:rsid w:val="003754CD"/>
    <w:rsid w:val="00375E65"/>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6C01"/>
    <w:rsid w:val="003873CF"/>
    <w:rsid w:val="00390587"/>
    <w:rsid w:val="00391B98"/>
    <w:rsid w:val="0039201C"/>
    <w:rsid w:val="00394949"/>
    <w:rsid w:val="00395070"/>
    <w:rsid w:val="003953F0"/>
    <w:rsid w:val="00395762"/>
    <w:rsid w:val="00396061"/>
    <w:rsid w:val="0039613E"/>
    <w:rsid w:val="003965BB"/>
    <w:rsid w:val="00396707"/>
    <w:rsid w:val="00396CC5"/>
    <w:rsid w:val="003A0DB7"/>
    <w:rsid w:val="003A2251"/>
    <w:rsid w:val="003A2E3A"/>
    <w:rsid w:val="003A37C0"/>
    <w:rsid w:val="003A3C4C"/>
    <w:rsid w:val="003A5C4C"/>
    <w:rsid w:val="003A7071"/>
    <w:rsid w:val="003B01EE"/>
    <w:rsid w:val="003B0516"/>
    <w:rsid w:val="003B2007"/>
    <w:rsid w:val="003B301F"/>
    <w:rsid w:val="003B3C5F"/>
    <w:rsid w:val="003B3D68"/>
    <w:rsid w:val="003B48B7"/>
    <w:rsid w:val="003B496D"/>
    <w:rsid w:val="003B6100"/>
    <w:rsid w:val="003B6160"/>
    <w:rsid w:val="003B62FD"/>
    <w:rsid w:val="003B6653"/>
    <w:rsid w:val="003B6760"/>
    <w:rsid w:val="003B6EB5"/>
    <w:rsid w:val="003C07C5"/>
    <w:rsid w:val="003C0D9C"/>
    <w:rsid w:val="003C0E5B"/>
    <w:rsid w:val="003C0FF2"/>
    <w:rsid w:val="003C179C"/>
    <w:rsid w:val="003C2647"/>
    <w:rsid w:val="003C2F64"/>
    <w:rsid w:val="003C2FB3"/>
    <w:rsid w:val="003C3C73"/>
    <w:rsid w:val="003C3F66"/>
    <w:rsid w:val="003C4172"/>
    <w:rsid w:val="003C4D5B"/>
    <w:rsid w:val="003C5614"/>
    <w:rsid w:val="003C5C25"/>
    <w:rsid w:val="003C5D97"/>
    <w:rsid w:val="003C7345"/>
    <w:rsid w:val="003C7843"/>
    <w:rsid w:val="003D219D"/>
    <w:rsid w:val="003D2CA9"/>
    <w:rsid w:val="003D33F7"/>
    <w:rsid w:val="003D4576"/>
    <w:rsid w:val="003D4F68"/>
    <w:rsid w:val="003D5339"/>
    <w:rsid w:val="003D55E1"/>
    <w:rsid w:val="003D5625"/>
    <w:rsid w:val="003D57BD"/>
    <w:rsid w:val="003D5824"/>
    <w:rsid w:val="003D5CC0"/>
    <w:rsid w:val="003D76E2"/>
    <w:rsid w:val="003D7B91"/>
    <w:rsid w:val="003E15E3"/>
    <w:rsid w:val="003E15FD"/>
    <w:rsid w:val="003E1AFA"/>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575"/>
    <w:rsid w:val="003F5D7F"/>
    <w:rsid w:val="003F6382"/>
    <w:rsid w:val="003F6762"/>
    <w:rsid w:val="003F6EE3"/>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4E65"/>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160A"/>
    <w:rsid w:val="004331B4"/>
    <w:rsid w:val="00433439"/>
    <w:rsid w:val="0043387F"/>
    <w:rsid w:val="004351D4"/>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4F0D"/>
    <w:rsid w:val="00447339"/>
    <w:rsid w:val="004477C9"/>
    <w:rsid w:val="00447EE5"/>
    <w:rsid w:val="00450E5A"/>
    <w:rsid w:val="004511AE"/>
    <w:rsid w:val="004516BD"/>
    <w:rsid w:val="0045193E"/>
    <w:rsid w:val="004529D8"/>
    <w:rsid w:val="004539DA"/>
    <w:rsid w:val="00455312"/>
    <w:rsid w:val="0045690D"/>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6CD9"/>
    <w:rsid w:val="00467BE4"/>
    <w:rsid w:val="00470719"/>
    <w:rsid w:val="00472A79"/>
    <w:rsid w:val="00472ACA"/>
    <w:rsid w:val="00472C23"/>
    <w:rsid w:val="00472E72"/>
    <w:rsid w:val="004732C2"/>
    <w:rsid w:val="004734C7"/>
    <w:rsid w:val="0047416F"/>
    <w:rsid w:val="004743D6"/>
    <w:rsid w:val="00474FF0"/>
    <w:rsid w:val="004755C3"/>
    <w:rsid w:val="00475D3E"/>
    <w:rsid w:val="0047677D"/>
    <w:rsid w:val="00477361"/>
    <w:rsid w:val="00477848"/>
    <w:rsid w:val="00477E0A"/>
    <w:rsid w:val="00480DF5"/>
    <w:rsid w:val="004823CB"/>
    <w:rsid w:val="00482F34"/>
    <w:rsid w:val="00483DD5"/>
    <w:rsid w:val="00484ECA"/>
    <w:rsid w:val="00485EA6"/>
    <w:rsid w:val="00490086"/>
    <w:rsid w:val="004904F9"/>
    <w:rsid w:val="00491C8D"/>
    <w:rsid w:val="00492374"/>
    <w:rsid w:val="00492ED3"/>
    <w:rsid w:val="0049347F"/>
    <w:rsid w:val="004940E4"/>
    <w:rsid w:val="004940F8"/>
    <w:rsid w:val="00495110"/>
    <w:rsid w:val="004955DA"/>
    <w:rsid w:val="004961BF"/>
    <w:rsid w:val="004971E8"/>
    <w:rsid w:val="004972FA"/>
    <w:rsid w:val="004A3CBD"/>
    <w:rsid w:val="004A46D9"/>
    <w:rsid w:val="004A5563"/>
    <w:rsid w:val="004A5CD7"/>
    <w:rsid w:val="004A6166"/>
    <w:rsid w:val="004A654F"/>
    <w:rsid w:val="004A66EE"/>
    <w:rsid w:val="004A688A"/>
    <w:rsid w:val="004A6B7F"/>
    <w:rsid w:val="004B1BC7"/>
    <w:rsid w:val="004B2250"/>
    <w:rsid w:val="004B32D3"/>
    <w:rsid w:val="004B344F"/>
    <w:rsid w:val="004B3B56"/>
    <w:rsid w:val="004B4150"/>
    <w:rsid w:val="004B45B8"/>
    <w:rsid w:val="004B4B28"/>
    <w:rsid w:val="004B7248"/>
    <w:rsid w:val="004B72DD"/>
    <w:rsid w:val="004C0C1D"/>
    <w:rsid w:val="004C1520"/>
    <w:rsid w:val="004C1E12"/>
    <w:rsid w:val="004C1EDE"/>
    <w:rsid w:val="004C2872"/>
    <w:rsid w:val="004C383F"/>
    <w:rsid w:val="004C3902"/>
    <w:rsid w:val="004C40E4"/>
    <w:rsid w:val="004C4101"/>
    <w:rsid w:val="004C48DA"/>
    <w:rsid w:val="004C583B"/>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105"/>
    <w:rsid w:val="004E77E1"/>
    <w:rsid w:val="004F0CF5"/>
    <w:rsid w:val="004F1302"/>
    <w:rsid w:val="004F2430"/>
    <w:rsid w:val="004F271C"/>
    <w:rsid w:val="004F3158"/>
    <w:rsid w:val="004F32CD"/>
    <w:rsid w:val="004F4CD9"/>
    <w:rsid w:val="004F4CE0"/>
    <w:rsid w:val="004F68A8"/>
    <w:rsid w:val="004F7FE1"/>
    <w:rsid w:val="00500031"/>
    <w:rsid w:val="00501036"/>
    <w:rsid w:val="00501B49"/>
    <w:rsid w:val="00502092"/>
    <w:rsid w:val="0050211A"/>
    <w:rsid w:val="00502B04"/>
    <w:rsid w:val="00502C82"/>
    <w:rsid w:val="00502C92"/>
    <w:rsid w:val="00502E1F"/>
    <w:rsid w:val="005030F7"/>
    <w:rsid w:val="00503E8A"/>
    <w:rsid w:val="00504D3B"/>
    <w:rsid w:val="0050513B"/>
    <w:rsid w:val="00505C07"/>
    <w:rsid w:val="00507FBD"/>
    <w:rsid w:val="00510903"/>
    <w:rsid w:val="00510B95"/>
    <w:rsid w:val="00510F71"/>
    <w:rsid w:val="0051254E"/>
    <w:rsid w:val="005127F5"/>
    <w:rsid w:val="00512A34"/>
    <w:rsid w:val="0051658B"/>
    <w:rsid w:val="00516A59"/>
    <w:rsid w:val="00516CCE"/>
    <w:rsid w:val="00516FB9"/>
    <w:rsid w:val="0052028C"/>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035C"/>
    <w:rsid w:val="005413A7"/>
    <w:rsid w:val="005414B4"/>
    <w:rsid w:val="00542A74"/>
    <w:rsid w:val="00542AB1"/>
    <w:rsid w:val="00542C6F"/>
    <w:rsid w:val="005445DD"/>
    <w:rsid w:val="00544D95"/>
    <w:rsid w:val="00546217"/>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A39"/>
    <w:rsid w:val="00555C58"/>
    <w:rsid w:val="00556279"/>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896"/>
    <w:rsid w:val="00566919"/>
    <w:rsid w:val="00570527"/>
    <w:rsid w:val="005706B8"/>
    <w:rsid w:val="00570DDC"/>
    <w:rsid w:val="00571BCD"/>
    <w:rsid w:val="00571FEB"/>
    <w:rsid w:val="00572679"/>
    <w:rsid w:val="00572735"/>
    <w:rsid w:val="005727A8"/>
    <w:rsid w:val="00574403"/>
    <w:rsid w:val="00574E5A"/>
    <w:rsid w:val="0057560E"/>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4760"/>
    <w:rsid w:val="0059541C"/>
    <w:rsid w:val="0059647B"/>
    <w:rsid w:val="005967FB"/>
    <w:rsid w:val="005A0D46"/>
    <w:rsid w:val="005A1FA3"/>
    <w:rsid w:val="005A297E"/>
    <w:rsid w:val="005A29D5"/>
    <w:rsid w:val="005A31A4"/>
    <w:rsid w:val="005A3AC1"/>
    <w:rsid w:val="005A3DF8"/>
    <w:rsid w:val="005A3E6D"/>
    <w:rsid w:val="005A4945"/>
    <w:rsid w:val="005A4ABB"/>
    <w:rsid w:val="005A4E72"/>
    <w:rsid w:val="005A622F"/>
    <w:rsid w:val="005A67F3"/>
    <w:rsid w:val="005A6946"/>
    <w:rsid w:val="005A755F"/>
    <w:rsid w:val="005A7D66"/>
    <w:rsid w:val="005B0E27"/>
    <w:rsid w:val="005B3012"/>
    <w:rsid w:val="005B3E1F"/>
    <w:rsid w:val="005B3E41"/>
    <w:rsid w:val="005B4680"/>
    <w:rsid w:val="005B4EE6"/>
    <w:rsid w:val="005B5038"/>
    <w:rsid w:val="005B5D8B"/>
    <w:rsid w:val="005B6007"/>
    <w:rsid w:val="005B7660"/>
    <w:rsid w:val="005C0363"/>
    <w:rsid w:val="005C0454"/>
    <w:rsid w:val="005C078D"/>
    <w:rsid w:val="005C28F2"/>
    <w:rsid w:val="005C6297"/>
    <w:rsid w:val="005C63F8"/>
    <w:rsid w:val="005C6A74"/>
    <w:rsid w:val="005C6F8B"/>
    <w:rsid w:val="005C72B5"/>
    <w:rsid w:val="005C7902"/>
    <w:rsid w:val="005C7C47"/>
    <w:rsid w:val="005D0AE8"/>
    <w:rsid w:val="005D326D"/>
    <w:rsid w:val="005D3431"/>
    <w:rsid w:val="005D55F5"/>
    <w:rsid w:val="005D5876"/>
    <w:rsid w:val="005D610D"/>
    <w:rsid w:val="005D621C"/>
    <w:rsid w:val="005D6E4D"/>
    <w:rsid w:val="005D76AC"/>
    <w:rsid w:val="005D7939"/>
    <w:rsid w:val="005D7A1C"/>
    <w:rsid w:val="005E0555"/>
    <w:rsid w:val="005E1D60"/>
    <w:rsid w:val="005E23CD"/>
    <w:rsid w:val="005E2C02"/>
    <w:rsid w:val="005E3426"/>
    <w:rsid w:val="005E3A6F"/>
    <w:rsid w:val="005E3EE4"/>
    <w:rsid w:val="005E4970"/>
    <w:rsid w:val="005E547D"/>
    <w:rsid w:val="005E56F3"/>
    <w:rsid w:val="005E60E1"/>
    <w:rsid w:val="005E682E"/>
    <w:rsid w:val="005E764B"/>
    <w:rsid w:val="005E7838"/>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6DD7"/>
    <w:rsid w:val="00617140"/>
    <w:rsid w:val="0061753E"/>
    <w:rsid w:val="006178CC"/>
    <w:rsid w:val="006203CD"/>
    <w:rsid w:val="0062050F"/>
    <w:rsid w:val="00621329"/>
    <w:rsid w:val="0062138E"/>
    <w:rsid w:val="00621E7B"/>
    <w:rsid w:val="00622199"/>
    <w:rsid w:val="00622822"/>
    <w:rsid w:val="00623469"/>
    <w:rsid w:val="00624785"/>
    <w:rsid w:val="00624CAC"/>
    <w:rsid w:val="00625885"/>
    <w:rsid w:val="006262F2"/>
    <w:rsid w:val="006263FF"/>
    <w:rsid w:val="00626B92"/>
    <w:rsid w:val="00627B8F"/>
    <w:rsid w:val="00627D71"/>
    <w:rsid w:val="00630047"/>
    <w:rsid w:val="0063079B"/>
    <w:rsid w:val="00630928"/>
    <w:rsid w:val="00631509"/>
    <w:rsid w:val="0063176E"/>
    <w:rsid w:val="00631992"/>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5C28"/>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05DE"/>
    <w:rsid w:val="00671753"/>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5CF8"/>
    <w:rsid w:val="00686FAC"/>
    <w:rsid w:val="00687437"/>
    <w:rsid w:val="00687C49"/>
    <w:rsid w:val="0069051C"/>
    <w:rsid w:val="00691253"/>
    <w:rsid w:val="00691356"/>
    <w:rsid w:val="006917E2"/>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FB4"/>
    <w:rsid w:val="006B050A"/>
    <w:rsid w:val="006B106B"/>
    <w:rsid w:val="006B13C2"/>
    <w:rsid w:val="006B265F"/>
    <w:rsid w:val="006B318C"/>
    <w:rsid w:val="006B3316"/>
    <w:rsid w:val="006B5025"/>
    <w:rsid w:val="006B58ED"/>
    <w:rsid w:val="006B5D99"/>
    <w:rsid w:val="006B6D88"/>
    <w:rsid w:val="006B73D6"/>
    <w:rsid w:val="006C1160"/>
    <w:rsid w:val="006C19F4"/>
    <w:rsid w:val="006C23B2"/>
    <w:rsid w:val="006C24B2"/>
    <w:rsid w:val="006C25B5"/>
    <w:rsid w:val="006C2C92"/>
    <w:rsid w:val="006C2EB9"/>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137"/>
    <w:rsid w:val="006E16D5"/>
    <w:rsid w:val="006E1DD7"/>
    <w:rsid w:val="006E224A"/>
    <w:rsid w:val="006E245B"/>
    <w:rsid w:val="006E3078"/>
    <w:rsid w:val="006E3F60"/>
    <w:rsid w:val="006E4430"/>
    <w:rsid w:val="006E489B"/>
    <w:rsid w:val="006E4F6C"/>
    <w:rsid w:val="006E6434"/>
    <w:rsid w:val="006E679C"/>
    <w:rsid w:val="006E6D23"/>
    <w:rsid w:val="006F016B"/>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4C38"/>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BDD"/>
    <w:rsid w:val="00730F46"/>
    <w:rsid w:val="007313E4"/>
    <w:rsid w:val="007327CD"/>
    <w:rsid w:val="00732CC4"/>
    <w:rsid w:val="00733A55"/>
    <w:rsid w:val="00734181"/>
    <w:rsid w:val="0073462A"/>
    <w:rsid w:val="00735256"/>
    <w:rsid w:val="00737766"/>
    <w:rsid w:val="007406C8"/>
    <w:rsid w:val="007425D2"/>
    <w:rsid w:val="0074379C"/>
    <w:rsid w:val="00743FAB"/>
    <w:rsid w:val="0074419C"/>
    <w:rsid w:val="00744C0A"/>
    <w:rsid w:val="00745EAA"/>
    <w:rsid w:val="00746B35"/>
    <w:rsid w:val="007473E6"/>
    <w:rsid w:val="00747CE3"/>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7A9"/>
    <w:rsid w:val="00760B02"/>
    <w:rsid w:val="00760C0A"/>
    <w:rsid w:val="0076429F"/>
    <w:rsid w:val="007650A7"/>
    <w:rsid w:val="00765480"/>
    <w:rsid w:val="00765C4F"/>
    <w:rsid w:val="00766372"/>
    <w:rsid w:val="00766B65"/>
    <w:rsid w:val="0076753A"/>
    <w:rsid w:val="00770B2E"/>
    <w:rsid w:val="00770F41"/>
    <w:rsid w:val="00771110"/>
    <w:rsid w:val="007717CB"/>
    <w:rsid w:val="007724A0"/>
    <w:rsid w:val="00772F61"/>
    <w:rsid w:val="00775FC4"/>
    <w:rsid w:val="00775FDA"/>
    <w:rsid w:val="007764A8"/>
    <w:rsid w:val="007770B2"/>
    <w:rsid w:val="0077736D"/>
    <w:rsid w:val="0077792F"/>
    <w:rsid w:val="00777F11"/>
    <w:rsid w:val="007818B3"/>
    <w:rsid w:val="00781991"/>
    <w:rsid w:val="00781B32"/>
    <w:rsid w:val="007830DD"/>
    <w:rsid w:val="007833BB"/>
    <w:rsid w:val="00783680"/>
    <w:rsid w:val="00784DB5"/>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1E2D"/>
    <w:rsid w:val="007A26B7"/>
    <w:rsid w:val="007A300E"/>
    <w:rsid w:val="007A4DC4"/>
    <w:rsid w:val="007A4F58"/>
    <w:rsid w:val="007A51DE"/>
    <w:rsid w:val="007A52BD"/>
    <w:rsid w:val="007A63CB"/>
    <w:rsid w:val="007B081C"/>
    <w:rsid w:val="007B20AF"/>
    <w:rsid w:val="007B21C5"/>
    <w:rsid w:val="007B231B"/>
    <w:rsid w:val="007B2CAF"/>
    <w:rsid w:val="007B4C34"/>
    <w:rsid w:val="007B4C38"/>
    <w:rsid w:val="007B4EBE"/>
    <w:rsid w:val="007B6259"/>
    <w:rsid w:val="007B6B96"/>
    <w:rsid w:val="007B76EB"/>
    <w:rsid w:val="007B7C40"/>
    <w:rsid w:val="007C0BDC"/>
    <w:rsid w:val="007C11A7"/>
    <w:rsid w:val="007C1E20"/>
    <w:rsid w:val="007C2536"/>
    <w:rsid w:val="007C29B9"/>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1970"/>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92F"/>
    <w:rsid w:val="007F2C09"/>
    <w:rsid w:val="007F68CA"/>
    <w:rsid w:val="007F6922"/>
    <w:rsid w:val="007F6CE1"/>
    <w:rsid w:val="007F7DBA"/>
    <w:rsid w:val="007F7E38"/>
    <w:rsid w:val="00800DE9"/>
    <w:rsid w:val="00802A53"/>
    <w:rsid w:val="00802E2B"/>
    <w:rsid w:val="008033DC"/>
    <w:rsid w:val="00804736"/>
    <w:rsid w:val="0080501D"/>
    <w:rsid w:val="00806BBC"/>
    <w:rsid w:val="0080771B"/>
    <w:rsid w:val="00807FBF"/>
    <w:rsid w:val="008102E2"/>
    <w:rsid w:val="008103DE"/>
    <w:rsid w:val="008106AA"/>
    <w:rsid w:val="00810736"/>
    <w:rsid w:val="00810CA6"/>
    <w:rsid w:val="00810E21"/>
    <w:rsid w:val="00812594"/>
    <w:rsid w:val="00813A00"/>
    <w:rsid w:val="00813C58"/>
    <w:rsid w:val="00814E33"/>
    <w:rsid w:val="008159E1"/>
    <w:rsid w:val="00816A45"/>
    <w:rsid w:val="008171DA"/>
    <w:rsid w:val="008172B0"/>
    <w:rsid w:val="0081741E"/>
    <w:rsid w:val="00817B23"/>
    <w:rsid w:val="00820120"/>
    <w:rsid w:val="00821220"/>
    <w:rsid w:val="008220BD"/>
    <w:rsid w:val="00822289"/>
    <w:rsid w:val="0082285A"/>
    <w:rsid w:val="00822ED8"/>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69D4"/>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7D8"/>
    <w:rsid w:val="00866A9D"/>
    <w:rsid w:val="00870153"/>
    <w:rsid w:val="00871481"/>
    <w:rsid w:val="00871B5A"/>
    <w:rsid w:val="00871ED8"/>
    <w:rsid w:val="008737C0"/>
    <w:rsid w:val="00873B6F"/>
    <w:rsid w:val="00873B93"/>
    <w:rsid w:val="00873BFE"/>
    <w:rsid w:val="00873E2F"/>
    <w:rsid w:val="008742E0"/>
    <w:rsid w:val="008745F7"/>
    <w:rsid w:val="00874AE5"/>
    <w:rsid w:val="00875684"/>
    <w:rsid w:val="00875906"/>
    <w:rsid w:val="00876E46"/>
    <w:rsid w:val="008772F9"/>
    <w:rsid w:val="00877395"/>
    <w:rsid w:val="008776C0"/>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04B"/>
    <w:rsid w:val="0089333A"/>
    <w:rsid w:val="008944AD"/>
    <w:rsid w:val="008946BF"/>
    <w:rsid w:val="00894BA8"/>
    <w:rsid w:val="00895853"/>
    <w:rsid w:val="00895C48"/>
    <w:rsid w:val="008968EE"/>
    <w:rsid w:val="00896F71"/>
    <w:rsid w:val="008A0298"/>
    <w:rsid w:val="008A0B15"/>
    <w:rsid w:val="008A0C54"/>
    <w:rsid w:val="008A0E09"/>
    <w:rsid w:val="008A16E3"/>
    <w:rsid w:val="008A275F"/>
    <w:rsid w:val="008A4B7D"/>
    <w:rsid w:val="008A4C14"/>
    <w:rsid w:val="008A4D3B"/>
    <w:rsid w:val="008A55B6"/>
    <w:rsid w:val="008A6537"/>
    <w:rsid w:val="008A6871"/>
    <w:rsid w:val="008A6EC7"/>
    <w:rsid w:val="008A72A1"/>
    <w:rsid w:val="008A72F9"/>
    <w:rsid w:val="008A755A"/>
    <w:rsid w:val="008A7B98"/>
    <w:rsid w:val="008B2544"/>
    <w:rsid w:val="008B26C6"/>
    <w:rsid w:val="008B2708"/>
    <w:rsid w:val="008B284B"/>
    <w:rsid w:val="008B4283"/>
    <w:rsid w:val="008B47C5"/>
    <w:rsid w:val="008B4C8C"/>
    <w:rsid w:val="008B5703"/>
    <w:rsid w:val="008B659D"/>
    <w:rsid w:val="008B66DD"/>
    <w:rsid w:val="008B7198"/>
    <w:rsid w:val="008B72DD"/>
    <w:rsid w:val="008B792B"/>
    <w:rsid w:val="008C18DE"/>
    <w:rsid w:val="008C3DBE"/>
    <w:rsid w:val="008C3E09"/>
    <w:rsid w:val="008C4B50"/>
    <w:rsid w:val="008C4FD1"/>
    <w:rsid w:val="008C5358"/>
    <w:rsid w:val="008C5DFD"/>
    <w:rsid w:val="008C790D"/>
    <w:rsid w:val="008D089A"/>
    <w:rsid w:val="008D1E60"/>
    <w:rsid w:val="008D2131"/>
    <w:rsid w:val="008D315D"/>
    <w:rsid w:val="008D3A30"/>
    <w:rsid w:val="008D5168"/>
    <w:rsid w:val="008D5213"/>
    <w:rsid w:val="008D6032"/>
    <w:rsid w:val="008E0931"/>
    <w:rsid w:val="008E0C2D"/>
    <w:rsid w:val="008E0C2F"/>
    <w:rsid w:val="008E0E80"/>
    <w:rsid w:val="008E2A59"/>
    <w:rsid w:val="008E2BA0"/>
    <w:rsid w:val="008E2CDC"/>
    <w:rsid w:val="008E2CDD"/>
    <w:rsid w:val="008E32A8"/>
    <w:rsid w:val="008E4427"/>
    <w:rsid w:val="008E499D"/>
    <w:rsid w:val="008E5076"/>
    <w:rsid w:val="008E5F1F"/>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587"/>
    <w:rsid w:val="00911804"/>
    <w:rsid w:val="00912E0E"/>
    <w:rsid w:val="00912F6B"/>
    <w:rsid w:val="0091310A"/>
    <w:rsid w:val="009134F0"/>
    <w:rsid w:val="00914265"/>
    <w:rsid w:val="009150E9"/>
    <w:rsid w:val="009173E7"/>
    <w:rsid w:val="009177FF"/>
    <w:rsid w:val="009200A8"/>
    <w:rsid w:val="009209AC"/>
    <w:rsid w:val="00921660"/>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88F"/>
    <w:rsid w:val="00935B1C"/>
    <w:rsid w:val="00937D7A"/>
    <w:rsid w:val="009401A5"/>
    <w:rsid w:val="00940899"/>
    <w:rsid w:val="00940972"/>
    <w:rsid w:val="00941018"/>
    <w:rsid w:val="00942238"/>
    <w:rsid w:val="00942F41"/>
    <w:rsid w:val="00943A69"/>
    <w:rsid w:val="009444A2"/>
    <w:rsid w:val="00944A54"/>
    <w:rsid w:val="00945B9E"/>
    <w:rsid w:val="0094733C"/>
    <w:rsid w:val="009476EF"/>
    <w:rsid w:val="00947E08"/>
    <w:rsid w:val="009508AD"/>
    <w:rsid w:val="00950C4F"/>
    <w:rsid w:val="009530C5"/>
    <w:rsid w:val="0095386D"/>
    <w:rsid w:val="0095396D"/>
    <w:rsid w:val="0095532C"/>
    <w:rsid w:val="00957B83"/>
    <w:rsid w:val="00957CBF"/>
    <w:rsid w:val="0096099A"/>
    <w:rsid w:val="00960F6E"/>
    <w:rsid w:val="00961956"/>
    <w:rsid w:val="00961F3C"/>
    <w:rsid w:val="00964B58"/>
    <w:rsid w:val="00964DE8"/>
    <w:rsid w:val="00965516"/>
    <w:rsid w:val="00965822"/>
    <w:rsid w:val="00965B61"/>
    <w:rsid w:val="0096721E"/>
    <w:rsid w:val="00967517"/>
    <w:rsid w:val="009679A9"/>
    <w:rsid w:val="00967B0B"/>
    <w:rsid w:val="00967CEC"/>
    <w:rsid w:val="00970971"/>
    <w:rsid w:val="00971495"/>
    <w:rsid w:val="00971842"/>
    <w:rsid w:val="00971A18"/>
    <w:rsid w:val="00972A8C"/>
    <w:rsid w:val="009737C7"/>
    <w:rsid w:val="009744BD"/>
    <w:rsid w:val="00974EE4"/>
    <w:rsid w:val="00975A67"/>
    <w:rsid w:val="0097659B"/>
    <w:rsid w:val="009775B8"/>
    <w:rsid w:val="00980E41"/>
    <w:rsid w:val="00983920"/>
    <w:rsid w:val="0098510D"/>
    <w:rsid w:val="00986C7F"/>
    <w:rsid w:val="00987332"/>
    <w:rsid w:val="00987507"/>
    <w:rsid w:val="00987A9E"/>
    <w:rsid w:val="009916B2"/>
    <w:rsid w:val="009954A1"/>
    <w:rsid w:val="0099551B"/>
    <w:rsid w:val="009960A0"/>
    <w:rsid w:val="00996E9C"/>
    <w:rsid w:val="009A1011"/>
    <w:rsid w:val="009A1B51"/>
    <w:rsid w:val="009A3E0E"/>
    <w:rsid w:val="009A61EE"/>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2ADA"/>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2CB"/>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5F39"/>
    <w:rsid w:val="00A06825"/>
    <w:rsid w:val="00A06E9E"/>
    <w:rsid w:val="00A1036D"/>
    <w:rsid w:val="00A10A98"/>
    <w:rsid w:val="00A10B0E"/>
    <w:rsid w:val="00A10C1C"/>
    <w:rsid w:val="00A11AB2"/>
    <w:rsid w:val="00A12627"/>
    <w:rsid w:val="00A12A65"/>
    <w:rsid w:val="00A13493"/>
    <w:rsid w:val="00A13A09"/>
    <w:rsid w:val="00A1414A"/>
    <w:rsid w:val="00A14846"/>
    <w:rsid w:val="00A15A99"/>
    <w:rsid w:val="00A17267"/>
    <w:rsid w:val="00A1771A"/>
    <w:rsid w:val="00A2086E"/>
    <w:rsid w:val="00A20E9D"/>
    <w:rsid w:val="00A2120F"/>
    <w:rsid w:val="00A2178F"/>
    <w:rsid w:val="00A21FFA"/>
    <w:rsid w:val="00A22B10"/>
    <w:rsid w:val="00A23F52"/>
    <w:rsid w:val="00A24264"/>
    <w:rsid w:val="00A26217"/>
    <w:rsid w:val="00A3013F"/>
    <w:rsid w:val="00A3055E"/>
    <w:rsid w:val="00A30792"/>
    <w:rsid w:val="00A30B84"/>
    <w:rsid w:val="00A31DC8"/>
    <w:rsid w:val="00A3262A"/>
    <w:rsid w:val="00A329C8"/>
    <w:rsid w:val="00A3344B"/>
    <w:rsid w:val="00A33973"/>
    <w:rsid w:val="00A35436"/>
    <w:rsid w:val="00A35FF9"/>
    <w:rsid w:val="00A367AA"/>
    <w:rsid w:val="00A37880"/>
    <w:rsid w:val="00A400BF"/>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67327"/>
    <w:rsid w:val="00A70D6E"/>
    <w:rsid w:val="00A715F7"/>
    <w:rsid w:val="00A720CF"/>
    <w:rsid w:val="00A72192"/>
    <w:rsid w:val="00A72B07"/>
    <w:rsid w:val="00A73BB9"/>
    <w:rsid w:val="00A73D4A"/>
    <w:rsid w:val="00A743EB"/>
    <w:rsid w:val="00A7450E"/>
    <w:rsid w:val="00A74B4C"/>
    <w:rsid w:val="00A7552F"/>
    <w:rsid w:val="00A76236"/>
    <w:rsid w:val="00A763E7"/>
    <w:rsid w:val="00A77796"/>
    <w:rsid w:val="00A81862"/>
    <w:rsid w:val="00A8187F"/>
    <w:rsid w:val="00A8271E"/>
    <w:rsid w:val="00A827D2"/>
    <w:rsid w:val="00A847C3"/>
    <w:rsid w:val="00A855CF"/>
    <w:rsid w:val="00A85A01"/>
    <w:rsid w:val="00A86128"/>
    <w:rsid w:val="00A86D6A"/>
    <w:rsid w:val="00A86E2C"/>
    <w:rsid w:val="00A8766D"/>
    <w:rsid w:val="00A90F72"/>
    <w:rsid w:val="00A91E27"/>
    <w:rsid w:val="00A93DC3"/>
    <w:rsid w:val="00A9462E"/>
    <w:rsid w:val="00A94E45"/>
    <w:rsid w:val="00A950A5"/>
    <w:rsid w:val="00A978B6"/>
    <w:rsid w:val="00A97929"/>
    <w:rsid w:val="00AA05F8"/>
    <w:rsid w:val="00AA1167"/>
    <w:rsid w:val="00AA22BE"/>
    <w:rsid w:val="00AA44A3"/>
    <w:rsid w:val="00AA5C1D"/>
    <w:rsid w:val="00AA5C61"/>
    <w:rsid w:val="00AA5CBB"/>
    <w:rsid w:val="00AA5F9C"/>
    <w:rsid w:val="00AA6795"/>
    <w:rsid w:val="00AA69BF"/>
    <w:rsid w:val="00AA6CC7"/>
    <w:rsid w:val="00AA70B6"/>
    <w:rsid w:val="00AA7709"/>
    <w:rsid w:val="00AA7DA3"/>
    <w:rsid w:val="00AB0B18"/>
    <w:rsid w:val="00AB0B62"/>
    <w:rsid w:val="00AB192A"/>
    <w:rsid w:val="00AB20C0"/>
    <w:rsid w:val="00AB3045"/>
    <w:rsid w:val="00AB416F"/>
    <w:rsid w:val="00AB425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8C6"/>
    <w:rsid w:val="00AF5A72"/>
    <w:rsid w:val="00B00DCF"/>
    <w:rsid w:val="00B0112A"/>
    <w:rsid w:val="00B0112B"/>
    <w:rsid w:val="00B01501"/>
    <w:rsid w:val="00B020DA"/>
    <w:rsid w:val="00B0229E"/>
    <w:rsid w:val="00B02467"/>
    <w:rsid w:val="00B028A4"/>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4E9"/>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2E2F"/>
    <w:rsid w:val="00B42F7B"/>
    <w:rsid w:val="00B42FA1"/>
    <w:rsid w:val="00B4330A"/>
    <w:rsid w:val="00B444D1"/>
    <w:rsid w:val="00B44B44"/>
    <w:rsid w:val="00B44BB9"/>
    <w:rsid w:val="00B44BEE"/>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2CA"/>
    <w:rsid w:val="00B61819"/>
    <w:rsid w:val="00B62D22"/>
    <w:rsid w:val="00B6406F"/>
    <w:rsid w:val="00B6512D"/>
    <w:rsid w:val="00B652A4"/>
    <w:rsid w:val="00B656FE"/>
    <w:rsid w:val="00B65C4F"/>
    <w:rsid w:val="00B66035"/>
    <w:rsid w:val="00B667ED"/>
    <w:rsid w:val="00B67C63"/>
    <w:rsid w:val="00B67EDA"/>
    <w:rsid w:val="00B721AE"/>
    <w:rsid w:val="00B7366B"/>
    <w:rsid w:val="00B73746"/>
    <w:rsid w:val="00B7530C"/>
    <w:rsid w:val="00B75BEF"/>
    <w:rsid w:val="00B767ED"/>
    <w:rsid w:val="00B76922"/>
    <w:rsid w:val="00B772EE"/>
    <w:rsid w:val="00B77513"/>
    <w:rsid w:val="00B77F1B"/>
    <w:rsid w:val="00B80349"/>
    <w:rsid w:val="00B8063B"/>
    <w:rsid w:val="00B807B4"/>
    <w:rsid w:val="00B81D0F"/>
    <w:rsid w:val="00B8331B"/>
    <w:rsid w:val="00B83A51"/>
    <w:rsid w:val="00B83E7B"/>
    <w:rsid w:val="00B83F1F"/>
    <w:rsid w:val="00B84B22"/>
    <w:rsid w:val="00B84DE4"/>
    <w:rsid w:val="00B85573"/>
    <w:rsid w:val="00B86481"/>
    <w:rsid w:val="00B873AE"/>
    <w:rsid w:val="00B876EC"/>
    <w:rsid w:val="00B90D19"/>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421"/>
    <w:rsid w:val="00BB37C1"/>
    <w:rsid w:val="00BB3A55"/>
    <w:rsid w:val="00BB3AF7"/>
    <w:rsid w:val="00BB4097"/>
    <w:rsid w:val="00BB495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246"/>
    <w:rsid w:val="00C02717"/>
    <w:rsid w:val="00C02D8A"/>
    <w:rsid w:val="00C0325D"/>
    <w:rsid w:val="00C1014D"/>
    <w:rsid w:val="00C10B48"/>
    <w:rsid w:val="00C10C77"/>
    <w:rsid w:val="00C1211B"/>
    <w:rsid w:val="00C12284"/>
    <w:rsid w:val="00C129F3"/>
    <w:rsid w:val="00C14111"/>
    <w:rsid w:val="00C142B4"/>
    <w:rsid w:val="00C1585F"/>
    <w:rsid w:val="00C15B26"/>
    <w:rsid w:val="00C15C6A"/>
    <w:rsid w:val="00C16CAA"/>
    <w:rsid w:val="00C17044"/>
    <w:rsid w:val="00C1769B"/>
    <w:rsid w:val="00C17A76"/>
    <w:rsid w:val="00C20094"/>
    <w:rsid w:val="00C2260E"/>
    <w:rsid w:val="00C23477"/>
    <w:rsid w:val="00C23683"/>
    <w:rsid w:val="00C237F1"/>
    <w:rsid w:val="00C240FA"/>
    <w:rsid w:val="00C259DF"/>
    <w:rsid w:val="00C25DB3"/>
    <w:rsid w:val="00C26828"/>
    <w:rsid w:val="00C26C81"/>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4DAA"/>
    <w:rsid w:val="00C554BB"/>
    <w:rsid w:val="00C554EC"/>
    <w:rsid w:val="00C559BF"/>
    <w:rsid w:val="00C56055"/>
    <w:rsid w:val="00C600B5"/>
    <w:rsid w:val="00C60A43"/>
    <w:rsid w:val="00C60AE2"/>
    <w:rsid w:val="00C61E75"/>
    <w:rsid w:val="00C61EE5"/>
    <w:rsid w:val="00C624C7"/>
    <w:rsid w:val="00C63212"/>
    <w:rsid w:val="00C644EA"/>
    <w:rsid w:val="00C649E2"/>
    <w:rsid w:val="00C64EEF"/>
    <w:rsid w:val="00C65A95"/>
    <w:rsid w:val="00C6773B"/>
    <w:rsid w:val="00C677AD"/>
    <w:rsid w:val="00C6785F"/>
    <w:rsid w:val="00C67ABA"/>
    <w:rsid w:val="00C70714"/>
    <w:rsid w:val="00C70B4D"/>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4B64"/>
    <w:rsid w:val="00C8544C"/>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1BE"/>
    <w:rsid w:val="00C972F1"/>
    <w:rsid w:val="00C97966"/>
    <w:rsid w:val="00CA07CD"/>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2678"/>
    <w:rsid w:val="00CC31B2"/>
    <w:rsid w:val="00CC42B6"/>
    <w:rsid w:val="00CC521C"/>
    <w:rsid w:val="00CC7E96"/>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4DAE"/>
    <w:rsid w:val="00CE5119"/>
    <w:rsid w:val="00CE692D"/>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2FBA"/>
    <w:rsid w:val="00D0461E"/>
    <w:rsid w:val="00D04678"/>
    <w:rsid w:val="00D0477D"/>
    <w:rsid w:val="00D05789"/>
    <w:rsid w:val="00D070A6"/>
    <w:rsid w:val="00D076AE"/>
    <w:rsid w:val="00D07ABE"/>
    <w:rsid w:val="00D10C4D"/>
    <w:rsid w:val="00D115CF"/>
    <w:rsid w:val="00D11DE8"/>
    <w:rsid w:val="00D12B14"/>
    <w:rsid w:val="00D12B39"/>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57060"/>
    <w:rsid w:val="00D61100"/>
    <w:rsid w:val="00D61B08"/>
    <w:rsid w:val="00D623C0"/>
    <w:rsid w:val="00D62FA5"/>
    <w:rsid w:val="00D630B8"/>
    <w:rsid w:val="00D63208"/>
    <w:rsid w:val="00D6320E"/>
    <w:rsid w:val="00D633D2"/>
    <w:rsid w:val="00D63656"/>
    <w:rsid w:val="00D6423D"/>
    <w:rsid w:val="00D64E2D"/>
    <w:rsid w:val="00D65CD6"/>
    <w:rsid w:val="00D67943"/>
    <w:rsid w:val="00D67B5F"/>
    <w:rsid w:val="00D67CAD"/>
    <w:rsid w:val="00D704BD"/>
    <w:rsid w:val="00D706C3"/>
    <w:rsid w:val="00D707A3"/>
    <w:rsid w:val="00D70F4B"/>
    <w:rsid w:val="00D710CF"/>
    <w:rsid w:val="00D71D11"/>
    <w:rsid w:val="00D7226F"/>
    <w:rsid w:val="00D725C2"/>
    <w:rsid w:val="00D7608C"/>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91EA9"/>
    <w:rsid w:val="00D92EBC"/>
    <w:rsid w:val="00D93D43"/>
    <w:rsid w:val="00D944B2"/>
    <w:rsid w:val="00D94C7B"/>
    <w:rsid w:val="00D94DE4"/>
    <w:rsid w:val="00D9545B"/>
    <w:rsid w:val="00D95CCF"/>
    <w:rsid w:val="00D9691F"/>
    <w:rsid w:val="00D96DF6"/>
    <w:rsid w:val="00D97364"/>
    <w:rsid w:val="00D979E8"/>
    <w:rsid w:val="00D97AE5"/>
    <w:rsid w:val="00D97E9C"/>
    <w:rsid w:val="00DA134D"/>
    <w:rsid w:val="00DA20F0"/>
    <w:rsid w:val="00DA2D88"/>
    <w:rsid w:val="00DA4A4C"/>
    <w:rsid w:val="00DA4A76"/>
    <w:rsid w:val="00DA5622"/>
    <w:rsid w:val="00DA608B"/>
    <w:rsid w:val="00DB26C7"/>
    <w:rsid w:val="00DB2B61"/>
    <w:rsid w:val="00DB34D6"/>
    <w:rsid w:val="00DB3C05"/>
    <w:rsid w:val="00DB3DBA"/>
    <w:rsid w:val="00DB4124"/>
    <w:rsid w:val="00DB5B6E"/>
    <w:rsid w:val="00DB678B"/>
    <w:rsid w:val="00DB6D98"/>
    <w:rsid w:val="00DC057E"/>
    <w:rsid w:val="00DC097D"/>
    <w:rsid w:val="00DC0FAE"/>
    <w:rsid w:val="00DC15A9"/>
    <w:rsid w:val="00DC1607"/>
    <w:rsid w:val="00DC17CF"/>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6911"/>
    <w:rsid w:val="00DD6D07"/>
    <w:rsid w:val="00DD7044"/>
    <w:rsid w:val="00DE010C"/>
    <w:rsid w:val="00DE0F02"/>
    <w:rsid w:val="00DE2301"/>
    <w:rsid w:val="00DE29AC"/>
    <w:rsid w:val="00DE2C99"/>
    <w:rsid w:val="00DE308B"/>
    <w:rsid w:val="00DE3CA7"/>
    <w:rsid w:val="00DE43CE"/>
    <w:rsid w:val="00DE4A3B"/>
    <w:rsid w:val="00DE4C21"/>
    <w:rsid w:val="00DE4C77"/>
    <w:rsid w:val="00DE5DA2"/>
    <w:rsid w:val="00DE65D0"/>
    <w:rsid w:val="00DE69CB"/>
    <w:rsid w:val="00DE78E2"/>
    <w:rsid w:val="00DF132B"/>
    <w:rsid w:val="00DF1937"/>
    <w:rsid w:val="00DF2015"/>
    <w:rsid w:val="00DF25DF"/>
    <w:rsid w:val="00DF2640"/>
    <w:rsid w:val="00DF2B94"/>
    <w:rsid w:val="00DF305C"/>
    <w:rsid w:val="00DF349B"/>
    <w:rsid w:val="00DF3AB4"/>
    <w:rsid w:val="00DF3AB5"/>
    <w:rsid w:val="00DF3ABC"/>
    <w:rsid w:val="00DF3E74"/>
    <w:rsid w:val="00DF590D"/>
    <w:rsid w:val="00DF6944"/>
    <w:rsid w:val="00DF7BC0"/>
    <w:rsid w:val="00E00CD3"/>
    <w:rsid w:val="00E01B9A"/>
    <w:rsid w:val="00E01EE3"/>
    <w:rsid w:val="00E0226B"/>
    <w:rsid w:val="00E02818"/>
    <w:rsid w:val="00E02E1A"/>
    <w:rsid w:val="00E02F7F"/>
    <w:rsid w:val="00E038A6"/>
    <w:rsid w:val="00E03BF2"/>
    <w:rsid w:val="00E060CF"/>
    <w:rsid w:val="00E0620E"/>
    <w:rsid w:val="00E062AC"/>
    <w:rsid w:val="00E06456"/>
    <w:rsid w:val="00E074E2"/>
    <w:rsid w:val="00E07A49"/>
    <w:rsid w:val="00E07B22"/>
    <w:rsid w:val="00E102AB"/>
    <w:rsid w:val="00E10736"/>
    <w:rsid w:val="00E110D0"/>
    <w:rsid w:val="00E11669"/>
    <w:rsid w:val="00E119DF"/>
    <w:rsid w:val="00E11C18"/>
    <w:rsid w:val="00E11CA9"/>
    <w:rsid w:val="00E1312A"/>
    <w:rsid w:val="00E13E01"/>
    <w:rsid w:val="00E1409A"/>
    <w:rsid w:val="00E1449B"/>
    <w:rsid w:val="00E14907"/>
    <w:rsid w:val="00E15330"/>
    <w:rsid w:val="00E15813"/>
    <w:rsid w:val="00E15965"/>
    <w:rsid w:val="00E20065"/>
    <w:rsid w:val="00E20508"/>
    <w:rsid w:val="00E20579"/>
    <w:rsid w:val="00E207F0"/>
    <w:rsid w:val="00E20D7C"/>
    <w:rsid w:val="00E20E7D"/>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2E37"/>
    <w:rsid w:val="00E33923"/>
    <w:rsid w:val="00E33D03"/>
    <w:rsid w:val="00E34279"/>
    <w:rsid w:val="00E35F6C"/>
    <w:rsid w:val="00E36007"/>
    <w:rsid w:val="00E36C7E"/>
    <w:rsid w:val="00E36EA1"/>
    <w:rsid w:val="00E3738B"/>
    <w:rsid w:val="00E37A8F"/>
    <w:rsid w:val="00E40125"/>
    <w:rsid w:val="00E4107B"/>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07A"/>
    <w:rsid w:val="00E642C0"/>
    <w:rsid w:val="00E64300"/>
    <w:rsid w:val="00E653B3"/>
    <w:rsid w:val="00E65C6F"/>
    <w:rsid w:val="00E65D01"/>
    <w:rsid w:val="00E65DF1"/>
    <w:rsid w:val="00E66A9B"/>
    <w:rsid w:val="00E66AAC"/>
    <w:rsid w:val="00E66BE0"/>
    <w:rsid w:val="00E67282"/>
    <w:rsid w:val="00E70CCC"/>
    <w:rsid w:val="00E71209"/>
    <w:rsid w:val="00E72E7D"/>
    <w:rsid w:val="00E73B1E"/>
    <w:rsid w:val="00E7466E"/>
    <w:rsid w:val="00E75479"/>
    <w:rsid w:val="00E75514"/>
    <w:rsid w:val="00E7553B"/>
    <w:rsid w:val="00E77453"/>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6F8B"/>
    <w:rsid w:val="00E87122"/>
    <w:rsid w:val="00E87965"/>
    <w:rsid w:val="00E90E50"/>
    <w:rsid w:val="00E91000"/>
    <w:rsid w:val="00E926A5"/>
    <w:rsid w:val="00E93ED5"/>
    <w:rsid w:val="00E94AE8"/>
    <w:rsid w:val="00E94F65"/>
    <w:rsid w:val="00E96E30"/>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0D7B"/>
    <w:rsid w:val="00EB1ADA"/>
    <w:rsid w:val="00EB3927"/>
    <w:rsid w:val="00EB3D32"/>
    <w:rsid w:val="00EB46E1"/>
    <w:rsid w:val="00EB473F"/>
    <w:rsid w:val="00EB49CC"/>
    <w:rsid w:val="00EB7883"/>
    <w:rsid w:val="00EB7972"/>
    <w:rsid w:val="00EC0628"/>
    <w:rsid w:val="00EC13BB"/>
    <w:rsid w:val="00EC1820"/>
    <w:rsid w:val="00EC3E58"/>
    <w:rsid w:val="00EC48BE"/>
    <w:rsid w:val="00EC533C"/>
    <w:rsid w:val="00EC5A06"/>
    <w:rsid w:val="00EC6543"/>
    <w:rsid w:val="00EC69D1"/>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5F1D"/>
    <w:rsid w:val="00ED7BC2"/>
    <w:rsid w:val="00EE0235"/>
    <w:rsid w:val="00EE03C2"/>
    <w:rsid w:val="00EE1D94"/>
    <w:rsid w:val="00EE1E04"/>
    <w:rsid w:val="00EE1FFA"/>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3F8"/>
    <w:rsid w:val="00F0250C"/>
    <w:rsid w:val="00F03155"/>
    <w:rsid w:val="00F03666"/>
    <w:rsid w:val="00F0373A"/>
    <w:rsid w:val="00F03950"/>
    <w:rsid w:val="00F049D6"/>
    <w:rsid w:val="00F057DB"/>
    <w:rsid w:val="00F06237"/>
    <w:rsid w:val="00F0646E"/>
    <w:rsid w:val="00F1199A"/>
    <w:rsid w:val="00F12428"/>
    <w:rsid w:val="00F12491"/>
    <w:rsid w:val="00F13607"/>
    <w:rsid w:val="00F1544C"/>
    <w:rsid w:val="00F161F9"/>
    <w:rsid w:val="00F172C5"/>
    <w:rsid w:val="00F173C9"/>
    <w:rsid w:val="00F20511"/>
    <w:rsid w:val="00F2127E"/>
    <w:rsid w:val="00F223D7"/>
    <w:rsid w:val="00F23C66"/>
    <w:rsid w:val="00F24CA0"/>
    <w:rsid w:val="00F25B83"/>
    <w:rsid w:val="00F25F17"/>
    <w:rsid w:val="00F27A84"/>
    <w:rsid w:val="00F30AAD"/>
    <w:rsid w:val="00F3172E"/>
    <w:rsid w:val="00F3200A"/>
    <w:rsid w:val="00F324AC"/>
    <w:rsid w:val="00F32577"/>
    <w:rsid w:val="00F332F0"/>
    <w:rsid w:val="00F33863"/>
    <w:rsid w:val="00F33C79"/>
    <w:rsid w:val="00F33D9F"/>
    <w:rsid w:val="00F33DD2"/>
    <w:rsid w:val="00F33E24"/>
    <w:rsid w:val="00F34DAF"/>
    <w:rsid w:val="00F355B5"/>
    <w:rsid w:val="00F359DE"/>
    <w:rsid w:val="00F3644C"/>
    <w:rsid w:val="00F36987"/>
    <w:rsid w:val="00F37CBC"/>
    <w:rsid w:val="00F37E4A"/>
    <w:rsid w:val="00F41E00"/>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157E"/>
    <w:rsid w:val="00F63F2A"/>
    <w:rsid w:val="00F646EF"/>
    <w:rsid w:val="00F64B0A"/>
    <w:rsid w:val="00F6655D"/>
    <w:rsid w:val="00F66741"/>
    <w:rsid w:val="00F70268"/>
    <w:rsid w:val="00F70851"/>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6C43"/>
    <w:rsid w:val="00FB7788"/>
    <w:rsid w:val="00FC0102"/>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455"/>
    <w:rsid w:val="00FD63A1"/>
    <w:rsid w:val="00FD6E31"/>
    <w:rsid w:val="00FE044C"/>
    <w:rsid w:val="00FE1093"/>
    <w:rsid w:val="00FE16D2"/>
    <w:rsid w:val="00FE234C"/>
    <w:rsid w:val="00FE394E"/>
    <w:rsid w:val="00FE6288"/>
    <w:rsid w:val="00FE67BB"/>
    <w:rsid w:val="00FE68B2"/>
    <w:rsid w:val="00FE697F"/>
    <w:rsid w:val="00FE6ADF"/>
    <w:rsid w:val="00FE7250"/>
    <w:rsid w:val="00FE7D7E"/>
    <w:rsid w:val="00FF0AB7"/>
    <w:rsid w:val="00FF16D1"/>
    <w:rsid w:val="00FF24B5"/>
    <w:rsid w:val="00FF2BA0"/>
    <w:rsid w:val="00FF3C13"/>
    <w:rsid w:val="00FF528C"/>
    <w:rsid w:val="00FF5A6D"/>
    <w:rsid w:val="00FF64D0"/>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3"/>
      </w:numPr>
      <w:tabs>
        <w:tab w:val="left" w:pos="440"/>
        <w:tab w:val="right" w:leader="dot" w:pos="9063"/>
      </w:tabs>
      <w:spacing w:before="240"/>
      <w:ind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Fiche List Paragraph,Task Body,Viñetas (Inicio Parrafo),3 Txt tabla,Zerrenda-paragrafoa,Lista multicolor - Énfasis 11,Paragrafo elenco,Nad,Odstavec_muj"/>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fi-FI"/>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iche List Paragraph Char,Task Body Char,Viñetas (Inicio Parrafo) Char,3 Txt tabla Char,Zerrenda-paragrafoa Char,Lista multicolor - Énfasis 11 Char,Paragrafo elenco Char,Nad Char,Odstavec_muj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EC06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5C6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A91E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1742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C122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C02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E038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0F4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EC69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5E3A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1801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9A6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9">
    <w:name w:val="Table Grid209"/>
    <w:basedOn w:val="TableNormal"/>
    <w:next w:val="TableGrid"/>
    <w:rsid w:val="00E20D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A17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3C73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3A2E3A"/>
    <w:rPr>
      <w:color w:val="605E5C"/>
      <w:shd w:val="clear" w:color="auto" w:fill="E1DFDD"/>
    </w:rPr>
  </w:style>
  <w:style w:type="table" w:customStyle="1" w:styleId="TableGrid212">
    <w:name w:val="Table Grid212"/>
    <w:basedOn w:val="TableNormal"/>
    <w:next w:val="TableGrid"/>
    <w:rsid w:val="006C19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1A5E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4E71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rsid w:val="001048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rsid w:val="000253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rsid w:val="00A148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59"/>
    <w:rsid w:val="00A329C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EC48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rsid w:val="00B612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B612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012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3C2F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C26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5F1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8">
    <w:name w:val="Unresolved Mention8"/>
    <w:basedOn w:val="DefaultParagraphFont"/>
    <w:uiPriority w:val="99"/>
    <w:semiHidden/>
    <w:unhideWhenUsed/>
    <w:rsid w:val="004F1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https://www.eesc.europa.eu/fi/our-work/opinions-information-reports/opinions/revision-de-la-directive-relative-au-comite-dentreprise-europeen" TargetMode="External"/><Relationship Id="rId39" Type="http://schemas.openxmlformats.org/officeDocument/2006/relationships/hyperlink" Target="mailto:Adam.Dorywalski@eesc.europa.eu" TargetMode="External"/><Relationship Id="rId21" Type="http://schemas.openxmlformats.org/officeDocument/2006/relationships/hyperlink" Target="mailto:Georgios.Meleas@eesc.europa.eu" TargetMode="External"/><Relationship Id="rId34" Type="http://schemas.openxmlformats.org/officeDocument/2006/relationships/hyperlink" Target="https://www.eesc.europa.eu/fi/our-work/opinions-information-reports/opinions/europes-beating-cancer-plan-driving-forces-security-medical-radioisotopes-supply" TargetMode="External"/><Relationship Id="rId42" Type="http://schemas.openxmlformats.org/officeDocument/2006/relationships/hyperlink" Target="https://www.eesc.europa.eu/fi/our-work/opinions-information-reports/opinions/industrial-and-technological-approaches-and-best-practices-supporting-water-resilient-society" TargetMode="External"/><Relationship Id="rId47" Type="http://schemas.openxmlformats.org/officeDocument/2006/relationships/footer" Target="footer5.xml"/><Relationship Id="rId50" Type="http://schemas.openxmlformats.org/officeDocument/2006/relationships/fontTable" Target="fontTable.xml"/><Relationship Id="rId55" Type="http://schemas.openxmlformats.org/officeDocument/2006/relationships/customXml" Target="../customXml/item4.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mailto:June.Bedaton@eesc.europa.eu" TargetMode="External"/><Relationship Id="rId11" Type="http://schemas.openxmlformats.org/officeDocument/2006/relationships/image" Target="media/image1.jpeg"/><Relationship Id="rId24" Type="http://schemas.openxmlformats.org/officeDocument/2006/relationships/hyperlink" Target="https://www.eesc.europa.eu/fi/our-work/opinions-information-reports/opinions/vaccine-preventable-cancers" TargetMode="External"/><Relationship Id="rId32" Type="http://schemas.openxmlformats.org/officeDocument/2006/relationships/hyperlink" Target="https://www.eesc.europa.eu/fi/our-work/opinions-information-reports/opinions/revision-animal-welfare-legislation" TargetMode="External"/><Relationship Id="rId37" Type="http://schemas.openxmlformats.org/officeDocument/2006/relationships/hyperlink" Target="https://www.eesc.europa.eu/fi/our-work/opinions-information-reports/opinions/drone-manufacturing-industry-case-study-assess-outcome-strategic-sector-different-policies-place-enhance-european" TargetMode="External"/><Relationship Id="rId40" Type="http://schemas.openxmlformats.org/officeDocument/2006/relationships/hyperlink" Target="https://www.eesc.europa.eu/fi/our-work/opinions-information-reports/opinions/european-defence-industrial-strategy" TargetMode="External"/><Relationship Id="rId45" Type="http://schemas.openxmlformats.org/officeDocument/2006/relationships/header" Target="header5.xml"/><Relationship Id="rId53" Type="http://schemas.openxmlformats.org/officeDocument/2006/relationships/customXml" Target="../customXml/item2.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Georgios.Meleas@eesc.europa.eu" TargetMode="External"/><Relationship Id="rId28" Type="http://schemas.openxmlformats.org/officeDocument/2006/relationships/hyperlink" Target="https://www.eesc.europa.eu/fi/our-work/opinions-information-reports/opinions/un-lieu-ou-il-est-exclu-de-hair-une-europe-unie-contre-la-haine" TargetMode="External"/><Relationship Id="rId36" Type="http://schemas.openxmlformats.org/officeDocument/2006/relationships/hyperlink" Target="https://www.eesc.europa.eu/fi/our-work/opinions-information-reports/opinions/european-defence-industry-programme" TargetMode="External"/><Relationship Id="rId49"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Judit.CarrerasGarcia@eesc.europa.eu" TargetMode="External"/><Relationship Id="rId44" Type="http://schemas.openxmlformats.org/officeDocument/2006/relationships/header" Target="header4.xml"/><Relationship Id="rId52"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esc.europa.eu/fi/our-work/opinions-information-reports/opinions/ninth-report-economic-social-and-territorial-cohesion" TargetMode="External"/><Relationship Id="rId27" Type="http://schemas.openxmlformats.org/officeDocument/2006/relationships/hyperlink" Target="mailto:Bartek.Bednarowicz@eesc.europa.eu" TargetMode="External"/><Relationship Id="rId30" Type="http://schemas.openxmlformats.org/officeDocument/2006/relationships/hyperlink" Target="https://www.eesc.europa.eu/fi/our-work/opinions-information-reports/opinions/eu-climate-target-2040" TargetMode="External"/><Relationship Id="rId35" Type="http://schemas.openxmlformats.org/officeDocument/2006/relationships/hyperlink" Target="mailto:Maja.Radman@eesc.europa.eu" TargetMode="External"/><Relationship Id="rId43" Type="http://schemas.openxmlformats.org/officeDocument/2006/relationships/hyperlink" Target="mailto:Heli.Niemela-Farrer@eesc.europa.eu" TargetMode="External"/><Relationship Id="rId48" Type="http://schemas.openxmlformats.org/officeDocument/2006/relationships/header" Target="header6.xml"/><Relationship Id="rId8" Type="http://schemas.openxmlformats.org/officeDocument/2006/relationships/webSettings" Target="webSettings.xml"/><Relationship Id="rId51" Type="http://schemas.openxmlformats.org/officeDocument/2006/relationships/theme" Target="theme/theme1.xml"/><Relationship Id="rId12" Type="http://schemas.openxmlformats.org/officeDocument/2006/relationships/hyperlink" Target="https://www.eesc.europa.eu/fi/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Valeria.Atzori@eesc.europa.eu" TargetMode="External"/><Relationship Id="rId33" Type="http://schemas.openxmlformats.org/officeDocument/2006/relationships/hyperlink" Target="mailto:Arturo.Iniguez@eesc.europa.eu" TargetMode="External"/><Relationship Id="rId38" Type="http://schemas.openxmlformats.org/officeDocument/2006/relationships/hyperlink" Target="https://www.eesc.europa.eu/fi/our-work/opinions-information-reports/opinions/communication-sur-la-gestion-industrielle-du-carbone" TargetMode="External"/><Relationship Id="rId46" Type="http://schemas.openxmlformats.org/officeDocument/2006/relationships/footer" Target="footer4.xml"/><Relationship Id="rId20" Type="http://schemas.openxmlformats.org/officeDocument/2006/relationships/hyperlink" Target="https://www.eesc.europa.eu/fi/our-work/opinions-information-reports/opinions/role-cohesion-policy-upcoming-rounds-eu-enlargement" TargetMode="External"/><Relationship Id="rId41" Type="http://schemas.openxmlformats.org/officeDocument/2006/relationships/hyperlink" Target="mailto:Ioannis.Diamantopoulos@eesc.europa.eu" TargetMode="External"/><Relationship Id="rId54" Type="http://schemas.openxmlformats.org/officeDocument/2006/relationships/customXml" Target="../customXml/item3.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F7M6YNZUATRX-917472228-6201</_dlc_DocId>
    <_dlc_DocIdUrl xmlns="59ace41b-6786-4ce3-be71-52c27066c6ef">
      <Url>http://dm/eesc/2024/_layouts/15/DocIdRedir.aspx?ID=F7M6YNZUATRX-917472228-6201</Url>
      <Description>F7M6YNZUATRX-917472228-6201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2024-06-21T12:00:00+00:00</ProductionDate>
    <DocumentNumber xmlns="14d11ec3-fd82-4994-a217-1a91de9b2d2a">1704</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2024-07-10T12:00:00+00:00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6412</FicheNumber>
    <OriginalSender xmlns="59ace41b-6786-4ce3-be71-52c27066c6ef">
      <UserInfo>
        <DisplayName>Paakkulainen Anna</DisplayName>
        <AccountId>1541</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589</MeetingNumber>
    <DossierName_0 xmlns="http://schemas.microsoft.com/sharepoint/v3/fields">
      <Terms xmlns="http://schemas.microsoft.com/office/infopath/2007/PartnerControls"/>
    </DossierName_0>
    <DocumentVersion xmlns="59ace41b-6786-4ce3-be71-52c27066c6ef">0</DocumentVersion>
  </documentManagement>
</p:properties>
</file>

<file path=customXml/itemProps1.xml><?xml version="1.0" encoding="utf-8"?>
<ds:datastoreItem xmlns:ds="http://schemas.openxmlformats.org/officeDocument/2006/customXml" ds:itemID="{24D480C8-BE9E-4F5A-BB0D-1D68D1A039E6}"/>
</file>

<file path=customXml/itemProps2.xml><?xml version="1.0" encoding="utf-8"?>
<ds:datastoreItem xmlns:ds="http://schemas.openxmlformats.org/officeDocument/2006/customXml" ds:itemID="{38C0881D-0BAF-4A85-BDE7-5663CCEF9A88}"/>
</file>

<file path=customXml/itemProps3.xml><?xml version="1.0" encoding="utf-8"?>
<ds:datastoreItem xmlns:ds="http://schemas.openxmlformats.org/officeDocument/2006/customXml" ds:itemID="{710F8C9F-85FC-46B1-8B99-77688D889398}"/>
</file>

<file path=customXml/itemProps4.xml><?xml version="1.0" encoding="utf-8"?>
<ds:datastoreItem xmlns:ds="http://schemas.openxmlformats.org/officeDocument/2006/customXml" ds:itemID="{7022A408-F030-4AEA-B15A-896838CDBD4F}"/>
</file>

<file path=docProps/app.xml><?xml version="1.0" encoding="utf-8"?>
<Properties xmlns="http://schemas.openxmlformats.org/officeDocument/2006/extended-properties" xmlns:vt="http://schemas.openxmlformats.org/officeDocument/2006/docPropsVTypes">
  <Template>Normal.dotm</Template>
  <TotalTime>0</TotalTime>
  <Pages>19</Pages>
  <Words>5888</Words>
  <Characters>33566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Summary of opinions - 587th plenary session - April 2024</vt:lpstr>
    </vt:vector>
  </TitlesOfParts>
  <Company>CESE-CdR</Company>
  <LinksUpToDate>false</LinksUpToDate>
  <CharactersWithSpaces>39376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Yhteenveto hyväksytyistä lausunnoista - 588. täysistunto - toukokuu 2024</dc:title>
  <dc:subject>TCD</dc:subject>
  <dc:creator>Nieddu Emma</dc:creator>
  <cp:keywords>EESC-2024-01704-00-00-TCD-TRA-EN</cp:keywords>
  <dc:description>Rapporteur:  - Original language: EN - Date of document: 21/06/2024 - Date of meeting: 30/10/2024 14:30 - External documents:  - Administrator: MME TAMASAUSKIENE Julija</dc:description>
  <cp:lastModifiedBy>Paakkulainen Anna</cp:lastModifiedBy>
  <cp:revision>11</cp:revision>
  <cp:lastPrinted>2023-06-15T08:00:00Z</cp:lastPrinted>
  <dcterms:created xsi:type="dcterms:W3CDTF">2024-06-14T14:52:00Z</dcterms:created>
  <dcterms:modified xsi:type="dcterms:W3CDTF">2024-06-21T12:41:00Z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14/06/2024, 17/05/2024, 13/05/2024, 09/04/2024, 27/03/2024, 03/01/2024, 13/11/2023, 25/09/2023, 25/07/2023, 30/06/2023, 23/06/2023, 26/05/2023, 07/03/2023, 11/01/2023, 10/01/2023, 29/03/2022, 04/03/2022, 15/12/2021, 13/09/2021, 03/09/2021, 28/06/2021</vt:lpwstr>
  </property>
  <property fmtid="{D5CDD505-2E9C-101B-9397-08002B2CF9AE}" pid="4" name="Pref_Time">
    <vt:lpwstr>16:44:05, 13:50:35, 15:20:37, 17:11:40, 12:24:19, 15:02:18, 17:01:12, 16:07:19, 11:58:41, 14:00:08, 12:39:02, 15:12:50, 10:27:54, 10:12:15, 11:41:25, 14:21:50, 16:54:06, 17:56:36, 14:13:00, 10:08:10, 08:41:48</vt:lpwstr>
  </property>
  <property fmtid="{D5CDD505-2E9C-101B-9397-08002B2CF9AE}" pid="5" name="Pref_User">
    <vt:lpwstr>pacup, pacup, jhvi, jhvi, pacup, enied, amett, amett, jhvi, pacup, jhvi, pacup, enied, pacup, enied, jhvi, enied, hnic, amett, enied, enied</vt:lpwstr>
  </property>
  <property fmtid="{D5CDD505-2E9C-101B-9397-08002B2CF9AE}" pid="6" name="Pref_FileName">
    <vt:lpwstr>EESC-2024-01704-00-00-TCD-TRA.docx, EESC-2024-01233-00-01-TCD-TRA.docx, eesc-2024-01233-00-00-tcd-ori.docx, EESC-2024-00740-00-01-TCD-ORI.docx, EESC-2024-00740-00-00-TCD-TRA.docx, EESC-2023-04915-00-00-TCD-ORI.docx, EESC-2023-04201-00-00-TCD-ORI.docx, EES</vt:lpwstr>
  </property>
  <property fmtid="{D5CDD505-2E9C-101B-9397-08002B2CF9AE}" pid="7" name="ContentTypeId">
    <vt:lpwstr>0x010100EA97B91038054C99906057A708A1480A00C3F19A95DDE2574C950D6652ED703BFE</vt:lpwstr>
  </property>
  <property fmtid="{D5CDD505-2E9C-101B-9397-08002B2CF9AE}" pid="8" name="_dlc_DocIdItemGuid">
    <vt:lpwstr>f8e47b87-d3c8-4dcf-b99e-a3b6680de3ae</vt:lpwstr>
  </property>
  <property fmtid="{D5CDD505-2E9C-101B-9397-08002B2CF9AE}" pid="9" name="AvailableTranslations">
    <vt:lpwstr>5;#EN|f2175f21-25d7-44a3-96da-d6a61b075e1b;#37;#RO|feb747a2-64cd-4299-af12-4833ddc30497;#31;#NL|55c6556c-b4f4-441d-9acf-c498d4f838bd;#12;#IT|0774613c-01ed-4e5d-a25d-11d2388de825;#21;#SV|c2ed69e7-a339-43d7-8f22-d93680a92aa0;#24;#ES|e7a6b05b-ae16-40c8-add9-68b64b03aeba;#25;#DE|f6b31e5a-26fa-4935-b661-318e46daf27e;#28;#LV|46f7e311-5d9f-4663-b433-18aeccb7ace7;#43;#CS|72f9705b-0217-4fd3-bea2-cbc7ed80e26e;#30;#HR|2f555653-ed1a-4fe6-8362-9082d95989e5;#35;#FI|87606a43-d45f-42d6-b8c9-e1a3457db5b7;#36;#PT|50ccc04a-eadd-42ae-a0cb-acaf45f812ba;#22;#BG|1a1b3951-7821-4e6a-85f5-5673fc08bd2c;#33;#ET|ff6c3f4c-b02c-4c3c-ab07-2c37995a7a0a;#14;#FR|d2afafd3-4c81-4f60-8f52-ee33f2f54ff3;#29;#EL|6d4f4d51-af9b-4650-94b4-4276bee85c91;#16;#DA|5d49c027-8956-412b-aa16-e85a0f96ad0e;#27;#SL|98a412ae-eb01-49e9-ae3d-585a81724cfc;#26;#SK|46d9fce0-ef79-4f71-b89b-cd6aa82426b8;#34;#LT|a7ff5ce7-6123-4f68-865a-a57c31810414;#32;#HU|6b229040-c589-4408-b4c1-4285663d20a8;#17;#PL|1e03da61-4678-4e07-b136-b5024ca9197b</vt:lpwstr>
  </property>
  <property fmtid="{D5CDD505-2E9C-101B-9397-08002B2CF9AE}" pid="10" name="DocumentType_0">
    <vt:lpwstr>TCD|cd9d6eb6-3f4f-424a-b2d1-57c9d450eaaf</vt:lpwstr>
  </property>
  <property fmtid="{D5CDD505-2E9C-101B-9397-08002B2CF9AE}" pid="11" name="MeetingNumber">
    <vt:i4>589</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1704</vt:i4>
  </property>
  <property fmtid="{D5CDD505-2E9C-101B-9397-08002B2CF9AE}" pid="15" name="DocumentVersion">
    <vt:i4>0</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2024-07-10T12:00:00Z</vt:filetime>
  </property>
  <property fmtid="{D5CDD505-2E9C-101B-9397-08002B2CF9AE}" pid="29" name="AvailableTranslations_0">
    <vt:lpwstr>EN|f2175f21-25d7-44a3-96da-d6a61b075e1b;NL|55c6556c-b4f4-441d-9acf-c498d4f838bd;IT|0774613c-01ed-4e5d-a25d-11d2388de825;SV|c2ed69e7-a339-43d7-8f22-d93680a92aa0;ES|e7a6b05b-ae16-40c8-add9-68b64b03aeba;DE|f6b31e5a-26fa-4935-b661-318e46daf27e;LV|46f7e311-5d9f-4663-b433-18aeccb7ace7;CS|72f9705b-0217-4fd3-bea2-cbc7ed80e26e;HR|2f555653-ed1a-4fe6-8362-9082d95989e5;PT|50ccc04a-eadd-42ae-a0cb-acaf45f812ba;ET|ff6c3f4c-b02c-4c3c-ab07-2c37995a7a0a;FR|d2afafd3-4c81-4f60-8f52-ee33f2f54ff3;EL|6d4f4d51-af9b-4650-94b4-4276bee85c91;DA|5d49c027-8956-412b-aa16-e85a0f96ad0e;SL|98a412ae-eb01-49e9-ae3d-585a81724cfc;SK|46d9fce0-ef79-4f71-b89b-cd6aa82426b8;LT|a7ff5ce7-6123-4f68-865a-a57c31810414;HU|6b229040-c589-4408-b4c1-4285663d20a8;PL|1e03da61-4678-4e07-b136-b5024ca9197b</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PT|50ccc04a-eadd-42ae-a0cb-acaf45f812ba;#34;#LT|a7ff5ce7-6123-4f68-865a-a57c31810414;#33;#ET|ff6c3f4c-b02c-4c3c-ab07-2c37995a7a0a;#32;#HU|6b229040-c589-4408-b4c1-4285663d20a8;#31;#NL|55c6556c-b4f4-441d-9acf-c498d4f838bd;#43;#CS|72f9705b-0217-4fd3-bea2-cbc7ed80e26e;#29;#EL|6d4f4d51-af9b-4650-94b4-4276bee85c91;#28;#LV|46f7e311-5d9f-4663-b433-18aeccb7ace7;#27;#SL|98a412ae-eb01-49e9-ae3d-585a81724cfc;#26;#SK|46d9fce0-ef79-4f71-b89b-cd6aa82426b8;#25;#DE|f6b31e5a-26fa-4935-b661-318e46daf27e;#24;#ES|e7a6b05b-ae16-40c8-add9-68b64b03aeba;#21;#SV|c2ed69e7-a339-43d7-8f22-d93680a92aa0;#17;#PL|1e03da61-4678-4e07-b136-b5024ca9197b;#16;#DA|5d49c027-8956-412b-aa16-e85a0f96ad0e;#14;#FR|d2afafd3-4c81-4f60-8f52-ee33f2f54ff3;#13;#TCD|cd9d6eb6-3f4f-424a-b2d1-57c9d450eaaf;#12;#IT|0774613c-01ed-4e5d-a25d-11d2388de825;#8;#Final|ea5e6674-7b27-4bac-b091-73adbb394efe;#7;#SPL-CES|32d8cb1f-c9ec-4365-95c7-8385a18618ac;#6;#Unrestricted|826e22d7-d029-4ec0-a450-0c28ff673572;#5;#EN|f2175f21-25d7-44a3-96da-d6a61b075e1b;#3;#TRA|150d2a88-1431-44e6-a8ca-0bb753ab8672;#1;#EESC|422833ec-8d7e-4e65-8e4e-8bed07ffb729;#30;#HR|2f555653-ed1a-4fe6-8362-9082d95989e5</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6412</vt:i4>
  </property>
  <property fmtid="{D5CDD505-2E9C-101B-9397-08002B2CF9AE}" pid="37" name="DocumentLanguage">
    <vt:lpwstr>35;#FI|87606a43-d45f-42d6-b8c9-e1a3457db5b7</vt:lpwstr>
  </property>
</Properties>
</file>