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C866D0" w14:paraId="785AE44C" w14:textId="30F67E8F">
      <w:pPr>
        <w:jc w:val="center"/>
      </w:pPr>
      <w:r>
        <w:rPr>
          <w:noProof/>
        </w:rPr>
        <w:drawing>
          <wp:inline distT="0" distB="0" distL="0" distR="0" wp14:anchorId="0E99EA81" wp14:editId="6B0EC708">
            <wp:extent cx="1792605" cy="1239520"/>
            <wp:effectExtent l="0" t="0" r="0" b="0"/>
            <wp:docPr id="2" name="Picture 2" title="EESCLogo_ES"/>
            <wp:cNvGraphicFramePr/>
            <a:graphic xmlns:a="http://schemas.openxmlformats.org/drawingml/2006/main">
              <a:graphicData uri="http://schemas.openxmlformats.org/drawingml/2006/picture">
                <pic:pic xmlns:pic="http://schemas.openxmlformats.org/drawingml/2006/picture">
                  <pic:nvPicPr>
                    <pic:cNvPr id="2" name="Picture 2" title="EESCLogo_E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6704" behindDoc="1" locked="0" layoutInCell="0" allowOverlap="1" wp14:editId="7B620924"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ES</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3DA65CCD">
      <w:pPr>
        <w:jc w:val="right"/>
      </w:pPr>
      <w:r>
        <w:t>Bruselas, 21 de junio de 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073"/>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324300EF">
            <w:pPr>
              <w:snapToGrid w:val="0"/>
              <w:jc w:val="center"/>
              <w:rPr>
                <w:b/>
                <w:sz w:val="32"/>
              </w:rPr>
            </w:pPr>
            <w:r>
              <w:rPr>
                <w:b/>
                <w:sz w:val="32"/>
              </w:rPr>
              <w:t>588.º PLENO</w:t>
            </w:r>
          </w:p>
          <w:p w:rsidRPr="00094B6B" w:rsidR="001760E9" w:rsidP="00775FC4" w:rsidRDefault="001760E9" w14:paraId="6C87A626" w14:textId="0AE2882C">
            <w:pPr>
              <w:snapToGrid w:val="0"/>
              <w:jc w:val="center"/>
              <w:rPr>
                <w:b/>
                <w:sz w:val="32"/>
              </w:rPr>
            </w:pPr>
          </w:p>
          <w:p w:rsidRPr="00094B6B" w:rsidR="001760E9" w:rsidP="00775FC4" w:rsidRDefault="005E7838" w14:paraId="6CF7229C" w14:textId="287F4AF2">
            <w:pPr>
              <w:snapToGrid w:val="0"/>
              <w:jc w:val="center"/>
              <w:rPr>
                <w:b/>
                <w:sz w:val="32"/>
              </w:rPr>
            </w:pPr>
            <w:r>
              <w:rPr>
                <w:b/>
                <w:sz w:val="32"/>
              </w:rPr>
              <w:t>30 y 31 de mayo de 2024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5E96BA78">
            <w:pPr>
              <w:snapToGrid w:val="0"/>
              <w:jc w:val="center"/>
              <w:rPr>
                <w:rFonts w:eastAsia="MS Mincho"/>
                <w:b/>
                <w:sz w:val="32"/>
                <w:szCs w:val="32"/>
              </w:rPr>
            </w:pPr>
            <w:r>
              <w:rPr>
                <w:b/>
                <w:sz w:val="32"/>
              </w:rPr>
              <w:t>SÍNTESIS DE LOS DICTÁMENES Y RESOLUCIONES APROBADOS Y DE LOS INFORM</w:t>
            </w:r>
            <w:r w:rsidR="00E10DAB">
              <w:rPr>
                <w:b/>
                <w:sz w:val="32"/>
              </w:rPr>
              <w:t>E</w:t>
            </w:r>
            <w:r>
              <w:rPr>
                <w:b/>
                <w:sz w:val="32"/>
              </w:rPr>
              <w:t>S DE EVALUACIÓN</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Este documento puede consultarse en todas las lenguas oficiales de la Unión Europea en el sitio internet del CESE en la siguiente dirección:</w:t>
            </w:r>
          </w:p>
          <w:p w:rsidRPr="00094B6B" w:rsidR="00B16284" w:rsidP="00775FC4" w:rsidRDefault="00B16284" w14:paraId="4F26A4CE" w14:textId="77777777">
            <w:pPr>
              <w:snapToGrid w:val="0"/>
              <w:jc w:val="center"/>
            </w:pPr>
          </w:p>
          <w:p w:rsidRPr="00094B6B" w:rsidR="004D7AC0" w:rsidP="00775FC4" w:rsidRDefault="00EC7E2B" w14:paraId="2A9352A2" w14:textId="0680ADB6">
            <w:pPr>
              <w:snapToGrid w:val="0"/>
              <w:jc w:val="center"/>
            </w:pPr>
            <w:hyperlink w:history="1" r:id="rId12">
              <w:r w:rsidR="00C866D0">
                <w:rPr>
                  <w:rStyle w:val="Hyperlink"/>
                  <w:highlight w:val="yellow"/>
                </w:rPr>
                <w:t>https://www.eesc.europa.eu/en/our-work/opinions-information-reports/plenary-session-summaries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 xml:space="preserve">Los dictámenes mencionados pueden consultarse en línea </w:t>
            </w:r>
            <w:r>
              <w:br/>
              <w:t>utilizando el motor de búsqueda del CESE:</w:t>
            </w:r>
          </w:p>
          <w:p w:rsidRPr="00094B6B" w:rsidR="00B16284" w:rsidP="00775FC4" w:rsidRDefault="00B16284" w14:paraId="7A5411A5" w14:textId="77777777">
            <w:pPr>
              <w:snapToGrid w:val="0"/>
              <w:jc w:val="center"/>
            </w:pPr>
          </w:p>
          <w:p w:rsidRPr="00094B6B" w:rsidR="004D7AC0" w:rsidP="00775FC4" w:rsidRDefault="00EC7E2B" w14:paraId="441AC4DD" w14:textId="1194D751">
            <w:pPr>
              <w:snapToGrid w:val="0"/>
              <w:jc w:val="center"/>
            </w:pPr>
            <w:hyperlink w:history="1" r:id="rId13">
              <w:r w:rsidR="00C866D0">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5C28F2">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E31152"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lastRenderedPageBreak/>
        <w:t>Índice:</w:t>
      </w:r>
    </w:p>
    <w:p w:rsidR="00375E65" w:rsidRDefault="008772F9" w14:paraId="6A98B96F" w14:textId="04F8C987">
      <w:pPr>
        <w:pStyle w:val="TOC1"/>
        <w:rPr>
          <w:rFonts w:asciiTheme="minorHAnsi" w:hAnsiTheme="minorHAnsi" w:eastAsiaTheme="minorEastAsia" w:cstheme="minorBidi"/>
          <w:bCs w:val="0"/>
          <w:sz w:val="22"/>
          <w:szCs w:val="22"/>
        </w:rPr>
      </w:pPr>
      <w:r>
        <w:fldChar w:fldCharType="begin"/>
      </w:r>
      <w:r>
        <w:instrText xml:space="preserve"> TOC \o "1-1" \h \z \u </w:instrText>
      </w:r>
      <w:r>
        <w:fldChar w:fldCharType="separate"/>
      </w:r>
      <w:hyperlink w:history="1" w:anchor="_Toc168332490">
        <w:r w:rsidRPr="007A7551" w:rsidR="00375E65">
          <w:rPr>
            <w:rStyle w:val="Hyperlink"/>
            <w14:scene3d>
              <w14:camera w14:prst="orthographicFront"/>
              <w14:lightRig w14:rig="threePt" w14:dir="t">
                <w14:rot w14:lat="0" w14:lon="0" w14:rev="0"/>
              </w14:lightRig>
            </w14:scene3d>
          </w:rPr>
          <w:t>1.</w:t>
        </w:r>
        <w:r w:rsidR="00375E65">
          <w:rPr>
            <w:rFonts w:asciiTheme="minorHAnsi" w:hAnsiTheme="minorHAnsi" w:eastAsiaTheme="minorEastAsia" w:cstheme="minorBidi"/>
            <w:sz w:val="22"/>
          </w:rPr>
          <w:tab/>
        </w:r>
        <w:r w:rsidRPr="007A7551" w:rsidR="00375E65">
          <w:rPr>
            <w:rStyle w:val="Hyperlink"/>
            <w:b/>
          </w:rPr>
          <w:t>ECONOMIC AND MONETARY UNION, ECONOMIC AND SOCIAL COHESION</w:t>
        </w:r>
        <w:r w:rsidR="00375E65">
          <w:rPr>
            <w:webHidden/>
          </w:rPr>
          <w:tab/>
        </w:r>
        <w:r w:rsidR="00375E65">
          <w:rPr>
            <w:webHidden/>
          </w:rPr>
          <w:fldChar w:fldCharType="begin"/>
        </w:r>
        <w:r w:rsidR="00375E65">
          <w:rPr>
            <w:webHidden/>
          </w:rPr>
          <w:instrText xml:space="preserve"> PAGEREF _Toc168332490 \h </w:instrText>
        </w:r>
        <w:r w:rsidR="00375E65">
          <w:rPr>
            <w:webHidden/>
          </w:rPr>
        </w:r>
        <w:r w:rsidR="00375E65">
          <w:rPr>
            <w:webHidden/>
          </w:rPr>
          <w:fldChar w:fldCharType="separate"/>
        </w:r>
        <w:r w:rsidR="005C28F2">
          <w:rPr>
            <w:webHidden/>
          </w:rPr>
          <w:t>3</w:t>
        </w:r>
        <w:r w:rsidR="00375E65">
          <w:rPr>
            <w:webHidden/>
          </w:rPr>
          <w:fldChar w:fldCharType="end"/>
        </w:r>
      </w:hyperlink>
    </w:p>
    <w:p w:rsidR="00375E65" w:rsidRDefault="00EC7E2B" w14:paraId="000EB4EA" w14:textId="5732D0BC">
      <w:pPr>
        <w:pStyle w:val="TOC1"/>
        <w:rPr>
          <w:rFonts w:asciiTheme="minorHAnsi" w:hAnsiTheme="minorHAnsi" w:eastAsiaTheme="minorEastAsia" w:cstheme="minorBidi"/>
          <w:sz w:val="22"/>
        </w:rPr>
      </w:pPr>
      <w:hyperlink w:history="1" w:anchor="_Toc168332491">
        <w:r w:rsidRPr="007A7551" w:rsidR="00375E65">
          <w:rPr>
            <w:rStyle w:val="Hyperlink"/>
            <w14:scene3d>
              <w14:camera w14:prst="orthographicFront"/>
              <w14:lightRig w14:rig="threePt" w14:dir="t">
                <w14:rot w14:lat="0" w14:lon="0" w14:rev="0"/>
              </w14:lightRig>
            </w14:scene3d>
          </w:rPr>
          <w:t>2.</w:t>
        </w:r>
        <w:r w:rsidR="00375E65">
          <w:rPr>
            <w:rFonts w:asciiTheme="minorHAnsi" w:hAnsiTheme="minorHAnsi" w:eastAsiaTheme="minorEastAsia" w:cstheme="minorBidi"/>
            <w:sz w:val="22"/>
          </w:rPr>
          <w:tab/>
        </w:r>
        <w:r w:rsidRPr="007A7551" w:rsidR="00375E65">
          <w:rPr>
            <w:rStyle w:val="Hyperlink"/>
            <w:b/>
          </w:rPr>
          <w:t>EMPLOYMENT, SOCIAL AFFAIRS AND CITIZENSHIP</w:t>
        </w:r>
        <w:r w:rsidR="00375E65">
          <w:rPr>
            <w:webHidden/>
          </w:rPr>
          <w:tab/>
        </w:r>
        <w:r w:rsidR="00375E65">
          <w:rPr>
            <w:webHidden/>
          </w:rPr>
          <w:fldChar w:fldCharType="begin"/>
        </w:r>
        <w:r w:rsidR="00375E65">
          <w:rPr>
            <w:webHidden/>
          </w:rPr>
          <w:instrText xml:space="preserve"> PAGEREF _Toc168332491 \h </w:instrText>
        </w:r>
        <w:r w:rsidR="00375E65">
          <w:rPr>
            <w:webHidden/>
          </w:rPr>
        </w:r>
        <w:r w:rsidR="00375E65">
          <w:rPr>
            <w:webHidden/>
          </w:rPr>
          <w:fldChar w:fldCharType="separate"/>
        </w:r>
        <w:r w:rsidR="005C28F2">
          <w:rPr>
            <w:webHidden/>
          </w:rPr>
          <w:t>7</w:t>
        </w:r>
        <w:r w:rsidR="00375E65">
          <w:rPr>
            <w:webHidden/>
          </w:rPr>
          <w:fldChar w:fldCharType="end"/>
        </w:r>
      </w:hyperlink>
    </w:p>
    <w:p w:rsidR="00375E65" w:rsidRDefault="00EC7E2B" w14:paraId="4F3F2376" w14:textId="7422A9F4">
      <w:pPr>
        <w:pStyle w:val="TOC1"/>
        <w:rPr>
          <w:rFonts w:asciiTheme="minorHAnsi" w:hAnsiTheme="minorHAnsi" w:eastAsiaTheme="minorEastAsia" w:cstheme="minorBidi"/>
          <w:sz w:val="22"/>
        </w:rPr>
      </w:pPr>
      <w:hyperlink w:history="1" w:anchor="_Toc168332492">
        <w:r w:rsidRPr="007A7551" w:rsidR="00375E65">
          <w:rPr>
            <w:rStyle w:val="Hyperlink"/>
            <w14:scene3d>
              <w14:camera w14:prst="orthographicFront"/>
              <w14:lightRig w14:rig="threePt" w14:dir="t">
                <w14:rot w14:lat="0" w14:lon="0" w14:rev="0"/>
              </w14:lightRig>
            </w14:scene3d>
          </w:rPr>
          <w:t>3.</w:t>
        </w:r>
        <w:r w:rsidR="00375E65">
          <w:rPr>
            <w:rFonts w:asciiTheme="minorHAnsi" w:hAnsiTheme="minorHAnsi" w:eastAsiaTheme="minorEastAsia" w:cstheme="minorBidi"/>
            <w:sz w:val="22"/>
          </w:rPr>
          <w:tab/>
        </w:r>
        <w:r w:rsidRPr="007A7551" w:rsidR="00375E65">
          <w:rPr>
            <w:rStyle w:val="Hyperlink"/>
            <w:b/>
          </w:rPr>
          <w:t>AGRICULTURE, RURAL DEVELOPMENT AND THE ENVIRONMENT</w:t>
        </w:r>
        <w:r w:rsidR="00375E65">
          <w:rPr>
            <w:webHidden/>
          </w:rPr>
          <w:tab/>
        </w:r>
        <w:r w:rsidR="00375E65">
          <w:rPr>
            <w:webHidden/>
          </w:rPr>
          <w:fldChar w:fldCharType="begin"/>
        </w:r>
        <w:r w:rsidR="00375E65">
          <w:rPr>
            <w:webHidden/>
          </w:rPr>
          <w:instrText xml:space="preserve"> PAGEREF _Toc168332492 \h </w:instrText>
        </w:r>
        <w:r w:rsidR="00375E65">
          <w:rPr>
            <w:webHidden/>
          </w:rPr>
        </w:r>
        <w:r w:rsidR="00375E65">
          <w:rPr>
            <w:webHidden/>
          </w:rPr>
          <w:fldChar w:fldCharType="separate"/>
        </w:r>
        <w:r w:rsidR="005C28F2">
          <w:rPr>
            <w:webHidden/>
          </w:rPr>
          <w:t>10</w:t>
        </w:r>
        <w:r w:rsidR="00375E65">
          <w:rPr>
            <w:webHidden/>
          </w:rPr>
          <w:fldChar w:fldCharType="end"/>
        </w:r>
      </w:hyperlink>
    </w:p>
    <w:p w:rsidR="00375E65" w:rsidRDefault="00EC7E2B" w14:paraId="44405763" w14:textId="3476120C">
      <w:pPr>
        <w:pStyle w:val="TOC1"/>
        <w:rPr>
          <w:rFonts w:asciiTheme="minorHAnsi" w:hAnsiTheme="minorHAnsi" w:eastAsiaTheme="minorEastAsia" w:cstheme="minorBidi"/>
          <w:sz w:val="22"/>
        </w:rPr>
      </w:pPr>
      <w:hyperlink w:history="1" w:anchor="_Toc168332493">
        <w:r w:rsidRPr="007A7551" w:rsidR="00375E65">
          <w:rPr>
            <w:rStyle w:val="Hyperlink"/>
            <w14:scene3d>
              <w14:camera w14:prst="orthographicFront"/>
              <w14:lightRig w14:rig="threePt" w14:dir="t">
                <w14:rot w14:lat="0" w14:lon="0" w14:rev="0"/>
              </w14:lightRig>
            </w14:scene3d>
          </w:rPr>
          <w:t>4.</w:t>
        </w:r>
        <w:r w:rsidR="00375E65">
          <w:rPr>
            <w:rFonts w:asciiTheme="minorHAnsi" w:hAnsiTheme="minorHAnsi" w:eastAsiaTheme="minorEastAsia" w:cstheme="minorBidi"/>
            <w:sz w:val="22"/>
          </w:rPr>
          <w:tab/>
        </w:r>
        <w:r w:rsidRPr="007A7551" w:rsidR="00375E65">
          <w:rPr>
            <w:rStyle w:val="Hyperlink"/>
            <w:b/>
          </w:rPr>
          <w:t>TRANSPORT, ENERGY, INFRASTRUCTURE AND THE INFORMATION SOCIETY</w:t>
        </w:r>
        <w:r w:rsidR="00375E65">
          <w:rPr>
            <w:webHidden/>
          </w:rPr>
          <w:tab/>
        </w:r>
        <w:r w:rsidR="00375E65">
          <w:rPr>
            <w:webHidden/>
          </w:rPr>
          <w:fldChar w:fldCharType="begin"/>
        </w:r>
        <w:r w:rsidR="00375E65">
          <w:rPr>
            <w:webHidden/>
          </w:rPr>
          <w:instrText xml:space="preserve"> PAGEREF _Toc168332493 \h </w:instrText>
        </w:r>
        <w:r w:rsidR="00375E65">
          <w:rPr>
            <w:webHidden/>
          </w:rPr>
        </w:r>
        <w:r w:rsidR="00375E65">
          <w:rPr>
            <w:webHidden/>
          </w:rPr>
          <w:fldChar w:fldCharType="separate"/>
        </w:r>
        <w:r w:rsidR="005C28F2">
          <w:rPr>
            <w:webHidden/>
          </w:rPr>
          <w:t>13</w:t>
        </w:r>
        <w:r w:rsidR="00375E65">
          <w:rPr>
            <w:webHidden/>
          </w:rPr>
          <w:fldChar w:fldCharType="end"/>
        </w:r>
      </w:hyperlink>
    </w:p>
    <w:p w:rsidR="00375E65" w:rsidRDefault="00EC7E2B" w14:paraId="73653931" w14:textId="648D7745">
      <w:pPr>
        <w:pStyle w:val="TOC1"/>
        <w:rPr>
          <w:rFonts w:asciiTheme="minorHAnsi" w:hAnsiTheme="minorHAnsi" w:eastAsiaTheme="minorEastAsia" w:cstheme="minorBidi"/>
          <w:sz w:val="22"/>
        </w:rPr>
      </w:pPr>
      <w:hyperlink w:history="1" w:anchor="_Toc168332494">
        <w:r w:rsidRPr="007A7551" w:rsidR="00375E65">
          <w:rPr>
            <w:rStyle w:val="Hyperlink"/>
            <w14:scene3d>
              <w14:camera w14:prst="orthographicFront"/>
              <w14:lightRig w14:rig="threePt" w14:dir="t">
                <w14:rot w14:lat="0" w14:lon="0" w14:rev="0"/>
              </w14:lightRig>
            </w14:scene3d>
          </w:rPr>
          <w:t>5.</w:t>
        </w:r>
        <w:r w:rsidR="00375E65">
          <w:rPr>
            <w:rFonts w:asciiTheme="minorHAnsi" w:hAnsiTheme="minorHAnsi" w:eastAsiaTheme="minorEastAsia" w:cstheme="minorBidi"/>
            <w:sz w:val="22"/>
          </w:rPr>
          <w:tab/>
        </w:r>
        <w:r w:rsidRPr="007A7551" w:rsidR="00375E65">
          <w:rPr>
            <w:rStyle w:val="Hyperlink"/>
            <w:b/>
          </w:rPr>
          <w:t>CONSULTATIVE COMMISSION ON INDUSTRIAL CHANGE</w:t>
        </w:r>
        <w:r w:rsidR="00375E65">
          <w:rPr>
            <w:webHidden/>
          </w:rPr>
          <w:tab/>
        </w:r>
        <w:r w:rsidR="00375E65">
          <w:rPr>
            <w:webHidden/>
          </w:rPr>
          <w:fldChar w:fldCharType="begin"/>
        </w:r>
        <w:r w:rsidR="00375E65">
          <w:rPr>
            <w:webHidden/>
          </w:rPr>
          <w:instrText xml:space="preserve"> PAGEREF _Toc168332494 \h </w:instrText>
        </w:r>
        <w:r w:rsidR="00375E65">
          <w:rPr>
            <w:webHidden/>
          </w:rPr>
        </w:r>
        <w:r w:rsidR="00375E65">
          <w:rPr>
            <w:webHidden/>
          </w:rPr>
          <w:fldChar w:fldCharType="separate"/>
        </w:r>
        <w:r w:rsidR="005C28F2">
          <w:rPr>
            <w:webHidden/>
          </w:rPr>
          <w:t>14</w:t>
        </w:r>
        <w:r w:rsidR="00375E65">
          <w:rPr>
            <w:webHidden/>
          </w:rPr>
          <w:fldChar w:fldCharType="end"/>
        </w:r>
      </w:hyperlink>
    </w:p>
    <w:p w:rsidR="00C86ABD" w:rsidRDefault="008772F9" w14:paraId="4EDE006A" w14:textId="0D5010E7">
      <w:pPr>
        <w:jc w:val="left"/>
      </w:pPr>
      <w:r>
        <w:fldChar w:fldCharType="end"/>
      </w:r>
      <w:r>
        <w:br w:type="page"/>
      </w:r>
    </w:p>
    <w:p w:rsidRPr="00EE2FBD" w:rsidR="0038273B" w:rsidP="00770F41" w:rsidRDefault="0038273B" w14:paraId="62CE6920" w14:textId="4AB21D19">
      <w:pPr>
        <w:pStyle w:val="Heading1"/>
        <w:tabs>
          <w:tab w:val="clear" w:pos="440"/>
          <w:tab w:val="left" w:pos="567"/>
        </w:tabs>
        <w:ind w:left="567" w:hanging="567"/>
        <w:rPr>
          <w:b/>
          <w:bCs/>
        </w:rPr>
      </w:pPr>
      <w:bookmarkStart w:name="_Toc168332490" w:id="0"/>
      <w:r>
        <w:rPr>
          <w:b/>
        </w:rPr>
        <w:lastRenderedPageBreak/>
        <w:t>UNIÓN ECONÓMICA Y MONETARIA Y COHESIÓN ECONÓMICA Y SOCIAL</w:t>
      </w:r>
      <w:bookmarkEnd w:id="0"/>
    </w:p>
    <w:p w:rsidR="00105700" w:rsidP="00770F41" w:rsidRDefault="00105700" w14:paraId="72AAE541" w14:textId="7B9D6C9D">
      <w:pPr>
        <w:tabs>
          <w:tab w:val="center" w:pos="284"/>
        </w:tabs>
        <w:overflowPunct w:val="0"/>
        <w:autoSpaceDE w:val="0"/>
        <w:autoSpaceDN w:val="0"/>
        <w:adjustRightInd w:val="0"/>
        <w:ind w:left="266" w:hanging="266"/>
        <w:textAlignment w:val="baseline"/>
        <w:rPr>
          <w:b/>
          <w:sz w:val="24"/>
          <w:szCs w:val="24"/>
        </w:rPr>
      </w:pPr>
    </w:p>
    <w:p w:rsidR="006C19F4" w:rsidP="00770F41" w:rsidRDefault="006C19F4" w14:paraId="615CB201" w14:textId="46FEF5A0">
      <w:pPr>
        <w:tabs>
          <w:tab w:val="center" w:pos="284"/>
        </w:tabs>
        <w:overflowPunct w:val="0"/>
        <w:autoSpaceDE w:val="0"/>
        <w:autoSpaceDN w:val="0"/>
        <w:adjustRightInd w:val="0"/>
        <w:ind w:left="266" w:hanging="266"/>
        <w:textAlignment w:val="baseline"/>
        <w:rPr>
          <w:b/>
          <w:sz w:val="24"/>
          <w:szCs w:val="24"/>
        </w:rPr>
      </w:pPr>
    </w:p>
    <w:p w:rsidRPr="00DC0FAE" w:rsidR="006C19F4" w:rsidP="00C26C81" w:rsidRDefault="00EC7E2B" w14:paraId="3A82A886" w14:textId="11A0A9D6">
      <w:pPr>
        <w:widowControl w:val="0"/>
        <w:numPr>
          <w:ilvl w:val="0"/>
          <w:numId w:val="7"/>
        </w:numPr>
        <w:overflowPunct w:val="0"/>
        <w:autoSpaceDE w:val="0"/>
        <w:autoSpaceDN w:val="0"/>
        <w:adjustRightInd w:val="0"/>
        <w:spacing w:after="120"/>
        <w:ind w:hanging="567"/>
        <w:textAlignment w:val="baseline"/>
        <w:rPr>
          <w:b/>
          <w:i/>
          <w:iCs/>
          <w:sz w:val="28"/>
          <w:szCs w:val="28"/>
        </w:rPr>
      </w:pPr>
      <w:hyperlink w:history="1" r:id="rId20">
        <w:r w:rsidR="00C866D0">
          <w:rPr>
            <w:b/>
            <w:i/>
            <w:color w:val="0000FF"/>
            <w:sz w:val="28"/>
            <w:u w:val="single"/>
          </w:rPr>
          <w:t>El papel de la política de cohesión en las próximas rondas de ampliación de la UE</w:t>
        </w:r>
      </w:hyperlink>
    </w:p>
    <w:p w:rsidRPr="006C19F4" w:rsidR="00190D28" w:rsidP="00DC0FAE" w:rsidRDefault="00190D28" w14:paraId="647D4419" w14:textId="77777777">
      <w:pPr>
        <w:widowControl w:val="0"/>
        <w:overflowPunct w:val="0"/>
        <w:autoSpaceDE w:val="0"/>
        <w:autoSpaceDN w:val="0"/>
        <w:adjustRightInd w:val="0"/>
        <w:spacing w:after="120"/>
        <w:ind w:left="284"/>
        <w:textAlignment w:val="baseline"/>
        <w:rPr>
          <w:b/>
          <w:i/>
          <w:iCs/>
          <w:sz w:val="28"/>
          <w:szCs w:val="28"/>
        </w:rPr>
      </w:pPr>
    </w:p>
    <w:tbl>
      <w:tblPr>
        <w:tblStyle w:val="TableGrid212"/>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621"/>
      </w:tblGrid>
      <w:tr w:rsidRPr="006C19F4" w:rsidR="006C19F4" w:rsidTr="00FE3058" w14:paraId="7BA389F8" w14:textId="77777777">
        <w:tc>
          <w:tcPr>
            <w:tcW w:w="1701" w:type="dxa"/>
          </w:tcPr>
          <w:p w:rsidRPr="006C19F4" w:rsidR="006C19F4" w:rsidP="006C19F4" w:rsidRDefault="006C19F4" w14:paraId="4187F6BE" w14:textId="77777777">
            <w:pPr>
              <w:tabs>
                <w:tab w:val="center" w:pos="284"/>
              </w:tabs>
              <w:overflowPunct w:val="0"/>
              <w:autoSpaceDE w:val="0"/>
              <w:autoSpaceDN w:val="0"/>
              <w:adjustRightInd w:val="0"/>
              <w:ind w:left="266" w:hanging="266"/>
              <w:textAlignment w:val="baseline"/>
              <w:rPr>
                <w:b/>
              </w:rPr>
            </w:pPr>
            <w:r>
              <w:rPr>
                <w:b/>
              </w:rPr>
              <w:t>Ponente</w:t>
            </w:r>
          </w:p>
        </w:tc>
        <w:tc>
          <w:tcPr>
            <w:tcW w:w="7621" w:type="dxa"/>
          </w:tcPr>
          <w:p w:rsidRPr="006C19F4" w:rsidR="006C19F4" w:rsidP="006C19F4" w:rsidRDefault="006C19F4" w14:paraId="1811BD9A" w14:textId="77777777">
            <w:pPr>
              <w:tabs>
                <w:tab w:val="center" w:pos="284"/>
              </w:tabs>
              <w:overflowPunct w:val="0"/>
              <w:autoSpaceDE w:val="0"/>
              <w:autoSpaceDN w:val="0"/>
              <w:adjustRightInd w:val="0"/>
              <w:ind w:left="266" w:hanging="266"/>
              <w:textAlignment w:val="baseline"/>
              <w:rPr>
                <w:bCs/>
              </w:rPr>
            </w:pPr>
            <w:r>
              <w:t>María del Carmen BARRERA CHAMORRO (Grupo de Trabajadores - ES)</w:t>
            </w:r>
          </w:p>
        </w:tc>
      </w:tr>
      <w:tr w:rsidRPr="006C19F4" w:rsidR="006C19F4" w:rsidTr="00FE3058" w14:paraId="73869A75" w14:textId="77777777">
        <w:tc>
          <w:tcPr>
            <w:tcW w:w="9322" w:type="dxa"/>
            <w:gridSpan w:val="2"/>
          </w:tcPr>
          <w:p w:rsidRPr="006C19F4" w:rsidR="006C19F4" w:rsidP="006C19F4" w:rsidRDefault="006C19F4" w14:paraId="4BF0E4CE" w14:textId="77777777">
            <w:pPr>
              <w:tabs>
                <w:tab w:val="center" w:pos="284"/>
              </w:tabs>
              <w:overflowPunct w:val="0"/>
              <w:autoSpaceDE w:val="0"/>
              <w:autoSpaceDN w:val="0"/>
              <w:adjustRightInd w:val="0"/>
              <w:spacing w:line="160" w:lineRule="exact"/>
              <w:ind w:left="266" w:hanging="266"/>
              <w:textAlignment w:val="baseline"/>
            </w:pPr>
          </w:p>
        </w:tc>
      </w:tr>
      <w:tr w:rsidRPr="006C19F4" w:rsidR="006C19F4" w:rsidTr="00FE3058" w14:paraId="232B8808" w14:textId="77777777">
        <w:tc>
          <w:tcPr>
            <w:tcW w:w="1701" w:type="dxa"/>
          </w:tcPr>
          <w:p w:rsidRPr="006C19F4" w:rsidR="006C19F4" w:rsidP="006C19F4" w:rsidRDefault="006C19F4" w14:paraId="0DE082BA" w14:textId="77777777">
            <w:pPr>
              <w:tabs>
                <w:tab w:val="center" w:pos="284"/>
              </w:tabs>
              <w:overflowPunct w:val="0"/>
              <w:autoSpaceDE w:val="0"/>
              <w:autoSpaceDN w:val="0"/>
              <w:adjustRightInd w:val="0"/>
              <w:ind w:left="266" w:hanging="266"/>
              <w:textAlignment w:val="baseline"/>
              <w:rPr>
                <w:b/>
              </w:rPr>
            </w:pPr>
            <w:r>
              <w:rPr>
                <w:b/>
              </w:rPr>
              <w:t>Referencias</w:t>
            </w:r>
          </w:p>
        </w:tc>
        <w:tc>
          <w:tcPr>
            <w:tcW w:w="7621" w:type="dxa"/>
          </w:tcPr>
          <w:p w:rsidRPr="00DC0FAE" w:rsidR="00ED5F1D" w:rsidP="00ED5F1D" w:rsidRDefault="00ED5F1D" w14:paraId="6C26CE56" w14:textId="7EC335DB">
            <w:pPr>
              <w:pStyle w:val="Default"/>
              <w:jc w:val="both"/>
              <w:rPr>
                <w:sz w:val="20"/>
                <w:szCs w:val="20"/>
              </w:rPr>
            </w:pPr>
            <w:r>
              <w:rPr>
                <w:sz w:val="20"/>
              </w:rPr>
              <w:t xml:space="preserve">Dictamen exploratorio a petición de la Comisión Europea </w:t>
            </w:r>
          </w:p>
          <w:p w:rsidRPr="006C19F4" w:rsidR="006C19F4" w:rsidP="006C19F4" w:rsidRDefault="006C19F4" w14:paraId="7903D5BC" w14:textId="592052F7">
            <w:pPr>
              <w:tabs>
                <w:tab w:val="center" w:pos="284"/>
              </w:tabs>
              <w:overflowPunct w:val="0"/>
              <w:autoSpaceDE w:val="0"/>
              <w:autoSpaceDN w:val="0"/>
              <w:adjustRightInd w:val="0"/>
              <w:ind w:left="266" w:hanging="266"/>
              <w:textAlignment w:val="baseline"/>
            </w:pPr>
            <w:r>
              <w:t>EESC-2024-00535-00-00-AC</w:t>
            </w:r>
          </w:p>
        </w:tc>
      </w:tr>
    </w:tbl>
    <w:p w:rsidR="00556279" w:rsidP="006C19F4" w:rsidRDefault="00556279" w14:paraId="3EB4A714" w14:textId="77777777">
      <w:pPr>
        <w:keepNext/>
        <w:keepLines/>
        <w:tabs>
          <w:tab w:val="center" w:pos="284"/>
        </w:tabs>
        <w:overflowPunct w:val="0"/>
        <w:autoSpaceDE w:val="0"/>
        <w:autoSpaceDN w:val="0"/>
        <w:adjustRightInd w:val="0"/>
        <w:spacing w:before="120"/>
        <w:ind w:left="266" w:hanging="266"/>
        <w:textAlignment w:val="baseline"/>
        <w:rPr>
          <w:b/>
        </w:rPr>
      </w:pPr>
    </w:p>
    <w:p w:rsidR="006C19F4" w:rsidP="006C19F4" w:rsidRDefault="006C19F4" w14:paraId="580E62C3" w14:textId="193AC286">
      <w:pPr>
        <w:keepNext/>
        <w:keepLines/>
        <w:tabs>
          <w:tab w:val="center" w:pos="284"/>
        </w:tabs>
        <w:overflowPunct w:val="0"/>
        <w:autoSpaceDE w:val="0"/>
        <w:autoSpaceDN w:val="0"/>
        <w:adjustRightInd w:val="0"/>
        <w:spacing w:before="120"/>
        <w:ind w:left="266" w:hanging="266"/>
        <w:textAlignment w:val="baseline"/>
        <w:rPr>
          <w:b/>
        </w:rPr>
      </w:pPr>
      <w:r>
        <w:rPr>
          <w:b/>
        </w:rPr>
        <w:t>Puntos clave</w:t>
      </w:r>
    </w:p>
    <w:p w:rsidRPr="006C19F4" w:rsidR="00ED5F1D" w:rsidP="006C19F4" w:rsidRDefault="00ED5F1D" w14:paraId="7E453C4F" w14:textId="77777777">
      <w:pPr>
        <w:keepNext/>
        <w:keepLines/>
        <w:tabs>
          <w:tab w:val="center" w:pos="284"/>
        </w:tabs>
        <w:overflowPunct w:val="0"/>
        <w:autoSpaceDE w:val="0"/>
        <w:autoSpaceDN w:val="0"/>
        <w:adjustRightInd w:val="0"/>
        <w:spacing w:before="120"/>
        <w:ind w:left="266" w:hanging="266"/>
        <w:textAlignment w:val="baseline"/>
        <w:rPr>
          <w:b/>
        </w:rPr>
      </w:pPr>
    </w:p>
    <w:p w:rsidR="006C19F4" w:rsidP="006C19F4" w:rsidRDefault="006C19F4" w14:paraId="3AEFB419" w14:textId="78037879">
      <w:pPr>
        <w:overflowPunct w:val="0"/>
        <w:autoSpaceDE w:val="0"/>
        <w:autoSpaceDN w:val="0"/>
        <w:adjustRightInd w:val="0"/>
        <w:textAlignment w:val="baseline"/>
        <w:rPr>
          <w:bCs/>
          <w:iCs/>
        </w:rPr>
      </w:pPr>
      <w:r>
        <w:t>El CESE:</w:t>
      </w:r>
    </w:p>
    <w:p w:rsidRPr="006C19F4" w:rsidR="007A51DE" w:rsidP="006C19F4" w:rsidRDefault="007A51DE" w14:paraId="3831A5EE" w14:textId="77777777">
      <w:pPr>
        <w:overflowPunct w:val="0"/>
        <w:autoSpaceDE w:val="0"/>
        <w:autoSpaceDN w:val="0"/>
        <w:adjustRightInd w:val="0"/>
        <w:textAlignment w:val="baseline"/>
        <w:rPr>
          <w:bCs/>
          <w:iCs/>
        </w:rPr>
      </w:pPr>
    </w:p>
    <w:p w:rsidRPr="006C19F4" w:rsidR="006C19F4" w:rsidP="00DC0FAE" w:rsidRDefault="006C19F4" w14:paraId="18DCF415" w14:textId="77777777">
      <w:pPr>
        <w:numPr>
          <w:ilvl w:val="0"/>
          <w:numId w:val="13"/>
        </w:numPr>
        <w:overflowPunct w:val="0"/>
        <w:autoSpaceDE w:val="0"/>
        <w:autoSpaceDN w:val="0"/>
        <w:adjustRightInd w:val="0"/>
        <w:spacing w:after="200" w:line="276" w:lineRule="auto"/>
        <w:contextualSpacing/>
        <w:textAlignment w:val="baseline"/>
        <w:rPr>
          <w:bCs/>
          <w:iCs/>
        </w:rPr>
      </w:pPr>
      <w:r>
        <w:t>destaca que la política de ayuda de preadhesión es un instrumento indispensable de la política de ampliación cuya influencia puede potenciarse para promover la paz y la prosperidad en todo el continente europeo, en particular en las regiones en que la paz y la estabilidad se han visto recientemente amenazadas;</w:t>
      </w:r>
    </w:p>
    <w:p w:rsidRPr="006C19F4" w:rsidR="006C19F4" w:rsidP="00DC0FAE" w:rsidRDefault="006C19F4" w14:paraId="6F8C8AAA" w14:textId="77777777">
      <w:pPr>
        <w:numPr>
          <w:ilvl w:val="0"/>
          <w:numId w:val="13"/>
        </w:numPr>
        <w:overflowPunct w:val="0"/>
        <w:autoSpaceDE w:val="0"/>
        <w:autoSpaceDN w:val="0"/>
        <w:adjustRightInd w:val="0"/>
        <w:spacing w:after="200" w:line="276" w:lineRule="auto"/>
        <w:contextualSpacing/>
        <w:textAlignment w:val="baseline"/>
        <w:rPr>
          <w:bCs/>
          <w:iCs/>
        </w:rPr>
      </w:pPr>
      <w:r>
        <w:t>señala que, a fin de preparar a los países candidatos para implantar plenamente los instrumentos de la política de cohesión en el futuro, la política de ayuda de preadhesión debería adaptarse mejor a las fortalezas, los retos y las necesidades de las respectivas regiones y de las regiones fronterizas de los Estados miembros de la UE;</w:t>
      </w:r>
    </w:p>
    <w:p w:rsidRPr="006C19F4" w:rsidR="006C19F4" w:rsidP="00DC0FAE" w:rsidRDefault="006C19F4" w14:paraId="7DB08F12" w14:textId="77777777">
      <w:pPr>
        <w:numPr>
          <w:ilvl w:val="0"/>
          <w:numId w:val="13"/>
        </w:numPr>
        <w:overflowPunct w:val="0"/>
        <w:autoSpaceDE w:val="0"/>
        <w:autoSpaceDN w:val="0"/>
        <w:adjustRightInd w:val="0"/>
        <w:spacing w:after="200" w:line="276" w:lineRule="auto"/>
        <w:contextualSpacing/>
        <w:textAlignment w:val="baseline"/>
        <w:rPr>
          <w:bCs/>
          <w:iCs/>
        </w:rPr>
      </w:pPr>
      <w:r>
        <w:t>recomienda que la política de ayuda de preadhesión invierta de manera más sistemática en desarrollo del capital humano, educación e integración social en los países candidatos, a fin de prevenir y reducir las desigualdades sociales. Resulta esencial fomentar los vínculos con las organizaciones de la sociedad civil para mejorar la planificación de dicha política;</w:t>
      </w:r>
    </w:p>
    <w:p w:rsidRPr="006C19F4" w:rsidR="006C19F4" w:rsidP="00DC0FAE" w:rsidRDefault="006C19F4" w14:paraId="796D945B" w14:textId="77777777">
      <w:pPr>
        <w:numPr>
          <w:ilvl w:val="0"/>
          <w:numId w:val="13"/>
        </w:numPr>
        <w:overflowPunct w:val="0"/>
        <w:autoSpaceDE w:val="0"/>
        <w:autoSpaceDN w:val="0"/>
        <w:adjustRightInd w:val="0"/>
        <w:spacing w:after="200" w:line="276" w:lineRule="auto"/>
        <w:contextualSpacing/>
        <w:textAlignment w:val="baseline"/>
        <w:rPr>
          <w:bCs/>
          <w:iCs/>
        </w:rPr>
      </w:pPr>
      <w:r>
        <w:t>señala que mediante la futura política de cohesión debe darse prioridad a la protección de los grupos vulnerables, que se enfrentan a obstáculos adicionales y formidables para su desarrollo económico y social y pueden tener que afrontar desafíos adicionales en el futuro proceso de adhesión;</w:t>
      </w:r>
    </w:p>
    <w:p w:rsidRPr="006C19F4" w:rsidR="006C19F4" w:rsidP="00DC0FAE" w:rsidRDefault="006C19F4" w14:paraId="7BE159C5" w14:textId="77777777">
      <w:pPr>
        <w:numPr>
          <w:ilvl w:val="0"/>
          <w:numId w:val="13"/>
        </w:numPr>
        <w:overflowPunct w:val="0"/>
        <w:autoSpaceDE w:val="0"/>
        <w:autoSpaceDN w:val="0"/>
        <w:adjustRightInd w:val="0"/>
        <w:spacing w:after="200" w:line="276" w:lineRule="auto"/>
        <w:contextualSpacing/>
        <w:textAlignment w:val="baseline"/>
        <w:rPr>
          <w:bCs/>
          <w:iCs/>
        </w:rPr>
      </w:pPr>
      <w:r>
        <w:t>subraya que unas asociaciones más sólidas con las organizaciones de la sociedad civil de los países candidatos no solo son muy valiosas para promover los objetivos de la ampliación, sino que también están en consonancia con unas estrategias de desarrollo eficaces e integradoras al utilizar los principios consolidados de asociación sólida y gestión compartida;</w:t>
      </w:r>
    </w:p>
    <w:p w:rsidRPr="006C19F4" w:rsidR="006C19F4" w:rsidP="00DC0FAE" w:rsidRDefault="006C19F4" w14:paraId="0F3DDE5E" w14:textId="77777777">
      <w:pPr>
        <w:numPr>
          <w:ilvl w:val="0"/>
          <w:numId w:val="13"/>
        </w:numPr>
        <w:overflowPunct w:val="0"/>
        <w:autoSpaceDE w:val="0"/>
        <w:autoSpaceDN w:val="0"/>
        <w:adjustRightInd w:val="0"/>
        <w:spacing w:after="200" w:line="276" w:lineRule="auto"/>
        <w:contextualSpacing/>
        <w:textAlignment w:val="baseline"/>
        <w:rPr>
          <w:bCs/>
          <w:iCs/>
        </w:rPr>
      </w:pPr>
      <w:r>
        <w:t>destaca que el papel de la política de cohesión debe ir mucho más allá de las inversiones básicas. Debe centrarse en el desarrollo institucional y de capacidades, incluidos los programas de hermanamiento y el apoyo a la sociedad civil y a los interlocutores sociales;</w:t>
      </w:r>
    </w:p>
    <w:p w:rsidRPr="006C19F4" w:rsidR="006C19F4" w:rsidP="00DC0FAE" w:rsidRDefault="006C19F4" w14:paraId="5388831B" w14:textId="77777777">
      <w:pPr>
        <w:numPr>
          <w:ilvl w:val="0"/>
          <w:numId w:val="13"/>
        </w:numPr>
        <w:overflowPunct w:val="0"/>
        <w:autoSpaceDE w:val="0"/>
        <w:autoSpaceDN w:val="0"/>
        <w:adjustRightInd w:val="0"/>
        <w:spacing w:after="200" w:line="276" w:lineRule="auto"/>
        <w:contextualSpacing/>
        <w:textAlignment w:val="baseline"/>
        <w:rPr>
          <w:bCs/>
          <w:iCs/>
        </w:rPr>
      </w:pPr>
      <w:r>
        <w:t>subraya que las oleadas de ampliación también han repercutido en los Estados miembros anteriores y sus regiones, ya que los nuevos Estados miembros se incorporan al mercado único y afectan a la cadena de valor internacional y a la migración laboral en la UE. Por lo tanto, se necesitan fondos adicionales para invertir en las regiones fronterizas con los países candidatos, así como en las regiones de los actuales Estados miembros que se vean gravemente afectadas por los cambios en las cadenas de valor mundiales y de la UE como consecuencia de la ampliación;</w:t>
      </w:r>
    </w:p>
    <w:p w:rsidRPr="006C19F4" w:rsidR="006C19F4" w:rsidP="00DC0FAE" w:rsidRDefault="006C19F4" w14:paraId="371A7D2C" w14:textId="77777777">
      <w:pPr>
        <w:numPr>
          <w:ilvl w:val="0"/>
          <w:numId w:val="13"/>
        </w:numPr>
        <w:overflowPunct w:val="0"/>
        <w:autoSpaceDE w:val="0"/>
        <w:autoSpaceDN w:val="0"/>
        <w:adjustRightInd w:val="0"/>
        <w:spacing w:after="200" w:line="276" w:lineRule="auto"/>
        <w:contextualSpacing/>
        <w:textAlignment w:val="baseline"/>
        <w:rPr>
          <w:bCs/>
          <w:iCs/>
        </w:rPr>
      </w:pPr>
      <w:r>
        <w:lastRenderedPageBreak/>
        <w:t>considera que la Comisión Europea debería orientar sus reformas de la futura política de cohesión, en paralelo con el proceso de ampliación, a la potenciación de la eficacia de las políticas actuales, sobre la base de una mayor especialización y diversificación, unidas a unas mayores flexibilidad y especialización financiera. Ninguna ayuda financiera puede conseguir desencadenar la prosperidad económica sin esfuerzos paralelos en materia de desarrollo institucional, reforma de la gobernanza y participación de la sociedad civil;</w:t>
      </w:r>
    </w:p>
    <w:p w:rsidRPr="006C19F4" w:rsidR="006C19F4" w:rsidP="00DC0FAE" w:rsidRDefault="006C19F4" w14:paraId="0E40DD13" w14:textId="77777777">
      <w:pPr>
        <w:numPr>
          <w:ilvl w:val="0"/>
          <w:numId w:val="13"/>
        </w:numPr>
        <w:overflowPunct w:val="0"/>
        <w:autoSpaceDE w:val="0"/>
        <w:autoSpaceDN w:val="0"/>
        <w:adjustRightInd w:val="0"/>
        <w:spacing w:after="200" w:line="276" w:lineRule="auto"/>
        <w:contextualSpacing/>
        <w:textAlignment w:val="baseline"/>
        <w:rPr>
          <w:bCs/>
          <w:iCs/>
        </w:rPr>
      </w:pPr>
      <w:r>
        <w:t>subraya la necesidad de actuar con urgencia para frenar la corriente de emigración de los países candidatos a la adhesión, que amenaza con arruinar su potencial de desarrollo económico y social, a través de diversas medidas políticas, incluida la inversión en capital humano;</w:t>
      </w:r>
    </w:p>
    <w:p w:rsidRPr="006C19F4" w:rsidR="006C19F4" w:rsidP="00DC0FAE" w:rsidRDefault="006C19F4" w14:paraId="696DDE71" w14:textId="77777777">
      <w:pPr>
        <w:numPr>
          <w:ilvl w:val="0"/>
          <w:numId w:val="13"/>
        </w:numPr>
        <w:overflowPunct w:val="0"/>
        <w:autoSpaceDE w:val="0"/>
        <w:autoSpaceDN w:val="0"/>
        <w:adjustRightInd w:val="0"/>
        <w:spacing w:after="200" w:line="276" w:lineRule="auto"/>
        <w:contextualSpacing/>
        <w:textAlignment w:val="baseline"/>
        <w:rPr>
          <w:bCs/>
          <w:iCs/>
        </w:rPr>
      </w:pPr>
      <w:r>
        <w:t>considera esencial mejorar la situación de la juventud en los países candidatos. Son necesarios esfuerzos para mejorar las capacidades y las tasas de empleo de la juventud y aumentar sus oportunidades de acceso a la educación y a empleos de calidad, además de soluciones en el ámbito de la vivienda. También debe fomentarse el diálogo y la participación de la juventud en las iniciativas de la Garantía Juvenil;</w:t>
      </w:r>
    </w:p>
    <w:p w:rsidR="006C19F4" w:rsidP="00ED5F1D" w:rsidRDefault="006C19F4" w14:paraId="36FB8C43" w14:textId="60DCA5EA">
      <w:pPr>
        <w:numPr>
          <w:ilvl w:val="0"/>
          <w:numId w:val="13"/>
        </w:numPr>
        <w:overflowPunct w:val="0"/>
        <w:autoSpaceDE w:val="0"/>
        <w:autoSpaceDN w:val="0"/>
        <w:adjustRightInd w:val="0"/>
        <w:spacing w:after="200" w:line="276" w:lineRule="auto"/>
        <w:contextualSpacing/>
        <w:textAlignment w:val="baseline"/>
        <w:rPr>
          <w:bCs/>
          <w:iCs/>
        </w:rPr>
      </w:pPr>
      <w:r>
        <w:t>recomienda redoblar los esfuerzos para atender a las personas y colectivos más vulnerables de los países candidatos, no solo incorporándolos a los sistemas de protección, sino también teniéndolos en cuenta en el proceso de toma de decisiones, lo que constituye la mejor manera de alcanzar el primer principio básico de la política de cohesión: «no dejar a nadie atrás».</w:t>
      </w:r>
    </w:p>
    <w:p w:rsidRPr="006C19F4" w:rsidR="00ED5F1D" w:rsidP="00DC0FAE" w:rsidRDefault="00ED5F1D" w14:paraId="0BD5F507" w14:textId="77777777">
      <w:pPr>
        <w:overflowPunct w:val="0"/>
        <w:autoSpaceDE w:val="0"/>
        <w:autoSpaceDN w:val="0"/>
        <w:adjustRightInd w:val="0"/>
        <w:spacing w:after="200" w:line="276" w:lineRule="auto"/>
        <w:contextualSpacing/>
        <w:textAlignment w:val="baseline"/>
        <w:rPr>
          <w:bCs/>
          <w:iCs/>
        </w:rPr>
      </w:pPr>
    </w:p>
    <w:tbl>
      <w:tblPr>
        <w:tblStyle w:val="TableGrid21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6C19F4" w:rsidR="006C19F4" w:rsidTr="00FE3058" w14:paraId="7A7F559C" w14:textId="77777777">
        <w:tc>
          <w:tcPr>
            <w:tcW w:w="1418" w:type="dxa"/>
          </w:tcPr>
          <w:p w:rsidRPr="006C19F4" w:rsidR="006C19F4" w:rsidP="006C19F4" w:rsidRDefault="006C19F4" w14:paraId="6B40BFCD" w14:textId="77777777">
            <w:pPr>
              <w:overflowPunct w:val="0"/>
              <w:autoSpaceDE w:val="0"/>
              <w:autoSpaceDN w:val="0"/>
              <w:adjustRightInd w:val="0"/>
              <w:spacing w:line="240" w:lineRule="auto"/>
              <w:textAlignment w:val="baseline"/>
              <w:rPr>
                <w:i/>
              </w:rPr>
            </w:pPr>
            <w:r>
              <w:rPr>
                <w:b/>
                <w:i/>
              </w:rPr>
              <w:t>Contacto:</w:t>
            </w:r>
          </w:p>
        </w:tc>
        <w:tc>
          <w:tcPr>
            <w:tcW w:w="5670" w:type="dxa"/>
          </w:tcPr>
          <w:p w:rsidRPr="006C19F4" w:rsidR="006C19F4" w:rsidP="006C19F4" w:rsidRDefault="006C19F4" w14:paraId="2E0B1708" w14:textId="77777777">
            <w:pPr>
              <w:overflowPunct w:val="0"/>
              <w:autoSpaceDE w:val="0"/>
              <w:autoSpaceDN w:val="0"/>
              <w:adjustRightInd w:val="0"/>
              <w:spacing w:line="240" w:lineRule="auto"/>
              <w:textAlignment w:val="baseline"/>
              <w:rPr>
                <w:i/>
              </w:rPr>
            </w:pPr>
            <w:r>
              <w:rPr>
                <w:i/>
              </w:rPr>
              <w:t>Georgios Meleas</w:t>
            </w:r>
          </w:p>
        </w:tc>
      </w:tr>
      <w:tr w:rsidRPr="006C19F4" w:rsidR="006C19F4" w:rsidTr="00FE3058" w14:paraId="1C00A944" w14:textId="77777777">
        <w:tc>
          <w:tcPr>
            <w:tcW w:w="1418" w:type="dxa"/>
          </w:tcPr>
          <w:p w:rsidRPr="006C19F4" w:rsidR="006C19F4" w:rsidP="006C19F4" w:rsidRDefault="006C19F4" w14:paraId="02043B5C" w14:textId="77777777">
            <w:pPr>
              <w:overflowPunct w:val="0"/>
              <w:autoSpaceDE w:val="0"/>
              <w:autoSpaceDN w:val="0"/>
              <w:adjustRightInd w:val="0"/>
              <w:spacing w:line="240" w:lineRule="auto"/>
              <w:textAlignment w:val="baseline"/>
              <w:rPr>
                <w:i/>
              </w:rPr>
            </w:pPr>
            <w:r>
              <w:rPr>
                <w:i/>
              </w:rPr>
              <w:t>Teléfono:</w:t>
            </w:r>
          </w:p>
        </w:tc>
        <w:tc>
          <w:tcPr>
            <w:tcW w:w="5670" w:type="dxa"/>
          </w:tcPr>
          <w:p w:rsidRPr="006C19F4" w:rsidR="006C19F4" w:rsidP="006C19F4" w:rsidRDefault="006C19F4" w14:paraId="7765EB4C" w14:textId="77777777">
            <w:pPr>
              <w:overflowPunct w:val="0"/>
              <w:autoSpaceDE w:val="0"/>
              <w:autoSpaceDN w:val="0"/>
              <w:adjustRightInd w:val="0"/>
              <w:spacing w:line="240" w:lineRule="auto"/>
              <w:textAlignment w:val="baseline"/>
              <w:rPr>
                <w:i/>
              </w:rPr>
            </w:pPr>
            <w:r>
              <w:rPr>
                <w:i/>
              </w:rPr>
              <w:t>+32 25469795</w:t>
            </w:r>
          </w:p>
        </w:tc>
      </w:tr>
      <w:tr w:rsidRPr="006C19F4" w:rsidR="006C19F4" w:rsidTr="00FE3058" w14:paraId="13E41AD9" w14:textId="77777777">
        <w:tc>
          <w:tcPr>
            <w:tcW w:w="1418" w:type="dxa"/>
          </w:tcPr>
          <w:p w:rsidRPr="006C19F4" w:rsidR="006C19F4" w:rsidP="006C19F4" w:rsidRDefault="006C19F4" w14:paraId="606A5A69" w14:textId="77777777">
            <w:pPr>
              <w:overflowPunct w:val="0"/>
              <w:autoSpaceDE w:val="0"/>
              <w:autoSpaceDN w:val="0"/>
              <w:adjustRightInd w:val="0"/>
              <w:spacing w:line="240" w:lineRule="auto"/>
              <w:textAlignment w:val="baseline"/>
              <w:rPr>
                <w:i/>
              </w:rPr>
            </w:pPr>
            <w:r>
              <w:rPr>
                <w:i/>
              </w:rPr>
              <w:t>Correo electrónico:</w:t>
            </w:r>
          </w:p>
        </w:tc>
        <w:tc>
          <w:tcPr>
            <w:tcW w:w="5670" w:type="dxa"/>
          </w:tcPr>
          <w:p w:rsidRPr="006C19F4" w:rsidR="006C19F4" w:rsidP="006C19F4" w:rsidRDefault="00EC7E2B" w14:paraId="6B1B5DA3" w14:textId="77777777">
            <w:pPr>
              <w:overflowPunct w:val="0"/>
              <w:autoSpaceDE w:val="0"/>
              <w:autoSpaceDN w:val="0"/>
              <w:adjustRightInd w:val="0"/>
              <w:spacing w:line="240" w:lineRule="auto"/>
              <w:textAlignment w:val="baseline"/>
              <w:rPr>
                <w:i/>
              </w:rPr>
            </w:pPr>
            <w:hyperlink w:history="1" r:id="rId21">
              <w:r w:rsidR="00C866D0">
                <w:rPr>
                  <w:i/>
                  <w:color w:val="0000FF"/>
                  <w:u w:val="single"/>
                </w:rPr>
                <w:t>Georgios.Meleas@eesc.europa.eu</w:t>
              </w:r>
            </w:hyperlink>
          </w:p>
        </w:tc>
      </w:tr>
    </w:tbl>
    <w:p w:rsidR="001A5EC5" w:rsidP="00770F41" w:rsidRDefault="001A5EC5" w14:paraId="3A3398AC" w14:textId="4B0EF5D3">
      <w:pPr>
        <w:tabs>
          <w:tab w:val="center" w:pos="284"/>
        </w:tabs>
        <w:overflowPunct w:val="0"/>
        <w:autoSpaceDE w:val="0"/>
        <w:autoSpaceDN w:val="0"/>
        <w:adjustRightInd w:val="0"/>
        <w:ind w:left="266" w:hanging="266"/>
        <w:textAlignment w:val="baseline"/>
        <w:rPr>
          <w:b/>
          <w:sz w:val="24"/>
          <w:szCs w:val="24"/>
        </w:rPr>
      </w:pPr>
    </w:p>
    <w:p w:rsidR="001A5EC5" w:rsidRDefault="001A5EC5" w14:paraId="17F9882E" w14:textId="77777777">
      <w:pPr>
        <w:spacing w:after="160" w:line="259" w:lineRule="auto"/>
        <w:jc w:val="left"/>
        <w:rPr>
          <w:b/>
          <w:sz w:val="24"/>
          <w:szCs w:val="24"/>
        </w:rPr>
      </w:pPr>
      <w:r>
        <w:br w:type="page"/>
      </w:r>
    </w:p>
    <w:p w:rsidRPr="00DC0FAE" w:rsidR="001A5EC5" w:rsidP="00C26C81" w:rsidRDefault="00EC7E2B" w14:paraId="5AEA0F19" w14:textId="7A5418D6">
      <w:pPr>
        <w:widowControl w:val="0"/>
        <w:numPr>
          <w:ilvl w:val="0"/>
          <w:numId w:val="7"/>
        </w:numPr>
        <w:overflowPunct w:val="0"/>
        <w:autoSpaceDE w:val="0"/>
        <w:autoSpaceDN w:val="0"/>
        <w:adjustRightInd w:val="0"/>
        <w:spacing w:after="120"/>
        <w:ind w:left="283"/>
        <w:textAlignment w:val="baseline"/>
        <w:rPr>
          <w:b/>
          <w:i/>
          <w:iCs/>
          <w:sz w:val="28"/>
          <w:szCs w:val="28"/>
        </w:rPr>
      </w:pPr>
      <w:hyperlink w:history="1" r:id="rId22">
        <w:r w:rsidR="00C866D0">
          <w:rPr>
            <w:b/>
            <w:i/>
            <w:color w:val="0000FF"/>
            <w:sz w:val="28"/>
            <w:u w:val="single"/>
          </w:rPr>
          <w:t>Noveno informe sobre cohesión económica, social y territorial</w:t>
        </w:r>
      </w:hyperlink>
    </w:p>
    <w:p w:rsidRPr="001A5EC5" w:rsidR="00444F0D" w:rsidP="00DC0FAE" w:rsidRDefault="00444F0D" w14:paraId="5992C072" w14:textId="77777777">
      <w:pPr>
        <w:widowControl w:val="0"/>
        <w:overflowPunct w:val="0"/>
        <w:autoSpaceDE w:val="0"/>
        <w:autoSpaceDN w:val="0"/>
        <w:adjustRightInd w:val="0"/>
        <w:spacing w:after="120"/>
        <w:ind w:left="284"/>
        <w:textAlignment w:val="baseline"/>
        <w:rPr>
          <w:b/>
          <w:i/>
          <w:iCs/>
          <w:sz w:val="28"/>
          <w:szCs w:val="28"/>
        </w:rPr>
      </w:pPr>
    </w:p>
    <w:tbl>
      <w:tblPr>
        <w:tblStyle w:val="TableGrid2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1A5EC5" w:rsidR="001A5EC5" w:rsidTr="00DC0FAE" w14:paraId="44793051" w14:textId="77777777">
        <w:tc>
          <w:tcPr>
            <w:tcW w:w="1701" w:type="dxa"/>
          </w:tcPr>
          <w:p w:rsidRPr="001A5EC5" w:rsidR="001A5EC5" w:rsidP="00DC0FAE" w:rsidRDefault="001A5EC5" w14:paraId="463E72CE" w14:textId="77777777">
            <w:pPr>
              <w:overflowPunct w:val="0"/>
              <w:autoSpaceDE w:val="0"/>
              <w:autoSpaceDN w:val="0"/>
              <w:adjustRightInd w:val="0"/>
              <w:ind w:left="174" w:hanging="266"/>
              <w:textAlignment w:val="baseline"/>
              <w:rPr>
                <w:b/>
              </w:rPr>
            </w:pPr>
            <w:r>
              <w:rPr>
                <w:b/>
              </w:rPr>
              <w:t>Ponente</w:t>
            </w:r>
          </w:p>
        </w:tc>
        <w:tc>
          <w:tcPr>
            <w:tcW w:w="5387" w:type="dxa"/>
          </w:tcPr>
          <w:p w:rsidRPr="001A5EC5" w:rsidR="001A5EC5" w:rsidP="00DC0FAE" w:rsidRDefault="001A5EC5" w14:paraId="64C714E3" w14:textId="77777777">
            <w:pPr>
              <w:overflowPunct w:val="0"/>
              <w:autoSpaceDE w:val="0"/>
              <w:autoSpaceDN w:val="0"/>
              <w:adjustRightInd w:val="0"/>
              <w:ind w:left="174" w:hanging="266"/>
              <w:textAlignment w:val="baseline"/>
              <w:rPr>
                <w:bCs/>
              </w:rPr>
            </w:pPr>
            <w:r>
              <w:t>Matteo Carlo BORSANI (Grupo de Empresarios – IT)</w:t>
            </w:r>
          </w:p>
        </w:tc>
      </w:tr>
      <w:tr w:rsidRPr="001A5EC5" w:rsidR="001A5EC5" w:rsidTr="00FE3058" w14:paraId="32E56BAC" w14:textId="77777777">
        <w:tc>
          <w:tcPr>
            <w:tcW w:w="7088" w:type="dxa"/>
            <w:gridSpan w:val="2"/>
          </w:tcPr>
          <w:p w:rsidRPr="001A5EC5" w:rsidR="001A5EC5" w:rsidP="00DC0FAE" w:rsidRDefault="001A5EC5" w14:paraId="783F63D2" w14:textId="77777777">
            <w:pPr>
              <w:overflowPunct w:val="0"/>
              <w:autoSpaceDE w:val="0"/>
              <w:autoSpaceDN w:val="0"/>
              <w:adjustRightInd w:val="0"/>
              <w:spacing w:line="160" w:lineRule="exact"/>
              <w:ind w:left="174" w:hanging="266"/>
              <w:textAlignment w:val="baseline"/>
            </w:pPr>
          </w:p>
        </w:tc>
      </w:tr>
      <w:tr w:rsidRPr="001A5EC5" w:rsidR="001A5EC5" w:rsidTr="00FE3058" w14:paraId="2A351EBF" w14:textId="77777777">
        <w:tc>
          <w:tcPr>
            <w:tcW w:w="1701" w:type="dxa"/>
          </w:tcPr>
          <w:p w:rsidRPr="001A5EC5" w:rsidR="001A5EC5" w:rsidP="00DC0FAE" w:rsidRDefault="001A5EC5" w14:paraId="26606D0B" w14:textId="77777777">
            <w:pPr>
              <w:overflowPunct w:val="0"/>
              <w:autoSpaceDE w:val="0"/>
              <w:autoSpaceDN w:val="0"/>
              <w:adjustRightInd w:val="0"/>
              <w:ind w:left="174" w:hanging="266"/>
              <w:textAlignment w:val="baseline"/>
              <w:rPr>
                <w:b/>
              </w:rPr>
            </w:pPr>
            <w:r>
              <w:rPr>
                <w:b/>
              </w:rPr>
              <w:t>Referencias</w:t>
            </w:r>
          </w:p>
        </w:tc>
        <w:tc>
          <w:tcPr>
            <w:tcW w:w="5387" w:type="dxa"/>
          </w:tcPr>
          <w:p w:rsidRPr="001A5EC5" w:rsidR="001A5EC5" w:rsidP="00DC0FAE" w:rsidRDefault="001A5EC5" w14:paraId="5C440461" w14:textId="77777777">
            <w:pPr>
              <w:overflowPunct w:val="0"/>
              <w:autoSpaceDE w:val="0"/>
              <w:autoSpaceDN w:val="0"/>
              <w:adjustRightInd w:val="0"/>
              <w:ind w:left="174" w:hanging="266"/>
              <w:textAlignment w:val="baseline"/>
            </w:pPr>
            <w:r>
              <w:t>COM(2024) 149 final</w:t>
            </w:r>
          </w:p>
          <w:p w:rsidRPr="001A5EC5" w:rsidR="001A5EC5" w:rsidP="00DC0FAE" w:rsidRDefault="001A5EC5" w14:paraId="3868DEB9" w14:textId="77777777">
            <w:pPr>
              <w:overflowPunct w:val="0"/>
              <w:autoSpaceDE w:val="0"/>
              <w:autoSpaceDN w:val="0"/>
              <w:adjustRightInd w:val="0"/>
              <w:ind w:left="174" w:hanging="266"/>
              <w:textAlignment w:val="baseline"/>
            </w:pPr>
            <w:r>
              <w:t>EESC-2024-00987-00-00-AC</w:t>
            </w:r>
          </w:p>
        </w:tc>
      </w:tr>
    </w:tbl>
    <w:p w:rsidRPr="001A5EC5" w:rsidR="001A5EC5" w:rsidP="001A5EC5" w:rsidRDefault="001A5EC5" w14:paraId="52E9606C" w14:textId="77777777">
      <w:pPr>
        <w:keepNext/>
        <w:keepLines/>
        <w:tabs>
          <w:tab w:val="center" w:pos="284"/>
        </w:tabs>
        <w:overflowPunct w:val="0"/>
        <w:autoSpaceDE w:val="0"/>
        <w:autoSpaceDN w:val="0"/>
        <w:adjustRightInd w:val="0"/>
        <w:spacing w:before="120"/>
        <w:ind w:left="266" w:hanging="266"/>
        <w:textAlignment w:val="baseline"/>
        <w:rPr>
          <w:b/>
        </w:rPr>
      </w:pPr>
      <w:r>
        <w:rPr>
          <w:b/>
        </w:rPr>
        <w:t>Puntos clave</w:t>
      </w:r>
    </w:p>
    <w:p w:rsidRPr="001A5EC5" w:rsidR="001A5EC5" w:rsidP="001A5EC5" w:rsidRDefault="001A5EC5" w14:paraId="5E2503AC" w14:textId="77777777">
      <w:pPr>
        <w:overflowPunct w:val="0"/>
        <w:autoSpaceDE w:val="0"/>
        <w:autoSpaceDN w:val="0"/>
        <w:adjustRightInd w:val="0"/>
        <w:textAlignment w:val="baseline"/>
        <w:rPr>
          <w:bCs/>
          <w:iCs/>
        </w:rPr>
      </w:pPr>
    </w:p>
    <w:p w:rsidR="001A5EC5" w:rsidP="001A5EC5" w:rsidRDefault="001A5EC5" w14:paraId="4D0AC1AA" w14:textId="6DEDCE45">
      <w:pPr>
        <w:overflowPunct w:val="0"/>
        <w:autoSpaceDE w:val="0"/>
        <w:autoSpaceDN w:val="0"/>
        <w:adjustRightInd w:val="0"/>
        <w:textAlignment w:val="baseline"/>
        <w:rPr>
          <w:bCs/>
          <w:iCs/>
        </w:rPr>
      </w:pPr>
      <w:r>
        <w:t>El CESE:</w:t>
      </w:r>
    </w:p>
    <w:p w:rsidRPr="001A5EC5" w:rsidR="00444F0D" w:rsidP="001A5EC5" w:rsidRDefault="00444F0D" w14:paraId="570F2CBE" w14:textId="77777777">
      <w:pPr>
        <w:overflowPunct w:val="0"/>
        <w:autoSpaceDE w:val="0"/>
        <w:autoSpaceDN w:val="0"/>
        <w:adjustRightInd w:val="0"/>
        <w:textAlignment w:val="baseline"/>
        <w:rPr>
          <w:bCs/>
          <w:iCs/>
        </w:rPr>
      </w:pPr>
    </w:p>
    <w:p w:rsidRPr="001A5EC5" w:rsidR="001A5EC5" w:rsidP="00DC0FAE" w:rsidRDefault="001A5EC5" w14:paraId="1478D8F5" w14:textId="77777777">
      <w:pPr>
        <w:numPr>
          <w:ilvl w:val="0"/>
          <w:numId w:val="14"/>
        </w:numPr>
        <w:overflowPunct w:val="0"/>
        <w:autoSpaceDE w:val="0"/>
        <w:autoSpaceDN w:val="0"/>
        <w:adjustRightInd w:val="0"/>
        <w:spacing w:after="200" w:line="276" w:lineRule="auto"/>
        <w:contextualSpacing/>
        <w:jc w:val="left"/>
        <w:textAlignment w:val="baseline"/>
        <w:rPr>
          <w:bCs/>
          <w:iCs/>
        </w:rPr>
      </w:pPr>
      <w:r>
        <w:t xml:space="preserve">acoge favorablemente la presentación del noveno informe sobre la cohesión y considera que la descripción de sus resultados es completa y constituye un punto de partida útil para hacer balance de las lecciones aprendidas; </w:t>
      </w:r>
    </w:p>
    <w:p w:rsidRPr="001A5EC5" w:rsidR="001A5EC5" w:rsidP="00DC0FAE" w:rsidRDefault="001A5EC5" w14:paraId="7B27E433" w14:textId="77777777">
      <w:pPr>
        <w:numPr>
          <w:ilvl w:val="0"/>
          <w:numId w:val="14"/>
        </w:numPr>
        <w:overflowPunct w:val="0"/>
        <w:autoSpaceDE w:val="0"/>
        <w:autoSpaceDN w:val="0"/>
        <w:adjustRightInd w:val="0"/>
        <w:spacing w:after="200" w:line="276" w:lineRule="auto"/>
        <w:contextualSpacing/>
        <w:textAlignment w:val="baseline"/>
        <w:rPr>
          <w:bCs/>
          <w:iCs/>
        </w:rPr>
      </w:pPr>
      <w:r>
        <w:t>recomienda centrar las inversiones y las políticas en el refuerzo de la base manufacturera con el fin de consolidar la cohesión territorial al alza y subraya que una correlación positiva entre el crecimiento de la productividad y el aumento del PIB per cápita ha demostrado ser la única similitud que presenta el crecimiento en todos los tipos de regiones;</w:t>
      </w:r>
    </w:p>
    <w:p w:rsidRPr="001A5EC5" w:rsidR="001A5EC5" w:rsidP="00DC0FAE" w:rsidRDefault="001A5EC5" w14:paraId="446A7762" w14:textId="77777777">
      <w:pPr>
        <w:numPr>
          <w:ilvl w:val="0"/>
          <w:numId w:val="14"/>
        </w:numPr>
        <w:overflowPunct w:val="0"/>
        <w:autoSpaceDE w:val="0"/>
        <w:autoSpaceDN w:val="0"/>
        <w:adjustRightInd w:val="0"/>
        <w:spacing w:after="200" w:line="276" w:lineRule="auto"/>
        <w:contextualSpacing/>
        <w:textAlignment w:val="baseline"/>
        <w:rPr>
          <w:rFonts w:ascii="Calibri" w:hAnsi="Calibri"/>
        </w:rPr>
      </w:pPr>
      <w:r>
        <w:t>hace hincapié en la importancia de la competitividad para impulsar la cohesión económica y destaca la relevancia de las inversiones productivas para estimular la competitividad y el crecimiento económico, lo que, a su vez, tiene un efecto indirecto positivo en la cohesión territorial y social; también subraya la importancia de ampliar a las grandes empresas que forman parte del ecosistema de las pymes el acceso a los fondos de la política de cohesión para inversiones productivas, siempre que se cumplan determinadas condiciones relativas a sus efectos en cascada para el territorio y la sociedad; Los resultados de la cohesión económica no deben medirse únicamente en función del importe de las inversiones económicas en una zona determinada, sino también en función de los resultados territoriales y sociales;</w:t>
      </w:r>
    </w:p>
    <w:p w:rsidRPr="001A5EC5" w:rsidR="001A5EC5" w:rsidP="00DC0FAE" w:rsidRDefault="001A5EC5" w14:paraId="4372B202" w14:textId="77777777">
      <w:pPr>
        <w:numPr>
          <w:ilvl w:val="0"/>
          <w:numId w:val="14"/>
        </w:numPr>
        <w:overflowPunct w:val="0"/>
        <w:autoSpaceDE w:val="0"/>
        <w:autoSpaceDN w:val="0"/>
        <w:adjustRightInd w:val="0"/>
        <w:spacing w:after="200" w:line="276" w:lineRule="auto"/>
        <w:contextualSpacing/>
        <w:textAlignment w:val="baseline"/>
        <w:rPr>
          <w:bCs/>
          <w:iCs/>
        </w:rPr>
      </w:pPr>
      <w:r>
        <w:t>destaca que es importante contar con un mercado laboral operativo e inclusivo para aumentar la cohesión social a través de medidas destinadas a dotar a la ciudadanía y los trabajadores de la UE del conjunto adecuado de capacidades que les permitan incorporarse al mercado laboral y cambiar de un empleo a otro. En este contexto, recomienda combinar políticas de fomento del empleo con políticas que estimulen la empleabilidad, en particular centrándose en la parte de la sociedad que corre el riesgo de quedarse atrás y promoviendo la inclusión de las personas que actualmente no forman parte del mercado laboral;</w:t>
      </w:r>
    </w:p>
    <w:p w:rsidRPr="001A5EC5" w:rsidR="001A5EC5" w:rsidP="00DC0FAE" w:rsidRDefault="001A5EC5" w14:paraId="2223D48A" w14:textId="77777777">
      <w:pPr>
        <w:numPr>
          <w:ilvl w:val="0"/>
          <w:numId w:val="14"/>
        </w:numPr>
        <w:overflowPunct w:val="0"/>
        <w:autoSpaceDE w:val="0"/>
        <w:autoSpaceDN w:val="0"/>
        <w:adjustRightInd w:val="0"/>
        <w:spacing w:after="200" w:line="276" w:lineRule="auto"/>
        <w:contextualSpacing/>
        <w:textAlignment w:val="baseline"/>
        <w:rPr>
          <w:bCs/>
          <w:iCs/>
        </w:rPr>
      </w:pPr>
      <w:r>
        <w:t>recomienda fomentar inversiones estratégicas en las administraciones locales y regionales a fin de reforzar el sistema que desempeña un papel esencial en la ejecución de los programas. De hecho, la cohesión social, económica y territorial no puede lograrse sin alcanzar previamente la cohesión en materia de capacidad de las administraciones públicas;</w:t>
      </w:r>
    </w:p>
    <w:p w:rsidRPr="001A5EC5" w:rsidR="001A5EC5" w:rsidP="00DC0FAE" w:rsidRDefault="001A5EC5" w14:paraId="539D757E" w14:textId="77777777">
      <w:pPr>
        <w:numPr>
          <w:ilvl w:val="0"/>
          <w:numId w:val="14"/>
        </w:numPr>
        <w:overflowPunct w:val="0"/>
        <w:autoSpaceDE w:val="0"/>
        <w:autoSpaceDN w:val="0"/>
        <w:adjustRightInd w:val="0"/>
        <w:spacing w:after="200" w:line="276" w:lineRule="auto"/>
        <w:contextualSpacing/>
        <w:textAlignment w:val="baseline"/>
        <w:rPr>
          <w:bCs/>
          <w:iCs/>
        </w:rPr>
      </w:pPr>
      <w:r>
        <w:t>recomienda que se garantice la participación de los entes regionales y locales, se respete el principio de asociación y se impulse la participación de los interlocutores sociales y las organizaciones de la sociedad civil en cualquier reflexión sobre el futuro de la política de cohesión;</w:t>
      </w:r>
    </w:p>
    <w:p w:rsidRPr="001A5EC5" w:rsidR="001A5EC5" w:rsidP="00DC0FAE" w:rsidRDefault="001A5EC5" w14:paraId="5AB147ED" w14:textId="77777777">
      <w:pPr>
        <w:numPr>
          <w:ilvl w:val="0"/>
          <w:numId w:val="14"/>
        </w:numPr>
        <w:overflowPunct w:val="0"/>
        <w:autoSpaceDE w:val="0"/>
        <w:autoSpaceDN w:val="0"/>
        <w:adjustRightInd w:val="0"/>
        <w:spacing w:after="200" w:line="276" w:lineRule="auto"/>
        <w:contextualSpacing/>
        <w:textAlignment w:val="baseline"/>
        <w:rPr>
          <w:bCs/>
          <w:iCs/>
        </w:rPr>
      </w:pPr>
      <w:r>
        <w:t>pide a los colegisladores que aumenten la ambición del presupuesto global del MFP de forma que garantice una financiación adecuada para la política de cohesión, también en vista de las futuras necesidades de inversión de la UE en materia de defensa y de una Unión Europea con más de veintisiete miembros.</w:t>
      </w:r>
    </w:p>
    <w:p w:rsidR="001A5EC5" w:rsidP="00444F0D" w:rsidRDefault="001A5EC5" w14:paraId="5E21312D" w14:textId="7C3462A4">
      <w:pPr>
        <w:numPr>
          <w:ilvl w:val="0"/>
          <w:numId w:val="14"/>
        </w:numPr>
        <w:overflowPunct w:val="0"/>
        <w:autoSpaceDE w:val="0"/>
        <w:autoSpaceDN w:val="0"/>
        <w:adjustRightInd w:val="0"/>
        <w:spacing w:after="200" w:line="276" w:lineRule="auto"/>
        <w:contextualSpacing/>
        <w:textAlignment w:val="baseline"/>
        <w:rPr>
          <w:bCs/>
          <w:iCs/>
        </w:rPr>
      </w:pPr>
      <w:r>
        <w:t xml:space="preserve">En este contexto, recomienda considerar que las futuras ampliaciones previstas por la UE requerirán una política de cohesión eficaz que funcione adecuadamente, con objeto de garantizar </w:t>
      </w:r>
      <w:r>
        <w:lastRenderedPageBreak/>
        <w:t>una integración fluida de los futuros Estados miembros que no comprometa las inversiones en las actuales regiones en desarrollo;</w:t>
      </w:r>
    </w:p>
    <w:p w:rsidRPr="001A5EC5" w:rsidR="00444F0D" w:rsidP="00DC0FAE" w:rsidRDefault="00444F0D" w14:paraId="00B923D2" w14:textId="77777777">
      <w:pPr>
        <w:overflowPunct w:val="0"/>
        <w:autoSpaceDE w:val="0"/>
        <w:autoSpaceDN w:val="0"/>
        <w:adjustRightInd w:val="0"/>
        <w:spacing w:after="200" w:line="276" w:lineRule="auto"/>
        <w:contextualSpacing/>
        <w:textAlignment w:val="baseline"/>
        <w:rPr>
          <w:bCs/>
          <w:iCs/>
        </w:rPr>
      </w:pPr>
    </w:p>
    <w:p w:rsidRPr="00DC0FAE" w:rsidR="001A5EC5" w:rsidP="00444F0D" w:rsidRDefault="001A5EC5" w14:paraId="3A6882A2" w14:textId="6ED2155C">
      <w:pPr>
        <w:numPr>
          <w:ilvl w:val="0"/>
          <w:numId w:val="14"/>
        </w:numPr>
        <w:overflowPunct w:val="0"/>
        <w:autoSpaceDE w:val="0"/>
        <w:autoSpaceDN w:val="0"/>
        <w:adjustRightInd w:val="0"/>
        <w:spacing w:after="200" w:line="276" w:lineRule="auto"/>
        <w:contextualSpacing/>
        <w:textAlignment w:val="baseline"/>
        <w:rPr>
          <w:bCs/>
          <w:iCs/>
        </w:rPr>
      </w:pPr>
      <w:r>
        <w:t>por último, recomienda utilizar herramientas de inversión automáticas y fáciles de implantar para llevar a cabo la transición hacia una Europa más inteligente y ecológica. Los retos que plantea una doble transición ecológica y digital justa y sus ambiciosos objetivos requieren rapidez y preparación.</w:t>
      </w:r>
      <w:r>
        <w:rPr>
          <w:rFonts w:ascii="Calibri" w:hAnsi="Calibri"/>
        </w:rPr>
        <w:t xml:space="preserve"> </w:t>
      </w:r>
    </w:p>
    <w:p w:rsidRPr="001A5EC5" w:rsidR="00444F0D" w:rsidP="00DC0FAE" w:rsidRDefault="00444F0D" w14:paraId="0C8A63CF" w14:textId="77777777">
      <w:pPr>
        <w:overflowPunct w:val="0"/>
        <w:autoSpaceDE w:val="0"/>
        <w:autoSpaceDN w:val="0"/>
        <w:adjustRightInd w:val="0"/>
        <w:spacing w:after="200" w:line="276" w:lineRule="auto"/>
        <w:contextualSpacing/>
        <w:textAlignment w:val="baseline"/>
        <w:rPr>
          <w:bCs/>
          <w:iCs/>
        </w:rPr>
      </w:pPr>
    </w:p>
    <w:tbl>
      <w:tblPr>
        <w:tblStyle w:val="TableGrid2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A5EC5" w:rsidR="001A5EC5" w:rsidTr="00FE3058" w14:paraId="3FFBD53A" w14:textId="77777777">
        <w:tc>
          <w:tcPr>
            <w:tcW w:w="1418" w:type="dxa"/>
          </w:tcPr>
          <w:p w:rsidRPr="001A5EC5" w:rsidR="001A5EC5" w:rsidP="001A5EC5" w:rsidRDefault="001A5EC5" w14:paraId="56686149" w14:textId="77777777">
            <w:pPr>
              <w:overflowPunct w:val="0"/>
              <w:autoSpaceDE w:val="0"/>
              <w:autoSpaceDN w:val="0"/>
              <w:adjustRightInd w:val="0"/>
              <w:spacing w:line="240" w:lineRule="auto"/>
              <w:textAlignment w:val="baseline"/>
              <w:rPr>
                <w:i/>
              </w:rPr>
            </w:pPr>
            <w:r>
              <w:rPr>
                <w:b/>
                <w:i/>
              </w:rPr>
              <w:t>Contacto:</w:t>
            </w:r>
          </w:p>
        </w:tc>
        <w:tc>
          <w:tcPr>
            <w:tcW w:w="5670" w:type="dxa"/>
          </w:tcPr>
          <w:p w:rsidRPr="001A5EC5" w:rsidR="001A5EC5" w:rsidP="001A5EC5" w:rsidRDefault="001A5EC5" w14:paraId="7D68FE97" w14:textId="77777777">
            <w:pPr>
              <w:overflowPunct w:val="0"/>
              <w:autoSpaceDE w:val="0"/>
              <w:autoSpaceDN w:val="0"/>
              <w:adjustRightInd w:val="0"/>
              <w:spacing w:line="240" w:lineRule="auto"/>
              <w:textAlignment w:val="baseline"/>
              <w:rPr>
                <w:i/>
              </w:rPr>
            </w:pPr>
            <w:r>
              <w:rPr>
                <w:i/>
              </w:rPr>
              <w:t>Georgios Meleas</w:t>
            </w:r>
          </w:p>
        </w:tc>
      </w:tr>
      <w:tr w:rsidRPr="001A5EC5" w:rsidR="001A5EC5" w:rsidTr="00FE3058" w14:paraId="654D5086" w14:textId="77777777">
        <w:tc>
          <w:tcPr>
            <w:tcW w:w="1418" w:type="dxa"/>
          </w:tcPr>
          <w:p w:rsidRPr="001A5EC5" w:rsidR="001A5EC5" w:rsidP="001A5EC5" w:rsidRDefault="001A5EC5" w14:paraId="3B2FDAFA" w14:textId="77777777">
            <w:pPr>
              <w:overflowPunct w:val="0"/>
              <w:autoSpaceDE w:val="0"/>
              <w:autoSpaceDN w:val="0"/>
              <w:adjustRightInd w:val="0"/>
              <w:spacing w:line="240" w:lineRule="auto"/>
              <w:textAlignment w:val="baseline"/>
              <w:rPr>
                <w:i/>
              </w:rPr>
            </w:pPr>
            <w:r>
              <w:rPr>
                <w:i/>
              </w:rPr>
              <w:t>Teléfono:</w:t>
            </w:r>
          </w:p>
        </w:tc>
        <w:tc>
          <w:tcPr>
            <w:tcW w:w="5670" w:type="dxa"/>
          </w:tcPr>
          <w:p w:rsidRPr="001A5EC5" w:rsidR="001A5EC5" w:rsidP="001A5EC5" w:rsidRDefault="001A5EC5" w14:paraId="35F0788C" w14:textId="77777777">
            <w:pPr>
              <w:overflowPunct w:val="0"/>
              <w:autoSpaceDE w:val="0"/>
              <w:autoSpaceDN w:val="0"/>
              <w:adjustRightInd w:val="0"/>
              <w:spacing w:line="240" w:lineRule="auto"/>
              <w:textAlignment w:val="baseline"/>
              <w:rPr>
                <w:i/>
              </w:rPr>
            </w:pPr>
            <w:r>
              <w:rPr>
                <w:i/>
              </w:rPr>
              <w:t>+32 25469795</w:t>
            </w:r>
          </w:p>
        </w:tc>
      </w:tr>
      <w:tr w:rsidRPr="001A5EC5" w:rsidR="001A5EC5" w:rsidTr="00FE3058" w14:paraId="710F66DA" w14:textId="77777777">
        <w:tc>
          <w:tcPr>
            <w:tcW w:w="1418" w:type="dxa"/>
          </w:tcPr>
          <w:p w:rsidRPr="001A5EC5" w:rsidR="001A5EC5" w:rsidP="001A5EC5" w:rsidRDefault="001A5EC5" w14:paraId="62171153" w14:textId="77777777">
            <w:pPr>
              <w:overflowPunct w:val="0"/>
              <w:autoSpaceDE w:val="0"/>
              <w:autoSpaceDN w:val="0"/>
              <w:adjustRightInd w:val="0"/>
              <w:spacing w:line="240" w:lineRule="auto"/>
              <w:textAlignment w:val="baseline"/>
              <w:rPr>
                <w:i/>
              </w:rPr>
            </w:pPr>
            <w:r>
              <w:rPr>
                <w:i/>
              </w:rPr>
              <w:t>Correo electrónico:</w:t>
            </w:r>
          </w:p>
        </w:tc>
        <w:tc>
          <w:tcPr>
            <w:tcW w:w="5670" w:type="dxa"/>
          </w:tcPr>
          <w:p w:rsidRPr="001A5EC5" w:rsidR="001A5EC5" w:rsidP="001A5EC5" w:rsidRDefault="00EC7E2B" w14:paraId="2A008587" w14:textId="77777777">
            <w:pPr>
              <w:overflowPunct w:val="0"/>
              <w:autoSpaceDE w:val="0"/>
              <w:autoSpaceDN w:val="0"/>
              <w:adjustRightInd w:val="0"/>
              <w:spacing w:line="240" w:lineRule="auto"/>
              <w:textAlignment w:val="baseline"/>
              <w:rPr>
                <w:i/>
              </w:rPr>
            </w:pPr>
            <w:hyperlink w:history="1" r:id="rId23">
              <w:r w:rsidR="00C866D0">
                <w:rPr>
                  <w:i/>
                  <w:color w:val="0000FF"/>
                  <w:u w:val="single"/>
                </w:rPr>
                <w:t>Georgios.Meleas@eesc.europa.eu</w:t>
              </w:r>
            </w:hyperlink>
            <w:r w:rsidR="00C866D0">
              <w:rPr>
                <w:i/>
              </w:rPr>
              <w:t xml:space="preserve"> </w:t>
            </w:r>
          </w:p>
        </w:tc>
      </w:tr>
    </w:tbl>
    <w:p w:rsidR="005C28F2" w:rsidP="00770F41" w:rsidRDefault="005C28F2" w14:paraId="75A160E4" w14:textId="4CAAFB00">
      <w:pPr>
        <w:tabs>
          <w:tab w:val="center" w:pos="284"/>
        </w:tabs>
        <w:overflowPunct w:val="0"/>
        <w:autoSpaceDE w:val="0"/>
        <w:autoSpaceDN w:val="0"/>
        <w:adjustRightInd w:val="0"/>
        <w:ind w:left="266" w:hanging="266"/>
        <w:textAlignment w:val="baseline"/>
        <w:rPr>
          <w:b/>
          <w:sz w:val="24"/>
          <w:szCs w:val="24"/>
        </w:rPr>
      </w:pPr>
    </w:p>
    <w:p w:rsidR="005C28F2" w:rsidRDefault="005C28F2" w14:paraId="566BFFD9" w14:textId="77777777">
      <w:pPr>
        <w:spacing w:after="160" w:line="259" w:lineRule="auto"/>
        <w:jc w:val="left"/>
        <w:rPr>
          <w:b/>
          <w:sz w:val="24"/>
          <w:szCs w:val="24"/>
        </w:rPr>
      </w:pPr>
      <w:r>
        <w:br w:type="page"/>
      </w:r>
    </w:p>
    <w:p w:rsidRPr="00E10DAB" w:rsidR="00502E1F" w:rsidP="00DC0FAE" w:rsidRDefault="005C28F2" w14:paraId="26F82B31" w14:textId="352EA888">
      <w:pPr>
        <w:pStyle w:val="Heading1"/>
        <w:tabs>
          <w:tab w:val="clear" w:pos="440"/>
          <w:tab w:val="left" w:pos="567"/>
        </w:tabs>
        <w:ind w:left="567" w:hanging="567"/>
        <w:rPr>
          <w:b/>
          <w:bCs/>
          <w:color w:val="000000" w:themeColor="text1"/>
        </w:rPr>
      </w:pPr>
      <w:bookmarkStart w:name="_Toc168332491" w:id="1"/>
      <w:r w:rsidRPr="00E10DAB">
        <w:rPr>
          <w:b/>
          <w:bCs/>
        </w:rPr>
        <w:lastRenderedPageBreak/>
        <w:t>EMPLEO, ASUNTOS SOCIALES Y CIUDADANÍA</w:t>
      </w:r>
      <w:bookmarkEnd w:id="1"/>
    </w:p>
    <w:p w:rsidR="00502E1F" w:rsidP="00502E1F" w:rsidRDefault="00502E1F" w14:paraId="7FCC1962" w14:textId="6F84DBB9"/>
    <w:p w:rsidR="005C28F2" w:rsidP="00502E1F" w:rsidRDefault="005C28F2" w14:paraId="56EE42DD" w14:textId="77777777"/>
    <w:p w:rsidRPr="004E7105" w:rsidR="004E7105" w:rsidP="00C26C81" w:rsidRDefault="00EC7E2B" w14:paraId="7766257F" w14:textId="31A79F30">
      <w:pPr>
        <w:widowControl w:val="0"/>
        <w:numPr>
          <w:ilvl w:val="0"/>
          <w:numId w:val="7"/>
        </w:numPr>
        <w:overflowPunct w:val="0"/>
        <w:autoSpaceDE w:val="0"/>
        <w:autoSpaceDN w:val="0"/>
        <w:adjustRightInd w:val="0"/>
        <w:ind w:hanging="567"/>
        <w:textAlignment w:val="baseline"/>
        <w:rPr>
          <w:b/>
          <w:bCs/>
          <w:i/>
          <w:iCs/>
          <w:color w:val="0000FF"/>
          <w:sz w:val="28"/>
          <w:szCs w:val="28"/>
          <w:u w:val="single"/>
        </w:rPr>
      </w:pPr>
      <w:hyperlink w:history="1" r:id="rId24">
        <w:r w:rsidR="00C866D0">
          <w:rPr>
            <w:b/>
            <w:i/>
            <w:color w:val="0000FF"/>
            <w:sz w:val="28"/>
            <w:u w:val="single"/>
          </w:rPr>
          <w:t>Cánceres evitables por vacunación</w:t>
        </w:r>
      </w:hyperlink>
      <w:r w:rsidRPr="004E7105" w:rsidR="004E7105">
        <w:rPr>
          <w:b/>
          <w:i/>
          <w:sz w:val="28"/>
        </w:rPr>
        <w:fldChar w:fldCharType="begin"/>
      </w:r>
      <w:r w:rsidRPr="004E7105" w:rsidR="004E7105">
        <w:rPr>
          <w:b/>
          <w:i/>
          <w:sz w:val="28"/>
        </w:rPr>
        <w:instrText xml:space="preserve"> HYPERLINK "https://www.eesc.europa.eu/es/our-work/opinions-information-reports/opinions/anti-smuggling-package" </w:instrText>
      </w:r>
      <w:r w:rsidRPr="004E7105" w:rsidR="004E7105">
        <w:rPr>
          <w:b/>
          <w:i/>
          <w:sz w:val="28"/>
        </w:rPr>
        <w:fldChar w:fldCharType="separate"/>
      </w:r>
    </w:p>
    <w:p w:rsidRPr="004E7105" w:rsidR="004E7105" w:rsidP="004E7105" w:rsidRDefault="004E7105" w14:paraId="24B983D5" w14:textId="763F0B12">
      <w:pPr>
        <w:widowControl w:val="0"/>
        <w:overflowPunct w:val="0"/>
        <w:autoSpaceDE w:val="0"/>
        <w:autoSpaceDN w:val="0"/>
        <w:adjustRightInd w:val="0"/>
        <w:ind w:left="567"/>
        <w:textAlignment w:val="baseline"/>
        <w:rPr>
          <w:b/>
          <w:i/>
          <w:sz w:val="28"/>
        </w:rPr>
      </w:pPr>
      <w:r w:rsidRPr="004E7105">
        <w:rPr>
          <w:b/>
          <w:i/>
          <w:sz w:val="28"/>
        </w:rPr>
        <w:fldChar w:fldCharType="end"/>
      </w:r>
    </w:p>
    <w:tbl>
      <w:tblPr>
        <w:tblStyle w:val="TableGrid214"/>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464"/>
      </w:tblGrid>
      <w:tr w:rsidRPr="004E7105" w:rsidR="004E7105" w:rsidTr="00FE3058" w14:paraId="71118AAD" w14:textId="77777777">
        <w:tc>
          <w:tcPr>
            <w:tcW w:w="1522" w:type="pct"/>
          </w:tcPr>
          <w:p w:rsidRPr="004E7105" w:rsidR="004E7105" w:rsidP="004E7105" w:rsidRDefault="004E7105" w14:paraId="7C033E3E" w14:textId="77777777">
            <w:pPr>
              <w:widowControl w:val="0"/>
              <w:overflowPunct w:val="0"/>
              <w:autoSpaceDE w:val="0"/>
              <w:autoSpaceDN w:val="0"/>
              <w:adjustRightInd w:val="0"/>
              <w:ind w:left="-113"/>
              <w:textAlignment w:val="baseline"/>
              <w:rPr>
                <w:b/>
              </w:rPr>
            </w:pPr>
            <w:r>
              <w:rPr>
                <w:b/>
              </w:rPr>
              <w:t>Ponente</w:t>
            </w:r>
          </w:p>
          <w:p w:rsidRPr="004E7105" w:rsidR="004E7105" w:rsidP="004E7105" w:rsidRDefault="004E7105" w14:paraId="2377D5BF" w14:textId="77777777">
            <w:pPr>
              <w:widowControl w:val="0"/>
              <w:overflowPunct w:val="0"/>
              <w:autoSpaceDE w:val="0"/>
              <w:autoSpaceDN w:val="0"/>
              <w:adjustRightInd w:val="0"/>
              <w:ind w:left="-113"/>
              <w:textAlignment w:val="baseline"/>
              <w:rPr>
                <w:b/>
              </w:rPr>
            </w:pPr>
            <w:r>
              <w:rPr>
                <w:b/>
              </w:rPr>
              <w:t>Coponentes</w:t>
            </w:r>
          </w:p>
          <w:p w:rsidRPr="004E7105" w:rsidR="004E7105" w:rsidP="004E7105" w:rsidRDefault="004E7105" w14:paraId="474FD8BA" w14:textId="77777777">
            <w:pPr>
              <w:widowControl w:val="0"/>
              <w:overflowPunct w:val="0"/>
              <w:autoSpaceDE w:val="0"/>
              <w:autoSpaceDN w:val="0"/>
              <w:adjustRightInd w:val="0"/>
              <w:ind w:left="-113"/>
              <w:textAlignment w:val="baseline"/>
              <w:rPr>
                <w:b/>
              </w:rPr>
            </w:pPr>
          </w:p>
        </w:tc>
        <w:tc>
          <w:tcPr>
            <w:tcW w:w="3478" w:type="pct"/>
          </w:tcPr>
          <w:p w:rsidRPr="004E7105" w:rsidR="004E7105" w:rsidP="004E7105" w:rsidRDefault="004E7105" w14:paraId="5D3A3754" w14:textId="77777777">
            <w:pPr>
              <w:widowControl w:val="0"/>
              <w:tabs>
                <w:tab w:val="left" w:pos="4572"/>
              </w:tabs>
              <w:overflowPunct w:val="0"/>
              <w:autoSpaceDE w:val="0"/>
              <w:autoSpaceDN w:val="0"/>
              <w:adjustRightInd w:val="0"/>
              <w:ind w:left="-113" w:right="-823"/>
              <w:textAlignment w:val="baseline"/>
            </w:pPr>
            <w:r>
              <w:t>Milena ANGELOVA (Grupo de Empresarios – BG)</w:t>
            </w:r>
          </w:p>
          <w:p w:rsidRPr="004E7105" w:rsidR="004E7105" w:rsidP="004E7105" w:rsidRDefault="004E7105" w14:paraId="1D69709A" w14:textId="77777777">
            <w:pPr>
              <w:widowControl w:val="0"/>
              <w:tabs>
                <w:tab w:val="left" w:pos="4572"/>
              </w:tabs>
              <w:overflowPunct w:val="0"/>
              <w:autoSpaceDE w:val="0"/>
              <w:autoSpaceDN w:val="0"/>
              <w:adjustRightInd w:val="0"/>
              <w:ind w:left="-113" w:right="-823"/>
              <w:textAlignment w:val="baseline"/>
            </w:pPr>
            <w:r>
              <w:t>Sára FELSZEGHI (Grupo de Trabajadores – HU)</w:t>
            </w:r>
          </w:p>
        </w:tc>
      </w:tr>
      <w:tr w:rsidRPr="004E7105" w:rsidR="004E7105" w:rsidTr="00FE3058" w14:paraId="7E7454B0" w14:textId="77777777">
        <w:tc>
          <w:tcPr>
            <w:tcW w:w="1522" w:type="pct"/>
            <w:vMerge w:val="restart"/>
          </w:tcPr>
          <w:p w:rsidRPr="004E7105" w:rsidR="004E7105" w:rsidP="004E7105" w:rsidRDefault="004E7105" w14:paraId="4901FAAB" w14:textId="77777777">
            <w:pPr>
              <w:widowControl w:val="0"/>
              <w:overflowPunct w:val="0"/>
              <w:autoSpaceDE w:val="0"/>
              <w:autoSpaceDN w:val="0"/>
              <w:adjustRightInd w:val="0"/>
              <w:ind w:left="-113"/>
              <w:textAlignment w:val="baseline"/>
              <w:rPr>
                <w:b/>
              </w:rPr>
            </w:pPr>
            <w:r>
              <w:rPr>
                <w:b/>
              </w:rPr>
              <w:t>Referencias</w:t>
            </w:r>
          </w:p>
        </w:tc>
        <w:tc>
          <w:tcPr>
            <w:tcW w:w="3478" w:type="pct"/>
          </w:tcPr>
          <w:p w:rsidRPr="004E7105" w:rsidR="004E7105" w:rsidP="004E7105" w:rsidRDefault="004E7105" w14:paraId="6BFA5AA5" w14:textId="77777777">
            <w:pPr>
              <w:widowControl w:val="0"/>
              <w:tabs>
                <w:tab w:val="left" w:pos="4430"/>
              </w:tabs>
              <w:overflowPunct w:val="0"/>
              <w:autoSpaceDE w:val="0"/>
              <w:autoSpaceDN w:val="0"/>
              <w:adjustRightInd w:val="0"/>
              <w:ind w:left="-113" w:right="-823"/>
              <w:textAlignment w:val="baseline"/>
            </w:pPr>
            <w:r>
              <w:t>COM(2024) 45 final</w:t>
            </w:r>
          </w:p>
        </w:tc>
      </w:tr>
      <w:tr w:rsidRPr="004E7105" w:rsidR="004E7105" w:rsidTr="00FE3058" w14:paraId="75B0E482" w14:textId="77777777">
        <w:tc>
          <w:tcPr>
            <w:tcW w:w="1522" w:type="pct"/>
            <w:vMerge/>
          </w:tcPr>
          <w:p w:rsidRPr="004E7105" w:rsidR="004E7105" w:rsidP="004E7105" w:rsidRDefault="004E7105" w14:paraId="4FE1E1BE" w14:textId="77777777">
            <w:pPr>
              <w:widowControl w:val="0"/>
              <w:tabs>
                <w:tab w:val="center" w:pos="284"/>
              </w:tabs>
              <w:overflowPunct w:val="0"/>
              <w:autoSpaceDE w:val="0"/>
              <w:autoSpaceDN w:val="0"/>
              <w:adjustRightInd w:val="0"/>
              <w:ind w:left="266" w:hanging="266"/>
              <w:textAlignment w:val="baseline"/>
              <w:rPr>
                <w:b/>
              </w:rPr>
            </w:pPr>
          </w:p>
        </w:tc>
        <w:tc>
          <w:tcPr>
            <w:tcW w:w="3478" w:type="pct"/>
          </w:tcPr>
          <w:p w:rsidRPr="004E7105" w:rsidR="004E7105" w:rsidP="004E7105" w:rsidRDefault="004E7105" w14:paraId="279E0EF7" w14:textId="0692B6D4">
            <w:pPr>
              <w:widowControl w:val="0"/>
              <w:tabs>
                <w:tab w:val="center" w:pos="38"/>
                <w:tab w:val="left" w:pos="4430"/>
              </w:tabs>
              <w:overflowPunct w:val="0"/>
              <w:autoSpaceDE w:val="0"/>
              <w:autoSpaceDN w:val="0"/>
              <w:adjustRightInd w:val="0"/>
              <w:ind w:left="266" w:right="-823" w:hanging="370"/>
              <w:textAlignment w:val="baseline"/>
            </w:pPr>
            <w:r>
              <w:t>EESC-2024-00425-00-00-AC</w:t>
            </w:r>
          </w:p>
        </w:tc>
      </w:tr>
    </w:tbl>
    <w:p w:rsidRPr="004E7105" w:rsidR="004E7105" w:rsidP="004E7105" w:rsidRDefault="004E7105" w14:paraId="1E3B33B5" w14:textId="77777777">
      <w:pPr>
        <w:widowControl w:val="0"/>
        <w:tabs>
          <w:tab w:val="center" w:pos="284"/>
        </w:tabs>
        <w:overflowPunct w:val="0"/>
        <w:autoSpaceDE w:val="0"/>
        <w:autoSpaceDN w:val="0"/>
        <w:adjustRightInd w:val="0"/>
        <w:ind w:left="266" w:hanging="266"/>
        <w:textAlignment w:val="baseline"/>
        <w:rPr>
          <w:b/>
        </w:rPr>
      </w:pPr>
    </w:p>
    <w:p w:rsidRPr="004E7105" w:rsidR="004E7105" w:rsidP="004E7105" w:rsidRDefault="004E7105" w14:paraId="603B708E" w14:textId="77777777">
      <w:pPr>
        <w:widowControl w:val="0"/>
        <w:tabs>
          <w:tab w:val="center" w:pos="284"/>
        </w:tabs>
        <w:overflowPunct w:val="0"/>
        <w:autoSpaceDE w:val="0"/>
        <w:autoSpaceDN w:val="0"/>
        <w:adjustRightInd w:val="0"/>
        <w:ind w:left="266" w:hanging="266"/>
        <w:textAlignment w:val="baseline"/>
        <w:rPr>
          <w:b/>
        </w:rPr>
      </w:pPr>
      <w:r>
        <w:rPr>
          <w:b/>
        </w:rPr>
        <w:t>Puntos clave</w:t>
      </w:r>
    </w:p>
    <w:p w:rsidRPr="004E7105" w:rsidR="004E7105" w:rsidP="004E7105" w:rsidRDefault="004E7105" w14:paraId="6359F491" w14:textId="77777777">
      <w:pPr>
        <w:widowControl w:val="0"/>
        <w:tabs>
          <w:tab w:val="center" w:pos="284"/>
        </w:tabs>
        <w:overflowPunct w:val="0"/>
        <w:autoSpaceDE w:val="0"/>
        <w:autoSpaceDN w:val="0"/>
        <w:adjustRightInd w:val="0"/>
        <w:ind w:left="266" w:hanging="266"/>
        <w:textAlignment w:val="baseline"/>
        <w:rPr>
          <w:b/>
        </w:rPr>
      </w:pPr>
    </w:p>
    <w:p w:rsidRPr="004E7105" w:rsidR="004E7105" w:rsidP="004E7105" w:rsidRDefault="004E7105" w14:paraId="0D08379E" w14:textId="77777777">
      <w:pPr>
        <w:widowControl w:val="0"/>
        <w:tabs>
          <w:tab w:val="center" w:pos="284"/>
        </w:tabs>
        <w:overflowPunct w:val="0"/>
        <w:autoSpaceDE w:val="0"/>
        <w:autoSpaceDN w:val="0"/>
        <w:adjustRightInd w:val="0"/>
        <w:ind w:left="266" w:hanging="266"/>
        <w:textAlignment w:val="baseline"/>
        <w:rPr>
          <w:szCs w:val="20"/>
        </w:rPr>
      </w:pPr>
      <w:r>
        <w:t>El CESE:</w:t>
      </w:r>
    </w:p>
    <w:p w:rsidRPr="004E7105" w:rsidR="004E7105" w:rsidP="004E7105" w:rsidRDefault="004E7105" w14:paraId="0F4A732E" w14:textId="77777777">
      <w:pPr>
        <w:widowControl w:val="0"/>
        <w:tabs>
          <w:tab w:val="center" w:pos="284"/>
        </w:tabs>
        <w:overflowPunct w:val="0"/>
        <w:autoSpaceDE w:val="0"/>
        <w:autoSpaceDN w:val="0"/>
        <w:adjustRightInd w:val="0"/>
        <w:ind w:left="266" w:hanging="266"/>
        <w:textAlignment w:val="baseline"/>
        <w:rPr>
          <w:szCs w:val="20"/>
        </w:rPr>
      </w:pPr>
    </w:p>
    <w:p w:rsidRPr="00C17044" w:rsidR="004E7105" w:rsidP="00DC0FAE" w:rsidRDefault="004E7105" w14:paraId="20B5B3BF" w14:textId="574475D7">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t>alienta el intercambio de experiencias y buenas prácticas y una intensa cooperación entre los Estados miembros;</w:t>
      </w:r>
    </w:p>
    <w:p w:rsidRPr="00C17044" w:rsidR="004E7105" w:rsidP="00DC0FAE" w:rsidRDefault="004E7105" w14:paraId="00661456" w14:textId="7869AB85">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t>recomienda mejorar tanto la demanda como la oferta de vacunas, destaca el papel de una información, educación y comunicación adecuadas y subraya el papel del sistema sanitario escolar y de los progenitores en esta tarea. La prevención del cáncer debe considerarse una prioridad a nivel político e ir acompañada de los recursos financieros, materiales y humanos necesarios;</w:t>
      </w:r>
    </w:p>
    <w:p w:rsidRPr="00C17044" w:rsidR="004E7105" w:rsidP="00DC0FAE" w:rsidRDefault="004E7105" w14:paraId="565730E6" w14:textId="08E5F52C">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t>pide que se dediquen grandes esfuerzos para combatir la información errónea y la desinformación mediante la adquisición de pruebas con base científica y la difusión de información basada en hechos a través de diferentes canales, entre ellos los medios sociales;</w:t>
      </w:r>
    </w:p>
    <w:p w:rsidRPr="00C17044" w:rsidR="004E7105" w:rsidP="00DC0FAE" w:rsidRDefault="004E7105" w14:paraId="7BCF3EFF" w14:textId="78FB432A">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t>considera que los médicos generalistas, los médicos de familia, los médicos escolares y las organizaciones de la sociedad civil pueden desempeñar un papel fundamental a la hora de facilitar información adecuada, disminuir los temores y el escepticismo y orientar a la población para que se vacune. Para garantizar que los mensajes resulten atractivos para los más jóvenes, el CESE aboga por potenciar los esfuerzos de comunicación a través de organizaciones dirigidas por jóvenes;</w:t>
      </w:r>
    </w:p>
    <w:p w:rsidRPr="00C17044" w:rsidR="004E7105" w:rsidP="00DC0FAE" w:rsidRDefault="004E7105" w14:paraId="0DC26772" w14:textId="5A4CAC93">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t>hace hincapié en la necesidad de que las medidas de prevención del cáncer tengan en cuenta la igualdad de género y pide que se faciliten vacunas contra el virus del papiloma humano (VPH) a todas las niñas y niños de cierta edad, que se intensifique la comunicación sobre la disponibilidad de vacunas contra el VPH para los niños y que se recopile y publique información sobre las tasas de vacunación de niños y niñas en varios Estados miembros;</w:t>
      </w:r>
    </w:p>
    <w:p w:rsidRPr="004E7105" w:rsidR="004E7105" w:rsidP="00DC0FAE" w:rsidRDefault="004E7105" w14:paraId="76072B6C" w14:textId="77777777">
      <w:pPr>
        <w:keepNext/>
        <w:keepLines/>
        <w:numPr>
          <w:ilvl w:val="0"/>
          <w:numId w:val="15"/>
        </w:numPr>
        <w:tabs>
          <w:tab w:val="center" w:pos="284"/>
        </w:tabs>
        <w:overflowPunct w:val="0"/>
        <w:autoSpaceDE w:val="0"/>
        <w:autoSpaceDN w:val="0"/>
        <w:adjustRightInd w:val="0"/>
        <w:ind w:left="284" w:hanging="284"/>
        <w:contextualSpacing/>
        <w:textAlignment w:val="baseline"/>
      </w:pPr>
      <w:r>
        <w:t>recalca la importancia de un acceso fácil a la vacunación en términos de ubicación geográfica, así como la necesidad de una acción específica para llegar a las personas de diversos grupos desfavorecidos y a las personas con riesgos específicos.</w:t>
      </w:r>
    </w:p>
    <w:p w:rsidRPr="004E7105" w:rsidR="004E7105" w:rsidP="004E7105" w:rsidRDefault="004E7105" w14:paraId="451AD803" w14:textId="77777777">
      <w:pPr>
        <w:widowControl w:val="0"/>
        <w:overflowPunct w:val="0"/>
        <w:autoSpaceDE w:val="0"/>
        <w:autoSpaceDN w:val="0"/>
        <w:adjustRightInd w:val="0"/>
        <w:ind w:left="709"/>
        <w:textAlignment w:val="baseline"/>
        <w:rPr>
          <w:sz w:val="16"/>
          <w:szCs w:val="16"/>
        </w:rPr>
      </w:pPr>
    </w:p>
    <w:tbl>
      <w:tblPr>
        <w:tblStyle w:val="TableGrid21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4E7105" w:rsidR="004E7105" w:rsidTr="00FE3058" w14:paraId="649C5F6D" w14:textId="77777777">
        <w:tc>
          <w:tcPr>
            <w:tcW w:w="1556" w:type="pct"/>
          </w:tcPr>
          <w:p w:rsidRPr="004E7105" w:rsidR="004E7105" w:rsidP="004E7105" w:rsidRDefault="004E7105" w14:paraId="31DDC109" w14:textId="77777777">
            <w:pPr>
              <w:widowControl w:val="0"/>
              <w:overflowPunct w:val="0"/>
              <w:autoSpaceDE w:val="0"/>
              <w:autoSpaceDN w:val="0"/>
              <w:adjustRightInd w:val="0"/>
              <w:textAlignment w:val="baseline"/>
              <w:rPr>
                <w:i/>
              </w:rPr>
            </w:pPr>
            <w:r>
              <w:rPr>
                <w:b/>
                <w:i/>
              </w:rPr>
              <w:t>Contacto:</w:t>
            </w:r>
          </w:p>
        </w:tc>
        <w:tc>
          <w:tcPr>
            <w:tcW w:w="3444" w:type="pct"/>
          </w:tcPr>
          <w:p w:rsidRPr="004E7105" w:rsidR="004E7105" w:rsidP="004E7105" w:rsidRDefault="004E7105" w14:paraId="234336DC" w14:textId="3DE03174">
            <w:pPr>
              <w:widowControl w:val="0"/>
              <w:overflowPunct w:val="0"/>
              <w:autoSpaceDE w:val="0"/>
              <w:autoSpaceDN w:val="0"/>
              <w:adjustRightInd w:val="0"/>
              <w:textAlignment w:val="baseline"/>
              <w:rPr>
                <w:i/>
              </w:rPr>
            </w:pPr>
            <w:r>
              <w:rPr>
                <w:i/>
              </w:rPr>
              <w:t>Valeria Atzori</w:t>
            </w:r>
          </w:p>
        </w:tc>
      </w:tr>
      <w:tr w:rsidRPr="004E7105" w:rsidR="004E7105" w:rsidTr="00FE3058" w14:paraId="77487634" w14:textId="77777777">
        <w:tc>
          <w:tcPr>
            <w:tcW w:w="1556" w:type="pct"/>
          </w:tcPr>
          <w:p w:rsidRPr="004E7105" w:rsidR="004E7105" w:rsidP="004E7105" w:rsidRDefault="004E7105" w14:paraId="5E05B9B4" w14:textId="77777777">
            <w:pPr>
              <w:widowControl w:val="0"/>
              <w:overflowPunct w:val="0"/>
              <w:autoSpaceDE w:val="0"/>
              <w:autoSpaceDN w:val="0"/>
              <w:adjustRightInd w:val="0"/>
              <w:textAlignment w:val="baseline"/>
              <w:rPr>
                <w:i/>
              </w:rPr>
            </w:pPr>
            <w:r>
              <w:rPr>
                <w:i/>
              </w:rPr>
              <w:t>Teléfono:</w:t>
            </w:r>
          </w:p>
        </w:tc>
        <w:tc>
          <w:tcPr>
            <w:tcW w:w="3444" w:type="pct"/>
          </w:tcPr>
          <w:p w:rsidRPr="004E7105" w:rsidR="004E7105" w:rsidP="004E7105" w:rsidRDefault="004E7105" w14:paraId="1CB217D1" w14:textId="77777777">
            <w:pPr>
              <w:widowControl w:val="0"/>
              <w:overflowPunct w:val="0"/>
              <w:autoSpaceDE w:val="0"/>
              <w:autoSpaceDN w:val="0"/>
              <w:adjustRightInd w:val="0"/>
              <w:textAlignment w:val="baseline"/>
              <w:rPr>
                <w:i/>
              </w:rPr>
            </w:pPr>
            <w:r>
              <w:rPr>
                <w:i/>
              </w:rPr>
              <w:t>+32 25468774</w:t>
            </w:r>
          </w:p>
        </w:tc>
      </w:tr>
      <w:tr w:rsidRPr="004E7105" w:rsidR="004E7105" w:rsidTr="00FE3058" w14:paraId="00AFAE0F" w14:textId="77777777">
        <w:tc>
          <w:tcPr>
            <w:tcW w:w="1556" w:type="pct"/>
          </w:tcPr>
          <w:p w:rsidRPr="004E7105" w:rsidR="004E7105" w:rsidP="004E7105" w:rsidRDefault="004E7105" w14:paraId="31EB9B75" w14:textId="77777777">
            <w:pPr>
              <w:widowControl w:val="0"/>
              <w:overflowPunct w:val="0"/>
              <w:autoSpaceDE w:val="0"/>
              <w:autoSpaceDN w:val="0"/>
              <w:adjustRightInd w:val="0"/>
              <w:textAlignment w:val="baseline"/>
              <w:rPr>
                <w:i/>
              </w:rPr>
            </w:pPr>
            <w:r>
              <w:rPr>
                <w:i/>
              </w:rPr>
              <w:t>Correo electrónico:</w:t>
            </w:r>
          </w:p>
        </w:tc>
        <w:tc>
          <w:tcPr>
            <w:tcW w:w="3444" w:type="pct"/>
          </w:tcPr>
          <w:p w:rsidRPr="004E7105" w:rsidR="004E7105" w:rsidP="004E7105" w:rsidRDefault="00EC7E2B" w14:paraId="36B7A701" w14:textId="77777777">
            <w:pPr>
              <w:widowControl w:val="0"/>
              <w:overflowPunct w:val="0"/>
              <w:autoSpaceDE w:val="0"/>
              <w:autoSpaceDN w:val="0"/>
              <w:adjustRightInd w:val="0"/>
              <w:textAlignment w:val="baseline"/>
              <w:rPr>
                <w:color w:val="0000FF"/>
                <w:u w:val="single"/>
              </w:rPr>
            </w:pPr>
            <w:hyperlink w:history="1" r:id="rId25">
              <w:r w:rsidR="00C866D0">
                <w:rPr>
                  <w:i/>
                  <w:color w:val="0000FF"/>
                  <w:u w:val="single"/>
                </w:rPr>
                <w:t>Valeria.Atzori@eesc.europa.eu</w:t>
              </w:r>
            </w:hyperlink>
          </w:p>
          <w:p w:rsidRPr="004E7105" w:rsidR="004E7105" w:rsidP="004E7105" w:rsidRDefault="004E7105" w14:paraId="3E8EA07D" w14:textId="77777777">
            <w:pPr>
              <w:widowControl w:val="0"/>
              <w:overflowPunct w:val="0"/>
              <w:autoSpaceDE w:val="0"/>
              <w:autoSpaceDN w:val="0"/>
              <w:adjustRightInd w:val="0"/>
              <w:textAlignment w:val="baseline"/>
              <w:rPr>
                <w:color w:val="0000FF"/>
                <w:u w:val="single"/>
              </w:rPr>
            </w:pPr>
          </w:p>
        </w:tc>
      </w:tr>
    </w:tbl>
    <w:p w:rsidR="0010484C" w:rsidRDefault="0010484C" w14:paraId="6CA58907" w14:textId="77777777">
      <w:pPr>
        <w:spacing w:after="160" w:line="259" w:lineRule="auto"/>
        <w:jc w:val="left"/>
        <w:rPr>
          <w:sz w:val="14"/>
          <w:szCs w:val="14"/>
        </w:rPr>
      </w:pPr>
    </w:p>
    <w:p w:rsidR="0010484C" w:rsidRDefault="0010484C" w14:paraId="3C32ABDC" w14:textId="77777777">
      <w:pPr>
        <w:spacing w:after="160" w:line="259" w:lineRule="auto"/>
        <w:jc w:val="left"/>
        <w:rPr>
          <w:sz w:val="14"/>
          <w:szCs w:val="14"/>
        </w:rPr>
      </w:pPr>
      <w:r>
        <w:br w:type="page"/>
      </w:r>
    </w:p>
    <w:p w:rsidRPr="0010484C" w:rsidR="0010484C" w:rsidP="00C26C81" w:rsidRDefault="00EC7E2B" w14:paraId="3ECE05AC" w14:textId="7B22D080">
      <w:pPr>
        <w:widowControl w:val="0"/>
        <w:numPr>
          <w:ilvl w:val="0"/>
          <w:numId w:val="7"/>
        </w:numPr>
        <w:overflowPunct w:val="0"/>
        <w:autoSpaceDE w:val="0"/>
        <w:autoSpaceDN w:val="0"/>
        <w:adjustRightInd w:val="0"/>
        <w:ind w:hanging="567"/>
        <w:textAlignment w:val="baseline"/>
        <w:rPr>
          <w:sz w:val="24"/>
          <w:szCs w:val="24"/>
        </w:rPr>
      </w:pPr>
      <w:hyperlink w:history="1" r:id="rId26">
        <w:r w:rsidR="00C866D0">
          <w:rPr>
            <w:b/>
            <w:i/>
            <w:color w:val="0000FF"/>
            <w:sz w:val="28"/>
            <w:u w:val="single"/>
          </w:rPr>
          <w:t>Revisión de la Directiva sobre el comité de empresa europeo</w:t>
        </w:r>
      </w:hyperlink>
    </w:p>
    <w:p w:rsidRPr="00DC0FAE" w:rsidR="0010484C" w:rsidP="0010484C" w:rsidRDefault="0010484C" w14:paraId="00BC5CCC" w14:textId="690E0BC3">
      <w:pPr>
        <w:tabs>
          <w:tab w:val="center" w:pos="284"/>
        </w:tabs>
        <w:overflowPunct w:val="0"/>
        <w:autoSpaceDE w:val="0"/>
        <w:autoSpaceDN w:val="0"/>
        <w:adjustRightInd w:val="0"/>
        <w:ind w:left="266" w:hanging="266"/>
        <w:textAlignment w:val="baseline"/>
        <w:rPr>
          <w:b/>
          <w:sz w:val="18"/>
          <w:szCs w:val="18"/>
        </w:rPr>
      </w:pPr>
    </w:p>
    <w:tbl>
      <w:tblPr>
        <w:tblStyle w:val="TableGrid2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10484C" w:rsidR="0010484C" w:rsidTr="00FE3058" w14:paraId="561F7E20" w14:textId="77777777">
        <w:tc>
          <w:tcPr>
            <w:tcW w:w="1701" w:type="dxa"/>
          </w:tcPr>
          <w:p w:rsidRPr="0010484C" w:rsidR="0010484C" w:rsidP="00DC0FAE" w:rsidRDefault="0010484C" w14:paraId="5540B242" w14:textId="77777777">
            <w:pPr>
              <w:tabs>
                <w:tab w:val="center" w:pos="284"/>
              </w:tabs>
              <w:overflowPunct w:val="0"/>
              <w:autoSpaceDE w:val="0"/>
              <w:autoSpaceDN w:val="0"/>
              <w:adjustRightInd w:val="0"/>
              <w:ind w:left="266" w:hanging="376"/>
              <w:textAlignment w:val="baseline"/>
              <w:rPr>
                <w:b/>
              </w:rPr>
            </w:pPr>
            <w:r>
              <w:rPr>
                <w:b/>
              </w:rPr>
              <w:t>Ponente</w:t>
            </w:r>
          </w:p>
        </w:tc>
        <w:tc>
          <w:tcPr>
            <w:tcW w:w="5387" w:type="dxa"/>
          </w:tcPr>
          <w:p w:rsidRPr="0010484C" w:rsidR="0010484C" w:rsidP="00DC0FAE" w:rsidRDefault="0010484C" w14:paraId="2E037801" w14:textId="01A5B710">
            <w:pPr>
              <w:tabs>
                <w:tab w:val="center" w:pos="284"/>
              </w:tabs>
              <w:overflowPunct w:val="0"/>
              <w:autoSpaceDE w:val="0"/>
              <w:autoSpaceDN w:val="0"/>
              <w:adjustRightInd w:val="0"/>
              <w:ind w:left="266" w:hanging="376"/>
              <w:textAlignment w:val="baseline"/>
            </w:pPr>
            <w:r>
              <w:t>Sophia REISECKER (Grupo de Trabajadores – AT)</w:t>
            </w:r>
          </w:p>
        </w:tc>
      </w:tr>
      <w:tr w:rsidRPr="0010484C" w:rsidR="0010484C" w:rsidTr="00FE3058" w14:paraId="73157FC0" w14:textId="77777777">
        <w:tc>
          <w:tcPr>
            <w:tcW w:w="7088" w:type="dxa"/>
            <w:gridSpan w:val="2"/>
          </w:tcPr>
          <w:p w:rsidRPr="0010484C" w:rsidR="0010484C" w:rsidP="00DC0FAE" w:rsidRDefault="0010484C" w14:paraId="11368192" w14:textId="77777777">
            <w:pPr>
              <w:tabs>
                <w:tab w:val="center" w:pos="284"/>
              </w:tabs>
              <w:overflowPunct w:val="0"/>
              <w:autoSpaceDE w:val="0"/>
              <w:autoSpaceDN w:val="0"/>
              <w:adjustRightInd w:val="0"/>
              <w:ind w:left="266" w:hanging="376"/>
              <w:textAlignment w:val="baseline"/>
            </w:pPr>
          </w:p>
        </w:tc>
      </w:tr>
      <w:tr w:rsidRPr="0010484C" w:rsidR="0010484C" w:rsidTr="00FE3058" w14:paraId="08B719B5" w14:textId="77777777">
        <w:tc>
          <w:tcPr>
            <w:tcW w:w="1701" w:type="dxa"/>
            <w:vMerge w:val="restart"/>
          </w:tcPr>
          <w:p w:rsidRPr="0010484C" w:rsidR="0010484C" w:rsidP="00DC0FAE" w:rsidRDefault="0010484C" w14:paraId="1AD2CE0E" w14:textId="77777777">
            <w:pPr>
              <w:tabs>
                <w:tab w:val="center" w:pos="284"/>
              </w:tabs>
              <w:overflowPunct w:val="0"/>
              <w:autoSpaceDE w:val="0"/>
              <w:autoSpaceDN w:val="0"/>
              <w:adjustRightInd w:val="0"/>
              <w:ind w:left="266" w:hanging="376"/>
              <w:textAlignment w:val="baseline"/>
              <w:rPr>
                <w:b/>
              </w:rPr>
            </w:pPr>
            <w:r>
              <w:rPr>
                <w:b/>
              </w:rPr>
              <w:t>Referencias</w:t>
            </w:r>
          </w:p>
        </w:tc>
        <w:tc>
          <w:tcPr>
            <w:tcW w:w="5387" w:type="dxa"/>
          </w:tcPr>
          <w:p w:rsidRPr="0010484C" w:rsidR="0010484C" w:rsidP="00DC0FAE" w:rsidRDefault="0010484C" w14:paraId="2437B8BE" w14:textId="4FE32139">
            <w:pPr>
              <w:tabs>
                <w:tab w:val="center" w:pos="284"/>
              </w:tabs>
              <w:overflowPunct w:val="0"/>
              <w:autoSpaceDE w:val="0"/>
              <w:autoSpaceDN w:val="0"/>
              <w:adjustRightInd w:val="0"/>
              <w:ind w:left="266" w:hanging="376"/>
              <w:textAlignment w:val="baseline"/>
            </w:pPr>
            <w:r>
              <w:t>COM(2024) 14 final</w:t>
            </w:r>
          </w:p>
        </w:tc>
      </w:tr>
      <w:tr w:rsidRPr="0010484C" w:rsidR="0010484C" w:rsidTr="00FE3058" w14:paraId="5820FB7B" w14:textId="77777777">
        <w:tc>
          <w:tcPr>
            <w:tcW w:w="1701" w:type="dxa"/>
            <w:vMerge/>
          </w:tcPr>
          <w:p w:rsidRPr="0010484C" w:rsidR="0010484C" w:rsidP="00DC0FAE" w:rsidRDefault="0010484C" w14:paraId="7361EF92" w14:textId="77777777">
            <w:pPr>
              <w:tabs>
                <w:tab w:val="center" w:pos="284"/>
              </w:tabs>
              <w:overflowPunct w:val="0"/>
              <w:autoSpaceDE w:val="0"/>
              <w:autoSpaceDN w:val="0"/>
              <w:adjustRightInd w:val="0"/>
              <w:ind w:left="266" w:hanging="376"/>
              <w:textAlignment w:val="baseline"/>
              <w:rPr>
                <w:b/>
              </w:rPr>
            </w:pPr>
          </w:p>
        </w:tc>
        <w:tc>
          <w:tcPr>
            <w:tcW w:w="5387" w:type="dxa"/>
          </w:tcPr>
          <w:p w:rsidRPr="0010484C" w:rsidR="0010484C" w:rsidP="00DC0FAE" w:rsidRDefault="0010484C" w14:paraId="0F30A46F" w14:textId="4D6C9E54">
            <w:pPr>
              <w:tabs>
                <w:tab w:val="center" w:pos="284"/>
              </w:tabs>
              <w:overflowPunct w:val="0"/>
              <w:autoSpaceDE w:val="0"/>
              <w:autoSpaceDN w:val="0"/>
              <w:adjustRightInd w:val="0"/>
              <w:ind w:left="266" w:hanging="376"/>
              <w:textAlignment w:val="baseline"/>
            </w:pPr>
            <w:r>
              <w:t>EESC-2024-00543-00-00-AC</w:t>
            </w:r>
          </w:p>
        </w:tc>
      </w:tr>
    </w:tbl>
    <w:p w:rsidRPr="00DC0FAE" w:rsidR="0010484C" w:rsidP="0010484C" w:rsidRDefault="0010484C" w14:paraId="045C90A1" w14:textId="77777777">
      <w:pPr>
        <w:tabs>
          <w:tab w:val="center" w:pos="284"/>
        </w:tabs>
        <w:overflowPunct w:val="0"/>
        <w:autoSpaceDE w:val="0"/>
        <w:autoSpaceDN w:val="0"/>
        <w:adjustRightInd w:val="0"/>
        <w:ind w:left="266" w:hanging="266"/>
        <w:textAlignment w:val="baseline"/>
        <w:rPr>
          <w:sz w:val="18"/>
          <w:szCs w:val="18"/>
        </w:rPr>
      </w:pPr>
    </w:p>
    <w:p w:rsidRPr="0010484C" w:rsidR="0010484C" w:rsidP="0010484C" w:rsidRDefault="0010484C" w14:paraId="6E251606" w14:textId="77777777">
      <w:pPr>
        <w:keepNext/>
        <w:keepLines/>
        <w:tabs>
          <w:tab w:val="center" w:pos="284"/>
        </w:tabs>
        <w:overflowPunct w:val="0"/>
        <w:autoSpaceDE w:val="0"/>
        <w:autoSpaceDN w:val="0"/>
        <w:adjustRightInd w:val="0"/>
        <w:ind w:left="266" w:hanging="266"/>
        <w:textAlignment w:val="baseline"/>
        <w:rPr>
          <w:b/>
        </w:rPr>
      </w:pPr>
      <w:r>
        <w:rPr>
          <w:b/>
          <w:bCs/>
        </w:rPr>
        <w:t>Puntos clave:</w:t>
      </w:r>
    </w:p>
    <w:p w:rsidRPr="00DC0FAE" w:rsidR="0010484C" w:rsidP="0010484C" w:rsidRDefault="0010484C" w14:paraId="1FCAE476" w14:textId="77777777">
      <w:pPr>
        <w:keepNext/>
        <w:keepLines/>
        <w:tabs>
          <w:tab w:val="center" w:pos="284"/>
        </w:tabs>
        <w:overflowPunct w:val="0"/>
        <w:autoSpaceDE w:val="0"/>
        <w:autoSpaceDN w:val="0"/>
        <w:adjustRightInd w:val="0"/>
        <w:ind w:left="266" w:hanging="266"/>
        <w:textAlignment w:val="baseline"/>
        <w:rPr>
          <w:b/>
          <w:sz w:val="16"/>
          <w:szCs w:val="16"/>
        </w:rPr>
      </w:pPr>
    </w:p>
    <w:p w:rsidR="0010484C" w:rsidP="0010484C" w:rsidRDefault="0010484C" w14:paraId="45AB3525" w14:textId="1202BA36">
      <w:pPr>
        <w:overflowPunct w:val="0"/>
        <w:autoSpaceDE w:val="0"/>
        <w:autoSpaceDN w:val="0"/>
        <w:adjustRightInd w:val="0"/>
        <w:textAlignment w:val="baseline"/>
        <w:rPr>
          <w:bCs/>
          <w:iCs/>
        </w:rPr>
      </w:pPr>
      <w:r>
        <w:t>El CESE:</w:t>
      </w:r>
    </w:p>
    <w:p w:rsidRPr="00DC0FAE" w:rsidR="002F6E84" w:rsidP="0010484C" w:rsidRDefault="002F6E84" w14:paraId="0DAE7107" w14:textId="77777777">
      <w:pPr>
        <w:overflowPunct w:val="0"/>
        <w:autoSpaceDE w:val="0"/>
        <w:autoSpaceDN w:val="0"/>
        <w:adjustRightInd w:val="0"/>
        <w:textAlignment w:val="baseline"/>
        <w:rPr>
          <w:bCs/>
          <w:iCs/>
          <w:sz w:val="16"/>
          <w:szCs w:val="16"/>
        </w:rPr>
      </w:pPr>
    </w:p>
    <w:p w:rsidRPr="00DC0FAE" w:rsidR="0010484C" w:rsidP="00DC0FAE" w:rsidRDefault="0010484C" w14:paraId="5422A1B5" w14:textId="77777777">
      <w:pPr>
        <w:widowControl w:val="0"/>
        <w:numPr>
          <w:ilvl w:val="0"/>
          <w:numId w:val="16"/>
        </w:numPr>
        <w:overflowPunct w:val="0"/>
        <w:autoSpaceDE w:val="0"/>
        <w:autoSpaceDN w:val="0"/>
        <w:adjustRightInd w:val="0"/>
        <w:ind w:left="284" w:hanging="284"/>
        <w:textAlignment w:val="baseline"/>
        <w:rPr>
          <w:szCs w:val="20"/>
        </w:rPr>
      </w:pPr>
      <w:r>
        <w:t>acoge favorablemente las medidas legislativas adoptadas por la Comisión Europea para revisar la Directiva 2009/38/CE en lo que respecta a los requisitos mínimos para la constitución de comités de empresa europeos (CEE) y para la garantía de su buen funcionamiento;</w:t>
      </w:r>
    </w:p>
    <w:p w:rsidRPr="00DC0FAE" w:rsidR="0010484C" w:rsidP="00DC0FAE" w:rsidRDefault="0010484C" w14:paraId="4FA291B7" w14:textId="77777777">
      <w:pPr>
        <w:widowControl w:val="0"/>
        <w:numPr>
          <w:ilvl w:val="0"/>
          <w:numId w:val="16"/>
        </w:numPr>
        <w:overflowPunct w:val="0"/>
        <w:autoSpaceDE w:val="0"/>
        <w:autoSpaceDN w:val="0"/>
        <w:adjustRightInd w:val="0"/>
        <w:ind w:left="284" w:hanging="284"/>
        <w:textAlignment w:val="baseline"/>
        <w:rPr>
          <w:szCs w:val="20"/>
        </w:rPr>
      </w:pPr>
      <w:r>
        <w:t>reconoce el objetivo de reforzar la eficacia y la aplicación de los derechos de los CEE para aportar seguridad jurídica mediante la aclaración de conceptos fundamentales de la Directiva que los regula. En concreto, se trata de definir «transnacionalidad», aportar recursos adecuados a los CEE, mejorar el acceso a la justicia y aumentar el compromiso de los Estados miembros de establecer sanciones suficientemente eficaces y disuasorias en caso de vulneración de los derechos de los CEE;</w:t>
      </w:r>
    </w:p>
    <w:p w:rsidRPr="00DC0FAE" w:rsidR="0010484C" w:rsidP="00DC0FAE" w:rsidRDefault="0010484C" w14:paraId="2ABD0814" w14:textId="77777777">
      <w:pPr>
        <w:widowControl w:val="0"/>
        <w:numPr>
          <w:ilvl w:val="0"/>
          <w:numId w:val="16"/>
        </w:numPr>
        <w:overflowPunct w:val="0"/>
        <w:autoSpaceDE w:val="0"/>
        <w:autoSpaceDN w:val="0"/>
        <w:adjustRightInd w:val="0"/>
        <w:ind w:left="284" w:hanging="284"/>
        <w:textAlignment w:val="baseline"/>
        <w:rPr>
          <w:szCs w:val="20"/>
        </w:rPr>
      </w:pPr>
      <w:r>
        <w:t>se congratula del objetivo de la Comisión de revisar la norma para un proceso de información y consulta más eficiente y constructivo, para lo cual propone completar los requisitos subsidiarios, aumentar la frecuencia de las reuniones periódicas de los CEE e introducir el requisito de que la dirección dé una respuesta motivada a los dictámenes de los CEE. También aprecia el refuerzo del papel de los representantes sindicales como expertos que asisten a los CEE;</w:t>
      </w:r>
    </w:p>
    <w:p w:rsidRPr="005C28F2" w:rsidR="0010484C" w:rsidP="00DC0FAE" w:rsidRDefault="0010484C" w14:paraId="30EB9EA4" w14:textId="77777777">
      <w:pPr>
        <w:widowControl w:val="0"/>
        <w:numPr>
          <w:ilvl w:val="0"/>
          <w:numId w:val="16"/>
        </w:numPr>
        <w:overflowPunct w:val="0"/>
        <w:autoSpaceDE w:val="0"/>
        <w:autoSpaceDN w:val="0"/>
        <w:adjustRightInd w:val="0"/>
        <w:ind w:left="284" w:hanging="284"/>
        <w:textAlignment w:val="baseline"/>
        <w:rPr>
          <w:szCs w:val="20"/>
        </w:rPr>
      </w:pPr>
      <w:r>
        <w:t>se congratula, en particular, de las importantes modificaciones relativas a la capacidad de los CEE y sus miembros para ejercer sus funciones, en particular, en cuanto a los recursos que debe proporcionar la dirección, cuyos detalles deben determinarse conjuntamente en el acuerdo de CEE correspondiente en relación con la formación, el recurso a expertos y representación legal y las aclaraciones previstas en materia de confidencialidad;</w:t>
      </w:r>
    </w:p>
    <w:p w:rsidRPr="00DC0FAE" w:rsidR="0010484C" w:rsidP="00DC0FAE" w:rsidRDefault="0010484C" w14:paraId="5A31B5F8" w14:textId="77777777">
      <w:pPr>
        <w:widowControl w:val="0"/>
        <w:numPr>
          <w:ilvl w:val="0"/>
          <w:numId w:val="16"/>
        </w:numPr>
        <w:overflowPunct w:val="0"/>
        <w:autoSpaceDE w:val="0"/>
        <w:autoSpaceDN w:val="0"/>
        <w:adjustRightInd w:val="0"/>
        <w:ind w:left="284" w:hanging="284"/>
        <w:textAlignment w:val="baseline"/>
        <w:rPr>
          <w:szCs w:val="20"/>
        </w:rPr>
      </w:pPr>
      <w:r>
        <w:t>pide a las instituciones legislativas que procedan rápidamente a la revisión de la Directiva sobre los CEE con arreglo a la propuesta de la Comisión y que tengan también en cuenta las recomendaciones formuladas en el presente Dictamen;</w:t>
      </w:r>
    </w:p>
    <w:p w:rsidRPr="00DC0FAE" w:rsidR="0010484C" w:rsidP="00DC0FAE" w:rsidRDefault="0010484C" w14:paraId="401ED45E" w14:textId="77777777">
      <w:pPr>
        <w:widowControl w:val="0"/>
        <w:numPr>
          <w:ilvl w:val="0"/>
          <w:numId w:val="16"/>
        </w:numPr>
        <w:overflowPunct w:val="0"/>
        <w:autoSpaceDE w:val="0"/>
        <w:autoSpaceDN w:val="0"/>
        <w:adjustRightInd w:val="0"/>
        <w:ind w:left="284" w:hanging="284"/>
        <w:textAlignment w:val="baseline"/>
        <w:rPr>
          <w:szCs w:val="20"/>
        </w:rPr>
      </w:pPr>
      <w:r>
        <w:t>destaca la necesidad de garantizar una transposición y aplicación adecuadas, proceso durante el cual la Comisión debe hacer uso de herramientas eficaces de seguimiento y aplicación.</w:t>
      </w:r>
    </w:p>
    <w:p w:rsidRPr="00DC0FAE" w:rsidR="0010484C" w:rsidP="0010484C" w:rsidRDefault="0010484C" w14:paraId="79C5FBDA" w14:textId="77777777">
      <w:pPr>
        <w:widowControl w:val="0"/>
        <w:overflowPunct w:val="0"/>
        <w:autoSpaceDE w:val="0"/>
        <w:autoSpaceDN w:val="0"/>
        <w:adjustRightInd w:val="0"/>
        <w:ind w:left="709"/>
        <w:textAlignment w:val="baseline"/>
        <w:rPr>
          <w:sz w:val="12"/>
          <w:szCs w:val="10"/>
        </w:rPr>
      </w:pPr>
    </w:p>
    <w:p w:rsidRPr="005C28F2" w:rsidR="0010484C" w:rsidP="0010484C" w:rsidRDefault="0010484C" w14:paraId="3B5BD501" w14:textId="77777777">
      <w:pPr>
        <w:widowControl w:val="0"/>
        <w:overflowPunct w:val="0"/>
        <w:autoSpaceDE w:val="0"/>
        <w:autoSpaceDN w:val="0"/>
        <w:adjustRightInd w:val="0"/>
        <w:textAlignment w:val="baseline"/>
        <w:rPr>
          <w:b/>
          <w:bCs/>
          <w:szCs w:val="20"/>
        </w:rPr>
      </w:pPr>
      <w:r>
        <w:rPr>
          <w:b/>
        </w:rPr>
        <w:t>Debido a las divergencias planteadas por las organizaciones patronales, varios miembros del Grupo de Empresarios del CESE presentaron una enmienda a la totalidad. Más concretamente, expresaron su preocupación por el hecho de que la revisión de la Directiva pueda complicar el funcionamiento de los comités de empresa europeos y plantear el riesgo de alejarlos de su condición de vehículos eficaces de información y consulta en el ámbito de la empresa y convertirlos en fuentes de litigios e inseguridad jurídica. El Grupo de Empresarios del CESE considera que esto podría socavar la cooperación y la confianza esenciales en el lugar de trabajo. El CESE rechazó la enmienda a la totalidad (por 104 votos a favor, 125 en contra y 11 abstenciones) pero, dado que más de una cuarta parte de los votos emitidos fueron favorables, la enmienda se adjunta al Dictamen, de conformidad con el Reglamento interno del CESE.</w:t>
      </w:r>
    </w:p>
    <w:p w:rsidR="0010484C" w:rsidP="0010484C" w:rsidRDefault="0010484C" w14:paraId="4D07561D" w14:textId="10666C39">
      <w:pPr>
        <w:widowControl w:val="0"/>
        <w:overflowPunct w:val="0"/>
        <w:autoSpaceDE w:val="0"/>
        <w:autoSpaceDN w:val="0"/>
        <w:adjustRightInd w:val="0"/>
        <w:textAlignment w:val="baseline"/>
        <w:rPr>
          <w:sz w:val="18"/>
          <w:szCs w:val="16"/>
        </w:rPr>
      </w:pPr>
    </w:p>
    <w:tbl>
      <w:tblPr>
        <w:tblStyle w:val="TableGrid2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5245"/>
      </w:tblGrid>
      <w:tr w:rsidRPr="0010484C" w:rsidR="005C28F2" w:rsidTr="00E10DAB" w14:paraId="60D176FD" w14:textId="77777777">
        <w:tc>
          <w:tcPr>
            <w:tcW w:w="1843" w:type="dxa"/>
          </w:tcPr>
          <w:p w:rsidRPr="0010484C" w:rsidR="005C28F2" w:rsidP="00405FFF" w:rsidRDefault="005C28F2" w14:paraId="585CB7BA" w14:textId="77777777">
            <w:pPr>
              <w:overflowPunct w:val="0"/>
              <w:autoSpaceDE w:val="0"/>
              <w:autoSpaceDN w:val="0"/>
              <w:adjustRightInd w:val="0"/>
              <w:ind w:hanging="110"/>
              <w:textAlignment w:val="baseline"/>
              <w:rPr>
                <w:i/>
              </w:rPr>
            </w:pPr>
            <w:r>
              <w:rPr>
                <w:b/>
                <w:i/>
              </w:rPr>
              <w:lastRenderedPageBreak/>
              <w:t>Contacto:</w:t>
            </w:r>
          </w:p>
        </w:tc>
        <w:tc>
          <w:tcPr>
            <w:tcW w:w="5245" w:type="dxa"/>
          </w:tcPr>
          <w:p w:rsidRPr="0010484C" w:rsidR="005C28F2" w:rsidP="00405FFF" w:rsidRDefault="005C28F2" w14:paraId="78013169" w14:textId="77777777">
            <w:pPr>
              <w:overflowPunct w:val="0"/>
              <w:autoSpaceDE w:val="0"/>
              <w:autoSpaceDN w:val="0"/>
              <w:adjustRightInd w:val="0"/>
              <w:ind w:hanging="110"/>
              <w:textAlignment w:val="baseline"/>
              <w:rPr>
                <w:i/>
              </w:rPr>
            </w:pPr>
            <w:r>
              <w:rPr>
                <w:i/>
              </w:rPr>
              <w:t>Bartek Bednarowicz</w:t>
            </w:r>
          </w:p>
        </w:tc>
      </w:tr>
      <w:tr w:rsidRPr="0010484C" w:rsidR="005C28F2" w:rsidTr="00E10DAB" w14:paraId="02718472" w14:textId="77777777">
        <w:tc>
          <w:tcPr>
            <w:tcW w:w="1843" w:type="dxa"/>
          </w:tcPr>
          <w:p w:rsidRPr="0010484C" w:rsidR="005C28F2" w:rsidP="00405FFF" w:rsidRDefault="005C28F2" w14:paraId="5ECEACD6" w14:textId="77777777">
            <w:pPr>
              <w:overflowPunct w:val="0"/>
              <w:autoSpaceDE w:val="0"/>
              <w:autoSpaceDN w:val="0"/>
              <w:adjustRightInd w:val="0"/>
              <w:ind w:hanging="110"/>
              <w:textAlignment w:val="baseline"/>
              <w:rPr>
                <w:i/>
              </w:rPr>
            </w:pPr>
            <w:r>
              <w:rPr>
                <w:i/>
              </w:rPr>
              <w:t>Teléfono:</w:t>
            </w:r>
          </w:p>
        </w:tc>
        <w:tc>
          <w:tcPr>
            <w:tcW w:w="5245" w:type="dxa"/>
          </w:tcPr>
          <w:p w:rsidRPr="0010484C" w:rsidR="005C28F2" w:rsidP="00405FFF" w:rsidRDefault="005C28F2" w14:paraId="39C98148" w14:textId="77777777">
            <w:pPr>
              <w:overflowPunct w:val="0"/>
              <w:autoSpaceDE w:val="0"/>
              <w:autoSpaceDN w:val="0"/>
              <w:adjustRightInd w:val="0"/>
              <w:ind w:hanging="110"/>
              <w:textAlignment w:val="baseline"/>
              <w:rPr>
                <w:i/>
              </w:rPr>
            </w:pPr>
            <w:r>
              <w:rPr>
                <w:i/>
              </w:rPr>
              <w:t>+32 25469229</w:t>
            </w:r>
          </w:p>
        </w:tc>
      </w:tr>
      <w:tr w:rsidRPr="0010484C" w:rsidR="005C28F2" w:rsidTr="00E10DAB" w14:paraId="6D0F78E9" w14:textId="77777777">
        <w:tc>
          <w:tcPr>
            <w:tcW w:w="1843" w:type="dxa"/>
          </w:tcPr>
          <w:p w:rsidRPr="0010484C" w:rsidR="005C28F2" w:rsidP="00E10DAB" w:rsidRDefault="005C28F2" w14:paraId="57F2C25C" w14:textId="77777777">
            <w:pPr>
              <w:overflowPunct w:val="0"/>
              <w:autoSpaceDE w:val="0"/>
              <w:autoSpaceDN w:val="0"/>
              <w:adjustRightInd w:val="0"/>
              <w:ind w:left="-109"/>
              <w:textAlignment w:val="baseline"/>
              <w:rPr>
                <w:i/>
              </w:rPr>
            </w:pPr>
            <w:r>
              <w:rPr>
                <w:i/>
              </w:rPr>
              <w:t>Correo electrónico:</w:t>
            </w:r>
          </w:p>
        </w:tc>
        <w:tc>
          <w:tcPr>
            <w:tcW w:w="5245" w:type="dxa"/>
          </w:tcPr>
          <w:p w:rsidRPr="0010484C" w:rsidR="005C28F2" w:rsidP="00405FFF" w:rsidRDefault="00EC7E2B" w14:paraId="17171F10" w14:textId="77777777">
            <w:pPr>
              <w:overflowPunct w:val="0"/>
              <w:autoSpaceDE w:val="0"/>
              <w:autoSpaceDN w:val="0"/>
              <w:adjustRightInd w:val="0"/>
              <w:ind w:hanging="110"/>
              <w:textAlignment w:val="baseline"/>
              <w:rPr>
                <w:i/>
                <w:iCs/>
              </w:rPr>
            </w:pPr>
            <w:hyperlink w:history="1" r:id="rId27">
              <w:r w:rsidR="005C28F2">
                <w:rPr>
                  <w:i/>
                  <w:color w:val="0000FF"/>
                  <w:u w:val="single"/>
                </w:rPr>
                <w:t>Bartek.Bednarowicz@eesc.europa.eu</w:t>
              </w:r>
            </w:hyperlink>
          </w:p>
        </w:tc>
      </w:tr>
    </w:tbl>
    <w:p w:rsidRPr="005C28F2" w:rsidR="00025343" w:rsidP="00E10DAB" w:rsidRDefault="00EC7E2B" w14:paraId="05A78CB9" w14:textId="19CDB86F">
      <w:pPr>
        <w:pageBreakBefore/>
        <w:widowControl w:val="0"/>
        <w:numPr>
          <w:ilvl w:val="0"/>
          <w:numId w:val="7"/>
        </w:numPr>
        <w:overflowPunct w:val="0"/>
        <w:autoSpaceDE w:val="0"/>
        <w:autoSpaceDN w:val="0"/>
        <w:adjustRightInd w:val="0"/>
        <w:ind w:hanging="567"/>
        <w:textAlignment w:val="baseline"/>
        <w:rPr>
          <w:b/>
        </w:rPr>
      </w:pPr>
      <w:hyperlink w:history="1" r:id="rId28">
        <w:r w:rsidR="005C28F2">
          <w:rPr>
            <w:b/>
            <w:i/>
            <w:color w:val="0000FF"/>
            <w:sz w:val="28"/>
            <w:u w:val="single"/>
          </w:rPr>
          <w:t>Sin lugar para el odio: una Europa unida contra esta lacra</w:t>
        </w:r>
      </w:hyperlink>
    </w:p>
    <w:p w:rsidRPr="00025343" w:rsidR="00025343" w:rsidP="00025343" w:rsidRDefault="00025343" w14:paraId="07CE56B3" w14:textId="576C118A">
      <w:pPr>
        <w:widowControl w:val="0"/>
        <w:overflowPunct w:val="0"/>
        <w:autoSpaceDE w:val="0"/>
        <w:autoSpaceDN w:val="0"/>
        <w:adjustRightInd w:val="0"/>
        <w:ind w:left="266"/>
        <w:textAlignment w:val="baseline"/>
        <w:rPr>
          <w:b/>
        </w:rPr>
      </w:pPr>
    </w:p>
    <w:tbl>
      <w:tblPr>
        <w:tblStyle w:val="TableGrid216"/>
        <w:tblW w:w="453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0"/>
        <w:gridCol w:w="5973"/>
      </w:tblGrid>
      <w:tr w:rsidRPr="00025343" w:rsidR="00025343" w:rsidTr="00FE3058" w14:paraId="2AF8F4F0" w14:textId="77777777">
        <w:trPr>
          <w:trHeight w:val="337"/>
        </w:trPr>
        <w:tc>
          <w:tcPr>
            <w:tcW w:w="1310" w:type="pct"/>
          </w:tcPr>
          <w:p w:rsidRPr="00025343" w:rsidR="00025343" w:rsidP="00DC0FAE" w:rsidRDefault="00025343" w14:paraId="11E0BB11" w14:textId="77777777">
            <w:pPr>
              <w:tabs>
                <w:tab w:val="center" w:pos="284"/>
              </w:tabs>
              <w:overflowPunct w:val="0"/>
              <w:autoSpaceDE w:val="0"/>
              <w:autoSpaceDN w:val="0"/>
              <w:adjustRightInd w:val="0"/>
              <w:ind w:left="266" w:hanging="92"/>
              <w:textAlignment w:val="baseline"/>
              <w:rPr>
                <w:b/>
              </w:rPr>
            </w:pPr>
            <w:r>
              <w:rPr>
                <w:b/>
              </w:rPr>
              <w:t>Ponente</w:t>
            </w:r>
          </w:p>
        </w:tc>
        <w:tc>
          <w:tcPr>
            <w:tcW w:w="3690" w:type="pct"/>
          </w:tcPr>
          <w:p w:rsidRPr="00025343" w:rsidR="00025343" w:rsidP="00DC0FAE" w:rsidRDefault="00025343" w14:paraId="75752AD4" w14:textId="7ACD3C64">
            <w:pPr>
              <w:tabs>
                <w:tab w:val="center" w:pos="0"/>
              </w:tabs>
              <w:overflowPunct w:val="0"/>
              <w:autoSpaceDE w:val="0"/>
              <w:autoSpaceDN w:val="0"/>
              <w:adjustRightInd w:val="0"/>
              <w:ind w:hanging="92"/>
              <w:textAlignment w:val="baseline"/>
            </w:pPr>
            <w:r>
              <w:t>Cristian PÎRVULESCU (Grupo de Organizaciones de la Sociedad Civil – RO)</w:t>
            </w:r>
          </w:p>
        </w:tc>
      </w:tr>
      <w:tr w:rsidRPr="00025343" w:rsidR="00025343" w:rsidTr="00FE3058" w14:paraId="1760181D" w14:textId="77777777">
        <w:trPr>
          <w:trHeight w:val="350"/>
        </w:trPr>
        <w:tc>
          <w:tcPr>
            <w:tcW w:w="1310" w:type="pct"/>
          </w:tcPr>
          <w:p w:rsidRPr="00025343" w:rsidR="00025343" w:rsidP="00DC0FAE" w:rsidRDefault="00025343" w14:paraId="2BD960A6" w14:textId="77777777">
            <w:pPr>
              <w:tabs>
                <w:tab w:val="center" w:pos="284"/>
              </w:tabs>
              <w:overflowPunct w:val="0"/>
              <w:autoSpaceDE w:val="0"/>
              <w:autoSpaceDN w:val="0"/>
              <w:adjustRightInd w:val="0"/>
              <w:ind w:left="266" w:hanging="92"/>
              <w:textAlignment w:val="baseline"/>
              <w:rPr>
                <w:b/>
              </w:rPr>
            </w:pPr>
            <w:r>
              <w:rPr>
                <w:b/>
              </w:rPr>
              <w:t>Coponentes</w:t>
            </w:r>
          </w:p>
        </w:tc>
        <w:tc>
          <w:tcPr>
            <w:tcW w:w="3690" w:type="pct"/>
          </w:tcPr>
          <w:p w:rsidRPr="00025343" w:rsidR="00025343" w:rsidP="00DC0FAE" w:rsidRDefault="00025343" w14:paraId="4D5D8264" w14:textId="0F078110">
            <w:pPr>
              <w:overflowPunct w:val="0"/>
              <w:autoSpaceDE w:val="0"/>
              <w:autoSpaceDN w:val="0"/>
              <w:adjustRightInd w:val="0"/>
              <w:ind w:hanging="92"/>
              <w:textAlignment w:val="baseline"/>
            </w:pPr>
            <w:r>
              <w:t>Milena ANGELOVA (Grupo de Empresarios – BG)</w:t>
            </w:r>
          </w:p>
        </w:tc>
      </w:tr>
      <w:tr w:rsidRPr="00025343" w:rsidR="00025343" w:rsidTr="00FE3058" w14:paraId="2C6DD60C" w14:textId="77777777">
        <w:trPr>
          <w:trHeight w:val="180"/>
        </w:trPr>
        <w:tc>
          <w:tcPr>
            <w:tcW w:w="5000" w:type="pct"/>
            <w:gridSpan w:val="2"/>
          </w:tcPr>
          <w:p w:rsidRPr="00025343" w:rsidR="00025343" w:rsidP="00DC0FAE" w:rsidRDefault="00025343" w14:paraId="5C89C595" w14:textId="77777777">
            <w:pPr>
              <w:tabs>
                <w:tab w:val="center" w:pos="284"/>
              </w:tabs>
              <w:overflowPunct w:val="0"/>
              <w:autoSpaceDE w:val="0"/>
              <w:autoSpaceDN w:val="0"/>
              <w:adjustRightInd w:val="0"/>
              <w:spacing w:line="160" w:lineRule="exact"/>
              <w:ind w:left="266" w:hanging="92"/>
              <w:textAlignment w:val="baseline"/>
            </w:pPr>
          </w:p>
        </w:tc>
      </w:tr>
      <w:tr w:rsidRPr="00025343" w:rsidR="00025343" w:rsidTr="00FE3058" w14:paraId="6FBC34E5" w14:textId="77777777">
        <w:trPr>
          <w:trHeight w:val="337"/>
        </w:trPr>
        <w:tc>
          <w:tcPr>
            <w:tcW w:w="1310" w:type="pct"/>
          </w:tcPr>
          <w:p w:rsidRPr="00025343" w:rsidR="00025343" w:rsidP="00DC0FAE" w:rsidRDefault="00025343" w14:paraId="0CB959F0" w14:textId="77777777">
            <w:pPr>
              <w:tabs>
                <w:tab w:val="center" w:pos="284"/>
              </w:tabs>
              <w:overflowPunct w:val="0"/>
              <w:autoSpaceDE w:val="0"/>
              <w:autoSpaceDN w:val="0"/>
              <w:adjustRightInd w:val="0"/>
              <w:ind w:left="266" w:hanging="92"/>
              <w:textAlignment w:val="baseline"/>
              <w:rPr>
                <w:b/>
              </w:rPr>
            </w:pPr>
            <w:r>
              <w:rPr>
                <w:b/>
              </w:rPr>
              <w:t>Referencias</w:t>
            </w:r>
          </w:p>
        </w:tc>
        <w:tc>
          <w:tcPr>
            <w:tcW w:w="3690" w:type="pct"/>
          </w:tcPr>
          <w:p w:rsidR="00073B39" w:rsidRDefault="00073B39" w14:paraId="4E56704D" w14:textId="77D55C36">
            <w:pPr>
              <w:overflowPunct w:val="0"/>
              <w:autoSpaceDE w:val="0"/>
              <w:autoSpaceDN w:val="0"/>
              <w:adjustRightInd w:val="0"/>
              <w:ind w:left="38" w:hanging="92"/>
              <w:textAlignment w:val="baseline"/>
            </w:pPr>
            <w:r>
              <w:t>JOIN(2023) 51 final</w:t>
            </w:r>
          </w:p>
          <w:p w:rsidRPr="00025343" w:rsidR="00025343" w:rsidP="00DC0FAE" w:rsidRDefault="00025343" w14:paraId="3DBBFBEB" w14:textId="41A0BBEE">
            <w:pPr>
              <w:overflowPunct w:val="0"/>
              <w:autoSpaceDE w:val="0"/>
              <w:autoSpaceDN w:val="0"/>
              <w:adjustRightInd w:val="0"/>
              <w:ind w:left="38" w:hanging="92"/>
              <w:textAlignment w:val="baseline"/>
            </w:pPr>
            <w:r>
              <w:t>EESC-2024-00795-00-00-AC</w:t>
            </w:r>
          </w:p>
        </w:tc>
      </w:tr>
    </w:tbl>
    <w:p w:rsidRPr="00025343" w:rsidR="00025343" w:rsidP="00025343" w:rsidRDefault="00025343" w14:paraId="22461CD2" w14:textId="77777777">
      <w:pPr>
        <w:tabs>
          <w:tab w:val="center" w:pos="284"/>
        </w:tabs>
        <w:overflowPunct w:val="0"/>
        <w:autoSpaceDE w:val="0"/>
        <w:autoSpaceDN w:val="0"/>
        <w:adjustRightInd w:val="0"/>
        <w:ind w:left="266" w:hanging="266"/>
        <w:textAlignment w:val="baseline"/>
        <w:rPr>
          <w:b/>
        </w:rPr>
      </w:pPr>
    </w:p>
    <w:p w:rsidRPr="00025343" w:rsidR="00025343" w:rsidP="00025343" w:rsidRDefault="00025343" w14:paraId="76CC5FDB" w14:textId="77777777">
      <w:pPr>
        <w:tabs>
          <w:tab w:val="center" w:pos="284"/>
        </w:tabs>
        <w:overflowPunct w:val="0"/>
        <w:autoSpaceDE w:val="0"/>
        <w:autoSpaceDN w:val="0"/>
        <w:adjustRightInd w:val="0"/>
        <w:ind w:left="266" w:hanging="266"/>
        <w:textAlignment w:val="baseline"/>
        <w:rPr>
          <w:b/>
        </w:rPr>
      </w:pPr>
      <w:r>
        <w:rPr>
          <w:b/>
        </w:rPr>
        <w:t>Puntos clave</w:t>
      </w:r>
    </w:p>
    <w:p w:rsidRPr="00025343" w:rsidR="00025343" w:rsidP="00025343" w:rsidRDefault="00025343" w14:paraId="19863DE9" w14:textId="77777777">
      <w:pPr>
        <w:tabs>
          <w:tab w:val="center" w:pos="284"/>
        </w:tabs>
        <w:overflowPunct w:val="0"/>
        <w:autoSpaceDE w:val="0"/>
        <w:autoSpaceDN w:val="0"/>
        <w:adjustRightInd w:val="0"/>
        <w:ind w:left="266" w:hanging="266"/>
        <w:textAlignment w:val="baseline"/>
        <w:rPr>
          <w:b/>
        </w:rPr>
      </w:pPr>
    </w:p>
    <w:p w:rsidR="00025343" w:rsidP="00025343" w:rsidRDefault="00025343" w14:paraId="4E01D61B" w14:textId="1C55CBF5">
      <w:pPr>
        <w:overflowPunct w:val="0"/>
        <w:autoSpaceDE w:val="0"/>
        <w:autoSpaceDN w:val="0"/>
        <w:adjustRightInd w:val="0"/>
        <w:textAlignment w:val="baseline"/>
        <w:rPr>
          <w:bCs/>
          <w:iCs/>
        </w:rPr>
      </w:pPr>
      <w:r>
        <w:t>El CESE:</w:t>
      </w:r>
    </w:p>
    <w:p w:rsidRPr="00025343" w:rsidR="00360C2F" w:rsidP="00025343" w:rsidRDefault="00360C2F" w14:paraId="227E2908" w14:textId="77777777">
      <w:pPr>
        <w:overflowPunct w:val="0"/>
        <w:autoSpaceDE w:val="0"/>
        <w:autoSpaceDN w:val="0"/>
        <w:adjustRightInd w:val="0"/>
        <w:textAlignment w:val="baseline"/>
        <w:rPr>
          <w:bCs/>
          <w:iCs/>
        </w:rPr>
      </w:pPr>
    </w:p>
    <w:p w:rsidRPr="00025343" w:rsidR="00025343" w:rsidP="00DC0FAE" w:rsidRDefault="00025343" w14:paraId="377FA812" w14:textId="77777777">
      <w:pPr>
        <w:widowControl w:val="0"/>
        <w:numPr>
          <w:ilvl w:val="0"/>
          <w:numId w:val="17"/>
        </w:numPr>
        <w:overflowPunct w:val="0"/>
        <w:autoSpaceDE w:val="0"/>
        <w:autoSpaceDN w:val="0"/>
        <w:adjustRightInd w:val="0"/>
        <w:ind w:left="284" w:hanging="284"/>
        <w:textAlignment w:val="baseline"/>
        <w:rPr>
          <w:bCs/>
          <w:iCs/>
        </w:rPr>
      </w:pPr>
      <w:r>
        <w:t>acoge con satisfacción la Comunicación, al tiempo que subraya la necesidad de una asociación de mayor envergadura con las organizaciones de la sociedad civil. Pide campañas de sensibilización y esfuerzos para combatir, tanto fuera de línea como en línea, los «ecosistemas» del odio, y recuerda la responsabilidad que incumbe a los políticos de evitar el lenguaje de incitación al odio;</w:t>
      </w:r>
    </w:p>
    <w:p w:rsidRPr="00025343" w:rsidR="00025343" w:rsidP="00DC0FAE" w:rsidRDefault="00025343" w14:paraId="375F8159" w14:textId="77777777">
      <w:pPr>
        <w:widowControl w:val="0"/>
        <w:numPr>
          <w:ilvl w:val="0"/>
          <w:numId w:val="17"/>
        </w:numPr>
        <w:overflowPunct w:val="0"/>
        <w:autoSpaceDE w:val="0"/>
        <w:autoSpaceDN w:val="0"/>
        <w:adjustRightInd w:val="0"/>
        <w:ind w:left="284" w:hanging="284"/>
        <w:textAlignment w:val="baseline"/>
        <w:rPr>
          <w:bCs/>
          <w:iCs/>
        </w:rPr>
      </w:pPr>
      <w:r>
        <w:t>pide a la UE que adopte un planteamiento global y luche contra el odio por razón de cualquier característica humana protegida para una implantación efectiva de las distintas estrategias e iniciativas que promueven la igualdad y la no discriminación, y utilicen fundamentalmente el mismo enfoque para luchar contra todo tipo de odio. Los cuerpos y fuerzas de seguridad de los Estados miembros deben estar plenamente capacitados para reconocer y tratar adecuadamente estos casos, con el debido respeto a la vulnerabilidad y los derechos fundamentales de las víctimas;</w:t>
      </w:r>
    </w:p>
    <w:p w:rsidRPr="00025343" w:rsidR="00025343" w:rsidP="00DC0FAE" w:rsidRDefault="00025343" w14:paraId="65F1FFC2" w14:textId="77777777">
      <w:pPr>
        <w:widowControl w:val="0"/>
        <w:numPr>
          <w:ilvl w:val="0"/>
          <w:numId w:val="17"/>
        </w:numPr>
        <w:overflowPunct w:val="0"/>
        <w:autoSpaceDE w:val="0"/>
        <w:autoSpaceDN w:val="0"/>
        <w:adjustRightInd w:val="0"/>
        <w:ind w:left="284" w:hanging="284"/>
        <w:textAlignment w:val="baseline"/>
        <w:rPr>
          <w:bCs/>
          <w:iCs/>
        </w:rPr>
      </w:pPr>
      <w:r>
        <w:t>lamenta que la campaña contra el odio en las plataformas en línea esté poco desarrollada en cuanto a escala e impacto. Debe potenciarse el papel y los conocimientos de los alertadores para abarcar sistemáticamente todos los tipos de prejuicios de odio en línea. Debe mejorarse la alfabetización mediática y digital para garantizar una información más eficaz;</w:t>
      </w:r>
    </w:p>
    <w:p w:rsidRPr="00025343" w:rsidR="00025343" w:rsidP="00DC0FAE" w:rsidRDefault="00025343" w14:paraId="0FED99CF" w14:textId="77777777">
      <w:pPr>
        <w:widowControl w:val="0"/>
        <w:numPr>
          <w:ilvl w:val="0"/>
          <w:numId w:val="17"/>
        </w:numPr>
        <w:overflowPunct w:val="0"/>
        <w:autoSpaceDE w:val="0"/>
        <w:autoSpaceDN w:val="0"/>
        <w:adjustRightInd w:val="0"/>
        <w:ind w:left="284" w:hanging="284"/>
        <w:textAlignment w:val="baseline"/>
        <w:rPr>
          <w:bCs/>
          <w:iCs/>
        </w:rPr>
      </w:pPr>
      <w:r>
        <w:t>considera que debe reforzarse la operatividad del trabajo del Grupo de Alto Nivel sobre la incitación al odio y los delitos de odio, desarrollar la formación y la capacitación de la sociedad civil, y la eficacia de la denuncia. Los informes y las evaluaciones comparativas deben utilizarse para determinar los avances. La denuncia de delitos de odio debería normalizarse e institucionalizarse a escala de la UE. Los mecanismos de denuncia deben estar disponibles y ser accesibles; por ello, anima a la Comisión a crear una plataforma en línea para que las organizaciones de la sociedad civil y los defensores de los derechos humanos puedan denunciar con rapidez los incidentes;</w:t>
      </w:r>
    </w:p>
    <w:p w:rsidRPr="00025343" w:rsidR="00025343" w:rsidP="00DC0FAE" w:rsidRDefault="00025343" w14:paraId="293255FE" w14:textId="77777777">
      <w:pPr>
        <w:widowControl w:val="0"/>
        <w:numPr>
          <w:ilvl w:val="0"/>
          <w:numId w:val="17"/>
        </w:numPr>
        <w:overflowPunct w:val="0"/>
        <w:autoSpaceDE w:val="0"/>
        <w:autoSpaceDN w:val="0"/>
        <w:adjustRightInd w:val="0"/>
        <w:ind w:left="284" w:hanging="284"/>
        <w:textAlignment w:val="baseline"/>
        <w:rPr>
          <w:bCs/>
          <w:iCs/>
        </w:rPr>
      </w:pPr>
      <w:r>
        <w:t>hace hincapié en que la Comisión debe organizar una revisión del trabajo de las organizaciones de la sociedad civil –así como de los alertadores fiables– y proponer medidas para reforzar su eficacia y que su labor esté a la altura de los retos actuales. La UE debe insistir en que las grandes plataformas en línea impidan que sus algoritmos amplifiquen el odio, y debe utilizar fondos del el programa Ciudadanos, Igualdad, Derechos y Valores (CERV, por sus siglas en inglés) y Horizonte Europa para identificar y combatir los «ecosistemas» del odio en línea, y permitir que las capacidades educativas y de investigación existentes contribuyan a este objetivo. Erasmus+ podría también contribuir a este objetivo.</w:t>
      </w:r>
    </w:p>
    <w:p w:rsidRPr="00025343" w:rsidR="00025343" w:rsidP="00025343" w:rsidRDefault="00025343" w14:paraId="0B19C92B" w14:textId="77777777">
      <w:pPr>
        <w:widowControl w:val="0"/>
        <w:overflowPunct w:val="0"/>
        <w:autoSpaceDE w:val="0"/>
        <w:autoSpaceDN w:val="0"/>
        <w:adjustRightInd w:val="0"/>
        <w:ind w:left="424"/>
        <w:textAlignment w:val="baseline"/>
        <w:rPr>
          <w:bCs/>
          <w:iCs/>
        </w:rPr>
      </w:pPr>
    </w:p>
    <w:tbl>
      <w:tblPr>
        <w:tblStyle w:val="TableGrid2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025343" w:rsidR="00025343" w:rsidTr="00FE3058" w14:paraId="2383B5F9" w14:textId="77777777">
        <w:trPr>
          <w:trHeight w:val="60"/>
        </w:trPr>
        <w:tc>
          <w:tcPr>
            <w:tcW w:w="1556" w:type="pct"/>
          </w:tcPr>
          <w:p w:rsidRPr="00025343" w:rsidR="00025343" w:rsidP="00025343" w:rsidRDefault="00025343" w14:paraId="77472C91" w14:textId="77777777">
            <w:pPr>
              <w:overflowPunct w:val="0"/>
              <w:autoSpaceDE w:val="0"/>
              <w:autoSpaceDN w:val="0"/>
              <w:adjustRightInd w:val="0"/>
              <w:spacing w:line="240" w:lineRule="auto"/>
              <w:textAlignment w:val="baseline"/>
              <w:rPr>
                <w:i/>
              </w:rPr>
            </w:pPr>
            <w:r>
              <w:rPr>
                <w:b/>
                <w:i/>
              </w:rPr>
              <w:t>Contacto:</w:t>
            </w:r>
          </w:p>
        </w:tc>
        <w:tc>
          <w:tcPr>
            <w:tcW w:w="3444" w:type="pct"/>
          </w:tcPr>
          <w:p w:rsidRPr="00025343" w:rsidR="00025343" w:rsidP="00025343" w:rsidRDefault="00025343" w14:paraId="0085AE7E" w14:textId="77777777">
            <w:pPr>
              <w:overflowPunct w:val="0"/>
              <w:autoSpaceDE w:val="0"/>
              <w:autoSpaceDN w:val="0"/>
              <w:adjustRightInd w:val="0"/>
              <w:spacing w:line="240" w:lineRule="auto"/>
              <w:textAlignment w:val="baseline"/>
              <w:rPr>
                <w:i/>
              </w:rPr>
            </w:pPr>
            <w:r>
              <w:rPr>
                <w:i/>
              </w:rPr>
              <w:t>June Bedaton</w:t>
            </w:r>
          </w:p>
        </w:tc>
      </w:tr>
      <w:tr w:rsidRPr="00025343" w:rsidR="00025343" w:rsidTr="00FE3058" w14:paraId="5D5A7669" w14:textId="77777777">
        <w:tc>
          <w:tcPr>
            <w:tcW w:w="1556" w:type="pct"/>
          </w:tcPr>
          <w:p w:rsidRPr="00025343" w:rsidR="00025343" w:rsidP="00025343" w:rsidRDefault="00025343" w14:paraId="0EE8CCA8" w14:textId="77777777">
            <w:pPr>
              <w:overflowPunct w:val="0"/>
              <w:autoSpaceDE w:val="0"/>
              <w:autoSpaceDN w:val="0"/>
              <w:adjustRightInd w:val="0"/>
              <w:spacing w:line="240" w:lineRule="auto"/>
              <w:textAlignment w:val="baseline"/>
              <w:rPr>
                <w:i/>
              </w:rPr>
            </w:pPr>
            <w:r>
              <w:rPr>
                <w:i/>
              </w:rPr>
              <w:t>Teléfono:</w:t>
            </w:r>
          </w:p>
        </w:tc>
        <w:tc>
          <w:tcPr>
            <w:tcW w:w="3444" w:type="pct"/>
          </w:tcPr>
          <w:p w:rsidRPr="00025343" w:rsidR="00025343" w:rsidP="00025343" w:rsidRDefault="00025343" w14:paraId="13FFF4AE" w14:textId="77777777">
            <w:pPr>
              <w:overflowPunct w:val="0"/>
              <w:autoSpaceDE w:val="0"/>
              <w:autoSpaceDN w:val="0"/>
              <w:adjustRightInd w:val="0"/>
              <w:spacing w:line="240" w:lineRule="auto"/>
              <w:textAlignment w:val="baseline"/>
              <w:rPr>
                <w:i/>
              </w:rPr>
            </w:pPr>
            <w:r>
              <w:rPr>
                <w:i/>
              </w:rPr>
              <w:t>+32 25468134</w:t>
            </w:r>
          </w:p>
        </w:tc>
      </w:tr>
      <w:tr w:rsidRPr="00025343" w:rsidR="00025343" w:rsidTr="00FE3058" w14:paraId="3F8348DB" w14:textId="77777777">
        <w:tc>
          <w:tcPr>
            <w:tcW w:w="1556" w:type="pct"/>
          </w:tcPr>
          <w:p w:rsidRPr="00025343" w:rsidR="00025343" w:rsidP="00025343" w:rsidRDefault="00025343" w14:paraId="727D8F5E" w14:textId="77777777">
            <w:pPr>
              <w:overflowPunct w:val="0"/>
              <w:autoSpaceDE w:val="0"/>
              <w:autoSpaceDN w:val="0"/>
              <w:adjustRightInd w:val="0"/>
              <w:spacing w:line="240" w:lineRule="auto"/>
              <w:textAlignment w:val="baseline"/>
              <w:rPr>
                <w:i/>
              </w:rPr>
            </w:pPr>
            <w:r>
              <w:rPr>
                <w:i/>
              </w:rPr>
              <w:t>Correo electrónico:</w:t>
            </w:r>
          </w:p>
        </w:tc>
        <w:tc>
          <w:tcPr>
            <w:tcW w:w="3444" w:type="pct"/>
          </w:tcPr>
          <w:p w:rsidRPr="00025343" w:rsidR="00025343" w:rsidP="00025343" w:rsidRDefault="00EC7E2B" w14:paraId="55F1FCFD" w14:textId="77777777">
            <w:pPr>
              <w:overflowPunct w:val="0"/>
              <w:autoSpaceDE w:val="0"/>
              <w:autoSpaceDN w:val="0"/>
              <w:adjustRightInd w:val="0"/>
              <w:spacing w:line="240" w:lineRule="auto"/>
              <w:textAlignment w:val="baseline"/>
              <w:rPr>
                <w:i/>
              </w:rPr>
            </w:pPr>
            <w:hyperlink w:history="1" r:id="rId29">
              <w:r w:rsidR="00C866D0">
                <w:rPr>
                  <w:i/>
                  <w:color w:val="0000FF"/>
                  <w:u w:val="single"/>
                </w:rPr>
                <w:t>June.Bedaton@eesc.europa.eu</w:t>
              </w:r>
            </w:hyperlink>
          </w:p>
        </w:tc>
      </w:tr>
    </w:tbl>
    <w:p w:rsidRPr="00D71D11" w:rsidR="00502E1F" w:rsidRDefault="00502E1F" w14:paraId="3D58FF9D" w14:textId="2586B74C">
      <w:pPr>
        <w:spacing w:after="160" w:line="259" w:lineRule="auto"/>
        <w:jc w:val="left"/>
        <w:rPr>
          <w:sz w:val="14"/>
          <w:szCs w:val="14"/>
        </w:rPr>
      </w:pPr>
      <w:r>
        <w:br w:type="page"/>
      </w:r>
    </w:p>
    <w:p w:rsidRPr="00EE2FBD" w:rsidR="004C3902" w:rsidP="00770F41" w:rsidRDefault="008E2A59" w14:paraId="7AD922B6" w14:textId="2BABB602">
      <w:pPr>
        <w:pStyle w:val="Heading1"/>
        <w:tabs>
          <w:tab w:val="clear" w:pos="440"/>
          <w:tab w:val="left" w:pos="567"/>
        </w:tabs>
        <w:ind w:left="567" w:hanging="567"/>
        <w:rPr>
          <w:b/>
          <w:bCs/>
        </w:rPr>
      </w:pPr>
      <w:bookmarkStart w:name="_Toc166847134" w:id="2"/>
      <w:bookmarkStart w:name="_Toc168332492" w:id="3"/>
      <w:bookmarkEnd w:id="2"/>
      <w:r>
        <w:rPr>
          <w:b/>
        </w:rPr>
        <w:lastRenderedPageBreak/>
        <w:t>AGRICULTURA, DESARROLLO RURAL Y MEDIO AMBIENTE</w:t>
      </w:r>
      <w:bookmarkEnd w:id="3"/>
    </w:p>
    <w:p w:rsidR="005C28F2" w:rsidRDefault="005C28F2" w14:paraId="70C7CB4F" w14:textId="77777777">
      <w:pPr>
        <w:spacing w:after="160" w:line="259" w:lineRule="auto"/>
        <w:jc w:val="left"/>
        <w:rPr>
          <w:b/>
          <w:bCs/>
        </w:rPr>
      </w:pPr>
    </w:p>
    <w:p w:rsidR="00A329C8" w:rsidRDefault="00A329C8" w14:paraId="207163CE" w14:textId="67E9BB6A">
      <w:pPr>
        <w:spacing w:after="160" w:line="259" w:lineRule="auto"/>
        <w:jc w:val="left"/>
        <w:rPr>
          <w:b/>
          <w:bCs/>
        </w:rPr>
      </w:pPr>
    </w:p>
    <w:p w:rsidRPr="00A329C8" w:rsidR="00A329C8" w:rsidP="00DC0FAE" w:rsidRDefault="00EC7E2B" w14:paraId="54725696" w14:textId="5958EFA0">
      <w:pPr>
        <w:numPr>
          <w:ilvl w:val="0"/>
          <w:numId w:val="2"/>
        </w:numPr>
        <w:overflowPunct w:val="0"/>
        <w:autoSpaceDE w:val="0"/>
        <w:autoSpaceDN w:val="0"/>
        <w:adjustRightInd w:val="0"/>
        <w:spacing w:line="276" w:lineRule="auto"/>
        <w:contextualSpacing/>
        <w:jc w:val="left"/>
        <w:textAlignment w:val="baseline"/>
        <w:rPr>
          <w:i/>
          <w:iCs/>
        </w:rPr>
      </w:pPr>
      <w:hyperlink w:history="1" r:id="rId30">
        <w:r w:rsidR="004C1520">
          <w:rPr>
            <w:b/>
            <w:i/>
            <w:color w:val="0000FF"/>
            <w:sz w:val="28"/>
            <w:u w:val="single"/>
          </w:rPr>
          <w:t>Objetivo climático de la UE para 2040</w:t>
        </w:r>
      </w:hyperlink>
    </w:p>
    <w:p w:rsidRPr="00A329C8" w:rsidR="00A329C8" w:rsidP="00A329C8" w:rsidRDefault="00A329C8" w14:paraId="41709063" w14:textId="77777777">
      <w:pPr>
        <w:widowControl w:val="0"/>
        <w:overflowPunct w:val="0"/>
        <w:autoSpaceDE w:val="0"/>
        <w:autoSpaceDN w:val="0"/>
        <w:adjustRightInd w:val="0"/>
        <w:ind w:left="567"/>
        <w:textAlignment w:val="baseline"/>
        <w:rPr>
          <w:bCs/>
          <w:sz w:val="16"/>
          <w:szCs w:val="16"/>
        </w:rPr>
      </w:pPr>
    </w:p>
    <w:tbl>
      <w:tblPr>
        <w:tblStyle w:val="TableGrid2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A329C8" w:rsidR="00A329C8" w:rsidTr="00FE3058" w14:paraId="1072566D" w14:textId="77777777">
        <w:tc>
          <w:tcPr>
            <w:tcW w:w="1701" w:type="dxa"/>
          </w:tcPr>
          <w:p w:rsidRPr="00A329C8" w:rsidR="00A329C8" w:rsidRDefault="00A329C8" w14:paraId="165FF2EB" w14:textId="77777777">
            <w:pPr>
              <w:tabs>
                <w:tab w:val="center" w:pos="284"/>
              </w:tabs>
              <w:overflowPunct w:val="0"/>
              <w:autoSpaceDE w:val="0"/>
              <w:autoSpaceDN w:val="0"/>
              <w:adjustRightInd w:val="0"/>
              <w:ind w:left="266" w:hanging="266"/>
              <w:textAlignment w:val="baseline"/>
              <w:rPr>
                <w:b/>
              </w:rPr>
            </w:pPr>
            <w:r>
              <w:rPr>
                <w:b/>
              </w:rPr>
              <w:t>Ponente</w:t>
            </w:r>
          </w:p>
        </w:tc>
        <w:tc>
          <w:tcPr>
            <w:tcW w:w="6096" w:type="dxa"/>
          </w:tcPr>
          <w:p w:rsidRPr="00A329C8" w:rsidR="00A329C8" w:rsidRDefault="00A329C8" w14:paraId="79F6E9C0" w14:textId="43EDADDC">
            <w:pPr>
              <w:tabs>
                <w:tab w:val="center" w:pos="284"/>
              </w:tabs>
              <w:overflowPunct w:val="0"/>
              <w:autoSpaceDE w:val="0"/>
              <w:autoSpaceDN w:val="0"/>
              <w:adjustRightInd w:val="0"/>
              <w:ind w:left="266" w:hanging="266"/>
              <w:textAlignment w:val="baseline"/>
              <w:rPr>
                <w:bCs/>
              </w:rPr>
            </w:pPr>
            <w:r>
              <w:rPr>
                <w:b/>
              </w:rPr>
              <w:t>Teppo SÄKKINEN</w:t>
            </w:r>
            <w:r>
              <w:t xml:space="preserve"> (Grupo de Empresarios – FI)</w:t>
            </w:r>
          </w:p>
        </w:tc>
      </w:tr>
      <w:tr w:rsidRPr="00A329C8" w:rsidR="00A329C8" w:rsidTr="00FE3058" w14:paraId="41523448" w14:textId="77777777">
        <w:tc>
          <w:tcPr>
            <w:tcW w:w="7797" w:type="dxa"/>
            <w:gridSpan w:val="2"/>
          </w:tcPr>
          <w:p w:rsidRPr="00A329C8" w:rsidR="00A329C8" w:rsidRDefault="00A329C8" w14:paraId="0D6A47D3" w14:textId="77777777">
            <w:pPr>
              <w:tabs>
                <w:tab w:val="left" w:pos="2690"/>
              </w:tabs>
              <w:overflowPunct w:val="0"/>
              <w:autoSpaceDE w:val="0"/>
              <w:autoSpaceDN w:val="0"/>
              <w:adjustRightInd w:val="0"/>
              <w:spacing w:line="160" w:lineRule="exact"/>
              <w:ind w:left="266" w:hanging="266"/>
              <w:textAlignment w:val="baseline"/>
              <w:rPr>
                <w:sz w:val="10"/>
                <w:szCs w:val="10"/>
              </w:rPr>
            </w:pPr>
          </w:p>
        </w:tc>
      </w:tr>
      <w:tr w:rsidRPr="00A329C8" w:rsidR="00A329C8" w:rsidTr="00FE3058" w14:paraId="4CD963E6" w14:textId="77777777">
        <w:tc>
          <w:tcPr>
            <w:tcW w:w="1701" w:type="dxa"/>
            <w:vMerge w:val="restart"/>
          </w:tcPr>
          <w:p w:rsidRPr="00A329C8" w:rsidR="00A329C8" w:rsidRDefault="00A329C8" w14:paraId="09AC84B4" w14:textId="77777777">
            <w:pPr>
              <w:tabs>
                <w:tab w:val="center" w:pos="284"/>
              </w:tabs>
              <w:overflowPunct w:val="0"/>
              <w:autoSpaceDE w:val="0"/>
              <w:autoSpaceDN w:val="0"/>
              <w:adjustRightInd w:val="0"/>
              <w:ind w:left="266" w:hanging="266"/>
              <w:textAlignment w:val="baseline"/>
              <w:rPr>
                <w:b/>
              </w:rPr>
            </w:pPr>
            <w:r>
              <w:rPr>
                <w:b/>
              </w:rPr>
              <w:t>Referencias</w:t>
            </w:r>
          </w:p>
        </w:tc>
        <w:tc>
          <w:tcPr>
            <w:tcW w:w="6096" w:type="dxa"/>
          </w:tcPr>
          <w:p w:rsidRPr="00A329C8" w:rsidR="00A329C8" w:rsidRDefault="00A329C8" w14:paraId="3A6B9900" w14:textId="77777777">
            <w:pPr>
              <w:tabs>
                <w:tab w:val="center" w:pos="284"/>
              </w:tabs>
              <w:overflowPunct w:val="0"/>
              <w:autoSpaceDE w:val="0"/>
              <w:autoSpaceDN w:val="0"/>
              <w:adjustRightInd w:val="0"/>
              <w:ind w:left="266" w:hanging="266"/>
              <w:textAlignment w:val="baseline"/>
            </w:pPr>
            <w:r>
              <w:t>COM(2024) 63 final</w:t>
            </w:r>
          </w:p>
        </w:tc>
      </w:tr>
      <w:tr w:rsidRPr="00A329C8" w:rsidR="00A329C8" w:rsidTr="00FE3058" w14:paraId="42B3A032" w14:textId="77777777">
        <w:tc>
          <w:tcPr>
            <w:tcW w:w="1701" w:type="dxa"/>
            <w:vMerge/>
          </w:tcPr>
          <w:p w:rsidRPr="00A329C8" w:rsidR="00A329C8" w:rsidRDefault="00A329C8" w14:paraId="4ADA52A9" w14:textId="77777777">
            <w:pPr>
              <w:tabs>
                <w:tab w:val="center" w:pos="284"/>
              </w:tabs>
              <w:overflowPunct w:val="0"/>
              <w:autoSpaceDE w:val="0"/>
              <w:autoSpaceDN w:val="0"/>
              <w:adjustRightInd w:val="0"/>
              <w:ind w:left="266" w:hanging="266"/>
              <w:textAlignment w:val="baseline"/>
              <w:rPr>
                <w:b/>
              </w:rPr>
            </w:pPr>
          </w:p>
        </w:tc>
        <w:tc>
          <w:tcPr>
            <w:tcW w:w="6096" w:type="dxa"/>
          </w:tcPr>
          <w:p w:rsidRPr="00A329C8" w:rsidR="00A329C8" w:rsidRDefault="00A329C8" w14:paraId="34A1EAA6" w14:textId="10339782">
            <w:pPr>
              <w:tabs>
                <w:tab w:val="center" w:pos="284"/>
              </w:tabs>
              <w:overflowPunct w:val="0"/>
              <w:autoSpaceDE w:val="0"/>
              <w:autoSpaceDN w:val="0"/>
              <w:adjustRightInd w:val="0"/>
              <w:ind w:left="266" w:hanging="266"/>
              <w:textAlignment w:val="baseline"/>
            </w:pPr>
            <w:r>
              <w:t>EESC-2024-00418-00-00-AC</w:t>
            </w:r>
          </w:p>
        </w:tc>
      </w:tr>
    </w:tbl>
    <w:p w:rsidRPr="00A329C8" w:rsidR="00A329C8" w:rsidP="00A329C8" w:rsidRDefault="00A329C8" w14:paraId="0015795B" w14:textId="77777777">
      <w:pPr>
        <w:keepNext/>
        <w:keepLines/>
        <w:tabs>
          <w:tab w:val="center" w:pos="284"/>
        </w:tabs>
        <w:overflowPunct w:val="0"/>
        <w:autoSpaceDE w:val="0"/>
        <w:autoSpaceDN w:val="0"/>
        <w:adjustRightInd w:val="0"/>
        <w:ind w:left="266" w:hanging="266"/>
        <w:textAlignment w:val="baseline"/>
        <w:rPr>
          <w:b/>
          <w:sz w:val="10"/>
          <w:szCs w:val="10"/>
        </w:rPr>
      </w:pPr>
    </w:p>
    <w:p w:rsidRPr="00A329C8" w:rsidR="00A329C8" w:rsidP="00A329C8" w:rsidRDefault="00A329C8" w14:paraId="52DD4DB5" w14:textId="77777777">
      <w:pPr>
        <w:keepNext/>
        <w:keepLines/>
        <w:tabs>
          <w:tab w:val="center" w:pos="284"/>
        </w:tabs>
        <w:overflowPunct w:val="0"/>
        <w:autoSpaceDE w:val="0"/>
        <w:autoSpaceDN w:val="0"/>
        <w:adjustRightInd w:val="0"/>
        <w:spacing w:line="276" w:lineRule="auto"/>
        <w:ind w:left="266" w:hanging="266"/>
        <w:textAlignment w:val="baseline"/>
        <w:rPr>
          <w:b/>
        </w:rPr>
      </w:pPr>
      <w:r>
        <w:rPr>
          <w:b/>
        </w:rPr>
        <w:t>Puntos clave</w:t>
      </w:r>
    </w:p>
    <w:p w:rsidRPr="00A329C8" w:rsidR="00A329C8" w:rsidP="00A329C8" w:rsidRDefault="00A329C8" w14:paraId="0EFAF4B2" w14:textId="77777777">
      <w:pPr>
        <w:keepNext/>
        <w:keepLines/>
        <w:tabs>
          <w:tab w:val="center" w:pos="284"/>
        </w:tabs>
        <w:overflowPunct w:val="0"/>
        <w:autoSpaceDE w:val="0"/>
        <w:autoSpaceDN w:val="0"/>
        <w:adjustRightInd w:val="0"/>
        <w:spacing w:line="276" w:lineRule="auto"/>
        <w:ind w:left="266" w:hanging="266"/>
        <w:textAlignment w:val="baseline"/>
        <w:rPr>
          <w:bCs/>
          <w:sz w:val="16"/>
          <w:szCs w:val="16"/>
        </w:rPr>
      </w:pPr>
    </w:p>
    <w:p w:rsidR="00A329C8" w:rsidP="00A329C8" w:rsidRDefault="00A329C8" w14:paraId="4C8A0CE8" w14:textId="68F5BE87">
      <w:pPr>
        <w:overflowPunct w:val="0"/>
        <w:autoSpaceDE w:val="0"/>
        <w:autoSpaceDN w:val="0"/>
        <w:adjustRightInd w:val="0"/>
        <w:spacing w:line="240" w:lineRule="auto"/>
        <w:textAlignment w:val="baseline"/>
        <w:rPr>
          <w:bCs/>
          <w:iCs/>
        </w:rPr>
      </w:pPr>
      <w:r>
        <w:t>El CESE:</w:t>
      </w:r>
    </w:p>
    <w:p w:rsidRPr="00A329C8" w:rsidR="00D12B39" w:rsidP="00A329C8" w:rsidRDefault="00D12B39" w14:paraId="369B2779" w14:textId="77777777">
      <w:pPr>
        <w:overflowPunct w:val="0"/>
        <w:autoSpaceDE w:val="0"/>
        <w:autoSpaceDN w:val="0"/>
        <w:adjustRightInd w:val="0"/>
        <w:spacing w:line="240" w:lineRule="auto"/>
        <w:textAlignment w:val="baseline"/>
        <w:rPr>
          <w:bCs/>
          <w:iCs/>
        </w:rPr>
      </w:pPr>
    </w:p>
    <w:p w:rsidRPr="00DC0FAE" w:rsidR="00A329C8" w:rsidP="00DC0FAE" w:rsidRDefault="00A329C8" w14:paraId="044AC65A" w14:textId="77777777">
      <w:pPr>
        <w:pStyle w:val="ListParagraph"/>
        <w:numPr>
          <w:ilvl w:val="0"/>
          <w:numId w:val="18"/>
        </w:numPr>
        <w:overflowPunct w:val="0"/>
        <w:autoSpaceDE w:val="0"/>
        <w:autoSpaceDN w:val="0"/>
        <w:adjustRightInd w:val="0"/>
        <w:ind w:left="284" w:hanging="284"/>
        <w:textAlignment w:val="baseline"/>
        <w:outlineLvl w:val="1"/>
        <w:rPr>
          <w:spacing w:val="-4"/>
          <w:szCs w:val="20"/>
        </w:rPr>
      </w:pPr>
      <w:r>
        <w:rPr>
          <w:b/>
        </w:rPr>
        <w:t>apoya el objetivo recomendado del 90 % para 2040</w:t>
      </w:r>
      <w:r>
        <w:t xml:space="preserve">, ya que se ajusta a los datos científicos sobre la parte que le corresponde a Europa en el objetivo de los 1,5 grados. Subraya que dicho </w:t>
      </w:r>
      <w:r>
        <w:rPr>
          <w:b/>
        </w:rPr>
        <w:t>objetivo es exigente</w:t>
      </w:r>
      <w:r>
        <w:t xml:space="preserve"> y solo puede alcanzarse si se aplican políticas propicias que garanticen la </w:t>
      </w:r>
      <w:r>
        <w:rPr>
          <w:b/>
        </w:rPr>
        <w:t>competitividad de las industrias europeas</w:t>
      </w:r>
      <w:r>
        <w:t xml:space="preserve"> y una </w:t>
      </w:r>
      <w:r>
        <w:rPr>
          <w:b/>
        </w:rPr>
        <w:t>transición justa</w:t>
      </w:r>
      <w:r>
        <w:t xml:space="preserve"> y utilicen todas las tecnologías con emisiones de carbono bajas o nulas de un modo rentable;</w:t>
      </w:r>
    </w:p>
    <w:p w:rsidRPr="00DC0FAE" w:rsidR="00A329C8" w:rsidP="00DC0FAE" w:rsidRDefault="00A329C8" w14:paraId="43A81807" w14:textId="77777777">
      <w:pPr>
        <w:pStyle w:val="ListParagraph"/>
        <w:numPr>
          <w:ilvl w:val="0"/>
          <w:numId w:val="19"/>
        </w:numPr>
        <w:overflowPunct w:val="0"/>
        <w:autoSpaceDE w:val="0"/>
        <w:autoSpaceDN w:val="0"/>
        <w:adjustRightInd w:val="0"/>
        <w:ind w:left="284" w:hanging="284"/>
        <w:textAlignment w:val="baseline"/>
        <w:outlineLvl w:val="1"/>
        <w:rPr>
          <w:spacing w:val="-4"/>
          <w:szCs w:val="20"/>
        </w:rPr>
      </w:pPr>
      <w:r>
        <w:rPr>
          <w:b/>
        </w:rPr>
        <w:t>hace hincapié en la reducción real de las emisiones mediante la eliminación progresiva de los combustibles fósiles</w:t>
      </w:r>
      <w:r>
        <w:t>. Aunque las absorciones de carbono desempeñan un papel cada vez mayor en la consecución de los objetivos climáticos de la UE, la excesiva dependencia de los sumideros conlleva incertidumbres y riesgos de que se mantenga la dependencia de los combustibles fósiles o se pierdan sumideros debido a incendios forestales, plagas y otros peligros;</w:t>
      </w:r>
    </w:p>
    <w:p w:rsidRPr="00DC0FAE" w:rsidR="00A329C8" w:rsidP="00DC0FAE" w:rsidRDefault="00A329C8" w14:paraId="22AE9A43" w14:textId="77777777">
      <w:pPr>
        <w:pStyle w:val="ListParagraph"/>
        <w:numPr>
          <w:ilvl w:val="0"/>
          <w:numId w:val="19"/>
        </w:numPr>
        <w:overflowPunct w:val="0"/>
        <w:autoSpaceDE w:val="0"/>
        <w:autoSpaceDN w:val="0"/>
        <w:adjustRightInd w:val="0"/>
        <w:ind w:left="284" w:hanging="284"/>
        <w:textAlignment w:val="baseline"/>
        <w:outlineLvl w:val="1"/>
        <w:rPr>
          <w:szCs w:val="20"/>
        </w:rPr>
      </w:pPr>
      <w:r>
        <w:t xml:space="preserve">pide a la Comisión que efectúe una evaluación científica y económica del </w:t>
      </w:r>
      <w:r>
        <w:rPr>
          <w:b/>
        </w:rPr>
        <w:t>equilibrio entre las reducciones y las absorciones</w:t>
      </w:r>
      <w:r>
        <w:t>;</w:t>
      </w:r>
    </w:p>
    <w:p w:rsidRPr="00DC0FAE" w:rsidR="00A329C8" w:rsidP="00DC0FAE" w:rsidRDefault="00A329C8" w14:paraId="1F60CE63" w14:textId="77777777">
      <w:pPr>
        <w:pStyle w:val="ListParagraph"/>
        <w:numPr>
          <w:ilvl w:val="0"/>
          <w:numId w:val="20"/>
        </w:numPr>
        <w:overflowPunct w:val="0"/>
        <w:autoSpaceDE w:val="0"/>
        <w:autoSpaceDN w:val="0"/>
        <w:adjustRightInd w:val="0"/>
        <w:ind w:left="284" w:hanging="284"/>
        <w:textAlignment w:val="baseline"/>
        <w:outlineLvl w:val="1"/>
        <w:rPr>
          <w:szCs w:val="20"/>
        </w:rPr>
      </w:pPr>
      <w:r>
        <w:t>subraya que es preciso centrarse en la aplicación de la legislación incluida en el paquete de medidas «Objetivo 55» y ayudar a las empresas y los hogares europeos a adaptarse al nuevo entorno normativo;</w:t>
      </w:r>
    </w:p>
    <w:p w:rsidRPr="00DC0FAE" w:rsidR="00A329C8" w:rsidP="00DC0FAE" w:rsidRDefault="00A329C8" w14:paraId="5FDA81D5" w14:textId="26480DC0">
      <w:pPr>
        <w:pStyle w:val="ListParagraph"/>
        <w:numPr>
          <w:ilvl w:val="0"/>
          <w:numId w:val="20"/>
        </w:numPr>
        <w:overflowPunct w:val="0"/>
        <w:autoSpaceDE w:val="0"/>
        <w:autoSpaceDN w:val="0"/>
        <w:adjustRightInd w:val="0"/>
        <w:ind w:left="284" w:hanging="284"/>
        <w:textAlignment w:val="baseline"/>
        <w:outlineLvl w:val="1"/>
        <w:rPr>
          <w:szCs w:val="20"/>
        </w:rPr>
      </w:pPr>
      <w:r>
        <w:t xml:space="preserve">señala que los objetivos climáticos requieren un </w:t>
      </w:r>
      <w:r>
        <w:rPr>
          <w:b/>
        </w:rPr>
        <w:t>nivel sin precedentes de inversión en descarbonización</w:t>
      </w:r>
      <w:r>
        <w:t>;</w:t>
      </w:r>
    </w:p>
    <w:p w:rsidRPr="00DC0FAE" w:rsidR="00A329C8" w:rsidP="00DC0FAE" w:rsidRDefault="00A329C8" w14:paraId="5CB3A85C" w14:textId="77777777">
      <w:pPr>
        <w:pStyle w:val="ListParagraph"/>
        <w:numPr>
          <w:ilvl w:val="0"/>
          <w:numId w:val="20"/>
        </w:numPr>
        <w:overflowPunct w:val="0"/>
        <w:autoSpaceDE w:val="0"/>
        <w:autoSpaceDN w:val="0"/>
        <w:adjustRightInd w:val="0"/>
        <w:ind w:left="284" w:hanging="284"/>
        <w:textAlignment w:val="baseline"/>
        <w:outlineLvl w:val="1"/>
        <w:rPr>
          <w:szCs w:val="20"/>
        </w:rPr>
      </w:pPr>
      <w:r>
        <w:t>pide a la Comisión que supervise el crecimiento de las exportaciones de productos y servicios europeos de tecnologías limpias y fije objetivos al respecto;</w:t>
      </w:r>
    </w:p>
    <w:p w:rsidRPr="00DC0FAE" w:rsidR="00A329C8" w:rsidP="00DC0FAE" w:rsidRDefault="00A329C8" w14:paraId="734EC568" w14:textId="77777777">
      <w:pPr>
        <w:pStyle w:val="ListParagraph"/>
        <w:numPr>
          <w:ilvl w:val="0"/>
          <w:numId w:val="20"/>
        </w:numPr>
        <w:overflowPunct w:val="0"/>
        <w:autoSpaceDE w:val="0"/>
        <w:autoSpaceDN w:val="0"/>
        <w:adjustRightInd w:val="0"/>
        <w:ind w:left="284" w:hanging="284"/>
        <w:textAlignment w:val="baseline"/>
        <w:outlineLvl w:val="1"/>
        <w:rPr>
          <w:spacing w:val="-6"/>
          <w:szCs w:val="20"/>
        </w:rPr>
      </w:pPr>
      <w:r>
        <w:t xml:space="preserve">pide que la </w:t>
      </w:r>
      <w:r>
        <w:rPr>
          <w:b/>
        </w:rPr>
        <w:t>generación de electricidad</w:t>
      </w:r>
      <w:r>
        <w:t xml:space="preserve"> en la UE esté </w:t>
      </w:r>
      <w:r>
        <w:rPr>
          <w:b/>
        </w:rPr>
        <w:t>libre de carbono para 2040</w:t>
      </w:r>
      <w:r>
        <w:t>, y que le sigan de cerca la calefacción y la refrigeración. La disponibilidad de energía limpia asequible y de una infraestructura energética preparada para el futuro constituye la base para la descarbonización de otros sectores, como la industria, el transporte y el sector inmobiliario;</w:t>
      </w:r>
    </w:p>
    <w:p w:rsidRPr="00DC0FAE" w:rsidR="00A329C8" w:rsidP="00DC0FAE" w:rsidRDefault="00A329C8" w14:paraId="2FF82DE1" w14:textId="77777777">
      <w:pPr>
        <w:pStyle w:val="ListParagraph"/>
        <w:numPr>
          <w:ilvl w:val="0"/>
          <w:numId w:val="20"/>
        </w:numPr>
        <w:overflowPunct w:val="0"/>
        <w:autoSpaceDE w:val="0"/>
        <w:autoSpaceDN w:val="0"/>
        <w:adjustRightInd w:val="0"/>
        <w:ind w:left="284" w:hanging="284"/>
        <w:textAlignment w:val="baseline"/>
        <w:outlineLvl w:val="1"/>
        <w:rPr>
          <w:szCs w:val="20"/>
        </w:rPr>
      </w:pPr>
      <w:r>
        <w:t xml:space="preserve">propone que se establezca, a título indicativo, un </w:t>
      </w:r>
      <w:r>
        <w:rPr>
          <w:b/>
        </w:rPr>
        <w:t>objetivo de reducción de emisiones para el sector agroalimentario</w:t>
      </w:r>
      <w:r>
        <w:t xml:space="preserve"> en el contexto de un diálogo científico estrecho con los agricultores y otras partes interesadas, que garantice la seguridad alimentaria europea y tenga en cuenta las diferentes condiciones naturales que conviven en la UE;</w:t>
      </w:r>
    </w:p>
    <w:p w:rsidRPr="00DC0FAE" w:rsidR="00A329C8" w:rsidP="00DC0FAE" w:rsidRDefault="00A329C8" w14:paraId="5F04D765" w14:textId="77777777">
      <w:pPr>
        <w:pStyle w:val="ListParagraph"/>
        <w:numPr>
          <w:ilvl w:val="0"/>
          <w:numId w:val="21"/>
        </w:numPr>
        <w:overflowPunct w:val="0"/>
        <w:autoSpaceDE w:val="0"/>
        <w:autoSpaceDN w:val="0"/>
        <w:adjustRightInd w:val="0"/>
        <w:ind w:left="284" w:hanging="284"/>
        <w:textAlignment w:val="baseline"/>
        <w:outlineLvl w:val="1"/>
        <w:rPr>
          <w:spacing w:val="-6"/>
          <w:szCs w:val="20"/>
        </w:rPr>
      </w:pPr>
      <w:r>
        <w:t>subraya la importancia de un amplio diálogo con las partes interesadas, incluidos los interlocutores sociales y la sociedad civil, y de la participación ciudadana a la hora de fijar el objetivo para 2040 y elaborar las políticas de acompañamiento;</w:t>
      </w:r>
    </w:p>
    <w:p w:rsidRPr="00DC0FAE" w:rsidR="00A329C8" w:rsidP="00DC0FAE" w:rsidRDefault="00A329C8" w14:paraId="57C8228B" w14:textId="77777777">
      <w:pPr>
        <w:pStyle w:val="ListParagraph"/>
        <w:numPr>
          <w:ilvl w:val="0"/>
          <w:numId w:val="21"/>
        </w:numPr>
        <w:overflowPunct w:val="0"/>
        <w:autoSpaceDE w:val="0"/>
        <w:autoSpaceDN w:val="0"/>
        <w:adjustRightInd w:val="0"/>
        <w:ind w:left="284" w:hanging="284"/>
        <w:textAlignment w:val="baseline"/>
        <w:outlineLvl w:val="1"/>
        <w:rPr>
          <w:szCs w:val="20"/>
        </w:rPr>
      </w:pPr>
      <w:r>
        <w:lastRenderedPageBreak/>
        <w:t xml:space="preserve">destaca la posibilidad de ampliar el objetivo de reducción de las emisiones y de reducir la demanda de materiales y energía </w:t>
      </w:r>
      <w:r>
        <w:rPr>
          <w:b/>
        </w:rPr>
        <w:t>brindando a los consumidores la oportunidad de elegir un estilo de vida sostenible</w:t>
      </w:r>
      <w:r>
        <w:t>;</w:t>
      </w:r>
    </w:p>
    <w:p w:rsidRPr="00DC0FAE" w:rsidR="00A329C8" w:rsidP="00DC0FAE" w:rsidRDefault="00A329C8" w14:paraId="33E21B11" w14:textId="77777777">
      <w:pPr>
        <w:pStyle w:val="ListParagraph"/>
        <w:numPr>
          <w:ilvl w:val="0"/>
          <w:numId w:val="21"/>
        </w:numPr>
        <w:overflowPunct w:val="0"/>
        <w:autoSpaceDE w:val="0"/>
        <w:autoSpaceDN w:val="0"/>
        <w:adjustRightInd w:val="0"/>
        <w:spacing w:line="240" w:lineRule="auto"/>
        <w:ind w:left="284" w:hanging="284"/>
        <w:textAlignment w:val="baseline"/>
        <w:outlineLvl w:val="1"/>
        <w:rPr>
          <w:szCs w:val="20"/>
        </w:rPr>
      </w:pPr>
      <w:r>
        <w:t xml:space="preserve">pide a la Comisión que </w:t>
      </w:r>
      <w:r>
        <w:rPr>
          <w:b/>
        </w:rPr>
        <w:t>amplíe el control de la competitividad</w:t>
      </w:r>
      <w:r>
        <w:t xml:space="preserve"> a las políticas en materia de clima, energía e industria y a los indicadores económicos de otras grandes economías, que presente propuestas sobre la manera de reforzar la competitividad en el mundo de Europa y su base industrial y que salvaguarde nuestro modelo de economía de mercado abierta con normas medioambientales y sociales rigurosas.</w:t>
      </w:r>
    </w:p>
    <w:p w:rsidRPr="00A329C8" w:rsidR="0073462A" w:rsidP="00A329C8" w:rsidRDefault="0073462A" w14:paraId="0EED3D8E" w14:textId="77777777">
      <w:pPr>
        <w:overflowPunct w:val="0"/>
        <w:autoSpaceDE w:val="0"/>
        <w:autoSpaceDN w:val="0"/>
        <w:adjustRightInd w:val="0"/>
        <w:spacing w:line="240" w:lineRule="auto"/>
        <w:textAlignment w:val="baseline"/>
        <w:rPr>
          <w:sz w:val="18"/>
          <w:szCs w:val="18"/>
        </w:rPr>
      </w:pPr>
    </w:p>
    <w:tbl>
      <w:tblPr>
        <w:tblStyle w:val="TableGrid2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92"/>
        <w:gridCol w:w="5670"/>
      </w:tblGrid>
      <w:tr w:rsidRPr="00A329C8" w:rsidR="00A329C8" w:rsidTr="00FE3058" w14:paraId="2C0A0929" w14:textId="77777777">
        <w:tc>
          <w:tcPr>
            <w:tcW w:w="1634" w:type="dxa"/>
          </w:tcPr>
          <w:p w:rsidRPr="00A329C8" w:rsidR="00A329C8" w:rsidP="00DC0FAE" w:rsidRDefault="00A329C8" w14:paraId="0961FF11" w14:textId="77777777">
            <w:pPr>
              <w:overflowPunct w:val="0"/>
              <w:autoSpaceDE w:val="0"/>
              <w:autoSpaceDN w:val="0"/>
              <w:adjustRightInd w:val="0"/>
              <w:spacing w:line="240" w:lineRule="auto"/>
              <w:ind w:left="709" w:hanging="819"/>
              <w:textAlignment w:val="baseline"/>
              <w:rPr>
                <w:i/>
              </w:rPr>
            </w:pPr>
            <w:r>
              <w:rPr>
                <w:b/>
                <w:i/>
              </w:rPr>
              <w:t>Contacto:</w:t>
            </w:r>
          </w:p>
        </w:tc>
        <w:tc>
          <w:tcPr>
            <w:tcW w:w="5670" w:type="dxa"/>
          </w:tcPr>
          <w:p w:rsidRPr="00DC0FAE" w:rsidR="00A329C8" w:rsidP="00DC0FAE" w:rsidRDefault="00A329C8" w14:paraId="0F82E7FA" w14:textId="268094B7">
            <w:pPr>
              <w:overflowPunct w:val="0"/>
              <w:autoSpaceDE w:val="0"/>
              <w:autoSpaceDN w:val="0"/>
              <w:adjustRightInd w:val="0"/>
              <w:spacing w:line="240" w:lineRule="auto"/>
              <w:ind w:left="709" w:hanging="819"/>
              <w:textAlignment w:val="baseline"/>
              <w:rPr>
                <w:i/>
                <w:iCs/>
              </w:rPr>
            </w:pPr>
            <w:r>
              <w:rPr>
                <w:i/>
              </w:rPr>
              <w:t>Judit Carreras Garcia</w:t>
            </w:r>
          </w:p>
        </w:tc>
      </w:tr>
      <w:tr w:rsidRPr="00A329C8" w:rsidR="00A329C8" w:rsidTr="00FE3058" w14:paraId="1A5C453D" w14:textId="77777777">
        <w:tc>
          <w:tcPr>
            <w:tcW w:w="1634" w:type="dxa"/>
          </w:tcPr>
          <w:p w:rsidRPr="00A329C8" w:rsidR="00A329C8" w:rsidP="00DC0FAE" w:rsidRDefault="00A329C8" w14:paraId="180E2B3C" w14:textId="77777777">
            <w:pPr>
              <w:overflowPunct w:val="0"/>
              <w:autoSpaceDE w:val="0"/>
              <w:autoSpaceDN w:val="0"/>
              <w:adjustRightInd w:val="0"/>
              <w:spacing w:line="240" w:lineRule="auto"/>
              <w:ind w:left="709" w:hanging="819"/>
              <w:textAlignment w:val="baseline"/>
              <w:rPr>
                <w:i/>
              </w:rPr>
            </w:pPr>
            <w:r>
              <w:rPr>
                <w:i/>
              </w:rPr>
              <w:t>Teléfono:</w:t>
            </w:r>
          </w:p>
        </w:tc>
        <w:tc>
          <w:tcPr>
            <w:tcW w:w="5670" w:type="dxa"/>
          </w:tcPr>
          <w:p w:rsidRPr="00A329C8" w:rsidR="00A329C8" w:rsidP="00DC0FAE" w:rsidRDefault="00A329C8" w14:paraId="729D5F41" w14:textId="77777777">
            <w:pPr>
              <w:overflowPunct w:val="0"/>
              <w:autoSpaceDE w:val="0"/>
              <w:autoSpaceDN w:val="0"/>
              <w:adjustRightInd w:val="0"/>
              <w:spacing w:line="240" w:lineRule="auto"/>
              <w:ind w:left="709" w:hanging="819"/>
              <w:textAlignment w:val="baseline"/>
              <w:rPr>
                <w:i/>
                <w:iCs/>
              </w:rPr>
            </w:pPr>
            <w:r>
              <w:rPr>
                <w:i/>
              </w:rPr>
              <w:t>+32 25468421</w:t>
            </w:r>
          </w:p>
        </w:tc>
      </w:tr>
      <w:tr w:rsidRPr="00A329C8" w:rsidR="00A329C8" w:rsidTr="00FE3058" w14:paraId="4404176D" w14:textId="77777777">
        <w:tc>
          <w:tcPr>
            <w:tcW w:w="1634" w:type="dxa"/>
          </w:tcPr>
          <w:p w:rsidRPr="00A329C8" w:rsidR="00A329C8" w:rsidP="00DC0FAE" w:rsidRDefault="007607A9" w14:paraId="60D8FC1E" w14:textId="35444914">
            <w:pPr>
              <w:overflowPunct w:val="0"/>
              <w:autoSpaceDE w:val="0"/>
              <w:autoSpaceDN w:val="0"/>
              <w:adjustRightInd w:val="0"/>
              <w:spacing w:line="240" w:lineRule="auto"/>
              <w:ind w:left="709" w:hanging="819"/>
              <w:textAlignment w:val="baseline"/>
              <w:rPr>
                <w:i/>
              </w:rPr>
            </w:pPr>
            <w:r>
              <w:rPr>
                <w:i/>
              </w:rPr>
              <w:t>Correo electrónico:</w:t>
            </w:r>
          </w:p>
        </w:tc>
        <w:tc>
          <w:tcPr>
            <w:tcW w:w="5670" w:type="dxa"/>
          </w:tcPr>
          <w:p w:rsidRPr="00A329C8" w:rsidR="00A329C8" w:rsidP="00DC0FAE" w:rsidRDefault="00EC7E2B" w14:paraId="7F4CE542" w14:textId="77777777">
            <w:pPr>
              <w:overflowPunct w:val="0"/>
              <w:autoSpaceDE w:val="0"/>
              <w:autoSpaceDN w:val="0"/>
              <w:adjustRightInd w:val="0"/>
              <w:spacing w:line="240" w:lineRule="auto"/>
              <w:ind w:left="709" w:hanging="819"/>
              <w:textAlignment w:val="baseline"/>
              <w:rPr>
                <w:i/>
                <w:iCs/>
                <w:color w:val="0000FF"/>
                <w:u w:val="single"/>
              </w:rPr>
            </w:pPr>
            <w:hyperlink w:history="1" r:id="rId31">
              <w:r w:rsidR="00D63208">
                <w:rPr>
                  <w:i/>
                  <w:color w:val="0000FF"/>
                  <w:u w:val="single"/>
                </w:rPr>
                <w:t>Judit.CarrerasGarcia@eesc.europa.eu</w:t>
              </w:r>
            </w:hyperlink>
          </w:p>
        </w:tc>
      </w:tr>
    </w:tbl>
    <w:p w:rsidR="00A329C8" w:rsidRDefault="00A329C8" w14:paraId="78CB8038" w14:textId="77777777">
      <w:pPr>
        <w:spacing w:after="160" w:line="259" w:lineRule="auto"/>
        <w:jc w:val="left"/>
        <w:rPr>
          <w:b/>
          <w:bCs/>
        </w:rPr>
      </w:pPr>
      <w:r>
        <w:br w:type="page"/>
      </w:r>
    </w:p>
    <w:p w:rsidRPr="00A14846" w:rsidR="00A329C8" w:rsidP="00C26C81" w:rsidRDefault="00EC7E2B" w14:paraId="29FCBD43" w14:textId="33791494">
      <w:pPr>
        <w:widowControl w:val="0"/>
        <w:numPr>
          <w:ilvl w:val="0"/>
          <w:numId w:val="6"/>
        </w:numPr>
        <w:overflowPunct w:val="0"/>
        <w:autoSpaceDE w:val="0"/>
        <w:autoSpaceDN w:val="0"/>
        <w:adjustRightInd w:val="0"/>
        <w:textAlignment w:val="baseline"/>
        <w:rPr>
          <w:b/>
          <w:i/>
          <w:sz w:val="28"/>
          <w:szCs w:val="20"/>
        </w:rPr>
      </w:pPr>
      <w:hyperlink w:history="1" r:id="rId32">
        <w:r w:rsidR="00C866D0">
          <w:rPr>
            <w:b/>
            <w:i/>
            <w:color w:val="0000FF"/>
            <w:sz w:val="28"/>
            <w:u w:val="single"/>
          </w:rPr>
          <w:t>Revisión de la legislación en m</w:t>
        </w:r>
        <w:r w:rsidR="00C866D0">
          <w:rPr>
            <w:b/>
            <w:i/>
            <w:color w:val="0000FF"/>
            <w:sz w:val="28"/>
            <w:u w:val="single"/>
          </w:rPr>
          <w:t>a</w:t>
        </w:r>
        <w:r w:rsidR="00C866D0">
          <w:rPr>
            <w:b/>
            <w:i/>
            <w:color w:val="0000FF"/>
            <w:sz w:val="28"/>
            <w:u w:val="single"/>
          </w:rPr>
          <w:t>teria de bienestar animal</w:t>
        </w:r>
      </w:hyperlink>
    </w:p>
    <w:p w:rsidRPr="00A14846" w:rsidR="00A329C8" w:rsidP="00A329C8" w:rsidRDefault="00A329C8" w14:paraId="5FF571D4" w14:textId="77777777">
      <w:pPr>
        <w:tabs>
          <w:tab w:val="center" w:pos="284"/>
        </w:tabs>
        <w:overflowPunct w:val="0"/>
        <w:autoSpaceDE w:val="0"/>
        <w:autoSpaceDN w:val="0"/>
        <w:adjustRightInd w:val="0"/>
        <w:ind w:left="266" w:hanging="266"/>
        <w:textAlignment w:val="baseline"/>
      </w:pPr>
    </w:p>
    <w:tbl>
      <w:tblPr>
        <w:tblStyle w:val="TableGrid217"/>
        <w:tblW w:w="89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6804"/>
      </w:tblGrid>
      <w:tr w:rsidRPr="00A14846" w:rsidR="00A329C8" w:rsidTr="00FE3058" w14:paraId="5D60937D" w14:textId="77777777">
        <w:tc>
          <w:tcPr>
            <w:tcW w:w="2127" w:type="dxa"/>
          </w:tcPr>
          <w:p w:rsidRPr="00A14846" w:rsidR="00A329C8" w:rsidP="00FE3058" w:rsidRDefault="00A329C8" w14:paraId="661CBE96" w14:textId="77777777">
            <w:pPr>
              <w:tabs>
                <w:tab w:val="center" w:pos="284"/>
              </w:tabs>
              <w:overflowPunct w:val="0"/>
              <w:autoSpaceDE w:val="0"/>
              <w:autoSpaceDN w:val="0"/>
              <w:adjustRightInd w:val="0"/>
              <w:ind w:left="266" w:hanging="266"/>
              <w:textAlignment w:val="baseline"/>
              <w:rPr>
                <w:b/>
              </w:rPr>
            </w:pPr>
            <w:r>
              <w:rPr>
                <w:b/>
              </w:rPr>
              <w:t xml:space="preserve">Ponente </w:t>
            </w:r>
          </w:p>
        </w:tc>
        <w:tc>
          <w:tcPr>
            <w:tcW w:w="6804" w:type="dxa"/>
          </w:tcPr>
          <w:p w:rsidRPr="00A14846" w:rsidR="00A329C8" w:rsidP="00FE3058" w:rsidRDefault="00A329C8" w14:paraId="77C861E5" w14:textId="47173DAB">
            <w:pPr>
              <w:tabs>
                <w:tab w:val="center" w:pos="284"/>
              </w:tabs>
              <w:overflowPunct w:val="0"/>
              <w:autoSpaceDE w:val="0"/>
              <w:autoSpaceDN w:val="0"/>
              <w:adjustRightInd w:val="0"/>
              <w:ind w:left="266" w:hanging="266"/>
              <w:textAlignment w:val="baseline"/>
            </w:pPr>
            <w:r>
              <w:t>Jaume BERNIS CASTELLS (Grupo de Organizaciones de la Sociedad Civil – ES)</w:t>
            </w:r>
          </w:p>
        </w:tc>
      </w:tr>
      <w:tr w:rsidRPr="00A14846" w:rsidR="00A329C8" w:rsidTr="00FE3058" w14:paraId="70D6EB9C" w14:textId="77777777">
        <w:tc>
          <w:tcPr>
            <w:tcW w:w="8931" w:type="dxa"/>
            <w:gridSpan w:val="2"/>
          </w:tcPr>
          <w:p w:rsidRPr="00A14846" w:rsidR="00A329C8" w:rsidP="00FE3058" w:rsidRDefault="00A329C8" w14:paraId="5D0701A4" w14:textId="77777777">
            <w:pPr>
              <w:tabs>
                <w:tab w:val="center" w:pos="284"/>
              </w:tabs>
              <w:overflowPunct w:val="0"/>
              <w:autoSpaceDE w:val="0"/>
              <w:autoSpaceDN w:val="0"/>
              <w:adjustRightInd w:val="0"/>
              <w:spacing w:line="160" w:lineRule="exact"/>
              <w:ind w:left="266" w:hanging="266"/>
              <w:textAlignment w:val="baseline"/>
              <w:rPr>
                <w:lang w:val="en-US"/>
              </w:rPr>
            </w:pPr>
          </w:p>
        </w:tc>
      </w:tr>
      <w:tr w:rsidRPr="00A14846" w:rsidR="00A329C8" w:rsidTr="00FE3058" w14:paraId="67C57163" w14:textId="77777777">
        <w:tc>
          <w:tcPr>
            <w:tcW w:w="2127" w:type="dxa"/>
          </w:tcPr>
          <w:p w:rsidRPr="00A14846" w:rsidR="00A329C8" w:rsidP="00FE3058" w:rsidRDefault="00A329C8" w14:paraId="0019A341" w14:textId="77777777">
            <w:pPr>
              <w:tabs>
                <w:tab w:val="center" w:pos="284"/>
              </w:tabs>
              <w:overflowPunct w:val="0"/>
              <w:autoSpaceDE w:val="0"/>
              <w:autoSpaceDN w:val="0"/>
              <w:adjustRightInd w:val="0"/>
              <w:ind w:left="266" w:hanging="266"/>
              <w:textAlignment w:val="baseline"/>
              <w:rPr>
                <w:b/>
              </w:rPr>
            </w:pPr>
            <w:r>
              <w:rPr>
                <w:b/>
              </w:rPr>
              <w:t>Referencias</w:t>
            </w:r>
          </w:p>
        </w:tc>
        <w:tc>
          <w:tcPr>
            <w:tcW w:w="6804" w:type="dxa"/>
          </w:tcPr>
          <w:p w:rsidR="00D704BD" w:rsidP="00FE3058" w:rsidRDefault="00D704BD" w14:paraId="466B0FCB" w14:textId="138FF299">
            <w:pPr>
              <w:tabs>
                <w:tab w:val="center" w:pos="284"/>
              </w:tabs>
              <w:overflowPunct w:val="0"/>
              <w:autoSpaceDE w:val="0"/>
              <w:autoSpaceDN w:val="0"/>
              <w:adjustRightInd w:val="0"/>
              <w:ind w:left="266" w:hanging="266"/>
              <w:textAlignment w:val="baseline"/>
            </w:pPr>
            <w:r>
              <w:t>COM(2023) 770 final</w:t>
            </w:r>
          </w:p>
          <w:p w:rsidRPr="00A14846" w:rsidR="00A329C8" w:rsidP="00FE3058" w:rsidRDefault="00A329C8" w14:paraId="7298B786" w14:textId="063BFD24">
            <w:pPr>
              <w:tabs>
                <w:tab w:val="center" w:pos="284"/>
              </w:tabs>
              <w:overflowPunct w:val="0"/>
              <w:autoSpaceDE w:val="0"/>
              <w:autoSpaceDN w:val="0"/>
              <w:adjustRightInd w:val="0"/>
              <w:ind w:left="266" w:hanging="266"/>
              <w:textAlignment w:val="baseline"/>
            </w:pPr>
            <w:r>
              <w:t>EESC-2023-05464-00-00-AC</w:t>
            </w:r>
          </w:p>
        </w:tc>
      </w:tr>
    </w:tbl>
    <w:p w:rsidRPr="00A14846" w:rsidR="00A329C8" w:rsidP="00A329C8" w:rsidRDefault="00A329C8" w14:paraId="1C9BC533" w14:textId="77777777">
      <w:pPr>
        <w:keepNext/>
        <w:keepLines/>
        <w:tabs>
          <w:tab w:val="center" w:pos="284"/>
        </w:tabs>
        <w:overflowPunct w:val="0"/>
        <w:autoSpaceDE w:val="0"/>
        <w:autoSpaceDN w:val="0"/>
        <w:adjustRightInd w:val="0"/>
        <w:ind w:left="266" w:hanging="266"/>
        <w:textAlignment w:val="baseline"/>
        <w:rPr>
          <w:b/>
          <w:szCs w:val="20"/>
        </w:rPr>
      </w:pPr>
    </w:p>
    <w:p w:rsidRPr="00A14846" w:rsidR="00A329C8" w:rsidP="00A329C8" w:rsidRDefault="00A329C8" w14:paraId="1EE8EE07"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A14846" w:rsidR="00A329C8" w:rsidP="00A329C8" w:rsidRDefault="00A329C8" w14:paraId="6900345E" w14:textId="77777777">
      <w:pPr>
        <w:keepNext/>
        <w:keepLines/>
        <w:tabs>
          <w:tab w:val="center" w:pos="284"/>
        </w:tabs>
        <w:overflowPunct w:val="0"/>
        <w:autoSpaceDE w:val="0"/>
        <w:autoSpaceDN w:val="0"/>
        <w:adjustRightInd w:val="0"/>
        <w:ind w:left="266" w:hanging="266"/>
        <w:textAlignment w:val="baseline"/>
      </w:pPr>
    </w:p>
    <w:p w:rsidR="00A329C8" w:rsidP="00A329C8" w:rsidRDefault="00A329C8" w14:paraId="47E5F255" w14:textId="145A9A92">
      <w:pPr>
        <w:keepNext/>
        <w:keepLines/>
        <w:tabs>
          <w:tab w:val="center" w:pos="284"/>
        </w:tabs>
        <w:overflowPunct w:val="0"/>
        <w:autoSpaceDE w:val="0"/>
        <w:autoSpaceDN w:val="0"/>
        <w:adjustRightInd w:val="0"/>
        <w:ind w:left="266" w:hanging="266"/>
        <w:textAlignment w:val="baseline"/>
        <w:rPr>
          <w:szCs w:val="20"/>
        </w:rPr>
      </w:pPr>
      <w:r>
        <w:t>El CESE:</w:t>
      </w:r>
    </w:p>
    <w:p w:rsidRPr="00A14846" w:rsidR="00D704BD" w:rsidP="00A329C8" w:rsidRDefault="00D704BD" w14:paraId="72E89559" w14:textId="77777777">
      <w:pPr>
        <w:keepNext/>
        <w:keepLines/>
        <w:tabs>
          <w:tab w:val="center" w:pos="284"/>
        </w:tabs>
        <w:overflowPunct w:val="0"/>
        <w:autoSpaceDE w:val="0"/>
        <w:autoSpaceDN w:val="0"/>
        <w:adjustRightInd w:val="0"/>
        <w:ind w:left="266" w:hanging="266"/>
        <w:textAlignment w:val="baseline"/>
      </w:pPr>
    </w:p>
    <w:p w:rsidRPr="00A14846" w:rsidR="00A329C8" w:rsidP="00DC0FAE" w:rsidRDefault="00A329C8" w14:paraId="5B8E8E34" w14:textId="77777777">
      <w:pPr>
        <w:numPr>
          <w:ilvl w:val="0"/>
          <w:numId w:val="22"/>
        </w:numPr>
        <w:overflowPunct w:val="0"/>
        <w:autoSpaceDE w:val="0"/>
        <w:autoSpaceDN w:val="0"/>
        <w:adjustRightInd w:val="0"/>
        <w:textAlignment w:val="baseline"/>
        <w:outlineLvl w:val="1"/>
        <w:rPr>
          <w:szCs w:val="20"/>
        </w:rPr>
      </w:pPr>
      <w:r>
        <w:t>propone a la Comisión que tenga en cuenta el conocimiento práctico de los ganaderos, transportistas y veterinarios a efectos de la aplicación y el cumplimiento armonizado de las normativas;</w:t>
      </w:r>
    </w:p>
    <w:p w:rsidRPr="00A14846" w:rsidR="00A329C8" w:rsidP="00DC0FAE" w:rsidRDefault="00A329C8" w14:paraId="06F24D3E" w14:textId="77777777">
      <w:pPr>
        <w:numPr>
          <w:ilvl w:val="0"/>
          <w:numId w:val="22"/>
        </w:numPr>
        <w:overflowPunct w:val="0"/>
        <w:autoSpaceDE w:val="0"/>
        <w:autoSpaceDN w:val="0"/>
        <w:adjustRightInd w:val="0"/>
        <w:textAlignment w:val="baseline"/>
        <w:outlineLvl w:val="1"/>
        <w:rPr>
          <w:szCs w:val="20"/>
        </w:rPr>
      </w:pPr>
      <w:r>
        <w:t xml:space="preserve">entiende que </w:t>
      </w:r>
      <w:r>
        <w:rPr>
          <w:b/>
        </w:rPr>
        <w:t>una normativa que no pueda adaptarse</w:t>
      </w:r>
      <w:r>
        <w:t xml:space="preserve"> a las diferentes realidades existentes entre los veintisiete Estados miembros</w:t>
      </w:r>
      <w:r>
        <w:rPr>
          <w:b/>
        </w:rPr>
        <w:t xml:space="preserve"> abrirá la puerta a situaciones asimétricas</w:t>
      </w:r>
      <w:r>
        <w:t>;</w:t>
      </w:r>
    </w:p>
    <w:p w:rsidRPr="00A14846" w:rsidR="00A329C8" w:rsidP="00DC0FAE" w:rsidRDefault="00A329C8" w14:paraId="1889E9AA" w14:textId="77777777">
      <w:pPr>
        <w:numPr>
          <w:ilvl w:val="0"/>
          <w:numId w:val="22"/>
        </w:numPr>
        <w:overflowPunct w:val="0"/>
        <w:autoSpaceDE w:val="0"/>
        <w:autoSpaceDN w:val="0"/>
        <w:adjustRightInd w:val="0"/>
        <w:textAlignment w:val="baseline"/>
        <w:outlineLvl w:val="1"/>
        <w:rPr>
          <w:szCs w:val="20"/>
        </w:rPr>
      </w:pPr>
      <w:r>
        <w:t xml:space="preserve">solicita a la Comisión que </w:t>
      </w:r>
      <w:r>
        <w:rPr>
          <w:b/>
        </w:rPr>
        <w:t>vele</w:t>
      </w:r>
      <w:r>
        <w:t xml:space="preserve"> por que </w:t>
      </w:r>
      <w:r>
        <w:rPr>
          <w:b/>
        </w:rPr>
        <w:t>los costes de aplicación</w:t>
      </w:r>
      <w:r>
        <w:t xml:space="preserve"> del Reglamento </w:t>
      </w:r>
      <w:r>
        <w:rPr>
          <w:b/>
        </w:rPr>
        <w:t>no recaigan en los agentes</w:t>
      </w:r>
      <w:r>
        <w:t xml:space="preserve"> del sector;</w:t>
      </w:r>
    </w:p>
    <w:p w:rsidRPr="00A14846" w:rsidR="00A329C8" w:rsidP="00DC0FAE" w:rsidRDefault="00A329C8" w14:paraId="7DD5E3B0" w14:textId="77777777">
      <w:pPr>
        <w:numPr>
          <w:ilvl w:val="0"/>
          <w:numId w:val="22"/>
        </w:numPr>
        <w:overflowPunct w:val="0"/>
        <w:autoSpaceDE w:val="0"/>
        <w:autoSpaceDN w:val="0"/>
        <w:adjustRightInd w:val="0"/>
        <w:textAlignment w:val="baseline"/>
        <w:outlineLvl w:val="1"/>
        <w:rPr>
          <w:szCs w:val="20"/>
        </w:rPr>
      </w:pPr>
      <w:r>
        <w:t xml:space="preserve">pone de manifiesto que las </w:t>
      </w:r>
      <w:r>
        <w:rPr>
          <w:b/>
        </w:rPr>
        <w:t>disposiciones</w:t>
      </w:r>
      <w:r>
        <w:t xml:space="preserve"> recogidas en la propuesta de Reglamento </w:t>
      </w:r>
      <w:r>
        <w:rPr>
          <w:b/>
        </w:rPr>
        <w:t>obligan a los operadores a trabajar en turnos de noche</w:t>
      </w:r>
      <w:r>
        <w:t xml:space="preserve"> (especialmente a ganaderos, conductores y veterinarios);</w:t>
      </w:r>
    </w:p>
    <w:p w:rsidRPr="00A14846" w:rsidR="00A329C8" w:rsidP="00DC0FAE" w:rsidRDefault="00A329C8" w14:paraId="118CDB57" w14:textId="77777777">
      <w:pPr>
        <w:numPr>
          <w:ilvl w:val="0"/>
          <w:numId w:val="22"/>
        </w:numPr>
        <w:overflowPunct w:val="0"/>
        <w:autoSpaceDE w:val="0"/>
        <w:autoSpaceDN w:val="0"/>
        <w:adjustRightInd w:val="0"/>
        <w:textAlignment w:val="baseline"/>
        <w:outlineLvl w:val="1"/>
        <w:rPr>
          <w:szCs w:val="20"/>
        </w:rPr>
      </w:pPr>
      <w:r>
        <w:t xml:space="preserve">llama a la Comisión a </w:t>
      </w:r>
      <w:r>
        <w:rPr>
          <w:b/>
        </w:rPr>
        <w:t>considerar el impacto que esta propuesta tendrá en las cadenas de suministro</w:t>
      </w:r>
      <w:r>
        <w:t xml:space="preserve"> que han sido construidas y distribuidas a lo largo de los años basándose en las limitaciones horarias actuales;</w:t>
      </w:r>
    </w:p>
    <w:p w:rsidRPr="00A14846" w:rsidR="00A329C8" w:rsidP="00DC0FAE" w:rsidRDefault="00A329C8" w14:paraId="63C74A95" w14:textId="77777777">
      <w:pPr>
        <w:numPr>
          <w:ilvl w:val="0"/>
          <w:numId w:val="22"/>
        </w:numPr>
        <w:overflowPunct w:val="0"/>
        <w:autoSpaceDE w:val="0"/>
        <w:autoSpaceDN w:val="0"/>
        <w:adjustRightInd w:val="0"/>
        <w:textAlignment w:val="baseline"/>
        <w:outlineLvl w:val="1"/>
        <w:rPr>
          <w:szCs w:val="20"/>
        </w:rPr>
      </w:pPr>
      <w:r>
        <w:t>advierte sobre las repercusiones de limitar, con viajes cortos de menos de nueve horas, el transporte de animales a sacrificio;</w:t>
      </w:r>
    </w:p>
    <w:p w:rsidRPr="00A14846" w:rsidR="00A329C8" w:rsidP="00DC0FAE" w:rsidRDefault="00A329C8" w14:paraId="6F8515E2" w14:textId="77777777">
      <w:pPr>
        <w:numPr>
          <w:ilvl w:val="0"/>
          <w:numId w:val="22"/>
        </w:numPr>
        <w:overflowPunct w:val="0"/>
        <w:autoSpaceDE w:val="0"/>
        <w:autoSpaceDN w:val="0"/>
        <w:adjustRightInd w:val="0"/>
        <w:textAlignment w:val="baseline"/>
        <w:outlineLvl w:val="1"/>
        <w:rPr>
          <w:szCs w:val="20"/>
        </w:rPr>
      </w:pPr>
      <w:r>
        <w:t xml:space="preserve">considera que las nuevas </w:t>
      </w:r>
      <w:r>
        <w:rPr>
          <w:b/>
        </w:rPr>
        <w:t>normas técnicas propuestas</w:t>
      </w:r>
      <w:r>
        <w:t xml:space="preserve"> sobre la aptitud para el transporte de animales terrestres </w:t>
      </w:r>
      <w:r>
        <w:rPr>
          <w:b/>
        </w:rPr>
        <w:t>podrían llevar al cierre de muchas explotaciones ganaderas</w:t>
      </w:r>
      <w:r>
        <w:t>;</w:t>
      </w:r>
    </w:p>
    <w:p w:rsidRPr="00A14846" w:rsidR="00A329C8" w:rsidP="00DC0FAE" w:rsidRDefault="00A329C8" w14:paraId="5FA5848C" w14:textId="77777777">
      <w:pPr>
        <w:numPr>
          <w:ilvl w:val="0"/>
          <w:numId w:val="22"/>
        </w:numPr>
        <w:overflowPunct w:val="0"/>
        <w:autoSpaceDE w:val="0"/>
        <w:autoSpaceDN w:val="0"/>
        <w:adjustRightInd w:val="0"/>
        <w:textAlignment w:val="baseline"/>
        <w:outlineLvl w:val="1"/>
        <w:rPr>
          <w:szCs w:val="20"/>
        </w:rPr>
      </w:pPr>
      <w:r>
        <w:t xml:space="preserve">considera que la </w:t>
      </w:r>
      <w:r>
        <w:rPr>
          <w:b/>
        </w:rPr>
        <w:t>prohibición de transportar animales jóvenes</w:t>
      </w:r>
      <w:r>
        <w:t xml:space="preserve"> como terneros, corderos, cabritos, lechones y potros, que no han sido destetados, </w:t>
      </w:r>
      <w:r>
        <w:rPr>
          <w:b/>
        </w:rPr>
        <w:t>durante largos trayectos por carretera, tiene un impacto significativo en la importación de razas animales</w:t>
      </w:r>
      <w:r>
        <w:t xml:space="preserve"> procedentes de otros Estados miembros de la Unión Europea;</w:t>
      </w:r>
    </w:p>
    <w:p w:rsidRPr="00A14846" w:rsidR="00A329C8" w:rsidP="00DC0FAE" w:rsidRDefault="00A329C8" w14:paraId="6BDADC07" w14:textId="77777777">
      <w:pPr>
        <w:numPr>
          <w:ilvl w:val="0"/>
          <w:numId w:val="22"/>
        </w:numPr>
        <w:overflowPunct w:val="0"/>
        <w:autoSpaceDE w:val="0"/>
        <w:autoSpaceDN w:val="0"/>
        <w:adjustRightInd w:val="0"/>
        <w:textAlignment w:val="baseline"/>
        <w:outlineLvl w:val="1"/>
        <w:rPr>
          <w:szCs w:val="20"/>
        </w:rPr>
      </w:pPr>
      <w:r>
        <w:t xml:space="preserve">insta a la Comisión a </w:t>
      </w:r>
      <w:r>
        <w:rPr>
          <w:b/>
        </w:rPr>
        <w:t>tener en cuenta las particularidades climáticas</w:t>
      </w:r>
      <w:r>
        <w:t xml:space="preserve"> de cada Estado miembro en relación con lo dispuesto en el artículo 31 de la propuesta;</w:t>
      </w:r>
    </w:p>
    <w:p w:rsidRPr="00A14846" w:rsidR="00A329C8" w:rsidP="00DC0FAE" w:rsidRDefault="00A329C8" w14:paraId="4637EB55" w14:textId="77777777">
      <w:pPr>
        <w:numPr>
          <w:ilvl w:val="0"/>
          <w:numId w:val="22"/>
        </w:numPr>
        <w:overflowPunct w:val="0"/>
        <w:autoSpaceDE w:val="0"/>
        <w:autoSpaceDN w:val="0"/>
        <w:adjustRightInd w:val="0"/>
        <w:textAlignment w:val="baseline"/>
        <w:outlineLvl w:val="1"/>
        <w:rPr>
          <w:szCs w:val="20"/>
        </w:rPr>
      </w:pPr>
      <w:r>
        <w:t xml:space="preserve">sostiene que es fundamental </w:t>
      </w:r>
      <w:r>
        <w:rPr>
          <w:b/>
        </w:rPr>
        <w:t>el fomento de los canales cortos de comercialización</w:t>
      </w:r>
      <w:r>
        <w:t xml:space="preserve"> como una solución efectiva para reducir la necesidad de largos trayectos de transporte al acortar la distancia entre los lugares de cría, engorde, sacrificio y consumo;</w:t>
      </w:r>
    </w:p>
    <w:p w:rsidRPr="00A14846" w:rsidR="00A329C8" w:rsidP="00DC0FAE" w:rsidRDefault="00A329C8" w14:paraId="6A4C0035" w14:textId="77777777">
      <w:pPr>
        <w:numPr>
          <w:ilvl w:val="0"/>
          <w:numId w:val="22"/>
        </w:numPr>
        <w:overflowPunct w:val="0"/>
        <w:autoSpaceDE w:val="0"/>
        <w:autoSpaceDN w:val="0"/>
        <w:adjustRightInd w:val="0"/>
        <w:textAlignment w:val="baseline"/>
        <w:outlineLvl w:val="1"/>
      </w:pPr>
      <w:r>
        <w:t xml:space="preserve">apoya las iniciativas que impulsen palancas sanitarias, económicas y jurídicas para </w:t>
      </w:r>
      <w:r>
        <w:rPr>
          <w:b/>
        </w:rPr>
        <w:t>preservar los mataderos locales y fomentar el sacrificio en la granja</w:t>
      </w:r>
      <w:r>
        <w:t xml:space="preserve"> cuando sea adecuado a la escala de la explotación y al contexto local.</w:t>
      </w:r>
    </w:p>
    <w:p w:rsidRPr="00A14846" w:rsidR="00A329C8" w:rsidP="00A329C8" w:rsidRDefault="00A329C8" w14:paraId="00B0D36A" w14:textId="77777777">
      <w:pPr>
        <w:widowControl w:val="0"/>
        <w:overflowPunct w:val="0"/>
        <w:autoSpaceDE w:val="0"/>
        <w:autoSpaceDN w:val="0"/>
        <w:adjustRightInd w:val="0"/>
        <w:textAlignment w:val="baseline"/>
        <w:rPr>
          <w:sz w:val="16"/>
          <w:szCs w:val="16"/>
        </w:rPr>
      </w:pPr>
    </w:p>
    <w:tbl>
      <w:tblPr>
        <w:tblStyle w:val="TableGrid2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A14846" w:rsidR="00A329C8" w:rsidTr="00FE3058" w14:paraId="6B2AC513" w14:textId="77777777">
        <w:tc>
          <w:tcPr>
            <w:tcW w:w="2127" w:type="dxa"/>
          </w:tcPr>
          <w:p w:rsidRPr="00A14846" w:rsidR="00A329C8" w:rsidP="00FE3058" w:rsidRDefault="00A329C8" w14:paraId="1AAB3B0A" w14:textId="77777777">
            <w:pPr>
              <w:overflowPunct w:val="0"/>
              <w:autoSpaceDE w:val="0"/>
              <w:autoSpaceDN w:val="0"/>
              <w:adjustRightInd w:val="0"/>
              <w:spacing w:line="240" w:lineRule="auto"/>
              <w:textAlignment w:val="baseline"/>
              <w:rPr>
                <w:i/>
              </w:rPr>
            </w:pPr>
            <w:r>
              <w:rPr>
                <w:b/>
                <w:i/>
              </w:rPr>
              <w:t xml:space="preserve">Contacto: </w:t>
            </w:r>
          </w:p>
        </w:tc>
        <w:tc>
          <w:tcPr>
            <w:tcW w:w="4252" w:type="dxa"/>
          </w:tcPr>
          <w:p w:rsidRPr="00A14846" w:rsidR="00A329C8" w:rsidP="00FE3058" w:rsidRDefault="00A329C8" w14:paraId="3604A495" w14:textId="158CA49A">
            <w:pPr>
              <w:overflowPunct w:val="0"/>
              <w:autoSpaceDE w:val="0"/>
              <w:autoSpaceDN w:val="0"/>
              <w:adjustRightInd w:val="0"/>
              <w:spacing w:line="240" w:lineRule="auto"/>
              <w:textAlignment w:val="baseline"/>
              <w:rPr>
                <w:i/>
              </w:rPr>
            </w:pPr>
            <w:r>
              <w:rPr>
                <w:i/>
              </w:rPr>
              <w:t>Arturo Íñiguez</w:t>
            </w:r>
          </w:p>
        </w:tc>
      </w:tr>
      <w:tr w:rsidRPr="00A14846" w:rsidR="00A329C8" w:rsidTr="00FE3058" w14:paraId="54FCBA8B" w14:textId="77777777">
        <w:tc>
          <w:tcPr>
            <w:tcW w:w="2127" w:type="dxa"/>
          </w:tcPr>
          <w:p w:rsidRPr="00A14846" w:rsidR="00A329C8" w:rsidP="00FE3058" w:rsidRDefault="00A329C8" w14:paraId="62D7636F" w14:textId="77777777">
            <w:pPr>
              <w:overflowPunct w:val="0"/>
              <w:autoSpaceDE w:val="0"/>
              <w:autoSpaceDN w:val="0"/>
              <w:adjustRightInd w:val="0"/>
              <w:spacing w:line="240" w:lineRule="auto"/>
              <w:textAlignment w:val="baseline"/>
              <w:rPr>
                <w:i/>
              </w:rPr>
            </w:pPr>
            <w:r>
              <w:rPr>
                <w:i/>
              </w:rPr>
              <w:t>Teléfono:</w:t>
            </w:r>
          </w:p>
        </w:tc>
        <w:tc>
          <w:tcPr>
            <w:tcW w:w="4252" w:type="dxa"/>
          </w:tcPr>
          <w:p w:rsidRPr="00A14846" w:rsidR="00A329C8" w:rsidP="00FE3058" w:rsidRDefault="00A329C8" w14:paraId="7C0E8B23" w14:textId="77777777">
            <w:pPr>
              <w:overflowPunct w:val="0"/>
              <w:autoSpaceDE w:val="0"/>
              <w:autoSpaceDN w:val="0"/>
              <w:adjustRightInd w:val="0"/>
              <w:spacing w:line="240" w:lineRule="auto"/>
              <w:textAlignment w:val="baseline"/>
              <w:rPr>
                <w:i/>
              </w:rPr>
            </w:pPr>
            <w:r>
              <w:rPr>
                <w:i/>
              </w:rPr>
              <w:t>+32 25468768</w:t>
            </w:r>
          </w:p>
        </w:tc>
      </w:tr>
      <w:tr w:rsidRPr="00A14846" w:rsidR="00A329C8" w:rsidTr="00FE3058" w14:paraId="485043FF" w14:textId="77777777">
        <w:tc>
          <w:tcPr>
            <w:tcW w:w="2127" w:type="dxa"/>
          </w:tcPr>
          <w:p w:rsidRPr="00A14846" w:rsidR="00A329C8" w:rsidP="00FE3058" w:rsidRDefault="00D704BD" w14:paraId="7E8D5802" w14:textId="61A5A309">
            <w:pPr>
              <w:overflowPunct w:val="0"/>
              <w:autoSpaceDE w:val="0"/>
              <w:autoSpaceDN w:val="0"/>
              <w:adjustRightInd w:val="0"/>
              <w:spacing w:line="240" w:lineRule="auto"/>
              <w:textAlignment w:val="baseline"/>
              <w:rPr>
                <w:i/>
              </w:rPr>
            </w:pPr>
            <w:r>
              <w:rPr>
                <w:i/>
              </w:rPr>
              <w:t>Correo electrónico:</w:t>
            </w:r>
          </w:p>
        </w:tc>
        <w:tc>
          <w:tcPr>
            <w:tcW w:w="4252" w:type="dxa"/>
          </w:tcPr>
          <w:p w:rsidRPr="00A14846" w:rsidR="00A329C8" w:rsidP="00FE3058" w:rsidRDefault="00EC7E2B" w14:paraId="0F764C0D" w14:textId="77777777">
            <w:pPr>
              <w:overflowPunct w:val="0"/>
              <w:autoSpaceDE w:val="0"/>
              <w:autoSpaceDN w:val="0"/>
              <w:adjustRightInd w:val="0"/>
              <w:spacing w:line="240" w:lineRule="auto"/>
              <w:textAlignment w:val="baseline"/>
              <w:rPr>
                <w:i/>
                <w:iCs/>
              </w:rPr>
            </w:pPr>
            <w:hyperlink w:history="1" r:id="rId33">
              <w:r w:rsidR="00C866D0">
                <w:rPr>
                  <w:i/>
                  <w:color w:val="0000FF"/>
                  <w:u w:val="single"/>
                </w:rPr>
                <w:t>Arturo.Iniguez@eesc.europa.eu</w:t>
              </w:r>
            </w:hyperlink>
          </w:p>
        </w:tc>
      </w:tr>
    </w:tbl>
    <w:p w:rsidR="00A329C8" w:rsidP="00A329C8" w:rsidRDefault="00A329C8" w14:paraId="4A4D6D18" w14:textId="77777777">
      <w:pPr>
        <w:spacing w:after="160" w:line="259" w:lineRule="auto"/>
        <w:jc w:val="left"/>
        <w:rPr>
          <w:b/>
          <w:bCs/>
        </w:rPr>
      </w:pPr>
    </w:p>
    <w:p w:rsidR="00386C01" w:rsidRDefault="00386C01" w14:paraId="783F6CD8" w14:textId="765D6A7F">
      <w:pPr>
        <w:spacing w:after="160" w:line="259" w:lineRule="auto"/>
        <w:jc w:val="left"/>
        <w:rPr>
          <w:b/>
          <w:bCs/>
        </w:rPr>
      </w:pPr>
      <w:r>
        <w:br w:type="page"/>
      </w:r>
    </w:p>
    <w:p w:rsidR="00895853" w:rsidP="00770F41" w:rsidRDefault="00895853" w14:paraId="1C46B2C3" w14:textId="7E834008">
      <w:pPr>
        <w:pStyle w:val="Heading1"/>
        <w:tabs>
          <w:tab w:val="clear" w:pos="440"/>
          <w:tab w:val="left" w:pos="567"/>
        </w:tabs>
        <w:ind w:left="567" w:hanging="567"/>
        <w:rPr>
          <w:b/>
          <w:bCs/>
        </w:rPr>
      </w:pPr>
      <w:bookmarkStart w:name="_Toc166847138" w:id="4"/>
      <w:bookmarkStart w:name="_Toc168332493" w:id="5"/>
      <w:bookmarkEnd w:id="4"/>
      <w:r>
        <w:rPr>
          <w:b/>
        </w:rPr>
        <w:lastRenderedPageBreak/>
        <w:t>TRANSPORTES, ENERGÍA, INFRAESTRUCTURAS Y SOCIEDAD DE LA INFORMACIÓN</w:t>
      </w:r>
      <w:bookmarkEnd w:id="5"/>
    </w:p>
    <w:p w:rsidR="005C28F2" w:rsidP="00895853" w:rsidRDefault="005C28F2" w14:paraId="089CB383" w14:textId="77777777"/>
    <w:p w:rsidR="00EC48BE" w:rsidP="00895853" w:rsidRDefault="00EC48BE" w14:paraId="2F9D2873" w14:textId="2ADBE64F"/>
    <w:p w:rsidRPr="00EC48BE" w:rsidR="00EC48BE" w:rsidP="00C26C81" w:rsidRDefault="00EC7E2B" w14:paraId="50FF3C6A" w14:textId="1C0187EA">
      <w:pPr>
        <w:widowControl w:val="0"/>
        <w:numPr>
          <w:ilvl w:val="0"/>
          <w:numId w:val="7"/>
        </w:numPr>
        <w:overflowPunct w:val="0"/>
        <w:autoSpaceDE w:val="0"/>
        <w:autoSpaceDN w:val="0"/>
        <w:adjustRightInd w:val="0"/>
        <w:ind w:hanging="567"/>
        <w:textAlignment w:val="baseline"/>
        <w:rPr>
          <w:sz w:val="20"/>
          <w:szCs w:val="20"/>
        </w:rPr>
      </w:pPr>
      <w:hyperlink w:history="1" r:id="rId34">
        <w:r w:rsidR="00C866D0">
          <w:rPr>
            <w:b/>
            <w:bCs/>
            <w:color w:val="0000FF"/>
            <w:u w:val="single"/>
          </w:rPr>
          <w:t>Plan Europeo de Lucha contra el Cáncer: hacia la seguridad del abastecimiento de radioisótopos</w:t>
        </w:r>
        <w:r w:rsidR="00C866D0">
          <w:rPr>
            <w:b/>
            <w:bCs/>
            <w:color w:val="0000FF"/>
            <w:u w:val="single"/>
          </w:rPr>
          <w:t xml:space="preserve"> </w:t>
        </w:r>
        <w:r w:rsidR="00C866D0">
          <w:rPr>
            <w:b/>
            <w:bCs/>
            <w:color w:val="0000FF"/>
            <w:u w:val="single"/>
          </w:rPr>
          <w:t>para uso médico</w:t>
        </w:r>
      </w:hyperlink>
    </w:p>
    <w:p w:rsidRPr="00EC48BE" w:rsidR="00EC48BE" w:rsidP="00EC48BE" w:rsidRDefault="00EC48BE" w14:paraId="6ABD95D5" w14:textId="77777777">
      <w:pPr>
        <w:tabs>
          <w:tab w:val="center" w:pos="284"/>
        </w:tabs>
        <w:overflowPunct w:val="0"/>
        <w:autoSpaceDE w:val="0"/>
        <w:autoSpaceDN w:val="0"/>
        <w:adjustRightInd w:val="0"/>
        <w:ind w:left="266" w:hanging="266"/>
        <w:textAlignment w:val="baseline"/>
        <w:rPr>
          <w:b/>
        </w:rPr>
      </w:pPr>
    </w:p>
    <w:tbl>
      <w:tblPr>
        <w:tblStyle w:val="TableGrid219"/>
        <w:tblW w:w="4287"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5702"/>
      </w:tblGrid>
      <w:tr w:rsidRPr="00EC48BE" w:rsidR="00EC48BE" w:rsidTr="00DC0FAE" w14:paraId="5D69D1D6" w14:textId="77777777">
        <w:tc>
          <w:tcPr>
            <w:tcW w:w="1276" w:type="pct"/>
          </w:tcPr>
          <w:p w:rsidRPr="00EC48BE" w:rsidR="00EC48BE" w:rsidP="00EC48BE" w:rsidRDefault="00EC48BE" w14:paraId="0629F8BB" w14:textId="77777777">
            <w:pPr>
              <w:tabs>
                <w:tab w:val="center" w:pos="284"/>
              </w:tabs>
              <w:overflowPunct w:val="0"/>
              <w:autoSpaceDE w:val="0"/>
              <w:autoSpaceDN w:val="0"/>
              <w:adjustRightInd w:val="0"/>
              <w:ind w:left="266" w:right="318" w:hanging="266"/>
              <w:textAlignment w:val="baseline"/>
              <w:rPr>
                <w:b/>
              </w:rPr>
            </w:pPr>
            <w:r>
              <w:rPr>
                <w:b/>
              </w:rPr>
              <w:t>Ponente</w:t>
            </w:r>
          </w:p>
        </w:tc>
        <w:tc>
          <w:tcPr>
            <w:tcW w:w="3724" w:type="pct"/>
          </w:tcPr>
          <w:p w:rsidRPr="00EC48BE" w:rsidR="00EC48BE" w:rsidP="00EC48BE" w:rsidRDefault="00EC48BE" w14:paraId="1337C413" w14:textId="6D802AE6">
            <w:pPr>
              <w:tabs>
                <w:tab w:val="center" w:pos="284"/>
              </w:tabs>
              <w:overflowPunct w:val="0"/>
              <w:autoSpaceDE w:val="0"/>
              <w:autoSpaceDN w:val="0"/>
              <w:adjustRightInd w:val="0"/>
              <w:ind w:left="266" w:hanging="266"/>
              <w:textAlignment w:val="baseline"/>
            </w:pPr>
            <w:r>
              <w:t>Alena MASTANTUONO (Grupo de Empresarios – CZ)</w:t>
            </w:r>
          </w:p>
        </w:tc>
      </w:tr>
      <w:tr w:rsidRPr="00EC48BE" w:rsidR="00EC48BE" w:rsidTr="00DC0FAE" w14:paraId="63F1C4BD" w14:textId="77777777">
        <w:tc>
          <w:tcPr>
            <w:tcW w:w="1276" w:type="pct"/>
          </w:tcPr>
          <w:p w:rsidRPr="00EC48BE" w:rsidR="00EC48BE" w:rsidP="00EC48BE" w:rsidRDefault="00EC48BE" w14:paraId="3FA3DCC7" w14:textId="77777777">
            <w:pPr>
              <w:tabs>
                <w:tab w:val="center" w:pos="284"/>
              </w:tabs>
              <w:overflowPunct w:val="0"/>
              <w:autoSpaceDE w:val="0"/>
              <w:autoSpaceDN w:val="0"/>
              <w:adjustRightInd w:val="0"/>
              <w:ind w:left="266" w:hanging="266"/>
              <w:textAlignment w:val="baseline"/>
              <w:rPr>
                <w:b/>
              </w:rPr>
            </w:pPr>
            <w:r>
              <w:rPr>
                <w:b/>
              </w:rPr>
              <w:t>Coponentes</w:t>
            </w:r>
          </w:p>
        </w:tc>
        <w:tc>
          <w:tcPr>
            <w:tcW w:w="3724" w:type="pct"/>
          </w:tcPr>
          <w:p w:rsidRPr="00EC48BE" w:rsidR="00EC48BE" w:rsidP="00EC48BE" w:rsidRDefault="00EC48BE" w14:paraId="0C599690" w14:textId="764AA96C">
            <w:pPr>
              <w:tabs>
                <w:tab w:val="center" w:pos="284"/>
              </w:tabs>
              <w:overflowPunct w:val="0"/>
              <w:autoSpaceDE w:val="0"/>
              <w:autoSpaceDN w:val="0"/>
              <w:adjustRightInd w:val="0"/>
              <w:ind w:left="266" w:hanging="266"/>
              <w:textAlignment w:val="baseline"/>
            </w:pPr>
            <w:r>
              <w:t>Philippe CHARRY (Grupo de Trabajadores – FR)</w:t>
            </w:r>
          </w:p>
        </w:tc>
      </w:tr>
      <w:tr w:rsidRPr="00EC48BE" w:rsidR="00EC48BE" w:rsidTr="00DC0FAE" w14:paraId="498B3001" w14:textId="77777777">
        <w:tc>
          <w:tcPr>
            <w:tcW w:w="5000" w:type="pct"/>
            <w:gridSpan w:val="2"/>
          </w:tcPr>
          <w:p w:rsidRPr="00EC48BE" w:rsidR="00EC48BE" w:rsidP="00EC48BE" w:rsidRDefault="00EC48BE" w14:paraId="4D1569DD" w14:textId="77777777">
            <w:pPr>
              <w:tabs>
                <w:tab w:val="center" w:pos="284"/>
              </w:tabs>
              <w:overflowPunct w:val="0"/>
              <w:autoSpaceDE w:val="0"/>
              <w:autoSpaceDN w:val="0"/>
              <w:adjustRightInd w:val="0"/>
              <w:spacing w:line="160" w:lineRule="exact"/>
              <w:ind w:left="266" w:hanging="266"/>
              <w:textAlignment w:val="baseline"/>
            </w:pPr>
          </w:p>
        </w:tc>
      </w:tr>
      <w:tr w:rsidRPr="00EC48BE" w:rsidR="00EC48BE" w:rsidTr="00DC0FAE" w14:paraId="3524C066" w14:textId="77777777">
        <w:tc>
          <w:tcPr>
            <w:tcW w:w="1276" w:type="pct"/>
            <w:vMerge w:val="restart"/>
          </w:tcPr>
          <w:p w:rsidRPr="00EC48BE" w:rsidR="00EC48BE" w:rsidP="00EC48BE" w:rsidRDefault="00EC48BE" w14:paraId="7BBD85B4" w14:textId="77777777">
            <w:pPr>
              <w:tabs>
                <w:tab w:val="center" w:pos="284"/>
              </w:tabs>
              <w:overflowPunct w:val="0"/>
              <w:autoSpaceDE w:val="0"/>
              <w:autoSpaceDN w:val="0"/>
              <w:adjustRightInd w:val="0"/>
              <w:ind w:left="266" w:hanging="266"/>
              <w:textAlignment w:val="baseline"/>
              <w:rPr>
                <w:b/>
              </w:rPr>
            </w:pPr>
            <w:r>
              <w:rPr>
                <w:b/>
              </w:rPr>
              <w:t>Referencias</w:t>
            </w:r>
          </w:p>
        </w:tc>
        <w:tc>
          <w:tcPr>
            <w:tcW w:w="3724" w:type="pct"/>
          </w:tcPr>
          <w:p w:rsidR="00802E2B" w:rsidP="00EC48BE" w:rsidRDefault="00802E2B" w14:paraId="3EA8129C" w14:textId="253FD17D">
            <w:pPr>
              <w:tabs>
                <w:tab w:val="center" w:pos="284"/>
              </w:tabs>
              <w:overflowPunct w:val="0"/>
              <w:autoSpaceDE w:val="0"/>
              <w:autoSpaceDN w:val="0"/>
              <w:adjustRightInd w:val="0"/>
              <w:ind w:left="266" w:hanging="266"/>
              <w:textAlignment w:val="baseline"/>
            </w:pPr>
            <w:r>
              <w:t>Dictamen de iniciativa</w:t>
            </w:r>
          </w:p>
          <w:p w:rsidRPr="00EC48BE" w:rsidR="00EC48BE" w:rsidP="00EC48BE" w:rsidRDefault="00EC48BE" w14:paraId="30BF4772" w14:textId="5A3BAEA7">
            <w:pPr>
              <w:tabs>
                <w:tab w:val="center" w:pos="284"/>
              </w:tabs>
              <w:overflowPunct w:val="0"/>
              <w:autoSpaceDE w:val="0"/>
              <w:autoSpaceDN w:val="0"/>
              <w:adjustRightInd w:val="0"/>
              <w:ind w:left="266" w:hanging="266"/>
              <w:textAlignment w:val="baseline"/>
            </w:pPr>
            <w:r>
              <w:t>EESC-2024-00265-00-00-AC</w:t>
            </w:r>
          </w:p>
        </w:tc>
      </w:tr>
      <w:tr w:rsidRPr="00EC48BE" w:rsidR="00EC48BE" w:rsidTr="00DC0FAE" w14:paraId="2F6C577F" w14:textId="77777777">
        <w:tc>
          <w:tcPr>
            <w:tcW w:w="1276" w:type="pct"/>
            <w:vMerge/>
          </w:tcPr>
          <w:p w:rsidRPr="00EC48BE" w:rsidR="00EC48BE" w:rsidP="00EC48BE" w:rsidRDefault="00EC48BE" w14:paraId="5DF5D6AE" w14:textId="77777777">
            <w:pPr>
              <w:tabs>
                <w:tab w:val="center" w:pos="284"/>
              </w:tabs>
              <w:overflowPunct w:val="0"/>
              <w:autoSpaceDE w:val="0"/>
              <w:autoSpaceDN w:val="0"/>
              <w:adjustRightInd w:val="0"/>
              <w:ind w:left="266" w:hanging="266"/>
              <w:textAlignment w:val="baseline"/>
              <w:rPr>
                <w:b/>
              </w:rPr>
            </w:pPr>
          </w:p>
        </w:tc>
        <w:tc>
          <w:tcPr>
            <w:tcW w:w="3724" w:type="pct"/>
          </w:tcPr>
          <w:p w:rsidRPr="00EC48BE" w:rsidR="00EC48BE" w:rsidP="00EC48BE" w:rsidRDefault="00EC48BE" w14:paraId="3B39B1F2" w14:textId="77777777">
            <w:pPr>
              <w:tabs>
                <w:tab w:val="center" w:pos="284"/>
              </w:tabs>
              <w:overflowPunct w:val="0"/>
              <w:autoSpaceDE w:val="0"/>
              <w:autoSpaceDN w:val="0"/>
              <w:adjustRightInd w:val="0"/>
              <w:ind w:left="266" w:hanging="266"/>
              <w:textAlignment w:val="baseline"/>
            </w:pPr>
          </w:p>
        </w:tc>
      </w:tr>
    </w:tbl>
    <w:p w:rsidRPr="00EC48BE" w:rsidR="00EC48BE" w:rsidP="00EC48BE" w:rsidRDefault="00EC48BE" w14:paraId="6A658105" w14:textId="77777777">
      <w:pPr>
        <w:tabs>
          <w:tab w:val="center" w:pos="284"/>
        </w:tabs>
        <w:overflowPunct w:val="0"/>
        <w:autoSpaceDE w:val="0"/>
        <w:autoSpaceDN w:val="0"/>
        <w:adjustRightInd w:val="0"/>
        <w:ind w:left="266" w:hanging="266"/>
        <w:textAlignment w:val="baseline"/>
      </w:pPr>
    </w:p>
    <w:p w:rsidRPr="00EC48BE" w:rsidR="00EC48BE" w:rsidP="00EC48BE" w:rsidRDefault="00EC48BE" w14:paraId="53138D82"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EC48BE" w:rsidR="00EC48BE" w:rsidP="00EC48BE" w:rsidRDefault="00EC48BE" w14:paraId="30289543" w14:textId="77777777">
      <w:pPr>
        <w:keepNext/>
        <w:keepLines/>
        <w:tabs>
          <w:tab w:val="center" w:pos="284"/>
        </w:tabs>
        <w:overflowPunct w:val="0"/>
        <w:autoSpaceDE w:val="0"/>
        <w:autoSpaceDN w:val="0"/>
        <w:adjustRightInd w:val="0"/>
        <w:ind w:left="266" w:hanging="266"/>
        <w:textAlignment w:val="baseline"/>
        <w:rPr>
          <w:b/>
        </w:rPr>
      </w:pPr>
    </w:p>
    <w:p w:rsidRPr="00EC48BE" w:rsidR="00EC48BE" w:rsidP="00EC48BE" w:rsidRDefault="00EC48BE" w14:paraId="1FF2E76F" w14:textId="77777777">
      <w:pPr>
        <w:overflowPunct w:val="0"/>
        <w:autoSpaceDE w:val="0"/>
        <w:autoSpaceDN w:val="0"/>
        <w:adjustRightInd w:val="0"/>
        <w:textAlignment w:val="baseline"/>
        <w:rPr>
          <w:bCs/>
          <w:iCs/>
        </w:rPr>
      </w:pPr>
      <w:r>
        <w:t>El CESE:</w:t>
      </w:r>
    </w:p>
    <w:p w:rsidRPr="00EC48BE" w:rsidR="00EC48BE" w:rsidP="00EC48BE" w:rsidRDefault="00EC48BE" w14:paraId="44A55ABA" w14:textId="77777777">
      <w:pPr>
        <w:overflowPunct w:val="0"/>
        <w:autoSpaceDE w:val="0"/>
        <w:autoSpaceDN w:val="0"/>
        <w:adjustRightInd w:val="0"/>
        <w:textAlignment w:val="baseline"/>
        <w:rPr>
          <w:bCs/>
          <w:iCs/>
        </w:rPr>
      </w:pPr>
    </w:p>
    <w:p w:rsidRPr="00EC48BE" w:rsidR="00EC48BE" w:rsidP="00DC0FAE" w:rsidRDefault="00EC48BE" w14:paraId="16965D67" w14:textId="77777777">
      <w:pPr>
        <w:widowControl w:val="0"/>
        <w:numPr>
          <w:ilvl w:val="0"/>
          <w:numId w:val="23"/>
        </w:numPr>
        <w:overflowPunct w:val="0"/>
        <w:autoSpaceDE w:val="0"/>
        <w:autoSpaceDN w:val="0"/>
        <w:adjustRightInd w:val="0"/>
        <w:ind w:left="284" w:hanging="284"/>
        <w:textAlignment w:val="baseline"/>
        <w:rPr>
          <w:bCs/>
          <w:iCs/>
        </w:rPr>
      </w:pPr>
      <w:r>
        <w:t>destaca que la medicina nuclear salva millones de vidas y representa una fuente de gran esperanza en la lucha contra el cáncer. El Comité hace hincapié en la importancia de satisfacer las necesidades de los pacientes en Europa y garantizar a todos ellos la igualdad de acceso a los tratamientos contra el cáncer.</w:t>
      </w:r>
    </w:p>
    <w:p w:rsidRPr="00EC48BE" w:rsidR="00EC48BE" w:rsidP="00DC0FAE" w:rsidRDefault="00EC48BE" w14:paraId="2189E501" w14:textId="77777777">
      <w:pPr>
        <w:widowControl w:val="0"/>
        <w:numPr>
          <w:ilvl w:val="0"/>
          <w:numId w:val="23"/>
        </w:numPr>
        <w:overflowPunct w:val="0"/>
        <w:autoSpaceDE w:val="0"/>
        <w:autoSpaceDN w:val="0"/>
        <w:adjustRightInd w:val="0"/>
        <w:ind w:left="284" w:hanging="284"/>
        <w:textAlignment w:val="baseline"/>
        <w:rPr>
          <w:bCs/>
          <w:iCs/>
        </w:rPr>
      </w:pPr>
      <w:r>
        <w:t>En Europa se realizan diez millones de intervenciones al año con radiofármacos para diagnóstico y terapia. Debe darse prioridad a las terapias específicas con radionucleidos, ya que son precisas y a menudo menos nocivas que otros tratamientos;</w:t>
      </w:r>
    </w:p>
    <w:p w:rsidRPr="00EC48BE" w:rsidR="00EC48BE" w:rsidP="00DC0FAE" w:rsidRDefault="00EC48BE" w14:paraId="42230DC3" w14:textId="77777777">
      <w:pPr>
        <w:widowControl w:val="0"/>
        <w:numPr>
          <w:ilvl w:val="0"/>
          <w:numId w:val="23"/>
        </w:numPr>
        <w:overflowPunct w:val="0"/>
        <w:autoSpaceDE w:val="0"/>
        <w:autoSpaceDN w:val="0"/>
        <w:adjustRightInd w:val="0"/>
        <w:ind w:left="284" w:hanging="284"/>
        <w:textAlignment w:val="baseline"/>
        <w:rPr>
          <w:bCs/>
          <w:iCs/>
        </w:rPr>
      </w:pPr>
      <w:r>
        <w:t>pide incentivos a la producción que garanticen una mayor autonomía estratégica en el suministro de radioisótopos. Europa es líder en el suministro de radioisótopos para la medicina. Al mismo tiempo, presenta dependencias críticas de terceros países en lo que se refiere a determinadas materias primas fundamentales y a su transformación. Pro lo tanto, el Comité pide a la Alianza de Medicamentos Esenciales que supervise atentamente el suministro de radioisótopos en Europa y apoye el refuerzo de la competitividad industrial en este sector;</w:t>
      </w:r>
    </w:p>
    <w:p w:rsidRPr="00EC48BE" w:rsidR="00EC48BE" w:rsidP="00DC0FAE" w:rsidRDefault="00EC48BE" w14:paraId="55D3C6BC" w14:textId="77777777">
      <w:pPr>
        <w:widowControl w:val="0"/>
        <w:numPr>
          <w:ilvl w:val="0"/>
          <w:numId w:val="23"/>
        </w:numPr>
        <w:overflowPunct w:val="0"/>
        <w:autoSpaceDE w:val="0"/>
        <w:autoSpaceDN w:val="0"/>
        <w:adjustRightInd w:val="0"/>
        <w:ind w:left="284" w:hanging="284"/>
        <w:textAlignment w:val="baseline"/>
        <w:rPr>
          <w:bCs/>
          <w:iCs/>
        </w:rPr>
      </w:pPr>
      <w:r>
        <w:t>pide que se garantice el cumplimiento de las medidas de seguridad y protección del personal a lo largo de la cadena de suministro, y aboga por realizar inversiones urgentes en la planificación, la educación, la formación y la movilidad del personal necesario en este sector.</w:t>
      </w:r>
    </w:p>
    <w:p w:rsidRPr="00EC48BE" w:rsidR="00EC48BE" w:rsidP="00EC48BE" w:rsidRDefault="00EC48BE" w14:paraId="387BEC6B" w14:textId="77777777">
      <w:pPr>
        <w:widowControl w:val="0"/>
        <w:overflowPunct w:val="0"/>
        <w:autoSpaceDE w:val="0"/>
        <w:autoSpaceDN w:val="0"/>
        <w:adjustRightInd w:val="0"/>
        <w:ind w:left="709"/>
        <w:textAlignment w:val="baseline"/>
      </w:pPr>
    </w:p>
    <w:p w:rsidRPr="00EC48BE" w:rsidR="00EC48BE" w:rsidP="00EC48BE" w:rsidRDefault="00EC48BE" w14:paraId="0529A1B6" w14:textId="77777777">
      <w:pPr>
        <w:widowControl w:val="0"/>
        <w:overflowPunct w:val="0"/>
        <w:autoSpaceDE w:val="0"/>
        <w:autoSpaceDN w:val="0"/>
        <w:adjustRightInd w:val="0"/>
        <w:ind w:left="709"/>
        <w:textAlignment w:val="baseline"/>
        <w:rPr>
          <w:szCs w:val="20"/>
        </w:rPr>
      </w:pPr>
    </w:p>
    <w:tbl>
      <w:tblPr>
        <w:tblStyle w:val="TableGrid21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EC48BE" w:rsidR="00EC48BE" w:rsidTr="00FE3058" w14:paraId="4FEA0D44" w14:textId="77777777">
        <w:tc>
          <w:tcPr>
            <w:tcW w:w="1556" w:type="pct"/>
          </w:tcPr>
          <w:p w:rsidRPr="00EC48BE" w:rsidR="00EC48BE" w:rsidP="00EC48BE" w:rsidRDefault="00EC48BE" w14:paraId="292D789E" w14:textId="77777777">
            <w:pPr>
              <w:overflowPunct w:val="0"/>
              <w:autoSpaceDE w:val="0"/>
              <w:autoSpaceDN w:val="0"/>
              <w:adjustRightInd w:val="0"/>
              <w:spacing w:line="240" w:lineRule="auto"/>
              <w:textAlignment w:val="baseline"/>
              <w:rPr>
                <w:i/>
              </w:rPr>
            </w:pPr>
            <w:r>
              <w:rPr>
                <w:b/>
                <w:i/>
              </w:rPr>
              <w:t>Contacto:</w:t>
            </w:r>
          </w:p>
        </w:tc>
        <w:tc>
          <w:tcPr>
            <w:tcW w:w="3444" w:type="pct"/>
          </w:tcPr>
          <w:p w:rsidRPr="00EC48BE" w:rsidR="00EC48BE" w:rsidP="00EC48BE" w:rsidRDefault="00EC48BE" w14:paraId="50791366" w14:textId="2071A688">
            <w:pPr>
              <w:overflowPunct w:val="0"/>
              <w:autoSpaceDE w:val="0"/>
              <w:autoSpaceDN w:val="0"/>
              <w:adjustRightInd w:val="0"/>
              <w:spacing w:line="240" w:lineRule="auto"/>
              <w:textAlignment w:val="baseline"/>
              <w:rPr>
                <w:i/>
              </w:rPr>
            </w:pPr>
            <w:r>
              <w:rPr>
                <w:i/>
              </w:rPr>
              <w:t>Maja Radman</w:t>
            </w:r>
          </w:p>
        </w:tc>
      </w:tr>
      <w:tr w:rsidRPr="00EC48BE" w:rsidR="00EC48BE" w:rsidTr="00FE3058" w14:paraId="35A36E33" w14:textId="77777777">
        <w:tc>
          <w:tcPr>
            <w:tcW w:w="1556" w:type="pct"/>
          </w:tcPr>
          <w:p w:rsidRPr="00EC48BE" w:rsidR="00EC48BE" w:rsidP="00EC48BE" w:rsidRDefault="00EC48BE" w14:paraId="610BC20B" w14:textId="77777777">
            <w:pPr>
              <w:overflowPunct w:val="0"/>
              <w:autoSpaceDE w:val="0"/>
              <w:autoSpaceDN w:val="0"/>
              <w:adjustRightInd w:val="0"/>
              <w:spacing w:line="240" w:lineRule="auto"/>
              <w:textAlignment w:val="baseline"/>
              <w:rPr>
                <w:i/>
              </w:rPr>
            </w:pPr>
            <w:r>
              <w:rPr>
                <w:i/>
              </w:rPr>
              <w:t>Teléfono:</w:t>
            </w:r>
          </w:p>
        </w:tc>
        <w:tc>
          <w:tcPr>
            <w:tcW w:w="3444" w:type="pct"/>
          </w:tcPr>
          <w:p w:rsidRPr="00EC48BE" w:rsidR="00EC48BE" w:rsidP="00EC48BE" w:rsidRDefault="00EC48BE" w14:paraId="1B1FFFC2" w14:textId="77777777">
            <w:pPr>
              <w:overflowPunct w:val="0"/>
              <w:autoSpaceDE w:val="0"/>
              <w:autoSpaceDN w:val="0"/>
              <w:adjustRightInd w:val="0"/>
              <w:spacing w:line="240" w:lineRule="auto"/>
              <w:textAlignment w:val="baseline"/>
              <w:rPr>
                <w:i/>
              </w:rPr>
            </w:pPr>
            <w:r>
              <w:rPr>
                <w:i/>
              </w:rPr>
              <w:t>+32 25469051</w:t>
            </w:r>
          </w:p>
        </w:tc>
      </w:tr>
      <w:tr w:rsidRPr="00EC48BE" w:rsidR="00EC48BE" w:rsidTr="00FE3058" w14:paraId="6456D68F" w14:textId="77777777">
        <w:tc>
          <w:tcPr>
            <w:tcW w:w="1556" w:type="pct"/>
          </w:tcPr>
          <w:p w:rsidRPr="00EC48BE" w:rsidR="00EC48BE" w:rsidP="00EC48BE" w:rsidRDefault="00EC48BE" w14:paraId="59C76142" w14:textId="77777777">
            <w:pPr>
              <w:overflowPunct w:val="0"/>
              <w:autoSpaceDE w:val="0"/>
              <w:autoSpaceDN w:val="0"/>
              <w:adjustRightInd w:val="0"/>
              <w:spacing w:line="240" w:lineRule="auto"/>
              <w:textAlignment w:val="baseline"/>
              <w:rPr>
                <w:i/>
              </w:rPr>
            </w:pPr>
            <w:r>
              <w:rPr>
                <w:i/>
              </w:rPr>
              <w:t>Correo electrónico:</w:t>
            </w:r>
          </w:p>
        </w:tc>
        <w:tc>
          <w:tcPr>
            <w:tcW w:w="3444" w:type="pct"/>
          </w:tcPr>
          <w:p w:rsidRPr="00EC48BE" w:rsidR="00EC48BE" w:rsidP="00EC48BE" w:rsidRDefault="00EC7E2B" w14:paraId="50EB0CCC" w14:textId="77777777">
            <w:pPr>
              <w:overflowPunct w:val="0"/>
              <w:autoSpaceDE w:val="0"/>
              <w:autoSpaceDN w:val="0"/>
              <w:adjustRightInd w:val="0"/>
              <w:spacing w:line="240" w:lineRule="auto"/>
              <w:textAlignment w:val="baseline"/>
              <w:rPr>
                <w:i/>
              </w:rPr>
            </w:pPr>
            <w:hyperlink w:history="1" r:id="rId35">
              <w:r w:rsidR="00C866D0">
                <w:rPr>
                  <w:i/>
                  <w:color w:val="0000FF"/>
                  <w:u w:val="single"/>
                </w:rPr>
                <w:t>Maja.Radman@eesc.europa.eu</w:t>
              </w:r>
            </w:hyperlink>
            <w:r w:rsidR="00C866D0">
              <w:rPr>
                <w:i/>
              </w:rPr>
              <w:t xml:space="preserve"> </w:t>
            </w:r>
          </w:p>
        </w:tc>
      </w:tr>
    </w:tbl>
    <w:p w:rsidR="00516A59" w:rsidRDefault="00516A59" w14:paraId="7DD6A790" w14:textId="77777777">
      <w:pPr>
        <w:spacing w:after="160" w:line="259" w:lineRule="auto"/>
        <w:jc w:val="left"/>
      </w:pPr>
    </w:p>
    <w:p w:rsidR="00516A59" w:rsidRDefault="00516A59" w14:paraId="77C764C5" w14:textId="77777777">
      <w:pPr>
        <w:spacing w:after="160" w:line="259" w:lineRule="auto"/>
        <w:jc w:val="left"/>
      </w:pPr>
      <w:r>
        <w:br w:type="page"/>
      </w:r>
    </w:p>
    <w:p w:rsidRPr="000B1C30" w:rsidR="00E110D0" w:rsidP="00770F41" w:rsidRDefault="00895853" w14:paraId="268D0B18" w14:textId="09AC0A5F">
      <w:pPr>
        <w:pStyle w:val="Heading1"/>
        <w:tabs>
          <w:tab w:val="clear" w:pos="440"/>
          <w:tab w:val="left" w:pos="567"/>
        </w:tabs>
        <w:ind w:left="567" w:hanging="567"/>
        <w:rPr>
          <w:b/>
          <w:bCs/>
        </w:rPr>
      </w:pPr>
      <w:bookmarkStart w:name="_Toc166847140" w:id="6"/>
      <w:bookmarkStart w:name="_Toc168332494" w:id="7"/>
      <w:bookmarkEnd w:id="6"/>
      <w:r>
        <w:rPr>
          <w:b/>
        </w:rPr>
        <w:lastRenderedPageBreak/>
        <w:t>COMISIÓN CONSULTIVA DE LAS TRANSFORMACIONES INDUSTRIALES</w:t>
      </w:r>
      <w:bookmarkEnd w:id="7"/>
    </w:p>
    <w:p w:rsidR="004351D4" w:rsidP="00895853" w:rsidRDefault="004351D4" w14:paraId="0AE04AB9" w14:textId="7E9F637B">
      <w:pPr>
        <w:overflowPunct w:val="0"/>
        <w:autoSpaceDE w:val="0"/>
        <w:autoSpaceDN w:val="0"/>
        <w:adjustRightInd w:val="0"/>
        <w:jc w:val="left"/>
        <w:textAlignment w:val="baseline"/>
        <w:rPr>
          <w:lang w:val="nl-BE"/>
        </w:rPr>
      </w:pPr>
    </w:p>
    <w:p w:rsidR="005C28F2" w:rsidP="00895853" w:rsidRDefault="005C28F2" w14:paraId="43B85D0B" w14:textId="77777777">
      <w:pPr>
        <w:overflowPunct w:val="0"/>
        <w:autoSpaceDE w:val="0"/>
        <w:autoSpaceDN w:val="0"/>
        <w:adjustRightInd w:val="0"/>
        <w:jc w:val="left"/>
        <w:textAlignment w:val="baseline"/>
        <w:rPr>
          <w:lang w:val="nl-BE"/>
        </w:rPr>
      </w:pPr>
    </w:p>
    <w:p w:rsidRPr="00B612CA" w:rsidR="00B612CA" w:rsidP="00C26C81" w:rsidRDefault="00EC7E2B" w14:paraId="3FFD2060" w14:textId="4C32F184">
      <w:pPr>
        <w:widowControl w:val="0"/>
        <w:numPr>
          <w:ilvl w:val="0"/>
          <w:numId w:val="4"/>
        </w:numPr>
        <w:tabs>
          <w:tab w:val="center" w:pos="567"/>
        </w:tabs>
        <w:overflowPunct w:val="0"/>
        <w:autoSpaceDE w:val="0"/>
        <w:autoSpaceDN w:val="0"/>
        <w:adjustRightInd w:val="0"/>
        <w:spacing w:after="160" w:line="259" w:lineRule="auto"/>
        <w:ind w:left="567" w:hanging="567"/>
        <w:contextualSpacing/>
        <w:jc w:val="left"/>
        <w:textAlignment w:val="baseline"/>
        <w:rPr>
          <w:rFonts w:eastAsiaTheme="minorHAnsi"/>
          <w:b/>
          <w:i/>
          <w:iCs/>
          <w:sz w:val="28"/>
          <w:szCs w:val="28"/>
        </w:rPr>
      </w:pPr>
      <w:hyperlink w:history="1" r:id="rId36">
        <w:r w:rsidR="00C866D0">
          <w:rPr>
            <w:b/>
            <w:i/>
            <w:color w:val="0000FF"/>
            <w:sz w:val="28"/>
            <w:u w:val="single"/>
          </w:rPr>
          <w:t>Programa para la Industria de Defensa Europea</w:t>
        </w:r>
      </w:hyperlink>
    </w:p>
    <w:p w:rsidRPr="00B612CA" w:rsidR="00B612CA" w:rsidP="00B612CA" w:rsidRDefault="00B612CA" w14:paraId="6CCFE10F" w14:textId="59BC7F1E">
      <w:pPr>
        <w:widowControl w:val="0"/>
        <w:tabs>
          <w:tab w:val="center" w:pos="284"/>
        </w:tabs>
        <w:overflowPunct w:val="0"/>
        <w:autoSpaceDE w:val="0"/>
        <w:autoSpaceDN w:val="0"/>
        <w:adjustRightInd w:val="0"/>
        <w:textAlignment w:val="baseline"/>
        <w:rPr>
          <w:rFonts w:eastAsiaTheme="minorHAnsi"/>
          <w:b/>
          <w:lang w:val="en-US"/>
        </w:rPr>
      </w:pPr>
    </w:p>
    <w:tbl>
      <w:tblPr>
        <w:tblStyle w:val="TableGrid220"/>
        <w:tblW w:w="434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5812"/>
      </w:tblGrid>
      <w:tr w:rsidRPr="00B612CA" w:rsidR="00B612CA" w:rsidTr="00FE3058" w14:paraId="18CAAF03" w14:textId="77777777">
        <w:tc>
          <w:tcPr>
            <w:tcW w:w="1258" w:type="pct"/>
          </w:tcPr>
          <w:p w:rsidRPr="00DC0FAE" w:rsidR="00B612CA" w:rsidP="00DC0FAE" w:rsidRDefault="00B612CA" w14:paraId="7DF9E2A6" w14:textId="77777777">
            <w:pPr>
              <w:tabs>
                <w:tab w:val="center" w:pos="284"/>
              </w:tabs>
              <w:spacing w:line="259" w:lineRule="auto"/>
              <w:ind w:left="266" w:hanging="266"/>
              <w:jc w:val="left"/>
              <w:rPr>
                <w:rFonts w:eastAsiaTheme="minorHAnsi"/>
                <w:b/>
                <w:szCs w:val="24"/>
              </w:rPr>
            </w:pPr>
            <w:r>
              <w:rPr>
                <w:b/>
              </w:rPr>
              <w:t>Ponente</w:t>
            </w:r>
          </w:p>
        </w:tc>
        <w:tc>
          <w:tcPr>
            <w:tcW w:w="3742" w:type="pct"/>
          </w:tcPr>
          <w:p w:rsidRPr="00DC0FAE" w:rsidR="00B612CA" w:rsidP="00DC0FAE" w:rsidRDefault="00B612CA" w14:paraId="7678F137" w14:textId="77777777">
            <w:pPr>
              <w:tabs>
                <w:tab w:val="center" w:pos="33"/>
              </w:tabs>
              <w:spacing w:line="259" w:lineRule="auto"/>
              <w:ind w:left="33" w:hanging="33"/>
              <w:jc w:val="left"/>
              <w:rPr>
                <w:rFonts w:eastAsiaTheme="minorHAnsi"/>
                <w:szCs w:val="24"/>
              </w:rPr>
            </w:pPr>
            <w:r>
              <w:t>Tomasz Andrzej WRÓBLEWSKI (Grupo de Empresarios – PL)</w:t>
            </w:r>
          </w:p>
        </w:tc>
      </w:tr>
      <w:tr w:rsidRPr="00B612CA" w:rsidR="00B612CA" w:rsidTr="00FE3058" w14:paraId="02CD892C" w14:textId="77777777">
        <w:tc>
          <w:tcPr>
            <w:tcW w:w="1258" w:type="pct"/>
          </w:tcPr>
          <w:p w:rsidRPr="00DC0FAE" w:rsidR="00B612CA" w:rsidP="00DC0FAE" w:rsidRDefault="00B612CA" w14:paraId="32A8CC73" w14:textId="77777777">
            <w:pPr>
              <w:tabs>
                <w:tab w:val="center" w:pos="284"/>
              </w:tabs>
              <w:spacing w:line="259" w:lineRule="auto"/>
              <w:ind w:left="266" w:hanging="266"/>
              <w:jc w:val="left"/>
              <w:rPr>
                <w:rFonts w:eastAsiaTheme="minorHAnsi"/>
                <w:b/>
                <w:szCs w:val="24"/>
              </w:rPr>
            </w:pPr>
            <w:r>
              <w:rPr>
                <w:b/>
              </w:rPr>
              <w:t>Coponentes</w:t>
            </w:r>
          </w:p>
        </w:tc>
        <w:tc>
          <w:tcPr>
            <w:tcW w:w="3742" w:type="pct"/>
          </w:tcPr>
          <w:p w:rsidRPr="00DC0FAE" w:rsidR="00B612CA" w:rsidP="00DC0FAE" w:rsidRDefault="00B612CA" w14:paraId="10B820C3" w14:textId="4AB00E12">
            <w:pPr>
              <w:tabs>
                <w:tab w:val="center" w:pos="284"/>
              </w:tabs>
              <w:spacing w:line="259" w:lineRule="auto"/>
              <w:ind w:left="266" w:hanging="266"/>
              <w:jc w:val="left"/>
              <w:rPr>
                <w:rFonts w:eastAsiaTheme="minorHAnsi"/>
                <w:szCs w:val="24"/>
              </w:rPr>
            </w:pPr>
            <w:r>
              <w:t>Franck UHLIG (Cat. 2 – FR)</w:t>
            </w:r>
          </w:p>
        </w:tc>
      </w:tr>
      <w:tr w:rsidRPr="00B612CA" w:rsidR="00B612CA" w:rsidTr="00FE3058" w14:paraId="77B12610" w14:textId="77777777">
        <w:tc>
          <w:tcPr>
            <w:tcW w:w="5000" w:type="pct"/>
            <w:gridSpan w:val="2"/>
          </w:tcPr>
          <w:p w:rsidRPr="00DC0FAE" w:rsidR="00B612CA" w:rsidP="00B612CA" w:rsidRDefault="00B612CA" w14:paraId="22141688" w14:textId="77777777">
            <w:pPr>
              <w:tabs>
                <w:tab w:val="center" w:pos="284"/>
              </w:tabs>
              <w:spacing w:after="160" w:line="160" w:lineRule="exact"/>
              <w:ind w:left="266" w:hanging="266"/>
              <w:jc w:val="left"/>
              <w:rPr>
                <w:rFonts w:eastAsiaTheme="minorHAnsi"/>
                <w:szCs w:val="24"/>
              </w:rPr>
            </w:pPr>
          </w:p>
        </w:tc>
      </w:tr>
      <w:tr w:rsidRPr="00B612CA" w:rsidR="00B612CA" w:rsidTr="00FE3058" w14:paraId="366D3A3A" w14:textId="77777777">
        <w:tc>
          <w:tcPr>
            <w:tcW w:w="1258" w:type="pct"/>
            <w:vMerge w:val="restart"/>
          </w:tcPr>
          <w:p w:rsidRPr="00DC0FAE" w:rsidR="00B612CA" w:rsidP="00DC0FAE" w:rsidRDefault="00B612CA" w14:paraId="620E2FAB" w14:textId="77777777">
            <w:pPr>
              <w:tabs>
                <w:tab w:val="center" w:pos="284"/>
              </w:tabs>
              <w:spacing w:line="259" w:lineRule="auto"/>
              <w:ind w:left="266" w:hanging="266"/>
              <w:jc w:val="left"/>
              <w:rPr>
                <w:rFonts w:eastAsiaTheme="minorHAnsi"/>
                <w:b/>
                <w:szCs w:val="24"/>
              </w:rPr>
            </w:pPr>
            <w:r>
              <w:rPr>
                <w:b/>
              </w:rPr>
              <w:t>Referencias</w:t>
            </w:r>
          </w:p>
        </w:tc>
        <w:tc>
          <w:tcPr>
            <w:tcW w:w="3742" w:type="pct"/>
          </w:tcPr>
          <w:p w:rsidRPr="00DC0FAE" w:rsidR="00B612CA" w:rsidP="00DC0FAE" w:rsidRDefault="00B612CA" w14:paraId="554796B3" w14:textId="77777777">
            <w:pPr>
              <w:tabs>
                <w:tab w:val="center" w:pos="284"/>
              </w:tabs>
              <w:spacing w:line="259" w:lineRule="auto"/>
              <w:ind w:left="266" w:hanging="266"/>
              <w:jc w:val="left"/>
              <w:rPr>
                <w:rFonts w:eastAsiaTheme="minorHAnsi"/>
                <w:szCs w:val="24"/>
              </w:rPr>
            </w:pPr>
            <w:r>
              <w:t>COM(2024) 150 final</w:t>
            </w:r>
          </w:p>
        </w:tc>
      </w:tr>
      <w:tr w:rsidRPr="00B612CA" w:rsidR="00B612CA" w:rsidTr="00FE3058" w14:paraId="10E2BB82" w14:textId="77777777">
        <w:tc>
          <w:tcPr>
            <w:tcW w:w="1258" w:type="pct"/>
            <w:vMerge/>
          </w:tcPr>
          <w:p w:rsidRPr="00DC0FAE" w:rsidR="00B612CA" w:rsidP="00DC0FAE" w:rsidRDefault="00B612CA" w14:paraId="175F9DD0" w14:textId="77777777">
            <w:pPr>
              <w:tabs>
                <w:tab w:val="center" w:pos="284"/>
              </w:tabs>
              <w:spacing w:line="259" w:lineRule="auto"/>
              <w:ind w:left="266" w:hanging="266"/>
              <w:jc w:val="left"/>
              <w:rPr>
                <w:rFonts w:eastAsiaTheme="minorHAnsi"/>
                <w:b/>
                <w:szCs w:val="24"/>
              </w:rPr>
            </w:pPr>
          </w:p>
        </w:tc>
        <w:tc>
          <w:tcPr>
            <w:tcW w:w="3742" w:type="pct"/>
          </w:tcPr>
          <w:p w:rsidRPr="00DC0FAE" w:rsidR="00B612CA" w:rsidP="00DC0FAE" w:rsidRDefault="00B612CA" w14:paraId="4A35E6C4" w14:textId="77777777">
            <w:pPr>
              <w:tabs>
                <w:tab w:val="center" w:pos="284"/>
              </w:tabs>
              <w:spacing w:line="259" w:lineRule="auto"/>
              <w:ind w:left="266" w:hanging="266"/>
              <w:jc w:val="left"/>
              <w:rPr>
                <w:rFonts w:eastAsiaTheme="minorHAnsi"/>
                <w:szCs w:val="24"/>
              </w:rPr>
            </w:pPr>
            <w:r>
              <w:t>EESC-2024-00813-00-00-AC</w:t>
            </w:r>
          </w:p>
        </w:tc>
      </w:tr>
    </w:tbl>
    <w:p w:rsidRPr="00B612CA" w:rsidR="00B612CA" w:rsidP="00B612CA" w:rsidRDefault="00B612CA" w14:paraId="65401695" w14:textId="77777777">
      <w:pPr>
        <w:widowControl w:val="0"/>
        <w:tabs>
          <w:tab w:val="center" w:pos="284"/>
        </w:tabs>
        <w:overflowPunct w:val="0"/>
        <w:autoSpaceDE w:val="0"/>
        <w:autoSpaceDN w:val="0"/>
        <w:adjustRightInd w:val="0"/>
        <w:textAlignment w:val="baseline"/>
        <w:rPr>
          <w:rFonts w:eastAsiaTheme="minorHAnsi"/>
          <w:b/>
          <w:lang w:val="en-US"/>
        </w:rPr>
      </w:pPr>
    </w:p>
    <w:p w:rsidR="00B612CA" w:rsidP="00B612CA" w:rsidRDefault="00B612CA" w14:paraId="66AF4059" w14:textId="103542FE">
      <w:pPr>
        <w:keepNext/>
        <w:keepLines/>
        <w:spacing w:after="160" w:line="259" w:lineRule="auto"/>
        <w:ind w:left="142" w:hanging="142"/>
        <w:jc w:val="left"/>
        <w:rPr>
          <w:rFonts w:eastAsiaTheme="minorHAnsi"/>
          <w:b/>
        </w:rPr>
      </w:pPr>
      <w:r>
        <w:rPr>
          <w:b/>
        </w:rPr>
        <w:t>Puntos clave</w:t>
      </w:r>
    </w:p>
    <w:p w:rsidRPr="00B612CA" w:rsidR="007724A0" w:rsidP="00B612CA" w:rsidRDefault="007724A0" w14:paraId="6657CF81" w14:textId="77777777">
      <w:pPr>
        <w:keepNext/>
        <w:keepLines/>
        <w:spacing w:after="160" w:line="259" w:lineRule="auto"/>
        <w:ind w:left="142" w:hanging="142"/>
        <w:jc w:val="left"/>
        <w:rPr>
          <w:rFonts w:eastAsiaTheme="minorHAnsi"/>
          <w:b/>
          <w:lang w:val="en-US"/>
        </w:rPr>
      </w:pPr>
    </w:p>
    <w:p w:rsidR="00B612CA" w:rsidP="00DC0FAE" w:rsidRDefault="00B612CA" w14:paraId="6C447796" w14:textId="188E9CB3">
      <w:pPr>
        <w:spacing w:after="160" w:line="259" w:lineRule="auto"/>
        <w:ind w:left="142" w:hanging="142"/>
        <w:jc w:val="left"/>
        <w:rPr>
          <w:rFonts w:eastAsiaTheme="minorHAnsi"/>
        </w:rPr>
      </w:pPr>
      <w:r>
        <w:t>El CESE:</w:t>
      </w:r>
    </w:p>
    <w:p w:rsidRPr="00B612CA" w:rsidR="00B612CA" w:rsidP="00DC0FAE" w:rsidRDefault="00B612CA" w14:paraId="19ACACDB" w14:textId="77777777">
      <w:pPr>
        <w:numPr>
          <w:ilvl w:val="0"/>
          <w:numId w:val="24"/>
        </w:numPr>
        <w:spacing w:after="160" w:line="259" w:lineRule="auto"/>
        <w:ind w:left="284" w:hanging="284"/>
        <w:contextualSpacing/>
        <w:rPr>
          <w:rFonts w:eastAsiaTheme="minorHAnsi"/>
        </w:rPr>
      </w:pPr>
      <w:r>
        <w:t xml:space="preserve">recomienda que la Comisión Europea </w:t>
      </w:r>
      <w:r>
        <w:rPr>
          <w:b/>
        </w:rPr>
        <w:t>se comunique ampliamente con la ciudadanía europea para dar a conocer a un gran público los retos de la financiación de la defensa conjunta</w:t>
      </w:r>
      <w:r>
        <w:t xml:space="preserve"> en el actual contexto geopolítico y con vistas a construir una seguridad común, al tiempo que mantiene un proyecto de paz y solidaridad como base de la integración europea;</w:t>
      </w:r>
    </w:p>
    <w:p w:rsidRPr="00B612CA" w:rsidR="00B612CA" w:rsidP="00DC0FAE" w:rsidRDefault="00B612CA" w14:paraId="10700EAD" w14:textId="77777777">
      <w:pPr>
        <w:numPr>
          <w:ilvl w:val="0"/>
          <w:numId w:val="24"/>
        </w:numPr>
        <w:spacing w:after="160" w:line="259" w:lineRule="auto"/>
        <w:ind w:left="284" w:hanging="284"/>
        <w:contextualSpacing/>
        <w:rPr>
          <w:rFonts w:eastAsiaTheme="minorHAnsi"/>
        </w:rPr>
      </w:pPr>
      <w:r>
        <w:t xml:space="preserve">pide que se </w:t>
      </w:r>
      <w:r>
        <w:rPr>
          <w:b/>
        </w:rPr>
        <w:t>aumente la limitada financiación actual (1 500 millones EUR)</w:t>
      </w:r>
      <w:r>
        <w:t xml:space="preserve"> a medio plazo;</w:t>
      </w:r>
    </w:p>
    <w:p w:rsidRPr="00B612CA" w:rsidR="00B612CA" w:rsidP="00DC0FAE" w:rsidRDefault="00B612CA" w14:paraId="35EFB068" w14:textId="77777777">
      <w:pPr>
        <w:numPr>
          <w:ilvl w:val="0"/>
          <w:numId w:val="24"/>
        </w:numPr>
        <w:spacing w:after="160" w:line="259" w:lineRule="auto"/>
        <w:ind w:left="284" w:hanging="284"/>
        <w:contextualSpacing/>
        <w:rPr>
          <w:rFonts w:eastAsiaTheme="minorHAnsi"/>
        </w:rPr>
      </w:pPr>
      <w:r>
        <w:t xml:space="preserve">subraya que el Programa para la Industria de Defensa Europea (EDIP, por sus siglas en inglés) debe, además de proporcionar la imperiosa respuesta a las necesidades urgentes de Ucrania, propiciar una </w:t>
      </w:r>
      <w:r>
        <w:rPr>
          <w:b/>
        </w:rPr>
        <w:t>evolución estructural del enfoque europeo de la defensa</w:t>
      </w:r>
      <w:r>
        <w:t xml:space="preserve"> y de la base industrial y tecnológica de la defensa europea (BITDE) asociada;</w:t>
      </w:r>
    </w:p>
    <w:p w:rsidRPr="00B612CA" w:rsidR="00B612CA" w:rsidP="00DC0FAE" w:rsidRDefault="00B612CA" w14:paraId="474F4A0A" w14:textId="77777777">
      <w:pPr>
        <w:numPr>
          <w:ilvl w:val="0"/>
          <w:numId w:val="24"/>
        </w:numPr>
        <w:spacing w:after="160" w:line="259" w:lineRule="auto"/>
        <w:ind w:left="284" w:hanging="284"/>
        <w:contextualSpacing/>
        <w:rPr>
          <w:rFonts w:eastAsiaTheme="minorHAnsi"/>
        </w:rPr>
      </w:pPr>
      <w:r>
        <w:t xml:space="preserve">recomienda que el Parlamento Europeo, los Estados miembros, los sectores financieros público y privado y la Comisión Europea esbocen un </w:t>
      </w:r>
      <w:r>
        <w:rPr>
          <w:b/>
        </w:rPr>
        <w:t>plan a largo plazo para aumentar el gasto en armamento y su adquisición</w:t>
      </w:r>
      <w:r>
        <w:t>, que facilite la inversión a largo plazo del sector privado, respalde los planes de producción de equipos militares de la BITDE y preste apoyo a la BITDE orientada a Ucrania;</w:t>
      </w:r>
    </w:p>
    <w:p w:rsidRPr="00B612CA" w:rsidR="00B612CA" w:rsidP="00DC0FAE" w:rsidRDefault="00B612CA" w14:paraId="47D84DAE" w14:textId="77777777">
      <w:pPr>
        <w:numPr>
          <w:ilvl w:val="0"/>
          <w:numId w:val="24"/>
        </w:numPr>
        <w:spacing w:after="160" w:line="259" w:lineRule="auto"/>
        <w:ind w:left="284" w:hanging="284"/>
        <w:contextualSpacing/>
        <w:rPr>
          <w:rFonts w:eastAsiaTheme="minorHAnsi"/>
        </w:rPr>
      </w:pPr>
      <w:r>
        <w:t xml:space="preserve">recomienda a la Comisión Europea que </w:t>
      </w:r>
      <w:r>
        <w:rPr>
          <w:b/>
        </w:rPr>
        <w:t>aclare el origen y el uso de los fondos destinados al EDIP</w:t>
      </w:r>
      <w:r>
        <w:t>;</w:t>
      </w:r>
    </w:p>
    <w:p w:rsidRPr="00B612CA" w:rsidR="00B612CA" w:rsidP="00DC0FAE" w:rsidRDefault="00B612CA" w14:paraId="5028E334" w14:textId="77777777">
      <w:pPr>
        <w:numPr>
          <w:ilvl w:val="0"/>
          <w:numId w:val="24"/>
        </w:numPr>
        <w:spacing w:after="160" w:line="259" w:lineRule="auto"/>
        <w:ind w:left="284" w:hanging="284"/>
        <w:contextualSpacing/>
        <w:rPr>
          <w:rFonts w:eastAsiaTheme="minorHAnsi"/>
        </w:rPr>
      </w:pPr>
      <w:r>
        <w:t xml:space="preserve">aconseja que las </w:t>
      </w:r>
      <w:r>
        <w:rPr>
          <w:b/>
        </w:rPr>
        <w:t>empresas de la BITDE refuercen su cooperación, en especial con las pymes y a escala transfronteriza</w:t>
      </w:r>
      <w:r>
        <w:t>;</w:t>
      </w:r>
    </w:p>
    <w:p w:rsidRPr="00B612CA" w:rsidR="00B612CA" w:rsidP="00DC0FAE" w:rsidRDefault="00B612CA" w14:paraId="4BA1174F" w14:textId="77777777">
      <w:pPr>
        <w:numPr>
          <w:ilvl w:val="0"/>
          <w:numId w:val="24"/>
        </w:numPr>
        <w:spacing w:after="160" w:line="259" w:lineRule="auto"/>
        <w:ind w:left="284" w:hanging="284"/>
        <w:contextualSpacing/>
        <w:rPr>
          <w:rFonts w:eastAsiaTheme="minorHAnsi"/>
        </w:rPr>
      </w:pPr>
      <w:r>
        <w:t xml:space="preserve">destaca la importancia de la </w:t>
      </w:r>
      <w:r>
        <w:rPr>
          <w:b/>
        </w:rPr>
        <w:t>cooperación industrial con Ucrania</w:t>
      </w:r>
      <w:r>
        <w:t xml:space="preserve"> en el marco del EDIP;</w:t>
      </w:r>
    </w:p>
    <w:p w:rsidRPr="00B612CA" w:rsidR="00B612CA" w:rsidP="00DC0FAE" w:rsidRDefault="00B612CA" w14:paraId="7E080E3B" w14:textId="77777777">
      <w:pPr>
        <w:numPr>
          <w:ilvl w:val="0"/>
          <w:numId w:val="24"/>
        </w:numPr>
        <w:spacing w:after="160" w:line="259" w:lineRule="auto"/>
        <w:ind w:left="284" w:hanging="284"/>
        <w:contextualSpacing/>
        <w:rPr>
          <w:rFonts w:eastAsiaTheme="minorHAnsi"/>
        </w:rPr>
      </w:pPr>
      <w:r>
        <w:t xml:space="preserve">propone seguir fomentando las </w:t>
      </w:r>
      <w:r>
        <w:rPr>
          <w:b/>
        </w:rPr>
        <w:t>sinergias entre la industria de defensa y las industrias civiles</w:t>
      </w:r>
      <w:r>
        <w:t>, incluidas las pymes y las empresas emergentes;</w:t>
      </w:r>
    </w:p>
    <w:p w:rsidRPr="00B612CA" w:rsidR="00B612CA" w:rsidP="00DC0FAE" w:rsidRDefault="00B612CA" w14:paraId="1616FA27" w14:textId="77777777">
      <w:pPr>
        <w:numPr>
          <w:ilvl w:val="0"/>
          <w:numId w:val="24"/>
        </w:numPr>
        <w:spacing w:after="160" w:line="259" w:lineRule="auto"/>
        <w:ind w:left="284" w:hanging="284"/>
        <w:contextualSpacing/>
        <w:rPr>
          <w:rFonts w:eastAsiaTheme="minorHAnsi"/>
        </w:rPr>
      </w:pPr>
      <w:r>
        <w:t xml:space="preserve">recomienda </w:t>
      </w:r>
      <w:r>
        <w:rPr>
          <w:b/>
        </w:rPr>
        <w:t>integrar</w:t>
      </w:r>
      <w:r>
        <w:t xml:space="preserve"> en el documento normativo del EDIP </w:t>
      </w:r>
      <w:r>
        <w:rPr>
          <w:b/>
        </w:rPr>
        <w:t>el porcentaje de los objetivos de adquisiciones cooperativas e intraeuropeas</w:t>
      </w:r>
      <w:r>
        <w:t xml:space="preserve"> indicado en la Comunicación sobre la Estrategia Industrial de Defensa Europea (EDIS).</w:t>
      </w:r>
    </w:p>
    <w:p w:rsidR="00B612CA" w:rsidP="007724A0" w:rsidRDefault="00B612CA" w14:paraId="0A876271" w14:textId="1EEC993C">
      <w:pPr>
        <w:spacing w:after="160" w:line="259" w:lineRule="auto"/>
        <w:ind w:left="720"/>
        <w:contextualSpacing/>
        <w:rPr>
          <w:rFonts w:eastAsiaTheme="minorHAnsi"/>
        </w:rPr>
      </w:pPr>
    </w:p>
    <w:p w:rsidRPr="00B612CA" w:rsidR="007724A0" w:rsidP="00DC0FAE" w:rsidRDefault="007724A0" w14:paraId="75BF54F5" w14:textId="77777777">
      <w:pPr>
        <w:spacing w:after="160" w:line="259" w:lineRule="auto"/>
        <w:ind w:left="720"/>
        <w:contextualSpacing/>
        <w:rPr>
          <w:rFonts w:eastAsiaTheme="minorHAnsi"/>
        </w:rPr>
      </w:pPr>
    </w:p>
    <w:tbl>
      <w:tblPr>
        <w:tblStyle w:val="TableGrid220"/>
        <w:tblW w:w="362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56"/>
        <w:gridCol w:w="3716"/>
      </w:tblGrid>
      <w:tr w:rsidRPr="00B612CA" w:rsidR="00B612CA" w:rsidTr="00DC0FAE" w14:paraId="0A0E04CE" w14:textId="77777777">
        <w:tc>
          <w:tcPr>
            <w:tcW w:w="2148" w:type="pct"/>
          </w:tcPr>
          <w:p w:rsidRPr="00DC0FAE" w:rsidR="00B612CA" w:rsidP="00DC0FAE" w:rsidRDefault="00B612CA" w14:paraId="06D84C57" w14:textId="77777777">
            <w:pPr>
              <w:spacing w:line="240" w:lineRule="auto"/>
              <w:jc w:val="left"/>
              <w:rPr>
                <w:rFonts w:eastAsiaTheme="minorHAnsi"/>
                <w:i/>
              </w:rPr>
            </w:pPr>
            <w:r>
              <w:rPr>
                <w:b/>
                <w:i/>
              </w:rPr>
              <w:t>Contacto:</w:t>
            </w:r>
          </w:p>
        </w:tc>
        <w:tc>
          <w:tcPr>
            <w:tcW w:w="2852" w:type="pct"/>
            <w:tcBorders>
              <w:left w:val="nil"/>
            </w:tcBorders>
          </w:tcPr>
          <w:p w:rsidRPr="00DC0FAE" w:rsidR="00B612CA" w:rsidP="00DC0FAE" w:rsidRDefault="00B612CA" w14:paraId="32F55D6E" w14:textId="496A8A95">
            <w:pPr>
              <w:spacing w:line="240" w:lineRule="auto"/>
              <w:ind w:firstLine="177"/>
              <w:jc w:val="left"/>
              <w:rPr>
                <w:rFonts w:eastAsiaTheme="minorHAnsi"/>
                <w:i/>
              </w:rPr>
            </w:pPr>
            <w:r>
              <w:rPr>
                <w:i/>
              </w:rPr>
              <w:t>Ioannis Diamantopoulos</w:t>
            </w:r>
          </w:p>
        </w:tc>
      </w:tr>
      <w:tr w:rsidRPr="00B612CA" w:rsidR="00B612CA" w:rsidTr="00DC0FAE" w14:paraId="170A473F" w14:textId="77777777">
        <w:tc>
          <w:tcPr>
            <w:tcW w:w="2148" w:type="pct"/>
          </w:tcPr>
          <w:p w:rsidRPr="00DC0FAE" w:rsidR="00B612CA" w:rsidP="00DC0FAE" w:rsidRDefault="00B612CA" w14:paraId="56DAFD05" w14:textId="77777777">
            <w:pPr>
              <w:spacing w:line="240" w:lineRule="auto"/>
              <w:jc w:val="left"/>
              <w:rPr>
                <w:rFonts w:eastAsiaTheme="minorHAnsi"/>
                <w:i/>
              </w:rPr>
            </w:pPr>
            <w:r>
              <w:rPr>
                <w:i/>
              </w:rPr>
              <w:t xml:space="preserve">Teléfono: </w:t>
            </w:r>
          </w:p>
        </w:tc>
        <w:tc>
          <w:tcPr>
            <w:tcW w:w="2852" w:type="pct"/>
            <w:tcBorders>
              <w:left w:val="nil"/>
            </w:tcBorders>
          </w:tcPr>
          <w:p w:rsidRPr="00DC0FAE" w:rsidR="00B612CA" w:rsidP="00DC0FAE" w:rsidRDefault="00B612CA" w14:paraId="2A298CC6" w14:textId="77777777">
            <w:pPr>
              <w:spacing w:line="240" w:lineRule="auto"/>
              <w:ind w:firstLine="177"/>
              <w:jc w:val="left"/>
              <w:rPr>
                <w:rFonts w:eastAsiaTheme="minorHAnsi"/>
                <w:i/>
              </w:rPr>
            </w:pPr>
            <w:r>
              <w:rPr>
                <w:i/>
              </w:rPr>
              <w:t>+32 25469170</w:t>
            </w:r>
          </w:p>
        </w:tc>
      </w:tr>
      <w:tr w:rsidRPr="00B612CA" w:rsidR="00B612CA" w:rsidTr="00DC0FAE" w14:paraId="279B24AC" w14:textId="77777777">
        <w:tc>
          <w:tcPr>
            <w:tcW w:w="2148" w:type="pct"/>
          </w:tcPr>
          <w:p w:rsidRPr="00DC0FAE" w:rsidR="00B612CA" w:rsidP="00DC0FAE" w:rsidRDefault="007724A0" w14:paraId="005C0206" w14:textId="59684306">
            <w:pPr>
              <w:spacing w:line="240" w:lineRule="auto"/>
              <w:jc w:val="left"/>
              <w:rPr>
                <w:rFonts w:eastAsiaTheme="minorHAnsi"/>
                <w:i/>
                <w:iCs/>
              </w:rPr>
            </w:pPr>
            <w:r>
              <w:rPr>
                <w:i/>
              </w:rPr>
              <w:t>Correo electrónico:</w:t>
            </w:r>
          </w:p>
        </w:tc>
        <w:tc>
          <w:tcPr>
            <w:tcW w:w="2852" w:type="pct"/>
            <w:tcBorders>
              <w:left w:val="nil"/>
            </w:tcBorders>
          </w:tcPr>
          <w:p w:rsidRPr="00DC0FAE" w:rsidR="00B612CA" w:rsidP="00DC0FAE" w:rsidRDefault="00EC7E2B" w14:paraId="64C65441" w14:textId="2972B3EB">
            <w:pPr>
              <w:spacing w:line="240" w:lineRule="auto"/>
              <w:ind w:firstLine="177"/>
              <w:jc w:val="left"/>
              <w:rPr>
                <w:rFonts w:eastAsiaTheme="minorHAnsi"/>
                <w:i/>
                <w:iCs/>
              </w:rPr>
            </w:pPr>
            <w:hyperlink w:history="1" r:id="rId37">
              <w:r w:rsidR="005C28F2">
                <w:rPr>
                  <w:rStyle w:val="Hyperlink"/>
                </w:rPr>
                <w:t>Ioannis.Diamantopoulos@eesc.europa.eu</w:t>
              </w:r>
            </w:hyperlink>
          </w:p>
        </w:tc>
      </w:tr>
    </w:tbl>
    <w:p w:rsidR="00B612CA" w:rsidP="00895853" w:rsidRDefault="00B612CA" w14:paraId="1175548C" w14:textId="715AB7C7">
      <w:pPr>
        <w:overflowPunct w:val="0"/>
        <w:autoSpaceDE w:val="0"/>
        <w:autoSpaceDN w:val="0"/>
        <w:adjustRightInd w:val="0"/>
        <w:jc w:val="left"/>
        <w:textAlignment w:val="baseline"/>
        <w:rPr>
          <w:lang w:val="nl-BE"/>
        </w:rPr>
      </w:pPr>
    </w:p>
    <w:p w:rsidR="00B612CA" w:rsidRDefault="00B612CA" w14:paraId="4049531D" w14:textId="77777777">
      <w:pPr>
        <w:spacing w:after="160" w:line="259" w:lineRule="auto"/>
        <w:jc w:val="left"/>
      </w:pPr>
      <w:r>
        <w:br w:type="page"/>
      </w:r>
    </w:p>
    <w:p w:rsidRPr="00B612CA" w:rsidR="00B612CA" w:rsidP="00C26C81" w:rsidRDefault="00EC7E2B" w14:paraId="2A9B1900" w14:textId="09925451">
      <w:pPr>
        <w:widowControl w:val="0"/>
        <w:numPr>
          <w:ilvl w:val="0"/>
          <w:numId w:val="4"/>
        </w:numPr>
        <w:tabs>
          <w:tab w:val="center" w:pos="567"/>
        </w:tabs>
        <w:overflowPunct w:val="0"/>
        <w:autoSpaceDE w:val="0"/>
        <w:autoSpaceDN w:val="0"/>
        <w:adjustRightInd w:val="0"/>
        <w:spacing w:after="160" w:line="259" w:lineRule="auto"/>
        <w:ind w:left="567" w:hanging="567"/>
        <w:jc w:val="left"/>
        <w:textAlignment w:val="baseline"/>
        <w:rPr>
          <w:rFonts w:eastAsiaTheme="minorHAnsi"/>
          <w:b/>
          <w:sz w:val="28"/>
          <w:szCs w:val="28"/>
        </w:rPr>
      </w:pPr>
      <w:hyperlink w:history="1" r:id="rId38">
        <w:r w:rsidR="00C866D0">
          <w:rPr>
            <w:b/>
            <w:color w:val="0000FF"/>
            <w:sz w:val="28"/>
            <w:u w:val="single"/>
          </w:rPr>
          <w:t xml:space="preserve">La industria </w:t>
        </w:r>
        <w:r w:rsidR="00C866D0">
          <w:rPr>
            <w:b/>
            <w:color w:val="0000FF"/>
            <w:sz w:val="28"/>
            <w:u w:val="single"/>
          </w:rPr>
          <w:t>d</w:t>
        </w:r>
        <w:r w:rsidR="00C866D0">
          <w:rPr>
            <w:b/>
            <w:color w:val="0000FF"/>
            <w:sz w:val="28"/>
            <w:u w:val="single"/>
          </w:rPr>
          <w:t>e drones: un estudio de caso para la autonomía estratégica</w:t>
        </w:r>
      </w:hyperlink>
    </w:p>
    <w:p w:rsidRPr="00B612CA" w:rsidR="00DD6D07" w:rsidP="00DC0FAE" w:rsidRDefault="00DD6D07" w14:paraId="4DADB4F0" w14:textId="77777777">
      <w:pPr>
        <w:widowControl w:val="0"/>
        <w:overflowPunct w:val="0"/>
        <w:autoSpaceDE w:val="0"/>
        <w:autoSpaceDN w:val="0"/>
        <w:adjustRightInd w:val="0"/>
        <w:textAlignment w:val="baseline"/>
        <w:rPr>
          <w:rFonts w:eastAsiaTheme="minorHAnsi"/>
          <w:b/>
          <w:sz w:val="16"/>
          <w:szCs w:val="16"/>
          <w:lang w:val="en-US"/>
        </w:rPr>
      </w:pPr>
    </w:p>
    <w:tbl>
      <w:tblPr>
        <w:tblStyle w:val="TableGrid221"/>
        <w:tblW w:w="434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5812"/>
      </w:tblGrid>
      <w:tr w:rsidRPr="00B612CA" w:rsidR="00B612CA" w:rsidTr="00FE3058" w14:paraId="3BDDEC70" w14:textId="77777777">
        <w:tc>
          <w:tcPr>
            <w:tcW w:w="1258" w:type="pct"/>
          </w:tcPr>
          <w:p w:rsidRPr="00DC0FAE" w:rsidR="00B612CA" w:rsidP="00DC0FAE" w:rsidRDefault="00B612CA" w14:paraId="72524AE6" w14:textId="77777777">
            <w:pPr>
              <w:tabs>
                <w:tab w:val="center" w:pos="284"/>
              </w:tabs>
              <w:ind w:left="266" w:hanging="266"/>
              <w:jc w:val="left"/>
              <w:rPr>
                <w:rFonts w:eastAsiaTheme="minorHAnsi"/>
                <w:b/>
                <w:szCs w:val="24"/>
              </w:rPr>
            </w:pPr>
            <w:r>
              <w:rPr>
                <w:b/>
              </w:rPr>
              <w:t>Ponente</w:t>
            </w:r>
          </w:p>
        </w:tc>
        <w:tc>
          <w:tcPr>
            <w:tcW w:w="3742" w:type="pct"/>
          </w:tcPr>
          <w:p w:rsidRPr="00DC0FAE" w:rsidR="00B612CA" w:rsidP="00DC0FAE" w:rsidRDefault="00B612CA" w14:paraId="5A103C16" w14:textId="77777777">
            <w:pPr>
              <w:tabs>
                <w:tab w:val="center" w:pos="0"/>
              </w:tabs>
              <w:ind w:left="27" w:hanging="27"/>
              <w:jc w:val="left"/>
              <w:rPr>
                <w:rFonts w:eastAsiaTheme="minorHAnsi"/>
                <w:szCs w:val="24"/>
              </w:rPr>
            </w:pPr>
            <w:r>
              <w:t>Panagiotis GKOFAS (Grupo de Organizaciones de la Sociedad Civil – EL)</w:t>
            </w:r>
          </w:p>
        </w:tc>
      </w:tr>
      <w:tr w:rsidRPr="00B612CA" w:rsidR="00B612CA" w:rsidTr="00FE3058" w14:paraId="4789CE29" w14:textId="77777777">
        <w:tc>
          <w:tcPr>
            <w:tcW w:w="1258" w:type="pct"/>
          </w:tcPr>
          <w:p w:rsidRPr="00DC0FAE" w:rsidR="00B612CA" w:rsidP="00DC0FAE" w:rsidRDefault="00B612CA" w14:paraId="4BC4535D" w14:textId="77777777">
            <w:pPr>
              <w:tabs>
                <w:tab w:val="center" w:pos="284"/>
              </w:tabs>
              <w:ind w:left="266" w:hanging="266"/>
              <w:jc w:val="left"/>
              <w:rPr>
                <w:rFonts w:eastAsiaTheme="minorHAnsi"/>
                <w:b/>
                <w:szCs w:val="24"/>
              </w:rPr>
            </w:pPr>
            <w:r>
              <w:rPr>
                <w:b/>
              </w:rPr>
              <w:t>Coponentes</w:t>
            </w:r>
          </w:p>
        </w:tc>
        <w:tc>
          <w:tcPr>
            <w:tcW w:w="3742" w:type="pct"/>
          </w:tcPr>
          <w:p w:rsidRPr="00DC0FAE" w:rsidR="00B612CA" w:rsidP="00DC0FAE" w:rsidRDefault="00B612CA" w14:paraId="45BEE5FC" w14:textId="77777777">
            <w:pPr>
              <w:tabs>
                <w:tab w:val="center" w:pos="284"/>
              </w:tabs>
              <w:ind w:left="266" w:hanging="266"/>
              <w:jc w:val="left"/>
              <w:rPr>
                <w:rFonts w:eastAsiaTheme="minorHAnsi"/>
                <w:szCs w:val="24"/>
              </w:rPr>
            </w:pPr>
            <w:r>
              <w:t>Patrice François CHAZERAND (Cat. 1 – FR)</w:t>
            </w:r>
          </w:p>
        </w:tc>
      </w:tr>
      <w:tr w:rsidRPr="00B612CA" w:rsidR="00B612CA" w:rsidTr="00FE3058" w14:paraId="5E7071EE" w14:textId="77777777">
        <w:tc>
          <w:tcPr>
            <w:tcW w:w="5000" w:type="pct"/>
            <w:gridSpan w:val="2"/>
          </w:tcPr>
          <w:p w:rsidRPr="00DC0FAE" w:rsidR="00B612CA" w:rsidP="00B612CA" w:rsidRDefault="00B612CA" w14:paraId="0CB6DE07" w14:textId="77777777">
            <w:pPr>
              <w:tabs>
                <w:tab w:val="center" w:pos="284"/>
              </w:tabs>
              <w:spacing w:after="160"/>
              <w:ind w:left="266" w:hanging="266"/>
              <w:jc w:val="left"/>
              <w:rPr>
                <w:rFonts w:eastAsiaTheme="minorHAnsi"/>
                <w:sz w:val="16"/>
                <w:szCs w:val="18"/>
              </w:rPr>
            </w:pPr>
          </w:p>
        </w:tc>
      </w:tr>
      <w:tr w:rsidRPr="00B612CA" w:rsidR="00B612CA" w:rsidTr="00FE3058" w14:paraId="5C97F1F0" w14:textId="77777777">
        <w:tc>
          <w:tcPr>
            <w:tcW w:w="1258" w:type="pct"/>
            <w:vMerge w:val="restart"/>
          </w:tcPr>
          <w:p w:rsidRPr="00DC0FAE" w:rsidR="00B612CA" w:rsidP="00B612CA" w:rsidRDefault="00B612CA" w14:paraId="1ACFAAEE" w14:textId="77777777">
            <w:pPr>
              <w:tabs>
                <w:tab w:val="center" w:pos="284"/>
              </w:tabs>
              <w:spacing w:after="160"/>
              <w:ind w:left="266" w:hanging="266"/>
              <w:jc w:val="left"/>
              <w:rPr>
                <w:rFonts w:eastAsiaTheme="minorHAnsi"/>
                <w:b/>
                <w:szCs w:val="24"/>
              </w:rPr>
            </w:pPr>
            <w:r>
              <w:rPr>
                <w:b/>
              </w:rPr>
              <w:t>Referencias</w:t>
            </w:r>
          </w:p>
        </w:tc>
        <w:tc>
          <w:tcPr>
            <w:tcW w:w="3742" w:type="pct"/>
          </w:tcPr>
          <w:p w:rsidR="008E5F1F" w:rsidP="00DC0FAE" w:rsidRDefault="008E5F1F" w14:paraId="4FD72709" w14:textId="77777777">
            <w:pPr>
              <w:tabs>
                <w:tab w:val="center" w:pos="284"/>
              </w:tabs>
              <w:ind w:left="266" w:hanging="266"/>
              <w:jc w:val="left"/>
              <w:rPr>
                <w:rFonts w:eastAsiaTheme="minorHAnsi"/>
                <w:szCs w:val="24"/>
              </w:rPr>
            </w:pPr>
            <w:r>
              <w:t>Dictamen de iniciativa</w:t>
            </w:r>
          </w:p>
          <w:p w:rsidRPr="00DC0FAE" w:rsidR="00B612CA" w:rsidP="00DC0FAE" w:rsidRDefault="00B612CA" w14:paraId="2BDD1C6B" w14:textId="29BCECDA">
            <w:pPr>
              <w:tabs>
                <w:tab w:val="center" w:pos="284"/>
              </w:tabs>
              <w:ind w:left="266" w:hanging="266"/>
              <w:jc w:val="left"/>
              <w:rPr>
                <w:rFonts w:eastAsiaTheme="minorHAnsi"/>
                <w:szCs w:val="24"/>
              </w:rPr>
            </w:pPr>
            <w:r>
              <w:t>EESC-2024-00046-00-00-AC</w:t>
            </w:r>
          </w:p>
        </w:tc>
      </w:tr>
      <w:tr w:rsidRPr="00B612CA" w:rsidR="00B612CA" w:rsidTr="00FE3058" w14:paraId="262D674B" w14:textId="77777777">
        <w:tc>
          <w:tcPr>
            <w:tcW w:w="1258" w:type="pct"/>
            <w:vMerge/>
          </w:tcPr>
          <w:p w:rsidRPr="00B612CA" w:rsidR="00B612CA" w:rsidP="00B612CA" w:rsidRDefault="00B612CA" w14:paraId="4C295F73" w14:textId="77777777">
            <w:pPr>
              <w:tabs>
                <w:tab w:val="center" w:pos="284"/>
              </w:tabs>
              <w:spacing w:after="160"/>
              <w:ind w:left="266" w:hanging="266"/>
              <w:jc w:val="left"/>
              <w:rPr>
                <w:rFonts w:asciiTheme="minorHAnsi" w:hAnsiTheme="minorHAnsi" w:eastAsiaTheme="minorHAnsi" w:cstheme="minorBidi"/>
                <w:b/>
                <w:szCs w:val="24"/>
              </w:rPr>
            </w:pPr>
          </w:p>
        </w:tc>
        <w:tc>
          <w:tcPr>
            <w:tcW w:w="3742" w:type="pct"/>
          </w:tcPr>
          <w:p w:rsidRPr="00B612CA" w:rsidR="00B612CA" w:rsidP="00B612CA" w:rsidRDefault="00B612CA" w14:paraId="6A3FA1C1" w14:textId="77777777">
            <w:pPr>
              <w:tabs>
                <w:tab w:val="center" w:pos="284"/>
              </w:tabs>
              <w:spacing w:after="160"/>
              <w:ind w:left="266" w:hanging="266"/>
              <w:jc w:val="left"/>
              <w:rPr>
                <w:rFonts w:asciiTheme="minorHAnsi" w:hAnsiTheme="minorHAnsi" w:eastAsiaTheme="minorHAnsi" w:cstheme="minorBidi"/>
                <w:szCs w:val="24"/>
              </w:rPr>
            </w:pPr>
          </w:p>
        </w:tc>
      </w:tr>
    </w:tbl>
    <w:p w:rsidRPr="00B612CA" w:rsidR="00B612CA" w:rsidP="00B612CA" w:rsidRDefault="00B612CA" w14:paraId="5D3EDF6C" w14:textId="77777777">
      <w:pPr>
        <w:keepNext/>
        <w:keepLines/>
        <w:spacing w:after="160"/>
        <w:ind w:left="142" w:hanging="142"/>
        <w:jc w:val="left"/>
        <w:rPr>
          <w:rFonts w:eastAsiaTheme="minorHAnsi"/>
          <w:b/>
        </w:rPr>
      </w:pPr>
      <w:r>
        <w:rPr>
          <w:b/>
        </w:rPr>
        <w:t>Puntos clave</w:t>
      </w:r>
    </w:p>
    <w:p w:rsidR="00B612CA" w:rsidP="002F57E9" w:rsidRDefault="00B612CA" w14:paraId="500E1CB5" w14:textId="1961B0BC">
      <w:pPr>
        <w:spacing w:after="160"/>
        <w:ind w:left="142" w:hanging="142"/>
        <w:jc w:val="left"/>
        <w:rPr>
          <w:rFonts w:eastAsiaTheme="minorHAnsi"/>
        </w:rPr>
      </w:pPr>
      <w:r>
        <w:t>El CESE:</w:t>
      </w:r>
    </w:p>
    <w:p w:rsidRPr="00B612CA" w:rsidR="00B612CA" w:rsidP="00DC0FAE" w:rsidRDefault="00B612CA" w14:paraId="487029DD" w14:textId="77777777">
      <w:pPr>
        <w:numPr>
          <w:ilvl w:val="0"/>
          <w:numId w:val="25"/>
        </w:numPr>
        <w:spacing w:line="259" w:lineRule="auto"/>
        <w:ind w:left="284" w:hanging="284"/>
        <w:rPr>
          <w:rFonts w:eastAsiaTheme="minorHAnsi"/>
        </w:rPr>
      </w:pPr>
      <w:r>
        <w:t xml:space="preserve">considera que, para la independencia crítica de Europa, resulta fundamental vincular la </w:t>
      </w:r>
      <w:r>
        <w:rPr>
          <w:b/>
        </w:rPr>
        <w:t>Estrategia Europea para los Drones</w:t>
      </w:r>
      <w:r>
        <w:t xml:space="preserve"> con la </w:t>
      </w:r>
      <w:r>
        <w:rPr>
          <w:b/>
        </w:rPr>
        <w:t>Estrategia Industrial de Defensa Europea</w:t>
      </w:r>
      <w:r>
        <w:t xml:space="preserve"> e integrar la </w:t>
      </w:r>
      <w:r>
        <w:rPr>
          <w:b/>
        </w:rPr>
        <w:t>base industrial y tecnológica de la defensa europea (BITDE)</w:t>
      </w:r>
      <w:r>
        <w:t xml:space="preserve"> a fin de apoyar la </w:t>
      </w:r>
      <w:r>
        <w:rPr>
          <w:b/>
        </w:rPr>
        <w:t>producción interior de drones de alta calidad y capacidad</w:t>
      </w:r>
      <w:r>
        <w:t xml:space="preserve"> mediante un </w:t>
      </w:r>
      <w:r>
        <w:rPr>
          <w:b/>
        </w:rPr>
        <w:t>flujo constante de contratos públicos</w:t>
      </w:r>
      <w:r>
        <w:t>;</w:t>
      </w:r>
    </w:p>
    <w:p w:rsidRPr="00B612CA" w:rsidR="00B612CA" w:rsidP="00DC0FAE" w:rsidRDefault="00B612CA" w14:paraId="1202E286" w14:textId="77777777">
      <w:pPr>
        <w:numPr>
          <w:ilvl w:val="0"/>
          <w:numId w:val="25"/>
        </w:numPr>
        <w:spacing w:line="259" w:lineRule="auto"/>
        <w:ind w:left="284" w:hanging="284"/>
        <w:rPr>
          <w:rFonts w:eastAsiaTheme="minorHAnsi"/>
        </w:rPr>
      </w:pPr>
      <w:r>
        <w:t xml:space="preserve">sigue abogando por </w:t>
      </w:r>
      <w:r>
        <w:rPr>
          <w:b/>
        </w:rPr>
        <w:t>mejorar la colaboración y la innovación</w:t>
      </w:r>
      <w:r>
        <w:t xml:space="preserve"> y aprovechar la legislación, como la Ley de Inteligencia Artificial y la Ley Europea de Chips, para </w:t>
      </w:r>
      <w:r>
        <w:rPr>
          <w:b/>
        </w:rPr>
        <w:t>potenciar la autonomía estratégica</w:t>
      </w:r>
      <w:r>
        <w:t xml:space="preserve"> y reforzar la seguridad de los Estados y el crecimiento económico;</w:t>
      </w:r>
    </w:p>
    <w:p w:rsidRPr="00B612CA" w:rsidR="00B612CA" w:rsidP="00DC0FAE" w:rsidRDefault="00B612CA" w14:paraId="13B8DCFD" w14:textId="77777777">
      <w:pPr>
        <w:numPr>
          <w:ilvl w:val="0"/>
          <w:numId w:val="25"/>
        </w:numPr>
        <w:spacing w:line="259" w:lineRule="auto"/>
        <w:ind w:left="284" w:hanging="284"/>
        <w:rPr>
          <w:rFonts w:eastAsiaTheme="minorHAnsi"/>
        </w:rPr>
      </w:pPr>
      <w:r>
        <w:t xml:space="preserve">subraya que la necesidad de </w:t>
      </w:r>
      <w:r>
        <w:rPr>
          <w:b/>
        </w:rPr>
        <w:t>coherencia entre la I+D militar y civil</w:t>
      </w:r>
      <w:r>
        <w:t xml:space="preserve"> no hará sino aumentar a medida que los drones utilicen más la automatización, el aprendizaje automático y la inteligencia artificial (IA);</w:t>
      </w:r>
    </w:p>
    <w:p w:rsidRPr="00B612CA" w:rsidR="00B612CA" w:rsidP="00DC0FAE" w:rsidRDefault="00B612CA" w14:paraId="36029321" w14:textId="77777777">
      <w:pPr>
        <w:numPr>
          <w:ilvl w:val="0"/>
          <w:numId w:val="25"/>
        </w:numPr>
        <w:spacing w:line="259" w:lineRule="auto"/>
        <w:ind w:left="284" w:hanging="284"/>
        <w:rPr>
          <w:rFonts w:eastAsiaTheme="minorHAnsi"/>
        </w:rPr>
      </w:pPr>
      <w:r>
        <w:t xml:space="preserve">considera que la </w:t>
      </w:r>
      <w:r>
        <w:rPr>
          <w:b/>
        </w:rPr>
        <w:t>elaboración de una hoja de ruta estratégica para la tecnología de los drones en Europa</w:t>
      </w:r>
      <w:r>
        <w:t xml:space="preserve"> es imprescindible para las tecnologías críticas de drones y los sistemas de drones de doble uso que puedan proporcionar un enfoque estructurado de cara a impulsar la tecnología de drones;</w:t>
      </w:r>
    </w:p>
    <w:p w:rsidRPr="00B612CA" w:rsidR="00B612CA" w:rsidP="00DC0FAE" w:rsidRDefault="00B612CA" w14:paraId="1BD31BD4" w14:textId="77777777">
      <w:pPr>
        <w:numPr>
          <w:ilvl w:val="0"/>
          <w:numId w:val="25"/>
        </w:numPr>
        <w:spacing w:line="259" w:lineRule="auto"/>
        <w:ind w:left="284" w:hanging="284"/>
        <w:rPr>
          <w:rFonts w:eastAsiaTheme="minorHAnsi"/>
        </w:rPr>
      </w:pPr>
      <w:r>
        <w:t xml:space="preserve">hace hincapié en que debe estudiarse con detenimiento la </w:t>
      </w:r>
      <w:r>
        <w:rPr>
          <w:b/>
        </w:rPr>
        <w:t>posibilidad de prestar apoyo financiero a las posibles inversiones en la producción de drones y en la integración de las cadenas de suministro y de valor</w:t>
      </w:r>
      <w:r>
        <w:t>;</w:t>
      </w:r>
    </w:p>
    <w:p w:rsidRPr="00B612CA" w:rsidR="00B612CA" w:rsidP="00DC0FAE" w:rsidRDefault="00B612CA" w14:paraId="0CDF4865" w14:textId="77777777">
      <w:pPr>
        <w:numPr>
          <w:ilvl w:val="0"/>
          <w:numId w:val="25"/>
        </w:numPr>
        <w:spacing w:line="259" w:lineRule="auto"/>
        <w:ind w:left="284" w:hanging="284"/>
        <w:rPr>
          <w:rFonts w:eastAsiaTheme="minorHAnsi"/>
        </w:rPr>
      </w:pPr>
      <w:r>
        <w:t>subraya que la UE debe comprometerse más activamente a escala mundial, sobre todo en lo que respecta a los procedimientos de certificación;</w:t>
      </w:r>
    </w:p>
    <w:p w:rsidRPr="00B612CA" w:rsidR="00B612CA" w:rsidP="00DC0FAE" w:rsidRDefault="00B612CA" w14:paraId="6CE8FCE4" w14:textId="77777777">
      <w:pPr>
        <w:numPr>
          <w:ilvl w:val="0"/>
          <w:numId w:val="25"/>
        </w:numPr>
        <w:spacing w:line="259" w:lineRule="auto"/>
        <w:ind w:left="284" w:hanging="284"/>
        <w:rPr>
          <w:rFonts w:eastAsiaTheme="minorHAnsi"/>
        </w:rPr>
      </w:pPr>
      <w:r>
        <w:t xml:space="preserve">señala que la </w:t>
      </w:r>
      <w:r>
        <w:rPr>
          <w:b/>
        </w:rPr>
        <w:t>aceptación social</w:t>
      </w:r>
      <w:r>
        <w:t xml:space="preserve"> de las operaciones de movilidad aérea innovadora resulta vital, puesto que el apoyo de la UE puede reforzar el ecosistema general de la aviación, lo que contribuirá a su crecimiento y sostenibilidad;</w:t>
      </w:r>
    </w:p>
    <w:p w:rsidRPr="00B612CA" w:rsidR="00B612CA" w:rsidP="00DC0FAE" w:rsidRDefault="00B612CA" w14:paraId="413AAB7E" w14:textId="77777777">
      <w:pPr>
        <w:numPr>
          <w:ilvl w:val="0"/>
          <w:numId w:val="25"/>
        </w:numPr>
        <w:spacing w:line="259" w:lineRule="auto"/>
        <w:ind w:left="284" w:hanging="284"/>
        <w:rPr>
          <w:rFonts w:eastAsiaTheme="minorHAnsi"/>
        </w:rPr>
      </w:pPr>
      <w:r>
        <w:t xml:space="preserve">destaca que la UE también debe estar preparada para elaborar una </w:t>
      </w:r>
      <w:r>
        <w:rPr>
          <w:b/>
        </w:rPr>
        <w:t>estrategia consolidada con vistas a desarrollar un escudo común antidrones</w:t>
      </w:r>
      <w:r>
        <w:t xml:space="preserve"> que le permita hacer frente a los múltiples riesgos derivados de las amenazas híbridas, los atentados terroristas, las agresiones de otros Estados e incluso los ataques de civiles.</w:t>
      </w:r>
    </w:p>
    <w:p w:rsidRPr="00B612CA" w:rsidR="00B612CA" w:rsidP="00B612CA" w:rsidRDefault="00B612CA" w14:paraId="02D1D393" w14:textId="77777777">
      <w:pPr>
        <w:ind w:left="714"/>
        <w:rPr>
          <w:rFonts w:eastAsiaTheme="minorHAnsi"/>
        </w:rPr>
      </w:pPr>
    </w:p>
    <w:p w:rsidRPr="00B612CA" w:rsidR="00B612CA" w:rsidP="00B612CA" w:rsidRDefault="00B612CA" w14:paraId="46AE56DD" w14:textId="77777777">
      <w:pPr>
        <w:ind w:left="714"/>
        <w:rPr>
          <w:rFonts w:eastAsiaTheme="minorHAnsi"/>
        </w:rPr>
      </w:pPr>
    </w:p>
    <w:tbl>
      <w:tblPr>
        <w:tblStyle w:val="TableGrid22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23"/>
        <w:gridCol w:w="3656"/>
      </w:tblGrid>
      <w:tr w:rsidRPr="00B612CA" w:rsidR="00B612CA" w:rsidTr="00FE3058" w14:paraId="4B20577C" w14:textId="77777777">
        <w:tc>
          <w:tcPr>
            <w:tcW w:w="2089" w:type="pct"/>
          </w:tcPr>
          <w:p w:rsidRPr="00DC0FAE" w:rsidR="00B612CA" w:rsidP="00DC0FAE" w:rsidRDefault="00B612CA" w14:paraId="2947396D" w14:textId="77777777">
            <w:pPr>
              <w:spacing w:line="259" w:lineRule="auto"/>
              <w:jc w:val="left"/>
              <w:rPr>
                <w:rFonts w:eastAsiaTheme="minorHAnsi"/>
                <w:i/>
              </w:rPr>
            </w:pPr>
            <w:r>
              <w:rPr>
                <w:b/>
                <w:i/>
              </w:rPr>
              <w:t>Contacto:</w:t>
            </w:r>
          </w:p>
        </w:tc>
        <w:tc>
          <w:tcPr>
            <w:tcW w:w="2911" w:type="pct"/>
            <w:tcBorders>
              <w:left w:val="nil"/>
            </w:tcBorders>
          </w:tcPr>
          <w:p w:rsidRPr="00DC0FAE" w:rsidR="00B612CA" w:rsidP="00DC0FAE" w:rsidRDefault="00B612CA" w14:paraId="2C72CC9C" w14:textId="59DEF34B">
            <w:pPr>
              <w:spacing w:line="259" w:lineRule="auto"/>
              <w:jc w:val="left"/>
              <w:rPr>
                <w:rFonts w:eastAsiaTheme="minorHAnsi"/>
                <w:i/>
              </w:rPr>
            </w:pPr>
            <w:r>
              <w:rPr>
                <w:i/>
              </w:rPr>
              <w:t>Ioannis Diamantopoulos</w:t>
            </w:r>
          </w:p>
        </w:tc>
      </w:tr>
      <w:tr w:rsidRPr="00B612CA" w:rsidR="00B612CA" w:rsidTr="00FE3058" w14:paraId="2E3E56CC" w14:textId="77777777">
        <w:tc>
          <w:tcPr>
            <w:tcW w:w="2089" w:type="pct"/>
          </w:tcPr>
          <w:p w:rsidRPr="00DC0FAE" w:rsidR="00B612CA" w:rsidP="00DC0FAE" w:rsidRDefault="00B612CA" w14:paraId="32C90F95" w14:textId="77777777">
            <w:pPr>
              <w:spacing w:line="259" w:lineRule="auto"/>
              <w:jc w:val="left"/>
              <w:rPr>
                <w:rFonts w:eastAsiaTheme="minorHAnsi"/>
                <w:i/>
              </w:rPr>
            </w:pPr>
            <w:r>
              <w:rPr>
                <w:i/>
              </w:rPr>
              <w:t xml:space="preserve">Teléfono: </w:t>
            </w:r>
          </w:p>
        </w:tc>
        <w:tc>
          <w:tcPr>
            <w:tcW w:w="2911" w:type="pct"/>
            <w:tcBorders>
              <w:left w:val="nil"/>
            </w:tcBorders>
          </w:tcPr>
          <w:p w:rsidRPr="00DC0FAE" w:rsidR="00B612CA" w:rsidP="00DC0FAE" w:rsidRDefault="00B612CA" w14:paraId="6667914E" w14:textId="77777777">
            <w:pPr>
              <w:spacing w:line="259" w:lineRule="auto"/>
              <w:jc w:val="left"/>
              <w:rPr>
                <w:rFonts w:eastAsiaTheme="minorHAnsi"/>
                <w:i/>
              </w:rPr>
            </w:pPr>
            <w:r>
              <w:rPr>
                <w:i/>
              </w:rPr>
              <w:t>+32 25469170</w:t>
            </w:r>
          </w:p>
        </w:tc>
      </w:tr>
      <w:tr w:rsidRPr="00B612CA" w:rsidR="00B612CA" w:rsidTr="00FE3058" w14:paraId="5E62AD0C" w14:textId="77777777">
        <w:tc>
          <w:tcPr>
            <w:tcW w:w="2089" w:type="pct"/>
          </w:tcPr>
          <w:p w:rsidRPr="00DC0FAE" w:rsidR="00B612CA" w:rsidP="00DC0FAE" w:rsidRDefault="00B612CA" w14:paraId="28949472" w14:textId="77777777">
            <w:pPr>
              <w:spacing w:line="259" w:lineRule="auto"/>
              <w:jc w:val="left"/>
              <w:rPr>
                <w:rFonts w:eastAsiaTheme="minorHAnsi"/>
                <w:i/>
                <w:iCs/>
              </w:rPr>
            </w:pPr>
            <w:r>
              <w:rPr>
                <w:i/>
              </w:rPr>
              <w:t>Correo electrónico:</w:t>
            </w:r>
          </w:p>
        </w:tc>
        <w:tc>
          <w:tcPr>
            <w:tcW w:w="2911" w:type="pct"/>
            <w:tcBorders>
              <w:left w:val="nil"/>
            </w:tcBorders>
          </w:tcPr>
          <w:p w:rsidRPr="00DC0FAE" w:rsidR="00B612CA" w:rsidP="00DC0FAE" w:rsidRDefault="00EC7E2B" w14:paraId="670FA610" w14:textId="3DD50747">
            <w:pPr>
              <w:spacing w:line="259" w:lineRule="auto"/>
              <w:jc w:val="left"/>
              <w:rPr>
                <w:rFonts w:eastAsiaTheme="minorHAnsi"/>
                <w:i/>
                <w:iCs/>
              </w:rPr>
            </w:pPr>
            <w:hyperlink w:history="1" r:id="rId39">
              <w:r w:rsidR="005C28F2">
                <w:rPr>
                  <w:rStyle w:val="Hyperlink"/>
                </w:rPr>
                <w:t>Ioannis.Diamantopoulos@eesc.europa.eu</w:t>
              </w:r>
            </w:hyperlink>
          </w:p>
        </w:tc>
      </w:tr>
    </w:tbl>
    <w:p w:rsidR="00DD6D07" w:rsidP="00895853" w:rsidRDefault="00DD6D07" w14:paraId="4B14A069" w14:textId="5E80731A">
      <w:pPr>
        <w:overflowPunct w:val="0"/>
        <w:autoSpaceDE w:val="0"/>
        <w:autoSpaceDN w:val="0"/>
        <w:adjustRightInd w:val="0"/>
        <w:jc w:val="left"/>
        <w:textAlignment w:val="baseline"/>
        <w:rPr>
          <w:lang w:val="nl-BE"/>
        </w:rPr>
      </w:pPr>
    </w:p>
    <w:p w:rsidR="00DD6D07" w:rsidRDefault="00DD6D07" w14:paraId="00CC9B58" w14:textId="77777777">
      <w:pPr>
        <w:spacing w:after="160" w:line="259" w:lineRule="auto"/>
        <w:jc w:val="left"/>
      </w:pPr>
      <w:r>
        <w:br w:type="page"/>
      </w:r>
    </w:p>
    <w:p w:rsidR="00B612CA" w:rsidP="00895853" w:rsidRDefault="00B612CA" w14:paraId="57B89030" w14:textId="77777777">
      <w:pPr>
        <w:overflowPunct w:val="0"/>
        <w:autoSpaceDE w:val="0"/>
        <w:autoSpaceDN w:val="0"/>
        <w:adjustRightInd w:val="0"/>
        <w:jc w:val="left"/>
        <w:textAlignment w:val="baseline"/>
        <w:rPr>
          <w:lang w:val="nl-BE"/>
        </w:rPr>
      </w:pPr>
    </w:p>
    <w:p w:rsidRPr="000120E1" w:rsidR="000120E1" w:rsidP="00C26C81" w:rsidRDefault="00EC7E2B" w14:paraId="55A70BD2" w14:textId="705E33C5">
      <w:pPr>
        <w:widowControl w:val="0"/>
        <w:numPr>
          <w:ilvl w:val="0"/>
          <w:numId w:val="4"/>
        </w:numPr>
        <w:tabs>
          <w:tab w:val="center" w:pos="567"/>
        </w:tabs>
        <w:overflowPunct w:val="0"/>
        <w:autoSpaceDE w:val="0"/>
        <w:autoSpaceDN w:val="0"/>
        <w:adjustRightInd w:val="0"/>
        <w:spacing w:after="160" w:line="259" w:lineRule="auto"/>
        <w:ind w:left="567" w:hanging="567"/>
        <w:contextualSpacing/>
        <w:jc w:val="left"/>
        <w:textAlignment w:val="baseline"/>
        <w:rPr>
          <w:rFonts w:eastAsiaTheme="minorHAnsi"/>
          <w:b/>
          <w:i/>
          <w:iCs/>
          <w:sz w:val="28"/>
          <w:szCs w:val="28"/>
        </w:rPr>
      </w:pPr>
      <w:hyperlink w:history="1" r:id="rId40">
        <w:r w:rsidR="00C866D0">
          <w:rPr>
            <w:b/>
            <w:i/>
            <w:color w:val="0000FF"/>
            <w:sz w:val="28"/>
            <w:u w:val="single"/>
          </w:rPr>
          <w:t>Comunicación sobr</w:t>
        </w:r>
        <w:r w:rsidR="00C866D0">
          <w:rPr>
            <w:b/>
            <w:i/>
            <w:color w:val="0000FF"/>
            <w:sz w:val="28"/>
            <w:u w:val="single"/>
          </w:rPr>
          <w:t>e</w:t>
        </w:r>
        <w:r w:rsidR="00C866D0">
          <w:rPr>
            <w:b/>
            <w:i/>
            <w:color w:val="0000FF"/>
            <w:sz w:val="28"/>
            <w:u w:val="single"/>
          </w:rPr>
          <w:t xml:space="preserve"> la gestión del carbono industrial</w:t>
        </w:r>
      </w:hyperlink>
    </w:p>
    <w:p w:rsidRPr="000120E1" w:rsidR="000120E1" w:rsidP="000120E1" w:rsidRDefault="000120E1" w14:paraId="047D66DC" w14:textId="726FFD6D">
      <w:pPr>
        <w:widowControl w:val="0"/>
        <w:tabs>
          <w:tab w:val="center" w:pos="284"/>
        </w:tabs>
        <w:overflowPunct w:val="0"/>
        <w:autoSpaceDE w:val="0"/>
        <w:autoSpaceDN w:val="0"/>
        <w:adjustRightInd w:val="0"/>
        <w:textAlignment w:val="baseline"/>
        <w:rPr>
          <w:rFonts w:eastAsiaTheme="minorHAnsi"/>
          <w:b/>
          <w:lang w:val="en-US"/>
        </w:rPr>
      </w:pPr>
    </w:p>
    <w:tbl>
      <w:tblPr>
        <w:tblStyle w:val="TableGrid222"/>
        <w:tblW w:w="4497"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3"/>
        <w:gridCol w:w="6078"/>
      </w:tblGrid>
      <w:tr w:rsidRPr="000120E1" w:rsidR="000120E1" w:rsidTr="00FE3058" w14:paraId="7AA7740B" w14:textId="77777777">
        <w:tc>
          <w:tcPr>
            <w:tcW w:w="1216" w:type="pct"/>
          </w:tcPr>
          <w:p w:rsidRPr="00DC0FAE" w:rsidR="000120E1" w:rsidP="00DC0FAE" w:rsidRDefault="000120E1" w14:paraId="59DFCB28" w14:textId="77777777">
            <w:pPr>
              <w:tabs>
                <w:tab w:val="center" w:pos="284"/>
              </w:tabs>
              <w:spacing w:line="259" w:lineRule="auto"/>
              <w:ind w:left="266" w:hanging="266"/>
              <w:jc w:val="left"/>
              <w:rPr>
                <w:rFonts w:eastAsiaTheme="minorHAnsi"/>
                <w:b/>
                <w:szCs w:val="24"/>
              </w:rPr>
            </w:pPr>
            <w:r>
              <w:rPr>
                <w:b/>
              </w:rPr>
              <w:t>Ponente</w:t>
            </w:r>
          </w:p>
        </w:tc>
        <w:tc>
          <w:tcPr>
            <w:tcW w:w="3784" w:type="pct"/>
          </w:tcPr>
          <w:p w:rsidRPr="00DC0FAE" w:rsidR="000120E1" w:rsidP="00DC0FAE" w:rsidRDefault="000120E1" w14:paraId="79819113" w14:textId="77777777">
            <w:pPr>
              <w:tabs>
                <w:tab w:val="center" w:pos="284"/>
              </w:tabs>
              <w:spacing w:line="259" w:lineRule="auto"/>
              <w:ind w:left="266" w:hanging="266"/>
              <w:jc w:val="left"/>
              <w:rPr>
                <w:rFonts w:eastAsiaTheme="minorHAnsi"/>
                <w:szCs w:val="24"/>
              </w:rPr>
            </w:pPr>
            <w:r>
              <w:t>Gonçalo LOBO XAVIER (Grupo de Empresarios - PT)</w:t>
            </w:r>
          </w:p>
        </w:tc>
      </w:tr>
      <w:tr w:rsidRPr="000120E1" w:rsidR="000120E1" w:rsidTr="00FE3058" w14:paraId="2A3124EA" w14:textId="77777777">
        <w:tc>
          <w:tcPr>
            <w:tcW w:w="1216" w:type="pct"/>
          </w:tcPr>
          <w:p w:rsidRPr="00DC0FAE" w:rsidR="000120E1" w:rsidP="00DC0FAE" w:rsidRDefault="000120E1" w14:paraId="051BCACD" w14:textId="77777777">
            <w:pPr>
              <w:tabs>
                <w:tab w:val="center" w:pos="284"/>
              </w:tabs>
              <w:spacing w:line="259" w:lineRule="auto"/>
              <w:ind w:left="266" w:hanging="266"/>
              <w:jc w:val="left"/>
              <w:rPr>
                <w:rFonts w:eastAsiaTheme="minorHAnsi"/>
                <w:b/>
                <w:szCs w:val="24"/>
              </w:rPr>
            </w:pPr>
            <w:r>
              <w:rPr>
                <w:b/>
              </w:rPr>
              <w:t>Coponentes</w:t>
            </w:r>
          </w:p>
        </w:tc>
        <w:tc>
          <w:tcPr>
            <w:tcW w:w="3784" w:type="pct"/>
          </w:tcPr>
          <w:p w:rsidRPr="00DC0FAE" w:rsidR="000120E1" w:rsidP="00DC0FAE" w:rsidRDefault="000120E1" w14:paraId="163FD73E" w14:textId="77777777">
            <w:pPr>
              <w:tabs>
                <w:tab w:val="center" w:pos="284"/>
              </w:tabs>
              <w:spacing w:line="259" w:lineRule="auto"/>
              <w:ind w:left="266" w:hanging="266"/>
              <w:jc w:val="left"/>
              <w:rPr>
                <w:rFonts w:eastAsiaTheme="minorHAnsi"/>
                <w:szCs w:val="24"/>
              </w:rPr>
            </w:pPr>
            <w:r>
              <w:t>Jean-Michel POURTEAU (Cat. 2 - FR)</w:t>
            </w:r>
          </w:p>
        </w:tc>
      </w:tr>
      <w:tr w:rsidRPr="000120E1" w:rsidR="000120E1" w:rsidTr="00FE3058" w14:paraId="5A91F27D" w14:textId="77777777">
        <w:tc>
          <w:tcPr>
            <w:tcW w:w="5000" w:type="pct"/>
            <w:gridSpan w:val="2"/>
          </w:tcPr>
          <w:p w:rsidRPr="00DC0FAE" w:rsidR="000120E1" w:rsidP="000120E1" w:rsidRDefault="000120E1" w14:paraId="3A61F21C" w14:textId="77777777">
            <w:pPr>
              <w:tabs>
                <w:tab w:val="center" w:pos="284"/>
              </w:tabs>
              <w:spacing w:after="160" w:line="160" w:lineRule="exact"/>
              <w:ind w:left="266" w:hanging="266"/>
              <w:jc w:val="left"/>
              <w:rPr>
                <w:rFonts w:eastAsiaTheme="minorHAnsi"/>
                <w:szCs w:val="24"/>
              </w:rPr>
            </w:pPr>
          </w:p>
        </w:tc>
      </w:tr>
      <w:tr w:rsidRPr="000120E1" w:rsidR="000120E1" w:rsidTr="00FE3058" w14:paraId="70AFA820" w14:textId="77777777">
        <w:tc>
          <w:tcPr>
            <w:tcW w:w="1216" w:type="pct"/>
            <w:vMerge w:val="restart"/>
          </w:tcPr>
          <w:p w:rsidRPr="00DC0FAE" w:rsidR="000120E1" w:rsidP="00DC0FAE" w:rsidRDefault="000120E1" w14:paraId="2C1088D7" w14:textId="77777777">
            <w:pPr>
              <w:tabs>
                <w:tab w:val="center" w:pos="284"/>
              </w:tabs>
              <w:spacing w:line="259" w:lineRule="auto"/>
              <w:ind w:left="266" w:hanging="266"/>
              <w:jc w:val="left"/>
              <w:rPr>
                <w:rFonts w:eastAsiaTheme="minorHAnsi"/>
                <w:b/>
                <w:szCs w:val="24"/>
              </w:rPr>
            </w:pPr>
            <w:r>
              <w:rPr>
                <w:b/>
              </w:rPr>
              <w:t>Referencias</w:t>
            </w:r>
          </w:p>
        </w:tc>
        <w:tc>
          <w:tcPr>
            <w:tcW w:w="3784" w:type="pct"/>
          </w:tcPr>
          <w:p w:rsidRPr="00DC0FAE" w:rsidR="000120E1" w:rsidP="00DC0FAE" w:rsidRDefault="000120E1" w14:paraId="115E7B5F" w14:textId="77777777">
            <w:pPr>
              <w:tabs>
                <w:tab w:val="center" w:pos="284"/>
              </w:tabs>
              <w:spacing w:line="259" w:lineRule="auto"/>
              <w:ind w:left="266" w:hanging="266"/>
              <w:jc w:val="left"/>
              <w:rPr>
                <w:rFonts w:eastAsiaTheme="minorHAnsi"/>
                <w:szCs w:val="24"/>
              </w:rPr>
            </w:pPr>
            <w:r>
              <w:t>COM(2024) 62 final</w:t>
            </w:r>
          </w:p>
        </w:tc>
      </w:tr>
      <w:tr w:rsidRPr="000120E1" w:rsidR="000120E1" w:rsidTr="00FE3058" w14:paraId="36B63748" w14:textId="77777777">
        <w:tc>
          <w:tcPr>
            <w:tcW w:w="1216" w:type="pct"/>
            <w:vMerge/>
          </w:tcPr>
          <w:p w:rsidRPr="000120E1" w:rsidR="000120E1" w:rsidP="00DC0FAE" w:rsidRDefault="000120E1" w14:paraId="1DD1D1CF" w14:textId="77777777">
            <w:pPr>
              <w:tabs>
                <w:tab w:val="center" w:pos="284"/>
              </w:tabs>
              <w:spacing w:line="259" w:lineRule="auto"/>
              <w:ind w:left="266" w:hanging="266"/>
              <w:jc w:val="left"/>
              <w:rPr>
                <w:rFonts w:asciiTheme="minorHAnsi" w:hAnsiTheme="minorHAnsi" w:eastAsiaTheme="minorHAnsi" w:cstheme="minorBidi"/>
                <w:b/>
                <w:szCs w:val="24"/>
              </w:rPr>
            </w:pPr>
          </w:p>
        </w:tc>
        <w:tc>
          <w:tcPr>
            <w:tcW w:w="3784" w:type="pct"/>
          </w:tcPr>
          <w:p w:rsidRPr="00DC0FAE" w:rsidR="000120E1" w:rsidP="00DC0FAE" w:rsidRDefault="000120E1" w14:paraId="156AA12F" w14:textId="77777777">
            <w:pPr>
              <w:tabs>
                <w:tab w:val="center" w:pos="284"/>
              </w:tabs>
              <w:spacing w:line="259" w:lineRule="auto"/>
              <w:ind w:left="266" w:hanging="266"/>
              <w:jc w:val="left"/>
              <w:rPr>
                <w:rFonts w:eastAsiaTheme="minorHAnsi"/>
                <w:szCs w:val="24"/>
              </w:rPr>
            </w:pPr>
            <w:r>
              <w:t>EESC-2024-00878-00-00-AC</w:t>
            </w:r>
          </w:p>
        </w:tc>
      </w:tr>
    </w:tbl>
    <w:p w:rsidRPr="000120E1" w:rsidR="000120E1" w:rsidP="000120E1" w:rsidRDefault="000120E1" w14:paraId="07738945" w14:textId="77777777">
      <w:pPr>
        <w:widowControl w:val="0"/>
        <w:tabs>
          <w:tab w:val="left" w:pos="1843"/>
        </w:tabs>
        <w:overflowPunct w:val="0"/>
        <w:autoSpaceDE w:val="0"/>
        <w:autoSpaceDN w:val="0"/>
        <w:adjustRightInd w:val="0"/>
        <w:textAlignment w:val="baseline"/>
        <w:rPr>
          <w:rFonts w:eastAsiaTheme="minorHAnsi"/>
          <w:b/>
          <w:lang w:val="en-US"/>
        </w:rPr>
      </w:pPr>
    </w:p>
    <w:p w:rsidRPr="000120E1" w:rsidR="000120E1" w:rsidP="000120E1" w:rsidRDefault="000120E1" w14:paraId="7665D3CF" w14:textId="77777777">
      <w:pPr>
        <w:keepNext/>
        <w:keepLines/>
        <w:spacing w:after="160" w:line="259" w:lineRule="auto"/>
        <w:ind w:left="142" w:hanging="142"/>
        <w:jc w:val="left"/>
        <w:rPr>
          <w:rFonts w:eastAsiaTheme="minorHAnsi"/>
          <w:b/>
        </w:rPr>
      </w:pPr>
      <w:r>
        <w:rPr>
          <w:b/>
        </w:rPr>
        <w:t>Puntos clave</w:t>
      </w:r>
    </w:p>
    <w:p w:rsidRPr="000120E1" w:rsidR="000120E1" w:rsidP="00DC0FAE" w:rsidRDefault="000120E1" w14:paraId="3B7BB1CC" w14:textId="77777777">
      <w:pPr>
        <w:spacing w:after="160" w:line="259" w:lineRule="auto"/>
        <w:jc w:val="left"/>
        <w:rPr>
          <w:rFonts w:eastAsiaTheme="minorHAnsi"/>
        </w:rPr>
      </w:pPr>
      <w:r>
        <w:t>El CESE:</w:t>
      </w:r>
    </w:p>
    <w:p w:rsidRPr="000120E1" w:rsidR="000120E1" w:rsidP="00DC0FAE" w:rsidRDefault="000120E1" w14:paraId="1360B3DB" w14:textId="77777777">
      <w:pPr>
        <w:numPr>
          <w:ilvl w:val="0"/>
          <w:numId w:val="26"/>
        </w:numPr>
        <w:spacing w:after="160" w:line="259" w:lineRule="auto"/>
        <w:ind w:left="284" w:hanging="284"/>
        <w:contextualSpacing/>
        <w:rPr>
          <w:rFonts w:eastAsiaTheme="minorHAnsi"/>
        </w:rPr>
      </w:pPr>
      <w:r>
        <w:t xml:space="preserve">considera que la </w:t>
      </w:r>
      <w:r>
        <w:rPr>
          <w:b/>
        </w:rPr>
        <w:t>estrategia de gestión industrial del carbono</w:t>
      </w:r>
      <w:r>
        <w:t xml:space="preserve"> es un documento </w:t>
      </w:r>
      <w:r>
        <w:rPr>
          <w:b/>
        </w:rPr>
        <w:t>muy bienvenido y equilibrado</w:t>
      </w:r>
      <w:r>
        <w:t xml:space="preserve"> que abarca elementos cruciales para </w:t>
      </w:r>
      <w:r>
        <w:rPr>
          <w:b/>
        </w:rPr>
        <w:t>implantar la captura y el almacenamiento de carbono (CAC) y la captura y utilización de carbono (CUC) a escala industrial en la UE</w:t>
      </w:r>
      <w:r>
        <w:t>;</w:t>
      </w:r>
    </w:p>
    <w:p w:rsidRPr="000120E1" w:rsidR="000120E1" w:rsidP="00DC0FAE" w:rsidRDefault="000120E1" w14:paraId="7FE09CBD" w14:textId="77777777">
      <w:pPr>
        <w:numPr>
          <w:ilvl w:val="0"/>
          <w:numId w:val="26"/>
        </w:numPr>
        <w:spacing w:after="160" w:line="259" w:lineRule="auto"/>
        <w:ind w:left="284" w:hanging="284"/>
        <w:contextualSpacing/>
        <w:rPr>
          <w:rFonts w:eastAsiaTheme="minorHAnsi"/>
        </w:rPr>
      </w:pPr>
      <w:r>
        <w:t xml:space="preserve">reconoce que, con el fin de sentar las bases de un </w:t>
      </w:r>
      <w:r>
        <w:rPr>
          <w:b/>
        </w:rPr>
        <w:t>mercado único del carbono</w:t>
      </w:r>
      <w:r>
        <w:t xml:space="preserve">, es necesario </w:t>
      </w:r>
      <w:r>
        <w:rPr>
          <w:b/>
        </w:rPr>
        <w:t>establecer infraestructuras de almacenamiento y transporte (también transfronterizas)</w:t>
      </w:r>
      <w:r>
        <w:t xml:space="preserve"> además de </w:t>
      </w:r>
      <w:r>
        <w:rPr>
          <w:b/>
        </w:rPr>
        <w:t>normas de comercialización</w:t>
      </w:r>
      <w:r>
        <w:t xml:space="preserve">; </w:t>
      </w:r>
    </w:p>
    <w:p w:rsidRPr="000120E1" w:rsidR="000120E1" w:rsidP="00DC0FAE" w:rsidRDefault="000120E1" w14:paraId="66EA0A1A" w14:textId="77777777">
      <w:pPr>
        <w:numPr>
          <w:ilvl w:val="0"/>
          <w:numId w:val="26"/>
        </w:numPr>
        <w:spacing w:after="160" w:line="259" w:lineRule="auto"/>
        <w:ind w:left="284" w:hanging="284"/>
        <w:contextualSpacing/>
        <w:rPr>
          <w:rFonts w:eastAsiaTheme="minorHAnsi"/>
        </w:rPr>
      </w:pPr>
      <w:r>
        <w:t xml:space="preserve">llama la atención sobre la necesidad de </w:t>
      </w:r>
      <w:r>
        <w:rPr>
          <w:b/>
        </w:rPr>
        <w:t>adaptar las estrategias de gestión del carbono a sectores industriales específicos</w:t>
      </w:r>
      <w:r>
        <w:t>;</w:t>
      </w:r>
    </w:p>
    <w:p w:rsidRPr="000120E1" w:rsidR="000120E1" w:rsidP="00DC0FAE" w:rsidRDefault="000120E1" w14:paraId="3B9262A2" w14:textId="77777777">
      <w:pPr>
        <w:numPr>
          <w:ilvl w:val="0"/>
          <w:numId w:val="26"/>
        </w:numPr>
        <w:spacing w:after="160" w:line="259" w:lineRule="auto"/>
        <w:ind w:left="284" w:hanging="284"/>
        <w:contextualSpacing/>
        <w:rPr>
          <w:rFonts w:eastAsiaTheme="minorHAnsi"/>
        </w:rPr>
      </w:pPr>
      <w:r>
        <w:t xml:space="preserve">sostiene que es fundamental </w:t>
      </w:r>
      <w:r>
        <w:rPr>
          <w:b/>
        </w:rPr>
        <w:t>determinar qué factores dificultan la implantación efectiva de las prácticas actuales de gestión del carbono</w:t>
      </w:r>
      <w:r>
        <w:t>, al objeto de introducir cambios y definir estrategias;</w:t>
      </w:r>
    </w:p>
    <w:p w:rsidRPr="000120E1" w:rsidR="000120E1" w:rsidP="00DC0FAE" w:rsidRDefault="000120E1" w14:paraId="79DEBCDC" w14:textId="77777777">
      <w:pPr>
        <w:numPr>
          <w:ilvl w:val="0"/>
          <w:numId w:val="26"/>
        </w:numPr>
        <w:spacing w:after="160" w:line="259" w:lineRule="auto"/>
        <w:ind w:left="284" w:hanging="284"/>
        <w:contextualSpacing/>
        <w:rPr>
          <w:rFonts w:eastAsiaTheme="minorHAnsi"/>
        </w:rPr>
      </w:pPr>
      <w:r>
        <w:t xml:space="preserve">considera que la UE necesita </w:t>
      </w:r>
      <w:r>
        <w:rPr>
          <w:b/>
        </w:rPr>
        <w:t>una estrategia industrial para el carbono que estimule el crecimiento de manera sostenible</w:t>
      </w:r>
      <w:r>
        <w:t xml:space="preserve"> y que no solo </w:t>
      </w:r>
      <w:r>
        <w:rPr>
          <w:b/>
        </w:rPr>
        <w:t>cumpla el Pacto Verde Europeo</w:t>
      </w:r>
      <w:r>
        <w:t xml:space="preserve">, sino que también </w:t>
      </w:r>
      <w:r>
        <w:rPr>
          <w:b/>
        </w:rPr>
        <w:t>garantice empleos de calidad y una transición justa para los trabajadores</w:t>
      </w:r>
      <w:r>
        <w:t xml:space="preserve">, además de detectar qué </w:t>
      </w:r>
      <w:r>
        <w:rPr>
          <w:b/>
        </w:rPr>
        <w:t>situaciones de escasez de mano de obra y de capacidades podrían mitigarse con reciclaje y perfeccionamiento profesionales</w:t>
      </w:r>
      <w:r>
        <w:t>;</w:t>
      </w:r>
    </w:p>
    <w:p w:rsidRPr="000120E1" w:rsidR="000120E1" w:rsidP="00DC0FAE" w:rsidRDefault="000120E1" w14:paraId="71004638" w14:textId="77777777">
      <w:pPr>
        <w:numPr>
          <w:ilvl w:val="0"/>
          <w:numId w:val="26"/>
        </w:numPr>
        <w:spacing w:after="160" w:line="259" w:lineRule="auto"/>
        <w:ind w:left="284" w:hanging="284"/>
        <w:contextualSpacing/>
        <w:rPr>
          <w:rFonts w:eastAsiaTheme="minorHAnsi"/>
        </w:rPr>
      </w:pPr>
      <w:r>
        <w:t xml:space="preserve">recomienda dotarse de </w:t>
      </w:r>
      <w:r>
        <w:rPr>
          <w:b/>
        </w:rPr>
        <w:t>un plan de inversión claro para el desarrollo de tecnologías de CAC y CUC</w:t>
      </w:r>
      <w:r>
        <w:t xml:space="preserve"> y afirma que </w:t>
      </w:r>
      <w:r>
        <w:rPr>
          <w:b/>
        </w:rPr>
        <w:t>toda financiación pública debe contar con un mecanismo de condicionalidad social orientado a la creación y el mantenimiento de puestos de trabajo de calidad</w:t>
      </w:r>
      <w:r>
        <w:t>;</w:t>
      </w:r>
    </w:p>
    <w:p w:rsidRPr="000120E1" w:rsidR="000120E1" w:rsidP="00DC0FAE" w:rsidRDefault="000120E1" w14:paraId="3292CDC0" w14:textId="77777777">
      <w:pPr>
        <w:numPr>
          <w:ilvl w:val="0"/>
          <w:numId w:val="26"/>
        </w:numPr>
        <w:spacing w:after="160" w:line="259" w:lineRule="auto"/>
        <w:ind w:left="284" w:hanging="284"/>
        <w:contextualSpacing/>
        <w:rPr>
          <w:rFonts w:eastAsiaTheme="minorHAnsi"/>
        </w:rPr>
      </w:pPr>
      <w:r>
        <w:t xml:space="preserve">considera que los proyectos de reducción de carbono deben orientarse de un modo equilibrado </w:t>
      </w:r>
      <w:r>
        <w:rPr>
          <w:b/>
        </w:rPr>
        <w:t>tanto a la absorción de carbono como a evitar las emisiones</w:t>
      </w:r>
      <w:r>
        <w:t xml:space="preserve">, si bien </w:t>
      </w:r>
      <w:r>
        <w:rPr>
          <w:b/>
        </w:rPr>
        <w:t>actualmente las medidas para evitar las emisiones de carbono no cuentan con un apoyo suficiente</w:t>
      </w:r>
      <w:r>
        <w:t>;</w:t>
      </w:r>
    </w:p>
    <w:p w:rsidRPr="000120E1" w:rsidR="000120E1" w:rsidP="00DC0FAE" w:rsidRDefault="000120E1" w14:paraId="44EC1EE2" w14:textId="77777777">
      <w:pPr>
        <w:numPr>
          <w:ilvl w:val="0"/>
          <w:numId w:val="26"/>
        </w:numPr>
        <w:spacing w:after="160" w:line="259" w:lineRule="auto"/>
        <w:ind w:left="284" w:hanging="284"/>
        <w:contextualSpacing/>
        <w:rPr>
          <w:rFonts w:eastAsiaTheme="minorHAnsi"/>
        </w:rPr>
      </w:pPr>
      <w:r>
        <w:t xml:space="preserve">recomienda establecer un </w:t>
      </w:r>
      <w:r>
        <w:rPr>
          <w:b/>
        </w:rPr>
        <w:t>nuevo régimen de créditos específico, bien diseñado, de gran integridad y sólido para evitar las emisiones de carbono</w:t>
      </w:r>
      <w:r>
        <w:t>, que ofrezca incentivos para descarbonizar;</w:t>
      </w:r>
    </w:p>
    <w:p w:rsidRPr="000120E1" w:rsidR="000120E1" w:rsidP="00DC0FAE" w:rsidRDefault="000120E1" w14:paraId="31699FAA" w14:textId="77777777">
      <w:pPr>
        <w:numPr>
          <w:ilvl w:val="0"/>
          <w:numId w:val="26"/>
        </w:numPr>
        <w:spacing w:after="160" w:line="259" w:lineRule="auto"/>
        <w:ind w:left="284" w:hanging="284"/>
        <w:contextualSpacing/>
        <w:rPr>
          <w:rFonts w:eastAsiaTheme="minorHAnsi"/>
        </w:rPr>
      </w:pPr>
      <w:r>
        <w:t xml:space="preserve">destaca que </w:t>
      </w:r>
      <w:r>
        <w:rPr>
          <w:b/>
        </w:rPr>
        <w:t>los derechos del régimen de comercio de derechos de emisión (RCDE) de la UE no deben utilizarse como «créditos»</w:t>
      </w:r>
      <w:r>
        <w:t>, ya que eso podría socavar la naturaleza actual del régimen de comercio de carbono de la UE, basada en el mercado.</w:t>
      </w:r>
    </w:p>
    <w:p w:rsidR="000120E1" w:rsidP="000120E1" w:rsidRDefault="000120E1" w14:paraId="3C1F1540" w14:textId="33153725">
      <w:pPr>
        <w:spacing w:after="160" w:line="259" w:lineRule="auto"/>
        <w:ind w:left="720"/>
        <w:contextualSpacing/>
        <w:jc w:val="left"/>
        <w:rPr>
          <w:rFonts w:eastAsiaTheme="minorHAnsi"/>
        </w:rPr>
      </w:pPr>
    </w:p>
    <w:p w:rsidRPr="000120E1" w:rsidR="00DD6D07" w:rsidP="000120E1" w:rsidRDefault="00DD6D07" w14:paraId="4FF166B9" w14:textId="77777777">
      <w:pPr>
        <w:spacing w:after="160" w:line="259" w:lineRule="auto"/>
        <w:ind w:left="720"/>
        <w:contextualSpacing/>
        <w:jc w:val="left"/>
        <w:rPr>
          <w:rFonts w:eastAsiaTheme="minorHAnsi"/>
        </w:rPr>
      </w:pPr>
    </w:p>
    <w:tbl>
      <w:tblPr>
        <w:tblStyle w:val="TableGrid22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40"/>
        <w:gridCol w:w="3039"/>
      </w:tblGrid>
      <w:tr w:rsidRPr="000120E1" w:rsidR="000120E1" w:rsidTr="00FE3058" w14:paraId="5D2D90F0" w14:textId="77777777">
        <w:tc>
          <w:tcPr>
            <w:tcW w:w="3998" w:type="pct"/>
          </w:tcPr>
          <w:p w:rsidRPr="00DC0FAE" w:rsidR="000120E1" w:rsidP="00DC0FAE" w:rsidRDefault="000120E1" w14:paraId="0F7EFF96" w14:textId="77777777">
            <w:pPr>
              <w:spacing w:line="259" w:lineRule="auto"/>
              <w:jc w:val="left"/>
              <w:rPr>
                <w:rFonts w:eastAsiaTheme="minorHAnsi"/>
                <w:i/>
              </w:rPr>
            </w:pPr>
            <w:r>
              <w:rPr>
                <w:b/>
                <w:i/>
              </w:rPr>
              <w:t>Contacto:</w:t>
            </w:r>
          </w:p>
        </w:tc>
        <w:tc>
          <w:tcPr>
            <w:tcW w:w="1002" w:type="pct"/>
            <w:tcBorders>
              <w:left w:val="nil"/>
            </w:tcBorders>
          </w:tcPr>
          <w:p w:rsidRPr="00DC0FAE" w:rsidR="000120E1" w:rsidP="00DC0FAE" w:rsidRDefault="000120E1" w14:paraId="161FCDF9" w14:textId="041A1233">
            <w:pPr>
              <w:spacing w:line="259" w:lineRule="auto"/>
              <w:jc w:val="left"/>
              <w:rPr>
                <w:rFonts w:eastAsiaTheme="minorHAnsi"/>
                <w:i/>
              </w:rPr>
            </w:pPr>
            <w:r>
              <w:rPr>
                <w:i/>
              </w:rPr>
              <w:t>Adam Dorywalski</w:t>
            </w:r>
          </w:p>
        </w:tc>
      </w:tr>
      <w:tr w:rsidRPr="000120E1" w:rsidR="000120E1" w:rsidTr="00FE3058" w14:paraId="4F400A68" w14:textId="77777777">
        <w:tc>
          <w:tcPr>
            <w:tcW w:w="3998" w:type="pct"/>
          </w:tcPr>
          <w:p w:rsidRPr="00DC0FAE" w:rsidR="000120E1" w:rsidP="00DC0FAE" w:rsidRDefault="000120E1" w14:paraId="381E2BF8" w14:textId="77777777">
            <w:pPr>
              <w:spacing w:line="259" w:lineRule="auto"/>
              <w:jc w:val="left"/>
              <w:rPr>
                <w:rFonts w:eastAsiaTheme="minorHAnsi"/>
                <w:i/>
              </w:rPr>
            </w:pPr>
            <w:r>
              <w:rPr>
                <w:i/>
              </w:rPr>
              <w:t xml:space="preserve">Teléfono: </w:t>
            </w:r>
          </w:p>
        </w:tc>
        <w:tc>
          <w:tcPr>
            <w:tcW w:w="1002" w:type="pct"/>
            <w:tcBorders>
              <w:left w:val="nil"/>
            </w:tcBorders>
          </w:tcPr>
          <w:p w:rsidRPr="00DC0FAE" w:rsidR="000120E1" w:rsidP="00DC0FAE" w:rsidRDefault="000120E1" w14:paraId="78898855" w14:textId="77777777">
            <w:pPr>
              <w:spacing w:line="259" w:lineRule="auto"/>
              <w:jc w:val="left"/>
              <w:rPr>
                <w:rFonts w:eastAsiaTheme="minorHAnsi"/>
                <w:i/>
              </w:rPr>
            </w:pPr>
            <w:r>
              <w:rPr>
                <w:i/>
              </w:rPr>
              <w:t>+32 25469397</w:t>
            </w:r>
          </w:p>
        </w:tc>
      </w:tr>
      <w:tr w:rsidRPr="000120E1" w:rsidR="000120E1" w:rsidTr="00FE3058" w14:paraId="63DC3EB7" w14:textId="77777777">
        <w:tc>
          <w:tcPr>
            <w:tcW w:w="3998" w:type="pct"/>
          </w:tcPr>
          <w:p w:rsidRPr="00DC0FAE" w:rsidR="000120E1" w:rsidP="00DC0FAE" w:rsidRDefault="00DD6D07" w14:paraId="66DC166A" w14:textId="68F50A4B">
            <w:pPr>
              <w:spacing w:line="259" w:lineRule="auto"/>
              <w:jc w:val="left"/>
              <w:rPr>
                <w:rFonts w:eastAsiaTheme="minorHAnsi"/>
                <w:i/>
                <w:iCs/>
              </w:rPr>
            </w:pPr>
            <w:r>
              <w:rPr>
                <w:i/>
              </w:rPr>
              <w:t>Correo electrónico:</w:t>
            </w:r>
          </w:p>
        </w:tc>
        <w:tc>
          <w:tcPr>
            <w:tcW w:w="1002" w:type="pct"/>
            <w:tcBorders>
              <w:left w:val="nil"/>
            </w:tcBorders>
          </w:tcPr>
          <w:p w:rsidRPr="00DC0FAE" w:rsidR="000120E1" w:rsidP="00DC0FAE" w:rsidRDefault="00EC7E2B" w14:paraId="2454CA29" w14:textId="77777777">
            <w:pPr>
              <w:spacing w:line="259" w:lineRule="auto"/>
              <w:jc w:val="left"/>
              <w:rPr>
                <w:rFonts w:eastAsiaTheme="minorHAnsi"/>
                <w:i/>
                <w:iCs/>
              </w:rPr>
            </w:pPr>
            <w:hyperlink w:history="1" r:id="rId41">
              <w:r w:rsidR="00D63208">
                <w:rPr>
                  <w:i/>
                  <w:color w:val="0000FF"/>
                  <w:u w:val="single"/>
                </w:rPr>
                <w:t>Adam.Dorywalski@eesc.europa.eu</w:t>
              </w:r>
            </w:hyperlink>
          </w:p>
        </w:tc>
      </w:tr>
    </w:tbl>
    <w:p w:rsidR="00B612CA" w:rsidP="00895853" w:rsidRDefault="00B612CA" w14:paraId="761EE0FB" w14:textId="19A9F226">
      <w:pPr>
        <w:overflowPunct w:val="0"/>
        <w:autoSpaceDE w:val="0"/>
        <w:autoSpaceDN w:val="0"/>
        <w:adjustRightInd w:val="0"/>
        <w:jc w:val="left"/>
        <w:textAlignment w:val="baseline"/>
        <w:rPr>
          <w:lang w:val="nl-BE"/>
        </w:rPr>
      </w:pPr>
    </w:p>
    <w:p w:rsidR="003C2FB3" w:rsidRDefault="003C2FB3" w14:paraId="27BB641D" w14:textId="1147CAD7">
      <w:pPr>
        <w:spacing w:after="160" w:line="259" w:lineRule="auto"/>
        <w:jc w:val="left"/>
      </w:pPr>
      <w:r>
        <w:br w:type="page"/>
      </w:r>
    </w:p>
    <w:p w:rsidRPr="003C2FB3" w:rsidR="003C2FB3" w:rsidP="00C26C81" w:rsidRDefault="00EC7E2B" w14:paraId="2D57F018" w14:textId="51961DE6">
      <w:pPr>
        <w:widowControl w:val="0"/>
        <w:numPr>
          <w:ilvl w:val="0"/>
          <w:numId w:val="7"/>
        </w:numPr>
        <w:overflowPunct w:val="0"/>
        <w:autoSpaceDE w:val="0"/>
        <w:autoSpaceDN w:val="0"/>
        <w:adjustRightInd w:val="0"/>
        <w:ind w:hanging="567"/>
        <w:textAlignment w:val="baseline"/>
        <w:rPr>
          <w:sz w:val="20"/>
          <w:szCs w:val="20"/>
        </w:rPr>
      </w:pPr>
      <w:hyperlink w:history="1" r:id="rId42">
        <w:r w:rsidR="00C866D0">
          <w:rPr>
            <w:b/>
            <w:i/>
            <w:color w:val="0000FF"/>
            <w:sz w:val="28"/>
            <w:u w:val="single"/>
          </w:rPr>
          <w:t>Estrategia Ind</w:t>
        </w:r>
        <w:r w:rsidR="00C866D0">
          <w:rPr>
            <w:b/>
            <w:i/>
            <w:color w:val="0000FF"/>
            <w:sz w:val="28"/>
            <w:u w:val="single"/>
          </w:rPr>
          <w:t>u</w:t>
        </w:r>
        <w:r w:rsidR="00C866D0">
          <w:rPr>
            <w:b/>
            <w:i/>
            <w:color w:val="0000FF"/>
            <w:sz w:val="28"/>
            <w:u w:val="single"/>
          </w:rPr>
          <w:t>strial de Defensa Europea</w:t>
        </w:r>
      </w:hyperlink>
    </w:p>
    <w:p w:rsidR="003C2FB3" w:rsidP="003C2FB3" w:rsidRDefault="003C2FB3" w14:paraId="21A2A52F" w14:textId="2BFA8D76">
      <w:pPr>
        <w:tabs>
          <w:tab w:val="center" w:pos="284"/>
        </w:tabs>
        <w:overflowPunct w:val="0"/>
        <w:autoSpaceDE w:val="0"/>
        <w:autoSpaceDN w:val="0"/>
        <w:adjustRightInd w:val="0"/>
        <w:ind w:left="266" w:hanging="266"/>
        <w:textAlignment w:val="baseline"/>
        <w:rPr>
          <w:b/>
        </w:rPr>
      </w:pPr>
    </w:p>
    <w:p w:rsidRPr="003C2FB3" w:rsidR="003C2FB3" w:rsidP="003C2FB3" w:rsidRDefault="003C2FB3" w14:paraId="4611B857" w14:textId="0220734C">
      <w:pPr>
        <w:tabs>
          <w:tab w:val="center" w:pos="284"/>
        </w:tabs>
        <w:overflowPunct w:val="0"/>
        <w:autoSpaceDE w:val="0"/>
        <w:autoSpaceDN w:val="0"/>
        <w:adjustRightInd w:val="0"/>
        <w:ind w:left="266" w:hanging="266"/>
        <w:textAlignment w:val="baseline"/>
        <w:rPr>
          <w:b/>
        </w:rPr>
      </w:pPr>
    </w:p>
    <w:tbl>
      <w:tblPr>
        <w:tblStyle w:val="TableGrid223"/>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6557"/>
      </w:tblGrid>
      <w:tr w:rsidRPr="003C2FB3" w:rsidR="003C2FB3" w:rsidTr="00FE3058" w14:paraId="30A6177E" w14:textId="77777777">
        <w:tc>
          <w:tcPr>
            <w:tcW w:w="1148" w:type="pct"/>
          </w:tcPr>
          <w:p w:rsidRPr="003C2FB3" w:rsidR="003C2FB3" w:rsidP="003C2FB3" w:rsidRDefault="003C2FB3" w14:paraId="77A7B517" w14:textId="77777777">
            <w:pPr>
              <w:tabs>
                <w:tab w:val="center" w:pos="284"/>
              </w:tabs>
              <w:overflowPunct w:val="0"/>
              <w:autoSpaceDE w:val="0"/>
              <w:autoSpaceDN w:val="0"/>
              <w:adjustRightInd w:val="0"/>
              <w:ind w:left="266" w:hanging="266"/>
              <w:textAlignment w:val="baseline"/>
              <w:rPr>
                <w:b/>
              </w:rPr>
            </w:pPr>
            <w:r>
              <w:rPr>
                <w:b/>
              </w:rPr>
              <w:t>Ponente</w:t>
            </w:r>
          </w:p>
        </w:tc>
        <w:tc>
          <w:tcPr>
            <w:tcW w:w="3852" w:type="pct"/>
          </w:tcPr>
          <w:p w:rsidRPr="00DC0FAE" w:rsidR="003C2FB3" w:rsidP="003C2FB3" w:rsidRDefault="003C2FB3" w14:paraId="77DB3C52" w14:textId="0705E08B">
            <w:pPr>
              <w:tabs>
                <w:tab w:val="center" w:pos="284"/>
              </w:tabs>
              <w:overflowPunct w:val="0"/>
              <w:autoSpaceDE w:val="0"/>
              <w:autoSpaceDN w:val="0"/>
              <w:adjustRightInd w:val="0"/>
              <w:ind w:left="266" w:hanging="266"/>
              <w:textAlignment w:val="baseline"/>
            </w:pPr>
            <w:r>
              <w:t>Maurizio MENSI (Grupo de Organizaciones de la Sociedad Civil – IT)</w:t>
            </w:r>
          </w:p>
        </w:tc>
      </w:tr>
      <w:tr w:rsidRPr="003C2FB3" w:rsidR="003C2FB3" w:rsidTr="00FE3058" w14:paraId="4330C7A8" w14:textId="77777777">
        <w:tc>
          <w:tcPr>
            <w:tcW w:w="1148" w:type="pct"/>
          </w:tcPr>
          <w:p w:rsidRPr="003C2FB3" w:rsidR="003C2FB3" w:rsidP="003C2FB3" w:rsidRDefault="003C2FB3" w14:paraId="6EE0006E" w14:textId="77777777">
            <w:pPr>
              <w:tabs>
                <w:tab w:val="center" w:pos="284"/>
              </w:tabs>
              <w:overflowPunct w:val="0"/>
              <w:autoSpaceDE w:val="0"/>
              <w:autoSpaceDN w:val="0"/>
              <w:adjustRightInd w:val="0"/>
              <w:ind w:left="266" w:hanging="266"/>
              <w:textAlignment w:val="baseline"/>
              <w:rPr>
                <w:b/>
              </w:rPr>
            </w:pPr>
            <w:r>
              <w:rPr>
                <w:b/>
              </w:rPr>
              <w:t>Coponentes</w:t>
            </w:r>
          </w:p>
        </w:tc>
        <w:tc>
          <w:tcPr>
            <w:tcW w:w="3852" w:type="pct"/>
          </w:tcPr>
          <w:p w:rsidRPr="00DC0FAE" w:rsidR="003C2FB3" w:rsidP="003C2FB3" w:rsidRDefault="003C2FB3" w14:paraId="227D7CFD" w14:textId="0783DBC3">
            <w:pPr>
              <w:tabs>
                <w:tab w:val="center" w:pos="284"/>
              </w:tabs>
              <w:overflowPunct w:val="0"/>
              <w:autoSpaceDE w:val="0"/>
              <w:autoSpaceDN w:val="0"/>
              <w:adjustRightInd w:val="0"/>
              <w:ind w:left="266" w:hanging="266"/>
              <w:textAlignment w:val="baseline"/>
            </w:pPr>
            <w:r>
              <w:t>Jan Pie (Cat. 1 – SE)</w:t>
            </w:r>
          </w:p>
        </w:tc>
      </w:tr>
      <w:tr w:rsidRPr="003C2FB3" w:rsidR="003C2FB3" w:rsidTr="00FE3058" w14:paraId="5B13BE6E" w14:textId="77777777">
        <w:tc>
          <w:tcPr>
            <w:tcW w:w="5000" w:type="pct"/>
            <w:gridSpan w:val="2"/>
          </w:tcPr>
          <w:p w:rsidRPr="003C2FB3" w:rsidR="003C2FB3" w:rsidP="003C2FB3" w:rsidRDefault="003C2FB3" w14:paraId="41685864" w14:textId="77777777">
            <w:pPr>
              <w:tabs>
                <w:tab w:val="center" w:pos="284"/>
              </w:tabs>
              <w:overflowPunct w:val="0"/>
              <w:autoSpaceDE w:val="0"/>
              <w:autoSpaceDN w:val="0"/>
              <w:adjustRightInd w:val="0"/>
              <w:spacing w:line="160" w:lineRule="exact"/>
              <w:ind w:left="266" w:hanging="266"/>
              <w:textAlignment w:val="baseline"/>
            </w:pPr>
          </w:p>
        </w:tc>
      </w:tr>
      <w:tr w:rsidRPr="003C2FB3" w:rsidR="003C2FB3" w:rsidTr="00FE3058" w14:paraId="53790FDC" w14:textId="77777777">
        <w:tc>
          <w:tcPr>
            <w:tcW w:w="1148" w:type="pct"/>
          </w:tcPr>
          <w:p w:rsidRPr="003C2FB3" w:rsidR="003C2FB3" w:rsidP="003C2FB3" w:rsidRDefault="003C2FB3" w14:paraId="1F7D7474" w14:textId="77777777">
            <w:pPr>
              <w:tabs>
                <w:tab w:val="center" w:pos="284"/>
              </w:tabs>
              <w:overflowPunct w:val="0"/>
              <w:autoSpaceDE w:val="0"/>
              <w:autoSpaceDN w:val="0"/>
              <w:adjustRightInd w:val="0"/>
              <w:ind w:left="266" w:hanging="266"/>
              <w:textAlignment w:val="baseline"/>
              <w:rPr>
                <w:b/>
              </w:rPr>
            </w:pPr>
            <w:r>
              <w:rPr>
                <w:b/>
              </w:rPr>
              <w:t>Referencias</w:t>
            </w:r>
          </w:p>
        </w:tc>
        <w:tc>
          <w:tcPr>
            <w:tcW w:w="3852" w:type="pct"/>
          </w:tcPr>
          <w:p w:rsidR="00DD6911" w:rsidP="003C2FB3" w:rsidRDefault="00DD6911" w14:paraId="716A7B7A" w14:textId="397FFFB3">
            <w:pPr>
              <w:tabs>
                <w:tab w:val="center" w:pos="284"/>
              </w:tabs>
              <w:overflowPunct w:val="0"/>
              <w:autoSpaceDE w:val="0"/>
              <w:autoSpaceDN w:val="0"/>
              <w:adjustRightInd w:val="0"/>
              <w:ind w:left="266" w:hanging="266"/>
              <w:textAlignment w:val="baseline"/>
            </w:pPr>
            <w:r>
              <w:t>JOIN(2024) 10 final</w:t>
            </w:r>
          </w:p>
          <w:p w:rsidRPr="003C2FB3" w:rsidR="003C2FB3" w:rsidP="003C2FB3" w:rsidRDefault="003C2FB3" w14:paraId="2AE94E99" w14:textId="68928235">
            <w:pPr>
              <w:tabs>
                <w:tab w:val="center" w:pos="284"/>
              </w:tabs>
              <w:overflowPunct w:val="0"/>
              <w:autoSpaceDE w:val="0"/>
              <w:autoSpaceDN w:val="0"/>
              <w:adjustRightInd w:val="0"/>
              <w:ind w:left="266" w:hanging="266"/>
              <w:textAlignment w:val="baseline"/>
            </w:pPr>
            <w:r>
              <w:t>EESC-2024-00782-00-00-AC</w:t>
            </w:r>
          </w:p>
        </w:tc>
      </w:tr>
    </w:tbl>
    <w:p w:rsidRPr="003C2FB3" w:rsidR="003C2FB3" w:rsidP="003C2FB3" w:rsidRDefault="003C2FB3" w14:paraId="66624150" w14:textId="77777777">
      <w:pPr>
        <w:tabs>
          <w:tab w:val="center" w:pos="284"/>
        </w:tabs>
        <w:overflowPunct w:val="0"/>
        <w:autoSpaceDE w:val="0"/>
        <w:autoSpaceDN w:val="0"/>
        <w:adjustRightInd w:val="0"/>
        <w:ind w:left="266" w:hanging="266"/>
        <w:textAlignment w:val="baseline"/>
      </w:pPr>
    </w:p>
    <w:p w:rsidRPr="003C2FB3" w:rsidR="003C2FB3" w:rsidP="003C2FB3" w:rsidRDefault="003C2FB3" w14:paraId="62708475"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3C2FB3" w:rsidR="003C2FB3" w:rsidP="003C2FB3" w:rsidRDefault="003C2FB3" w14:paraId="11967A03" w14:textId="77777777">
      <w:pPr>
        <w:keepNext/>
        <w:keepLines/>
        <w:tabs>
          <w:tab w:val="center" w:pos="284"/>
        </w:tabs>
        <w:overflowPunct w:val="0"/>
        <w:autoSpaceDE w:val="0"/>
        <w:autoSpaceDN w:val="0"/>
        <w:adjustRightInd w:val="0"/>
        <w:ind w:left="266" w:hanging="266"/>
        <w:textAlignment w:val="baseline"/>
        <w:rPr>
          <w:b/>
        </w:rPr>
      </w:pPr>
    </w:p>
    <w:p w:rsidRPr="003C2FB3" w:rsidR="003C2FB3" w:rsidP="003C2FB3" w:rsidRDefault="003C2FB3" w14:paraId="54D38215" w14:textId="77777777">
      <w:pPr>
        <w:overflowPunct w:val="0"/>
        <w:autoSpaceDE w:val="0"/>
        <w:autoSpaceDN w:val="0"/>
        <w:adjustRightInd w:val="0"/>
        <w:textAlignment w:val="baseline"/>
        <w:rPr>
          <w:bCs/>
          <w:iCs/>
        </w:rPr>
      </w:pPr>
      <w:r>
        <w:t>El CESE:</w:t>
      </w:r>
    </w:p>
    <w:p w:rsidRPr="003C2FB3" w:rsidR="003C2FB3" w:rsidP="003C2FB3" w:rsidRDefault="003C2FB3" w14:paraId="513233EC" w14:textId="77777777">
      <w:pPr>
        <w:overflowPunct w:val="0"/>
        <w:autoSpaceDE w:val="0"/>
        <w:autoSpaceDN w:val="0"/>
        <w:adjustRightInd w:val="0"/>
        <w:ind w:left="567" w:hanging="567"/>
        <w:textAlignment w:val="baseline"/>
        <w:rPr>
          <w:szCs w:val="20"/>
        </w:rPr>
      </w:pPr>
    </w:p>
    <w:p w:rsidRPr="003C2FB3" w:rsidR="003C2FB3" w:rsidP="00DC0FAE" w:rsidRDefault="003C2FB3" w14:paraId="0DFECBD7" w14:textId="77777777">
      <w:pPr>
        <w:widowControl w:val="0"/>
        <w:numPr>
          <w:ilvl w:val="0"/>
          <w:numId w:val="27"/>
        </w:numPr>
        <w:overflowPunct w:val="0"/>
        <w:autoSpaceDE w:val="0"/>
        <w:autoSpaceDN w:val="0"/>
        <w:adjustRightInd w:val="0"/>
        <w:ind w:left="284" w:hanging="284"/>
        <w:textAlignment w:val="baseline"/>
        <w:rPr>
          <w:bCs/>
          <w:iCs/>
        </w:rPr>
      </w:pPr>
      <w:r>
        <w:t>acoge positivamente la Estrategia Industrial de Defensa Europea, que constituye un paso importante hacia el refuerzo de la preparación de Europa en materia de defensa y, por ende, de su capacidad para proteger a su ciudadanía, su territorio, sus valores fundamentales y su modo de vida;</w:t>
      </w:r>
    </w:p>
    <w:p w:rsidRPr="003C2FB3" w:rsidR="003C2FB3" w:rsidP="00DC0FAE" w:rsidRDefault="003C2FB3" w14:paraId="02DEA830" w14:textId="77777777">
      <w:pPr>
        <w:widowControl w:val="0"/>
        <w:numPr>
          <w:ilvl w:val="0"/>
          <w:numId w:val="27"/>
        </w:numPr>
        <w:overflowPunct w:val="0"/>
        <w:autoSpaceDE w:val="0"/>
        <w:autoSpaceDN w:val="0"/>
        <w:adjustRightInd w:val="0"/>
        <w:ind w:left="284" w:hanging="284"/>
        <w:textAlignment w:val="baseline"/>
        <w:rPr>
          <w:bCs/>
          <w:iCs/>
        </w:rPr>
      </w:pPr>
      <w:r>
        <w:t>se congratula de que el enfoque pase de centrarse en medidas de emergencia a dar una respuesta estructural a más largo plazo. En particular, acoge con satisfacción la atención que se presta a la necesidad de abastecer con fuentes europeas las necesidades del continente;</w:t>
      </w:r>
    </w:p>
    <w:p w:rsidRPr="003C2FB3" w:rsidR="003C2FB3" w:rsidP="00DC0FAE" w:rsidRDefault="003C2FB3" w14:paraId="32E6EBF1" w14:textId="77777777">
      <w:pPr>
        <w:widowControl w:val="0"/>
        <w:numPr>
          <w:ilvl w:val="0"/>
          <w:numId w:val="27"/>
        </w:numPr>
        <w:overflowPunct w:val="0"/>
        <w:autoSpaceDE w:val="0"/>
        <w:autoSpaceDN w:val="0"/>
        <w:adjustRightInd w:val="0"/>
        <w:ind w:left="284" w:hanging="284"/>
        <w:textAlignment w:val="baseline"/>
        <w:rPr>
          <w:bCs/>
          <w:iCs/>
        </w:rPr>
      </w:pPr>
      <w:r>
        <w:t>destaca la importancia de impulsar asociaciones con países amigos que tengan valores comunes, a fin de alcanzar los objetivos de la Estrategia;</w:t>
      </w:r>
    </w:p>
    <w:p w:rsidRPr="003C2FB3" w:rsidR="003C2FB3" w:rsidP="00DC0FAE" w:rsidRDefault="003C2FB3" w14:paraId="5FF6405D" w14:textId="77777777">
      <w:pPr>
        <w:widowControl w:val="0"/>
        <w:numPr>
          <w:ilvl w:val="0"/>
          <w:numId w:val="27"/>
        </w:numPr>
        <w:overflowPunct w:val="0"/>
        <w:autoSpaceDE w:val="0"/>
        <w:autoSpaceDN w:val="0"/>
        <w:adjustRightInd w:val="0"/>
        <w:ind w:left="284" w:hanging="284"/>
        <w:textAlignment w:val="baseline"/>
        <w:rPr>
          <w:bCs/>
          <w:iCs/>
        </w:rPr>
      </w:pPr>
      <w:r>
        <w:t>lamenta que la Estrategia no aborde la percepción pública, pues esta es un factor clave en las sociedades democráticas;</w:t>
      </w:r>
    </w:p>
    <w:p w:rsidRPr="003C2FB3" w:rsidR="003C2FB3" w:rsidP="00DC0FAE" w:rsidRDefault="003C2FB3" w14:paraId="05100907" w14:textId="77777777">
      <w:pPr>
        <w:widowControl w:val="0"/>
        <w:numPr>
          <w:ilvl w:val="0"/>
          <w:numId w:val="27"/>
        </w:numPr>
        <w:overflowPunct w:val="0"/>
        <w:autoSpaceDE w:val="0"/>
        <w:autoSpaceDN w:val="0"/>
        <w:adjustRightInd w:val="0"/>
        <w:ind w:left="284" w:hanging="284"/>
        <w:textAlignment w:val="baseline"/>
        <w:rPr>
          <w:bCs/>
          <w:iCs/>
        </w:rPr>
      </w:pPr>
      <w:r>
        <w:t>señala que es poco probable que el instrumento clave para la aplicación de la Estrategia (el Programa para la Industria de Defensa Europea) esté operativo antes de finales de 2025. Por ello, la Estrategia debe complementarse con otras medidas a corto plazo destinadas a abordar las necesidades inmediatas;</w:t>
      </w:r>
    </w:p>
    <w:p w:rsidRPr="003C2FB3" w:rsidR="003C2FB3" w:rsidP="00DC0FAE" w:rsidRDefault="003C2FB3" w14:paraId="533711D5" w14:textId="77777777">
      <w:pPr>
        <w:widowControl w:val="0"/>
        <w:numPr>
          <w:ilvl w:val="0"/>
          <w:numId w:val="27"/>
        </w:numPr>
        <w:overflowPunct w:val="0"/>
        <w:autoSpaceDE w:val="0"/>
        <w:autoSpaceDN w:val="0"/>
        <w:adjustRightInd w:val="0"/>
        <w:ind w:left="284" w:hanging="284"/>
        <w:textAlignment w:val="baseline"/>
        <w:rPr>
          <w:bCs/>
          <w:iCs/>
        </w:rPr>
      </w:pPr>
      <w:r>
        <w:t>pide a los Estados miembros que acepten la invitación de la Comisión de buscar opciones a corto plazo para impulsar, a través de los instrumentos disponibles, adquisiciones conjuntas a gran escala en materia de defensa, la expansión a gran escala de la base tecnológica e industrial de la defensa europea y la puesta en marcha de proyectos emblemáticos en materia de defensa;</w:t>
      </w:r>
    </w:p>
    <w:p w:rsidRPr="003C2FB3" w:rsidR="003C2FB3" w:rsidP="00DC0FAE" w:rsidRDefault="003C2FB3" w14:paraId="02B3EC61" w14:textId="77777777">
      <w:pPr>
        <w:widowControl w:val="0"/>
        <w:numPr>
          <w:ilvl w:val="0"/>
          <w:numId w:val="27"/>
        </w:numPr>
        <w:overflowPunct w:val="0"/>
        <w:autoSpaceDE w:val="0"/>
        <w:autoSpaceDN w:val="0"/>
        <w:adjustRightInd w:val="0"/>
        <w:ind w:left="284" w:hanging="284"/>
        <w:textAlignment w:val="baseline"/>
        <w:rPr>
          <w:bCs/>
          <w:iCs/>
        </w:rPr>
      </w:pPr>
      <w:r>
        <w:t>considera que garantizar el acceso de la industria de defensa a las competencias, la tecnología y la investigación es crucial desde una perspectiva tanto industrial como estratégica;</w:t>
      </w:r>
    </w:p>
    <w:p w:rsidRPr="003C2FB3" w:rsidR="003C2FB3" w:rsidP="00DC0FAE" w:rsidRDefault="003C2FB3" w14:paraId="4B7FEA1A" w14:textId="77777777">
      <w:pPr>
        <w:widowControl w:val="0"/>
        <w:numPr>
          <w:ilvl w:val="0"/>
          <w:numId w:val="27"/>
        </w:numPr>
        <w:overflowPunct w:val="0"/>
        <w:autoSpaceDE w:val="0"/>
        <w:autoSpaceDN w:val="0"/>
        <w:adjustRightInd w:val="0"/>
        <w:ind w:left="284" w:hanging="284"/>
        <w:textAlignment w:val="baseline"/>
        <w:rPr>
          <w:bCs/>
          <w:iCs/>
        </w:rPr>
      </w:pPr>
      <w:r>
        <w:t>subraya que el éxito de la Estrategia dependerá principalmente de que los Estados miembros se impliquen plenamente y reconozcan el valor añadido de un enfoque europeo.</w:t>
      </w:r>
    </w:p>
    <w:p w:rsidRPr="003C2FB3" w:rsidR="003C2FB3" w:rsidP="003C2FB3" w:rsidRDefault="003C2FB3" w14:paraId="0544CF61" w14:textId="77777777">
      <w:pPr>
        <w:widowControl w:val="0"/>
        <w:overflowPunct w:val="0"/>
        <w:autoSpaceDE w:val="0"/>
        <w:autoSpaceDN w:val="0"/>
        <w:adjustRightInd w:val="0"/>
        <w:ind w:left="709"/>
        <w:textAlignment w:val="baseline"/>
        <w:rPr>
          <w:szCs w:val="20"/>
        </w:rPr>
      </w:pPr>
    </w:p>
    <w:tbl>
      <w:tblPr>
        <w:tblStyle w:val="TableGrid22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3C2FB3" w:rsidR="003C2FB3" w:rsidTr="00FE3058" w14:paraId="0D2CEC95" w14:textId="77777777">
        <w:tc>
          <w:tcPr>
            <w:tcW w:w="1556" w:type="pct"/>
          </w:tcPr>
          <w:p w:rsidRPr="003C2FB3" w:rsidR="003C2FB3" w:rsidP="003C2FB3" w:rsidRDefault="003C2FB3" w14:paraId="3BD45DE2" w14:textId="77777777">
            <w:pPr>
              <w:overflowPunct w:val="0"/>
              <w:autoSpaceDE w:val="0"/>
              <w:autoSpaceDN w:val="0"/>
              <w:adjustRightInd w:val="0"/>
              <w:spacing w:line="240" w:lineRule="auto"/>
              <w:textAlignment w:val="baseline"/>
              <w:rPr>
                <w:i/>
              </w:rPr>
            </w:pPr>
            <w:r>
              <w:rPr>
                <w:b/>
                <w:i/>
              </w:rPr>
              <w:t>Contacto:</w:t>
            </w:r>
          </w:p>
        </w:tc>
        <w:tc>
          <w:tcPr>
            <w:tcW w:w="3444" w:type="pct"/>
          </w:tcPr>
          <w:p w:rsidRPr="00DC0FAE" w:rsidR="003C2FB3" w:rsidP="003C2FB3" w:rsidRDefault="003C2FB3" w14:paraId="5D226FEE" w14:textId="7F8C40FE">
            <w:pPr>
              <w:overflowPunct w:val="0"/>
              <w:autoSpaceDE w:val="0"/>
              <w:autoSpaceDN w:val="0"/>
              <w:adjustRightInd w:val="0"/>
              <w:spacing w:line="240" w:lineRule="auto"/>
              <w:textAlignment w:val="baseline"/>
              <w:rPr>
                <w:i/>
              </w:rPr>
            </w:pPr>
            <w:r>
              <w:rPr>
                <w:i/>
              </w:rPr>
              <w:t>Ioannis Diamantopoulos</w:t>
            </w:r>
          </w:p>
        </w:tc>
      </w:tr>
      <w:tr w:rsidRPr="003C2FB3" w:rsidR="003C2FB3" w:rsidTr="00FE3058" w14:paraId="596191B0" w14:textId="77777777">
        <w:tc>
          <w:tcPr>
            <w:tcW w:w="1556" w:type="pct"/>
          </w:tcPr>
          <w:p w:rsidRPr="003C2FB3" w:rsidR="003C2FB3" w:rsidP="003C2FB3" w:rsidRDefault="003C2FB3" w14:paraId="0F7CD1EB" w14:textId="77777777">
            <w:pPr>
              <w:overflowPunct w:val="0"/>
              <w:autoSpaceDE w:val="0"/>
              <w:autoSpaceDN w:val="0"/>
              <w:adjustRightInd w:val="0"/>
              <w:spacing w:line="240" w:lineRule="auto"/>
              <w:textAlignment w:val="baseline"/>
              <w:rPr>
                <w:i/>
              </w:rPr>
            </w:pPr>
            <w:r>
              <w:rPr>
                <w:i/>
              </w:rPr>
              <w:t>Teléfono:</w:t>
            </w:r>
          </w:p>
        </w:tc>
        <w:tc>
          <w:tcPr>
            <w:tcW w:w="3444" w:type="pct"/>
          </w:tcPr>
          <w:p w:rsidRPr="003C2FB3" w:rsidR="003C2FB3" w:rsidP="003C2FB3" w:rsidRDefault="003C2FB3" w14:paraId="428DEA48" w14:textId="77777777">
            <w:pPr>
              <w:overflowPunct w:val="0"/>
              <w:autoSpaceDE w:val="0"/>
              <w:autoSpaceDN w:val="0"/>
              <w:adjustRightInd w:val="0"/>
              <w:spacing w:line="240" w:lineRule="auto"/>
              <w:textAlignment w:val="baseline"/>
              <w:rPr>
                <w:i/>
              </w:rPr>
            </w:pPr>
            <w:r>
              <w:rPr>
                <w:i/>
              </w:rPr>
              <w:t>+32 25469170</w:t>
            </w:r>
          </w:p>
        </w:tc>
      </w:tr>
      <w:tr w:rsidRPr="003C2FB3" w:rsidR="003C2FB3" w:rsidTr="00FE3058" w14:paraId="2628CAA2" w14:textId="77777777">
        <w:tc>
          <w:tcPr>
            <w:tcW w:w="1556" w:type="pct"/>
          </w:tcPr>
          <w:p w:rsidRPr="003C2FB3" w:rsidR="003C2FB3" w:rsidP="003C2FB3" w:rsidRDefault="003C2FB3" w14:paraId="0F1EFC5C" w14:textId="77777777">
            <w:pPr>
              <w:overflowPunct w:val="0"/>
              <w:autoSpaceDE w:val="0"/>
              <w:autoSpaceDN w:val="0"/>
              <w:adjustRightInd w:val="0"/>
              <w:spacing w:line="240" w:lineRule="auto"/>
              <w:textAlignment w:val="baseline"/>
              <w:rPr>
                <w:i/>
              </w:rPr>
            </w:pPr>
            <w:r>
              <w:rPr>
                <w:i/>
              </w:rPr>
              <w:t>Correo electrónico:</w:t>
            </w:r>
          </w:p>
        </w:tc>
        <w:tc>
          <w:tcPr>
            <w:tcW w:w="3444" w:type="pct"/>
          </w:tcPr>
          <w:p w:rsidRPr="003C2FB3" w:rsidR="003C2FB3" w:rsidP="003C2FB3" w:rsidRDefault="00EC7E2B" w14:paraId="32C40CB8" w14:textId="77777777">
            <w:pPr>
              <w:overflowPunct w:val="0"/>
              <w:autoSpaceDE w:val="0"/>
              <w:autoSpaceDN w:val="0"/>
              <w:adjustRightInd w:val="0"/>
              <w:spacing w:line="240" w:lineRule="auto"/>
              <w:textAlignment w:val="baseline"/>
              <w:rPr>
                <w:i/>
              </w:rPr>
            </w:pPr>
            <w:hyperlink w:history="1" r:id="rId43">
              <w:r w:rsidR="00C866D0">
                <w:rPr>
                  <w:i/>
                  <w:color w:val="0000FF"/>
                  <w:u w:val="single"/>
                </w:rPr>
                <w:t>Ioannis.Diamantopoulos@eesc.europa.eu</w:t>
              </w:r>
            </w:hyperlink>
          </w:p>
        </w:tc>
      </w:tr>
    </w:tbl>
    <w:p w:rsidR="00B612CA" w:rsidP="00895853" w:rsidRDefault="00B612CA" w14:paraId="0A3D4AF6" w14:textId="77777777">
      <w:pPr>
        <w:overflowPunct w:val="0"/>
        <w:autoSpaceDE w:val="0"/>
        <w:autoSpaceDN w:val="0"/>
        <w:adjustRightInd w:val="0"/>
        <w:jc w:val="left"/>
        <w:textAlignment w:val="baseline"/>
        <w:rPr>
          <w:lang w:val="nl-BE"/>
        </w:rPr>
      </w:pPr>
    </w:p>
    <w:p w:rsidR="00C26C81" w:rsidRDefault="00C26C81" w14:paraId="209CF203" w14:textId="6268DD8D">
      <w:pPr>
        <w:spacing w:after="160" w:line="259" w:lineRule="auto"/>
        <w:jc w:val="left"/>
      </w:pPr>
      <w:r>
        <w:br w:type="page"/>
      </w:r>
    </w:p>
    <w:p w:rsidRPr="00C26C81" w:rsidR="00C26C81" w:rsidP="00C26C81" w:rsidRDefault="00EC7E2B" w14:paraId="216DA7D4" w14:textId="4D9F3A69">
      <w:pPr>
        <w:widowControl w:val="0"/>
        <w:numPr>
          <w:ilvl w:val="0"/>
          <w:numId w:val="7"/>
        </w:numPr>
        <w:overflowPunct w:val="0"/>
        <w:autoSpaceDE w:val="0"/>
        <w:autoSpaceDN w:val="0"/>
        <w:adjustRightInd w:val="0"/>
        <w:ind w:hanging="567"/>
        <w:textAlignment w:val="baseline"/>
        <w:rPr>
          <w:sz w:val="20"/>
          <w:szCs w:val="20"/>
        </w:rPr>
      </w:pPr>
      <w:hyperlink w:history="1" r:id="rId44">
        <w:r w:rsidR="00C866D0">
          <w:rPr>
            <w:b/>
            <w:i/>
            <w:color w:val="0000FF"/>
            <w:sz w:val="28"/>
            <w:u w:val="single"/>
          </w:rPr>
          <w:t>Enfoques y buenas prácticas industriales y tecnológicas para lograr una sociedad resilien</w:t>
        </w:r>
        <w:r w:rsidR="00C866D0">
          <w:rPr>
            <w:b/>
            <w:i/>
            <w:color w:val="0000FF"/>
            <w:sz w:val="28"/>
            <w:u w:val="single"/>
          </w:rPr>
          <w:t>t</w:t>
        </w:r>
        <w:r w:rsidR="00C866D0">
          <w:rPr>
            <w:b/>
            <w:i/>
            <w:color w:val="0000FF"/>
            <w:sz w:val="28"/>
            <w:u w:val="single"/>
          </w:rPr>
          <w:t>e en materia de agua</w:t>
        </w:r>
      </w:hyperlink>
    </w:p>
    <w:p w:rsidR="00DF1937" w:rsidP="00C26C81" w:rsidRDefault="00DF1937" w14:paraId="48918DB7" w14:textId="77777777">
      <w:pPr>
        <w:tabs>
          <w:tab w:val="center" w:pos="284"/>
        </w:tabs>
        <w:overflowPunct w:val="0"/>
        <w:autoSpaceDE w:val="0"/>
        <w:autoSpaceDN w:val="0"/>
        <w:adjustRightInd w:val="0"/>
        <w:ind w:left="266" w:hanging="266"/>
        <w:textAlignment w:val="baseline"/>
        <w:rPr>
          <w:b/>
          <w:sz w:val="16"/>
          <w:szCs w:val="16"/>
        </w:rPr>
      </w:pPr>
    </w:p>
    <w:tbl>
      <w:tblPr>
        <w:tblStyle w:val="TableGrid224"/>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6557"/>
      </w:tblGrid>
      <w:tr w:rsidRPr="00C26C81" w:rsidR="00C26C81" w:rsidTr="00FE3058" w14:paraId="120DFBE2" w14:textId="77777777">
        <w:tc>
          <w:tcPr>
            <w:tcW w:w="1148" w:type="pct"/>
          </w:tcPr>
          <w:p w:rsidRPr="00C26C81" w:rsidR="00C26C81" w:rsidP="00C26C81" w:rsidRDefault="00C26C81" w14:paraId="622F56C9" w14:textId="77777777">
            <w:pPr>
              <w:tabs>
                <w:tab w:val="center" w:pos="284"/>
              </w:tabs>
              <w:overflowPunct w:val="0"/>
              <w:autoSpaceDE w:val="0"/>
              <w:autoSpaceDN w:val="0"/>
              <w:adjustRightInd w:val="0"/>
              <w:ind w:left="266" w:hanging="266"/>
              <w:textAlignment w:val="baseline"/>
              <w:rPr>
                <w:b/>
              </w:rPr>
            </w:pPr>
            <w:r>
              <w:rPr>
                <w:b/>
              </w:rPr>
              <w:t>Ponente</w:t>
            </w:r>
          </w:p>
        </w:tc>
        <w:tc>
          <w:tcPr>
            <w:tcW w:w="3852" w:type="pct"/>
          </w:tcPr>
          <w:p w:rsidRPr="00DC0FAE" w:rsidR="00C26C81" w:rsidP="00C26C81" w:rsidRDefault="00C26C81" w14:paraId="4D21502F" w14:textId="7090BED6">
            <w:pPr>
              <w:tabs>
                <w:tab w:val="center" w:pos="284"/>
              </w:tabs>
              <w:overflowPunct w:val="0"/>
              <w:autoSpaceDE w:val="0"/>
              <w:autoSpaceDN w:val="0"/>
              <w:adjustRightInd w:val="0"/>
              <w:ind w:left="266" w:hanging="266"/>
              <w:textAlignment w:val="baseline"/>
            </w:pPr>
            <w:r>
              <w:t>Florian MARIN (Grupo de Trabajadores – RO)</w:t>
            </w:r>
          </w:p>
        </w:tc>
      </w:tr>
      <w:tr w:rsidRPr="00C26C81" w:rsidR="00C26C81" w:rsidTr="00FE3058" w14:paraId="1F60F708" w14:textId="77777777">
        <w:tc>
          <w:tcPr>
            <w:tcW w:w="1148" w:type="pct"/>
          </w:tcPr>
          <w:p w:rsidRPr="00C26C81" w:rsidR="00C26C81" w:rsidP="00C26C81" w:rsidRDefault="00C26C81" w14:paraId="3D84DAA7" w14:textId="77777777">
            <w:pPr>
              <w:tabs>
                <w:tab w:val="center" w:pos="284"/>
              </w:tabs>
              <w:overflowPunct w:val="0"/>
              <w:autoSpaceDE w:val="0"/>
              <w:autoSpaceDN w:val="0"/>
              <w:adjustRightInd w:val="0"/>
              <w:ind w:left="266" w:hanging="266"/>
              <w:textAlignment w:val="baseline"/>
              <w:rPr>
                <w:b/>
              </w:rPr>
            </w:pPr>
            <w:r>
              <w:rPr>
                <w:b/>
              </w:rPr>
              <w:t>Coponentes</w:t>
            </w:r>
          </w:p>
        </w:tc>
        <w:tc>
          <w:tcPr>
            <w:tcW w:w="3852" w:type="pct"/>
          </w:tcPr>
          <w:p w:rsidRPr="00DC0FAE" w:rsidR="00C26C81" w:rsidP="00C26C81" w:rsidRDefault="00C26C81" w14:paraId="2CC5126F" w14:textId="7BF5F8C5">
            <w:pPr>
              <w:tabs>
                <w:tab w:val="center" w:pos="284"/>
              </w:tabs>
              <w:overflowPunct w:val="0"/>
              <w:autoSpaceDE w:val="0"/>
              <w:autoSpaceDN w:val="0"/>
              <w:adjustRightInd w:val="0"/>
              <w:ind w:left="266" w:hanging="266"/>
              <w:textAlignment w:val="baseline"/>
            </w:pPr>
            <w:r>
              <w:t>John BRYAN (Cat. 3 – IE)</w:t>
            </w:r>
          </w:p>
        </w:tc>
      </w:tr>
      <w:tr w:rsidRPr="00C26C81" w:rsidR="00C26C81" w:rsidTr="00FE3058" w14:paraId="0255D7F1" w14:textId="77777777">
        <w:tc>
          <w:tcPr>
            <w:tcW w:w="5000" w:type="pct"/>
            <w:gridSpan w:val="2"/>
          </w:tcPr>
          <w:p w:rsidRPr="00C26C81" w:rsidR="00C26C81" w:rsidP="00C26C81" w:rsidRDefault="00C26C81" w14:paraId="65F1A50D" w14:textId="77777777">
            <w:pPr>
              <w:tabs>
                <w:tab w:val="center" w:pos="284"/>
              </w:tabs>
              <w:overflowPunct w:val="0"/>
              <w:autoSpaceDE w:val="0"/>
              <w:autoSpaceDN w:val="0"/>
              <w:adjustRightInd w:val="0"/>
              <w:spacing w:line="160" w:lineRule="exact"/>
              <w:ind w:left="266" w:hanging="266"/>
              <w:textAlignment w:val="baseline"/>
            </w:pPr>
          </w:p>
        </w:tc>
      </w:tr>
      <w:tr w:rsidRPr="00C26C81" w:rsidR="00C26C81" w:rsidTr="00FE3058" w14:paraId="6490CDCA" w14:textId="77777777">
        <w:tc>
          <w:tcPr>
            <w:tcW w:w="1148" w:type="pct"/>
            <w:vMerge w:val="restart"/>
          </w:tcPr>
          <w:p w:rsidRPr="00C26C81" w:rsidR="00C26C81" w:rsidP="00C26C81" w:rsidRDefault="00C26C81" w14:paraId="3249E176" w14:textId="77777777">
            <w:pPr>
              <w:tabs>
                <w:tab w:val="center" w:pos="284"/>
              </w:tabs>
              <w:overflowPunct w:val="0"/>
              <w:autoSpaceDE w:val="0"/>
              <w:autoSpaceDN w:val="0"/>
              <w:adjustRightInd w:val="0"/>
              <w:ind w:left="266" w:hanging="266"/>
              <w:textAlignment w:val="baseline"/>
              <w:rPr>
                <w:b/>
              </w:rPr>
            </w:pPr>
            <w:r>
              <w:rPr>
                <w:b/>
              </w:rPr>
              <w:t>Referencias</w:t>
            </w:r>
          </w:p>
        </w:tc>
        <w:tc>
          <w:tcPr>
            <w:tcW w:w="3852" w:type="pct"/>
          </w:tcPr>
          <w:p w:rsidR="00DF1937" w:rsidP="00C26C81" w:rsidRDefault="00DF1937" w14:paraId="62B42CB3" w14:textId="689EBFFE">
            <w:pPr>
              <w:tabs>
                <w:tab w:val="center" w:pos="284"/>
              </w:tabs>
              <w:overflowPunct w:val="0"/>
              <w:autoSpaceDE w:val="0"/>
              <w:autoSpaceDN w:val="0"/>
              <w:adjustRightInd w:val="0"/>
              <w:ind w:left="266" w:hanging="266"/>
              <w:textAlignment w:val="baseline"/>
            </w:pPr>
            <w:r>
              <w:t>Dictamen exploratorio a petición de la Comisión Europea</w:t>
            </w:r>
          </w:p>
          <w:p w:rsidRPr="00C26C81" w:rsidR="00C26C81" w:rsidP="00C26C81" w:rsidRDefault="00C26C81" w14:paraId="575B4C73" w14:textId="570E8293">
            <w:pPr>
              <w:tabs>
                <w:tab w:val="center" w:pos="284"/>
              </w:tabs>
              <w:overflowPunct w:val="0"/>
              <w:autoSpaceDE w:val="0"/>
              <w:autoSpaceDN w:val="0"/>
              <w:adjustRightInd w:val="0"/>
              <w:ind w:left="266" w:hanging="266"/>
              <w:textAlignment w:val="baseline"/>
            </w:pPr>
            <w:r>
              <w:t>EESC-2024-00209-00-00-AC</w:t>
            </w:r>
          </w:p>
        </w:tc>
      </w:tr>
      <w:tr w:rsidRPr="00C26C81" w:rsidR="00C26C81" w:rsidTr="00FE3058" w14:paraId="7D13EFEC" w14:textId="77777777">
        <w:tc>
          <w:tcPr>
            <w:tcW w:w="1148" w:type="pct"/>
            <w:vMerge/>
          </w:tcPr>
          <w:p w:rsidRPr="00C26C81" w:rsidR="00C26C81" w:rsidP="00C26C81" w:rsidRDefault="00C26C81" w14:paraId="22339B72" w14:textId="77777777">
            <w:pPr>
              <w:tabs>
                <w:tab w:val="center" w:pos="284"/>
              </w:tabs>
              <w:overflowPunct w:val="0"/>
              <w:autoSpaceDE w:val="0"/>
              <w:autoSpaceDN w:val="0"/>
              <w:adjustRightInd w:val="0"/>
              <w:ind w:left="266" w:hanging="266"/>
              <w:textAlignment w:val="baseline"/>
              <w:rPr>
                <w:b/>
              </w:rPr>
            </w:pPr>
          </w:p>
        </w:tc>
        <w:tc>
          <w:tcPr>
            <w:tcW w:w="3852" w:type="pct"/>
          </w:tcPr>
          <w:p w:rsidRPr="00C26C81" w:rsidR="00C26C81" w:rsidP="00C26C81" w:rsidRDefault="00C26C81" w14:paraId="30DF2ED2" w14:textId="77777777">
            <w:pPr>
              <w:tabs>
                <w:tab w:val="center" w:pos="284"/>
              </w:tabs>
              <w:overflowPunct w:val="0"/>
              <w:autoSpaceDE w:val="0"/>
              <w:autoSpaceDN w:val="0"/>
              <w:adjustRightInd w:val="0"/>
              <w:ind w:left="266" w:hanging="266"/>
              <w:textAlignment w:val="baseline"/>
            </w:pPr>
          </w:p>
        </w:tc>
      </w:tr>
    </w:tbl>
    <w:p w:rsidRPr="00C26C81" w:rsidR="00C26C81" w:rsidP="00C26C81" w:rsidRDefault="00C26C81" w14:paraId="6756B12C"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C26C81" w:rsidR="00C26C81" w:rsidP="00C26C81" w:rsidRDefault="00C26C81" w14:paraId="03D7DAA1" w14:textId="77777777">
      <w:pPr>
        <w:keepNext/>
        <w:keepLines/>
        <w:tabs>
          <w:tab w:val="center" w:pos="284"/>
        </w:tabs>
        <w:overflowPunct w:val="0"/>
        <w:autoSpaceDE w:val="0"/>
        <w:autoSpaceDN w:val="0"/>
        <w:adjustRightInd w:val="0"/>
        <w:ind w:left="266" w:hanging="266"/>
        <w:textAlignment w:val="baseline"/>
        <w:rPr>
          <w:b/>
          <w:sz w:val="16"/>
          <w:szCs w:val="16"/>
        </w:rPr>
      </w:pPr>
    </w:p>
    <w:p w:rsidR="00C26C81" w:rsidP="00C26C81" w:rsidRDefault="00C26C81" w14:paraId="0AEAF1D0" w14:textId="370DE955">
      <w:pPr>
        <w:overflowPunct w:val="0"/>
        <w:autoSpaceDE w:val="0"/>
        <w:autoSpaceDN w:val="0"/>
        <w:adjustRightInd w:val="0"/>
        <w:textAlignment w:val="baseline"/>
        <w:rPr>
          <w:bCs/>
          <w:iCs/>
        </w:rPr>
      </w:pPr>
      <w:r>
        <w:t>El CESE:</w:t>
      </w:r>
    </w:p>
    <w:p w:rsidRPr="00C26C81" w:rsidR="002B7841" w:rsidP="00C26C81" w:rsidRDefault="002B7841" w14:paraId="2BBD3487" w14:textId="77777777">
      <w:pPr>
        <w:overflowPunct w:val="0"/>
        <w:autoSpaceDE w:val="0"/>
        <w:autoSpaceDN w:val="0"/>
        <w:adjustRightInd w:val="0"/>
        <w:textAlignment w:val="baseline"/>
        <w:rPr>
          <w:bCs/>
          <w:iCs/>
        </w:rPr>
      </w:pPr>
    </w:p>
    <w:p w:rsidRPr="00C26C81" w:rsidR="00C26C81" w:rsidP="00DC0FAE" w:rsidRDefault="00C26C81" w14:paraId="724B6930"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t xml:space="preserve">pide una </w:t>
      </w:r>
      <w:r>
        <w:rPr>
          <w:b/>
        </w:rPr>
        <w:t>estrategia independiente</w:t>
      </w:r>
      <w:r>
        <w:t xml:space="preserve"> —un Pacto Azul Europeo— y un plan de acción </w:t>
      </w:r>
      <w:r>
        <w:rPr>
          <w:b/>
        </w:rPr>
        <w:t>sobre el agua para garantizar la resiliencia, la seguridad y la sostenibilidad hídricas, como complemento al Pacto Verde Europeo</w:t>
      </w:r>
      <w:r>
        <w:t>;</w:t>
      </w:r>
    </w:p>
    <w:p w:rsidRPr="00C26C81" w:rsidR="00C26C81" w:rsidP="00DC0FAE" w:rsidRDefault="00C26C81" w14:paraId="520F5238"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t xml:space="preserve">insta a la Unión a </w:t>
      </w:r>
      <w:r>
        <w:rPr>
          <w:b/>
        </w:rPr>
        <w:t>integrar el agua en un marco estratégico industrial revisado</w:t>
      </w:r>
      <w:r>
        <w:t xml:space="preserve"> y en los itinerarios de transición con un enfoque sectorial;</w:t>
      </w:r>
    </w:p>
    <w:p w:rsidRPr="00C26C81" w:rsidR="00C26C81" w:rsidP="00DC0FAE" w:rsidRDefault="00C26C81" w14:paraId="30D20AE2"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t xml:space="preserve">señala que esta revisión debe explorar la idea de establecer un </w:t>
      </w:r>
      <w:r>
        <w:rPr>
          <w:b/>
        </w:rPr>
        <w:t>nuevo pacto industrial para ofrecer a la industria europea una estrategia consolidada</w:t>
      </w:r>
      <w:r>
        <w:t xml:space="preserve"> que responda a los múltiples retos a los que se enfrenta (en materia de agua, energía, materias primas fundamentales, digitalización y autonomía estratégica) en un plazo de cuatro años;</w:t>
      </w:r>
    </w:p>
    <w:p w:rsidRPr="00C26C81" w:rsidR="00C26C81" w:rsidP="00DC0FAE" w:rsidRDefault="00C26C81" w14:paraId="04F84018"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t xml:space="preserve">destaca que los enfoques industriales y tecnológicos para lograr una sociedad inteligente en su gestión del agua deben estructurarse firmemente en torno a </w:t>
      </w:r>
      <w:r>
        <w:rPr>
          <w:b/>
        </w:rPr>
        <w:t>una política global de gestión sostenible del agua para una industria</w:t>
      </w:r>
      <w:r>
        <w:t xml:space="preserve"> que se base en la reducción del uso del agua, su reutilización y su reciclado, disminuya la contaminación e introduzca progresivamente tecnologías eficientes en el uso del agua, garantizando al mismo tiempo una transición justa que </w:t>
      </w:r>
      <w:r>
        <w:rPr>
          <w:b/>
        </w:rPr>
        <w:t>salvaguarde la competitividad industrial</w:t>
      </w:r>
      <w:r>
        <w:t>;</w:t>
      </w:r>
    </w:p>
    <w:p w:rsidRPr="00C26C81" w:rsidR="00C26C81" w:rsidP="00DC0FAE" w:rsidRDefault="00C26C81" w14:paraId="42BF90D7"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t xml:space="preserve">subraya la necesidad de desarrollar un </w:t>
      </w:r>
      <w:r>
        <w:rPr>
          <w:b/>
        </w:rPr>
        <w:t>ecosistema europeo de gestión de datos sobre el agua</w:t>
      </w:r>
      <w:r>
        <w:t>, así como de medir el consumo de agua en todos los procesos de producción y minimizar el uso de agua potable para fines industriales;</w:t>
      </w:r>
    </w:p>
    <w:p w:rsidRPr="00C26C81" w:rsidR="00C26C81" w:rsidP="00DC0FAE" w:rsidRDefault="00C26C81" w14:paraId="4A2463D1"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t xml:space="preserve">destaca que es menester </w:t>
      </w:r>
      <w:r>
        <w:rPr>
          <w:b/>
        </w:rPr>
        <w:t>garantizar el acceso al agua de las industrias más críticas en situaciones de crisis</w:t>
      </w:r>
      <w:r>
        <w:t>;</w:t>
      </w:r>
    </w:p>
    <w:p w:rsidRPr="00C26C81" w:rsidR="00C26C81" w:rsidP="00DC0FAE" w:rsidRDefault="00C26C81" w14:paraId="71162F5A"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t xml:space="preserve">aboga por un </w:t>
      </w:r>
      <w:r>
        <w:rPr>
          <w:b/>
        </w:rPr>
        <w:t>itinerario de transición para desarrollar un sector tecnológico limpio y eficiente en el uso del agua</w:t>
      </w:r>
      <w:r>
        <w:t>, que incluya una hoja de ruta para la dimensión humana al objeto de garantizar la disponibilidad de las capacidades necesarias, empleos de calidad y condiciones de trabajo dignas;</w:t>
      </w:r>
    </w:p>
    <w:p w:rsidRPr="00C26C81" w:rsidR="00C26C81" w:rsidP="00DC0FAE" w:rsidRDefault="00C26C81" w14:paraId="7B237525"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t xml:space="preserve">propone medidas de apoyo a la </w:t>
      </w:r>
      <w:r>
        <w:rPr>
          <w:b/>
        </w:rPr>
        <w:t>aplicación del fondo de transición del Pacto Azul Europeo</w:t>
      </w:r>
      <w:r>
        <w:t xml:space="preserve"> en el ámbito industrial;</w:t>
      </w:r>
    </w:p>
    <w:p w:rsidRPr="00C26C81" w:rsidR="00C26C81" w:rsidP="00DC0FAE" w:rsidRDefault="00C26C81" w14:paraId="1A520A8C" w14:textId="77777777">
      <w:pPr>
        <w:numPr>
          <w:ilvl w:val="0"/>
          <w:numId w:val="28"/>
        </w:numPr>
        <w:overflowPunct w:val="0"/>
        <w:autoSpaceDE w:val="0"/>
        <w:autoSpaceDN w:val="0"/>
        <w:adjustRightInd w:val="0"/>
        <w:spacing w:after="40" w:line="276" w:lineRule="auto"/>
        <w:ind w:left="284" w:hanging="284"/>
        <w:contextualSpacing/>
        <w:textAlignment w:val="baseline"/>
        <w:rPr>
          <w:bCs/>
          <w:iCs/>
        </w:rPr>
      </w:pPr>
      <w:r>
        <w:rPr>
          <w:b/>
        </w:rPr>
        <w:t xml:space="preserve">apoya la creación de la </w:t>
      </w:r>
      <w:r w:rsidRPr="00680DBC">
        <w:rPr>
          <w:b/>
        </w:rPr>
        <w:t>comunidad de conocimiento e innovación (CCI) en materia de agua</w:t>
      </w:r>
      <w:r>
        <w:t xml:space="preserve"> por parte del Instituto Europeo de Innovación y Tecnología (EIT).</w:t>
      </w:r>
    </w:p>
    <w:p w:rsidRPr="00C26C81" w:rsidR="00C26C81" w:rsidP="00C26C81" w:rsidRDefault="00C26C81" w14:paraId="586B6B4F" w14:textId="6B11469E">
      <w:pPr>
        <w:spacing w:after="40" w:line="276" w:lineRule="auto"/>
        <w:ind w:left="1276"/>
        <w:contextualSpacing/>
        <w:rPr>
          <w:bCs/>
          <w:iCs/>
          <w:lang w:eastAsia="zh-CN"/>
        </w:rPr>
      </w:pPr>
    </w:p>
    <w:tbl>
      <w:tblPr>
        <w:tblStyle w:val="TableGrid22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3C2FB3" w:rsidR="004F1302" w:rsidTr="0066006A" w14:paraId="598DD9AC" w14:textId="77777777">
        <w:tc>
          <w:tcPr>
            <w:tcW w:w="1556" w:type="pct"/>
          </w:tcPr>
          <w:p w:rsidRPr="003C2FB3" w:rsidR="004F1302" w:rsidP="0066006A" w:rsidRDefault="004F1302" w14:paraId="15B56178" w14:textId="77777777">
            <w:pPr>
              <w:overflowPunct w:val="0"/>
              <w:autoSpaceDE w:val="0"/>
              <w:autoSpaceDN w:val="0"/>
              <w:adjustRightInd w:val="0"/>
              <w:spacing w:line="240" w:lineRule="auto"/>
              <w:textAlignment w:val="baseline"/>
              <w:rPr>
                <w:i/>
              </w:rPr>
            </w:pPr>
            <w:r>
              <w:rPr>
                <w:b/>
                <w:i/>
              </w:rPr>
              <w:t>Contacto:</w:t>
            </w:r>
          </w:p>
        </w:tc>
        <w:tc>
          <w:tcPr>
            <w:tcW w:w="3444" w:type="pct"/>
          </w:tcPr>
          <w:p w:rsidRPr="0066006A" w:rsidR="004F1302" w:rsidP="0066006A" w:rsidRDefault="004F1302" w14:paraId="6A690265" w14:textId="1C17A6F4">
            <w:pPr>
              <w:overflowPunct w:val="0"/>
              <w:autoSpaceDE w:val="0"/>
              <w:autoSpaceDN w:val="0"/>
              <w:adjustRightInd w:val="0"/>
              <w:spacing w:line="240" w:lineRule="auto"/>
              <w:textAlignment w:val="baseline"/>
              <w:rPr>
                <w:i/>
              </w:rPr>
            </w:pPr>
            <w:r>
              <w:rPr>
                <w:i/>
              </w:rPr>
              <w:t>Heli Niemelä-Farrer</w:t>
            </w:r>
          </w:p>
        </w:tc>
      </w:tr>
      <w:tr w:rsidRPr="003C2FB3" w:rsidR="004F1302" w:rsidTr="0066006A" w14:paraId="2972FB5B" w14:textId="77777777">
        <w:tc>
          <w:tcPr>
            <w:tcW w:w="1556" w:type="pct"/>
          </w:tcPr>
          <w:p w:rsidRPr="003C2FB3" w:rsidR="004F1302" w:rsidP="0066006A" w:rsidRDefault="004F1302" w14:paraId="31E4746D" w14:textId="77777777">
            <w:pPr>
              <w:overflowPunct w:val="0"/>
              <w:autoSpaceDE w:val="0"/>
              <w:autoSpaceDN w:val="0"/>
              <w:adjustRightInd w:val="0"/>
              <w:spacing w:line="240" w:lineRule="auto"/>
              <w:textAlignment w:val="baseline"/>
              <w:rPr>
                <w:i/>
              </w:rPr>
            </w:pPr>
            <w:r>
              <w:rPr>
                <w:i/>
              </w:rPr>
              <w:t>Teléfono:</w:t>
            </w:r>
          </w:p>
        </w:tc>
        <w:tc>
          <w:tcPr>
            <w:tcW w:w="3444" w:type="pct"/>
          </w:tcPr>
          <w:p w:rsidRPr="003C2FB3" w:rsidR="004F1302" w:rsidP="0066006A" w:rsidRDefault="004F1302" w14:paraId="24534461" w14:textId="0D1989E1">
            <w:pPr>
              <w:overflowPunct w:val="0"/>
              <w:autoSpaceDE w:val="0"/>
              <w:autoSpaceDN w:val="0"/>
              <w:adjustRightInd w:val="0"/>
              <w:spacing w:line="240" w:lineRule="auto"/>
              <w:textAlignment w:val="baseline"/>
              <w:rPr>
                <w:i/>
              </w:rPr>
            </w:pPr>
            <w:r>
              <w:rPr>
                <w:i/>
              </w:rPr>
              <w:t>+32 22822464</w:t>
            </w:r>
          </w:p>
        </w:tc>
      </w:tr>
      <w:tr w:rsidRPr="003C2FB3" w:rsidR="004F1302" w:rsidTr="0066006A" w14:paraId="40A463F8" w14:textId="77777777">
        <w:tc>
          <w:tcPr>
            <w:tcW w:w="1556" w:type="pct"/>
          </w:tcPr>
          <w:p w:rsidRPr="003C2FB3" w:rsidR="004F1302" w:rsidP="0066006A" w:rsidRDefault="004F1302" w14:paraId="3B219BCA" w14:textId="77777777">
            <w:pPr>
              <w:overflowPunct w:val="0"/>
              <w:autoSpaceDE w:val="0"/>
              <w:autoSpaceDN w:val="0"/>
              <w:adjustRightInd w:val="0"/>
              <w:spacing w:line="240" w:lineRule="auto"/>
              <w:textAlignment w:val="baseline"/>
              <w:rPr>
                <w:i/>
              </w:rPr>
            </w:pPr>
            <w:r>
              <w:rPr>
                <w:i/>
              </w:rPr>
              <w:t>Correo electrónico:</w:t>
            </w:r>
          </w:p>
        </w:tc>
        <w:tc>
          <w:tcPr>
            <w:tcW w:w="3444" w:type="pct"/>
          </w:tcPr>
          <w:p w:rsidR="004F1302" w:rsidP="0066006A" w:rsidRDefault="00EC7E2B" w14:paraId="0FED9690" w14:textId="7A8281DF">
            <w:pPr>
              <w:overflowPunct w:val="0"/>
              <w:autoSpaceDE w:val="0"/>
              <w:autoSpaceDN w:val="0"/>
              <w:adjustRightInd w:val="0"/>
              <w:spacing w:line="240" w:lineRule="auto"/>
              <w:textAlignment w:val="baseline"/>
              <w:rPr>
                <w:i/>
                <w:color w:val="0000FF"/>
                <w:u w:val="single"/>
              </w:rPr>
            </w:pPr>
            <w:hyperlink w:history="1" r:id="rId45">
              <w:r w:rsidR="004F1302">
                <w:rPr>
                  <w:rStyle w:val="Hyperlink"/>
                </w:rPr>
                <w:t>Heli.Niemela-Farrer</w:t>
              </w:r>
              <w:r w:rsidR="004F1302">
                <w:rPr>
                  <w:rStyle w:val="Hyperlink"/>
                  <w:i/>
                </w:rPr>
                <w:t>@eesc.europa.eu</w:t>
              </w:r>
            </w:hyperlink>
          </w:p>
          <w:p w:rsidRPr="003C2FB3" w:rsidR="004F1302" w:rsidP="0066006A" w:rsidRDefault="004F1302" w14:paraId="13626409" w14:textId="51178F9F">
            <w:pPr>
              <w:overflowPunct w:val="0"/>
              <w:autoSpaceDE w:val="0"/>
              <w:autoSpaceDN w:val="0"/>
              <w:adjustRightInd w:val="0"/>
              <w:spacing w:line="240" w:lineRule="auto"/>
              <w:textAlignment w:val="baseline"/>
              <w:rPr>
                <w:i/>
              </w:rPr>
            </w:pPr>
          </w:p>
        </w:tc>
      </w:tr>
    </w:tbl>
    <w:p w:rsidRPr="006C7863" w:rsidR="0092772D" w:rsidP="006C7863" w:rsidRDefault="00556EDF" w14:paraId="7379A588" w14:textId="3EDEF816">
      <w:pPr>
        <w:overflowPunct w:val="0"/>
        <w:autoSpaceDE w:val="0"/>
        <w:autoSpaceDN w:val="0"/>
        <w:adjustRightInd w:val="0"/>
        <w:jc w:val="center"/>
        <w:textAlignment w:val="baseline"/>
      </w:pPr>
      <w:r>
        <w:t>_____________</w:t>
      </w:r>
    </w:p>
    <w:sectPr w:rsidRPr="006C7863" w:rsidR="0092772D" w:rsidSect="00386C01">
      <w:headerReference w:type="even" r:id="rId46"/>
      <w:headerReference w:type="default" r:id="rId47"/>
      <w:footerReference w:type="even" r:id="rId48"/>
      <w:footerReference w:type="default" r:id="rId49"/>
      <w:headerReference w:type="first" r:id="rId50"/>
      <w:footerReference w:type="first" r:id="rId51"/>
      <w:pgSz w:w="11907" w:h="16839" w:code="9"/>
      <w:pgMar w:top="1418" w:right="1418"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20479" w14:textId="77777777" w:rsidR="002578F2" w:rsidRDefault="002578F2" w:rsidP="003B0516">
      <w:pPr>
        <w:spacing w:line="240" w:lineRule="auto"/>
      </w:pPr>
      <w:r>
        <w:separator/>
      </w:r>
    </w:p>
  </w:endnote>
  <w:endnote w:type="continuationSeparator" w:id="0">
    <w:p w14:paraId="18869CFE" w14:textId="77777777" w:rsidR="002578F2" w:rsidRDefault="002578F2"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66391" w14:textId="77777777" w:rsidR="00631992" w:rsidRDefault="00631992" w:rsidP="005C2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0DCC470F" w:rsidR="00765C4F" w:rsidRPr="005C28F2" w:rsidRDefault="005C28F2" w:rsidP="005C28F2">
    <w:pPr>
      <w:pStyle w:val="Footer"/>
    </w:pPr>
    <w:r>
      <w:t xml:space="preserve">EESC-2024-01704-00-00-TCD-TRA (EN) </w:t>
    </w:r>
    <w:r>
      <w:fldChar w:fldCharType="begin"/>
    </w:r>
    <w:r>
      <w:instrText xml:space="preserve"> PAGE  \* Arabic  \* MERGEFORMAT </w:instrText>
    </w:r>
    <w:r>
      <w:fldChar w:fldCharType="separate"/>
    </w:r>
    <w:r w:rsidR="00DC0FAE">
      <w:t>1</w:t>
    </w:r>
    <w:r>
      <w:fldChar w:fldCharType="end"/>
    </w:r>
    <w:r>
      <w:t>/</w:t>
    </w:r>
    <w:r w:rsidR="00EC7E2B">
      <w:fldChar w:fldCharType="begin"/>
    </w:r>
    <w:r w:rsidR="00EC7E2B">
      <w:instrText xml:space="preserve"> NUMPAGES </w:instrText>
    </w:r>
    <w:r w:rsidR="00EC7E2B">
      <w:fldChar w:fldCharType="separate"/>
    </w:r>
    <w:r w:rsidR="00DC0FAE">
      <w:t>1</w:t>
    </w:r>
    <w:r w:rsidR="00EC7E2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F63DF" w14:textId="77777777" w:rsidR="00631992" w:rsidRDefault="00631992" w:rsidP="005C28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386C01" w:rsidRDefault="00E4258F" w:rsidP="005C28F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6DACB8BF" w:rsidR="00E4258F" w:rsidRPr="005C28F2" w:rsidRDefault="005C28F2" w:rsidP="005C28F2">
    <w:pPr>
      <w:pStyle w:val="Footer"/>
    </w:pPr>
    <w:r>
      <w:t xml:space="preserve">EESC-2024-01704-00-00-TCD-TRA (EN) </w:t>
    </w:r>
    <w:r>
      <w:fldChar w:fldCharType="begin"/>
    </w:r>
    <w:r>
      <w:instrText xml:space="preserve"> PAGE  \* Arabic  \* MERGEFORMAT </w:instrText>
    </w:r>
    <w:r>
      <w:fldChar w:fldCharType="separate"/>
    </w:r>
    <w:r>
      <w:t>1</w:t>
    </w:r>
    <w:r>
      <w:fldChar w:fldCharType="end"/>
    </w:r>
    <w:r>
      <w:t>/</w:t>
    </w:r>
    <w:r w:rsidR="00EC7E2B">
      <w:fldChar w:fldCharType="begin"/>
    </w:r>
    <w:r w:rsidR="00EC7E2B">
      <w:instrText xml:space="preserve"> NUMPAGES </w:instrText>
    </w:r>
    <w:r w:rsidR="00EC7E2B">
      <w:fldChar w:fldCharType="separate"/>
    </w:r>
    <w:r>
      <w:t>1</w:t>
    </w:r>
    <w:r w:rsidR="00EC7E2B">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386C01" w:rsidRDefault="00E4258F" w:rsidP="005C2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86F73" w14:textId="77777777" w:rsidR="002578F2" w:rsidRDefault="002578F2" w:rsidP="003B0516">
      <w:pPr>
        <w:spacing w:line="240" w:lineRule="auto"/>
      </w:pPr>
      <w:r>
        <w:separator/>
      </w:r>
    </w:p>
  </w:footnote>
  <w:footnote w:type="continuationSeparator" w:id="0">
    <w:p w14:paraId="5065BE47" w14:textId="77777777" w:rsidR="002578F2" w:rsidRDefault="002578F2"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75E2" w14:textId="77777777" w:rsidR="00631992" w:rsidRDefault="006319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5AEF" w14:textId="77777777" w:rsidR="00631992" w:rsidRDefault="006319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17C3B" w14:textId="77777777" w:rsidR="00631992" w:rsidRDefault="006319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386C01" w:rsidRDefault="00E4258F" w:rsidP="00386C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655C03D" w:rsidR="00E4258F" w:rsidRPr="00386C01" w:rsidRDefault="00E4258F" w:rsidP="00386C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386C01" w:rsidRDefault="00E4258F" w:rsidP="00386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B22EB68"/>
    <w:lvl w:ilvl="0">
      <w:numFmt w:val="decimal"/>
      <w:lvlText w:val="*"/>
      <w:lvlJc w:val="left"/>
    </w:lvl>
  </w:abstractNum>
  <w:abstractNum w:abstractNumId="1" w15:restartNumberingAfterBreak="0">
    <w:nsid w:val="033E08C8"/>
    <w:multiLevelType w:val="hybridMultilevel"/>
    <w:tmpl w:val="46905308"/>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4020295"/>
    <w:multiLevelType w:val="hybridMultilevel"/>
    <w:tmpl w:val="67767474"/>
    <w:lvl w:ilvl="0" w:tplc="F6166D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BF3FE3"/>
    <w:multiLevelType w:val="hybridMultilevel"/>
    <w:tmpl w:val="39DE4EA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 w15:restartNumberingAfterBreak="0">
    <w:nsid w:val="057B6B6A"/>
    <w:multiLevelType w:val="hybridMultilevel"/>
    <w:tmpl w:val="05EC7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03388C"/>
    <w:multiLevelType w:val="hybridMultilevel"/>
    <w:tmpl w:val="274AB46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38E32A4"/>
    <w:multiLevelType w:val="hybridMultilevel"/>
    <w:tmpl w:val="D138115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4994545"/>
    <w:multiLevelType w:val="hybridMultilevel"/>
    <w:tmpl w:val="543AAAC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7B45D08"/>
    <w:multiLevelType w:val="hybridMultilevel"/>
    <w:tmpl w:val="819CD394"/>
    <w:lvl w:ilvl="0" w:tplc="85C8C05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0E20584"/>
    <w:multiLevelType w:val="hybridMultilevel"/>
    <w:tmpl w:val="960CE05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2" w15:restartNumberingAfterBreak="0">
    <w:nsid w:val="32A63C20"/>
    <w:multiLevelType w:val="hybridMultilevel"/>
    <w:tmpl w:val="EA508A0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97E5443"/>
    <w:multiLevelType w:val="hybridMultilevel"/>
    <w:tmpl w:val="CAB65DF6"/>
    <w:lvl w:ilvl="0" w:tplc="F6166D28">
      <w:start w:val="1"/>
      <w:numFmt w:val="bullet"/>
      <w:lvlText w:val=""/>
      <w:lvlJc w:val="left"/>
      <w:pPr>
        <w:ind w:left="501" w:hanging="360"/>
      </w:pPr>
      <w:rPr>
        <w:rFonts w:ascii="Symbol" w:hAnsi="Symbol" w:hint="default"/>
      </w:rPr>
    </w:lvl>
    <w:lvl w:ilvl="1" w:tplc="080C0003" w:tentative="1">
      <w:start w:val="1"/>
      <w:numFmt w:val="bullet"/>
      <w:lvlText w:val="o"/>
      <w:lvlJc w:val="left"/>
      <w:pPr>
        <w:ind w:left="1221" w:hanging="360"/>
      </w:pPr>
      <w:rPr>
        <w:rFonts w:ascii="Courier New" w:hAnsi="Courier New" w:cs="Courier New" w:hint="default"/>
      </w:rPr>
    </w:lvl>
    <w:lvl w:ilvl="2" w:tplc="080C0005" w:tentative="1">
      <w:start w:val="1"/>
      <w:numFmt w:val="bullet"/>
      <w:lvlText w:val=""/>
      <w:lvlJc w:val="left"/>
      <w:pPr>
        <w:ind w:left="1941" w:hanging="360"/>
      </w:pPr>
      <w:rPr>
        <w:rFonts w:ascii="Wingdings" w:hAnsi="Wingdings" w:hint="default"/>
      </w:rPr>
    </w:lvl>
    <w:lvl w:ilvl="3" w:tplc="080C0001" w:tentative="1">
      <w:start w:val="1"/>
      <w:numFmt w:val="bullet"/>
      <w:lvlText w:val=""/>
      <w:lvlJc w:val="left"/>
      <w:pPr>
        <w:ind w:left="2661" w:hanging="360"/>
      </w:pPr>
      <w:rPr>
        <w:rFonts w:ascii="Symbol" w:hAnsi="Symbol" w:hint="default"/>
      </w:rPr>
    </w:lvl>
    <w:lvl w:ilvl="4" w:tplc="080C0003" w:tentative="1">
      <w:start w:val="1"/>
      <w:numFmt w:val="bullet"/>
      <w:lvlText w:val="o"/>
      <w:lvlJc w:val="left"/>
      <w:pPr>
        <w:ind w:left="3381" w:hanging="360"/>
      </w:pPr>
      <w:rPr>
        <w:rFonts w:ascii="Courier New" w:hAnsi="Courier New" w:cs="Courier New" w:hint="default"/>
      </w:rPr>
    </w:lvl>
    <w:lvl w:ilvl="5" w:tplc="080C0005" w:tentative="1">
      <w:start w:val="1"/>
      <w:numFmt w:val="bullet"/>
      <w:lvlText w:val=""/>
      <w:lvlJc w:val="left"/>
      <w:pPr>
        <w:ind w:left="4101" w:hanging="360"/>
      </w:pPr>
      <w:rPr>
        <w:rFonts w:ascii="Wingdings" w:hAnsi="Wingdings" w:hint="default"/>
      </w:rPr>
    </w:lvl>
    <w:lvl w:ilvl="6" w:tplc="080C0001" w:tentative="1">
      <w:start w:val="1"/>
      <w:numFmt w:val="bullet"/>
      <w:lvlText w:val=""/>
      <w:lvlJc w:val="left"/>
      <w:pPr>
        <w:ind w:left="4821" w:hanging="360"/>
      </w:pPr>
      <w:rPr>
        <w:rFonts w:ascii="Symbol" w:hAnsi="Symbol" w:hint="default"/>
      </w:rPr>
    </w:lvl>
    <w:lvl w:ilvl="7" w:tplc="080C0003" w:tentative="1">
      <w:start w:val="1"/>
      <w:numFmt w:val="bullet"/>
      <w:lvlText w:val="o"/>
      <w:lvlJc w:val="left"/>
      <w:pPr>
        <w:ind w:left="5541" w:hanging="360"/>
      </w:pPr>
      <w:rPr>
        <w:rFonts w:ascii="Courier New" w:hAnsi="Courier New" w:cs="Courier New" w:hint="default"/>
      </w:rPr>
    </w:lvl>
    <w:lvl w:ilvl="8" w:tplc="080C0005" w:tentative="1">
      <w:start w:val="1"/>
      <w:numFmt w:val="bullet"/>
      <w:lvlText w:val=""/>
      <w:lvlJc w:val="left"/>
      <w:pPr>
        <w:ind w:left="6261" w:hanging="360"/>
      </w:pPr>
      <w:rPr>
        <w:rFonts w:ascii="Wingdings" w:hAnsi="Wingdings" w:hint="default"/>
      </w:rPr>
    </w:lvl>
  </w:abstractNum>
  <w:abstractNum w:abstractNumId="14"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41C43CC1"/>
    <w:multiLevelType w:val="hybridMultilevel"/>
    <w:tmpl w:val="0F629792"/>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15:restartNumberingAfterBreak="0">
    <w:nsid w:val="42A57F35"/>
    <w:multiLevelType w:val="hybridMultilevel"/>
    <w:tmpl w:val="E5E40D66"/>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7" w15:restartNumberingAfterBreak="0">
    <w:nsid w:val="43F84B37"/>
    <w:multiLevelType w:val="hybridMultilevel"/>
    <w:tmpl w:val="8092051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CA23ACC"/>
    <w:multiLevelType w:val="hybridMultilevel"/>
    <w:tmpl w:val="E262473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DDA6B31"/>
    <w:multiLevelType w:val="hybridMultilevel"/>
    <w:tmpl w:val="028E43B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08E1C33"/>
    <w:multiLevelType w:val="hybridMultilevel"/>
    <w:tmpl w:val="FA6CB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7022B7"/>
    <w:multiLevelType w:val="hybridMultilevel"/>
    <w:tmpl w:val="1008497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63933F59"/>
    <w:multiLevelType w:val="hybridMultilevel"/>
    <w:tmpl w:val="C854D33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5F652F1"/>
    <w:multiLevelType w:val="hybridMultilevel"/>
    <w:tmpl w:val="6722E5EA"/>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679336FE"/>
    <w:multiLevelType w:val="hybridMultilevel"/>
    <w:tmpl w:val="50B48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0C03F41"/>
    <w:multiLevelType w:val="hybridMultilevel"/>
    <w:tmpl w:val="069C00D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10"/>
  </w:num>
  <w:num w:numId="2">
    <w:abstractNumId w:val="14"/>
  </w:num>
  <w:num w:numId="3">
    <w:abstractNumId w:val="2"/>
  </w:num>
  <w:num w:numId="4">
    <w:abstractNumId w:val="22"/>
  </w:num>
  <w:num w:numId="5">
    <w:abstractNumId w:val="7"/>
  </w:num>
  <w:num w:numId="6">
    <w:abstractNumId w:val="0"/>
    <w:lvlOverride w:ilvl="0">
      <w:lvl w:ilvl="0">
        <w:start w:val="1"/>
        <w:numFmt w:val="bullet"/>
        <w:lvlText w:val=""/>
        <w:legacy w:legacy="1" w:legacySpace="0" w:legacyIndent="283"/>
        <w:lvlJc w:val="left"/>
        <w:pPr>
          <w:ind w:left="283" w:hanging="283"/>
        </w:pPr>
        <w:rPr>
          <w:rFonts w:ascii="Symbol" w:hAnsi="Symbol" w:hint="default"/>
          <w:color w:val="auto"/>
        </w:rPr>
      </w:lvl>
    </w:lvlOverride>
  </w:num>
  <w:num w:numId="7">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8">
    <w:abstractNumId w:val="21"/>
  </w:num>
  <w:num w:numId="9">
    <w:abstractNumId w:val="26"/>
  </w:num>
  <w:num w:numId="10">
    <w:abstractNumId w:val="25"/>
  </w:num>
  <w:num w:numId="11">
    <w:abstractNumId w:val="0"/>
    <w:lvlOverride w:ilvl="0">
      <w:lvl w:ilvl="0">
        <w:start w:val="1"/>
        <w:numFmt w:val="bullet"/>
        <w:lvlText w:val=""/>
        <w:legacy w:legacy="1" w:legacySpace="0" w:legacyIndent="283"/>
        <w:lvlJc w:val="left"/>
        <w:pPr>
          <w:ind w:left="424" w:hanging="283"/>
        </w:pPr>
        <w:rPr>
          <w:rFonts w:ascii="Symbol" w:hAnsi="Symbol" w:hint="default"/>
          <w:color w:val="auto"/>
        </w:rPr>
      </w:lvl>
    </w:lvlOverride>
  </w:num>
  <w:num w:numId="12">
    <w:abstractNumId w:val="20"/>
  </w:num>
  <w:num w:numId="13">
    <w:abstractNumId w:val="24"/>
  </w:num>
  <w:num w:numId="14">
    <w:abstractNumId w:val="15"/>
  </w:num>
  <w:num w:numId="15">
    <w:abstractNumId w:val="6"/>
  </w:num>
  <w:num w:numId="16">
    <w:abstractNumId w:val="11"/>
  </w:num>
  <w:num w:numId="17">
    <w:abstractNumId w:val="13"/>
  </w:num>
  <w:num w:numId="18">
    <w:abstractNumId w:val="17"/>
  </w:num>
  <w:num w:numId="19">
    <w:abstractNumId w:val="18"/>
  </w:num>
  <w:num w:numId="20">
    <w:abstractNumId w:val="23"/>
  </w:num>
  <w:num w:numId="21">
    <w:abstractNumId w:val="12"/>
  </w:num>
  <w:num w:numId="22">
    <w:abstractNumId w:val="1"/>
  </w:num>
  <w:num w:numId="23">
    <w:abstractNumId w:val="4"/>
  </w:num>
  <w:num w:numId="24">
    <w:abstractNumId w:val="9"/>
  </w:num>
  <w:num w:numId="25">
    <w:abstractNumId w:val="19"/>
  </w:num>
  <w:num w:numId="26">
    <w:abstractNumId w:val="8"/>
  </w:num>
  <w:num w:numId="27">
    <w:abstractNumId w:val="16"/>
  </w:num>
  <w:num w:numId="28">
    <w:abstractNumId w:val="3"/>
  </w:num>
  <w:num w:numId="2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011FC"/>
    <w:rsid w:val="00001786"/>
    <w:rsid w:val="00001A64"/>
    <w:rsid w:val="00002061"/>
    <w:rsid w:val="00002240"/>
    <w:rsid w:val="00002A4B"/>
    <w:rsid w:val="000058F8"/>
    <w:rsid w:val="00007729"/>
    <w:rsid w:val="000077FC"/>
    <w:rsid w:val="000104A6"/>
    <w:rsid w:val="00011582"/>
    <w:rsid w:val="00011846"/>
    <w:rsid w:val="00012071"/>
    <w:rsid w:val="000120E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343"/>
    <w:rsid w:val="000257FE"/>
    <w:rsid w:val="00025CE3"/>
    <w:rsid w:val="0002700A"/>
    <w:rsid w:val="00027072"/>
    <w:rsid w:val="000273E5"/>
    <w:rsid w:val="00027441"/>
    <w:rsid w:val="0003047E"/>
    <w:rsid w:val="00030AA7"/>
    <w:rsid w:val="00030ED3"/>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22C9"/>
    <w:rsid w:val="00043287"/>
    <w:rsid w:val="00043A3F"/>
    <w:rsid w:val="00046621"/>
    <w:rsid w:val="00046E56"/>
    <w:rsid w:val="00047887"/>
    <w:rsid w:val="00050002"/>
    <w:rsid w:val="000507DF"/>
    <w:rsid w:val="0005110E"/>
    <w:rsid w:val="0005170F"/>
    <w:rsid w:val="00052BF1"/>
    <w:rsid w:val="00052DD1"/>
    <w:rsid w:val="000545A8"/>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3B39"/>
    <w:rsid w:val="0007419A"/>
    <w:rsid w:val="0007457E"/>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4E0B"/>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139"/>
    <w:rsid w:val="000F442A"/>
    <w:rsid w:val="000F4825"/>
    <w:rsid w:val="000F53B7"/>
    <w:rsid w:val="000F679A"/>
    <w:rsid w:val="000F6FCF"/>
    <w:rsid w:val="000F791D"/>
    <w:rsid w:val="001000A8"/>
    <w:rsid w:val="00100FAC"/>
    <w:rsid w:val="0010109E"/>
    <w:rsid w:val="001016BE"/>
    <w:rsid w:val="00101D87"/>
    <w:rsid w:val="001023AA"/>
    <w:rsid w:val="00104302"/>
    <w:rsid w:val="0010484C"/>
    <w:rsid w:val="00104B7A"/>
    <w:rsid w:val="001052A1"/>
    <w:rsid w:val="0010535A"/>
    <w:rsid w:val="00105700"/>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D3E"/>
    <w:rsid w:val="00126D40"/>
    <w:rsid w:val="001271C3"/>
    <w:rsid w:val="001275C6"/>
    <w:rsid w:val="0013052F"/>
    <w:rsid w:val="00132B56"/>
    <w:rsid w:val="001332A2"/>
    <w:rsid w:val="00133C08"/>
    <w:rsid w:val="001348CC"/>
    <w:rsid w:val="00135610"/>
    <w:rsid w:val="00135769"/>
    <w:rsid w:val="00137686"/>
    <w:rsid w:val="00137BCC"/>
    <w:rsid w:val="001400C7"/>
    <w:rsid w:val="0014322B"/>
    <w:rsid w:val="001435E4"/>
    <w:rsid w:val="001445A7"/>
    <w:rsid w:val="001455A1"/>
    <w:rsid w:val="0014589C"/>
    <w:rsid w:val="00145DCD"/>
    <w:rsid w:val="00147108"/>
    <w:rsid w:val="00147442"/>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3106"/>
    <w:rsid w:val="00164813"/>
    <w:rsid w:val="0016534C"/>
    <w:rsid w:val="00165EA2"/>
    <w:rsid w:val="00172541"/>
    <w:rsid w:val="0017287C"/>
    <w:rsid w:val="00173E94"/>
    <w:rsid w:val="00174253"/>
    <w:rsid w:val="001744F9"/>
    <w:rsid w:val="00174763"/>
    <w:rsid w:val="001755E0"/>
    <w:rsid w:val="001756D1"/>
    <w:rsid w:val="00175EC3"/>
    <w:rsid w:val="001760E9"/>
    <w:rsid w:val="00176786"/>
    <w:rsid w:val="001800DA"/>
    <w:rsid w:val="001801FC"/>
    <w:rsid w:val="00180F0B"/>
    <w:rsid w:val="00180F59"/>
    <w:rsid w:val="0018231C"/>
    <w:rsid w:val="00182F92"/>
    <w:rsid w:val="0018432F"/>
    <w:rsid w:val="00184D19"/>
    <w:rsid w:val="001861B4"/>
    <w:rsid w:val="001865D3"/>
    <w:rsid w:val="00186A73"/>
    <w:rsid w:val="00187F8B"/>
    <w:rsid w:val="00190D28"/>
    <w:rsid w:val="00191584"/>
    <w:rsid w:val="00191597"/>
    <w:rsid w:val="00192911"/>
    <w:rsid w:val="00192BCD"/>
    <w:rsid w:val="00193D92"/>
    <w:rsid w:val="00194870"/>
    <w:rsid w:val="001951FD"/>
    <w:rsid w:val="00195380"/>
    <w:rsid w:val="001965D5"/>
    <w:rsid w:val="0019674A"/>
    <w:rsid w:val="00196909"/>
    <w:rsid w:val="0019715D"/>
    <w:rsid w:val="001A0AD4"/>
    <w:rsid w:val="001A1CC5"/>
    <w:rsid w:val="001A2273"/>
    <w:rsid w:val="001A2632"/>
    <w:rsid w:val="001A2ED2"/>
    <w:rsid w:val="001A5EC5"/>
    <w:rsid w:val="001A60BB"/>
    <w:rsid w:val="001A7110"/>
    <w:rsid w:val="001A7476"/>
    <w:rsid w:val="001B10DA"/>
    <w:rsid w:val="001B146A"/>
    <w:rsid w:val="001B612B"/>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3F"/>
    <w:rsid w:val="001C64EB"/>
    <w:rsid w:val="001C6DC3"/>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2DF"/>
    <w:rsid w:val="00206D17"/>
    <w:rsid w:val="00207025"/>
    <w:rsid w:val="00207B3C"/>
    <w:rsid w:val="00210F85"/>
    <w:rsid w:val="002119AD"/>
    <w:rsid w:val="00214437"/>
    <w:rsid w:val="00215520"/>
    <w:rsid w:val="0021590B"/>
    <w:rsid w:val="00215FAB"/>
    <w:rsid w:val="00217695"/>
    <w:rsid w:val="002205F3"/>
    <w:rsid w:val="00221313"/>
    <w:rsid w:val="002213A3"/>
    <w:rsid w:val="002216CC"/>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7481"/>
    <w:rsid w:val="00240C09"/>
    <w:rsid w:val="00240D4D"/>
    <w:rsid w:val="002419CA"/>
    <w:rsid w:val="00241C29"/>
    <w:rsid w:val="00242666"/>
    <w:rsid w:val="00242952"/>
    <w:rsid w:val="0024324E"/>
    <w:rsid w:val="00243BC0"/>
    <w:rsid w:val="0024479A"/>
    <w:rsid w:val="00245136"/>
    <w:rsid w:val="002457A2"/>
    <w:rsid w:val="00245A60"/>
    <w:rsid w:val="00245CD4"/>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578F2"/>
    <w:rsid w:val="00260129"/>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97B9F"/>
    <w:rsid w:val="002A0BCA"/>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6D6C"/>
    <w:rsid w:val="002B75A5"/>
    <w:rsid w:val="002B7841"/>
    <w:rsid w:val="002B7981"/>
    <w:rsid w:val="002B7C5C"/>
    <w:rsid w:val="002B7F3A"/>
    <w:rsid w:val="002C016E"/>
    <w:rsid w:val="002C07E4"/>
    <w:rsid w:val="002C08B8"/>
    <w:rsid w:val="002C0E2F"/>
    <w:rsid w:val="002C2466"/>
    <w:rsid w:val="002C24B9"/>
    <w:rsid w:val="002C2B80"/>
    <w:rsid w:val="002C4B6E"/>
    <w:rsid w:val="002C5F52"/>
    <w:rsid w:val="002C704D"/>
    <w:rsid w:val="002D03B9"/>
    <w:rsid w:val="002D10D5"/>
    <w:rsid w:val="002D1175"/>
    <w:rsid w:val="002D3D63"/>
    <w:rsid w:val="002D3FFF"/>
    <w:rsid w:val="002D4382"/>
    <w:rsid w:val="002D4A78"/>
    <w:rsid w:val="002D4C38"/>
    <w:rsid w:val="002D4C63"/>
    <w:rsid w:val="002D4D5D"/>
    <w:rsid w:val="002D5381"/>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7E9"/>
    <w:rsid w:val="002F5819"/>
    <w:rsid w:val="002F5EE1"/>
    <w:rsid w:val="002F63EB"/>
    <w:rsid w:val="002F6997"/>
    <w:rsid w:val="002F6E84"/>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1D5C"/>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E31"/>
    <w:rsid w:val="00351F56"/>
    <w:rsid w:val="003527B4"/>
    <w:rsid w:val="003529C2"/>
    <w:rsid w:val="00353184"/>
    <w:rsid w:val="00353D37"/>
    <w:rsid w:val="00354714"/>
    <w:rsid w:val="00356BAD"/>
    <w:rsid w:val="00356CCD"/>
    <w:rsid w:val="003604AE"/>
    <w:rsid w:val="00360C2F"/>
    <w:rsid w:val="00360C81"/>
    <w:rsid w:val="00361E48"/>
    <w:rsid w:val="00361F46"/>
    <w:rsid w:val="00363F5C"/>
    <w:rsid w:val="003641AD"/>
    <w:rsid w:val="003661D3"/>
    <w:rsid w:val="0036641A"/>
    <w:rsid w:val="00370548"/>
    <w:rsid w:val="00370CCB"/>
    <w:rsid w:val="003746E1"/>
    <w:rsid w:val="003748B6"/>
    <w:rsid w:val="00374BB8"/>
    <w:rsid w:val="003754CD"/>
    <w:rsid w:val="00375E65"/>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6C01"/>
    <w:rsid w:val="003873CF"/>
    <w:rsid w:val="00390587"/>
    <w:rsid w:val="00391B98"/>
    <w:rsid w:val="0039201C"/>
    <w:rsid w:val="00394949"/>
    <w:rsid w:val="00395070"/>
    <w:rsid w:val="003953F0"/>
    <w:rsid w:val="00395762"/>
    <w:rsid w:val="00396061"/>
    <w:rsid w:val="0039613E"/>
    <w:rsid w:val="003965BB"/>
    <w:rsid w:val="00396707"/>
    <w:rsid w:val="00396CC5"/>
    <w:rsid w:val="003A0DB7"/>
    <w:rsid w:val="003A2251"/>
    <w:rsid w:val="003A2E3A"/>
    <w:rsid w:val="003A37C0"/>
    <w:rsid w:val="003A3C4C"/>
    <w:rsid w:val="003A5C4C"/>
    <w:rsid w:val="003A7071"/>
    <w:rsid w:val="003B01EE"/>
    <w:rsid w:val="003B0516"/>
    <w:rsid w:val="003B2007"/>
    <w:rsid w:val="003B301F"/>
    <w:rsid w:val="003B3C5F"/>
    <w:rsid w:val="003B3D68"/>
    <w:rsid w:val="003B48B7"/>
    <w:rsid w:val="003B496D"/>
    <w:rsid w:val="003B6100"/>
    <w:rsid w:val="003B6160"/>
    <w:rsid w:val="003B62FD"/>
    <w:rsid w:val="003B6653"/>
    <w:rsid w:val="003B6760"/>
    <w:rsid w:val="003B6EB5"/>
    <w:rsid w:val="003C07C5"/>
    <w:rsid w:val="003C0D9C"/>
    <w:rsid w:val="003C0E5B"/>
    <w:rsid w:val="003C0FF2"/>
    <w:rsid w:val="003C179C"/>
    <w:rsid w:val="003C2647"/>
    <w:rsid w:val="003C2F64"/>
    <w:rsid w:val="003C2FB3"/>
    <w:rsid w:val="003C3C73"/>
    <w:rsid w:val="003C3F66"/>
    <w:rsid w:val="003C4172"/>
    <w:rsid w:val="003C4D5B"/>
    <w:rsid w:val="003C5614"/>
    <w:rsid w:val="003C5C25"/>
    <w:rsid w:val="003C5D97"/>
    <w:rsid w:val="003C7345"/>
    <w:rsid w:val="003C7843"/>
    <w:rsid w:val="003D219D"/>
    <w:rsid w:val="003D2CA9"/>
    <w:rsid w:val="003D33F7"/>
    <w:rsid w:val="003D4576"/>
    <w:rsid w:val="003D4F68"/>
    <w:rsid w:val="003D5339"/>
    <w:rsid w:val="003D55E1"/>
    <w:rsid w:val="003D5625"/>
    <w:rsid w:val="003D57BD"/>
    <w:rsid w:val="003D5824"/>
    <w:rsid w:val="003D5CC0"/>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575"/>
    <w:rsid w:val="003F5D7F"/>
    <w:rsid w:val="003F6382"/>
    <w:rsid w:val="003F6762"/>
    <w:rsid w:val="003F6EE3"/>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4E65"/>
    <w:rsid w:val="00415CFC"/>
    <w:rsid w:val="00416136"/>
    <w:rsid w:val="00420A3B"/>
    <w:rsid w:val="00420AB5"/>
    <w:rsid w:val="00421CBB"/>
    <w:rsid w:val="004220CA"/>
    <w:rsid w:val="004228C2"/>
    <w:rsid w:val="00423D72"/>
    <w:rsid w:val="00424F1B"/>
    <w:rsid w:val="00424FA6"/>
    <w:rsid w:val="00424FBB"/>
    <w:rsid w:val="00425793"/>
    <w:rsid w:val="00425B4A"/>
    <w:rsid w:val="004268C7"/>
    <w:rsid w:val="00426B8F"/>
    <w:rsid w:val="00426ECD"/>
    <w:rsid w:val="00427161"/>
    <w:rsid w:val="00427D31"/>
    <w:rsid w:val="004305AF"/>
    <w:rsid w:val="0043160A"/>
    <w:rsid w:val="004331B4"/>
    <w:rsid w:val="00433439"/>
    <w:rsid w:val="0043387F"/>
    <w:rsid w:val="004351D4"/>
    <w:rsid w:val="00435C78"/>
    <w:rsid w:val="00436853"/>
    <w:rsid w:val="004408E6"/>
    <w:rsid w:val="004409D9"/>
    <w:rsid w:val="004412D5"/>
    <w:rsid w:val="004415E2"/>
    <w:rsid w:val="00441A37"/>
    <w:rsid w:val="00441E1B"/>
    <w:rsid w:val="00441E45"/>
    <w:rsid w:val="004429E2"/>
    <w:rsid w:val="0044393A"/>
    <w:rsid w:val="0044394C"/>
    <w:rsid w:val="00443C4F"/>
    <w:rsid w:val="00444114"/>
    <w:rsid w:val="004442D3"/>
    <w:rsid w:val="00444F0D"/>
    <w:rsid w:val="00447339"/>
    <w:rsid w:val="004477C9"/>
    <w:rsid w:val="00447EE5"/>
    <w:rsid w:val="00450E5A"/>
    <w:rsid w:val="004511AE"/>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C23"/>
    <w:rsid w:val="00472E72"/>
    <w:rsid w:val="004732C2"/>
    <w:rsid w:val="004734C7"/>
    <w:rsid w:val="0047416F"/>
    <w:rsid w:val="004743D6"/>
    <w:rsid w:val="00474FF0"/>
    <w:rsid w:val="004755C3"/>
    <w:rsid w:val="00475D3E"/>
    <w:rsid w:val="0047677D"/>
    <w:rsid w:val="00477361"/>
    <w:rsid w:val="00477848"/>
    <w:rsid w:val="00477E0A"/>
    <w:rsid w:val="00480DF5"/>
    <w:rsid w:val="004823CB"/>
    <w:rsid w:val="00482F34"/>
    <w:rsid w:val="00483DD5"/>
    <w:rsid w:val="00484ECA"/>
    <w:rsid w:val="00485EA6"/>
    <w:rsid w:val="00490086"/>
    <w:rsid w:val="004904F9"/>
    <w:rsid w:val="00491C8D"/>
    <w:rsid w:val="00492374"/>
    <w:rsid w:val="00492ED3"/>
    <w:rsid w:val="0049347F"/>
    <w:rsid w:val="004940E4"/>
    <w:rsid w:val="004940F8"/>
    <w:rsid w:val="00495110"/>
    <w:rsid w:val="004955DA"/>
    <w:rsid w:val="004961BF"/>
    <w:rsid w:val="004971E8"/>
    <w:rsid w:val="004972FA"/>
    <w:rsid w:val="004A3CBD"/>
    <w:rsid w:val="004A46D9"/>
    <w:rsid w:val="004A5563"/>
    <w:rsid w:val="004A5CD7"/>
    <w:rsid w:val="004A6166"/>
    <w:rsid w:val="004A654F"/>
    <w:rsid w:val="004A66EE"/>
    <w:rsid w:val="004A688A"/>
    <w:rsid w:val="004A6B7F"/>
    <w:rsid w:val="004B1BC7"/>
    <w:rsid w:val="004B2250"/>
    <w:rsid w:val="004B32D3"/>
    <w:rsid w:val="004B344F"/>
    <w:rsid w:val="004B3B56"/>
    <w:rsid w:val="004B4150"/>
    <w:rsid w:val="004B45B8"/>
    <w:rsid w:val="004B4B28"/>
    <w:rsid w:val="004B7248"/>
    <w:rsid w:val="004B72DD"/>
    <w:rsid w:val="004C0C1D"/>
    <w:rsid w:val="004C1520"/>
    <w:rsid w:val="004C1E12"/>
    <w:rsid w:val="004C1EDE"/>
    <w:rsid w:val="004C2872"/>
    <w:rsid w:val="004C383F"/>
    <w:rsid w:val="004C3902"/>
    <w:rsid w:val="004C40E4"/>
    <w:rsid w:val="004C4101"/>
    <w:rsid w:val="004C48DA"/>
    <w:rsid w:val="004C583B"/>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105"/>
    <w:rsid w:val="004E77E1"/>
    <w:rsid w:val="004F0CF5"/>
    <w:rsid w:val="004F1302"/>
    <w:rsid w:val="004F2430"/>
    <w:rsid w:val="004F271C"/>
    <w:rsid w:val="004F3158"/>
    <w:rsid w:val="004F32CD"/>
    <w:rsid w:val="004F4CD9"/>
    <w:rsid w:val="004F4CE0"/>
    <w:rsid w:val="004F68A8"/>
    <w:rsid w:val="004F7FE1"/>
    <w:rsid w:val="00500031"/>
    <w:rsid w:val="00501036"/>
    <w:rsid w:val="00501B49"/>
    <w:rsid w:val="00502092"/>
    <w:rsid w:val="0050211A"/>
    <w:rsid w:val="00502B04"/>
    <w:rsid w:val="00502C82"/>
    <w:rsid w:val="00502C92"/>
    <w:rsid w:val="00502E1F"/>
    <w:rsid w:val="005030F7"/>
    <w:rsid w:val="00503E8A"/>
    <w:rsid w:val="00504D3B"/>
    <w:rsid w:val="0050513B"/>
    <w:rsid w:val="00505C07"/>
    <w:rsid w:val="00507FBD"/>
    <w:rsid w:val="00510903"/>
    <w:rsid w:val="00510B95"/>
    <w:rsid w:val="00510F71"/>
    <w:rsid w:val="0051254E"/>
    <w:rsid w:val="005127F5"/>
    <w:rsid w:val="00512A34"/>
    <w:rsid w:val="0051658B"/>
    <w:rsid w:val="00516A59"/>
    <w:rsid w:val="00516CCE"/>
    <w:rsid w:val="00516FB9"/>
    <w:rsid w:val="0052028C"/>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035C"/>
    <w:rsid w:val="005414B4"/>
    <w:rsid w:val="00542A74"/>
    <w:rsid w:val="00542AB1"/>
    <w:rsid w:val="00542C6F"/>
    <w:rsid w:val="005445DD"/>
    <w:rsid w:val="00544D95"/>
    <w:rsid w:val="00546217"/>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A39"/>
    <w:rsid w:val="00555C58"/>
    <w:rsid w:val="00556279"/>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896"/>
    <w:rsid w:val="00566919"/>
    <w:rsid w:val="00570527"/>
    <w:rsid w:val="005706B8"/>
    <w:rsid w:val="00570DDC"/>
    <w:rsid w:val="00571BCD"/>
    <w:rsid w:val="00571FEB"/>
    <w:rsid w:val="00572679"/>
    <w:rsid w:val="00572735"/>
    <w:rsid w:val="005727A8"/>
    <w:rsid w:val="00574403"/>
    <w:rsid w:val="00574E5A"/>
    <w:rsid w:val="0057560E"/>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4760"/>
    <w:rsid w:val="0059541C"/>
    <w:rsid w:val="0059647B"/>
    <w:rsid w:val="005967FB"/>
    <w:rsid w:val="005A0D46"/>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5D8B"/>
    <w:rsid w:val="005B6007"/>
    <w:rsid w:val="005B7660"/>
    <w:rsid w:val="005C0363"/>
    <w:rsid w:val="005C0454"/>
    <w:rsid w:val="005C078D"/>
    <w:rsid w:val="005C28F2"/>
    <w:rsid w:val="005C6297"/>
    <w:rsid w:val="005C63F8"/>
    <w:rsid w:val="005C6A74"/>
    <w:rsid w:val="005C6F8B"/>
    <w:rsid w:val="005C72B5"/>
    <w:rsid w:val="005C7902"/>
    <w:rsid w:val="005C7C47"/>
    <w:rsid w:val="005D0AE8"/>
    <w:rsid w:val="005D326D"/>
    <w:rsid w:val="005D3431"/>
    <w:rsid w:val="005D55F5"/>
    <w:rsid w:val="005D5876"/>
    <w:rsid w:val="005D610D"/>
    <w:rsid w:val="005D621C"/>
    <w:rsid w:val="005D6E4D"/>
    <w:rsid w:val="005D76AC"/>
    <w:rsid w:val="005D7939"/>
    <w:rsid w:val="005D7A1C"/>
    <w:rsid w:val="005E0555"/>
    <w:rsid w:val="005E1D60"/>
    <w:rsid w:val="005E23CD"/>
    <w:rsid w:val="005E2C02"/>
    <w:rsid w:val="005E3426"/>
    <w:rsid w:val="005E3A6F"/>
    <w:rsid w:val="005E3EE4"/>
    <w:rsid w:val="005E4970"/>
    <w:rsid w:val="005E547D"/>
    <w:rsid w:val="005E56F3"/>
    <w:rsid w:val="005E60E1"/>
    <w:rsid w:val="005E682E"/>
    <w:rsid w:val="005E764B"/>
    <w:rsid w:val="005E7838"/>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6DD7"/>
    <w:rsid w:val="00617140"/>
    <w:rsid w:val="0061753E"/>
    <w:rsid w:val="006178CC"/>
    <w:rsid w:val="006203CD"/>
    <w:rsid w:val="0062050F"/>
    <w:rsid w:val="00621329"/>
    <w:rsid w:val="0062138E"/>
    <w:rsid w:val="00621E7B"/>
    <w:rsid w:val="00622199"/>
    <w:rsid w:val="00622822"/>
    <w:rsid w:val="00623469"/>
    <w:rsid w:val="00624785"/>
    <w:rsid w:val="00624CAC"/>
    <w:rsid w:val="00625885"/>
    <w:rsid w:val="006262F2"/>
    <w:rsid w:val="006263FF"/>
    <w:rsid w:val="00626B92"/>
    <w:rsid w:val="00627B8F"/>
    <w:rsid w:val="00627D71"/>
    <w:rsid w:val="00630047"/>
    <w:rsid w:val="0063079B"/>
    <w:rsid w:val="00630928"/>
    <w:rsid w:val="00631509"/>
    <w:rsid w:val="0063176E"/>
    <w:rsid w:val="00631992"/>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05DE"/>
    <w:rsid w:val="00671753"/>
    <w:rsid w:val="006722E8"/>
    <w:rsid w:val="0067337A"/>
    <w:rsid w:val="006736F5"/>
    <w:rsid w:val="006749D4"/>
    <w:rsid w:val="00674A47"/>
    <w:rsid w:val="00675177"/>
    <w:rsid w:val="00675C3E"/>
    <w:rsid w:val="00676CBB"/>
    <w:rsid w:val="00677979"/>
    <w:rsid w:val="00680DBC"/>
    <w:rsid w:val="0068132C"/>
    <w:rsid w:val="00681B23"/>
    <w:rsid w:val="0068241A"/>
    <w:rsid w:val="00682943"/>
    <w:rsid w:val="00682B1D"/>
    <w:rsid w:val="00682BBF"/>
    <w:rsid w:val="0068439A"/>
    <w:rsid w:val="006849A6"/>
    <w:rsid w:val="00685937"/>
    <w:rsid w:val="00685C57"/>
    <w:rsid w:val="00685CF8"/>
    <w:rsid w:val="00686FAC"/>
    <w:rsid w:val="00687437"/>
    <w:rsid w:val="00687C49"/>
    <w:rsid w:val="0069051C"/>
    <w:rsid w:val="00691253"/>
    <w:rsid w:val="00691356"/>
    <w:rsid w:val="006917E2"/>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FB4"/>
    <w:rsid w:val="006B050A"/>
    <w:rsid w:val="006B106B"/>
    <w:rsid w:val="006B13C2"/>
    <w:rsid w:val="006B265F"/>
    <w:rsid w:val="006B318C"/>
    <w:rsid w:val="006B3316"/>
    <w:rsid w:val="006B5025"/>
    <w:rsid w:val="006B58ED"/>
    <w:rsid w:val="006B5D99"/>
    <w:rsid w:val="006B6D88"/>
    <w:rsid w:val="006B73D6"/>
    <w:rsid w:val="006C1160"/>
    <w:rsid w:val="006C19F4"/>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137"/>
    <w:rsid w:val="006E16D5"/>
    <w:rsid w:val="006E1DD7"/>
    <w:rsid w:val="006E224A"/>
    <w:rsid w:val="006E245B"/>
    <w:rsid w:val="006E3078"/>
    <w:rsid w:val="006E3F60"/>
    <w:rsid w:val="006E4430"/>
    <w:rsid w:val="006E489B"/>
    <w:rsid w:val="006E4F6C"/>
    <w:rsid w:val="006E6434"/>
    <w:rsid w:val="006E679C"/>
    <w:rsid w:val="006E6D23"/>
    <w:rsid w:val="006F016B"/>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462A"/>
    <w:rsid w:val="00735256"/>
    <w:rsid w:val="00737766"/>
    <w:rsid w:val="007406C8"/>
    <w:rsid w:val="007425D2"/>
    <w:rsid w:val="0074379C"/>
    <w:rsid w:val="00743FAB"/>
    <w:rsid w:val="0074419C"/>
    <w:rsid w:val="00744C0A"/>
    <w:rsid w:val="00745EAA"/>
    <w:rsid w:val="00746B35"/>
    <w:rsid w:val="007473E6"/>
    <w:rsid w:val="00747CE3"/>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7A9"/>
    <w:rsid w:val="00760B02"/>
    <w:rsid w:val="00760C0A"/>
    <w:rsid w:val="0076429F"/>
    <w:rsid w:val="007650A7"/>
    <w:rsid w:val="00765480"/>
    <w:rsid w:val="00765C4F"/>
    <w:rsid w:val="00766372"/>
    <w:rsid w:val="00766B65"/>
    <w:rsid w:val="0076753A"/>
    <w:rsid w:val="00770B2E"/>
    <w:rsid w:val="00770F41"/>
    <w:rsid w:val="00771110"/>
    <w:rsid w:val="007717CB"/>
    <w:rsid w:val="007724A0"/>
    <w:rsid w:val="00772F61"/>
    <w:rsid w:val="00775FC4"/>
    <w:rsid w:val="00775FDA"/>
    <w:rsid w:val="007764A8"/>
    <w:rsid w:val="007770B2"/>
    <w:rsid w:val="0077736D"/>
    <w:rsid w:val="0077792F"/>
    <w:rsid w:val="00777F11"/>
    <w:rsid w:val="007818B3"/>
    <w:rsid w:val="00781991"/>
    <w:rsid w:val="00781B32"/>
    <w:rsid w:val="007830DD"/>
    <w:rsid w:val="007833BB"/>
    <w:rsid w:val="00783680"/>
    <w:rsid w:val="00784DB5"/>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1E2D"/>
    <w:rsid w:val="007A26B7"/>
    <w:rsid w:val="007A300E"/>
    <w:rsid w:val="007A4DC4"/>
    <w:rsid w:val="007A4F58"/>
    <w:rsid w:val="007A51DE"/>
    <w:rsid w:val="007A52BD"/>
    <w:rsid w:val="007A63CB"/>
    <w:rsid w:val="007B081C"/>
    <w:rsid w:val="007B20AF"/>
    <w:rsid w:val="007B21C5"/>
    <w:rsid w:val="007B231B"/>
    <w:rsid w:val="007B2CAF"/>
    <w:rsid w:val="007B4C34"/>
    <w:rsid w:val="007B4C38"/>
    <w:rsid w:val="007B4EBE"/>
    <w:rsid w:val="007B6259"/>
    <w:rsid w:val="007B6B96"/>
    <w:rsid w:val="007B76EB"/>
    <w:rsid w:val="007B7C40"/>
    <w:rsid w:val="007C0BDC"/>
    <w:rsid w:val="007C11A7"/>
    <w:rsid w:val="007C1E20"/>
    <w:rsid w:val="007C2536"/>
    <w:rsid w:val="007C29B9"/>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92F"/>
    <w:rsid w:val="007F2C09"/>
    <w:rsid w:val="007F68CA"/>
    <w:rsid w:val="007F6922"/>
    <w:rsid w:val="007F6CE1"/>
    <w:rsid w:val="007F7DBA"/>
    <w:rsid w:val="007F7E38"/>
    <w:rsid w:val="00800DE9"/>
    <w:rsid w:val="00802A53"/>
    <w:rsid w:val="00802E2B"/>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71DA"/>
    <w:rsid w:val="008172B0"/>
    <w:rsid w:val="0081741E"/>
    <w:rsid w:val="00817B23"/>
    <w:rsid w:val="00820120"/>
    <w:rsid w:val="00821220"/>
    <w:rsid w:val="008220BD"/>
    <w:rsid w:val="00822289"/>
    <w:rsid w:val="0082285A"/>
    <w:rsid w:val="00822ED8"/>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7D8"/>
    <w:rsid w:val="00866A9D"/>
    <w:rsid w:val="00870153"/>
    <w:rsid w:val="00871481"/>
    <w:rsid w:val="00871B5A"/>
    <w:rsid w:val="00871ED8"/>
    <w:rsid w:val="008737C0"/>
    <w:rsid w:val="00873B6F"/>
    <w:rsid w:val="00873B93"/>
    <w:rsid w:val="00873BFE"/>
    <w:rsid w:val="00873E2F"/>
    <w:rsid w:val="008742E0"/>
    <w:rsid w:val="008745F7"/>
    <w:rsid w:val="00874AE5"/>
    <w:rsid w:val="00875684"/>
    <w:rsid w:val="00875906"/>
    <w:rsid w:val="00876E46"/>
    <w:rsid w:val="008772F9"/>
    <w:rsid w:val="00877395"/>
    <w:rsid w:val="008776C0"/>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04B"/>
    <w:rsid w:val="0089333A"/>
    <w:rsid w:val="008944AD"/>
    <w:rsid w:val="008946BF"/>
    <w:rsid w:val="00894BA8"/>
    <w:rsid w:val="00895853"/>
    <w:rsid w:val="00895C48"/>
    <w:rsid w:val="008968EE"/>
    <w:rsid w:val="00896F71"/>
    <w:rsid w:val="008A0298"/>
    <w:rsid w:val="008A0B15"/>
    <w:rsid w:val="008A0C54"/>
    <w:rsid w:val="008A0E09"/>
    <w:rsid w:val="008A16E3"/>
    <w:rsid w:val="008A275F"/>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4C8C"/>
    <w:rsid w:val="008B5703"/>
    <w:rsid w:val="008B659D"/>
    <w:rsid w:val="008B66DD"/>
    <w:rsid w:val="008B7198"/>
    <w:rsid w:val="008B72DD"/>
    <w:rsid w:val="008B792B"/>
    <w:rsid w:val="008C18DE"/>
    <w:rsid w:val="008C3DBE"/>
    <w:rsid w:val="008C3E09"/>
    <w:rsid w:val="008C4B50"/>
    <w:rsid w:val="008C4FD1"/>
    <w:rsid w:val="008C5358"/>
    <w:rsid w:val="008C5DFD"/>
    <w:rsid w:val="008C790D"/>
    <w:rsid w:val="008D089A"/>
    <w:rsid w:val="008D1E60"/>
    <w:rsid w:val="008D2131"/>
    <w:rsid w:val="008D315D"/>
    <w:rsid w:val="008D3A30"/>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5F1F"/>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587"/>
    <w:rsid w:val="00911804"/>
    <w:rsid w:val="00912E0E"/>
    <w:rsid w:val="00912F6B"/>
    <w:rsid w:val="0091310A"/>
    <w:rsid w:val="009134F0"/>
    <w:rsid w:val="00914265"/>
    <w:rsid w:val="009150E9"/>
    <w:rsid w:val="009173E7"/>
    <w:rsid w:val="009177FF"/>
    <w:rsid w:val="009200A8"/>
    <w:rsid w:val="009209AC"/>
    <w:rsid w:val="00921660"/>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88F"/>
    <w:rsid w:val="00935B1C"/>
    <w:rsid w:val="00937D7A"/>
    <w:rsid w:val="009401A5"/>
    <w:rsid w:val="00940899"/>
    <w:rsid w:val="00940972"/>
    <w:rsid w:val="00941018"/>
    <w:rsid w:val="00942238"/>
    <w:rsid w:val="00942F41"/>
    <w:rsid w:val="00943A69"/>
    <w:rsid w:val="009444A2"/>
    <w:rsid w:val="00944A54"/>
    <w:rsid w:val="00945B9E"/>
    <w:rsid w:val="0094733C"/>
    <w:rsid w:val="009476EF"/>
    <w:rsid w:val="00947E08"/>
    <w:rsid w:val="009508AD"/>
    <w:rsid w:val="00950C4F"/>
    <w:rsid w:val="009530C5"/>
    <w:rsid w:val="0095386D"/>
    <w:rsid w:val="0095396D"/>
    <w:rsid w:val="0095532C"/>
    <w:rsid w:val="00957B83"/>
    <w:rsid w:val="00957CBF"/>
    <w:rsid w:val="0096099A"/>
    <w:rsid w:val="00960F6E"/>
    <w:rsid w:val="00961956"/>
    <w:rsid w:val="00961F3C"/>
    <w:rsid w:val="00964B58"/>
    <w:rsid w:val="00964DE8"/>
    <w:rsid w:val="00965516"/>
    <w:rsid w:val="00965822"/>
    <w:rsid w:val="00965B61"/>
    <w:rsid w:val="0096721E"/>
    <w:rsid w:val="00967517"/>
    <w:rsid w:val="009679A9"/>
    <w:rsid w:val="00967B0B"/>
    <w:rsid w:val="00967CEC"/>
    <w:rsid w:val="00970971"/>
    <w:rsid w:val="00971495"/>
    <w:rsid w:val="00971842"/>
    <w:rsid w:val="00971A18"/>
    <w:rsid w:val="00972A8C"/>
    <w:rsid w:val="009737C7"/>
    <w:rsid w:val="009744BD"/>
    <w:rsid w:val="00974EE4"/>
    <w:rsid w:val="00975A67"/>
    <w:rsid w:val="0097659B"/>
    <w:rsid w:val="009775B8"/>
    <w:rsid w:val="00980E41"/>
    <w:rsid w:val="00983920"/>
    <w:rsid w:val="0098510D"/>
    <w:rsid w:val="00986C7F"/>
    <w:rsid w:val="00987332"/>
    <w:rsid w:val="00987507"/>
    <w:rsid w:val="00987A9E"/>
    <w:rsid w:val="009916B2"/>
    <w:rsid w:val="00993BCB"/>
    <w:rsid w:val="009954A1"/>
    <w:rsid w:val="0099551B"/>
    <w:rsid w:val="009960A0"/>
    <w:rsid w:val="00996E9C"/>
    <w:rsid w:val="009A1011"/>
    <w:rsid w:val="009A1B51"/>
    <w:rsid w:val="009A3571"/>
    <w:rsid w:val="009A3E0E"/>
    <w:rsid w:val="009A61EE"/>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2ADA"/>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2CB"/>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5F39"/>
    <w:rsid w:val="00A06825"/>
    <w:rsid w:val="00A06E9E"/>
    <w:rsid w:val="00A1036D"/>
    <w:rsid w:val="00A10A98"/>
    <w:rsid w:val="00A10B0E"/>
    <w:rsid w:val="00A10C1C"/>
    <w:rsid w:val="00A11AB2"/>
    <w:rsid w:val="00A12627"/>
    <w:rsid w:val="00A12A65"/>
    <w:rsid w:val="00A13493"/>
    <w:rsid w:val="00A13A09"/>
    <w:rsid w:val="00A1414A"/>
    <w:rsid w:val="00A14846"/>
    <w:rsid w:val="00A15A99"/>
    <w:rsid w:val="00A17267"/>
    <w:rsid w:val="00A1771A"/>
    <w:rsid w:val="00A2086E"/>
    <w:rsid w:val="00A20E9D"/>
    <w:rsid w:val="00A2120F"/>
    <w:rsid w:val="00A2178F"/>
    <w:rsid w:val="00A21FFA"/>
    <w:rsid w:val="00A22B10"/>
    <w:rsid w:val="00A23F52"/>
    <w:rsid w:val="00A24264"/>
    <w:rsid w:val="00A26217"/>
    <w:rsid w:val="00A3013F"/>
    <w:rsid w:val="00A3055E"/>
    <w:rsid w:val="00A30792"/>
    <w:rsid w:val="00A30B84"/>
    <w:rsid w:val="00A31DC8"/>
    <w:rsid w:val="00A3262A"/>
    <w:rsid w:val="00A329C8"/>
    <w:rsid w:val="00A3344B"/>
    <w:rsid w:val="00A33973"/>
    <w:rsid w:val="00A35436"/>
    <w:rsid w:val="00A35FF9"/>
    <w:rsid w:val="00A367AA"/>
    <w:rsid w:val="00A37880"/>
    <w:rsid w:val="00A400BF"/>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67327"/>
    <w:rsid w:val="00A70D6E"/>
    <w:rsid w:val="00A715F7"/>
    <w:rsid w:val="00A720CF"/>
    <w:rsid w:val="00A72192"/>
    <w:rsid w:val="00A72B07"/>
    <w:rsid w:val="00A73BB9"/>
    <w:rsid w:val="00A73D4A"/>
    <w:rsid w:val="00A743EB"/>
    <w:rsid w:val="00A7450E"/>
    <w:rsid w:val="00A74B4C"/>
    <w:rsid w:val="00A7552F"/>
    <w:rsid w:val="00A76236"/>
    <w:rsid w:val="00A763E7"/>
    <w:rsid w:val="00A77796"/>
    <w:rsid w:val="00A81862"/>
    <w:rsid w:val="00A8187F"/>
    <w:rsid w:val="00A8271E"/>
    <w:rsid w:val="00A827D2"/>
    <w:rsid w:val="00A847C3"/>
    <w:rsid w:val="00A855CF"/>
    <w:rsid w:val="00A85A01"/>
    <w:rsid w:val="00A86128"/>
    <w:rsid w:val="00A86D6A"/>
    <w:rsid w:val="00A86E2C"/>
    <w:rsid w:val="00A8766D"/>
    <w:rsid w:val="00A90F72"/>
    <w:rsid w:val="00A91E27"/>
    <w:rsid w:val="00A93DC3"/>
    <w:rsid w:val="00A9462E"/>
    <w:rsid w:val="00A94E45"/>
    <w:rsid w:val="00A950A5"/>
    <w:rsid w:val="00A978B6"/>
    <w:rsid w:val="00A97929"/>
    <w:rsid w:val="00AA05F8"/>
    <w:rsid w:val="00AA1167"/>
    <w:rsid w:val="00AA22BE"/>
    <w:rsid w:val="00AA44A3"/>
    <w:rsid w:val="00AA5C1D"/>
    <w:rsid w:val="00AA5C61"/>
    <w:rsid w:val="00AA5CBB"/>
    <w:rsid w:val="00AA5F9C"/>
    <w:rsid w:val="00AA6795"/>
    <w:rsid w:val="00AA69BF"/>
    <w:rsid w:val="00AA6CC7"/>
    <w:rsid w:val="00AA70B6"/>
    <w:rsid w:val="00AA7709"/>
    <w:rsid w:val="00AA7DA3"/>
    <w:rsid w:val="00AB0B18"/>
    <w:rsid w:val="00AB0B62"/>
    <w:rsid w:val="00AB192A"/>
    <w:rsid w:val="00AB20C0"/>
    <w:rsid w:val="00AB3045"/>
    <w:rsid w:val="00AB416F"/>
    <w:rsid w:val="00AB425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8C6"/>
    <w:rsid w:val="00AF5A72"/>
    <w:rsid w:val="00B00DCF"/>
    <w:rsid w:val="00B0112A"/>
    <w:rsid w:val="00B0112B"/>
    <w:rsid w:val="00B01501"/>
    <w:rsid w:val="00B020DA"/>
    <w:rsid w:val="00B0229E"/>
    <w:rsid w:val="00B02467"/>
    <w:rsid w:val="00B028A4"/>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4E9"/>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2E2F"/>
    <w:rsid w:val="00B42F7B"/>
    <w:rsid w:val="00B42FA1"/>
    <w:rsid w:val="00B4330A"/>
    <w:rsid w:val="00B444D1"/>
    <w:rsid w:val="00B44B44"/>
    <w:rsid w:val="00B44BB9"/>
    <w:rsid w:val="00B44BEE"/>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2CA"/>
    <w:rsid w:val="00B61819"/>
    <w:rsid w:val="00B62D22"/>
    <w:rsid w:val="00B6406F"/>
    <w:rsid w:val="00B6512D"/>
    <w:rsid w:val="00B652A4"/>
    <w:rsid w:val="00B656FE"/>
    <w:rsid w:val="00B65C4F"/>
    <w:rsid w:val="00B66035"/>
    <w:rsid w:val="00B667ED"/>
    <w:rsid w:val="00B67C63"/>
    <w:rsid w:val="00B67EDA"/>
    <w:rsid w:val="00B721AE"/>
    <w:rsid w:val="00B7366B"/>
    <w:rsid w:val="00B73746"/>
    <w:rsid w:val="00B7530C"/>
    <w:rsid w:val="00B75BEF"/>
    <w:rsid w:val="00B767ED"/>
    <w:rsid w:val="00B76922"/>
    <w:rsid w:val="00B772EE"/>
    <w:rsid w:val="00B77513"/>
    <w:rsid w:val="00B77F1B"/>
    <w:rsid w:val="00B80349"/>
    <w:rsid w:val="00B8063B"/>
    <w:rsid w:val="00B807B4"/>
    <w:rsid w:val="00B81D0F"/>
    <w:rsid w:val="00B8331B"/>
    <w:rsid w:val="00B83A51"/>
    <w:rsid w:val="00B83E7B"/>
    <w:rsid w:val="00B83F1F"/>
    <w:rsid w:val="00B84B22"/>
    <w:rsid w:val="00B84DE4"/>
    <w:rsid w:val="00B85573"/>
    <w:rsid w:val="00B86481"/>
    <w:rsid w:val="00B873AE"/>
    <w:rsid w:val="00B876EC"/>
    <w:rsid w:val="00B90D19"/>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421"/>
    <w:rsid w:val="00BB37C1"/>
    <w:rsid w:val="00BB3A55"/>
    <w:rsid w:val="00BB3AF7"/>
    <w:rsid w:val="00BB4097"/>
    <w:rsid w:val="00BB495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246"/>
    <w:rsid w:val="00C02717"/>
    <w:rsid w:val="00C02D8A"/>
    <w:rsid w:val="00C0325D"/>
    <w:rsid w:val="00C1014D"/>
    <w:rsid w:val="00C10B48"/>
    <w:rsid w:val="00C10C77"/>
    <w:rsid w:val="00C1211B"/>
    <w:rsid w:val="00C12284"/>
    <w:rsid w:val="00C129F3"/>
    <w:rsid w:val="00C14111"/>
    <w:rsid w:val="00C142B4"/>
    <w:rsid w:val="00C1585F"/>
    <w:rsid w:val="00C15B26"/>
    <w:rsid w:val="00C15C6A"/>
    <w:rsid w:val="00C16CAA"/>
    <w:rsid w:val="00C17044"/>
    <w:rsid w:val="00C1769B"/>
    <w:rsid w:val="00C17A76"/>
    <w:rsid w:val="00C20094"/>
    <w:rsid w:val="00C2260E"/>
    <w:rsid w:val="00C23477"/>
    <w:rsid w:val="00C23683"/>
    <w:rsid w:val="00C237F1"/>
    <w:rsid w:val="00C240FA"/>
    <w:rsid w:val="00C259DF"/>
    <w:rsid w:val="00C25DB3"/>
    <w:rsid w:val="00C26828"/>
    <w:rsid w:val="00C26C81"/>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3212"/>
    <w:rsid w:val="00C644EA"/>
    <w:rsid w:val="00C649E2"/>
    <w:rsid w:val="00C64EEF"/>
    <w:rsid w:val="00C65A95"/>
    <w:rsid w:val="00C6773B"/>
    <w:rsid w:val="00C677AD"/>
    <w:rsid w:val="00C6785F"/>
    <w:rsid w:val="00C67ABA"/>
    <w:rsid w:val="00C70714"/>
    <w:rsid w:val="00C70B4D"/>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4B64"/>
    <w:rsid w:val="00C8544C"/>
    <w:rsid w:val="00C85FA4"/>
    <w:rsid w:val="00C86443"/>
    <w:rsid w:val="00C866D0"/>
    <w:rsid w:val="00C8697D"/>
    <w:rsid w:val="00C86ABD"/>
    <w:rsid w:val="00C86F74"/>
    <w:rsid w:val="00C87097"/>
    <w:rsid w:val="00C91A43"/>
    <w:rsid w:val="00C92102"/>
    <w:rsid w:val="00C92A72"/>
    <w:rsid w:val="00C94CB5"/>
    <w:rsid w:val="00C9562F"/>
    <w:rsid w:val="00C95751"/>
    <w:rsid w:val="00C9679B"/>
    <w:rsid w:val="00C96BF2"/>
    <w:rsid w:val="00C96DFA"/>
    <w:rsid w:val="00C971BE"/>
    <w:rsid w:val="00C972F1"/>
    <w:rsid w:val="00C97966"/>
    <w:rsid w:val="00CA07CD"/>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4DAE"/>
    <w:rsid w:val="00CE5119"/>
    <w:rsid w:val="00CE692D"/>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FBA"/>
    <w:rsid w:val="00D0461E"/>
    <w:rsid w:val="00D04678"/>
    <w:rsid w:val="00D0477D"/>
    <w:rsid w:val="00D05789"/>
    <w:rsid w:val="00D070A6"/>
    <w:rsid w:val="00D076AE"/>
    <w:rsid w:val="00D07ABE"/>
    <w:rsid w:val="00D10C4D"/>
    <w:rsid w:val="00D115CF"/>
    <w:rsid w:val="00D11DE8"/>
    <w:rsid w:val="00D12B14"/>
    <w:rsid w:val="00D12B39"/>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57060"/>
    <w:rsid w:val="00D61100"/>
    <w:rsid w:val="00D61B08"/>
    <w:rsid w:val="00D623C0"/>
    <w:rsid w:val="00D62FA5"/>
    <w:rsid w:val="00D630B8"/>
    <w:rsid w:val="00D63208"/>
    <w:rsid w:val="00D6320E"/>
    <w:rsid w:val="00D633D2"/>
    <w:rsid w:val="00D63656"/>
    <w:rsid w:val="00D6423D"/>
    <w:rsid w:val="00D64E2D"/>
    <w:rsid w:val="00D65CD6"/>
    <w:rsid w:val="00D67943"/>
    <w:rsid w:val="00D67B5F"/>
    <w:rsid w:val="00D67CAD"/>
    <w:rsid w:val="00D704BD"/>
    <w:rsid w:val="00D706C3"/>
    <w:rsid w:val="00D707A3"/>
    <w:rsid w:val="00D70F4B"/>
    <w:rsid w:val="00D710CF"/>
    <w:rsid w:val="00D71D11"/>
    <w:rsid w:val="00D7226F"/>
    <w:rsid w:val="00D725C2"/>
    <w:rsid w:val="00D7608C"/>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91EA9"/>
    <w:rsid w:val="00D92EBC"/>
    <w:rsid w:val="00D93D43"/>
    <w:rsid w:val="00D944B2"/>
    <w:rsid w:val="00D94C7B"/>
    <w:rsid w:val="00D94DE4"/>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B26C7"/>
    <w:rsid w:val="00DB2B61"/>
    <w:rsid w:val="00DB34D6"/>
    <w:rsid w:val="00DB3C05"/>
    <w:rsid w:val="00DB3DBA"/>
    <w:rsid w:val="00DB4124"/>
    <w:rsid w:val="00DB5B6E"/>
    <w:rsid w:val="00DB678B"/>
    <w:rsid w:val="00DB6D98"/>
    <w:rsid w:val="00DC057E"/>
    <w:rsid w:val="00DC097D"/>
    <w:rsid w:val="00DC0FAE"/>
    <w:rsid w:val="00DC15A9"/>
    <w:rsid w:val="00DC1607"/>
    <w:rsid w:val="00DC17CF"/>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6911"/>
    <w:rsid w:val="00DD6D07"/>
    <w:rsid w:val="00DD7044"/>
    <w:rsid w:val="00DD7FF1"/>
    <w:rsid w:val="00DE010C"/>
    <w:rsid w:val="00DE0F02"/>
    <w:rsid w:val="00DE2301"/>
    <w:rsid w:val="00DE29AC"/>
    <w:rsid w:val="00DE2C99"/>
    <w:rsid w:val="00DE308B"/>
    <w:rsid w:val="00DE3CA7"/>
    <w:rsid w:val="00DE43CE"/>
    <w:rsid w:val="00DE4A3B"/>
    <w:rsid w:val="00DE4C21"/>
    <w:rsid w:val="00DE4C77"/>
    <w:rsid w:val="00DE5DA2"/>
    <w:rsid w:val="00DE65D0"/>
    <w:rsid w:val="00DE69CB"/>
    <w:rsid w:val="00DE78E2"/>
    <w:rsid w:val="00DF132B"/>
    <w:rsid w:val="00DF1937"/>
    <w:rsid w:val="00DF2015"/>
    <w:rsid w:val="00DF25DF"/>
    <w:rsid w:val="00DF2640"/>
    <w:rsid w:val="00DF2B94"/>
    <w:rsid w:val="00DF305C"/>
    <w:rsid w:val="00DF349B"/>
    <w:rsid w:val="00DF3AB4"/>
    <w:rsid w:val="00DF3AB5"/>
    <w:rsid w:val="00DF3ABC"/>
    <w:rsid w:val="00DF3E74"/>
    <w:rsid w:val="00DF590D"/>
    <w:rsid w:val="00DF6944"/>
    <w:rsid w:val="00DF7BC0"/>
    <w:rsid w:val="00E00CD3"/>
    <w:rsid w:val="00E01B9A"/>
    <w:rsid w:val="00E01EE3"/>
    <w:rsid w:val="00E0226B"/>
    <w:rsid w:val="00E02818"/>
    <w:rsid w:val="00E02E1A"/>
    <w:rsid w:val="00E02F7F"/>
    <w:rsid w:val="00E038A6"/>
    <w:rsid w:val="00E03BF2"/>
    <w:rsid w:val="00E060CF"/>
    <w:rsid w:val="00E0620E"/>
    <w:rsid w:val="00E062AC"/>
    <w:rsid w:val="00E06456"/>
    <w:rsid w:val="00E074E2"/>
    <w:rsid w:val="00E07A49"/>
    <w:rsid w:val="00E07B22"/>
    <w:rsid w:val="00E102AB"/>
    <w:rsid w:val="00E10736"/>
    <w:rsid w:val="00E10DAB"/>
    <w:rsid w:val="00E110D0"/>
    <w:rsid w:val="00E11669"/>
    <w:rsid w:val="00E119DF"/>
    <w:rsid w:val="00E11C18"/>
    <w:rsid w:val="00E11CA9"/>
    <w:rsid w:val="00E1312A"/>
    <w:rsid w:val="00E13E01"/>
    <w:rsid w:val="00E1409A"/>
    <w:rsid w:val="00E1449B"/>
    <w:rsid w:val="00E14907"/>
    <w:rsid w:val="00E15330"/>
    <w:rsid w:val="00E15813"/>
    <w:rsid w:val="00E15965"/>
    <w:rsid w:val="00E20065"/>
    <w:rsid w:val="00E20508"/>
    <w:rsid w:val="00E20579"/>
    <w:rsid w:val="00E207F0"/>
    <w:rsid w:val="00E20D7C"/>
    <w:rsid w:val="00E20E7D"/>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07B"/>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07A"/>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453"/>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6F8B"/>
    <w:rsid w:val="00E87122"/>
    <w:rsid w:val="00E87965"/>
    <w:rsid w:val="00E90E50"/>
    <w:rsid w:val="00E91000"/>
    <w:rsid w:val="00E926A5"/>
    <w:rsid w:val="00E93ED5"/>
    <w:rsid w:val="00E94AE8"/>
    <w:rsid w:val="00E94F65"/>
    <w:rsid w:val="00E96E30"/>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0D7B"/>
    <w:rsid w:val="00EB1ADA"/>
    <w:rsid w:val="00EB3927"/>
    <w:rsid w:val="00EB3D32"/>
    <w:rsid w:val="00EB46E1"/>
    <w:rsid w:val="00EB473F"/>
    <w:rsid w:val="00EB49CC"/>
    <w:rsid w:val="00EB7883"/>
    <w:rsid w:val="00EB7972"/>
    <w:rsid w:val="00EC0628"/>
    <w:rsid w:val="00EC13BB"/>
    <w:rsid w:val="00EC1820"/>
    <w:rsid w:val="00EC3E58"/>
    <w:rsid w:val="00EC48BE"/>
    <w:rsid w:val="00EC533C"/>
    <w:rsid w:val="00EC5A06"/>
    <w:rsid w:val="00EC6543"/>
    <w:rsid w:val="00EC69D1"/>
    <w:rsid w:val="00EC6B43"/>
    <w:rsid w:val="00EC6D3A"/>
    <w:rsid w:val="00EC7156"/>
    <w:rsid w:val="00EC74A8"/>
    <w:rsid w:val="00EC77F1"/>
    <w:rsid w:val="00EC78C3"/>
    <w:rsid w:val="00EC79EC"/>
    <w:rsid w:val="00EC7E2B"/>
    <w:rsid w:val="00ED005C"/>
    <w:rsid w:val="00ED0F23"/>
    <w:rsid w:val="00ED1206"/>
    <w:rsid w:val="00ED13C3"/>
    <w:rsid w:val="00ED18AB"/>
    <w:rsid w:val="00ED1C41"/>
    <w:rsid w:val="00ED20B6"/>
    <w:rsid w:val="00ED29C6"/>
    <w:rsid w:val="00ED2A6A"/>
    <w:rsid w:val="00ED315A"/>
    <w:rsid w:val="00ED377B"/>
    <w:rsid w:val="00ED441B"/>
    <w:rsid w:val="00ED545E"/>
    <w:rsid w:val="00ED5F1D"/>
    <w:rsid w:val="00ED7BC2"/>
    <w:rsid w:val="00EE0235"/>
    <w:rsid w:val="00EE03C2"/>
    <w:rsid w:val="00EE1D94"/>
    <w:rsid w:val="00EE1E04"/>
    <w:rsid w:val="00EE1FFA"/>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3F8"/>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4CA0"/>
    <w:rsid w:val="00F25B83"/>
    <w:rsid w:val="00F25F17"/>
    <w:rsid w:val="00F27A84"/>
    <w:rsid w:val="00F30AAD"/>
    <w:rsid w:val="00F3172E"/>
    <w:rsid w:val="00F3200A"/>
    <w:rsid w:val="00F324AC"/>
    <w:rsid w:val="00F32577"/>
    <w:rsid w:val="00F332F0"/>
    <w:rsid w:val="00F33863"/>
    <w:rsid w:val="00F33C79"/>
    <w:rsid w:val="00F33D9F"/>
    <w:rsid w:val="00F33DD2"/>
    <w:rsid w:val="00F33E24"/>
    <w:rsid w:val="00F34DAF"/>
    <w:rsid w:val="00F355B5"/>
    <w:rsid w:val="00F359DE"/>
    <w:rsid w:val="00F3644C"/>
    <w:rsid w:val="00F36987"/>
    <w:rsid w:val="00F37CBC"/>
    <w:rsid w:val="00F37E4A"/>
    <w:rsid w:val="00F41E00"/>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0851"/>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455"/>
    <w:rsid w:val="00FD63A1"/>
    <w:rsid w:val="00FD6E31"/>
    <w:rsid w:val="00FE044C"/>
    <w:rsid w:val="00FE1093"/>
    <w:rsid w:val="00FE16D2"/>
    <w:rsid w:val="00FE234C"/>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3"/>
      </w:numPr>
      <w:tabs>
        <w:tab w:val="left" w:pos="440"/>
        <w:tab w:val="right" w:leader="dot" w:pos="9063"/>
      </w:tabs>
      <w:spacing w:before="240"/>
      <w:ind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es-ES"/>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EC06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5C6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91E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1742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C122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C02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E038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F4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EC69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5E3A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1801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9A6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9">
    <w:name w:val="Table Grid209"/>
    <w:basedOn w:val="TableNormal"/>
    <w:next w:val="TableGrid"/>
    <w:rsid w:val="00E20D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A17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3C73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3A2E3A"/>
    <w:rPr>
      <w:color w:val="605E5C"/>
      <w:shd w:val="clear" w:color="auto" w:fill="E1DFDD"/>
    </w:rPr>
  </w:style>
  <w:style w:type="table" w:customStyle="1" w:styleId="TableGrid212">
    <w:name w:val="Table Grid212"/>
    <w:basedOn w:val="TableNormal"/>
    <w:next w:val="TableGrid"/>
    <w:rsid w:val="006C19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1A5E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4E71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1048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rsid w:val="000253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rsid w:val="00A148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A329C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EC48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rsid w:val="00B612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B612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012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3C2F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C26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5F1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8">
    <w:name w:val="Unresolved Mention8"/>
    <w:basedOn w:val="DefaultParagraphFont"/>
    <w:uiPriority w:val="99"/>
    <w:semiHidden/>
    <w:unhideWhenUsed/>
    <w:rsid w:val="004F1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https://www.eesc.europa.eu/es/our-work/opinions-information-reports/opinions/revision-de-la-directive-relative-au-comite-dentreprise-europeen" TargetMode="External"/><Relationship Id="rId39" Type="http://schemas.openxmlformats.org/officeDocument/2006/relationships/hyperlink" Target="mailto:Ioannis.Diamantopoulos@eesc.europa.eu" TargetMode="External"/><Relationship Id="rId21" Type="http://schemas.openxmlformats.org/officeDocument/2006/relationships/hyperlink" Target="mailto:Georgios.Meleas@eesc.europa.eu" TargetMode="External"/><Relationship Id="rId34" Type="http://schemas.openxmlformats.org/officeDocument/2006/relationships/hyperlink" Target="https://www.eesc.europa.eu/es/our-work/opinions-information-reports/opinions/plan-europeen-pour-vaincre-le-cancer-vers-un-approvisionnement-sur-en-radio-isotopes-usage-medical" TargetMode="External"/><Relationship Id="rId42" Type="http://schemas.openxmlformats.org/officeDocument/2006/relationships/hyperlink" Target="https://www.eesc.europa.eu/es/our-work/opinions-information-reports/opinions/european-defence-industrial-strategy" TargetMode="External"/><Relationship Id="rId47" Type="http://schemas.openxmlformats.org/officeDocument/2006/relationships/header" Target="header5.xml"/><Relationship Id="rId50" Type="http://schemas.openxmlformats.org/officeDocument/2006/relationships/header" Target="header6.xml"/><Relationship Id="rId55" Type="http://schemas.openxmlformats.org/officeDocument/2006/relationships/customXml" Target="../customXml/item2.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mailto:June.Bedaton@eesc.europa.eu" TargetMode="External"/><Relationship Id="rId11" Type="http://schemas.openxmlformats.org/officeDocument/2006/relationships/image" Target="media/image1.jpeg"/><Relationship Id="rId24" Type="http://schemas.openxmlformats.org/officeDocument/2006/relationships/hyperlink" Target="https://www.eesc.europa.eu/es/our-work/opinions-information-reports/opinions/vaccine-preventable-cancers" TargetMode="External"/><Relationship Id="rId32" Type="http://schemas.openxmlformats.org/officeDocument/2006/relationships/hyperlink" Target="https://www.eesc.europa.eu/es/our-work/opinions-information-reports/opinions/revision-animal-welfare-legislation" TargetMode="External"/><Relationship Id="rId37" Type="http://schemas.openxmlformats.org/officeDocument/2006/relationships/hyperlink" Target="mailto:Ioannis.Diamantopoulos@eesc.europa.eu" TargetMode="External"/><Relationship Id="rId40" Type="http://schemas.openxmlformats.org/officeDocument/2006/relationships/hyperlink" Target="https://www.eesc.europa.eu/es/our-work/opinions-information-reports/opinions/communication-sur-la-gestion-industrielle-du-carbone" TargetMode="External"/><Relationship Id="rId45" Type="http://schemas.openxmlformats.org/officeDocument/2006/relationships/hyperlink" Target="mailto:Heli.Niemela-Farrer@eesc.europa.eu"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Judit.CarrerasGarcia@eesc.europa.eu" TargetMode="External"/><Relationship Id="rId44" Type="http://schemas.openxmlformats.org/officeDocument/2006/relationships/hyperlink" Target="https://www.eesc.europa.eu/es/our-work/opinions-information-reports/opinions/industrial-and-technological-approaches-and-best-practices-supporting-water-resilient-society" TargetMode="External"/><Relationship Id="rId52"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esc.europa.eu/es/our-work/opinions-information-reports/opinions/ninth-report-economic-social-and-territorial-cohesion" TargetMode="External"/><Relationship Id="rId27" Type="http://schemas.openxmlformats.org/officeDocument/2006/relationships/hyperlink" Target="mailto:Bartek.Bednarowicz@eesc.europa.eu" TargetMode="External"/><Relationship Id="rId30" Type="http://schemas.openxmlformats.org/officeDocument/2006/relationships/hyperlink" Target="https://www.eesc.europa.eu/es/our-work/opinions-information-reports/opinions/eu-climate-target-2040" TargetMode="External"/><Relationship Id="rId35" Type="http://schemas.openxmlformats.org/officeDocument/2006/relationships/hyperlink" Target="mailto:Maja.Radman@eesc.europa.eu" TargetMode="External"/><Relationship Id="rId43" Type="http://schemas.openxmlformats.org/officeDocument/2006/relationships/hyperlink" Target="mailto:Ioannis.Diamantopoulos@eesc.europa.eu" TargetMode="External"/><Relationship Id="rId48" Type="http://schemas.openxmlformats.org/officeDocument/2006/relationships/footer" Target="footer4.xml"/><Relationship Id="rId56" Type="http://schemas.openxmlformats.org/officeDocument/2006/relationships/customXml" Target="../customXml/item3.xml"/><Relationship Id="rId8" Type="http://schemas.openxmlformats.org/officeDocument/2006/relationships/webSettings" Target="webSettings.xml"/><Relationship Id="rId51" Type="http://schemas.openxmlformats.org/officeDocument/2006/relationships/footer" Target="footer6.xml"/><Relationship Id="rId12" Type="http://schemas.openxmlformats.org/officeDocument/2006/relationships/hyperlink" Target="https://www.eesc.europa.eu/es/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Valeria.Atzori@eesc.europa.eu" TargetMode="External"/><Relationship Id="rId33" Type="http://schemas.openxmlformats.org/officeDocument/2006/relationships/hyperlink" Target="mailto:Arturo.Iniguez@eesc.europa.eu" TargetMode="External"/><Relationship Id="rId38" Type="http://schemas.openxmlformats.org/officeDocument/2006/relationships/hyperlink" Target="https://www.eesc.europa.eu/es/our-work/opinions-information-reports/opinions/drone-manufacturing-industry-case-study-assess-outcome-strategic-sector-different-policies-place-enhance-european" TargetMode="External"/><Relationship Id="rId46" Type="http://schemas.openxmlformats.org/officeDocument/2006/relationships/header" Target="header4.xml"/><Relationship Id="rId20" Type="http://schemas.openxmlformats.org/officeDocument/2006/relationships/hyperlink" Target="https://www.eesc.europa.eu/es/our-work/opinions-information-reports/opinions/role-cohesion-policy-upcoming-rounds-eu-enlargement" TargetMode="External"/><Relationship Id="rId41" Type="http://schemas.openxmlformats.org/officeDocument/2006/relationships/hyperlink" Target="mailto:Adam.Dorywalski@eesc.europa.eu" TargetMode="External"/><Relationship Id="rId54"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mailto:Georgios.Meleas@eesc.europa.eu" TargetMode="External"/><Relationship Id="rId28" Type="http://schemas.openxmlformats.org/officeDocument/2006/relationships/hyperlink" Target="https://www.eesc.europa.eu/es/our-work/opinions-information-reports/opinions/no-place-hate-europe-united-against-hatred" TargetMode="External"/><Relationship Id="rId36" Type="http://schemas.openxmlformats.org/officeDocument/2006/relationships/hyperlink" Target="https://www.eesc.europa.eu/es/our-work/opinions-information-reports/opinions/european-defence-industry-programme" TargetMode="External"/><Relationship Id="rId49" Type="http://schemas.openxmlformats.org/officeDocument/2006/relationships/footer" Target="footer5.xml"/><Relationship Id="rId5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F7M6YNZUATRX-917472228-5947</_dlc_DocId>
    <_dlc_DocIdUrl xmlns="59ace41b-6786-4ce3-be71-52c27066c6ef">
      <Url>http://dm/eesc/2024/_layouts/15/DocIdRedir.aspx?ID=F7M6YNZUATRX-917472228-5947</Url>
      <Description>F7M6YNZUATRX-917472228-5947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2024-06-19T12:00:00+00:00</ProductionDate>
    <DocumentNumber xmlns="14d11ec3-fd82-4994-a217-1a91de9b2d2a">1704</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2024-07-10T12:00:00+00:00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6412</FicheNumber>
    <OriginalSender xmlns="59ace41b-6786-4ce3-be71-52c27066c6ef">
      <UserInfo>
        <DisplayName>Navarro Anna</DisplayName>
        <AccountId>1974</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589</MeetingNumber>
    <DossierName_0 xmlns="http://schemas.microsoft.com/sharepoint/v3/fields">
      <Terms xmlns="http://schemas.microsoft.com/office/infopath/2007/PartnerControls"/>
    </DossierName_0>
    <DocumentVersion xmlns="59ace41b-6786-4ce3-be71-52c27066c6ef">0</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6E04C-6B49-4DFC-B5C4-41AA15B94548}"/>
</file>

<file path=customXml/itemProps2.xml><?xml version="1.0" encoding="utf-8"?>
<ds:datastoreItem xmlns:ds="http://schemas.openxmlformats.org/officeDocument/2006/customXml" ds:itemID="{D3E66708-B478-41F8-9D5A-AC55620C61D0}"/>
</file>

<file path=customXml/itemProps3.xml><?xml version="1.0" encoding="utf-8"?>
<ds:datastoreItem xmlns:ds="http://schemas.openxmlformats.org/officeDocument/2006/customXml" ds:itemID="{429079EB-2A5B-492E-856E-3428EEEA6214}"/>
</file>

<file path=customXml/itemProps4.xml><?xml version="1.0" encoding="utf-8"?>
<ds:datastoreItem xmlns:ds="http://schemas.openxmlformats.org/officeDocument/2006/customXml" ds:itemID="{D894623C-2E65-463E-A886-65F6C49A268C}"/>
</file>

<file path=docProps/app.xml><?xml version="1.0" encoding="utf-8"?>
<Properties xmlns="http://schemas.openxmlformats.org/officeDocument/2006/extended-properties" xmlns:vt="http://schemas.openxmlformats.org/officeDocument/2006/docPropsVTypes">
  <Template>Normal.dotm</Template>
  <TotalTime>0</TotalTime>
  <Pages>19</Pages>
  <Words>6105</Words>
  <Characters>34801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Summary of opinions - 587th plenary session - April 2024</vt:lpstr>
    </vt:vector>
  </TitlesOfParts>
  <Company>CESE-CdR</Company>
  <LinksUpToDate>false</LinksUpToDate>
  <CharactersWithSpaces>40825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Síntesis de los Dictámenes - 588.o pleno - mayo de 2024</dc:title>
  <dc:subject>TCD</dc:subject>
  <dc:creator>Nieddu Emma</dc:creator>
  <cp:keywords>EESC-2024-01704-00-00-TCD-TRA-EN</cp:keywords>
  <dc:description>Rapporteur:  - Original language: EN - Date of document: 19/06/2024 - Date of meeting: 30/10/2024 14:30 - External documents:  - Administrator: MME TAMASAUSKIENE Julija</dc:description>
  <cp:lastModifiedBy>Navarro Anna</cp:lastModifiedBy>
  <cp:revision>9</cp:revision>
  <cp:lastPrinted>2023-06-15T08:00:00Z</cp:lastPrinted>
  <dcterms:created xsi:type="dcterms:W3CDTF">2024-06-17T15:45:00Z</dcterms:created>
  <dcterms:modified xsi:type="dcterms:W3CDTF">2024-06-19T07:02:00Z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14/06/2024, 17/05/2024, 13/05/2024, 09/04/2024, 27/03/2024, 03/01/2024, 13/11/2023, 25/09/2023, 25/07/2023, 30/06/2023, 23/06/2023, 26/05/2023, 07/03/2023, 11/01/2023, 10/01/2023, 29/03/2022, 04/03/2022, 15/12/2021, 13/09/2021, 03/09/2021, 28/06/2021</vt:lpwstr>
  </property>
  <property fmtid="{D5CDD505-2E9C-101B-9397-08002B2CF9AE}" pid="4" name="Pref_Time">
    <vt:lpwstr>16:44:05, 13:50:35, 15:20:37, 17:11:40, 12:24:19, 15:02:18, 17:01:12, 16:07:19, 11:58:41, 14:00:08, 12:39:02, 15:12:50, 10:27:54, 10:12:15, 11:41:25, 14:21:50, 16:54:06, 17:56:36, 14:13:00, 10:08:10, 08:41:48</vt:lpwstr>
  </property>
  <property fmtid="{D5CDD505-2E9C-101B-9397-08002B2CF9AE}" pid="5" name="Pref_User">
    <vt:lpwstr>pacup, pacup, jhvi, jhvi, pacup, enied, amett, amett, jhvi, pacup, jhvi, pacup, enied, pacup, enied, jhvi, enied, hnic, amett, enied, enied</vt:lpwstr>
  </property>
  <property fmtid="{D5CDD505-2E9C-101B-9397-08002B2CF9AE}" pid="6" name="Pref_FileName">
    <vt:lpwstr>EESC-2024-01704-00-00-TCD-TRA.docx, EESC-2024-01233-00-01-TCD-TRA.docx, eesc-2024-01233-00-00-tcd-ori.docx, EESC-2024-00740-00-01-TCD-ORI.docx, EESC-2024-00740-00-00-TCD-TRA.docx, EESC-2023-04915-00-00-TCD-ORI.docx, EESC-2023-04201-00-00-TCD-ORI.docx, EES</vt:lpwstr>
  </property>
  <property fmtid="{D5CDD505-2E9C-101B-9397-08002B2CF9AE}" pid="7" name="ContentTypeId">
    <vt:lpwstr>0x010100EA97B91038054C99906057A708A1480A00C3F19A95DDE2574C950D6652ED703BFE</vt:lpwstr>
  </property>
  <property fmtid="{D5CDD505-2E9C-101B-9397-08002B2CF9AE}" pid="8" name="_dlc_DocIdItemGuid">
    <vt:lpwstr>c1ab167b-9eae-4556-9b8c-48215f2e425b</vt:lpwstr>
  </property>
  <property fmtid="{D5CDD505-2E9C-101B-9397-08002B2CF9AE}" pid="9" name="AvailableTranslations">
    <vt:lpwstr>5;#EN|f2175f21-25d7-44a3-96da-d6a61b075e1b;#37;#RO|feb747a2-64cd-4299-af12-4833ddc30497;#31;#NL|55c6556c-b4f4-441d-9acf-c498d4f838bd;#12;#IT|0774613c-01ed-4e5d-a25d-11d2388de825;#21;#SV|c2ed69e7-a339-43d7-8f22-d93680a92aa0;#24;#ES|e7a6b05b-ae16-40c8-add9-68b64b03aeba;#25;#DE|f6b31e5a-26fa-4935-b661-318e46daf27e;#28;#LV|46f7e311-5d9f-4663-b433-18aeccb7ace7;#43;#CS|72f9705b-0217-4fd3-bea2-cbc7ed80e26e;#30;#HR|2f555653-ed1a-4fe6-8362-9082d95989e5;#35;#FI|87606a43-d45f-42d6-b8c9-e1a3457db5b7;#36;#PT|50ccc04a-eadd-42ae-a0cb-acaf45f812ba;#22;#BG|1a1b3951-7821-4e6a-85f5-5673fc08bd2c;#33;#ET|ff6c3f4c-b02c-4c3c-ab07-2c37995a7a0a;#14;#FR|d2afafd3-4c81-4f60-8f52-ee33f2f54ff3;#29;#EL|6d4f4d51-af9b-4650-94b4-4276bee85c91;#16;#DA|5d49c027-8956-412b-aa16-e85a0f96ad0e;#27;#SL|98a412ae-eb01-49e9-ae3d-585a81724cfc;#26;#SK|46d9fce0-ef79-4f71-b89b-cd6aa82426b8;#34;#LT|a7ff5ce7-6123-4f68-865a-a57c31810414;#32;#HU|6b229040-c589-4408-b4c1-4285663d20a8;#17;#PL|1e03da61-4678-4e07-b136-b5024ca9197b</vt:lpwstr>
  </property>
  <property fmtid="{D5CDD505-2E9C-101B-9397-08002B2CF9AE}" pid="10" name="DocumentType_0">
    <vt:lpwstr>TCD|cd9d6eb6-3f4f-424a-b2d1-57c9d450eaaf</vt:lpwstr>
  </property>
  <property fmtid="{D5CDD505-2E9C-101B-9397-08002B2CF9AE}" pid="11" name="MeetingNumber">
    <vt:i4>589</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1704</vt:i4>
  </property>
  <property fmtid="{D5CDD505-2E9C-101B-9397-08002B2CF9AE}" pid="15" name="DocumentVersion">
    <vt:i4>0</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2024-07-10T12:00:00Z</vt:filetime>
  </property>
  <property fmtid="{D5CDD505-2E9C-101B-9397-08002B2CF9AE}" pid="29" name="AvailableTranslations_0">
    <vt:lpwstr>EN|f2175f21-25d7-44a3-96da-d6a61b075e1b;SV|c2ed69e7-a339-43d7-8f22-d93680a92aa0;DE|f6b31e5a-26fa-4935-b661-318e46daf27e;PT|50ccc04a-eadd-42ae-a0cb-acaf45f812ba;EL|6d4f4d51-af9b-4650-94b4-4276bee85c91;SL|98a412ae-eb01-49e9-ae3d-585a81724cfc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29;#EL|6d4f4d51-af9b-4650-94b4-4276bee85c91;#13;#TCD|cd9d6eb6-3f4f-424a-b2d1-57c9d450eaaf;#36;#PT|50ccc04a-eadd-42ae-a0cb-acaf45f812ba;#27;#SL|98a412ae-eb01-49e9-ae3d-585a81724cfc;#8;#Final|ea5e6674-7b27-4bac-b091-73adbb394efe;#7;#SPL-CES|32d8cb1f-c9ec-4365-95c7-8385a18618ac;#6;#Unrestricted|826e22d7-d029-4ec0-a450-0c28ff673572;#5;#EN|f2175f21-25d7-44a3-96da-d6a61b075e1b;#21;#SV|c2ed69e7-a339-43d7-8f22-d93680a92aa0;#3;#TRA|150d2a88-1431-44e6-a8ca-0bb753ab8672;#25;#DE|f6b31e5a-26fa-4935-b661-318e46daf27e;#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6412</vt:i4>
  </property>
  <property fmtid="{D5CDD505-2E9C-101B-9397-08002B2CF9AE}" pid="37" name="DocumentLanguage">
    <vt:lpwstr>24;#ES|e7a6b05b-ae16-40c8-add9-68b64b03aeba</vt:lpwstr>
  </property>
  <property fmtid="{D5CDD505-2E9C-101B-9397-08002B2CF9AE}" pid="38" name="_docset_NoMedatataSyncRequired">
    <vt:lpwstr>False</vt:lpwstr>
  </property>
</Properties>
</file>