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4B6B" w:rsidR="004D7AC0" w:rsidP="00775FC4" w:rsidRDefault="00721342" w14:paraId="785AE44C" w14:textId="7F4C1373">
      <w:pPr>
        <w:jc w:val="center"/>
      </w:pPr>
      <w:bookmarkStart w:name="_GoBack" w:id="0"/>
      <w:bookmarkEnd w:id="0"/>
      <w:r w:rsidRPr="00094B6B">
        <w:rPr>
          <w:noProof/>
          <w:lang w:val="en-US"/>
        </w:rPr>
        <w:drawing>
          <wp:inline distT="0" distB="0" distL="0" distR="0" wp14:anchorId="3B94C99A" wp14:editId="5606DACE">
            <wp:extent cx="1792605" cy="1239520"/>
            <wp:effectExtent l="0" t="0" r="0" b="0"/>
            <wp:docPr id="1" name="Picture 1" title="EESC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094B6B" w:rsidR="004D7AC0">
        <w:rPr>
          <w:noProof/>
          <w:sz w:val="20"/>
          <w:lang w:val="en-US"/>
        </w:rPr>
        <mc:AlternateContent>
          <mc:Choice Requires="wps">
            <w:drawing>
              <wp:anchor distT="0" distB="0" distL="114300" distR="114300" simplePos="0" relativeHeight="251656704" behindDoc="1" locked="0" layoutInCell="0" allowOverlap="1" wp14:editId="6C555E82"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1CB6A09A">
      <w:pPr>
        <w:jc w:val="right"/>
      </w:pPr>
      <w:r w:rsidRPr="00AA5F9C">
        <w:t xml:space="preserve">Brussels, </w:t>
      </w:r>
      <w:r w:rsidR="005C28F2">
        <w:t>21 June</w:t>
      </w:r>
      <w:r w:rsidR="005B5D8B">
        <w:t xml:space="preserve"> </w:t>
      </w:r>
      <w:r w:rsidRPr="00AA5F9C" w:rsidR="00B34E93">
        <w:t>202</w:t>
      </w:r>
      <w:r w:rsidRPr="00AA5F9C" w:rsidR="00ED005C">
        <w:t>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253BFDFA">
            <w:pPr>
              <w:snapToGrid w:val="0"/>
              <w:jc w:val="center"/>
              <w:rPr>
                <w:b/>
                <w:sz w:val="32"/>
              </w:rPr>
            </w:pPr>
            <w:r w:rsidRPr="00094B6B">
              <w:rPr>
                <w:b/>
                <w:sz w:val="32"/>
              </w:rPr>
              <w:t>5</w:t>
            </w:r>
            <w:r w:rsidRPr="00094B6B" w:rsidR="00BC376C">
              <w:rPr>
                <w:b/>
                <w:sz w:val="32"/>
              </w:rPr>
              <w:t>8</w:t>
            </w:r>
            <w:r w:rsidR="005E7838">
              <w:rPr>
                <w:b/>
                <w:sz w:val="32"/>
              </w:rPr>
              <w:t>8</w:t>
            </w:r>
            <w:r w:rsidR="00F33E24">
              <w:rPr>
                <w:b/>
                <w:sz w:val="32"/>
              </w:rPr>
              <w:t>th</w:t>
            </w:r>
            <w:r w:rsidRPr="00094B6B" w:rsidR="00884879">
              <w:rPr>
                <w:b/>
                <w:sz w:val="32"/>
              </w:rPr>
              <w:t xml:space="preserve"> PLENARY SESSION</w:t>
            </w:r>
          </w:p>
          <w:p w:rsidRPr="00094B6B" w:rsidR="001760E9" w:rsidP="00775FC4" w:rsidRDefault="001760E9" w14:paraId="6C87A626" w14:textId="0AE2882C">
            <w:pPr>
              <w:snapToGrid w:val="0"/>
              <w:jc w:val="center"/>
              <w:rPr>
                <w:b/>
                <w:sz w:val="32"/>
              </w:rPr>
            </w:pPr>
          </w:p>
          <w:p w:rsidRPr="00094B6B" w:rsidR="001760E9" w:rsidP="00775FC4" w:rsidRDefault="005E7838" w14:paraId="6CF7229C" w14:textId="2B692ED4">
            <w:pPr>
              <w:snapToGrid w:val="0"/>
              <w:jc w:val="center"/>
              <w:rPr>
                <w:b/>
                <w:sz w:val="32"/>
              </w:rPr>
            </w:pPr>
            <w:r>
              <w:rPr>
                <w:b/>
                <w:sz w:val="32"/>
              </w:rPr>
              <w:t>30</w:t>
            </w:r>
            <w:r w:rsidRPr="00AA5F9C" w:rsidR="00025304">
              <w:rPr>
                <w:b/>
                <w:sz w:val="32"/>
              </w:rPr>
              <w:t xml:space="preserve"> </w:t>
            </w:r>
            <w:r w:rsidRPr="00AA5F9C" w:rsidR="006E6434">
              <w:rPr>
                <w:b/>
                <w:sz w:val="32"/>
              </w:rPr>
              <w:t>and</w:t>
            </w:r>
            <w:r w:rsidRPr="00AA5F9C" w:rsidR="00884879">
              <w:rPr>
                <w:b/>
                <w:sz w:val="32"/>
              </w:rPr>
              <w:t xml:space="preserve"> </w:t>
            </w:r>
            <w:r>
              <w:rPr>
                <w:b/>
                <w:sz w:val="32"/>
              </w:rPr>
              <w:t>31</w:t>
            </w:r>
            <w:r w:rsidRPr="00AA5F9C" w:rsidR="00FC0102">
              <w:rPr>
                <w:b/>
                <w:sz w:val="32"/>
              </w:rPr>
              <w:t xml:space="preserve"> </w:t>
            </w:r>
            <w:r>
              <w:rPr>
                <w:b/>
                <w:sz w:val="32"/>
              </w:rPr>
              <w:t xml:space="preserve">May </w:t>
            </w:r>
            <w:r w:rsidRPr="00AA5F9C" w:rsidR="00670347">
              <w:rPr>
                <w:b/>
                <w:sz w:val="32"/>
              </w:rPr>
              <w:t>202</w:t>
            </w:r>
            <w:r w:rsidRPr="00AA5F9C" w:rsidR="00F33E24">
              <w:rPr>
                <w:b/>
                <w:sz w:val="32"/>
              </w:rPr>
              <w:t>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sidRPr="00094B6B">
              <w:rPr>
                <w:b/>
                <w:sz w:val="32"/>
              </w:rPr>
              <w:t>SUMMARY OF</w:t>
            </w:r>
            <w:r w:rsidRPr="00094B6B" w:rsidR="004047A6">
              <w:rPr>
                <w:b/>
                <w:sz w:val="32"/>
              </w:rPr>
              <w:t xml:space="preserve"> ADOPTED</w:t>
            </w:r>
            <w:r w:rsidRPr="00094B6B">
              <w:rPr>
                <w:b/>
                <w:sz w:val="32"/>
              </w:rPr>
              <w:t xml:space="preserve"> OPINIONS</w:t>
            </w:r>
            <w:r w:rsidRPr="00094B6B" w:rsidR="004047A6">
              <w:rPr>
                <w:b/>
                <w:sz w:val="32"/>
              </w:rPr>
              <w:t xml:space="preserve">, </w:t>
            </w:r>
            <w:r w:rsidRPr="00094B6B">
              <w:rPr>
                <w:b/>
                <w:sz w:val="32"/>
              </w:rPr>
              <w:t>RESOLUTIONS AND</w:t>
            </w:r>
            <w:r w:rsidRPr="00094B6B" w:rsidR="00585857">
              <w:rPr>
                <w:b/>
                <w:sz w:val="32"/>
              </w:rPr>
              <w:t xml:space="preserve"> </w:t>
            </w:r>
            <w:r w:rsidRPr="00094B6B">
              <w:rPr>
                <w:b/>
                <w:sz w:val="32"/>
              </w:rPr>
              <w:t>INFORMATION</w:t>
            </w:r>
            <w:r w:rsidRPr="00094B6B" w:rsidR="00886448">
              <w:rPr>
                <w:b/>
                <w:sz w:val="32"/>
              </w:rPr>
              <w:t xml:space="preserve"> / EVALUATION</w:t>
            </w:r>
            <w:r w:rsidRPr="00094B6B">
              <w:rPr>
                <w:b/>
                <w:sz w:val="32"/>
              </w:rPr>
              <w:t xml:space="preserve"> REPORTS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rsidRPr="00094B6B">
              <w:t>This document is available in the official languages on the EESC website at:</w:t>
            </w:r>
          </w:p>
          <w:p w:rsidRPr="00094B6B" w:rsidR="00B16284" w:rsidP="00775FC4" w:rsidRDefault="00B16284" w14:paraId="4F26A4CE" w14:textId="77777777">
            <w:pPr>
              <w:snapToGrid w:val="0"/>
              <w:jc w:val="center"/>
            </w:pPr>
          </w:p>
          <w:p w:rsidRPr="00094B6B" w:rsidR="004D7AC0" w:rsidP="00775FC4" w:rsidRDefault="0015356A" w14:paraId="2A9352A2" w14:textId="0680ADB6">
            <w:pPr>
              <w:snapToGrid w:val="0"/>
              <w:jc w:val="center"/>
            </w:pPr>
            <w:hyperlink w:history="1" r:id="rId12">
              <w:r w:rsidRPr="00094B6B" w:rsidR="004D7AC0">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rsidRPr="00094B6B">
              <w:t>The opinions listed can be consulted online using the EESC search engine:</w:t>
            </w:r>
          </w:p>
          <w:p w:rsidRPr="00094B6B" w:rsidR="00B16284" w:rsidP="00775FC4" w:rsidRDefault="00B16284" w14:paraId="7A5411A5" w14:textId="77777777">
            <w:pPr>
              <w:snapToGrid w:val="0"/>
              <w:jc w:val="center"/>
            </w:pPr>
          </w:p>
          <w:p w:rsidRPr="00094B6B" w:rsidR="004D7AC0" w:rsidP="00775FC4" w:rsidRDefault="0015356A" w14:paraId="441AC4DD" w14:textId="1194D751">
            <w:pPr>
              <w:snapToGrid w:val="0"/>
              <w:jc w:val="center"/>
            </w:pPr>
            <w:hyperlink w:history="1" r:id="rId13">
              <w:r w:rsidRPr="00094B6B" w:rsidR="004D7AC0">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C28F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eastAsiaTheme="majorEastAsia" w:cstheme="majorBidi"/>
          <w:color w:val="2E74B5" w:themeColor="accent1" w:themeShade="BF"/>
          <w:sz w:val="32"/>
          <w:szCs w:val="32"/>
        </w:rPr>
        <w:lastRenderedPageBreak/>
        <w:t>Contents</w:t>
      </w:r>
    </w:p>
    <w:p w:rsidR="00375E65" w:rsidRDefault="008772F9" w14:paraId="6A98B96F" w14:textId="04F8C987">
      <w:pPr>
        <w:pStyle w:val="TOC1"/>
        <w:rPr>
          <w:rFonts w:asciiTheme="minorHAnsi" w:hAnsiTheme="minorHAnsi" w:eastAsiaTheme="minorEastAsia" w:cstheme="minorBidi"/>
          <w:bCs w:val="0"/>
          <w:sz w:val="22"/>
          <w:szCs w:val="22"/>
          <w:lang w:val="fr-BE" w:eastAsia="fr-BE"/>
        </w:rPr>
      </w:pPr>
      <w:r>
        <w:fldChar w:fldCharType="begin"/>
      </w:r>
      <w:r>
        <w:instrText xml:space="preserve"> TOC \o "1-1" \h \z \u </w:instrText>
      </w:r>
      <w:r>
        <w:fldChar w:fldCharType="separate"/>
      </w:r>
      <w:hyperlink w:history="1" w:anchor="_Toc168332490">
        <w:r w:rsidRPr="007A7551" w:rsidR="00375E65">
          <w:rPr>
            <w:rStyle w:val="Hyperlink"/>
            <w14:scene3d>
              <w14:camera w14:prst="orthographicFront"/>
              <w14:lightRig w14:rig="threePt" w14:dir="t">
                <w14:rot w14:lat="0" w14:lon="0" w14:rev="0"/>
              </w14:lightRig>
            </w14:scene3d>
          </w:rPr>
          <w:t>1.</w:t>
        </w:r>
        <w:r w:rsidR="00375E65">
          <w:rPr>
            <w:rFonts w:asciiTheme="minorHAnsi" w:hAnsiTheme="minorHAnsi" w:eastAsiaTheme="minorEastAsia" w:cstheme="minorBidi"/>
            <w:bCs w:val="0"/>
            <w:sz w:val="22"/>
            <w:szCs w:val="22"/>
            <w:lang w:val="fr-BE" w:eastAsia="fr-BE"/>
          </w:rPr>
          <w:tab/>
        </w:r>
        <w:r w:rsidRPr="007A7551" w:rsidR="00375E65">
          <w:rPr>
            <w:rStyle w:val="Hyperlink"/>
            <w:b/>
          </w:rPr>
          <w:t>ECONOMIC AND MONETARY UNION, ECONOMIC AND SOCIAL COHESION</w:t>
        </w:r>
        <w:r w:rsidR="00375E65">
          <w:rPr>
            <w:webHidden/>
          </w:rPr>
          <w:tab/>
        </w:r>
        <w:r w:rsidR="00375E65">
          <w:rPr>
            <w:webHidden/>
          </w:rPr>
          <w:fldChar w:fldCharType="begin"/>
        </w:r>
        <w:r w:rsidR="00375E65">
          <w:rPr>
            <w:webHidden/>
          </w:rPr>
          <w:instrText xml:space="preserve"> PAGEREF _Toc168332490 \h </w:instrText>
        </w:r>
        <w:r w:rsidR="00375E65">
          <w:rPr>
            <w:webHidden/>
          </w:rPr>
        </w:r>
        <w:r w:rsidR="00375E65">
          <w:rPr>
            <w:webHidden/>
          </w:rPr>
          <w:fldChar w:fldCharType="separate"/>
        </w:r>
        <w:r w:rsidR="005C28F2">
          <w:rPr>
            <w:webHidden/>
          </w:rPr>
          <w:t>3</w:t>
        </w:r>
        <w:r w:rsidR="00375E65">
          <w:rPr>
            <w:webHidden/>
          </w:rPr>
          <w:fldChar w:fldCharType="end"/>
        </w:r>
      </w:hyperlink>
    </w:p>
    <w:p w:rsidR="00375E65" w:rsidRDefault="005C28F2" w14:paraId="000EB4EA" w14:textId="5732D0BC">
      <w:pPr>
        <w:pStyle w:val="TOC1"/>
        <w:rPr>
          <w:rFonts w:asciiTheme="minorHAnsi" w:hAnsiTheme="minorHAnsi" w:eastAsiaTheme="minorEastAsia" w:cstheme="minorBidi"/>
          <w:bCs w:val="0"/>
          <w:sz w:val="22"/>
          <w:szCs w:val="22"/>
          <w:lang w:val="fr-BE" w:eastAsia="fr-BE"/>
        </w:rPr>
      </w:pPr>
      <w:hyperlink w:history="1" w:anchor="_Toc168332491">
        <w:r w:rsidRPr="007A7551" w:rsidR="00375E65">
          <w:rPr>
            <w:rStyle w:val="Hyperlink"/>
            <w14:scene3d>
              <w14:camera w14:prst="orthographicFront"/>
              <w14:lightRig w14:rig="threePt" w14:dir="t">
                <w14:rot w14:lat="0" w14:lon="0" w14:rev="0"/>
              </w14:lightRig>
            </w14:scene3d>
          </w:rPr>
          <w:t>2.</w:t>
        </w:r>
        <w:r w:rsidR="00375E65">
          <w:rPr>
            <w:rFonts w:asciiTheme="minorHAnsi" w:hAnsiTheme="minorHAnsi" w:eastAsiaTheme="minorEastAsia" w:cstheme="minorBidi"/>
            <w:bCs w:val="0"/>
            <w:sz w:val="22"/>
            <w:szCs w:val="22"/>
            <w:lang w:val="fr-BE" w:eastAsia="fr-BE"/>
          </w:rPr>
          <w:tab/>
        </w:r>
        <w:r w:rsidRPr="007A7551" w:rsidR="00375E65">
          <w:rPr>
            <w:rStyle w:val="Hyperlink"/>
            <w:b/>
          </w:rPr>
          <w:t>EMPLOYMENT, SOCIAL AFFAIRS AND CITIZENSHIP</w:t>
        </w:r>
        <w:r w:rsidR="00375E65">
          <w:rPr>
            <w:webHidden/>
          </w:rPr>
          <w:tab/>
        </w:r>
        <w:r w:rsidR="00375E65">
          <w:rPr>
            <w:webHidden/>
          </w:rPr>
          <w:fldChar w:fldCharType="begin"/>
        </w:r>
        <w:r w:rsidR="00375E65">
          <w:rPr>
            <w:webHidden/>
          </w:rPr>
          <w:instrText xml:space="preserve"> PAGEREF _Toc168332491 \h </w:instrText>
        </w:r>
        <w:r w:rsidR="00375E65">
          <w:rPr>
            <w:webHidden/>
          </w:rPr>
        </w:r>
        <w:r w:rsidR="00375E65">
          <w:rPr>
            <w:webHidden/>
          </w:rPr>
          <w:fldChar w:fldCharType="separate"/>
        </w:r>
        <w:r>
          <w:rPr>
            <w:webHidden/>
          </w:rPr>
          <w:t>7</w:t>
        </w:r>
        <w:r w:rsidR="00375E65">
          <w:rPr>
            <w:webHidden/>
          </w:rPr>
          <w:fldChar w:fldCharType="end"/>
        </w:r>
      </w:hyperlink>
    </w:p>
    <w:p w:rsidR="00375E65" w:rsidRDefault="004C1520" w14:paraId="4F3F2376" w14:textId="11C0A092">
      <w:pPr>
        <w:pStyle w:val="TOC1"/>
        <w:rPr>
          <w:rFonts w:asciiTheme="minorHAnsi" w:hAnsiTheme="minorHAnsi" w:eastAsiaTheme="minorEastAsia" w:cstheme="minorBidi"/>
          <w:bCs w:val="0"/>
          <w:sz w:val="22"/>
          <w:szCs w:val="22"/>
          <w:lang w:val="fr-BE" w:eastAsia="fr-BE"/>
        </w:rPr>
      </w:pPr>
      <w:hyperlink w:history="1" w:anchor="_Toc168332492">
        <w:r w:rsidRPr="007A7551" w:rsidR="00375E65">
          <w:rPr>
            <w:rStyle w:val="Hyperlink"/>
            <w14:scene3d>
              <w14:camera w14:prst="orthographicFront"/>
              <w14:lightRig w14:rig="threePt" w14:dir="t">
                <w14:rot w14:lat="0" w14:lon="0" w14:rev="0"/>
              </w14:lightRig>
            </w14:scene3d>
          </w:rPr>
          <w:t>3.</w:t>
        </w:r>
        <w:r w:rsidR="00375E65">
          <w:rPr>
            <w:rFonts w:asciiTheme="minorHAnsi" w:hAnsiTheme="minorHAnsi" w:eastAsiaTheme="minorEastAsia" w:cstheme="minorBidi"/>
            <w:bCs w:val="0"/>
            <w:sz w:val="22"/>
            <w:szCs w:val="22"/>
            <w:lang w:val="fr-BE" w:eastAsia="fr-BE"/>
          </w:rPr>
          <w:tab/>
        </w:r>
        <w:r w:rsidRPr="007A7551" w:rsidR="00375E65">
          <w:rPr>
            <w:rStyle w:val="Hyperlink"/>
            <w:b/>
          </w:rPr>
          <w:t>AGRICULTURE, RURAL DEVELOPMENT AND THE ENVIRONMENT</w:t>
        </w:r>
        <w:r w:rsidR="00375E65">
          <w:rPr>
            <w:webHidden/>
          </w:rPr>
          <w:tab/>
        </w:r>
        <w:r w:rsidR="00375E65">
          <w:rPr>
            <w:webHidden/>
          </w:rPr>
          <w:fldChar w:fldCharType="begin"/>
        </w:r>
        <w:r w:rsidR="00375E65">
          <w:rPr>
            <w:webHidden/>
          </w:rPr>
          <w:instrText xml:space="preserve"> PAGEREF _Toc168332492 \h </w:instrText>
        </w:r>
        <w:r w:rsidR="00375E65">
          <w:rPr>
            <w:webHidden/>
          </w:rPr>
        </w:r>
        <w:r w:rsidR="00375E65">
          <w:rPr>
            <w:webHidden/>
          </w:rPr>
          <w:fldChar w:fldCharType="separate"/>
        </w:r>
        <w:r w:rsidR="005C28F2">
          <w:rPr>
            <w:webHidden/>
          </w:rPr>
          <w:t>10</w:t>
        </w:r>
        <w:r w:rsidR="00375E65">
          <w:rPr>
            <w:webHidden/>
          </w:rPr>
          <w:fldChar w:fldCharType="end"/>
        </w:r>
      </w:hyperlink>
    </w:p>
    <w:p w:rsidR="00375E65" w:rsidRDefault="004C1520" w14:paraId="44405763" w14:textId="20A6CAE0">
      <w:pPr>
        <w:pStyle w:val="TOC1"/>
        <w:rPr>
          <w:rFonts w:asciiTheme="minorHAnsi" w:hAnsiTheme="minorHAnsi" w:eastAsiaTheme="minorEastAsia" w:cstheme="minorBidi"/>
          <w:bCs w:val="0"/>
          <w:sz w:val="22"/>
          <w:szCs w:val="22"/>
          <w:lang w:val="fr-BE" w:eastAsia="fr-BE"/>
        </w:rPr>
      </w:pPr>
      <w:hyperlink w:history="1" w:anchor="_Toc168332493">
        <w:r w:rsidRPr="007A7551" w:rsidR="00375E65">
          <w:rPr>
            <w:rStyle w:val="Hyperlink"/>
            <w14:scene3d>
              <w14:camera w14:prst="orthographicFront"/>
              <w14:lightRig w14:rig="threePt" w14:dir="t">
                <w14:rot w14:lat="0" w14:lon="0" w14:rev="0"/>
              </w14:lightRig>
            </w14:scene3d>
          </w:rPr>
          <w:t>4.</w:t>
        </w:r>
        <w:r w:rsidR="00375E65">
          <w:rPr>
            <w:rFonts w:asciiTheme="minorHAnsi" w:hAnsiTheme="minorHAnsi" w:eastAsiaTheme="minorEastAsia" w:cstheme="minorBidi"/>
            <w:bCs w:val="0"/>
            <w:sz w:val="22"/>
            <w:szCs w:val="22"/>
            <w:lang w:val="fr-BE" w:eastAsia="fr-BE"/>
          </w:rPr>
          <w:tab/>
        </w:r>
        <w:r w:rsidRPr="007A7551" w:rsidR="00375E65">
          <w:rPr>
            <w:rStyle w:val="Hyperlink"/>
            <w:b/>
          </w:rPr>
          <w:t>TRANSPORT, ENERGY, INFRASTRUCTURE AND THE INFORMATION SOCIETY</w:t>
        </w:r>
        <w:r w:rsidR="00375E65">
          <w:rPr>
            <w:webHidden/>
          </w:rPr>
          <w:tab/>
        </w:r>
        <w:r w:rsidR="00375E65">
          <w:rPr>
            <w:webHidden/>
          </w:rPr>
          <w:fldChar w:fldCharType="begin"/>
        </w:r>
        <w:r w:rsidR="00375E65">
          <w:rPr>
            <w:webHidden/>
          </w:rPr>
          <w:instrText xml:space="preserve"> PAGEREF _Toc168332493 \h </w:instrText>
        </w:r>
        <w:r w:rsidR="00375E65">
          <w:rPr>
            <w:webHidden/>
          </w:rPr>
        </w:r>
        <w:r w:rsidR="00375E65">
          <w:rPr>
            <w:webHidden/>
          </w:rPr>
          <w:fldChar w:fldCharType="separate"/>
        </w:r>
        <w:r w:rsidR="005C28F2">
          <w:rPr>
            <w:webHidden/>
          </w:rPr>
          <w:t>13</w:t>
        </w:r>
        <w:r w:rsidR="00375E65">
          <w:rPr>
            <w:webHidden/>
          </w:rPr>
          <w:fldChar w:fldCharType="end"/>
        </w:r>
      </w:hyperlink>
    </w:p>
    <w:p w:rsidR="00375E65" w:rsidRDefault="004C1520" w14:paraId="73653931" w14:textId="57894F94">
      <w:pPr>
        <w:pStyle w:val="TOC1"/>
        <w:rPr>
          <w:rFonts w:asciiTheme="minorHAnsi" w:hAnsiTheme="minorHAnsi" w:eastAsiaTheme="minorEastAsia" w:cstheme="minorBidi"/>
          <w:bCs w:val="0"/>
          <w:sz w:val="22"/>
          <w:szCs w:val="22"/>
          <w:lang w:val="fr-BE" w:eastAsia="fr-BE"/>
        </w:rPr>
      </w:pPr>
      <w:hyperlink w:history="1" w:anchor="_Toc168332494">
        <w:r w:rsidRPr="007A7551" w:rsidR="00375E65">
          <w:rPr>
            <w:rStyle w:val="Hyperlink"/>
            <w14:scene3d>
              <w14:camera w14:prst="orthographicFront"/>
              <w14:lightRig w14:rig="threePt" w14:dir="t">
                <w14:rot w14:lat="0" w14:lon="0" w14:rev="0"/>
              </w14:lightRig>
            </w14:scene3d>
          </w:rPr>
          <w:t>5.</w:t>
        </w:r>
        <w:r w:rsidR="00375E65">
          <w:rPr>
            <w:rFonts w:asciiTheme="minorHAnsi" w:hAnsiTheme="minorHAnsi" w:eastAsiaTheme="minorEastAsia" w:cstheme="minorBidi"/>
            <w:bCs w:val="0"/>
            <w:sz w:val="22"/>
            <w:szCs w:val="22"/>
            <w:lang w:val="fr-BE" w:eastAsia="fr-BE"/>
          </w:rPr>
          <w:tab/>
        </w:r>
        <w:r w:rsidRPr="007A7551" w:rsidR="00375E65">
          <w:rPr>
            <w:rStyle w:val="Hyperlink"/>
            <w:b/>
          </w:rPr>
          <w:t>CONSULTATIVE COMMISSION ON INDUSTRIAL CHANGE</w:t>
        </w:r>
        <w:r w:rsidR="00375E65">
          <w:rPr>
            <w:webHidden/>
          </w:rPr>
          <w:tab/>
        </w:r>
        <w:r w:rsidR="00375E65">
          <w:rPr>
            <w:webHidden/>
          </w:rPr>
          <w:fldChar w:fldCharType="begin"/>
        </w:r>
        <w:r w:rsidR="00375E65">
          <w:rPr>
            <w:webHidden/>
          </w:rPr>
          <w:instrText xml:space="preserve"> PAGEREF _Toc168332494 \h </w:instrText>
        </w:r>
        <w:r w:rsidR="00375E65">
          <w:rPr>
            <w:webHidden/>
          </w:rPr>
        </w:r>
        <w:r w:rsidR="00375E65">
          <w:rPr>
            <w:webHidden/>
          </w:rPr>
          <w:fldChar w:fldCharType="separate"/>
        </w:r>
        <w:r w:rsidR="005C28F2">
          <w:rPr>
            <w:webHidden/>
          </w:rPr>
          <w:t>14</w:t>
        </w:r>
        <w:r w:rsidR="00375E65">
          <w:rPr>
            <w:webHidden/>
          </w:rPr>
          <w:fldChar w:fldCharType="end"/>
        </w:r>
      </w:hyperlink>
    </w:p>
    <w:p w:rsidR="00C86ABD" w:rsidRDefault="008772F9" w14:paraId="4EDE006A" w14:textId="0D5010E7">
      <w:pPr>
        <w:spacing w:after="160" w:line="259" w:lineRule="auto"/>
        <w:jc w:val="left"/>
      </w:pPr>
      <w:r>
        <w:fldChar w:fldCharType="end"/>
      </w:r>
      <w:r w:rsidR="00C86ABD">
        <w:br w:type="page"/>
      </w:r>
    </w:p>
    <w:p w:rsidRPr="00EE2FBD" w:rsidR="0038273B" w:rsidP="00770F41" w:rsidRDefault="0038273B" w14:paraId="62CE6920" w14:textId="4AB21D19">
      <w:pPr>
        <w:pStyle w:val="Heading1"/>
        <w:tabs>
          <w:tab w:val="clear" w:pos="440"/>
          <w:tab w:val="left" w:pos="567"/>
        </w:tabs>
        <w:ind w:left="567" w:hanging="567"/>
        <w:rPr>
          <w:b/>
          <w:bCs/>
        </w:rPr>
      </w:pPr>
      <w:bookmarkStart w:name="_Toc168332490" w:id="1"/>
      <w:r w:rsidRPr="00EE2FBD">
        <w:rPr>
          <w:b/>
          <w:bCs/>
        </w:rPr>
        <w:t>ECONOMIC AND MONETARY UNION, ECONOMIC AND SOCIAL COHESION</w:t>
      </w:r>
      <w:bookmarkEnd w:id="1"/>
    </w:p>
    <w:p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006C19F4" w:rsidP="00770F41"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270FBE" w:rsidR="006C19F4" w:rsidP="00C26C81" w:rsidRDefault="0015356A" w14:paraId="3A82A886" w14:textId="36E3E8A4">
      <w:pPr>
        <w:widowControl w:val="0"/>
        <w:numPr>
          <w:ilvl w:val="0"/>
          <w:numId w:val="7"/>
        </w:numPr>
        <w:overflowPunct w:val="0"/>
        <w:autoSpaceDE w:val="0"/>
        <w:autoSpaceDN w:val="0"/>
        <w:adjustRightInd w:val="0"/>
        <w:spacing w:after="120"/>
        <w:ind w:hanging="567"/>
        <w:textAlignment w:val="baseline"/>
        <w:rPr>
          <w:b/>
          <w:i/>
          <w:iCs/>
          <w:sz w:val="28"/>
          <w:szCs w:val="28"/>
        </w:rPr>
      </w:pPr>
      <w:hyperlink w:history="1" r:id="rId20">
        <w:r w:rsidRPr="006C19F4" w:rsidR="006C19F4">
          <w:rPr>
            <w:b/>
            <w:i/>
            <w:iCs/>
            <w:color w:val="0000FF"/>
            <w:sz w:val="28"/>
            <w:szCs w:val="28"/>
            <w:u w:val="single"/>
          </w:rPr>
          <w:t>The role of cohesion policy in upcoming rounds of EU enlargement</w:t>
        </w:r>
      </w:hyperlink>
    </w:p>
    <w:p w:rsidRPr="006C19F4" w:rsidR="00190D28" w:rsidP="00270FBE" w:rsidRDefault="00190D28" w14:paraId="647D4419" w14:textId="77777777">
      <w:pPr>
        <w:widowControl w:val="0"/>
        <w:overflowPunct w:val="0"/>
        <w:autoSpaceDE w:val="0"/>
        <w:autoSpaceDN w:val="0"/>
        <w:adjustRightInd w:val="0"/>
        <w:spacing w:after="120"/>
        <w:ind w:left="284"/>
        <w:textAlignment w:val="baseline"/>
        <w:rPr>
          <w:b/>
          <w:i/>
          <w:i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6C19F4" w:rsidR="006C19F4" w:rsidTr="00FE3058" w14:paraId="7BA389F8" w14:textId="77777777">
        <w:tc>
          <w:tcPr>
            <w:tcW w:w="1701" w:type="dxa"/>
          </w:tcPr>
          <w:p w:rsidRPr="006C19F4" w:rsidR="006C19F4" w:rsidP="006C19F4" w:rsidRDefault="006C19F4" w14:paraId="4187F6BE" w14:textId="77777777">
            <w:pPr>
              <w:tabs>
                <w:tab w:val="center" w:pos="284"/>
              </w:tabs>
              <w:overflowPunct w:val="0"/>
              <w:autoSpaceDE w:val="0"/>
              <w:autoSpaceDN w:val="0"/>
              <w:adjustRightInd w:val="0"/>
              <w:ind w:left="266" w:hanging="266"/>
              <w:textAlignment w:val="baseline"/>
              <w:rPr>
                <w:b/>
              </w:rPr>
            </w:pPr>
            <w:r w:rsidRPr="006C19F4">
              <w:rPr>
                <w:b/>
              </w:rPr>
              <w:t>Rapporteur</w:t>
            </w:r>
          </w:p>
        </w:tc>
        <w:tc>
          <w:tcPr>
            <w:tcW w:w="7621" w:type="dxa"/>
          </w:tcPr>
          <w:p w:rsidRPr="006C19F4" w:rsidR="006C19F4" w:rsidP="006C19F4" w:rsidRDefault="006C19F4" w14:paraId="1811BD9A" w14:textId="77777777">
            <w:pPr>
              <w:tabs>
                <w:tab w:val="center" w:pos="284"/>
              </w:tabs>
              <w:overflowPunct w:val="0"/>
              <w:autoSpaceDE w:val="0"/>
              <w:autoSpaceDN w:val="0"/>
              <w:adjustRightInd w:val="0"/>
              <w:ind w:left="266" w:hanging="266"/>
              <w:textAlignment w:val="baseline"/>
              <w:rPr>
                <w:bCs/>
              </w:rPr>
            </w:pPr>
            <w:r w:rsidRPr="006C19F4">
              <w:rPr>
                <w:bCs/>
              </w:rPr>
              <w:t>Maria del Carmen BARRERA CHAMORRO (Workers' Group - ES)</w:t>
            </w:r>
          </w:p>
        </w:tc>
      </w:tr>
      <w:tr w:rsidRPr="006C19F4" w:rsidR="006C19F4" w:rsidTr="00FE3058" w14:paraId="73869A75" w14:textId="77777777">
        <w:tc>
          <w:tcPr>
            <w:tcW w:w="9322" w:type="dxa"/>
            <w:gridSpan w:val="2"/>
          </w:tcPr>
          <w:p w:rsidRPr="006C19F4" w:rsidR="006C19F4" w:rsidP="006C19F4" w:rsidRDefault="006C19F4" w14:paraId="4BF0E4CE" w14:textId="77777777">
            <w:pPr>
              <w:tabs>
                <w:tab w:val="center" w:pos="284"/>
              </w:tabs>
              <w:overflowPunct w:val="0"/>
              <w:autoSpaceDE w:val="0"/>
              <w:autoSpaceDN w:val="0"/>
              <w:adjustRightInd w:val="0"/>
              <w:spacing w:line="160" w:lineRule="exact"/>
              <w:ind w:left="266" w:hanging="266"/>
              <w:textAlignment w:val="baseline"/>
            </w:pPr>
          </w:p>
        </w:tc>
      </w:tr>
      <w:tr w:rsidRPr="006C19F4" w:rsidR="006C19F4" w:rsidTr="00FE3058" w14:paraId="232B8808" w14:textId="77777777">
        <w:tc>
          <w:tcPr>
            <w:tcW w:w="1701" w:type="dxa"/>
          </w:tcPr>
          <w:p w:rsidRPr="006C19F4" w:rsidR="006C19F4" w:rsidP="006C19F4" w:rsidRDefault="006C19F4" w14:paraId="0DE082BA" w14:textId="77777777">
            <w:pPr>
              <w:tabs>
                <w:tab w:val="center" w:pos="284"/>
              </w:tabs>
              <w:overflowPunct w:val="0"/>
              <w:autoSpaceDE w:val="0"/>
              <w:autoSpaceDN w:val="0"/>
              <w:adjustRightInd w:val="0"/>
              <w:ind w:left="266" w:hanging="266"/>
              <w:textAlignment w:val="baseline"/>
              <w:rPr>
                <w:b/>
              </w:rPr>
            </w:pPr>
            <w:r w:rsidRPr="006C19F4">
              <w:rPr>
                <w:b/>
              </w:rPr>
              <w:t>References</w:t>
            </w:r>
          </w:p>
        </w:tc>
        <w:tc>
          <w:tcPr>
            <w:tcW w:w="7621" w:type="dxa"/>
          </w:tcPr>
          <w:p w:rsidRPr="00270FBE" w:rsidR="00ED5F1D" w:rsidP="00ED5F1D" w:rsidRDefault="00ED5F1D" w14:paraId="6C26CE56" w14:textId="7EC335DB">
            <w:pPr>
              <w:pStyle w:val="Default"/>
              <w:jc w:val="both"/>
              <w:rPr>
                <w:sz w:val="20"/>
                <w:szCs w:val="20"/>
              </w:rPr>
            </w:pPr>
            <w:r w:rsidRPr="00270FBE">
              <w:rPr>
                <w:sz w:val="20"/>
                <w:szCs w:val="20"/>
              </w:rPr>
              <w:t xml:space="preserve">Exploratory opinion at the request of the European Commission </w:t>
            </w:r>
          </w:p>
          <w:p w:rsidRPr="006C19F4" w:rsidR="006C19F4" w:rsidP="006C19F4" w:rsidRDefault="006C19F4" w14:paraId="7903D5BC" w14:textId="592052F7">
            <w:pPr>
              <w:tabs>
                <w:tab w:val="center" w:pos="284"/>
              </w:tabs>
              <w:overflowPunct w:val="0"/>
              <w:autoSpaceDE w:val="0"/>
              <w:autoSpaceDN w:val="0"/>
              <w:adjustRightInd w:val="0"/>
              <w:ind w:left="266" w:hanging="266"/>
              <w:textAlignment w:val="baseline"/>
            </w:pPr>
            <w:r w:rsidRPr="006C19F4">
              <w:t>EESC-2024-00535-00-00-AC</w:t>
            </w:r>
          </w:p>
        </w:tc>
      </w:tr>
    </w:tbl>
    <w:p w:rsidR="00556279" w:rsidP="006C19F4" w:rsidRDefault="00556279" w14:paraId="3EB4A714"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580E62C3" w14:textId="193AC286">
      <w:pPr>
        <w:keepNext/>
        <w:keepLines/>
        <w:tabs>
          <w:tab w:val="center" w:pos="284"/>
        </w:tabs>
        <w:overflowPunct w:val="0"/>
        <w:autoSpaceDE w:val="0"/>
        <w:autoSpaceDN w:val="0"/>
        <w:adjustRightInd w:val="0"/>
        <w:spacing w:before="120"/>
        <w:ind w:left="266" w:hanging="266"/>
        <w:textAlignment w:val="baseline"/>
        <w:rPr>
          <w:b/>
        </w:rPr>
      </w:pPr>
      <w:r w:rsidRPr="006C19F4">
        <w:rPr>
          <w:b/>
        </w:rPr>
        <w:t>Key points</w:t>
      </w:r>
    </w:p>
    <w:p w:rsidRPr="006C19F4" w:rsidR="00ED5F1D" w:rsidP="006C19F4" w:rsidRDefault="00ED5F1D" w14:paraId="7E453C4F"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3AEFB419" w14:textId="78037879">
      <w:pPr>
        <w:overflowPunct w:val="0"/>
        <w:autoSpaceDE w:val="0"/>
        <w:autoSpaceDN w:val="0"/>
        <w:adjustRightInd w:val="0"/>
        <w:textAlignment w:val="baseline"/>
        <w:rPr>
          <w:bCs/>
          <w:iCs/>
        </w:rPr>
      </w:pPr>
      <w:r w:rsidRPr="006C19F4">
        <w:rPr>
          <w:bCs/>
          <w:iCs/>
        </w:rPr>
        <w:t>The EESC:</w:t>
      </w:r>
    </w:p>
    <w:p w:rsidRPr="006C19F4" w:rsidR="007A51DE" w:rsidP="006C19F4" w:rsidRDefault="007A51DE" w14:paraId="3831A5EE" w14:textId="77777777">
      <w:pPr>
        <w:overflowPunct w:val="0"/>
        <w:autoSpaceDE w:val="0"/>
        <w:autoSpaceDN w:val="0"/>
        <w:adjustRightInd w:val="0"/>
        <w:textAlignment w:val="baseline"/>
        <w:rPr>
          <w:bCs/>
          <w:iCs/>
        </w:rPr>
      </w:pPr>
    </w:p>
    <w:p w:rsidRPr="006C19F4" w:rsidR="006C19F4" w:rsidP="00270FBE" w:rsidRDefault="006C19F4" w14:paraId="18DCF415" w14:textId="77777777">
      <w:pPr>
        <w:numPr>
          <w:ilvl w:val="0"/>
          <w:numId w:val="13"/>
        </w:numPr>
        <w:overflowPunct w:val="0"/>
        <w:autoSpaceDE w:val="0"/>
        <w:autoSpaceDN w:val="0"/>
        <w:adjustRightInd w:val="0"/>
        <w:spacing w:after="200" w:line="276" w:lineRule="auto"/>
        <w:contextualSpacing/>
        <w:textAlignment w:val="baseline"/>
        <w:rPr>
          <w:bCs/>
          <w:iCs/>
        </w:rPr>
      </w:pPr>
      <w:r w:rsidRPr="006C19F4">
        <w:rPr>
          <w:bCs/>
          <w:iCs/>
        </w:rPr>
        <w:t>stresses that pre-accession aid policy is an indispensable tool of enlargement policy whose influence can be boosted to promote peace and prosperity across the European continent, particularly in regions where peace and stability have been recently challenged;</w:t>
      </w:r>
    </w:p>
    <w:p w:rsidRPr="006C19F4" w:rsidR="006C19F4" w:rsidP="00270FBE" w:rsidRDefault="006C19F4" w14:paraId="6F8C8AAA" w14:textId="77777777">
      <w:pPr>
        <w:numPr>
          <w:ilvl w:val="0"/>
          <w:numId w:val="13"/>
        </w:numPr>
        <w:overflowPunct w:val="0"/>
        <w:autoSpaceDE w:val="0"/>
        <w:autoSpaceDN w:val="0"/>
        <w:adjustRightInd w:val="0"/>
        <w:spacing w:after="200" w:line="276" w:lineRule="auto"/>
        <w:contextualSpacing/>
        <w:textAlignment w:val="baseline"/>
        <w:rPr>
          <w:bCs/>
          <w:iCs/>
        </w:rPr>
      </w:pPr>
      <w:r w:rsidRPr="006C19F4">
        <w:rPr>
          <w:bCs/>
          <w:iCs/>
        </w:rPr>
        <w:t>notes that to prepare candidate states to fully implement the cohesion policy instruments in the future pre-accession aid policy should be better tailored to the strengths, challenges, and needs of the respective regions, as well as the bordering regions of EU Member States;</w:t>
      </w:r>
    </w:p>
    <w:p w:rsidRPr="006C19F4" w:rsidR="006C19F4" w:rsidP="00270FBE" w:rsidRDefault="006C19F4" w14:paraId="7DB08F12" w14:textId="77777777">
      <w:pPr>
        <w:numPr>
          <w:ilvl w:val="0"/>
          <w:numId w:val="13"/>
        </w:numPr>
        <w:overflowPunct w:val="0"/>
        <w:autoSpaceDE w:val="0"/>
        <w:autoSpaceDN w:val="0"/>
        <w:adjustRightInd w:val="0"/>
        <w:spacing w:after="200" w:line="276" w:lineRule="auto"/>
        <w:contextualSpacing/>
        <w:textAlignment w:val="baseline"/>
        <w:rPr>
          <w:bCs/>
          <w:iCs/>
        </w:rPr>
      </w:pPr>
      <w:r w:rsidRPr="006C19F4">
        <w:rPr>
          <w:bCs/>
          <w:iCs/>
        </w:rPr>
        <w:t>recommends that pre-accession aid policy in candidate states should invest more systematically in human capital development, education and social integration to prevent and ease social inequalities. Promoting links with CSOs in improving pre-accession aid policy planning are essential;</w:t>
      </w:r>
    </w:p>
    <w:p w:rsidRPr="006C19F4" w:rsidR="006C19F4" w:rsidP="00270FBE" w:rsidRDefault="006C19F4" w14:paraId="796D945B" w14:textId="77777777">
      <w:pPr>
        <w:numPr>
          <w:ilvl w:val="0"/>
          <w:numId w:val="13"/>
        </w:numPr>
        <w:overflowPunct w:val="0"/>
        <w:autoSpaceDE w:val="0"/>
        <w:autoSpaceDN w:val="0"/>
        <w:adjustRightInd w:val="0"/>
        <w:spacing w:after="200" w:line="276" w:lineRule="auto"/>
        <w:contextualSpacing/>
        <w:textAlignment w:val="baseline"/>
        <w:rPr>
          <w:bCs/>
          <w:iCs/>
        </w:rPr>
      </w:pPr>
      <w:r w:rsidRPr="006C19F4">
        <w:rPr>
          <w:bCs/>
          <w:iCs/>
        </w:rPr>
        <w:t>notes that with the future cohesion policy, the protection of vulnerable groups, which face additional and formidable obstacles to their economic and social development and can face additional challenges in the future accession process should be prioritised;</w:t>
      </w:r>
    </w:p>
    <w:p w:rsidRPr="006C19F4" w:rsidR="006C19F4" w:rsidP="00270FBE" w:rsidRDefault="006C19F4" w14:paraId="7BE159C5" w14:textId="77777777">
      <w:pPr>
        <w:numPr>
          <w:ilvl w:val="0"/>
          <w:numId w:val="13"/>
        </w:numPr>
        <w:overflowPunct w:val="0"/>
        <w:autoSpaceDE w:val="0"/>
        <w:autoSpaceDN w:val="0"/>
        <w:adjustRightInd w:val="0"/>
        <w:spacing w:after="200" w:line="276" w:lineRule="auto"/>
        <w:contextualSpacing/>
        <w:textAlignment w:val="baseline"/>
        <w:rPr>
          <w:bCs/>
          <w:iCs/>
        </w:rPr>
      </w:pPr>
      <w:r w:rsidRPr="006C19F4">
        <w:rPr>
          <w:bCs/>
          <w:iCs/>
        </w:rPr>
        <w:t>stresses that stronger partnerships with CSOs in candidate states are not only invaluable for the promotion of enlargement objectives; they are also in line with effective and inclusive development strategies by using the established principles of strong partnership and shared management;</w:t>
      </w:r>
    </w:p>
    <w:p w:rsidRPr="006C19F4" w:rsidR="006C19F4" w:rsidP="00270FBE" w:rsidRDefault="006C19F4" w14:paraId="0F3DDE5E" w14:textId="77777777">
      <w:pPr>
        <w:numPr>
          <w:ilvl w:val="0"/>
          <w:numId w:val="13"/>
        </w:numPr>
        <w:overflowPunct w:val="0"/>
        <w:autoSpaceDE w:val="0"/>
        <w:autoSpaceDN w:val="0"/>
        <w:adjustRightInd w:val="0"/>
        <w:spacing w:after="200" w:line="276" w:lineRule="auto"/>
        <w:contextualSpacing/>
        <w:textAlignment w:val="baseline"/>
        <w:rPr>
          <w:bCs/>
          <w:iCs/>
        </w:rPr>
      </w:pPr>
      <w:r w:rsidRPr="006C19F4">
        <w:rPr>
          <w:bCs/>
          <w:iCs/>
        </w:rPr>
        <w:t>stresses that the role of cohesion policy has to go far beyond core investment. It must focus on institution and capacity building, including twinning programmes and support for civil society and social partners;</w:t>
      </w:r>
    </w:p>
    <w:p w:rsidRPr="006C19F4" w:rsidR="006C19F4" w:rsidP="00270FBE" w:rsidRDefault="006C19F4" w14:paraId="5388831B" w14:textId="77777777">
      <w:pPr>
        <w:numPr>
          <w:ilvl w:val="0"/>
          <w:numId w:val="13"/>
        </w:numPr>
        <w:overflowPunct w:val="0"/>
        <w:autoSpaceDE w:val="0"/>
        <w:autoSpaceDN w:val="0"/>
        <w:adjustRightInd w:val="0"/>
        <w:spacing w:after="200" w:line="276" w:lineRule="auto"/>
        <w:contextualSpacing/>
        <w:textAlignment w:val="baseline"/>
        <w:rPr>
          <w:bCs/>
          <w:iCs/>
        </w:rPr>
      </w:pPr>
      <w:r w:rsidRPr="006C19F4">
        <w:rPr>
          <w:bCs/>
          <w:iCs/>
        </w:rPr>
        <w:t>underlines the fact that enlargement waves have also had an impact on the current Member States and their regions, as the new Member States join the single market and affect the international value chain and labour migration in the EU. Additional funds are therefore needed to invest in the regions bordering the candidate countries, as well as in the regions of the current Member States severely affected by changes in the EU and global value chains as a result of enlargement;</w:t>
      </w:r>
    </w:p>
    <w:p w:rsidRPr="006C19F4" w:rsidR="006C19F4" w:rsidP="00270FBE" w:rsidRDefault="006C19F4" w14:paraId="371A7D2C" w14:textId="77777777">
      <w:pPr>
        <w:numPr>
          <w:ilvl w:val="0"/>
          <w:numId w:val="13"/>
        </w:numPr>
        <w:overflowPunct w:val="0"/>
        <w:autoSpaceDE w:val="0"/>
        <w:autoSpaceDN w:val="0"/>
        <w:adjustRightInd w:val="0"/>
        <w:spacing w:after="200" w:line="276" w:lineRule="auto"/>
        <w:contextualSpacing/>
        <w:textAlignment w:val="baseline"/>
        <w:rPr>
          <w:bCs/>
          <w:iCs/>
        </w:rPr>
      </w:pPr>
      <w:r w:rsidRPr="006C19F4">
        <w:rPr>
          <w:bCs/>
          <w:iCs/>
        </w:rPr>
        <w:t>considers that the EC should orient its reforms of future cohesion policy, in parallel to the enlargement process, to boost the effectiveness of current policies, based on increased specialisation and diversification, linked to greater flexibility and financial specialisation. No financial assistance can succeed in unleashing economic prosperity without parallel efforts in institution building, governance reform and civil society engagement;</w:t>
      </w:r>
    </w:p>
    <w:p w:rsidRPr="006C19F4" w:rsidR="006C19F4" w:rsidP="00270FBE" w:rsidRDefault="006C19F4" w14:paraId="0E40DD13" w14:textId="77777777">
      <w:pPr>
        <w:numPr>
          <w:ilvl w:val="0"/>
          <w:numId w:val="13"/>
        </w:numPr>
        <w:overflowPunct w:val="0"/>
        <w:autoSpaceDE w:val="0"/>
        <w:autoSpaceDN w:val="0"/>
        <w:adjustRightInd w:val="0"/>
        <w:spacing w:after="200" w:line="276" w:lineRule="auto"/>
        <w:contextualSpacing/>
        <w:textAlignment w:val="baseline"/>
        <w:rPr>
          <w:bCs/>
          <w:iCs/>
        </w:rPr>
      </w:pPr>
      <w:r w:rsidRPr="006C19F4">
        <w:rPr>
          <w:bCs/>
          <w:iCs/>
        </w:rPr>
        <w:t>stresses the need for urgent action to stem the tide of emigration from the EU candidate countries, which threatens to ruin the potential for economic and social development, through various policy measures, including investment in human capital;</w:t>
      </w:r>
    </w:p>
    <w:p w:rsidRPr="006C19F4" w:rsidR="006C19F4" w:rsidP="00270FBE" w:rsidRDefault="006C19F4" w14:paraId="696DDE71" w14:textId="77777777">
      <w:pPr>
        <w:numPr>
          <w:ilvl w:val="0"/>
          <w:numId w:val="13"/>
        </w:numPr>
        <w:overflowPunct w:val="0"/>
        <w:autoSpaceDE w:val="0"/>
        <w:autoSpaceDN w:val="0"/>
        <w:adjustRightInd w:val="0"/>
        <w:spacing w:after="200" w:line="276" w:lineRule="auto"/>
        <w:contextualSpacing/>
        <w:textAlignment w:val="baseline"/>
        <w:rPr>
          <w:bCs/>
          <w:iCs/>
        </w:rPr>
      </w:pPr>
      <w:r w:rsidRPr="006C19F4">
        <w:rPr>
          <w:bCs/>
          <w:iCs/>
        </w:rPr>
        <w:t>considers it essential to improve the situation of young people in the candidate countries. Efforts are needed to improve the skills and employment of young people and to increase both educational and quality employment opportunities for young people, in parallel with housing solutions. Dialogue and participation of young people in youth guarantee initiatives should also be encouraged;</w:t>
      </w:r>
    </w:p>
    <w:p w:rsidR="006C19F4" w:rsidP="00ED5F1D" w:rsidRDefault="006C19F4" w14:paraId="36FB8C43" w14:textId="60DCA5EA">
      <w:pPr>
        <w:numPr>
          <w:ilvl w:val="0"/>
          <w:numId w:val="13"/>
        </w:numPr>
        <w:overflowPunct w:val="0"/>
        <w:autoSpaceDE w:val="0"/>
        <w:autoSpaceDN w:val="0"/>
        <w:adjustRightInd w:val="0"/>
        <w:spacing w:after="200" w:line="276" w:lineRule="auto"/>
        <w:contextualSpacing/>
        <w:textAlignment w:val="baseline"/>
        <w:rPr>
          <w:bCs/>
          <w:iCs/>
        </w:rPr>
      </w:pPr>
      <w:r w:rsidRPr="006C19F4">
        <w:rPr>
          <w:bCs/>
          <w:iCs/>
        </w:rPr>
        <w:t>recommends increasing efforts to care for the most vulnerable people and vulnerable groups in the candidate countries, incorporating them not only into protection systems but also taking them into account in the decision-making process, as the best way of achieving the first basic principle of the Cohesion Policy of “Leaving no one behind”.</w:t>
      </w:r>
    </w:p>
    <w:p w:rsidRPr="006C19F4" w:rsidR="00ED5F1D" w:rsidP="00270FBE" w:rsidRDefault="00ED5F1D" w14:paraId="0BD5F507" w14:textId="77777777">
      <w:pPr>
        <w:overflowPunct w:val="0"/>
        <w:autoSpaceDE w:val="0"/>
        <w:autoSpaceDN w:val="0"/>
        <w:adjustRightInd w:val="0"/>
        <w:spacing w:after="200" w:line="276" w:lineRule="auto"/>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C19F4" w:rsidR="006C19F4" w:rsidTr="00FE3058" w14:paraId="7A7F559C" w14:textId="77777777">
        <w:tc>
          <w:tcPr>
            <w:tcW w:w="1418" w:type="dxa"/>
          </w:tcPr>
          <w:p w:rsidRPr="006C19F4" w:rsidR="006C19F4" w:rsidP="006C19F4" w:rsidRDefault="006C19F4" w14:paraId="6B40BFCD" w14:textId="77777777">
            <w:pPr>
              <w:overflowPunct w:val="0"/>
              <w:autoSpaceDE w:val="0"/>
              <w:autoSpaceDN w:val="0"/>
              <w:adjustRightInd w:val="0"/>
              <w:spacing w:line="240" w:lineRule="auto"/>
              <w:textAlignment w:val="baseline"/>
              <w:rPr>
                <w:i/>
              </w:rPr>
            </w:pPr>
            <w:r w:rsidRPr="006C19F4">
              <w:rPr>
                <w:b/>
                <w:i/>
              </w:rPr>
              <w:t>Contact</w:t>
            </w:r>
          </w:p>
        </w:tc>
        <w:tc>
          <w:tcPr>
            <w:tcW w:w="5670" w:type="dxa"/>
          </w:tcPr>
          <w:p w:rsidRPr="006C19F4" w:rsidR="006C19F4" w:rsidP="006C19F4" w:rsidRDefault="006C19F4" w14:paraId="2E0B1708" w14:textId="77777777">
            <w:pPr>
              <w:overflowPunct w:val="0"/>
              <w:autoSpaceDE w:val="0"/>
              <w:autoSpaceDN w:val="0"/>
              <w:adjustRightInd w:val="0"/>
              <w:spacing w:line="240" w:lineRule="auto"/>
              <w:textAlignment w:val="baseline"/>
              <w:rPr>
                <w:i/>
              </w:rPr>
            </w:pPr>
            <w:r w:rsidRPr="006C19F4">
              <w:rPr>
                <w:i/>
              </w:rPr>
              <w:t>Georgios Meleas</w:t>
            </w:r>
          </w:p>
        </w:tc>
      </w:tr>
      <w:tr w:rsidRPr="006C19F4" w:rsidR="006C19F4" w:rsidTr="00FE3058" w14:paraId="1C00A944" w14:textId="77777777">
        <w:tc>
          <w:tcPr>
            <w:tcW w:w="1418" w:type="dxa"/>
          </w:tcPr>
          <w:p w:rsidRPr="006C19F4" w:rsidR="006C19F4" w:rsidP="006C19F4" w:rsidRDefault="006C19F4" w14:paraId="02043B5C" w14:textId="77777777">
            <w:pPr>
              <w:overflowPunct w:val="0"/>
              <w:autoSpaceDE w:val="0"/>
              <w:autoSpaceDN w:val="0"/>
              <w:adjustRightInd w:val="0"/>
              <w:spacing w:line="240" w:lineRule="auto"/>
              <w:textAlignment w:val="baseline"/>
              <w:rPr>
                <w:i/>
              </w:rPr>
            </w:pPr>
            <w:r w:rsidRPr="006C19F4">
              <w:rPr>
                <w:i/>
              </w:rPr>
              <w:t>Tel.</w:t>
            </w:r>
          </w:p>
        </w:tc>
        <w:tc>
          <w:tcPr>
            <w:tcW w:w="5670" w:type="dxa"/>
          </w:tcPr>
          <w:p w:rsidRPr="006C19F4" w:rsidR="006C19F4" w:rsidP="006C19F4" w:rsidRDefault="006C19F4" w14:paraId="7765EB4C" w14:textId="77777777">
            <w:pPr>
              <w:overflowPunct w:val="0"/>
              <w:autoSpaceDE w:val="0"/>
              <w:autoSpaceDN w:val="0"/>
              <w:adjustRightInd w:val="0"/>
              <w:spacing w:line="240" w:lineRule="auto"/>
              <w:textAlignment w:val="baseline"/>
              <w:rPr>
                <w:i/>
              </w:rPr>
            </w:pPr>
            <w:r w:rsidRPr="006C19F4">
              <w:rPr>
                <w:i/>
              </w:rPr>
              <w:t>+32 25469795</w:t>
            </w:r>
          </w:p>
        </w:tc>
      </w:tr>
      <w:tr w:rsidRPr="006C19F4" w:rsidR="006C19F4" w:rsidTr="00FE3058" w14:paraId="13E41AD9" w14:textId="77777777">
        <w:tc>
          <w:tcPr>
            <w:tcW w:w="1418" w:type="dxa"/>
          </w:tcPr>
          <w:p w:rsidRPr="006C19F4" w:rsidR="006C19F4" w:rsidP="006C19F4" w:rsidRDefault="006C19F4" w14:paraId="606A5A69" w14:textId="77777777">
            <w:pPr>
              <w:overflowPunct w:val="0"/>
              <w:autoSpaceDE w:val="0"/>
              <w:autoSpaceDN w:val="0"/>
              <w:adjustRightInd w:val="0"/>
              <w:spacing w:line="240" w:lineRule="auto"/>
              <w:textAlignment w:val="baseline"/>
              <w:rPr>
                <w:i/>
              </w:rPr>
            </w:pPr>
            <w:r w:rsidRPr="006C19F4">
              <w:rPr>
                <w:i/>
              </w:rPr>
              <w:t>Email</w:t>
            </w:r>
          </w:p>
        </w:tc>
        <w:tc>
          <w:tcPr>
            <w:tcW w:w="5670" w:type="dxa"/>
          </w:tcPr>
          <w:p w:rsidRPr="006C19F4" w:rsidR="006C19F4" w:rsidP="006C19F4" w:rsidRDefault="0015356A" w14:paraId="6B1B5DA3" w14:textId="77777777">
            <w:pPr>
              <w:overflowPunct w:val="0"/>
              <w:autoSpaceDE w:val="0"/>
              <w:autoSpaceDN w:val="0"/>
              <w:adjustRightInd w:val="0"/>
              <w:spacing w:line="240" w:lineRule="auto"/>
              <w:textAlignment w:val="baseline"/>
              <w:rPr>
                <w:i/>
              </w:rPr>
            </w:pPr>
            <w:hyperlink w:history="1" r:id="rId21">
              <w:r w:rsidRPr="006C19F4" w:rsidR="006C19F4">
                <w:rPr>
                  <w:i/>
                  <w:color w:val="0000FF"/>
                  <w:u w:val="single"/>
                </w:rPr>
                <w:t>Georgios.Meleas@eesc.europa.eu</w:t>
              </w:r>
            </w:hyperlink>
          </w:p>
        </w:tc>
      </w:tr>
    </w:tbl>
    <w:p w:rsidR="001A5EC5" w:rsidP="00770F41" w:rsidRDefault="001A5EC5" w14:paraId="3A3398AC" w14:textId="4B0EF5D3">
      <w:pPr>
        <w:tabs>
          <w:tab w:val="center" w:pos="284"/>
        </w:tabs>
        <w:overflowPunct w:val="0"/>
        <w:autoSpaceDE w:val="0"/>
        <w:autoSpaceDN w:val="0"/>
        <w:adjustRightInd w:val="0"/>
        <w:ind w:left="266" w:hanging="266"/>
        <w:textAlignment w:val="baseline"/>
        <w:rPr>
          <w:b/>
          <w:sz w:val="24"/>
          <w:szCs w:val="24"/>
        </w:rPr>
      </w:pPr>
    </w:p>
    <w:p w:rsidR="001A5EC5" w:rsidRDefault="001A5EC5" w14:paraId="17F9882E" w14:textId="77777777">
      <w:pPr>
        <w:spacing w:after="160" w:line="259" w:lineRule="auto"/>
        <w:jc w:val="left"/>
        <w:rPr>
          <w:b/>
          <w:sz w:val="24"/>
          <w:szCs w:val="24"/>
        </w:rPr>
      </w:pPr>
      <w:r>
        <w:rPr>
          <w:b/>
          <w:sz w:val="24"/>
          <w:szCs w:val="24"/>
        </w:rPr>
        <w:br w:type="page"/>
      </w:r>
    </w:p>
    <w:p w:rsidRPr="00270FBE" w:rsidR="001A5EC5" w:rsidP="00C26C81" w:rsidRDefault="0015356A" w14:paraId="5AEA0F19" w14:textId="00A9D421">
      <w:pPr>
        <w:widowControl w:val="0"/>
        <w:numPr>
          <w:ilvl w:val="0"/>
          <w:numId w:val="7"/>
        </w:numPr>
        <w:overflowPunct w:val="0"/>
        <w:autoSpaceDE w:val="0"/>
        <w:autoSpaceDN w:val="0"/>
        <w:adjustRightInd w:val="0"/>
        <w:spacing w:after="120"/>
        <w:ind w:left="283"/>
        <w:textAlignment w:val="baseline"/>
        <w:rPr>
          <w:b/>
          <w:i/>
          <w:iCs/>
          <w:sz w:val="28"/>
          <w:szCs w:val="28"/>
        </w:rPr>
      </w:pPr>
      <w:hyperlink w:history="1" r:id="rId22">
        <w:r w:rsidRPr="001A5EC5" w:rsidR="001A5EC5">
          <w:rPr>
            <w:b/>
            <w:i/>
            <w:iCs/>
            <w:color w:val="0000FF"/>
            <w:sz w:val="28"/>
            <w:szCs w:val="28"/>
            <w:u w:val="single"/>
          </w:rPr>
          <w:t>Ninth report on economic, social and territorial cohesion</w:t>
        </w:r>
      </w:hyperlink>
    </w:p>
    <w:p w:rsidRPr="001A5EC5" w:rsidR="00444F0D" w:rsidP="00270FBE" w:rsidRDefault="00444F0D" w14:paraId="5992C072" w14:textId="77777777">
      <w:pPr>
        <w:widowControl w:val="0"/>
        <w:overflowPunct w:val="0"/>
        <w:autoSpaceDE w:val="0"/>
        <w:autoSpaceDN w:val="0"/>
        <w:adjustRightInd w:val="0"/>
        <w:spacing w:after="120"/>
        <w:ind w:left="284"/>
        <w:textAlignment w:val="baseline"/>
        <w:rPr>
          <w:b/>
          <w:i/>
          <w:iCs/>
          <w:sz w:val="28"/>
          <w:szCs w:val="28"/>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A5EC5" w:rsidR="001A5EC5" w:rsidTr="00270FBE" w14:paraId="44793051" w14:textId="77777777">
        <w:tc>
          <w:tcPr>
            <w:tcW w:w="1701" w:type="dxa"/>
          </w:tcPr>
          <w:p w:rsidRPr="001A5EC5" w:rsidR="001A5EC5" w:rsidP="00270FBE" w:rsidRDefault="001A5EC5" w14:paraId="463E72CE" w14:textId="77777777">
            <w:pPr>
              <w:overflowPunct w:val="0"/>
              <w:autoSpaceDE w:val="0"/>
              <w:autoSpaceDN w:val="0"/>
              <w:adjustRightInd w:val="0"/>
              <w:ind w:left="174" w:hanging="266"/>
              <w:textAlignment w:val="baseline"/>
              <w:rPr>
                <w:b/>
              </w:rPr>
            </w:pPr>
            <w:r w:rsidRPr="001A5EC5">
              <w:rPr>
                <w:b/>
              </w:rPr>
              <w:t>Rapporteur</w:t>
            </w:r>
          </w:p>
        </w:tc>
        <w:tc>
          <w:tcPr>
            <w:tcW w:w="5387" w:type="dxa"/>
          </w:tcPr>
          <w:p w:rsidRPr="001A5EC5" w:rsidR="001A5EC5" w:rsidP="00270FBE" w:rsidRDefault="001A5EC5" w14:paraId="64C714E3" w14:textId="77777777">
            <w:pPr>
              <w:overflowPunct w:val="0"/>
              <w:autoSpaceDE w:val="0"/>
              <w:autoSpaceDN w:val="0"/>
              <w:adjustRightInd w:val="0"/>
              <w:ind w:left="174" w:hanging="266"/>
              <w:textAlignment w:val="baseline"/>
              <w:rPr>
                <w:bCs/>
              </w:rPr>
            </w:pPr>
            <w:r w:rsidRPr="001A5EC5">
              <w:rPr>
                <w:bCs/>
              </w:rPr>
              <w:t>Matteo Carlo BORSANI (Employers' Group - IT)</w:t>
            </w:r>
          </w:p>
        </w:tc>
      </w:tr>
      <w:tr w:rsidRPr="001A5EC5" w:rsidR="001A5EC5" w:rsidTr="00FE3058" w14:paraId="32E56BAC" w14:textId="77777777">
        <w:tc>
          <w:tcPr>
            <w:tcW w:w="7088" w:type="dxa"/>
            <w:gridSpan w:val="2"/>
          </w:tcPr>
          <w:p w:rsidRPr="001A5EC5" w:rsidR="001A5EC5" w:rsidP="00270FBE" w:rsidRDefault="001A5EC5" w14:paraId="783F63D2" w14:textId="77777777">
            <w:pPr>
              <w:overflowPunct w:val="0"/>
              <w:autoSpaceDE w:val="0"/>
              <w:autoSpaceDN w:val="0"/>
              <w:adjustRightInd w:val="0"/>
              <w:spacing w:line="160" w:lineRule="exact"/>
              <w:ind w:left="174" w:hanging="266"/>
              <w:textAlignment w:val="baseline"/>
            </w:pPr>
          </w:p>
        </w:tc>
      </w:tr>
      <w:tr w:rsidRPr="001A5EC5" w:rsidR="001A5EC5" w:rsidTr="00FE3058" w14:paraId="2A351EBF" w14:textId="77777777">
        <w:tc>
          <w:tcPr>
            <w:tcW w:w="1701" w:type="dxa"/>
          </w:tcPr>
          <w:p w:rsidRPr="001A5EC5" w:rsidR="001A5EC5" w:rsidP="00270FBE" w:rsidRDefault="001A5EC5" w14:paraId="26606D0B" w14:textId="77777777">
            <w:pPr>
              <w:overflowPunct w:val="0"/>
              <w:autoSpaceDE w:val="0"/>
              <w:autoSpaceDN w:val="0"/>
              <w:adjustRightInd w:val="0"/>
              <w:ind w:left="174" w:hanging="266"/>
              <w:textAlignment w:val="baseline"/>
              <w:rPr>
                <w:b/>
              </w:rPr>
            </w:pPr>
            <w:r w:rsidRPr="001A5EC5">
              <w:rPr>
                <w:b/>
              </w:rPr>
              <w:t>References</w:t>
            </w:r>
          </w:p>
        </w:tc>
        <w:tc>
          <w:tcPr>
            <w:tcW w:w="5387" w:type="dxa"/>
          </w:tcPr>
          <w:p w:rsidRPr="001A5EC5" w:rsidR="001A5EC5" w:rsidP="00270FBE" w:rsidRDefault="001A5EC5" w14:paraId="5C440461" w14:textId="77777777">
            <w:pPr>
              <w:overflowPunct w:val="0"/>
              <w:autoSpaceDE w:val="0"/>
              <w:autoSpaceDN w:val="0"/>
              <w:adjustRightInd w:val="0"/>
              <w:ind w:left="174" w:hanging="266"/>
              <w:textAlignment w:val="baseline"/>
            </w:pPr>
            <w:r w:rsidRPr="001A5EC5">
              <w:t>COM(2024) 149 final</w:t>
            </w:r>
          </w:p>
          <w:p w:rsidRPr="001A5EC5" w:rsidR="001A5EC5" w:rsidP="00270FBE" w:rsidRDefault="001A5EC5" w14:paraId="3868DEB9" w14:textId="77777777">
            <w:pPr>
              <w:overflowPunct w:val="0"/>
              <w:autoSpaceDE w:val="0"/>
              <w:autoSpaceDN w:val="0"/>
              <w:adjustRightInd w:val="0"/>
              <w:ind w:left="174" w:hanging="266"/>
              <w:textAlignment w:val="baseline"/>
            </w:pPr>
            <w:r w:rsidRPr="001A5EC5">
              <w:t>EESC-2024-00987-00-00-AC</w:t>
            </w:r>
          </w:p>
        </w:tc>
      </w:tr>
    </w:tbl>
    <w:p w:rsidRPr="001A5EC5" w:rsidR="001A5EC5" w:rsidP="001A5EC5" w:rsidRDefault="001A5EC5" w14:paraId="52E9606C" w14:textId="77777777">
      <w:pPr>
        <w:keepNext/>
        <w:keepLines/>
        <w:tabs>
          <w:tab w:val="center" w:pos="284"/>
        </w:tabs>
        <w:overflowPunct w:val="0"/>
        <w:autoSpaceDE w:val="0"/>
        <w:autoSpaceDN w:val="0"/>
        <w:adjustRightInd w:val="0"/>
        <w:spacing w:before="120"/>
        <w:ind w:left="266" w:hanging="266"/>
        <w:textAlignment w:val="baseline"/>
        <w:rPr>
          <w:b/>
        </w:rPr>
      </w:pPr>
      <w:r w:rsidRPr="001A5EC5">
        <w:rPr>
          <w:b/>
        </w:rPr>
        <w:t>Key points</w:t>
      </w:r>
    </w:p>
    <w:p w:rsidRPr="001A5EC5" w:rsidR="001A5EC5" w:rsidP="001A5EC5" w:rsidRDefault="001A5EC5" w14:paraId="5E2503AC" w14:textId="77777777">
      <w:pPr>
        <w:overflowPunct w:val="0"/>
        <w:autoSpaceDE w:val="0"/>
        <w:autoSpaceDN w:val="0"/>
        <w:adjustRightInd w:val="0"/>
        <w:textAlignment w:val="baseline"/>
        <w:rPr>
          <w:bCs/>
          <w:iCs/>
        </w:rPr>
      </w:pPr>
    </w:p>
    <w:p w:rsidR="001A5EC5" w:rsidP="001A5EC5" w:rsidRDefault="001A5EC5" w14:paraId="4D0AC1AA" w14:textId="6DEDCE45">
      <w:pPr>
        <w:overflowPunct w:val="0"/>
        <w:autoSpaceDE w:val="0"/>
        <w:autoSpaceDN w:val="0"/>
        <w:adjustRightInd w:val="0"/>
        <w:textAlignment w:val="baseline"/>
        <w:rPr>
          <w:bCs/>
          <w:iCs/>
        </w:rPr>
      </w:pPr>
      <w:r w:rsidRPr="001A5EC5">
        <w:rPr>
          <w:bCs/>
          <w:iCs/>
        </w:rPr>
        <w:t>The EESC:</w:t>
      </w:r>
    </w:p>
    <w:p w:rsidRPr="001A5EC5" w:rsidR="00444F0D" w:rsidP="001A5EC5" w:rsidRDefault="00444F0D" w14:paraId="570F2CBE" w14:textId="77777777">
      <w:pPr>
        <w:overflowPunct w:val="0"/>
        <w:autoSpaceDE w:val="0"/>
        <w:autoSpaceDN w:val="0"/>
        <w:adjustRightInd w:val="0"/>
        <w:textAlignment w:val="baseline"/>
        <w:rPr>
          <w:bCs/>
          <w:iCs/>
        </w:rPr>
      </w:pPr>
    </w:p>
    <w:p w:rsidRPr="001A5EC5" w:rsidR="001A5EC5" w:rsidP="00270FBE" w:rsidRDefault="001A5EC5" w14:paraId="1478D8F5" w14:textId="77777777">
      <w:pPr>
        <w:numPr>
          <w:ilvl w:val="0"/>
          <w:numId w:val="14"/>
        </w:numPr>
        <w:overflowPunct w:val="0"/>
        <w:autoSpaceDE w:val="0"/>
        <w:autoSpaceDN w:val="0"/>
        <w:adjustRightInd w:val="0"/>
        <w:spacing w:after="200" w:line="276" w:lineRule="auto"/>
        <w:contextualSpacing/>
        <w:jc w:val="left"/>
        <w:textAlignment w:val="baseline"/>
        <w:rPr>
          <w:bCs/>
          <w:iCs/>
        </w:rPr>
      </w:pPr>
      <w:r w:rsidRPr="001A5EC5">
        <w:rPr>
          <w:bCs/>
          <w:iCs/>
        </w:rPr>
        <w:t xml:space="preserve">welcomes the presentation of the 9th Cohesion Report and regards the description of its results as comprehensive, as well as a useful starting point to take stock of the lessons learned; </w:t>
      </w:r>
    </w:p>
    <w:p w:rsidRPr="001A5EC5" w:rsidR="001A5EC5" w:rsidP="00270FBE" w:rsidRDefault="001A5EC5" w14:paraId="7B27E433" w14:textId="77777777">
      <w:pPr>
        <w:numPr>
          <w:ilvl w:val="0"/>
          <w:numId w:val="14"/>
        </w:numPr>
        <w:overflowPunct w:val="0"/>
        <w:autoSpaceDE w:val="0"/>
        <w:autoSpaceDN w:val="0"/>
        <w:adjustRightInd w:val="0"/>
        <w:spacing w:after="200" w:line="276" w:lineRule="auto"/>
        <w:contextualSpacing/>
        <w:textAlignment w:val="baseline"/>
        <w:rPr>
          <w:bCs/>
          <w:iCs/>
        </w:rPr>
      </w:pPr>
      <w:r w:rsidRPr="001A5EC5">
        <w:rPr>
          <w:bCs/>
          <w:iCs/>
        </w:rPr>
        <w:t>recommends focusing investments and policies on boosting the manufacturing base in order to enhance upward territorial cohesion, stressing that a positive correlation between productivity growth and an increase in GDP per head has proved to be the only similarity between growth in all types of regions;</w:t>
      </w:r>
    </w:p>
    <w:p w:rsidRPr="001A5EC5" w:rsidR="001A5EC5" w:rsidP="00270FBE" w:rsidRDefault="001A5EC5" w14:paraId="446A7762" w14:textId="77777777">
      <w:pPr>
        <w:numPr>
          <w:ilvl w:val="0"/>
          <w:numId w:val="14"/>
        </w:numPr>
        <w:overflowPunct w:val="0"/>
        <w:autoSpaceDE w:val="0"/>
        <w:autoSpaceDN w:val="0"/>
        <w:adjustRightInd w:val="0"/>
        <w:spacing w:after="200" w:line="276" w:lineRule="auto"/>
        <w:contextualSpacing/>
        <w:textAlignment w:val="baseline"/>
        <w:rPr>
          <w:rFonts w:ascii="Calibri" w:hAnsi="Calibri"/>
          <w:lang w:eastAsia="zh-CN"/>
        </w:rPr>
      </w:pPr>
      <w:r w:rsidRPr="001A5EC5">
        <w:rPr>
          <w:bCs/>
          <w:iCs/>
        </w:rPr>
        <w:t>emphasises the importance of competitiveness in boosting economic cohesion and of productive investments in stimulating competitiveness and economic growth, which in turn has a positive spill-over effect on territorial and social cohesion. It also underlines the importance of expanding access to cohesion policy funds for productive investments to big companies which are part of the SME ecosystem, under certain conditions related to its cascading effect over territory and society. Economic cohesion results should not be measured only in terms of amount of economic investments in a certain area, but also in terms of territorial and social results;</w:t>
      </w:r>
    </w:p>
    <w:p w:rsidRPr="001A5EC5" w:rsidR="001A5EC5" w:rsidP="00270FBE" w:rsidRDefault="001A5EC5" w14:paraId="4372B202" w14:textId="77777777">
      <w:pPr>
        <w:numPr>
          <w:ilvl w:val="0"/>
          <w:numId w:val="14"/>
        </w:numPr>
        <w:overflowPunct w:val="0"/>
        <w:autoSpaceDE w:val="0"/>
        <w:autoSpaceDN w:val="0"/>
        <w:adjustRightInd w:val="0"/>
        <w:spacing w:after="200" w:line="276" w:lineRule="auto"/>
        <w:contextualSpacing/>
        <w:textAlignment w:val="baseline"/>
        <w:rPr>
          <w:bCs/>
          <w:iCs/>
        </w:rPr>
      </w:pPr>
      <w:r w:rsidRPr="001A5EC5">
        <w:rPr>
          <w:bCs/>
          <w:iCs/>
        </w:rPr>
        <w:t>stresses the importance of a functioning and inclusive labour market in increasing social cohesion, through measures aimed at empowering EU citizens and workers with the right set of skills to enter and move within the labour market. In this context, recommends pairing policies to promote employment with policies to stimulate employability, including by targeting the share of society which risks being left behind and promoting the inclusion of people who are currently not part of the labour market;</w:t>
      </w:r>
    </w:p>
    <w:p w:rsidRPr="001A5EC5" w:rsidR="001A5EC5" w:rsidP="00270FBE" w:rsidRDefault="001A5EC5" w14:paraId="2223D48A" w14:textId="77777777">
      <w:pPr>
        <w:numPr>
          <w:ilvl w:val="0"/>
          <w:numId w:val="14"/>
        </w:numPr>
        <w:overflowPunct w:val="0"/>
        <w:autoSpaceDE w:val="0"/>
        <w:autoSpaceDN w:val="0"/>
        <w:adjustRightInd w:val="0"/>
        <w:spacing w:after="200" w:line="276" w:lineRule="auto"/>
        <w:contextualSpacing/>
        <w:textAlignment w:val="baseline"/>
        <w:rPr>
          <w:bCs/>
          <w:iCs/>
        </w:rPr>
      </w:pPr>
      <w:r w:rsidRPr="001A5EC5">
        <w:rPr>
          <w:bCs/>
          <w:iCs/>
        </w:rPr>
        <w:t>recommends promoting strategic investments in local and regional administration, in order to strengthen the system that plays a central role in implementing programmes. In fact, social, economic and territorial cohesion cannot be achieved without firstly achieving cohesion in public administrations’ capacity;</w:t>
      </w:r>
    </w:p>
    <w:p w:rsidRPr="001A5EC5" w:rsidR="001A5EC5" w:rsidP="00270FBE" w:rsidRDefault="001A5EC5" w14:paraId="539D757E" w14:textId="77777777">
      <w:pPr>
        <w:numPr>
          <w:ilvl w:val="0"/>
          <w:numId w:val="14"/>
        </w:numPr>
        <w:overflowPunct w:val="0"/>
        <w:autoSpaceDE w:val="0"/>
        <w:autoSpaceDN w:val="0"/>
        <w:adjustRightInd w:val="0"/>
        <w:spacing w:after="200" w:line="276" w:lineRule="auto"/>
        <w:contextualSpacing/>
        <w:textAlignment w:val="baseline"/>
        <w:rPr>
          <w:bCs/>
          <w:iCs/>
        </w:rPr>
      </w:pPr>
      <w:r w:rsidRPr="001A5EC5">
        <w:rPr>
          <w:bCs/>
          <w:iCs/>
        </w:rPr>
        <w:t>recommends ensuring the involvement of regional and local authorities, fulfilling the partnership principle and involving social partners and civil society organisations during any reflection on the future of the cohesion policy;</w:t>
      </w:r>
    </w:p>
    <w:p w:rsidRPr="001A5EC5" w:rsidR="001A5EC5" w:rsidP="00270FBE" w:rsidRDefault="001A5EC5" w14:paraId="5AB147ED" w14:textId="77777777">
      <w:pPr>
        <w:numPr>
          <w:ilvl w:val="0"/>
          <w:numId w:val="14"/>
        </w:numPr>
        <w:overflowPunct w:val="0"/>
        <w:autoSpaceDE w:val="0"/>
        <w:autoSpaceDN w:val="0"/>
        <w:adjustRightInd w:val="0"/>
        <w:spacing w:after="200" w:line="276" w:lineRule="auto"/>
        <w:contextualSpacing/>
        <w:textAlignment w:val="baseline"/>
        <w:rPr>
          <w:bCs/>
          <w:iCs/>
        </w:rPr>
      </w:pPr>
      <w:r w:rsidRPr="001A5EC5">
        <w:rPr>
          <w:bCs/>
          <w:iCs/>
        </w:rPr>
        <w:t>calls for the co-legislators to make the overall MFF budget more ambitious and to ensure adequate funding for the cohesion policy, including in view of the future need for EU investment in defence and of a 27+ European Union;</w:t>
      </w:r>
    </w:p>
    <w:p w:rsidR="001A5EC5" w:rsidP="00444F0D" w:rsidRDefault="001A5EC5" w14:paraId="5E21312D" w14:textId="7C3462A4">
      <w:pPr>
        <w:numPr>
          <w:ilvl w:val="0"/>
          <w:numId w:val="14"/>
        </w:numPr>
        <w:overflowPunct w:val="0"/>
        <w:autoSpaceDE w:val="0"/>
        <w:autoSpaceDN w:val="0"/>
        <w:adjustRightInd w:val="0"/>
        <w:spacing w:after="200" w:line="276" w:lineRule="auto"/>
        <w:contextualSpacing/>
        <w:textAlignment w:val="baseline"/>
        <w:rPr>
          <w:bCs/>
          <w:iCs/>
        </w:rPr>
      </w:pPr>
      <w:r w:rsidRPr="001A5EC5">
        <w:rPr>
          <w:bCs/>
          <w:iCs/>
        </w:rPr>
        <w:t>in this context, recommends considering future enlargements envisaged by the EU, which will require an effective and well-functioning cohesion policy, in order to guarantee the smooth integration of future Member States, without compromising investments in the current developing regions;</w:t>
      </w:r>
    </w:p>
    <w:p w:rsidRPr="001A5EC5" w:rsidR="00444F0D" w:rsidP="00270FBE" w:rsidRDefault="00444F0D" w14:paraId="00B923D2" w14:textId="77777777">
      <w:pPr>
        <w:overflowPunct w:val="0"/>
        <w:autoSpaceDE w:val="0"/>
        <w:autoSpaceDN w:val="0"/>
        <w:adjustRightInd w:val="0"/>
        <w:spacing w:after="200" w:line="276" w:lineRule="auto"/>
        <w:contextualSpacing/>
        <w:textAlignment w:val="baseline"/>
        <w:rPr>
          <w:bCs/>
          <w:iCs/>
        </w:rPr>
      </w:pPr>
    </w:p>
    <w:p w:rsidRPr="00270FBE" w:rsidR="001A5EC5" w:rsidP="00444F0D" w:rsidRDefault="001A5EC5" w14:paraId="3A6882A2" w14:textId="6ED2155C">
      <w:pPr>
        <w:numPr>
          <w:ilvl w:val="0"/>
          <w:numId w:val="14"/>
        </w:numPr>
        <w:overflowPunct w:val="0"/>
        <w:autoSpaceDE w:val="0"/>
        <w:autoSpaceDN w:val="0"/>
        <w:adjustRightInd w:val="0"/>
        <w:spacing w:after="200" w:line="276" w:lineRule="auto"/>
        <w:contextualSpacing/>
        <w:textAlignment w:val="baseline"/>
        <w:rPr>
          <w:bCs/>
          <w:iCs/>
        </w:rPr>
      </w:pPr>
      <w:r w:rsidRPr="001A5EC5">
        <w:rPr>
          <w:bCs/>
          <w:iCs/>
        </w:rPr>
        <w:t>finally, recommends using automatic and easy-to-implement investment tools for the transition towards a smarter and greener Europe. The challenges posed by the fair green and digital transitions and their ambitious targets require speed and readiness.</w:t>
      </w:r>
      <w:r w:rsidRPr="001A5EC5">
        <w:rPr>
          <w:rFonts w:ascii="Calibri" w:hAnsi="Calibri"/>
          <w:lang w:eastAsia="zh-CN"/>
        </w:rPr>
        <w:t xml:space="preserve"> </w:t>
      </w:r>
    </w:p>
    <w:p w:rsidRPr="001A5EC5" w:rsidR="00444F0D" w:rsidP="00270FBE" w:rsidRDefault="00444F0D" w14:paraId="0C8A63CF" w14:textId="77777777">
      <w:pPr>
        <w:overflowPunct w:val="0"/>
        <w:autoSpaceDE w:val="0"/>
        <w:autoSpaceDN w:val="0"/>
        <w:adjustRightInd w:val="0"/>
        <w:spacing w:after="200" w:line="276" w:lineRule="auto"/>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A5EC5" w:rsidR="001A5EC5" w:rsidTr="00FE3058" w14:paraId="3FFBD53A" w14:textId="77777777">
        <w:tc>
          <w:tcPr>
            <w:tcW w:w="1418" w:type="dxa"/>
          </w:tcPr>
          <w:p w:rsidRPr="001A5EC5" w:rsidR="001A5EC5" w:rsidP="001A5EC5" w:rsidRDefault="001A5EC5" w14:paraId="56686149" w14:textId="77777777">
            <w:pPr>
              <w:overflowPunct w:val="0"/>
              <w:autoSpaceDE w:val="0"/>
              <w:autoSpaceDN w:val="0"/>
              <w:adjustRightInd w:val="0"/>
              <w:spacing w:line="240" w:lineRule="auto"/>
              <w:textAlignment w:val="baseline"/>
              <w:rPr>
                <w:i/>
              </w:rPr>
            </w:pPr>
            <w:r w:rsidRPr="001A5EC5">
              <w:rPr>
                <w:b/>
                <w:i/>
              </w:rPr>
              <w:t>Contact</w:t>
            </w:r>
          </w:p>
        </w:tc>
        <w:tc>
          <w:tcPr>
            <w:tcW w:w="5670" w:type="dxa"/>
          </w:tcPr>
          <w:p w:rsidRPr="001A5EC5" w:rsidR="001A5EC5" w:rsidP="001A5EC5" w:rsidRDefault="001A5EC5" w14:paraId="7D68FE97" w14:textId="77777777">
            <w:pPr>
              <w:overflowPunct w:val="0"/>
              <w:autoSpaceDE w:val="0"/>
              <w:autoSpaceDN w:val="0"/>
              <w:adjustRightInd w:val="0"/>
              <w:spacing w:line="240" w:lineRule="auto"/>
              <w:textAlignment w:val="baseline"/>
              <w:rPr>
                <w:i/>
              </w:rPr>
            </w:pPr>
            <w:r w:rsidRPr="001A5EC5">
              <w:rPr>
                <w:i/>
              </w:rPr>
              <w:t>Georgios Meleas</w:t>
            </w:r>
          </w:p>
        </w:tc>
      </w:tr>
      <w:tr w:rsidRPr="001A5EC5" w:rsidR="001A5EC5" w:rsidTr="00FE3058" w14:paraId="654D5086" w14:textId="77777777">
        <w:tc>
          <w:tcPr>
            <w:tcW w:w="1418" w:type="dxa"/>
          </w:tcPr>
          <w:p w:rsidRPr="001A5EC5" w:rsidR="001A5EC5" w:rsidP="001A5EC5" w:rsidRDefault="001A5EC5" w14:paraId="3B2FDAFA" w14:textId="77777777">
            <w:pPr>
              <w:overflowPunct w:val="0"/>
              <w:autoSpaceDE w:val="0"/>
              <w:autoSpaceDN w:val="0"/>
              <w:adjustRightInd w:val="0"/>
              <w:spacing w:line="240" w:lineRule="auto"/>
              <w:textAlignment w:val="baseline"/>
              <w:rPr>
                <w:i/>
              </w:rPr>
            </w:pPr>
            <w:r w:rsidRPr="001A5EC5">
              <w:rPr>
                <w:i/>
              </w:rPr>
              <w:t>Tel.</w:t>
            </w:r>
          </w:p>
        </w:tc>
        <w:tc>
          <w:tcPr>
            <w:tcW w:w="5670" w:type="dxa"/>
          </w:tcPr>
          <w:p w:rsidRPr="001A5EC5" w:rsidR="001A5EC5" w:rsidP="001A5EC5" w:rsidRDefault="001A5EC5" w14:paraId="35F0788C" w14:textId="77777777">
            <w:pPr>
              <w:overflowPunct w:val="0"/>
              <w:autoSpaceDE w:val="0"/>
              <w:autoSpaceDN w:val="0"/>
              <w:adjustRightInd w:val="0"/>
              <w:spacing w:line="240" w:lineRule="auto"/>
              <w:textAlignment w:val="baseline"/>
              <w:rPr>
                <w:i/>
              </w:rPr>
            </w:pPr>
            <w:r w:rsidRPr="001A5EC5">
              <w:rPr>
                <w:i/>
              </w:rPr>
              <w:t>+32 25469795</w:t>
            </w:r>
          </w:p>
        </w:tc>
      </w:tr>
      <w:tr w:rsidRPr="001A5EC5" w:rsidR="001A5EC5" w:rsidTr="00FE3058" w14:paraId="710F66DA" w14:textId="77777777">
        <w:tc>
          <w:tcPr>
            <w:tcW w:w="1418" w:type="dxa"/>
          </w:tcPr>
          <w:p w:rsidRPr="001A5EC5" w:rsidR="001A5EC5" w:rsidP="001A5EC5" w:rsidRDefault="001A5EC5" w14:paraId="62171153" w14:textId="77777777">
            <w:pPr>
              <w:overflowPunct w:val="0"/>
              <w:autoSpaceDE w:val="0"/>
              <w:autoSpaceDN w:val="0"/>
              <w:adjustRightInd w:val="0"/>
              <w:spacing w:line="240" w:lineRule="auto"/>
              <w:textAlignment w:val="baseline"/>
              <w:rPr>
                <w:i/>
              </w:rPr>
            </w:pPr>
            <w:r w:rsidRPr="001A5EC5">
              <w:rPr>
                <w:i/>
              </w:rPr>
              <w:t>Email</w:t>
            </w:r>
          </w:p>
        </w:tc>
        <w:tc>
          <w:tcPr>
            <w:tcW w:w="5670" w:type="dxa"/>
          </w:tcPr>
          <w:p w:rsidRPr="001A5EC5" w:rsidR="001A5EC5" w:rsidP="001A5EC5" w:rsidRDefault="0015356A" w14:paraId="2A008587" w14:textId="77777777">
            <w:pPr>
              <w:overflowPunct w:val="0"/>
              <w:autoSpaceDE w:val="0"/>
              <w:autoSpaceDN w:val="0"/>
              <w:adjustRightInd w:val="0"/>
              <w:spacing w:line="240" w:lineRule="auto"/>
              <w:textAlignment w:val="baseline"/>
              <w:rPr>
                <w:i/>
              </w:rPr>
            </w:pPr>
            <w:hyperlink w:history="1" r:id="rId23">
              <w:r w:rsidRPr="001A5EC5" w:rsidR="001A5EC5">
                <w:rPr>
                  <w:i/>
                  <w:color w:val="0000FF"/>
                  <w:u w:val="single"/>
                </w:rPr>
                <w:t>Georgios.Meleas@eesc.europa.eu</w:t>
              </w:r>
            </w:hyperlink>
            <w:r w:rsidRPr="001A5EC5" w:rsidR="001A5EC5">
              <w:rPr>
                <w:i/>
              </w:rPr>
              <w:t xml:space="preserve"> </w:t>
            </w:r>
          </w:p>
        </w:tc>
      </w:tr>
    </w:tbl>
    <w:p w:rsidR="005C28F2" w:rsidP="00770F41" w:rsidRDefault="005C28F2" w14:paraId="75A160E4" w14:textId="4CAAFB00">
      <w:pPr>
        <w:tabs>
          <w:tab w:val="center" w:pos="284"/>
        </w:tabs>
        <w:overflowPunct w:val="0"/>
        <w:autoSpaceDE w:val="0"/>
        <w:autoSpaceDN w:val="0"/>
        <w:adjustRightInd w:val="0"/>
        <w:ind w:left="266" w:hanging="266"/>
        <w:textAlignment w:val="baseline"/>
        <w:rPr>
          <w:b/>
          <w:sz w:val="24"/>
          <w:szCs w:val="24"/>
        </w:rPr>
      </w:pPr>
    </w:p>
    <w:p w:rsidR="005C28F2" w:rsidRDefault="005C28F2" w14:paraId="566BFFD9" w14:textId="77777777">
      <w:pPr>
        <w:spacing w:after="160" w:line="259" w:lineRule="auto"/>
        <w:jc w:val="left"/>
        <w:rPr>
          <w:b/>
          <w:sz w:val="24"/>
          <w:szCs w:val="24"/>
        </w:rPr>
      </w:pPr>
      <w:r>
        <w:rPr>
          <w:b/>
          <w:sz w:val="24"/>
          <w:szCs w:val="24"/>
        </w:rPr>
        <w:br w:type="page"/>
      </w:r>
    </w:p>
    <w:p w:rsidRPr="00502E1F" w:rsidR="00502E1F" w:rsidP="00270FBE" w:rsidRDefault="005C28F2" w14:paraId="26F82B31" w14:textId="13D21940">
      <w:pPr>
        <w:pStyle w:val="Heading1"/>
        <w:tabs>
          <w:tab w:val="clear" w:pos="440"/>
          <w:tab w:val="left" w:pos="567"/>
        </w:tabs>
        <w:ind w:left="567" w:hanging="567"/>
        <w:rPr>
          <w:color w:val="000000" w:themeColor="text1"/>
        </w:rPr>
      </w:pPr>
      <w:hyperlink w:history="1" w:anchor="_Toc159831769">
        <w:bookmarkStart w:name="_Toc168332491" w:id="2"/>
        <w:r w:rsidRPr="00502E1F" w:rsidR="00502E1F">
          <w:rPr>
            <w:rStyle w:val="Hyperlink"/>
            <w:b/>
            <w:color w:val="000000" w:themeColor="text1"/>
            <w:u w:val="none"/>
          </w:rPr>
          <w:t>EMPLOYMENT, SOCIAL AFFAIRS AND CITIZENSHIP</w:t>
        </w:r>
        <w:bookmarkEnd w:id="2"/>
      </w:hyperlink>
    </w:p>
    <w:p w:rsidR="00502E1F" w:rsidP="00502E1F" w:rsidRDefault="00502E1F" w14:paraId="7FCC1962" w14:textId="6F84DBB9"/>
    <w:p w:rsidR="005C28F2" w:rsidP="00502E1F" w:rsidRDefault="005C28F2" w14:paraId="56EE42DD" w14:textId="77777777"/>
    <w:p w:rsidRPr="004E7105" w:rsidR="004E7105" w:rsidP="00C26C81" w:rsidRDefault="0015356A" w14:paraId="7766257F" w14:textId="21F80ADF">
      <w:pPr>
        <w:widowControl w:val="0"/>
        <w:numPr>
          <w:ilvl w:val="0"/>
          <w:numId w:val="7"/>
        </w:numPr>
        <w:overflowPunct w:val="0"/>
        <w:autoSpaceDE w:val="0"/>
        <w:autoSpaceDN w:val="0"/>
        <w:adjustRightInd w:val="0"/>
        <w:ind w:hanging="567"/>
        <w:textAlignment w:val="baseline"/>
        <w:rPr>
          <w:b/>
          <w:bCs/>
          <w:i/>
          <w:iCs/>
          <w:color w:val="0000FF"/>
          <w:sz w:val="28"/>
          <w:szCs w:val="28"/>
          <w:u w:val="single"/>
          <w:lang w:val="en-US"/>
        </w:rPr>
      </w:pPr>
      <w:hyperlink w:history="1" r:id="rId24">
        <w:r w:rsidRPr="004E7105" w:rsidR="004E7105">
          <w:rPr>
            <w:b/>
            <w:bCs/>
            <w:i/>
            <w:iCs/>
            <w:color w:val="0000FF"/>
            <w:sz w:val="28"/>
            <w:szCs w:val="28"/>
            <w:u w:val="single"/>
          </w:rPr>
          <w:t>Vaccine preventable cancers</w:t>
        </w:r>
      </w:hyperlink>
      <w:r w:rsidRPr="004E7105" w:rsidR="004E7105">
        <w:rPr>
          <w:b/>
          <w:bCs/>
          <w:i/>
          <w:iCs/>
          <w:sz w:val="28"/>
          <w:szCs w:val="28"/>
          <w:lang w:val="en-US"/>
        </w:rPr>
        <w:fldChar w:fldCharType="begin"/>
      </w:r>
      <w:r w:rsidRPr="004E7105" w:rsidR="004E7105">
        <w:rPr>
          <w:b/>
          <w:bCs/>
          <w:i/>
          <w:iCs/>
          <w:sz w:val="28"/>
          <w:szCs w:val="28"/>
          <w:lang w:val="en-US"/>
        </w:rPr>
        <w:instrText xml:space="preserve"> HYPERLINK "https://www.eesc.europa.eu/en/our-work/opinions-information-reports/opinions/anti-smuggling-package" </w:instrText>
      </w:r>
      <w:r w:rsidRPr="004E7105" w:rsidR="004E7105">
        <w:rPr>
          <w:b/>
          <w:bCs/>
          <w:i/>
          <w:iCs/>
          <w:sz w:val="28"/>
          <w:szCs w:val="28"/>
          <w:lang w:val="en-US"/>
        </w:rPr>
        <w:fldChar w:fldCharType="separate"/>
      </w:r>
    </w:p>
    <w:p w:rsidRPr="004E7105" w:rsidR="004E7105" w:rsidP="004E7105" w:rsidRDefault="004E7105" w14:paraId="24B983D5" w14:textId="763F0B12">
      <w:pPr>
        <w:widowControl w:val="0"/>
        <w:overflowPunct w:val="0"/>
        <w:autoSpaceDE w:val="0"/>
        <w:autoSpaceDN w:val="0"/>
        <w:adjustRightInd w:val="0"/>
        <w:ind w:left="567"/>
        <w:textAlignment w:val="baseline"/>
        <w:rPr>
          <w:b/>
          <w:bCs/>
          <w:i/>
          <w:iCs/>
          <w:sz w:val="28"/>
          <w:szCs w:val="28"/>
          <w:lang w:val="en-US"/>
        </w:rPr>
      </w:pPr>
      <w:r w:rsidRPr="004E7105">
        <w:rPr>
          <w:b/>
          <w:bCs/>
          <w:i/>
          <w:iCs/>
          <w:sz w:val="28"/>
          <w:szCs w:val="28"/>
          <w:lang w:val="en-US"/>
        </w:rPr>
        <w:fldChar w:fldCharType="end"/>
      </w:r>
    </w:p>
    <w:tbl>
      <w:tblPr>
        <w:tblStyle w:val="TableGrid214"/>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572"/>
      </w:tblGrid>
      <w:tr w:rsidRPr="004E7105" w:rsidR="004E7105" w:rsidTr="00FE3058" w14:paraId="71118AAD" w14:textId="77777777">
        <w:tc>
          <w:tcPr>
            <w:tcW w:w="1522" w:type="pct"/>
          </w:tcPr>
          <w:p w:rsidRPr="004E7105" w:rsidR="004E7105" w:rsidP="004E7105" w:rsidRDefault="004E7105" w14:paraId="7C033E3E" w14:textId="77777777">
            <w:pPr>
              <w:widowControl w:val="0"/>
              <w:overflowPunct w:val="0"/>
              <w:autoSpaceDE w:val="0"/>
              <w:autoSpaceDN w:val="0"/>
              <w:adjustRightInd w:val="0"/>
              <w:ind w:left="-113"/>
              <w:textAlignment w:val="baseline"/>
              <w:rPr>
                <w:b/>
              </w:rPr>
            </w:pPr>
            <w:r w:rsidRPr="004E7105">
              <w:rPr>
                <w:b/>
              </w:rPr>
              <w:t>Rapporteur</w:t>
            </w:r>
          </w:p>
          <w:p w:rsidRPr="004E7105" w:rsidR="004E7105" w:rsidP="004E7105" w:rsidRDefault="004E7105" w14:paraId="2377D5BF" w14:textId="77777777">
            <w:pPr>
              <w:widowControl w:val="0"/>
              <w:overflowPunct w:val="0"/>
              <w:autoSpaceDE w:val="0"/>
              <w:autoSpaceDN w:val="0"/>
              <w:adjustRightInd w:val="0"/>
              <w:ind w:left="-113"/>
              <w:textAlignment w:val="baseline"/>
              <w:rPr>
                <w:b/>
              </w:rPr>
            </w:pPr>
            <w:r w:rsidRPr="004E7105">
              <w:rPr>
                <w:b/>
              </w:rPr>
              <w:t>Co-rapporteur</w:t>
            </w:r>
          </w:p>
          <w:p w:rsidRPr="004E7105" w:rsidR="004E7105" w:rsidP="004E7105" w:rsidRDefault="004E7105" w14:paraId="474FD8BA" w14:textId="77777777">
            <w:pPr>
              <w:widowControl w:val="0"/>
              <w:overflowPunct w:val="0"/>
              <w:autoSpaceDE w:val="0"/>
              <w:autoSpaceDN w:val="0"/>
              <w:adjustRightInd w:val="0"/>
              <w:ind w:left="-113"/>
              <w:textAlignment w:val="baseline"/>
              <w:rPr>
                <w:b/>
              </w:rPr>
            </w:pPr>
          </w:p>
        </w:tc>
        <w:tc>
          <w:tcPr>
            <w:tcW w:w="3478" w:type="pct"/>
          </w:tcPr>
          <w:p w:rsidRPr="004E7105" w:rsidR="004E7105" w:rsidP="004E7105" w:rsidRDefault="004E7105" w14:paraId="5D3A3754" w14:textId="77777777">
            <w:pPr>
              <w:widowControl w:val="0"/>
              <w:tabs>
                <w:tab w:val="left" w:pos="4572"/>
              </w:tabs>
              <w:overflowPunct w:val="0"/>
              <w:autoSpaceDE w:val="0"/>
              <w:autoSpaceDN w:val="0"/>
              <w:adjustRightInd w:val="0"/>
              <w:ind w:left="-113" w:right="-823"/>
              <w:textAlignment w:val="baseline"/>
            </w:pPr>
            <w:r w:rsidRPr="004E7105">
              <w:t>Milena ANGELOVA (Employers' Group - BG)</w:t>
            </w:r>
          </w:p>
          <w:p w:rsidRPr="004E7105" w:rsidR="004E7105" w:rsidP="004E7105" w:rsidRDefault="004E7105" w14:paraId="1D69709A" w14:textId="77777777">
            <w:pPr>
              <w:widowControl w:val="0"/>
              <w:tabs>
                <w:tab w:val="left" w:pos="4572"/>
              </w:tabs>
              <w:overflowPunct w:val="0"/>
              <w:autoSpaceDE w:val="0"/>
              <w:autoSpaceDN w:val="0"/>
              <w:adjustRightInd w:val="0"/>
              <w:ind w:left="-113" w:right="-823"/>
              <w:textAlignment w:val="baseline"/>
            </w:pPr>
            <w:r w:rsidRPr="004E7105">
              <w:t>Sára FELSZEGHI (Workers' Group - HU)</w:t>
            </w:r>
          </w:p>
        </w:tc>
      </w:tr>
      <w:tr w:rsidRPr="004E7105" w:rsidR="004E7105" w:rsidTr="00FE3058" w14:paraId="7E7454B0" w14:textId="77777777">
        <w:tc>
          <w:tcPr>
            <w:tcW w:w="1522" w:type="pct"/>
            <w:vMerge w:val="restart"/>
          </w:tcPr>
          <w:p w:rsidRPr="004E7105" w:rsidR="004E7105" w:rsidP="004E7105" w:rsidRDefault="004E7105" w14:paraId="4901FAAB" w14:textId="77777777">
            <w:pPr>
              <w:widowControl w:val="0"/>
              <w:overflowPunct w:val="0"/>
              <w:autoSpaceDE w:val="0"/>
              <w:autoSpaceDN w:val="0"/>
              <w:adjustRightInd w:val="0"/>
              <w:ind w:left="-113"/>
              <w:textAlignment w:val="baseline"/>
              <w:rPr>
                <w:b/>
              </w:rPr>
            </w:pPr>
            <w:r w:rsidRPr="004E7105">
              <w:rPr>
                <w:b/>
              </w:rPr>
              <w:t>References</w:t>
            </w:r>
          </w:p>
        </w:tc>
        <w:tc>
          <w:tcPr>
            <w:tcW w:w="3478" w:type="pct"/>
          </w:tcPr>
          <w:p w:rsidRPr="004E7105" w:rsidR="004E7105" w:rsidP="004E7105" w:rsidRDefault="004E7105" w14:paraId="6BFA5AA5" w14:textId="77777777">
            <w:pPr>
              <w:widowControl w:val="0"/>
              <w:tabs>
                <w:tab w:val="left" w:pos="4430"/>
              </w:tabs>
              <w:overflowPunct w:val="0"/>
              <w:autoSpaceDE w:val="0"/>
              <w:autoSpaceDN w:val="0"/>
              <w:adjustRightInd w:val="0"/>
              <w:ind w:left="-113" w:right="-823"/>
              <w:textAlignment w:val="baseline"/>
            </w:pPr>
            <w:r w:rsidRPr="004E7105">
              <w:t>COM(2024) 45 final</w:t>
            </w:r>
          </w:p>
        </w:tc>
      </w:tr>
      <w:tr w:rsidRPr="004E7105" w:rsidR="004E7105" w:rsidTr="00FE3058" w14:paraId="75B0E482" w14:textId="77777777">
        <w:tc>
          <w:tcPr>
            <w:tcW w:w="1522" w:type="pct"/>
            <w:vMerge/>
          </w:tcPr>
          <w:p w:rsidRPr="004E7105" w:rsidR="004E7105" w:rsidP="004E7105" w:rsidRDefault="004E7105" w14:paraId="4FE1E1BE" w14:textId="77777777">
            <w:pPr>
              <w:widowControl w:val="0"/>
              <w:tabs>
                <w:tab w:val="center" w:pos="284"/>
              </w:tabs>
              <w:overflowPunct w:val="0"/>
              <w:autoSpaceDE w:val="0"/>
              <w:autoSpaceDN w:val="0"/>
              <w:adjustRightInd w:val="0"/>
              <w:ind w:left="266" w:hanging="266"/>
              <w:textAlignment w:val="baseline"/>
              <w:rPr>
                <w:b/>
              </w:rPr>
            </w:pPr>
          </w:p>
        </w:tc>
        <w:tc>
          <w:tcPr>
            <w:tcW w:w="3478" w:type="pct"/>
          </w:tcPr>
          <w:p w:rsidRPr="004E7105" w:rsidR="004E7105" w:rsidP="004E7105" w:rsidRDefault="004E7105" w14:paraId="279E0EF7" w14:textId="43C5D0EF">
            <w:pPr>
              <w:widowControl w:val="0"/>
              <w:tabs>
                <w:tab w:val="center" w:pos="38"/>
                <w:tab w:val="left" w:pos="4430"/>
              </w:tabs>
              <w:overflowPunct w:val="0"/>
              <w:autoSpaceDE w:val="0"/>
              <w:autoSpaceDN w:val="0"/>
              <w:adjustRightInd w:val="0"/>
              <w:ind w:left="266" w:right="-823" w:hanging="370"/>
              <w:textAlignment w:val="baseline"/>
            </w:pPr>
            <w:r w:rsidRPr="004E7105">
              <w:t>EESC-2024-00425-00-00-AC</w:t>
            </w:r>
          </w:p>
        </w:tc>
      </w:tr>
    </w:tbl>
    <w:p w:rsidRPr="004E7105" w:rsidR="004E7105" w:rsidP="004E7105" w:rsidRDefault="004E7105" w14:paraId="1E3B33B5"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603B708E" w14:textId="77777777">
      <w:pPr>
        <w:widowControl w:val="0"/>
        <w:tabs>
          <w:tab w:val="center" w:pos="284"/>
        </w:tabs>
        <w:overflowPunct w:val="0"/>
        <w:autoSpaceDE w:val="0"/>
        <w:autoSpaceDN w:val="0"/>
        <w:adjustRightInd w:val="0"/>
        <w:ind w:left="266" w:hanging="266"/>
        <w:textAlignment w:val="baseline"/>
        <w:rPr>
          <w:b/>
        </w:rPr>
      </w:pPr>
      <w:r w:rsidRPr="004E7105">
        <w:rPr>
          <w:b/>
        </w:rPr>
        <w:t>Key points</w:t>
      </w:r>
    </w:p>
    <w:p w:rsidRPr="004E7105" w:rsidR="004E7105" w:rsidP="004E7105" w:rsidRDefault="004E7105" w14:paraId="6359F491"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0D08379E" w14:textId="77777777">
      <w:pPr>
        <w:widowControl w:val="0"/>
        <w:tabs>
          <w:tab w:val="center" w:pos="284"/>
        </w:tabs>
        <w:overflowPunct w:val="0"/>
        <w:autoSpaceDE w:val="0"/>
        <w:autoSpaceDN w:val="0"/>
        <w:adjustRightInd w:val="0"/>
        <w:ind w:left="266" w:hanging="266"/>
        <w:textAlignment w:val="baseline"/>
        <w:rPr>
          <w:szCs w:val="20"/>
        </w:rPr>
      </w:pPr>
      <w:r w:rsidRPr="004E7105">
        <w:rPr>
          <w:szCs w:val="20"/>
        </w:rPr>
        <w:t>The EESC:</w:t>
      </w:r>
    </w:p>
    <w:p w:rsidRPr="004E7105" w:rsidR="004E7105" w:rsidP="004E7105" w:rsidRDefault="004E7105" w14:paraId="0F4A732E" w14:textId="77777777">
      <w:pPr>
        <w:widowControl w:val="0"/>
        <w:tabs>
          <w:tab w:val="center" w:pos="284"/>
        </w:tabs>
        <w:overflowPunct w:val="0"/>
        <w:autoSpaceDE w:val="0"/>
        <w:autoSpaceDN w:val="0"/>
        <w:adjustRightInd w:val="0"/>
        <w:ind w:left="266" w:hanging="266"/>
        <w:textAlignment w:val="baseline"/>
        <w:rPr>
          <w:szCs w:val="20"/>
        </w:rPr>
      </w:pPr>
    </w:p>
    <w:p w:rsidRPr="00C17044" w:rsidR="004E7105" w:rsidP="00270FBE" w:rsidRDefault="004E7105" w14:paraId="20B5B3BF" w14:textId="26D7C2FC">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4E7105">
        <w:rPr>
          <w:lang w:eastAsia="zh-CN"/>
        </w:rPr>
        <w:t>encourages sharing of experience, good practices and intensive cooperation between Member States;</w:t>
      </w:r>
    </w:p>
    <w:p w:rsidRPr="00C17044" w:rsidR="004E7105" w:rsidP="00270FBE" w:rsidRDefault="004E7105" w14:paraId="00661456" w14:textId="3E5FFA9D">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4E7105">
        <w:rPr>
          <w:lang w:eastAsia="zh-CN"/>
        </w:rPr>
        <w:t>recommends to enhance both demand and supply of vaccination and highlights the need for proper information, education and communication and underlines the role of the school healthcare system and parents in this endeavour. Cancer prevention should become a priority at the political level and accompanied by the necessary financial, material and human resources;</w:t>
      </w:r>
    </w:p>
    <w:p w:rsidRPr="00C17044" w:rsidR="004E7105" w:rsidP="00270FBE" w:rsidRDefault="004E7105" w14:paraId="565730E6" w14:textId="031E344D">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4E7105">
        <w:rPr>
          <w:lang w:eastAsia="zh-CN"/>
        </w:rPr>
        <w:t>calls for strong efforts to fight misinformation and disinformation by acquiring science-based evidence, as well as by spreading fact-based information through different channels including social media;</w:t>
      </w:r>
    </w:p>
    <w:p w:rsidRPr="00C17044" w:rsidR="004E7105" w:rsidP="00270FBE" w:rsidRDefault="004E7105" w14:paraId="7BCF3EFF" w14:textId="38C92A97">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4E7105">
        <w:rPr>
          <w:lang w:eastAsia="zh-CN"/>
        </w:rPr>
        <w:t>believes that general practitioners, family doctors, school physicians and also civil society organisations can play an important role in providing proper information, decreasing fears and scepticism and guiding people to take vaccinations. To ensure that messages are attractive for younger people, the EESC advocates enhancing communication efforts through youth-led organisations;</w:t>
      </w:r>
    </w:p>
    <w:p w:rsidRPr="00C17044" w:rsidR="004E7105" w:rsidP="00270FBE" w:rsidRDefault="004E7105" w14:paraId="0DC26772" w14:textId="1873BAAD">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4E7105">
        <w:rPr>
          <w:lang w:eastAsia="zh-CN"/>
        </w:rPr>
        <w:t>emphasises the need for gender equality in cancer prevention measures and calls for providing HPV vaccination to all girls and boys of a certain age, to intensify communication on the availability of HPV vaccination for boys and to gather and publish information on the vaccination rates of both boys and girls in various Member States;</w:t>
      </w:r>
    </w:p>
    <w:p w:rsidRPr="004E7105" w:rsidR="004E7105" w:rsidP="00270FBE" w:rsidRDefault="004E7105" w14:paraId="76072B6C" w14:textId="77777777">
      <w:pPr>
        <w:keepNext/>
        <w:keepLines/>
        <w:numPr>
          <w:ilvl w:val="0"/>
          <w:numId w:val="15"/>
        </w:numPr>
        <w:tabs>
          <w:tab w:val="center" w:pos="284"/>
        </w:tabs>
        <w:overflowPunct w:val="0"/>
        <w:autoSpaceDE w:val="0"/>
        <w:autoSpaceDN w:val="0"/>
        <w:adjustRightInd w:val="0"/>
        <w:ind w:left="284" w:hanging="284"/>
        <w:contextualSpacing/>
        <w:textAlignment w:val="baseline"/>
        <w:rPr>
          <w:lang w:eastAsia="zh-CN"/>
        </w:rPr>
      </w:pPr>
      <w:r w:rsidRPr="004E7105">
        <w:rPr>
          <w:lang w:eastAsia="zh-CN"/>
        </w:rPr>
        <w:t>highlights the importance of easy access to vaccination in terms of geographic location, as well as the need for focused action to reach people from various disadvantaged groups and people with specific risks.</w:t>
      </w:r>
    </w:p>
    <w:p w:rsidRPr="004E7105" w:rsidR="004E7105" w:rsidP="004E7105" w:rsidRDefault="004E7105" w14:paraId="451AD803" w14:textId="77777777">
      <w:pPr>
        <w:widowControl w:val="0"/>
        <w:overflowPunct w:val="0"/>
        <w:autoSpaceDE w:val="0"/>
        <w:autoSpaceDN w:val="0"/>
        <w:adjustRightInd w:val="0"/>
        <w:ind w:left="709"/>
        <w:textAlignment w:val="baseline"/>
        <w:rPr>
          <w:sz w:val="16"/>
          <w:szCs w:val="16"/>
        </w:rPr>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4E7105" w:rsidR="004E7105" w:rsidTr="00FE3058" w14:paraId="649C5F6D" w14:textId="77777777">
        <w:tc>
          <w:tcPr>
            <w:tcW w:w="1556" w:type="pct"/>
          </w:tcPr>
          <w:p w:rsidRPr="004E7105" w:rsidR="004E7105" w:rsidP="004E7105" w:rsidRDefault="004E7105" w14:paraId="31DDC109" w14:textId="77777777">
            <w:pPr>
              <w:widowControl w:val="0"/>
              <w:overflowPunct w:val="0"/>
              <w:autoSpaceDE w:val="0"/>
              <w:autoSpaceDN w:val="0"/>
              <w:adjustRightInd w:val="0"/>
              <w:textAlignment w:val="baseline"/>
              <w:rPr>
                <w:i/>
              </w:rPr>
            </w:pPr>
            <w:r w:rsidRPr="004E7105">
              <w:rPr>
                <w:b/>
                <w:i/>
              </w:rPr>
              <w:t>Contact</w:t>
            </w:r>
          </w:p>
        </w:tc>
        <w:tc>
          <w:tcPr>
            <w:tcW w:w="3444" w:type="pct"/>
          </w:tcPr>
          <w:p w:rsidRPr="004E7105" w:rsidR="004E7105" w:rsidP="004E7105" w:rsidRDefault="004E7105" w14:paraId="234336DC" w14:textId="3DE03174">
            <w:pPr>
              <w:widowControl w:val="0"/>
              <w:overflowPunct w:val="0"/>
              <w:autoSpaceDE w:val="0"/>
              <w:autoSpaceDN w:val="0"/>
              <w:adjustRightInd w:val="0"/>
              <w:textAlignment w:val="baseline"/>
              <w:rPr>
                <w:i/>
              </w:rPr>
            </w:pPr>
            <w:r w:rsidRPr="004E7105">
              <w:rPr>
                <w:i/>
              </w:rPr>
              <w:t>Valeria A</w:t>
            </w:r>
            <w:r w:rsidRPr="004E7105" w:rsidR="00C17044">
              <w:rPr>
                <w:i/>
              </w:rPr>
              <w:t>tzori</w:t>
            </w:r>
          </w:p>
        </w:tc>
      </w:tr>
      <w:tr w:rsidRPr="004E7105" w:rsidR="004E7105" w:rsidTr="00FE3058" w14:paraId="77487634" w14:textId="77777777">
        <w:tc>
          <w:tcPr>
            <w:tcW w:w="1556" w:type="pct"/>
          </w:tcPr>
          <w:p w:rsidRPr="004E7105" w:rsidR="004E7105" w:rsidP="004E7105" w:rsidRDefault="004E7105" w14:paraId="5E05B9B4" w14:textId="77777777">
            <w:pPr>
              <w:widowControl w:val="0"/>
              <w:overflowPunct w:val="0"/>
              <w:autoSpaceDE w:val="0"/>
              <w:autoSpaceDN w:val="0"/>
              <w:adjustRightInd w:val="0"/>
              <w:textAlignment w:val="baseline"/>
              <w:rPr>
                <w:i/>
              </w:rPr>
            </w:pPr>
            <w:r w:rsidRPr="004E7105">
              <w:rPr>
                <w:i/>
              </w:rPr>
              <w:t>Tel.</w:t>
            </w:r>
          </w:p>
        </w:tc>
        <w:tc>
          <w:tcPr>
            <w:tcW w:w="3444" w:type="pct"/>
          </w:tcPr>
          <w:p w:rsidRPr="004E7105" w:rsidR="004E7105" w:rsidP="004E7105" w:rsidRDefault="004E7105" w14:paraId="1CB217D1" w14:textId="77777777">
            <w:pPr>
              <w:widowControl w:val="0"/>
              <w:overflowPunct w:val="0"/>
              <w:autoSpaceDE w:val="0"/>
              <w:autoSpaceDN w:val="0"/>
              <w:adjustRightInd w:val="0"/>
              <w:textAlignment w:val="baseline"/>
              <w:rPr>
                <w:i/>
              </w:rPr>
            </w:pPr>
            <w:r w:rsidRPr="004E7105">
              <w:rPr>
                <w:i/>
              </w:rPr>
              <w:t>+32 25468774</w:t>
            </w:r>
          </w:p>
        </w:tc>
      </w:tr>
      <w:tr w:rsidRPr="004E7105" w:rsidR="004E7105" w:rsidTr="00FE3058" w14:paraId="00AFAE0F" w14:textId="77777777">
        <w:tc>
          <w:tcPr>
            <w:tcW w:w="1556" w:type="pct"/>
          </w:tcPr>
          <w:p w:rsidRPr="004E7105" w:rsidR="004E7105" w:rsidP="004E7105" w:rsidRDefault="004E7105" w14:paraId="31EB9B75" w14:textId="77777777">
            <w:pPr>
              <w:widowControl w:val="0"/>
              <w:overflowPunct w:val="0"/>
              <w:autoSpaceDE w:val="0"/>
              <w:autoSpaceDN w:val="0"/>
              <w:adjustRightInd w:val="0"/>
              <w:textAlignment w:val="baseline"/>
              <w:rPr>
                <w:i/>
              </w:rPr>
            </w:pPr>
            <w:r w:rsidRPr="004E7105">
              <w:rPr>
                <w:i/>
              </w:rPr>
              <w:t>Email</w:t>
            </w:r>
          </w:p>
        </w:tc>
        <w:tc>
          <w:tcPr>
            <w:tcW w:w="3444" w:type="pct"/>
          </w:tcPr>
          <w:p w:rsidRPr="004E7105" w:rsidR="004E7105" w:rsidP="004E7105" w:rsidRDefault="0015356A" w14:paraId="36B7A701" w14:textId="77777777">
            <w:pPr>
              <w:widowControl w:val="0"/>
              <w:overflowPunct w:val="0"/>
              <w:autoSpaceDE w:val="0"/>
              <w:autoSpaceDN w:val="0"/>
              <w:adjustRightInd w:val="0"/>
              <w:textAlignment w:val="baseline"/>
              <w:rPr>
                <w:color w:val="0000FF"/>
                <w:u w:val="single"/>
              </w:rPr>
            </w:pPr>
            <w:hyperlink w:history="1" r:id="rId25">
              <w:r w:rsidRPr="004E7105" w:rsidR="004E7105">
                <w:rPr>
                  <w:i/>
                  <w:color w:val="0000FF"/>
                  <w:u w:val="single"/>
                </w:rPr>
                <w:t>Valeria.Atzori@eesc.europa.eu</w:t>
              </w:r>
            </w:hyperlink>
          </w:p>
          <w:p w:rsidRPr="004E7105" w:rsidR="004E7105" w:rsidP="004E7105" w:rsidRDefault="004E7105" w14:paraId="3E8EA07D" w14:textId="77777777">
            <w:pPr>
              <w:widowControl w:val="0"/>
              <w:overflowPunct w:val="0"/>
              <w:autoSpaceDE w:val="0"/>
              <w:autoSpaceDN w:val="0"/>
              <w:adjustRightInd w:val="0"/>
              <w:textAlignment w:val="baseline"/>
              <w:rPr>
                <w:color w:val="0000FF"/>
                <w:u w:val="single"/>
              </w:rPr>
            </w:pPr>
          </w:p>
        </w:tc>
      </w:tr>
    </w:tbl>
    <w:p w:rsidR="0010484C" w:rsidRDefault="0010484C" w14:paraId="6CA58907" w14:textId="77777777">
      <w:pPr>
        <w:spacing w:after="160" w:line="259" w:lineRule="auto"/>
        <w:jc w:val="left"/>
        <w:rPr>
          <w:sz w:val="14"/>
          <w:szCs w:val="14"/>
        </w:rPr>
      </w:pPr>
    </w:p>
    <w:p w:rsidR="0010484C" w:rsidRDefault="0010484C" w14:paraId="3C32ABDC" w14:textId="77777777">
      <w:pPr>
        <w:spacing w:after="160" w:line="259" w:lineRule="auto"/>
        <w:jc w:val="left"/>
        <w:rPr>
          <w:sz w:val="14"/>
          <w:szCs w:val="14"/>
        </w:rPr>
      </w:pPr>
      <w:r>
        <w:rPr>
          <w:sz w:val="14"/>
          <w:szCs w:val="14"/>
        </w:rPr>
        <w:br w:type="page"/>
      </w:r>
    </w:p>
    <w:p w:rsidRPr="0010484C" w:rsidR="0010484C" w:rsidP="00C26C81" w:rsidRDefault="0015356A" w14:paraId="3ECE05AC" w14:textId="1FD66BE2">
      <w:pPr>
        <w:widowControl w:val="0"/>
        <w:numPr>
          <w:ilvl w:val="0"/>
          <w:numId w:val="7"/>
        </w:numPr>
        <w:overflowPunct w:val="0"/>
        <w:autoSpaceDE w:val="0"/>
        <w:autoSpaceDN w:val="0"/>
        <w:adjustRightInd w:val="0"/>
        <w:ind w:hanging="567"/>
        <w:textAlignment w:val="baseline"/>
        <w:rPr>
          <w:sz w:val="24"/>
          <w:szCs w:val="24"/>
        </w:rPr>
      </w:pPr>
      <w:hyperlink w:history="1" r:id="rId26">
        <w:r w:rsidRPr="0010484C" w:rsidR="0010484C">
          <w:rPr>
            <w:b/>
            <w:bCs/>
            <w:i/>
            <w:iCs/>
            <w:color w:val="0000FF"/>
            <w:sz w:val="28"/>
            <w:szCs w:val="28"/>
            <w:u w:val="single"/>
          </w:rPr>
          <w:t>Revision of the European Works Council Directive</w:t>
        </w:r>
      </w:hyperlink>
    </w:p>
    <w:p w:rsidRPr="00270FBE" w:rsidR="0010484C" w:rsidP="0010484C" w:rsidRDefault="0010484C" w14:paraId="00BC5CCC" w14:textId="690E0BC3">
      <w:pPr>
        <w:tabs>
          <w:tab w:val="center" w:pos="284"/>
        </w:tabs>
        <w:overflowPunct w:val="0"/>
        <w:autoSpaceDE w:val="0"/>
        <w:autoSpaceDN w:val="0"/>
        <w:adjustRightInd w:val="0"/>
        <w:ind w:left="266" w:hanging="266"/>
        <w:textAlignment w:val="baseline"/>
        <w:rPr>
          <w:b/>
          <w:sz w:val="18"/>
          <w:szCs w:val="18"/>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0484C" w:rsidR="0010484C" w:rsidTr="00FE3058" w14:paraId="561F7E20" w14:textId="77777777">
        <w:tc>
          <w:tcPr>
            <w:tcW w:w="1701" w:type="dxa"/>
          </w:tcPr>
          <w:p w:rsidRPr="0010484C" w:rsidR="0010484C" w:rsidP="00270FBE" w:rsidRDefault="0010484C" w14:paraId="5540B242" w14:textId="77777777">
            <w:pPr>
              <w:tabs>
                <w:tab w:val="center" w:pos="284"/>
              </w:tabs>
              <w:overflowPunct w:val="0"/>
              <w:autoSpaceDE w:val="0"/>
              <w:autoSpaceDN w:val="0"/>
              <w:adjustRightInd w:val="0"/>
              <w:ind w:left="266" w:hanging="376"/>
              <w:textAlignment w:val="baseline"/>
              <w:rPr>
                <w:b/>
              </w:rPr>
            </w:pPr>
            <w:r w:rsidRPr="0010484C">
              <w:rPr>
                <w:b/>
              </w:rPr>
              <w:t>Rapporteur:</w:t>
            </w:r>
          </w:p>
        </w:tc>
        <w:tc>
          <w:tcPr>
            <w:tcW w:w="5387" w:type="dxa"/>
          </w:tcPr>
          <w:p w:rsidRPr="0010484C" w:rsidR="0010484C" w:rsidP="00270FBE" w:rsidRDefault="0010484C" w14:paraId="2E037801" w14:textId="7FF58208">
            <w:pPr>
              <w:tabs>
                <w:tab w:val="center" w:pos="284"/>
              </w:tabs>
              <w:overflowPunct w:val="0"/>
              <w:autoSpaceDE w:val="0"/>
              <w:autoSpaceDN w:val="0"/>
              <w:adjustRightInd w:val="0"/>
              <w:ind w:left="266" w:hanging="376"/>
              <w:textAlignment w:val="baseline"/>
            </w:pPr>
            <w:r w:rsidRPr="0010484C">
              <w:t xml:space="preserve">Sophia REISECKER (Workers' </w:t>
            </w:r>
            <w:r w:rsidR="002F6E84">
              <w:t>G</w:t>
            </w:r>
            <w:r w:rsidRPr="0010484C">
              <w:t>roup - AT)</w:t>
            </w:r>
          </w:p>
        </w:tc>
      </w:tr>
      <w:tr w:rsidRPr="0010484C" w:rsidR="0010484C" w:rsidTr="00FE3058" w14:paraId="73157FC0" w14:textId="77777777">
        <w:tc>
          <w:tcPr>
            <w:tcW w:w="7088" w:type="dxa"/>
            <w:gridSpan w:val="2"/>
          </w:tcPr>
          <w:p w:rsidRPr="0010484C" w:rsidR="0010484C" w:rsidP="00270FBE" w:rsidRDefault="0010484C" w14:paraId="11368192" w14:textId="77777777">
            <w:pPr>
              <w:tabs>
                <w:tab w:val="center" w:pos="284"/>
              </w:tabs>
              <w:overflowPunct w:val="0"/>
              <w:autoSpaceDE w:val="0"/>
              <w:autoSpaceDN w:val="0"/>
              <w:adjustRightInd w:val="0"/>
              <w:ind w:left="266" w:hanging="376"/>
              <w:textAlignment w:val="baseline"/>
            </w:pPr>
          </w:p>
        </w:tc>
      </w:tr>
      <w:tr w:rsidRPr="0010484C" w:rsidR="0010484C" w:rsidTr="00FE3058" w14:paraId="08B719B5" w14:textId="77777777">
        <w:tc>
          <w:tcPr>
            <w:tcW w:w="1701" w:type="dxa"/>
            <w:vMerge w:val="restart"/>
          </w:tcPr>
          <w:p w:rsidRPr="0010484C" w:rsidR="0010484C" w:rsidP="00270FBE" w:rsidRDefault="0010484C" w14:paraId="1AD2CE0E" w14:textId="77777777">
            <w:pPr>
              <w:tabs>
                <w:tab w:val="center" w:pos="284"/>
              </w:tabs>
              <w:overflowPunct w:val="0"/>
              <w:autoSpaceDE w:val="0"/>
              <w:autoSpaceDN w:val="0"/>
              <w:adjustRightInd w:val="0"/>
              <w:ind w:left="266" w:hanging="376"/>
              <w:textAlignment w:val="baseline"/>
              <w:rPr>
                <w:b/>
              </w:rPr>
            </w:pPr>
            <w:r w:rsidRPr="0010484C">
              <w:rPr>
                <w:b/>
              </w:rPr>
              <w:t>Reference:</w:t>
            </w:r>
          </w:p>
        </w:tc>
        <w:tc>
          <w:tcPr>
            <w:tcW w:w="5387" w:type="dxa"/>
          </w:tcPr>
          <w:p w:rsidRPr="0010484C" w:rsidR="0010484C" w:rsidP="00270FBE" w:rsidRDefault="0010484C" w14:paraId="2437B8BE" w14:textId="4FE32139">
            <w:pPr>
              <w:tabs>
                <w:tab w:val="center" w:pos="284"/>
              </w:tabs>
              <w:overflowPunct w:val="0"/>
              <w:autoSpaceDE w:val="0"/>
              <w:autoSpaceDN w:val="0"/>
              <w:adjustRightInd w:val="0"/>
              <w:ind w:left="266" w:hanging="376"/>
              <w:textAlignment w:val="baseline"/>
            </w:pPr>
            <w:r w:rsidRPr="0010484C">
              <w:t>COM(2024)</w:t>
            </w:r>
            <w:r w:rsidR="008C790D">
              <w:t xml:space="preserve"> </w:t>
            </w:r>
            <w:r w:rsidRPr="0010484C">
              <w:t>14 final</w:t>
            </w:r>
          </w:p>
        </w:tc>
      </w:tr>
      <w:tr w:rsidRPr="0010484C" w:rsidR="0010484C" w:rsidTr="00FE3058" w14:paraId="5820FB7B" w14:textId="77777777">
        <w:tc>
          <w:tcPr>
            <w:tcW w:w="1701" w:type="dxa"/>
            <w:vMerge/>
          </w:tcPr>
          <w:p w:rsidRPr="0010484C" w:rsidR="0010484C" w:rsidP="00270FBE" w:rsidRDefault="0010484C" w14:paraId="7361EF92" w14:textId="77777777">
            <w:pPr>
              <w:tabs>
                <w:tab w:val="center" w:pos="284"/>
              </w:tabs>
              <w:overflowPunct w:val="0"/>
              <w:autoSpaceDE w:val="0"/>
              <w:autoSpaceDN w:val="0"/>
              <w:adjustRightInd w:val="0"/>
              <w:ind w:left="266" w:hanging="376"/>
              <w:textAlignment w:val="baseline"/>
              <w:rPr>
                <w:b/>
              </w:rPr>
            </w:pPr>
          </w:p>
        </w:tc>
        <w:tc>
          <w:tcPr>
            <w:tcW w:w="5387" w:type="dxa"/>
          </w:tcPr>
          <w:p w:rsidRPr="0010484C" w:rsidR="0010484C" w:rsidP="00270FBE" w:rsidRDefault="0010484C" w14:paraId="0F30A46F" w14:textId="088A714F">
            <w:pPr>
              <w:tabs>
                <w:tab w:val="center" w:pos="284"/>
              </w:tabs>
              <w:overflowPunct w:val="0"/>
              <w:autoSpaceDE w:val="0"/>
              <w:autoSpaceDN w:val="0"/>
              <w:adjustRightInd w:val="0"/>
              <w:ind w:left="266" w:hanging="376"/>
              <w:textAlignment w:val="baseline"/>
            </w:pPr>
            <w:r w:rsidRPr="0010484C">
              <w:t>EESC-2024-00543-00-00-AC</w:t>
            </w:r>
          </w:p>
        </w:tc>
      </w:tr>
    </w:tbl>
    <w:p w:rsidRPr="00270FBE" w:rsidR="0010484C" w:rsidP="0010484C" w:rsidRDefault="0010484C" w14:paraId="045C90A1" w14:textId="77777777">
      <w:pPr>
        <w:tabs>
          <w:tab w:val="center" w:pos="284"/>
        </w:tabs>
        <w:overflowPunct w:val="0"/>
        <w:autoSpaceDE w:val="0"/>
        <w:autoSpaceDN w:val="0"/>
        <w:adjustRightInd w:val="0"/>
        <w:ind w:left="266" w:hanging="266"/>
        <w:textAlignment w:val="baseline"/>
        <w:rPr>
          <w:sz w:val="18"/>
          <w:szCs w:val="18"/>
        </w:rPr>
      </w:pPr>
    </w:p>
    <w:p w:rsidRPr="0010484C" w:rsidR="0010484C" w:rsidP="0010484C" w:rsidRDefault="0010484C" w14:paraId="6E251606" w14:textId="77777777">
      <w:pPr>
        <w:keepNext/>
        <w:keepLines/>
        <w:tabs>
          <w:tab w:val="center" w:pos="284"/>
        </w:tabs>
        <w:overflowPunct w:val="0"/>
        <w:autoSpaceDE w:val="0"/>
        <w:autoSpaceDN w:val="0"/>
        <w:adjustRightInd w:val="0"/>
        <w:ind w:left="266" w:hanging="266"/>
        <w:textAlignment w:val="baseline"/>
        <w:rPr>
          <w:b/>
        </w:rPr>
      </w:pPr>
      <w:r w:rsidRPr="0010484C">
        <w:rPr>
          <w:b/>
        </w:rPr>
        <w:t>Key points:</w:t>
      </w:r>
    </w:p>
    <w:p w:rsidRPr="00270FBE" w:rsidR="0010484C" w:rsidP="0010484C" w:rsidRDefault="0010484C" w14:paraId="1FCAE476" w14:textId="77777777">
      <w:pPr>
        <w:keepNext/>
        <w:keepLines/>
        <w:tabs>
          <w:tab w:val="center" w:pos="284"/>
        </w:tabs>
        <w:overflowPunct w:val="0"/>
        <w:autoSpaceDE w:val="0"/>
        <w:autoSpaceDN w:val="0"/>
        <w:adjustRightInd w:val="0"/>
        <w:ind w:left="266" w:hanging="266"/>
        <w:textAlignment w:val="baseline"/>
        <w:rPr>
          <w:b/>
          <w:sz w:val="16"/>
          <w:szCs w:val="16"/>
        </w:rPr>
      </w:pPr>
    </w:p>
    <w:p w:rsidR="0010484C" w:rsidP="0010484C" w:rsidRDefault="0010484C" w14:paraId="45AB3525" w14:textId="1202BA36">
      <w:pPr>
        <w:overflowPunct w:val="0"/>
        <w:autoSpaceDE w:val="0"/>
        <w:autoSpaceDN w:val="0"/>
        <w:adjustRightInd w:val="0"/>
        <w:textAlignment w:val="baseline"/>
        <w:rPr>
          <w:bCs/>
          <w:iCs/>
        </w:rPr>
      </w:pPr>
      <w:r w:rsidRPr="0010484C">
        <w:rPr>
          <w:bCs/>
          <w:iCs/>
        </w:rPr>
        <w:t>The EESC:</w:t>
      </w:r>
    </w:p>
    <w:p w:rsidRPr="00270FBE" w:rsidR="002F6E84" w:rsidP="0010484C" w:rsidRDefault="002F6E84" w14:paraId="0DAE7107" w14:textId="77777777">
      <w:pPr>
        <w:overflowPunct w:val="0"/>
        <w:autoSpaceDE w:val="0"/>
        <w:autoSpaceDN w:val="0"/>
        <w:adjustRightInd w:val="0"/>
        <w:textAlignment w:val="baseline"/>
        <w:rPr>
          <w:bCs/>
          <w:iCs/>
          <w:sz w:val="16"/>
          <w:szCs w:val="16"/>
        </w:rPr>
      </w:pPr>
    </w:p>
    <w:p w:rsidRPr="00270FBE" w:rsidR="0010484C" w:rsidP="00270FBE" w:rsidRDefault="0010484C" w14:paraId="5422A1B5" w14:textId="77777777">
      <w:pPr>
        <w:widowControl w:val="0"/>
        <w:numPr>
          <w:ilvl w:val="0"/>
          <w:numId w:val="16"/>
        </w:numPr>
        <w:overflowPunct w:val="0"/>
        <w:autoSpaceDE w:val="0"/>
        <w:autoSpaceDN w:val="0"/>
        <w:adjustRightInd w:val="0"/>
        <w:ind w:left="284" w:hanging="284"/>
        <w:textAlignment w:val="baseline"/>
        <w:rPr>
          <w:szCs w:val="20"/>
        </w:rPr>
      </w:pPr>
      <w:r w:rsidRPr="005C28F2">
        <w:rPr>
          <w:szCs w:val="20"/>
        </w:rPr>
        <w:t>welcomes the legislative steps taken by the European Commission to revise Directive 2009/38/EC with regard to minimum standards for setting up European Works Councils (EWCs) and ensuring their effective operation;</w:t>
      </w:r>
    </w:p>
    <w:p w:rsidRPr="00270FBE" w:rsidR="0010484C" w:rsidP="00270FBE" w:rsidRDefault="0010484C" w14:paraId="4FA291B7" w14:textId="77777777">
      <w:pPr>
        <w:widowControl w:val="0"/>
        <w:numPr>
          <w:ilvl w:val="0"/>
          <w:numId w:val="16"/>
        </w:numPr>
        <w:overflowPunct w:val="0"/>
        <w:autoSpaceDE w:val="0"/>
        <w:autoSpaceDN w:val="0"/>
        <w:adjustRightInd w:val="0"/>
        <w:ind w:left="284" w:hanging="284"/>
        <w:textAlignment w:val="baseline"/>
        <w:rPr>
          <w:szCs w:val="20"/>
        </w:rPr>
      </w:pPr>
      <w:r w:rsidRPr="005C28F2">
        <w:rPr>
          <w:szCs w:val="20"/>
        </w:rPr>
        <w:t xml:space="preserve">recognises the aim to </w:t>
      </w:r>
      <w:r w:rsidRPr="005C28F2">
        <w:rPr>
          <w:rFonts w:eastAsiaTheme="minorHAnsi"/>
          <w:kern w:val="2"/>
          <w:szCs w:val="28"/>
          <w14:ligatures w14:val="standardContextual"/>
        </w:rPr>
        <w:t>increase the effectiveness and implementation of EWC rights to provide legal certainty by clarifying key concepts of the EWC Directive. This especially concerns</w:t>
      </w:r>
      <w:r w:rsidRPr="005C28F2">
        <w:rPr>
          <w:szCs w:val="20"/>
        </w:rPr>
        <w:t xml:space="preserve"> the definition of transnationality</w:t>
      </w:r>
      <w:r w:rsidRPr="005C28F2">
        <w:rPr>
          <w:rFonts w:eastAsiaTheme="minorHAnsi"/>
          <w:kern w:val="2"/>
          <w:szCs w:val="28"/>
          <w14:ligatures w14:val="standardContextual"/>
        </w:rPr>
        <w:t xml:space="preserve">, appropriate resources available to EWCs, access to justice and increasing the Member States’ commitment </w:t>
      </w:r>
      <w:r w:rsidRPr="005C28F2">
        <w:rPr>
          <w:szCs w:val="20"/>
        </w:rPr>
        <w:t>to provide for effective and sufficiently dissuasive sanctions</w:t>
      </w:r>
      <w:r w:rsidRPr="005C28F2">
        <w:rPr>
          <w:rFonts w:eastAsiaTheme="minorHAnsi"/>
          <w:kern w:val="2"/>
          <w:szCs w:val="28"/>
          <w14:ligatures w14:val="standardContextual"/>
        </w:rPr>
        <w:t xml:space="preserve"> for infringements of EWC rights;</w:t>
      </w:r>
    </w:p>
    <w:p w:rsidRPr="00270FBE" w:rsidR="0010484C" w:rsidP="00270FBE" w:rsidRDefault="0010484C" w14:paraId="2ABD0814" w14:textId="77777777">
      <w:pPr>
        <w:widowControl w:val="0"/>
        <w:numPr>
          <w:ilvl w:val="0"/>
          <w:numId w:val="16"/>
        </w:numPr>
        <w:overflowPunct w:val="0"/>
        <w:autoSpaceDE w:val="0"/>
        <w:autoSpaceDN w:val="0"/>
        <w:adjustRightInd w:val="0"/>
        <w:ind w:left="284" w:hanging="284"/>
        <w:textAlignment w:val="baseline"/>
        <w:rPr>
          <w:szCs w:val="20"/>
        </w:rPr>
      </w:pPr>
      <w:r w:rsidRPr="005C28F2">
        <w:rPr>
          <w:szCs w:val="20"/>
        </w:rPr>
        <w:t>is pleased by the Commission’s aims to revise the standard for a more efficient and meaningful information and consultation process by proposing additions to the subsidiary requirements, to increase the frequency of regular EWC meetings and to introduce a reasoned response by management to the EWC opinions. It also recognises the strengthening of trade union representatives’ role as assisting EWC experts;</w:t>
      </w:r>
    </w:p>
    <w:p w:rsidRPr="005C28F2" w:rsidR="0010484C" w:rsidP="00270FBE" w:rsidRDefault="0010484C" w14:paraId="30EB9EA4" w14:textId="77777777">
      <w:pPr>
        <w:widowControl w:val="0"/>
        <w:numPr>
          <w:ilvl w:val="0"/>
          <w:numId w:val="16"/>
        </w:numPr>
        <w:overflowPunct w:val="0"/>
        <w:autoSpaceDE w:val="0"/>
        <w:autoSpaceDN w:val="0"/>
        <w:adjustRightInd w:val="0"/>
        <w:ind w:left="284" w:hanging="284"/>
        <w:textAlignment w:val="baseline"/>
        <w:rPr>
          <w:szCs w:val="20"/>
        </w:rPr>
      </w:pPr>
      <w:r w:rsidRPr="005C28F2">
        <w:rPr>
          <w:szCs w:val="20"/>
        </w:rPr>
        <w:t>supports important amendments regarding the ability of EWCs and their members to fulfil their duties. This concerns in particular resources to be provided by management, the details of which have to be jointly determined in the relevant EWC agreement in connection to training, experts and legal representation and the intended clarifications on confidentiality;</w:t>
      </w:r>
    </w:p>
    <w:p w:rsidRPr="00270FBE" w:rsidR="0010484C" w:rsidP="00270FBE" w:rsidRDefault="0010484C" w14:paraId="5A31B5F8" w14:textId="77777777">
      <w:pPr>
        <w:widowControl w:val="0"/>
        <w:numPr>
          <w:ilvl w:val="0"/>
          <w:numId w:val="16"/>
        </w:numPr>
        <w:overflowPunct w:val="0"/>
        <w:autoSpaceDE w:val="0"/>
        <w:autoSpaceDN w:val="0"/>
        <w:adjustRightInd w:val="0"/>
        <w:ind w:left="284" w:hanging="284"/>
        <w:textAlignment w:val="baseline"/>
        <w:rPr>
          <w:szCs w:val="20"/>
        </w:rPr>
      </w:pPr>
      <w:r w:rsidRPr="005C28F2">
        <w:rPr>
          <w:szCs w:val="20"/>
        </w:rPr>
        <w:t>calls on the legislative institutions to quickly proceed with revising the EWC Directive in line with the Commission’s proposal, also taking into account the recommendations proposed in this opinion;</w:t>
      </w:r>
    </w:p>
    <w:p w:rsidRPr="00270FBE" w:rsidR="0010484C" w:rsidP="00270FBE" w:rsidRDefault="0010484C" w14:paraId="401ED45E" w14:textId="77777777">
      <w:pPr>
        <w:widowControl w:val="0"/>
        <w:numPr>
          <w:ilvl w:val="0"/>
          <w:numId w:val="16"/>
        </w:numPr>
        <w:overflowPunct w:val="0"/>
        <w:autoSpaceDE w:val="0"/>
        <w:autoSpaceDN w:val="0"/>
        <w:adjustRightInd w:val="0"/>
        <w:ind w:left="284" w:hanging="284"/>
        <w:textAlignment w:val="baseline"/>
        <w:rPr>
          <w:szCs w:val="20"/>
        </w:rPr>
      </w:pPr>
      <w:r w:rsidRPr="005C28F2">
        <w:rPr>
          <w:szCs w:val="20"/>
        </w:rPr>
        <w:t>highlights the need to guarantee proper transposition and implementation of the revised Directive with effective monitoring and implementation tools to be used by the Commission in this process.</w:t>
      </w:r>
    </w:p>
    <w:p w:rsidRPr="00270FBE" w:rsidR="0010484C" w:rsidP="0010484C" w:rsidRDefault="0010484C" w14:paraId="79C5FBDA" w14:textId="77777777">
      <w:pPr>
        <w:widowControl w:val="0"/>
        <w:overflowPunct w:val="0"/>
        <w:autoSpaceDE w:val="0"/>
        <w:autoSpaceDN w:val="0"/>
        <w:adjustRightInd w:val="0"/>
        <w:ind w:left="709"/>
        <w:textAlignment w:val="baseline"/>
        <w:rPr>
          <w:sz w:val="12"/>
          <w:szCs w:val="10"/>
        </w:rPr>
      </w:pPr>
    </w:p>
    <w:p w:rsidRPr="005C28F2" w:rsidR="0010484C" w:rsidP="0010484C" w:rsidRDefault="0010484C" w14:paraId="3B5BD501" w14:textId="77777777">
      <w:pPr>
        <w:widowControl w:val="0"/>
        <w:overflowPunct w:val="0"/>
        <w:autoSpaceDE w:val="0"/>
        <w:autoSpaceDN w:val="0"/>
        <w:adjustRightInd w:val="0"/>
        <w:textAlignment w:val="baseline"/>
        <w:rPr>
          <w:b/>
          <w:bCs/>
          <w:szCs w:val="20"/>
        </w:rPr>
      </w:pPr>
      <w:r w:rsidRPr="005C28F2">
        <w:rPr>
          <w:b/>
        </w:rPr>
        <w:t>Due to divergent views raised by the employers' organisations, members of the EESC</w:t>
      </w:r>
      <w:r w:rsidRPr="005C28F2">
        <w:rPr>
          <w:b/>
          <w:bCs/>
          <w:szCs w:val="20"/>
        </w:rPr>
        <w:t xml:space="preserve"> Employers' Group tabled a counter-opinion. More specifically, they expressed concerns that the revision of the Directive could complicate the functioning of EWCs and risk transforming them from effective channels for company-level information and consultation into sources of disputes and legal uncertainty. The EESC Employers' Group believes this could potentially undermine the essential cooperation and trust in the workplace. The counter-opinion was rejected by the EESC (104 votes in favour/125 against/11 abstentions) but since it received more than a quarter of the votes cast, in line with the EESC Rules of Procedure, it is appended to the opinion.</w:t>
      </w:r>
    </w:p>
    <w:p w:rsidR="0010484C" w:rsidP="0010484C" w:rsidRDefault="0010484C" w14:paraId="4D07561D" w14:textId="10666C39">
      <w:pPr>
        <w:widowControl w:val="0"/>
        <w:overflowPunct w:val="0"/>
        <w:autoSpaceDE w:val="0"/>
        <w:autoSpaceDN w:val="0"/>
        <w:adjustRightInd w:val="0"/>
        <w:textAlignment w:val="baseline"/>
        <w:rPr>
          <w:sz w:val="18"/>
          <w:szCs w:val="16"/>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0484C" w:rsidR="005C28F2" w:rsidTr="00405FFF" w14:paraId="60D176FD" w14:textId="77777777">
        <w:tc>
          <w:tcPr>
            <w:tcW w:w="1418" w:type="dxa"/>
          </w:tcPr>
          <w:p w:rsidRPr="0010484C" w:rsidR="005C28F2" w:rsidP="00405FFF" w:rsidRDefault="005C28F2" w14:paraId="585CB7BA" w14:textId="77777777">
            <w:pPr>
              <w:overflowPunct w:val="0"/>
              <w:autoSpaceDE w:val="0"/>
              <w:autoSpaceDN w:val="0"/>
              <w:adjustRightInd w:val="0"/>
              <w:ind w:hanging="110"/>
              <w:textAlignment w:val="baseline"/>
              <w:rPr>
                <w:i/>
              </w:rPr>
            </w:pPr>
            <w:r w:rsidRPr="0010484C">
              <w:rPr>
                <w:b/>
                <w:i/>
              </w:rPr>
              <w:t>Contact</w:t>
            </w:r>
          </w:p>
        </w:tc>
        <w:tc>
          <w:tcPr>
            <w:tcW w:w="5670" w:type="dxa"/>
          </w:tcPr>
          <w:p w:rsidRPr="0010484C" w:rsidR="005C28F2" w:rsidP="00405FFF" w:rsidRDefault="005C28F2" w14:paraId="78013169" w14:textId="77777777">
            <w:pPr>
              <w:overflowPunct w:val="0"/>
              <w:autoSpaceDE w:val="0"/>
              <w:autoSpaceDN w:val="0"/>
              <w:adjustRightInd w:val="0"/>
              <w:ind w:hanging="110"/>
              <w:textAlignment w:val="baseline"/>
              <w:rPr>
                <w:i/>
              </w:rPr>
            </w:pPr>
            <w:r w:rsidRPr="0010484C">
              <w:rPr>
                <w:i/>
              </w:rPr>
              <w:t>Bartek Bednarowicz</w:t>
            </w:r>
          </w:p>
        </w:tc>
      </w:tr>
      <w:tr w:rsidRPr="0010484C" w:rsidR="005C28F2" w:rsidTr="00405FFF" w14:paraId="02718472" w14:textId="77777777">
        <w:tc>
          <w:tcPr>
            <w:tcW w:w="1418" w:type="dxa"/>
          </w:tcPr>
          <w:p w:rsidRPr="0010484C" w:rsidR="005C28F2" w:rsidP="00405FFF" w:rsidRDefault="005C28F2" w14:paraId="5ECEACD6" w14:textId="77777777">
            <w:pPr>
              <w:overflowPunct w:val="0"/>
              <w:autoSpaceDE w:val="0"/>
              <w:autoSpaceDN w:val="0"/>
              <w:adjustRightInd w:val="0"/>
              <w:ind w:hanging="110"/>
              <w:textAlignment w:val="baseline"/>
              <w:rPr>
                <w:i/>
              </w:rPr>
            </w:pPr>
            <w:r w:rsidRPr="0010484C">
              <w:rPr>
                <w:i/>
              </w:rPr>
              <w:t>Tel.</w:t>
            </w:r>
          </w:p>
        </w:tc>
        <w:tc>
          <w:tcPr>
            <w:tcW w:w="5670" w:type="dxa"/>
          </w:tcPr>
          <w:p w:rsidRPr="0010484C" w:rsidR="005C28F2" w:rsidP="00405FFF" w:rsidRDefault="005C28F2" w14:paraId="39C98148" w14:textId="77777777">
            <w:pPr>
              <w:overflowPunct w:val="0"/>
              <w:autoSpaceDE w:val="0"/>
              <w:autoSpaceDN w:val="0"/>
              <w:adjustRightInd w:val="0"/>
              <w:ind w:hanging="110"/>
              <w:textAlignment w:val="baseline"/>
              <w:rPr>
                <w:i/>
              </w:rPr>
            </w:pPr>
            <w:r w:rsidRPr="0010484C">
              <w:rPr>
                <w:i/>
              </w:rPr>
              <w:t>+32 25469229</w:t>
            </w:r>
          </w:p>
        </w:tc>
      </w:tr>
      <w:tr w:rsidRPr="0010484C" w:rsidR="005C28F2" w:rsidTr="00405FFF" w14:paraId="6D0F78E9" w14:textId="77777777">
        <w:tc>
          <w:tcPr>
            <w:tcW w:w="1418" w:type="dxa"/>
          </w:tcPr>
          <w:p w:rsidRPr="0010484C" w:rsidR="005C28F2" w:rsidP="00405FFF" w:rsidRDefault="005C28F2" w14:paraId="57F2C25C" w14:textId="77777777">
            <w:pPr>
              <w:overflowPunct w:val="0"/>
              <w:autoSpaceDE w:val="0"/>
              <w:autoSpaceDN w:val="0"/>
              <w:adjustRightInd w:val="0"/>
              <w:ind w:hanging="110"/>
              <w:textAlignment w:val="baseline"/>
              <w:rPr>
                <w:i/>
              </w:rPr>
            </w:pPr>
            <w:r>
              <w:rPr>
                <w:i/>
              </w:rPr>
              <w:t>E</w:t>
            </w:r>
            <w:r w:rsidRPr="0010484C">
              <w:rPr>
                <w:i/>
              </w:rPr>
              <w:t>mail</w:t>
            </w:r>
          </w:p>
        </w:tc>
        <w:tc>
          <w:tcPr>
            <w:tcW w:w="5670" w:type="dxa"/>
          </w:tcPr>
          <w:p w:rsidRPr="0010484C" w:rsidR="005C28F2" w:rsidP="00405FFF" w:rsidRDefault="005C28F2" w14:paraId="17171F10" w14:textId="77777777">
            <w:pPr>
              <w:overflowPunct w:val="0"/>
              <w:autoSpaceDE w:val="0"/>
              <w:autoSpaceDN w:val="0"/>
              <w:adjustRightInd w:val="0"/>
              <w:ind w:hanging="110"/>
              <w:textAlignment w:val="baseline"/>
              <w:rPr>
                <w:i/>
                <w:iCs/>
              </w:rPr>
            </w:pPr>
            <w:hyperlink w:history="1" r:id="rId27">
              <w:r w:rsidRPr="0010484C">
                <w:rPr>
                  <w:i/>
                  <w:iCs/>
                  <w:color w:val="0000FF"/>
                  <w:u w:val="single"/>
                </w:rPr>
                <w:t>Bartek.Bednarowicz@eesc.europa.eu</w:t>
              </w:r>
            </w:hyperlink>
          </w:p>
        </w:tc>
      </w:tr>
    </w:tbl>
    <w:p w:rsidRPr="005C28F2" w:rsidR="00025343" w:rsidP="00270FBE" w:rsidRDefault="005C28F2" w14:paraId="05A78CB9" w14:textId="0B2B3265">
      <w:pPr>
        <w:widowControl w:val="0"/>
        <w:numPr>
          <w:ilvl w:val="0"/>
          <w:numId w:val="7"/>
        </w:numPr>
        <w:overflowPunct w:val="0"/>
        <w:autoSpaceDE w:val="0"/>
        <w:autoSpaceDN w:val="0"/>
        <w:adjustRightInd w:val="0"/>
        <w:ind w:hanging="567"/>
        <w:textAlignment w:val="baseline"/>
        <w:rPr>
          <w:b/>
        </w:rPr>
      </w:pPr>
      <w:hyperlink w:history="1" r:id="rId28">
        <w:r w:rsidRPr="005C28F2" w:rsidR="00025343">
          <w:rPr>
            <w:b/>
            <w:bCs/>
            <w:i/>
            <w:iCs/>
            <w:color w:val="0000FF"/>
            <w:sz w:val="28"/>
            <w:szCs w:val="28"/>
            <w:u w:val="single"/>
          </w:rPr>
          <w:t>No place for hate: a Europe united against hatred</w:t>
        </w:r>
      </w:hyperlink>
    </w:p>
    <w:p w:rsidRPr="00025343" w:rsidR="00025343" w:rsidP="00025343" w:rsidRDefault="00025343" w14:paraId="07CE56B3" w14:textId="576C118A">
      <w:pPr>
        <w:widowControl w:val="0"/>
        <w:overflowPunct w:val="0"/>
        <w:autoSpaceDE w:val="0"/>
        <w:autoSpaceDN w:val="0"/>
        <w:adjustRightInd w:val="0"/>
        <w:ind w:left="266"/>
        <w:textAlignment w:val="baseline"/>
        <w:rPr>
          <w:b/>
        </w:rPr>
      </w:pPr>
    </w:p>
    <w:tbl>
      <w:tblPr>
        <w:tblStyle w:val="TableGrid216"/>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2"/>
        <w:gridCol w:w="6117"/>
      </w:tblGrid>
      <w:tr w:rsidRPr="00025343" w:rsidR="00025343" w:rsidTr="00FE3058" w14:paraId="2AF8F4F0" w14:textId="77777777">
        <w:trPr>
          <w:trHeight w:val="337"/>
        </w:trPr>
        <w:tc>
          <w:tcPr>
            <w:tcW w:w="1310" w:type="pct"/>
          </w:tcPr>
          <w:p w:rsidRPr="00025343" w:rsidR="00025343" w:rsidP="00270FBE" w:rsidRDefault="00025343" w14:paraId="11E0BB11" w14:textId="77777777">
            <w:pPr>
              <w:tabs>
                <w:tab w:val="center" w:pos="284"/>
              </w:tabs>
              <w:overflowPunct w:val="0"/>
              <w:autoSpaceDE w:val="0"/>
              <w:autoSpaceDN w:val="0"/>
              <w:adjustRightInd w:val="0"/>
              <w:ind w:left="266" w:hanging="92"/>
              <w:textAlignment w:val="baseline"/>
              <w:rPr>
                <w:b/>
              </w:rPr>
            </w:pPr>
            <w:r w:rsidRPr="00025343">
              <w:rPr>
                <w:b/>
              </w:rPr>
              <w:t>Rapporteur</w:t>
            </w:r>
          </w:p>
        </w:tc>
        <w:tc>
          <w:tcPr>
            <w:tcW w:w="3690" w:type="pct"/>
          </w:tcPr>
          <w:p w:rsidRPr="00025343" w:rsidR="00025343" w:rsidP="00270FBE" w:rsidRDefault="00025343" w14:paraId="75752AD4" w14:textId="7ACD3C64">
            <w:pPr>
              <w:tabs>
                <w:tab w:val="center" w:pos="0"/>
              </w:tabs>
              <w:overflowPunct w:val="0"/>
              <w:autoSpaceDE w:val="0"/>
              <w:autoSpaceDN w:val="0"/>
              <w:adjustRightInd w:val="0"/>
              <w:ind w:hanging="92"/>
              <w:textAlignment w:val="baseline"/>
            </w:pPr>
            <w:r w:rsidRPr="00025343">
              <w:t>Cristian P</w:t>
            </w:r>
            <w:r w:rsidRPr="00025343" w:rsidR="00DB26C7">
              <w:t>ÎRVULESCU</w:t>
            </w:r>
            <w:r w:rsidRPr="00025343">
              <w:t xml:space="preserve"> (Civil Society Organisations' Group - RO)</w:t>
            </w:r>
          </w:p>
        </w:tc>
      </w:tr>
      <w:tr w:rsidRPr="00025343" w:rsidR="00025343" w:rsidTr="00FE3058" w14:paraId="1760181D" w14:textId="77777777">
        <w:trPr>
          <w:trHeight w:val="350"/>
        </w:trPr>
        <w:tc>
          <w:tcPr>
            <w:tcW w:w="1310" w:type="pct"/>
          </w:tcPr>
          <w:p w:rsidRPr="00025343" w:rsidR="00025343" w:rsidP="00270FBE" w:rsidRDefault="00025343" w14:paraId="2BD960A6" w14:textId="77777777">
            <w:pPr>
              <w:tabs>
                <w:tab w:val="center" w:pos="284"/>
              </w:tabs>
              <w:overflowPunct w:val="0"/>
              <w:autoSpaceDE w:val="0"/>
              <w:autoSpaceDN w:val="0"/>
              <w:adjustRightInd w:val="0"/>
              <w:ind w:left="266" w:hanging="92"/>
              <w:textAlignment w:val="baseline"/>
              <w:rPr>
                <w:b/>
              </w:rPr>
            </w:pPr>
            <w:r w:rsidRPr="00025343">
              <w:rPr>
                <w:b/>
                <w:lang w:val="fr-FR"/>
              </w:rPr>
              <w:t>Co-rapporteur</w:t>
            </w:r>
          </w:p>
        </w:tc>
        <w:tc>
          <w:tcPr>
            <w:tcW w:w="3690" w:type="pct"/>
          </w:tcPr>
          <w:p w:rsidRPr="00025343" w:rsidR="00025343" w:rsidP="00270FBE" w:rsidRDefault="00025343" w14:paraId="4D5D8264" w14:textId="0F078110">
            <w:pPr>
              <w:overflowPunct w:val="0"/>
              <w:autoSpaceDE w:val="0"/>
              <w:autoSpaceDN w:val="0"/>
              <w:adjustRightInd w:val="0"/>
              <w:ind w:hanging="92"/>
              <w:textAlignment w:val="baseline"/>
            </w:pPr>
            <w:r w:rsidRPr="00025343">
              <w:t>Milena A</w:t>
            </w:r>
            <w:r w:rsidRPr="00025343" w:rsidR="00DB26C7">
              <w:t>NGELOVA</w:t>
            </w:r>
            <w:r w:rsidRPr="00025343">
              <w:t xml:space="preserve"> (Employers</w:t>
            </w:r>
            <w:r w:rsidR="00DB26C7">
              <w:t>'</w:t>
            </w:r>
            <w:r w:rsidRPr="00025343">
              <w:t xml:space="preserve"> Group - BG)</w:t>
            </w:r>
          </w:p>
        </w:tc>
      </w:tr>
      <w:tr w:rsidRPr="00025343" w:rsidR="00025343" w:rsidTr="00FE3058" w14:paraId="2C6DD60C" w14:textId="77777777">
        <w:trPr>
          <w:trHeight w:val="180"/>
        </w:trPr>
        <w:tc>
          <w:tcPr>
            <w:tcW w:w="5000" w:type="pct"/>
            <w:gridSpan w:val="2"/>
          </w:tcPr>
          <w:p w:rsidRPr="00025343" w:rsidR="00025343" w:rsidP="00270FBE" w:rsidRDefault="00025343" w14:paraId="5C89C595" w14:textId="77777777">
            <w:pPr>
              <w:tabs>
                <w:tab w:val="center" w:pos="284"/>
              </w:tabs>
              <w:overflowPunct w:val="0"/>
              <w:autoSpaceDE w:val="0"/>
              <w:autoSpaceDN w:val="0"/>
              <w:adjustRightInd w:val="0"/>
              <w:spacing w:line="160" w:lineRule="exact"/>
              <w:ind w:left="266" w:hanging="92"/>
              <w:textAlignment w:val="baseline"/>
            </w:pPr>
          </w:p>
        </w:tc>
      </w:tr>
      <w:tr w:rsidRPr="00025343" w:rsidR="00025343" w:rsidTr="00FE3058" w14:paraId="6FBC34E5" w14:textId="77777777">
        <w:trPr>
          <w:trHeight w:val="337"/>
        </w:trPr>
        <w:tc>
          <w:tcPr>
            <w:tcW w:w="1310" w:type="pct"/>
          </w:tcPr>
          <w:p w:rsidRPr="00025343" w:rsidR="00025343" w:rsidP="00270FBE" w:rsidRDefault="00025343" w14:paraId="0CB959F0" w14:textId="77777777">
            <w:pPr>
              <w:tabs>
                <w:tab w:val="center" w:pos="284"/>
              </w:tabs>
              <w:overflowPunct w:val="0"/>
              <w:autoSpaceDE w:val="0"/>
              <w:autoSpaceDN w:val="0"/>
              <w:adjustRightInd w:val="0"/>
              <w:ind w:left="266" w:hanging="92"/>
              <w:textAlignment w:val="baseline"/>
              <w:rPr>
                <w:b/>
              </w:rPr>
            </w:pPr>
            <w:r w:rsidRPr="00025343">
              <w:rPr>
                <w:b/>
              </w:rPr>
              <w:t>References</w:t>
            </w:r>
          </w:p>
        </w:tc>
        <w:tc>
          <w:tcPr>
            <w:tcW w:w="3690" w:type="pct"/>
          </w:tcPr>
          <w:p w:rsidR="00073B39" w:rsidRDefault="00073B39" w14:paraId="4E56704D" w14:textId="77D55C36">
            <w:pPr>
              <w:overflowPunct w:val="0"/>
              <w:autoSpaceDE w:val="0"/>
              <w:autoSpaceDN w:val="0"/>
              <w:adjustRightInd w:val="0"/>
              <w:ind w:left="38" w:hanging="92"/>
              <w:textAlignment w:val="baseline"/>
            </w:pPr>
            <w:r>
              <w:t>JOIN(2023) 51 final</w:t>
            </w:r>
          </w:p>
          <w:p w:rsidRPr="00025343" w:rsidR="00025343" w:rsidP="00270FBE" w:rsidRDefault="00025343" w14:paraId="3DBBFBEB" w14:textId="41A0BBEE">
            <w:pPr>
              <w:overflowPunct w:val="0"/>
              <w:autoSpaceDE w:val="0"/>
              <w:autoSpaceDN w:val="0"/>
              <w:adjustRightInd w:val="0"/>
              <w:ind w:left="38" w:hanging="92"/>
              <w:textAlignment w:val="baseline"/>
            </w:pPr>
            <w:r w:rsidRPr="00025343">
              <w:t>EESC-2024-00795-00-00-AC</w:t>
            </w:r>
          </w:p>
        </w:tc>
      </w:tr>
    </w:tbl>
    <w:p w:rsidRPr="00025343" w:rsidR="00025343" w:rsidP="00025343" w:rsidRDefault="00025343" w14:paraId="22461CD2" w14:textId="77777777">
      <w:pPr>
        <w:tabs>
          <w:tab w:val="center" w:pos="284"/>
        </w:tabs>
        <w:overflowPunct w:val="0"/>
        <w:autoSpaceDE w:val="0"/>
        <w:autoSpaceDN w:val="0"/>
        <w:adjustRightInd w:val="0"/>
        <w:ind w:left="266" w:hanging="266"/>
        <w:textAlignment w:val="baseline"/>
        <w:rPr>
          <w:b/>
        </w:rPr>
      </w:pPr>
    </w:p>
    <w:p w:rsidRPr="00025343" w:rsidR="00025343" w:rsidP="00025343" w:rsidRDefault="00025343" w14:paraId="76CC5FDB" w14:textId="77777777">
      <w:pPr>
        <w:tabs>
          <w:tab w:val="center" w:pos="284"/>
        </w:tabs>
        <w:overflowPunct w:val="0"/>
        <w:autoSpaceDE w:val="0"/>
        <w:autoSpaceDN w:val="0"/>
        <w:adjustRightInd w:val="0"/>
        <w:ind w:left="266" w:hanging="266"/>
        <w:textAlignment w:val="baseline"/>
        <w:rPr>
          <w:b/>
        </w:rPr>
      </w:pPr>
      <w:r w:rsidRPr="00025343">
        <w:rPr>
          <w:b/>
        </w:rPr>
        <w:t>Key points</w:t>
      </w:r>
    </w:p>
    <w:p w:rsidRPr="00025343" w:rsidR="00025343" w:rsidP="00025343" w:rsidRDefault="00025343" w14:paraId="19863DE9" w14:textId="77777777">
      <w:pPr>
        <w:tabs>
          <w:tab w:val="center" w:pos="284"/>
        </w:tabs>
        <w:overflowPunct w:val="0"/>
        <w:autoSpaceDE w:val="0"/>
        <w:autoSpaceDN w:val="0"/>
        <w:adjustRightInd w:val="0"/>
        <w:ind w:left="266" w:hanging="266"/>
        <w:textAlignment w:val="baseline"/>
        <w:rPr>
          <w:b/>
        </w:rPr>
      </w:pPr>
    </w:p>
    <w:p w:rsidR="00025343" w:rsidP="00025343" w:rsidRDefault="00025343" w14:paraId="4E01D61B" w14:textId="1C55CBF5">
      <w:pPr>
        <w:overflowPunct w:val="0"/>
        <w:autoSpaceDE w:val="0"/>
        <w:autoSpaceDN w:val="0"/>
        <w:adjustRightInd w:val="0"/>
        <w:textAlignment w:val="baseline"/>
        <w:rPr>
          <w:bCs/>
          <w:iCs/>
        </w:rPr>
      </w:pPr>
      <w:r w:rsidRPr="00025343">
        <w:rPr>
          <w:bCs/>
          <w:iCs/>
        </w:rPr>
        <w:t>The EESC:</w:t>
      </w:r>
    </w:p>
    <w:p w:rsidRPr="00025343" w:rsidR="00360C2F" w:rsidP="00025343" w:rsidRDefault="00360C2F" w14:paraId="227E2908" w14:textId="77777777">
      <w:pPr>
        <w:overflowPunct w:val="0"/>
        <w:autoSpaceDE w:val="0"/>
        <w:autoSpaceDN w:val="0"/>
        <w:adjustRightInd w:val="0"/>
        <w:textAlignment w:val="baseline"/>
        <w:rPr>
          <w:bCs/>
          <w:iCs/>
        </w:rPr>
      </w:pPr>
    </w:p>
    <w:p w:rsidRPr="00025343" w:rsidR="00025343" w:rsidP="00270FBE"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rsidRPr="00025343">
        <w:rPr>
          <w:bCs/>
          <w:iCs/>
        </w:rPr>
        <w:t>welcomes the Communication while stressing the need for a more comprehensive partnership with CSOs. It calls for awareness-raising campaigns and efforts to combat the ‘ecosystems’ of hatred off- and online and recalls the responsibility of politicians to avoid language promoting hated;</w:t>
      </w:r>
    </w:p>
    <w:p w:rsidRPr="00025343" w:rsidR="00025343" w:rsidP="00270FBE" w:rsidRDefault="00025343" w14:paraId="375F8159" w14:textId="77777777">
      <w:pPr>
        <w:widowControl w:val="0"/>
        <w:numPr>
          <w:ilvl w:val="0"/>
          <w:numId w:val="17"/>
        </w:numPr>
        <w:overflowPunct w:val="0"/>
        <w:autoSpaceDE w:val="0"/>
        <w:autoSpaceDN w:val="0"/>
        <w:adjustRightInd w:val="0"/>
        <w:ind w:left="284" w:hanging="284"/>
        <w:textAlignment w:val="baseline"/>
        <w:rPr>
          <w:bCs/>
          <w:iCs/>
        </w:rPr>
      </w:pPr>
      <w:r w:rsidRPr="00025343">
        <w:rPr>
          <w:bCs/>
          <w:iCs/>
        </w:rPr>
        <w:t>calls on the EU to adopt a comprehensive approach and fight hate based on any protected human characteristics, to implement effectively existing strategies and initiatives promoting equality and non-discrimination, and to primarily use the same approach to fighting all types of hate. It calls on the Member States to prosecute hate-based crimes, encourage reporting, and train law enforcement agencies to handle such cases properly, with due respect for the victims;</w:t>
      </w:r>
    </w:p>
    <w:p w:rsidRPr="00025343" w:rsidR="00025343" w:rsidP="00270FBE" w:rsidRDefault="00025343" w14:paraId="65F1FFC2" w14:textId="77777777">
      <w:pPr>
        <w:widowControl w:val="0"/>
        <w:numPr>
          <w:ilvl w:val="0"/>
          <w:numId w:val="17"/>
        </w:numPr>
        <w:overflowPunct w:val="0"/>
        <w:autoSpaceDE w:val="0"/>
        <w:autoSpaceDN w:val="0"/>
        <w:adjustRightInd w:val="0"/>
        <w:ind w:left="284" w:hanging="284"/>
        <w:textAlignment w:val="baseline"/>
        <w:rPr>
          <w:bCs/>
          <w:iCs/>
        </w:rPr>
      </w:pPr>
      <w:r w:rsidRPr="00025343">
        <w:rPr>
          <w:bCs/>
          <w:iCs/>
        </w:rPr>
        <w:t>regrets that the anti-hate drive on online platforms is underdeveloped in scale and impact. The role and expertise of the flaggers should be expanded to consistently cover all types of online hate biases. Media and digital literacy should be improved to ensure more effective reporting;</w:t>
      </w:r>
    </w:p>
    <w:p w:rsidRPr="00025343" w:rsidR="00025343" w:rsidP="00270FBE" w:rsidRDefault="00025343" w14:paraId="0FED99CF" w14:textId="77777777">
      <w:pPr>
        <w:widowControl w:val="0"/>
        <w:numPr>
          <w:ilvl w:val="0"/>
          <w:numId w:val="17"/>
        </w:numPr>
        <w:overflowPunct w:val="0"/>
        <w:autoSpaceDE w:val="0"/>
        <w:autoSpaceDN w:val="0"/>
        <w:adjustRightInd w:val="0"/>
        <w:ind w:left="284" w:hanging="284"/>
        <w:textAlignment w:val="baseline"/>
        <w:rPr>
          <w:bCs/>
          <w:iCs/>
        </w:rPr>
      </w:pPr>
      <w:r w:rsidRPr="00025343">
        <w:rPr>
          <w:bCs/>
          <w:iCs/>
        </w:rPr>
        <w:t>believes that the work of the High-Level Group on combating hate speech and hate crime should be better operationalised, training and capacity-building for civil society be enhanced, and reporting be made more effective. Reporting and benchmarking should be used to identify progress. Reporting of hate crimes should be standardised and institutionalised at EU level. Reporting mechanisms must be available and accessible, the Commission is encouraged to create an online platform for swift reporting by CSOs and human rights defenders of incidents;</w:t>
      </w:r>
    </w:p>
    <w:p w:rsidRPr="00025343" w:rsidR="00025343" w:rsidP="00270FBE"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rsidRPr="00025343">
        <w:rPr>
          <w:bCs/>
          <w:iCs/>
        </w:rPr>
        <w:t xml:space="preserve">underlines that the Commission should organise a review of the work of CSOs, as well as trusted flaggers, and propose measures to increase their effectiveness and that work is scaled to the current challenges. The EU should insist that large online platforms prevent their algorithms from amplifying hate, and should use funds from the CERV programme and Horizon Europe to identify and combat ecosystems of hatred online, allowing existing educational and research capacities to contribute to this objective, and Erasmus+ </w:t>
      </w:r>
      <w:r w:rsidRPr="00025343">
        <w:rPr>
          <w:szCs w:val="20"/>
        </w:rPr>
        <w:t>citizenship education could also contribute to towards this aim.</w:t>
      </w:r>
    </w:p>
    <w:p w:rsidRPr="00025343" w:rsidR="00025343" w:rsidP="00025343" w:rsidRDefault="00025343" w14:paraId="0B19C92B" w14:textId="77777777">
      <w:pPr>
        <w:widowControl w:val="0"/>
        <w:overflowPunct w:val="0"/>
        <w:autoSpaceDE w:val="0"/>
        <w:autoSpaceDN w:val="0"/>
        <w:adjustRightInd w:val="0"/>
        <w:ind w:left="424"/>
        <w:textAlignment w:val="baseline"/>
        <w:rPr>
          <w:bCs/>
          <w:iCs/>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025343" w:rsidR="00025343" w:rsidTr="00FE3058" w14:paraId="2383B5F9" w14:textId="77777777">
        <w:trPr>
          <w:trHeight w:val="60"/>
        </w:trPr>
        <w:tc>
          <w:tcPr>
            <w:tcW w:w="1556" w:type="pct"/>
          </w:tcPr>
          <w:p w:rsidRPr="00025343" w:rsidR="00025343" w:rsidP="00025343" w:rsidRDefault="00025343" w14:paraId="77472C91" w14:textId="77777777">
            <w:pPr>
              <w:overflowPunct w:val="0"/>
              <w:autoSpaceDE w:val="0"/>
              <w:autoSpaceDN w:val="0"/>
              <w:adjustRightInd w:val="0"/>
              <w:spacing w:line="240" w:lineRule="auto"/>
              <w:textAlignment w:val="baseline"/>
              <w:rPr>
                <w:i/>
              </w:rPr>
            </w:pPr>
            <w:r w:rsidRPr="00025343">
              <w:rPr>
                <w:b/>
                <w:i/>
              </w:rPr>
              <w:t>Contact</w:t>
            </w:r>
          </w:p>
        </w:tc>
        <w:tc>
          <w:tcPr>
            <w:tcW w:w="3444" w:type="pct"/>
          </w:tcPr>
          <w:p w:rsidRPr="00025343" w:rsidR="00025343" w:rsidP="00025343" w:rsidRDefault="00025343" w14:paraId="0085AE7E" w14:textId="77777777">
            <w:pPr>
              <w:overflowPunct w:val="0"/>
              <w:autoSpaceDE w:val="0"/>
              <w:autoSpaceDN w:val="0"/>
              <w:adjustRightInd w:val="0"/>
              <w:spacing w:line="240" w:lineRule="auto"/>
              <w:textAlignment w:val="baseline"/>
              <w:rPr>
                <w:i/>
              </w:rPr>
            </w:pPr>
            <w:r w:rsidRPr="00025343">
              <w:rPr>
                <w:i/>
              </w:rPr>
              <w:t>June Bedaton</w:t>
            </w:r>
          </w:p>
        </w:tc>
      </w:tr>
      <w:tr w:rsidRPr="00025343" w:rsidR="00025343" w:rsidTr="00FE3058" w14:paraId="5D5A7669" w14:textId="77777777">
        <w:tc>
          <w:tcPr>
            <w:tcW w:w="1556" w:type="pct"/>
          </w:tcPr>
          <w:p w:rsidRPr="00025343" w:rsidR="00025343" w:rsidP="00025343" w:rsidRDefault="00025343" w14:paraId="0EE8CCA8" w14:textId="77777777">
            <w:pPr>
              <w:overflowPunct w:val="0"/>
              <w:autoSpaceDE w:val="0"/>
              <w:autoSpaceDN w:val="0"/>
              <w:adjustRightInd w:val="0"/>
              <w:spacing w:line="240" w:lineRule="auto"/>
              <w:textAlignment w:val="baseline"/>
              <w:rPr>
                <w:i/>
              </w:rPr>
            </w:pPr>
            <w:r w:rsidRPr="00025343">
              <w:rPr>
                <w:i/>
              </w:rPr>
              <w:t>Tel.</w:t>
            </w:r>
          </w:p>
        </w:tc>
        <w:tc>
          <w:tcPr>
            <w:tcW w:w="3444" w:type="pct"/>
          </w:tcPr>
          <w:p w:rsidRPr="00025343" w:rsidR="00025343" w:rsidP="00025343" w:rsidRDefault="00025343" w14:paraId="13FFF4AE" w14:textId="77777777">
            <w:pPr>
              <w:overflowPunct w:val="0"/>
              <w:autoSpaceDE w:val="0"/>
              <w:autoSpaceDN w:val="0"/>
              <w:adjustRightInd w:val="0"/>
              <w:spacing w:line="240" w:lineRule="auto"/>
              <w:textAlignment w:val="baseline"/>
              <w:rPr>
                <w:i/>
              </w:rPr>
            </w:pPr>
            <w:r w:rsidRPr="00025343">
              <w:rPr>
                <w:i/>
              </w:rPr>
              <w:t>+32 25468134</w:t>
            </w:r>
          </w:p>
        </w:tc>
      </w:tr>
      <w:tr w:rsidRPr="00025343" w:rsidR="00025343" w:rsidTr="00FE3058" w14:paraId="3F8348DB" w14:textId="77777777">
        <w:tc>
          <w:tcPr>
            <w:tcW w:w="1556" w:type="pct"/>
          </w:tcPr>
          <w:p w:rsidRPr="00025343" w:rsidR="00025343" w:rsidP="00025343" w:rsidRDefault="00025343" w14:paraId="727D8F5E" w14:textId="77777777">
            <w:pPr>
              <w:overflowPunct w:val="0"/>
              <w:autoSpaceDE w:val="0"/>
              <w:autoSpaceDN w:val="0"/>
              <w:adjustRightInd w:val="0"/>
              <w:spacing w:line="240" w:lineRule="auto"/>
              <w:textAlignment w:val="baseline"/>
              <w:rPr>
                <w:i/>
              </w:rPr>
            </w:pPr>
            <w:r w:rsidRPr="00025343">
              <w:rPr>
                <w:i/>
              </w:rPr>
              <w:t>Email</w:t>
            </w:r>
          </w:p>
        </w:tc>
        <w:tc>
          <w:tcPr>
            <w:tcW w:w="3444" w:type="pct"/>
          </w:tcPr>
          <w:p w:rsidRPr="00025343" w:rsidR="00025343" w:rsidP="00025343" w:rsidRDefault="0015356A" w14:paraId="55F1FCFD" w14:textId="77777777">
            <w:pPr>
              <w:overflowPunct w:val="0"/>
              <w:autoSpaceDE w:val="0"/>
              <w:autoSpaceDN w:val="0"/>
              <w:adjustRightInd w:val="0"/>
              <w:spacing w:line="240" w:lineRule="auto"/>
              <w:textAlignment w:val="baseline"/>
              <w:rPr>
                <w:i/>
              </w:rPr>
            </w:pPr>
            <w:hyperlink w:history="1" r:id="rId29">
              <w:r w:rsidRPr="00025343" w:rsidR="00025343">
                <w:rPr>
                  <w:i/>
                  <w:color w:val="0000FF"/>
                  <w:u w:val="single"/>
                </w:rPr>
                <w:t>June.Bedaton@eesc.europa.eu</w:t>
              </w:r>
            </w:hyperlink>
          </w:p>
        </w:tc>
      </w:tr>
    </w:tbl>
    <w:p w:rsidRPr="00D71D11" w:rsidR="00502E1F" w:rsidRDefault="00502E1F" w14:paraId="3D58FF9D" w14:textId="2586B74C">
      <w:pPr>
        <w:spacing w:after="160" w:line="259" w:lineRule="auto"/>
        <w:jc w:val="left"/>
        <w:rPr>
          <w:sz w:val="14"/>
          <w:szCs w:val="14"/>
        </w:rPr>
      </w:pPr>
      <w:r w:rsidRPr="00D71D11">
        <w:rPr>
          <w:sz w:val="14"/>
          <w:szCs w:val="14"/>
        </w:rPr>
        <w:br w:type="page"/>
      </w:r>
    </w:p>
    <w:p w:rsidRPr="00EE2FBD" w:rsidR="004C3902" w:rsidP="00770F41" w:rsidRDefault="008E2A59" w14:paraId="7AD922B6" w14:textId="2BABB602">
      <w:pPr>
        <w:pStyle w:val="Heading1"/>
        <w:tabs>
          <w:tab w:val="clear" w:pos="440"/>
          <w:tab w:val="left" w:pos="567"/>
        </w:tabs>
        <w:ind w:left="567" w:hanging="567"/>
        <w:rPr>
          <w:b/>
          <w:bCs/>
        </w:rPr>
      </w:pPr>
      <w:bookmarkStart w:name="_Toc166847134" w:id="3"/>
      <w:bookmarkStart w:name="_Toc168332492" w:id="4"/>
      <w:bookmarkEnd w:id="3"/>
      <w:r w:rsidRPr="00EE2FBD">
        <w:rPr>
          <w:b/>
          <w:bCs/>
        </w:rPr>
        <w:t>AGRICULTURE, RURAL DEVELOPMENT AND THE ENVIRONMENT</w:t>
      </w:r>
      <w:bookmarkEnd w:id="4"/>
    </w:p>
    <w:p w:rsidR="005C28F2" w:rsidRDefault="005C28F2" w14:paraId="70C7CB4F" w14:textId="77777777">
      <w:pPr>
        <w:spacing w:after="160" w:line="259" w:lineRule="auto"/>
        <w:jc w:val="left"/>
        <w:rPr>
          <w:b/>
          <w:bCs/>
        </w:rPr>
      </w:pPr>
    </w:p>
    <w:p w:rsidR="00A329C8" w:rsidRDefault="00A329C8" w14:paraId="207163CE" w14:textId="67E9BB6A">
      <w:pPr>
        <w:spacing w:after="160" w:line="259" w:lineRule="auto"/>
        <w:jc w:val="left"/>
        <w:rPr>
          <w:b/>
          <w:bCs/>
        </w:rPr>
      </w:pPr>
    </w:p>
    <w:p w:rsidRPr="00A329C8" w:rsidR="00A329C8" w:rsidP="00270FBE" w:rsidRDefault="004C1520" w14:paraId="54725696" w14:textId="2E7ABB8A">
      <w:pPr>
        <w:numPr>
          <w:ilvl w:val="0"/>
          <w:numId w:val="2"/>
        </w:numPr>
        <w:overflowPunct w:val="0"/>
        <w:autoSpaceDE w:val="0"/>
        <w:autoSpaceDN w:val="0"/>
        <w:adjustRightInd w:val="0"/>
        <w:spacing w:line="276" w:lineRule="auto"/>
        <w:contextualSpacing/>
        <w:jc w:val="left"/>
        <w:textAlignment w:val="baseline"/>
        <w:rPr>
          <w:i/>
          <w:iCs/>
          <w:lang w:eastAsia="zh-CN"/>
        </w:rPr>
      </w:pPr>
      <w:hyperlink w:history="1" r:id="rId30">
        <w:r w:rsidRPr="00A329C8" w:rsidR="00A329C8">
          <w:rPr>
            <w:b/>
            <w:bCs/>
            <w:i/>
            <w:iCs/>
            <w:color w:val="0000FF"/>
            <w:sz w:val="28"/>
            <w:szCs w:val="28"/>
            <w:u w:val="single"/>
            <w:lang w:eastAsia="zh-CN"/>
          </w:rPr>
          <w:t>EU climate target for 2040</w:t>
        </w:r>
      </w:hyperlink>
    </w:p>
    <w:p w:rsidRPr="00A329C8" w:rsidR="00A329C8" w:rsidP="00A329C8" w:rsidRDefault="00A329C8" w14:paraId="41709063" w14:textId="77777777">
      <w:pPr>
        <w:widowControl w:val="0"/>
        <w:overflowPunct w:val="0"/>
        <w:autoSpaceDE w:val="0"/>
        <w:autoSpaceDN w:val="0"/>
        <w:adjustRightInd w:val="0"/>
        <w:ind w:left="567"/>
        <w:textAlignment w:val="baseline"/>
        <w:rPr>
          <w:bCs/>
          <w:sz w:val="16"/>
          <w:szCs w:val="16"/>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329C8" w:rsidR="00A329C8" w:rsidTr="00FE3058" w14:paraId="1072566D" w14:textId="77777777">
        <w:tc>
          <w:tcPr>
            <w:tcW w:w="1701" w:type="dxa"/>
          </w:tcPr>
          <w:p w:rsidRPr="00A329C8" w:rsidR="00A329C8" w:rsidRDefault="00A329C8" w14:paraId="165FF2EB" w14:textId="77777777">
            <w:pPr>
              <w:tabs>
                <w:tab w:val="center" w:pos="284"/>
              </w:tabs>
              <w:overflowPunct w:val="0"/>
              <w:autoSpaceDE w:val="0"/>
              <w:autoSpaceDN w:val="0"/>
              <w:adjustRightInd w:val="0"/>
              <w:ind w:left="266" w:hanging="266"/>
              <w:textAlignment w:val="baseline"/>
              <w:rPr>
                <w:b/>
              </w:rPr>
            </w:pPr>
            <w:r w:rsidRPr="00A329C8">
              <w:rPr>
                <w:b/>
              </w:rPr>
              <w:t>Rapporteur</w:t>
            </w:r>
          </w:p>
        </w:tc>
        <w:tc>
          <w:tcPr>
            <w:tcW w:w="6096" w:type="dxa"/>
          </w:tcPr>
          <w:p w:rsidRPr="00A329C8" w:rsidR="00A329C8" w:rsidRDefault="00A329C8" w14:paraId="79F6E9C0" w14:textId="3579588D">
            <w:pPr>
              <w:tabs>
                <w:tab w:val="center" w:pos="284"/>
              </w:tabs>
              <w:overflowPunct w:val="0"/>
              <w:autoSpaceDE w:val="0"/>
              <w:autoSpaceDN w:val="0"/>
              <w:adjustRightInd w:val="0"/>
              <w:ind w:left="266" w:hanging="266"/>
              <w:textAlignment w:val="baseline"/>
              <w:rPr>
                <w:bCs/>
              </w:rPr>
            </w:pPr>
            <w:r w:rsidRPr="00270FBE">
              <w:t>Teppo SÄKKINEN</w:t>
            </w:r>
            <w:r w:rsidRPr="00A329C8">
              <w:rPr>
                <w:b/>
                <w:bCs/>
              </w:rPr>
              <w:t xml:space="preserve"> </w:t>
            </w:r>
            <w:r w:rsidRPr="00A329C8">
              <w:t xml:space="preserve">(Employers' Group </w:t>
            </w:r>
            <w:r w:rsidR="00D12B39">
              <w:rPr>
                <w:color w:val="000000"/>
              </w:rPr>
              <w:t>-</w:t>
            </w:r>
            <w:r w:rsidRPr="00A329C8">
              <w:rPr>
                <w:color w:val="000000"/>
              </w:rPr>
              <w:t xml:space="preserve"> FI</w:t>
            </w:r>
            <w:r w:rsidRPr="00A329C8">
              <w:t>)</w:t>
            </w:r>
          </w:p>
        </w:tc>
      </w:tr>
      <w:tr w:rsidRPr="00A329C8" w:rsidR="00A329C8" w:rsidTr="00FE3058" w14:paraId="41523448" w14:textId="77777777">
        <w:tc>
          <w:tcPr>
            <w:tcW w:w="7797" w:type="dxa"/>
            <w:gridSpan w:val="2"/>
          </w:tcPr>
          <w:p w:rsidRPr="00A329C8" w:rsidR="00A329C8" w:rsidRDefault="00A329C8" w14:paraId="0D6A47D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329C8" w:rsidR="00A329C8" w:rsidTr="00FE3058" w14:paraId="4CD963E6" w14:textId="77777777">
        <w:tc>
          <w:tcPr>
            <w:tcW w:w="1701" w:type="dxa"/>
            <w:vMerge w:val="restart"/>
          </w:tcPr>
          <w:p w:rsidRPr="00A329C8" w:rsidR="00A329C8" w:rsidRDefault="00A329C8" w14:paraId="09AC84B4" w14:textId="77777777">
            <w:pPr>
              <w:tabs>
                <w:tab w:val="center" w:pos="284"/>
              </w:tabs>
              <w:overflowPunct w:val="0"/>
              <w:autoSpaceDE w:val="0"/>
              <w:autoSpaceDN w:val="0"/>
              <w:adjustRightInd w:val="0"/>
              <w:ind w:left="266" w:hanging="266"/>
              <w:textAlignment w:val="baseline"/>
              <w:rPr>
                <w:b/>
              </w:rPr>
            </w:pPr>
            <w:r w:rsidRPr="00A329C8">
              <w:rPr>
                <w:b/>
              </w:rPr>
              <w:t>References</w:t>
            </w:r>
          </w:p>
        </w:tc>
        <w:tc>
          <w:tcPr>
            <w:tcW w:w="6096" w:type="dxa"/>
          </w:tcPr>
          <w:p w:rsidRPr="00A329C8" w:rsidR="00A329C8" w:rsidRDefault="00A329C8" w14:paraId="3A6B9900" w14:textId="77777777">
            <w:pPr>
              <w:tabs>
                <w:tab w:val="center" w:pos="284"/>
              </w:tabs>
              <w:overflowPunct w:val="0"/>
              <w:autoSpaceDE w:val="0"/>
              <w:autoSpaceDN w:val="0"/>
              <w:adjustRightInd w:val="0"/>
              <w:ind w:left="266" w:hanging="266"/>
              <w:textAlignment w:val="baseline"/>
            </w:pPr>
            <w:r w:rsidRPr="00A329C8">
              <w:t>COM(2024) 63 final</w:t>
            </w:r>
          </w:p>
        </w:tc>
      </w:tr>
      <w:tr w:rsidRPr="00A329C8" w:rsidR="00A329C8" w:rsidTr="00FE3058" w14:paraId="42B3A032" w14:textId="77777777">
        <w:tc>
          <w:tcPr>
            <w:tcW w:w="1701" w:type="dxa"/>
            <w:vMerge/>
          </w:tcPr>
          <w:p w:rsidRPr="00A329C8" w:rsidR="00A329C8" w:rsidRDefault="00A329C8" w14:paraId="4ADA52A9" w14:textId="77777777">
            <w:pPr>
              <w:tabs>
                <w:tab w:val="center" w:pos="284"/>
              </w:tabs>
              <w:overflowPunct w:val="0"/>
              <w:autoSpaceDE w:val="0"/>
              <w:autoSpaceDN w:val="0"/>
              <w:adjustRightInd w:val="0"/>
              <w:ind w:left="266" w:hanging="266"/>
              <w:textAlignment w:val="baseline"/>
              <w:rPr>
                <w:b/>
              </w:rPr>
            </w:pPr>
          </w:p>
        </w:tc>
        <w:tc>
          <w:tcPr>
            <w:tcW w:w="6096" w:type="dxa"/>
          </w:tcPr>
          <w:p w:rsidRPr="00A329C8" w:rsidR="00A329C8" w:rsidRDefault="00A329C8" w14:paraId="34A1EAA6" w14:textId="0B46F4A4">
            <w:pPr>
              <w:tabs>
                <w:tab w:val="center" w:pos="284"/>
              </w:tabs>
              <w:overflowPunct w:val="0"/>
              <w:autoSpaceDE w:val="0"/>
              <w:autoSpaceDN w:val="0"/>
              <w:adjustRightInd w:val="0"/>
              <w:ind w:left="266" w:hanging="266"/>
              <w:textAlignment w:val="baseline"/>
            </w:pPr>
            <w:r w:rsidRPr="00A329C8">
              <w:t>EESC-2024-00418-00-00-AC</w:t>
            </w:r>
          </w:p>
        </w:tc>
      </w:tr>
    </w:tbl>
    <w:p w:rsidRPr="00A329C8" w:rsidR="00A329C8" w:rsidP="00A329C8" w:rsidRDefault="00A329C8" w14:paraId="0015795B" w14:textId="77777777">
      <w:pPr>
        <w:keepNext/>
        <w:keepLines/>
        <w:tabs>
          <w:tab w:val="center" w:pos="284"/>
        </w:tabs>
        <w:overflowPunct w:val="0"/>
        <w:autoSpaceDE w:val="0"/>
        <w:autoSpaceDN w:val="0"/>
        <w:adjustRightInd w:val="0"/>
        <w:ind w:left="266" w:hanging="266"/>
        <w:textAlignment w:val="baseline"/>
        <w:rPr>
          <w:b/>
          <w:sz w:val="10"/>
          <w:szCs w:val="10"/>
        </w:rPr>
      </w:pPr>
    </w:p>
    <w:p w:rsidRPr="00A329C8" w:rsidR="00A329C8" w:rsidP="00A329C8" w:rsidRDefault="00A329C8" w14:paraId="52DD4DB5" w14:textId="77777777">
      <w:pPr>
        <w:keepNext/>
        <w:keepLines/>
        <w:tabs>
          <w:tab w:val="center" w:pos="284"/>
        </w:tabs>
        <w:overflowPunct w:val="0"/>
        <w:autoSpaceDE w:val="0"/>
        <w:autoSpaceDN w:val="0"/>
        <w:adjustRightInd w:val="0"/>
        <w:spacing w:line="276" w:lineRule="auto"/>
        <w:ind w:left="266" w:hanging="266"/>
        <w:textAlignment w:val="baseline"/>
        <w:rPr>
          <w:b/>
        </w:rPr>
      </w:pPr>
      <w:r w:rsidRPr="00A329C8">
        <w:rPr>
          <w:b/>
        </w:rPr>
        <w:t>Key points</w:t>
      </w:r>
    </w:p>
    <w:p w:rsidRPr="00A329C8" w:rsidR="00A329C8" w:rsidP="00A329C8" w:rsidRDefault="00A329C8" w14:paraId="0EFAF4B2"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A329C8" w:rsidP="00A329C8" w:rsidRDefault="00A329C8" w14:paraId="4C8A0CE8" w14:textId="68F5BE87">
      <w:pPr>
        <w:overflowPunct w:val="0"/>
        <w:autoSpaceDE w:val="0"/>
        <w:autoSpaceDN w:val="0"/>
        <w:adjustRightInd w:val="0"/>
        <w:spacing w:line="240" w:lineRule="auto"/>
        <w:textAlignment w:val="baseline"/>
        <w:rPr>
          <w:bCs/>
          <w:iCs/>
        </w:rPr>
      </w:pPr>
      <w:r w:rsidRPr="00A329C8">
        <w:rPr>
          <w:bCs/>
          <w:iCs/>
        </w:rPr>
        <w:t>The EESC:</w:t>
      </w:r>
    </w:p>
    <w:p w:rsidRPr="00A329C8" w:rsidR="00D12B39" w:rsidP="00A329C8" w:rsidRDefault="00D12B39" w14:paraId="369B2779" w14:textId="77777777">
      <w:pPr>
        <w:overflowPunct w:val="0"/>
        <w:autoSpaceDE w:val="0"/>
        <w:autoSpaceDN w:val="0"/>
        <w:adjustRightInd w:val="0"/>
        <w:spacing w:line="240" w:lineRule="auto"/>
        <w:textAlignment w:val="baseline"/>
        <w:rPr>
          <w:bCs/>
          <w:iCs/>
        </w:rPr>
      </w:pPr>
    </w:p>
    <w:p w:rsidRPr="00270FBE" w:rsidR="00A329C8" w:rsidP="00270FBE" w:rsidRDefault="00A329C8" w14:paraId="044AC65A" w14:textId="77777777">
      <w:pPr>
        <w:pStyle w:val="ListParagraph"/>
        <w:numPr>
          <w:ilvl w:val="0"/>
          <w:numId w:val="18"/>
        </w:numPr>
        <w:overflowPunct w:val="0"/>
        <w:autoSpaceDE w:val="0"/>
        <w:autoSpaceDN w:val="0"/>
        <w:adjustRightInd w:val="0"/>
        <w:ind w:left="284" w:hanging="284"/>
        <w:textAlignment w:val="baseline"/>
        <w:outlineLvl w:val="1"/>
        <w:rPr>
          <w:spacing w:val="-4"/>
          <w:szCs w:val="20"/>
        </w:rPr>
      </w:pPr>
      <w:r w:rsidRPr="00270FBE">
        <w:rPr>
          <w:b/>
          <w:bCs/>
          <w:spacing w:val="-4"/>
          <w:szCs w:val="20"/>
        </w:rPr>
        <w:t>supports the</w:t>
      </w:r>
      <w:r w:rsidRPr="00270FBE">
        <w:rPr>
          <w:spacing w:val="-4"/>
          <w:szCs w:val="20"/>
        </w:rPr>
        <w:t xml:space="preserve"> </w:t>
      </w:r>
      <w:r w:rsidRPr="00270FBE">
        <w:rPr>
          <w:b/>
          <w:bCs/>
          <w:spacing w:val="-4"/>
          <w:szCs w:val="20"/>
        </w:rPr>
        <w:t>recommended target of 90% by 2040</w:t>
      </w:r>
      <w:r w:rsidRPr="00270FBE">
        <w:rPr>
          <w:spacing w:val="-4"/>
          <w:szCs w:val="20"/>
        </w:rPr>
        <w:t xml:space="preserve">, as it aligns with the science on Europe’s fair share of the 1.5 degree goal. The EESC emphasises that the </w:t>
      </w:r>
      <w:r w:rsidRPr="00270FBE">
        <w:rPr>
          <w:b/>
          <w:bCs/>
          <w:spacing w:val="-4"/>
          <w:szCs w:val="20"/>
        </w:rPr>
        <w:t>target is demanding</w:t>
      </w:r>
      <w:r w:rsidRPr="00270FBE">
        <w:rPr>
          <w:spacing w:val="-4"/>
          <w:szCs w:val="20"/>
        </w:rPr>
        <w:t xml:space="preserve"> and can only be achieved if enabling policies are in place to ensure the </w:t>
      </w:r>
      <w:r w:rsidRPr="00270FBE">
        <w:rPr>
          <w:b/>
          <w:bCs/>
          <w:spacing w:val="-4"/>
          <w:szCs w:val="20"/>
        </w:rPr>
        <w:t>competitiveness of European industries</w:t>
      </w:r>
      <w:r w:rsidRPr="00270FBE">
        <w:rPr>
          <w:spacing w:val="-4"/>
          <w:szCs w:val="20"/>
        </w:rPr>
        <w:t xml:space="preserve"> and a </w:t>
      </w:r>
      <w:r w:rsidRPr="00270FBE">
        <w:rPr>
          <w:b/>
          <w:bCs/>
          <w:spacing w:val="-4"/>
          <w:szCs w:val="20"/>
        </w:rPr>
        <w:t>just transition</w:t>
      </w:r>
      <w:r w:rsidRPr="00270FBE">
        <w:rPr>
          <w:spacing w:val="-4"/>
          <w:szCs w:val="20"/>
        </w:rPr>
        <w:t xml:space="preserve"> and through utilising all zero and low carbon technologies cost-effectively;</w:t>
      </w:r>
    </w:p>
    <w:p w:rsidRPr="00270FBE" w:rsidR="00A329C8" w:rsidP="00270FBE" w:rsidRDefault="00A329C8" w14:paraId="43A81807" w14:textId="77777777">
      <w:pPr>
        <w:pStyle w:val="ListParagraph"/>
        <w:numPr>
          <w:ilvl w:val="0"/>
          <w:numId w:val="19"/>
        </w:numPr>
        <w:overflowPunct w:val="0"/>
        <w:autoSpaceDE w:val="0"/>
        <w:autoSpaceDN w:val="0"/>
        <w:adjustRightInd w:val="0"/>
        <w:ind w:left="284" w:hanging="284"/>
        <w:textAlignment w:val="baseline"/>
        <w:outlineLvl w:val="1"/>
        <w:rPr>
          <w:spacing w:val="-4"/>
          <w:szCs w:val="20"/>
        </w:rPr>
      </w:pPr>
      <w:r w:rsidRPr="00270FBE">
        <w:rPr>
          <w:b/>
          <w:bCs/>
          <w:spacing w:val="-4"/>
          <w:szCs w:val="20"/>
        </w:rPr>
        <w:t>emphasises actual emissions reductions</w:t>
      </w:r>
      <w:r w:rsidRPr="00270FBE">
        <w:rPr>
          <w:spacing w:val="-4"/>
          <w:szCs w:val="20"/>
        </w:rPr>
        <w:t xml:space="preserve"> </w:t>
      </w:r>
      <w:r w:rsidRPr="00270FBE">
        <w:rPr>
          <w:b/>
          <w:bCs/>
          <w:spacing w:val="-4"/>
          <w:szCs w:val="20"/>
        </w:rPr>
        <w:t>through phasing out fossil fuels</w:t>
      </w:r>
      <w:r w:rsidRPr="00270FBE">
        <w:rPr>
          <w:spacing w:val="-4"/>
          <w:szCs w:val="20"/>
        </w:rPr>
        <w:t>. While carbon removals play an increasing role in achieving EU climate targets, over-reliance on sinks entails uncertainties and risks of lock-in to fossil dependency or loss of sinks due to forest fires, pests and other hazards;</w:t>
      </w:r>
    </w:p>
    <w:p w:rsidRPr="00270FBE" w:rsidR="00A329C8" w:rsidP="00270FBE" w:rsidRDefault="00A329C8" w14:paraId="22AE9A43" w14:textId="77777777">
      <w:pPr>
        <w:pStyle w:val="ListParagraph"/>
        <w:numPr>
          <w:ilvl w:val="0"/>
          <w:numId w:val="19"/>
        </w:numPr>
        <w:overflowPunct w:val="0"/>
        <w:autoSpaceDE w:val="0"/>
        <w:autoSpaceDN w:val="0"/>
        <w:adjustRightInd w:val="0"/>
        <w:ind w:left="284" w:hanging="284"/>
        <w:textAlignment w:val="baseline"/>
        <w:outlineLvl w:val="1"/>
        <w:rPr>
          <w:szCs w:val="20"/>
        </w:rPr>
      </w:pPr>
      <w:r w:rsidRPr="00270FBE">
        <w:rPr>
          <w:szCs w:val="20"/>
        </w:rPr>
        <w:t xml:space="preserve">calls for the Commission to make a scientific and economic assessment on the </w:t>
      </w:r>
      <w:r w:rsidRPr="00270FBE">
        <w:rPr>
          <w:b/>
          <w:bCs/>
          <w:szCs w:val="20"/>
        </w:rPr>
        <w:t>balance between reductions and removals</w:t>
      </w:r>
      <w:r w:rsidRPr="00270FBE">
        <w:rPr>
          <w:szCs w:val="20"/>
        </w:rPr>
        <w:t>;</w:t>
      </w:r>
    </w:p>
    <w:p w:rsidRPr="00270FBE" w:rsidR="00A329C8" w:rsidP="00270FBE"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rPr>
          <w:szCs w:val="20"/>
        </w:rPr>
      </w:pPr>
      <w:r w:rsidRPr="00270FBE">
        <w:rPr>
          <w:szCs w:val="20"/>
        </w:rPr>
        <w:t>underlines focusing on the implementation of the Fit for 55 legislation and supporting European businesses and households in adapting to the new regulatory environment;</w:t>
      </w:r>
    </w:p>
    <w:p w:rsidRPr="00270FBE" w:rsidR="00A329C8" w:rsidP="00270FBE" w:rsidRDefault="00A329C8" w14:paraId="5FDA81D5" w14:textId="3C23DBC5">
      <w:pPr>
        <w:pStyle w:val="ListParagraph"/>
        <w:numPr>
          <w:ilvl w:val="0"/>
          <w:numId w:val="20"/>
        </w:numPr>
        <w:overflowPunct w:val="0"/>
        <w:autoSpaceDE w:val="0"/>
        <w:autoSpaceDN w:val="0"/>
        <w:adjustRightInd w:val="0"/>
        <w:ind w:left="284" w:hanging="284"/>
        <w:textAlignment w:val="baseline"/>
        <w:outlineLvl w:val="1"/>
        <w:rPr>
          <w:szCs w:val="20"/>
        </w:rPr>
      </w:pPr>
      <w:r w:rsidRPr="00270FBE">
        <w:rPr>
          <w:szCs w:val="20"/>
        </w:rPr>
        <w:t xml:space="preserve">notes that the climate targets require an </w:t>
      </w:r>
      <w:r w:rsidRPr="00270FBE">
        <w:rPr>
          <w:b/>
          <w:bCs/>
          <w:szCs w:val="20"/>
        </w:rPr>
        <w:t>unprecedented level of investment into decarbonisation</w:t>
      </w:r>
      <w:r w:rsidR="0073462A">
        <w:rPr>
          <w:szCs w:val="20"/>
        </w:rPr>
        <w:t>;</w:t>
      </w:r>
    </w:p>
    <w:p w:rsidRPr="00270FBE" w:rsidR="00A329C8" w:rsidP="00270FBE"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rPr>
          <w:szCs w:val="20"/>
        </w:rPr>
      </w:pPr>
      <w:r w:rsidRPr="00270FBE">
        <w:rPr>
          <w:szCs w:val="20"/>
        </w:rPr>
        <w:t>calls for the Commission to track and set goals for the growth of exports of European cleantech products and services;</w:t>
      </w:r>
    </w:p>
    <w:p w:rsidRPr="00270FBE" w:rsidR="00A329C8" w:rsidP="00270FBE" w:rsidRDefault="00A329C8" w14:paraId="734EC568" w14:textId="77777777">
      <w:pPr>
        <w:pStyle w:val="ListParagraph"/>
        <w:numPr>
          <w:ilvl w:val="0"/>
          <w:numId w:val="20"/>
        </w:numPr>
        <w:overflowPunct w:val="0"/>
        <w:autoSpaceDE w:val="0"/>
        <w:autoSpaceDN w:val="0"/>
        <w:adjustRightInd w:val="0"/>
        <w:ind w:left="284" w:hanging="284"/>
        <w:textAlignment w:val="baseline"/>
        <w:outlineLvl w:val="1"/>
        <w:rPr>
          <w:spacing w:val="-6"/>
          <w:szCs w:val="20"/>
        </w:rPr>
      </w:pPr>
      <w:r w:rsidRPr="00270FBE">
        <w:rPr>
          <w:spacing w:val="-6"/>
          <w:szCs w:val="20"/>
        </w:rPr>
        <w:t xml:space="preserve">calls for </w:t>
      </w:r>
      <w:r w:rsidRPr="00270FBE">
        <w:rPr>
          <w:b/>
          <w:bCs/>
          <w:spacing w:val="-6"/>
          <w:szCs w:val="20"/>
        </w:rPr>
        <w:t>power generation</w:t>
      </w:r>
      <w:r w:rsidRPr="00270FBE">
        <w:rPr>
          <w:spacing w:val="-6"/>
          <w:szCs w:val="20"/>
        </w:rPr>
        <w:t xml:space="preserve"> in the EU to become </w:t>
      </w:r>
      <w:r w:rsidRPr="00270FBE">
        <w:rPr>
          <w:b/>
          <w:bCs/>
          <w:spacing w:val="-6"/>
          <w:szCs w:val="20"/>
        </w:rPr>
        <w:t>carbon free by 2040</w:t>
      </w:r>
      <w:r w:rsidRPr="00270FBE">
        <w:rPr>
          <w:spacing w:val="-6"/>
          <w:szCs w:val="20"/>
        </w:rPr>
        <w:t>, closely followed by heating and cooling. Availability of clean and affordable energy and a fit for future energy infrastructure is the foundation for decarbonisation of other sectors, such as industry, buildings and transport;</w:t>
      </w:r>
    </w:p>
    <w:p w:rsidRPr="00270FBE" w:rsidR="00A329C8" w:rsidP="00270FBE" w:rsidRDefault="00A329C8" w14:paraId="2FF82DE1" w14:textId="77777777">
      <w:pPr>
        <w:pStyle w:val="ListParagraph"/>
        <w:numPr>
          <w:ilvl w:val="0"/>
          <w:numId w:val="20"/>
        </w:numPr>
        <w:overflowPunct w:val="0"/>
        <w:autoSpaceDE w:val="0"/>
        <w:autoSpaceDN w:val="0"/>
        <w:adjustRightInd w:val="0"/>
        <w:ind w:left="284" w:hanging="284"/>
        <w:textAlignment w:val="baseline"/>
        <w:outlineLvl w:val="1"/>
        <w:rPr>
          <w:szCs w:val="20"/>
        </w:rPr>
      </w:pPr>
      <w:r w:rsidRPr="00270FBE">
        <w:rPr>
          <w:szCs w:val="20"/>
        </w:rPr>
        <w:t xml:space="preserve">proposes an indicative </w:t>
      </w:r>
      <w:r w:rsidRPr="00270FBE">
        <w:rPr>
          <w:b/>
          <w:bCs/>
          <w:szCs w:val="20"/>
        </w:rPr>
        <w:t>emissions reduction target</w:t>
      </w:r>
      <w:r w:rsidRPr="00270FBE">
        <w:rPr>
          <w:szCs w:val="20"/>
        </w:rPr>
        <w:t xml:space="preserve"> to be established </w:t>
      </w:r>
      <w:r w:rsidRPr="00270FBE">
        <w:rPr>
          <w:b/>
          <w:bCs/>
          <w:szCs w:val="20"/>
        </w:rPr>
        <w:t xml:space="preserve">for the agri-food sector </w:t>
      </w:r>
      <w:r w:rsidRPr="00270FBE">
        <w:rPr>
          <w:szCs w:val="20"/>
        </w:rPr>
        <w:t>through close dialogue with farmers and other stakeholders, based on science, ensuring European food security and taking into account different natural conditions in the EU;</w:t>
      </w:r>
    </w:p>
    <w:p w:rsidRPr="00270FBE" w:rsidR="00A329C8" w:rsidP="00270FBE" w:rsidRDefault="00A329C8" w14:paraId="5F04D765" w14:textId="77777777">
      <w:pPr>
        <w:pStyle w:val="ListParagraph"/>
        <w:numPr>
          <w:ilvl w:val="0"/>
          <w:numId w:val="21"/>
        </w:numPr>
        <w:overflowPunct w:val="0"/>
        <w:autoSpaceDE w:val="0"/>
        <w:autoSpaceDN w:val="0"/>
        <w:adjustRightInd w:val="0"/>
        <w:ind w:left="284" w:hanging="284"/>
        <w:textAlignment w:val="baseline"/>
        <w:outlineLvl w:val="1"/>
        <w:rPr>
          <w:spacing w:val="-6"/>
          <w:szCs w:val="20"/>
        </w:rPr>
      </w:pPr>
      <w:r w:rsidRPr="00270FBE">
        <w:rPr>
          <w:spacing w:val="-6"/>
          <w:szCs w:val="20"/>
        </w:rPr>
        <w:t>underlines the importance of broad stakeholder dialogue, including with social partners and civil society, and citizen engagement in establishing the 2040 target and developing the accompanying policies;</w:t>
      </w:r>
    </w:p>
    <w:p w:rsidRPr="00270FBE" w:rsidR="00A329C8" w:rsidP="00270FBE" w:rsidRDefault="00A329C8" w14:paraId="57C8228B" w14:textId="77777777">
      <w:pPr>
        <w:pStyle w:val="ListParagraph"/>
        <w:numPr>
          <w:ilvl w:val="0"/>
          <w:numId w:val="21"/>
        </w:numPr>
        <w:overflowPunct w:val="0"/>
        <w:autoSpaceDE w:val="0"/>
        <w:autoSpaceDN w:val="0"/>
        <w:adjustRightInd w:val="0"/>
        <w:ind w:left="284" w:hanging="284"/>
        <w:textAlignment w:val="baseline"/>
        <w:outlineLvl w:val="1"/>
        <w:rPr>
          <w:szCs w:val="20"/>
        </w:rPr>
      </w:pPr>
      <w:r w:rsidRPr="00270FBE">
        <w:rPr>
          <w:szCs w:val="20"/>
        </w:rPr>
        <w:t xml:space="preserve">highlights the possibility of increased emissions reductions and lower material and energy demand through </w:t>
      </w:r>
      <w:r w:rsidRPr="00270FBE">
        <w:rPr>
          <w:b/>
          <w:bCs/>
          <w:szCs w:val="20"/>
        </w:rPr>
        <w:t>empowering consumers for sustainable lifestyle choices</w:t>
      </w:r>
      <w:r w:rsidRPr="00270FBE">
        <w:rPr>
          <w:szCs w:val="20"/>
        </w:rPr>
        <w:t>;</w:t>
      </w:r>
    </w:p>
    <w:p w:rsidRPr="00270FBE" w:rsidR="00A329C8" w:rsidP="00270FBE" w:rsidRDefault="00A329C8" w14:paraId="33E21B11" w14:textId="77777777">
      <w:pPr>
        <w:pStyle w:val="ListParagraph"/>
        <w:numPr>
          <w:ilvl w:val="0"/>
          <w:numId w:val="21"/>
        </w:numPr>
        <w:overflowPunct w:val="0"/>
        <w:autoSpaceDE w:val="0"/>
        <w:autoSpaceDN w:val="0"/>
        <w:adjustRightInd w:val="0"/>
        <w:spacing w:line="240" w:lineRule="auto"/>
        <w:ind w:left="284" w:hanging="284"/>
        <w:textAlignment w:val="baseline"/>
        <w:outlineLvl w:val="1"/>
        <w:rPr>
          <w:szCs w:val="20"/>
        </w:rPr>
      </w:pPr>
      <w:r w:rsidRPr="00270FBE">
        <w:rPr>
          <w:szCs w:val="20"/>
        </w:rPr>
        <w:t xml:space="preserve">calls for the Commission to </w:t>
      </w:r>
      <w:r w:rsidRPr="00270FBE">
        <w:rPr>
          <w:b/>
          <w:bCs/>
          <w:szCs w:val="20"/>
        </w:rPr>
        <w:t>expand the competitiveness check</w:t>
      </w:r>
      <w:r w:rsidRPr="00270FBE">
        <w:rPr>
          <w:szCs w:val="20"/>
        </w:rPr>
        <w:t xml:space="preserve"> in relation to other major economies, including their climate, energy and industrial policies and economic indicators, to provide proposals on how to strengthen Europe’s global competitiveness and industrial base and safeguard our model of open market economy with high environmental and social standards.</w:t>
      </w:r>
    </w:p>
    <w:p w:rsidRPr="00A329C8" w:rsidR="0073462A" w:rsidP="00A329C8" w:rsidRDefault="0073462A" w14:paraId="0EED3D8E" w14:textId="77777777">
      <w:pPr>
        <w:overflowPunct w:val="0"/>
        <w:autoSpaceDE w:val="0"/>
        <w:autoSpaceDN w:val="0"/>
        <w:adjustRightInd w:val="0"/>
        <w:spacing w:line="240" w:lineRule="auto"/>
        <w:textAlignment w:val="baseline"/>
        <w:rPr>
          <w:sz w:val="18"/>
          <w:szCs w:val="18"/>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A329C8" w:rsidR="00A329C8" w:rsidTr="00FE3058" w14:paraId="2C0A0929" w14:textId="77777777">
        <w:tc>
          <w:tcPr>
            <w:tcW w:w="1634" w:type="dxa"/>
          </w:tcPr>
          <w:p w:rsidRPr="00A329C8" w:rsidR="00A329C8" w:rsidP="00270FBE" w:rsidRDefault="00A329C8" w14:paraId="0961FF11" w14:textId="77777777">
            <w:pPr>
              <w:overflowPunct w:val="0"/>
              <w:autoSpaceDE w:val="0"/>
              <w:autoSpaceDN w:val="0"/>
              <w:adjustRightInd w:val="0"/>
              <w:spacing w:line="240" w:lineRule="auto"/>
              <w:ind w:left="709" w:hanging="819"/>
              <w:textAlignment w:val="baseline"/>
              <w:rPr>
                <w:i/>
              </w:rPr>
            </w:pPr>
            <w:r w:rsidRPr="00A329C8">
              <w:rPr>
                <w:b/>
                <w:i/>
              </w:rPr>
              <w:t>Contact</w:t>
            </w:r>
          </w:p>
        </w:tc>
        <w:tc>
          <w:tcPr>
            <w:tcW w:w="5670" w:type="dxa"/>
          </w:tcPr>
          <w:p w:rsidRPr="00270FBE" w:rsidR="00A329C8" w:rsidP="00270FBE" w:rsidRDefault="00A329C8" w14:paraId="0F82E7FA" w14:textId="268094B7">
            <w:pPr>
              <w:overflowPunct w:val="0"/>
              <w:autoSpaceDE w:val="0"/>
              <w:autoSpaceDN w:val="0"/>
              <w:adjustRightInd w:val="0"/>
              <w:spacing w:line="240" w:lineRule="auto"/>
              <w:ind w:left="709" w:hanging="819"/>
              <w:textAlignment w:val="baseline"/>
              <w:rPr>
                <w:i/>
                <w:iCs/>
              </w:rPr>
            </w:pPr>
            <w:r w:rsidRPr="00270FBE">
              <w:rPr>
                <w:i/>
                <w:iCs/>
              </w:rPr>
              <w:t>Judit C</w:t>
            </w:r>
            <w:r w:rsidRPr="00270FBE" w:rsidR="007607A9">
              <w:rPr>
                <w:i/>
                <w:iCs/>
              </w:rPr>
              <w:t>arreras</w:t>
            </w:r>
            <w:r w:rsidRPr="00270FBE">
              <w:rPr>
                <w:i/>
                <w:iCs/>
              </w:rPr>
              <w:t xml:space="preserve"> G</w:t>
            </w:r>
            <w:r w:rsidRPr="00270FBE" w:rsidR="007607A9">
              <w:rPr>
                <w:i/>
                <w:iCs/>
              </w:rPr>
              <w:t>arcia</w:t>
            </w:r>
          </w:p>
        </w:tc>
      </w:tr>
      <w:tr w:rsidRPr="00A329C8" w:rsidR="00A329C8" w:rsidTr="00FE3058" w14:paraId="1A5C453D" w14:textId="77777777">
        <w:tc>
          <w:tcPr>
            <w:tcW w:w="1634" w:type="dxa"/>
          </w:tcPr>
          <w:p w:rsidRPr="00A329C8" w:rsidR="00A329C8" w:rsidP="00270FBE" w:rsidRDefault="00A329C8" w14:paraId="180E2B3C" w14:textId="77777777">
            <w:pPr>
              <w:overflowPunct w:val="0"/>
              <w:autoSpaceDE w:val="0"/>
              <w:autoSpaceDN w:val="0"/>
              <w:adjustRightInd w:val="0"/>
              <w:spacing w:line="240" w:lineRule="auto"/>
              <w:ind w:left="709" w:hanging="819"/>
              <w:textAlignment w:val="baseline"/>
              <w:rPr>
                <w:i/>
              </w:rPr>
            </w:pPr>
            <w:r w:rsidRPr="00A329C8">
              <w:rPr>
                <w:i/>
              </w:rPr>
              <w:t>Tel.</w:t>
            </w:r>
          </w:p>
        </w:tc>
        <w:tc>
          <w:tcPr>
            <w:tcW w:w="5670" w:type="dxa"/>
          </w:tcPr>
          <w:p w:rsidRPr="00A329C8" w:rsidR="00A329C8" w:rsidP="00270FBE" w:rsidRDefault="00A329C8" w14:paraId="729D5F41" w14:textId="77777777">
            <w:pPr>
              <w:overflowPunct w:val="0"/>
              <w:autoSpaceDE w:val="0"/>
              <w:autoSpaceDN w:val="0"/>
              <w:adjustRightInd w:val="0"/>
              <w:spacing w:line="240" w:lineRule="auto"/>
              <w:ind w:left="709" w:hanging="819"/>
              <w:textAlignment w:val="baseline"/>
              <w:rPr>
                <w:i/>
                <w:iCs/>
              </w:rPr>
            </w:pPr>
            <w:r w:rsidRPr="00A329C8">
              <w:rPr>
                <w:i/>
              </w:rPr>
              <w:t>+32 25468421</w:t>
            </w:r>
          </w:p>
        </w:tc>
      </w:tr>
      <w:tr w:rsidRPr="00A329C8" w:rsidR="00A329C8" w:rsidTr="00FE3058" w14:paraId="4404176D" w14:textId="77777777">
        <w:tc>
          <w:tcPr>
            <w:tcW w:w="1634" w:type="dxa"/>
          </w:tcPr>
          <w:p w:rsidRPr="00A329C8" w:rsidR="00A329C8" w:rsidP="00270FBE" w:rsidRDefault="007607A9" w14:paraId="60D8FC1E" w14:textId="46B2E424">
            <w:pPr>
              <w:overflowPunct w:val="0"/>
              <w:autoSpaceDE w:val="0"/>
              <w:autoSpaceDN w:val="0"/>
              <w:adjustRightInd w:val="0"/>
              <w:spacing w:line="240" w:lineRule="auto"/>
              <w:ind w:left="709" w:hanging="819"/>
              <w:textAlignment w:val="baseline"/>
              <w:rPr>
                <w:i/>
              </w:rPr>
            </w:pPr>
            <w:r>
              <w:rPr>
                <w:i/>
              </w:rPr>
              <w:t>E</w:t>
            </w:r>
            <w:r w:rsidRPr="00A329C8" w:rsidR="00A329C8">
              <w:rPr>
                <w:i/>
              </w:rPr>
              <w:t>mail</w:t>
            </w:r>
          </w:p>
        </w:tc>
        <w:tc>
          <w:tcPr>
            <w:tcW w:w="5670" w:type="dxa"/>
          </w:tcPr>
          <w:p w:rsidRPr="00A329C8" w:rsidR="00A329C8" w:rsidP="00270FBE" w:rsidRDefault="00D63208" w14:paraId="7F4CE542" w14:textId="77777777">
            <w:pPr>
              <w:overflowPunct w:val="0"/>
              <w:autoSpaceDE w:val="0"/>
              <w:autoSpaceDN w:val="0"/>
              <w:adjustRightInd w:val="0"/>
              <w:spacing w:line="240" w:lineRule="auto"/>
              <w:ind w:left="709" w:hanging="819"/>
              <w:textAlignment w:val="baseline"/>
              <w:rPr>
                <w:i/>
                <w:iCs/>
                <w:color w:val="0000FF"/>
                <w:u w:val="single"/>
              </w:rPr>
            </w:pPr>
            <w:hyperlink w:history="1" r:id="rId31">
              <w:r w:rsidRPr="00A329C8" w:rsidR="00A329C8">
                <w:rPr>
                  <w:i/>
                  <w:color w:val="0000FF"/>
                  <w:u w:val="single"/>
                </w:rPr>
                <w:t>Judit.CarrerasGarcia@eesc.europa.eu</w:t>
              </w:r>
            </w:hyperlink>
          </w:p>
        </w:tc>
      </w:tr>
    </w:tbl>
    <w:p w:rsidR="00A329C8" w:rsidRDefault="00A329C8" w14:paraId="78CB8038" w14:textId="77777777">
      <w:pPr>
        <w:spacing w:after="160" w:line="259" w:lineRule="auto"/>
        <w:jc w:val="left"/>
        <w:rPr>
          <w:b/>
          <w:bCs/>
        </w:rPr>
      </w:pPr>
      <w:r>
        <w:rPr>
          <w:b/>
          <w:bCs/>
        </w:rPr>
        <w:br w:type="page"/>
      </w:r>
    </w:p>
    <w:p w:rsidRPr="00A14846" w:rsidR="00A329C8" w:rsidP="00C26C81" w:rsidRDefault="0015356A" w14:paraId="29FCBD43" w14:textId="1DCE37DB">
      <w:pPr>
        <w:widowControl w:val="0"/>
        <w:numPr>
          <w:ilvl w:val="0"/>
          <w:numId w:val="6"/>
        </w:numPr>
        <w:overflowPunct w:val="0"/>
        <w:autoSpaceDE w:val="0"/>
        <w:autoSpaceDN w:val="0"/>
        <w:adjustRightInd w:val="0"/>
        <w:textAlignment w:val="baseline"/>
        <w:rPr>
          <w:b/>
          <w:i/>
          <w:sz w:val="28"/>
          <w:szCs w:val="20"/>
        </w:rPr>
      </w:pPr>
      <w:hyperlink w:history="1" r:id="rId32">
        <w:r w:rsidRPr="00A14846" w:rsidR="00A329C8">
          <w:rPr>
            <w:b/>
            <w:i/>
            <w:color w:val="0000FF"/>
            <w:sz w:val="28"/>
            <w:szCs w:val="20"/>
            <w:u w:val="single"/>
          </w:rPr>
          <w:t>Revision of the animal welfare legislation</w:t>
        </w:r>
      </w:hyperlink>
    </w:p>
    <w:p w:rsidRPr="00A14846" w:rsidR="00A329C8" w:rsidP="00A329C8"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A14846" w:rsidR="00A329C8" w:rsidTr="00FE3058" w14:paraId="5D60937D" w14:textId="77777777">
        <w:tc>
          <w:tcPr>
            <w:tcW w:w="2127" w:type="dxa"/>
          </w:tcPr>
          <w:p w:rsidRPr="00A14846" w:rsidR="00A329C8" w:rsidP="00FE3058" w:rsidRDefault="00A329C8" w14:paraId="661CBE96" w14:textId="77777777">
            <w:pPr>
              <w:tabs>
                <w:tab w:val="center" w:pos="284"/>
              </w:tabs>
              <w:overflowPunct w:val="0"/>
              <w:autoSpaceDE w:val="0"/>
              <w:autoSpaceDN w:val="0"/>
              <w:adjustRightInd w:val="0"/>
              <w:ind w:left="266" w:hanging="266"/>
              <w:textAlignment w:val="baseline"/>
              <w:rPr>
                <w:b/>
              </w:rPr>
            </w:pPr>
            <w:r w:rsidRPr="00A14846">
              <w:rPr>
                <w:b/>
              </w:rPr>
              <w:t xml:space="preserve">Rapporteur </w:t>
            </w:r>
          </w:p>
        </w:tc>
        <w:tc>
          <w:tcPr>
            <w:tcW w:w="6804" w:type="dxa"/>
          </w:tcPr>
          <w:p w:rsidRPr="00A14846" w:rsidR="00A329C8" w:rsidP="00FE3058" w:rsidRDefault="00A329C8" w14:paraId="77C861E5" w14:textId="0B41880E">
            <w:pPr>
              <w:tabs>
                <w:tab w:val="center" w:pos="284"/>
              </w:tabs>
              <w:overflowPunct w:val="0"/>
              <w:autoSpaceDE w:val="0"/>
              <w:autoSpaceDN w:val="0"/>
              <w:adjustRightInd w:val="0"/>
              <w:ind w:left="266" w:hanging="266"/>
              <w:textAlignment w:val="baseline"/>
            </w:pPr>
            <w:r w:rsidRPr="00A14846">
              <w:t xml:space="preserve">Jaume BERNIS CASTELLS (Civil Society Organisations’ Group </w:t>
            </w:r>
            <w:r w:rsidR="00D704BD">
              <w:t xml:space="preserve">- </w:t>
            </w:r>
            <w:r w:rsidRPr="00A14846">
              <w:t>ES)</w:t>
            </w:r>
          </w:p>
        </w:tc>
      </w:tr>
      <w:tr w:rsidRPr="00A14846" w:rsidR="00A329C8" w:rsidTr="00FE3058" w14:paraId="70D6EB9C" w14:textId="77777777">
        <w:tc>
          <w:tcPr>
            <w:tcW w:w="8931" w:type="dxa"/>
            <w:gridSpan w:val="2"/>
          </w:tcPr>
          <w:p w:rsidRPr="00A14846" w:rsidR="00A329C8" w:rsidP="00FE3058" w:rsidRDefault="00A329C8" w14:paraId="5D0701A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A14846" w:rsidR="00A329C8" w:rsidTr="00FE3058" w14:paraId="67C57163" w14:textId="77777777">
        <w:tc>
          <w:tcPr>
            <w:tcW w:w="2127" w:type="dxa"/>
          </w:tcPr>
          <w:p w:rsidRPr="00A14846" w:rsidR="00A329C8" w:rsidP="00FE3058" w:rsidRDefault="00A329C8" w14:paraId="0019A341" w14:textId="77777777">
            <w:pPr>
              <w:tabs>
                <w:tab w:val="center" w:pos="284"/>
              </w:tabs>
              <w:overflowPunct w:val="0"/>
              <w:autoSpaceDE w:val="0"/>
              <w:autoSpaceDN w:val="0"/>
              <w:adjustRightInd w:val="0"/>
              <w:ind w:left="266" w:hanging="266"/>
              <w:textAlignment w:val="baseline"/>
              <w:rPr>
                <w:b/>
              </w:rPr>
            </w:pPr>
            <w:r w:rsidRPr="00A14846">
              <w:rPr>
                <w:b/>
              </w:rPr>
              <w:t>References</w:t>
            </w:r>
          </w:p>
        </w:tc>
        <w:tc>
          <w:tcPr>
            <w:tcW w:w="6804" w:type="dxa"/>
          </w:tcPr>
          <w:p w:rsidR="00D704BD" w:rsidP="00FE3058" w:rsidRDefault="00D704BD" w14:paraId="466B0FCB" w14:textId="138FF299">
            <w:pPr>
              <w:tabs>
                <w:tab w:val="center" w:pos="284"/>
              </w:tabs>
              <w:overflowPunct w:val="0"/>
              <w:autoSpaceDE w:val="0"/>
              <w:autoSpaceDN w:val="0"/>
              <w:adjustRightInd w:val="0"/>
              <w:ind w:left="266" w:hanging="266"/>
              <w:textAlignment w:val="baseline"/>
            </w:pPr>
            <w:r w:rsidRPr="00D704BD">
              <w:t>COM(2023) 770 final</w:t>
            </w:r>
          </w:p>
          <w:p w:rsidRPr="00A14846" w:rsidR="00A329C8" w:rsidP="00FE3058" w:rsidRDefault="00A329C8" w14:paraId="7298B786" w14:textId="063BFD24">
            <w:pPr>
              <w:tabs>
                <w:tab w:val="center" w:pos="284"/>
              </w:tabs>
              <w:overflowPunct w:val="0"/>
              <w:autoSpaceDE w:val="0"/>
              <w:autoSpaceDN w:val="0"/>
              <w:adjustRightInd w:val="0"/>
              <w:ind w:left="266" w:hanging="266"/>
              <w:textAlignment w:val="baseline"/>
            </w:pPr>
            <w:r w:rsidRPr="00A14846">
              <w:t>EESC-2023-05464-00-00-AC</w:t>
            </w:r>
          </w:p>
        </w:tc>
      </w:tr>
    </w:tbl>
    <w:p w:rsidRPr="00A14846" w:rsidR="00A329C8" w:rsidP="00A329C8" w:rsidRDefault="00A329C8" w14:paraId="1C9BC533" w14:textId="77777777">
      <w:pPr>
        <w:keepNext/>
        <w:keepLines/>
        <w:tabs>
          <w:tab w:val="center" w:pos="284"/>
        </w:tabs>
        <w:overflowPunct w:val="0"/>
        <w:autoSpaceDE w:val="0"/>
        <w:autoSpaceDN w:val="0"/>
        <w:adjustRightInd w:val="0"/>
        <w:ind w:left="266" w:hanging="266"/>
        <w:textAlignment w:val="baseline"/>
        <w:rPr>
          <w:b/>
          <w:szCs w:val="20"/>
        </w:rPr>
      </w:pPr>
    </w:p>
    <w:p w:rsidRPr="00A14846" w:rsidR="00A329C8" w:rsidP="00A329C8" w:rsidRDefault="00A329C8" w14:paraId="1EE8EE07" w14:textId="77777777">
      <w:pPr>
        <w:keepNext/>
        <w:keepLines/>
        <w:tabs>
          <w:tab w:val="center" w:pos="284"/>
        </w:tabs>
        <w:overflowPunct w:val="0"/>
        <w:autoSpaceDE w:val="0"/>
        <w:autoSpaceDN w:val="0"/>
        <w:adjustRightInd w:val="0"/>
        <w:ind w:left="266" w:hanging="266"/>
        <w:textAlignment w:val="baseline"/>
        <w:rPr>
          <w:b/>
        </w:rPr>
      </w:pPr>
      <w:r w:rsidRPr="00A14846">
        <w:rPr>
          <w:b/>
          <w:szCs w:val="20"/>
        </w:rPr>
        <w:t>Key points</w:t>
      </w:r>
    </w:p>
    <w:p w:rsidRPr="00A14846" w:rsidR="00A329C8" w:rsidP="00A329C8" w:rsidRDefault="00A329C8" w14:paraId="6900345E" w14:textId="77777777">
      <w:pPr>
        <w:keepNext/>
        <w:keepLines/>
        <w:tabs>
          <w:tab w:val="center" w:pos="284"/>
        </w:tabs>
        <w:overflowPunct w:val="0"/>
        <w:autoSpaceDE w:val="0"/>
        <w:autoSpaceDN w:val="0"/>
        <w:adjustRightInd w:val="0"/>
        <w:ind w:left="266" w:hanging="266"/>
        <w:textAlignment w:val="baseline"/>
      </w:pPr>
    </w:p>
    <w:p w:rsidR="00A329C8" w:rsidP="00A329C8" w:rsidRDefault="00A329C8" w14:paraId="47E5F255" w14:textId="145A9A92">
      <w:pPr>
        <w:keepNext/>
        <w:keepLines/>
        <w:tabs>
          <w:tab w:val="center" w:pos="284"/>
        </w:tabs>
        <w:overflowPunct w:val="0"/>
        <w:autoSpaceDE w:val="0"/>
        <w:autoSpaceDN w:val="0"/>
        <w:adjustRightInd w:val="0"/>
        <w:ind w:left="266" w:hanging="266"/>
        <w:textAlignment w:val="baseline"/>
        <w:rPr>
          <w:szCs w:val="20"/>
        </w:rPr>
      </w:pPr>
      <w:r w:rsidRPr="00A14846">
        <w:rPr>
          <w:szCs w:val="20"/>
        </w:rPr>
        <w:t>The EESC:</w:t>
      </w:r>
    </w:p>
    <w:p w:rsidRPr="00A14846" w:rsidR="00D704BD" w:rsidP="00A329C8" w:rsidRDefault="00D704BD" w14:paraId="72E89559" w14:textId="77777777">
      <w:pPr>
        <w:keepNext/>
        <w:keepLines/>
        <w:tabs>
          <w:tab w:val="center" w:pos="284"/>
        </w:tabs>
        <w:overflowPunct w:val="0"/>
        <w:autoSpaceDE w:val="0"/>
        <w:autoSpaceDN w:val="0"/>
        <w:adjustRightInd w:val="0"/>
        <w:ind w:left="266" w:hanging="266"/>
        <w:textAlignment w:val="baseline"/>
      </w:pPr>
    </w:p>
    <w:p w:rsidRPr="00A14846" w:rsidR="00A329C8" w:rsidP="00270FBE" w:rsidRDefault="00A329C8" w14:paraId="5B8E8E34" w14:textId="77777777">
      <w:pPr>
        <w:numPr>
          <w:ilvl w:val="0"/>
          <w:numId w:val="22"/>
        </w:numPr>
        <w:overflowPunct w:val="0"/>
        <w:autoSpaceDE w:val="0"/>
        <w:autoSpaceDN w:val="0"/>
        <w:adjustRightInd w:val="0"/>
        <w:textAlignment w:val="baseline"/>
        <w:outlineLvl w:val="1"/>
        <w:rPr>
          <w:szCs w:val="20"/>
        </w:rPr>
      </w:pPr>
      <w:r w:rsidRPr="00A14846">
        <w:rPr>
          <w:szCs w:val="20"/>
        </w:rPr>
        <w:t>suggests the Commission to take into account the practical knowledge of farmers, transporters and veterinarians, to implement and harmonise the regulations;</w:t>
      </w:r>
    </w:p>
    <w:p w:rsidRPr="00A14846" w:rsidR="00A329C8" w:rsidP="00270FBE" w:rsidRDefault="00A329C8" w14:paraId="06F24D3E" w14:textId="77777777">
      <w:pPr>
        <w:numPr>
          <w:ilvl w:val="0"/>
          <w:numId w:val="22"/>
        </w:numPr>
        <w:overflowPunct w:val="0"/>
        <w:autoSpaceDE w:val="0"/>
        <w:autoSpaceDN w:val="0"/>
        <w:adjustRightInd w:val="0"/>
        <w:textAlignment w:val="baseline"/>
        <w:outlineLvl w:val="1"/>
        <w:rPr>
          <w:szCs w:val="20"/>
        </w:rPr>
      </w:pPr>
      <w:r w:rsidRPr="00A14846">
        <w:rPr>
          <w:szCs w:val="20"/>
        </w:rPr>
        <w:t xml:space="preserve">understands that </w:t>
      </w:r>
      <w:r w:rsidRPr="00A14846">
        <w:rPr>
          <w:b/>
          <w:bCs/>
          <w:szCs w:val="20"/>
        </w:rPr>
        <w:t>legislation unable to adapt</w:t>
      </w:r>
      <w:r w:rsidRPr="00A14846">
        <w:rPr>
          <w:szCs w:val="20"/>
        </w:rPr>
        <w:t xml:space="preserve"> to the varied circumstances in the 27 Member States </w:t>
      </w:r>
      <w:r w:rsidRPr="00A14846">
        <w:rPr>
          <w:b/>
          <w:bCs/>
          <w:szCs w:val="20"/>
        </w:rPr>
        <w:t>will open the door to asymmetrical situations</w:t>
      </w:r>
      <w:r w:rsidRPr="00A14846">
        <w:rPr>
          <w:szCs w:val="20"/>
        </w:rPr>
        <w:t>;</w:t>
      </w:r>
    </w:p>
    <w:p w:rsidRPr="00A14846" w:rsidR="00A329C8" w:rsidP="00270FBE" w:rsidRDefault="00A329C8" w14:paraId="1889E9AA" w14:textId="77777777">
      <w:pPr>
        <w:numPr>
          <w:ilvl w:val="0"/>
          <w:numId w:val="22"/>
        </w:numPr>
        <w:overflowPunct w:val="0"/>
        <w:autoSpaceDE w:val="0"/>
        <w:autoSpaceDN w:val="0"/>
        <w:adjustRightInd w:val="0"/>
        <w:textAlignment w:val="baseline"/>
        <w:outlineLvl w:val="1"/>
        <w:rPr>
          <w:szCs w:val="20"/>
        </w:rPr>
      </w:pPr>
      <w:r w:rsidRPr="00A14846">
        <w:rPr>
          <w:szCs w:val="20"/>
        </w:rPr>
        <w:t xml:space="preserve">calls on the Commission to </w:t>
      </w:r>
      <w:r w:rsidRPr="00A14846">
        <w:rPr>
          <w:b/>
          <w:bCs/>
          <w:szCs w:val="20"/>
        </w:rPr>
        <w:t>ensure</w:t>
      </w:r>
      <w:r w:rsidRPr="00A14846">
        <w:rPr>
          <w:szCs w:val="20"/>
        </w:rPr>
        <w:t xml:space="preserve"> that the </w:t>
      </w:r>
      <w:r w:rsidRPr="00A14846">
        <w:rPr>
          <w:b/>
          <w:bCs/>
          <w:szCs w:val="20"/>
        </w:rPr>
        <w:t>implementation costs</w:t>
      </w:r>
      <w:r w:rsidRPr="00A14846">
        <w:rPr>
          <w:szCs w:val="20"/>
        </w:rPr>
        <w:t xml:space="preserve"> of this regulation are </w:t>
      </w:r>
      <w:r w:rsidRPr="00A14846">
        <w:rPr>
          <w:b/>
          <w:bCs/>
          <w:szCs w:val="20"/>
        </w:rPr>
        <w:t>not borne by stakeholders</w:t>
      </w:r>
      <w:r w:rsidRPr="00A14846">
        <w:rPr>
          <w:szCs w:val="20"/>
        </w:rPr>
        <w:t xml:space="preserve"> in the sector;</w:t>
      </w:r>
    </w:p>
    <w:p w:rsidRPr="00A14846" w:rsidR="00A329C8" w:rsidP="00270FBE" w:rsidRDefault="00A329C8" w14:paraId="7DD5E3B0" w14:textId="77777777">
      <w:pPr>
        <w:numPr>
          <w:ilvl w:val="0"/>
          <w:numId w:val="22"/>
        </w:numPr>
        <w:overflowPunct w:val="0"/>
        <w:autoSpaceDE w:val="0"/>
        <w:autoSpaceDN w:val="0"/>
        <w:adjustRightInd w:val="0"/>
        <w:textAlignment w:val="baseline"/>
        <w:outlineLvl w:val="1"/>
        <w:rPr>
          <w:szCs w:val="20"/>
        </w:rPr>
      </w:pPr>
      <w:r w:rsidRPr="00A14846">
        <w:rPr>
          <w:szCs w:val="20"/>
        </w:rPr>
        <w:t xml:space="preserve">emphasises that the </w:t>
      </w:r>
      <w:r w:rsidRPr="00A14846">
        <w:rPr>
          <w:b/>
          <w:bCs/>
          <w:szCs w:val="20"/>
        </w:rPr>
        <w:t>provisions</w:t>
      </w:r>
      <w:r w:rsidRPr="00A14846">
        <w:rPr>
          <w:szCs w:val="20"/>
        </w:rPr>
        <w:t xml:space="preserve"> laid down in the proposal for a regulation </w:t>
      </w:r>
      <w:r w:rsidRPr="00A14846">
        <w:rPr>
          <w:b/>
          <w:bCs/>
          <w:szCs w:val="20"/>
        </w:rPr>
        <w:t>require operators to work night shifts</w:t>
      </w:r>
      <w:r w:rsidRPr="00A14846">
        <w:rPr>
          <w:szCs w:val="20"/>
        </w:rPr>
        <w:t xml:space="preserve"> (especially farmers, drivers and veterinarians);</w:t>
      </w:r>
    </w:p>
    <w:p w:rsidRPr="00A14846" w:rsidR="00A329C8" w:rsidP="00270FBE" w:rsidRDefault="00A329C8" w14:paraId="118CDB57" w14:textId="77777777">
      <w:pPr>
        <w:numPr>
          <w:ilvl w:val="0"/>
          <w:numId w:val="22"/>
        </w:numPr>
        <w:overflowPunct w:val="0"/>
        <w:autoSpaceDE w:val="0"/>
        <w:autoSpaceDN w:val="0"/>
        <w:adjustRightInd w:val="0"/>
        <w:textAlignment w:val="baseline"/>
        <w:outlineLvl w:val="1"/>
        <w:rPr>
          <w:szCs w:val="20"/>
        </w:rPr>
      </w:pPr>
      <w:r w:rsidRPr="00A14846">
        <w:rPr>
          <w:szCs w:val="20"/>
        </w:rPr>
        <w:t xml:space="preserve">calls on the Commission to </w:t>
      </w:r>
      <w:r w:rsidRPr="00A14846">
        <w:rPr>
          <w:b/>
          <w:bCs/>
          <w:szCs w:val="20"/>
        </w:rPr>
        <w:t>consider the impact this proposal will have on supply chains</w:t>
      </w:r>
      <w:r w:rsidRPr="00A14846">
        <w:rPr>
          <w:szCs w:val="20"/>
        </w:rPr>
        <w:t xml:space="preserve"> that have been built and distributed over the years on the basis of current time constraints;</w:t>
      </w:r>
    </w:p>
    <w:p w:rsidRPr="00A14846" w:rsidR="00A329C8" w:rsidP="00270FBE" w:rsidRDefault="00A329C8" w14:paraId="63C74A95" w14:textId="77777777">
      <w:pPr>
        <w:numPr>
          <w:ilvl w:val="0"/>
          <w:numId w:val="22"/>
        </w:numPr>
        <w:overflowPunct w:val="0"/>
        <w:autoSpaceDE w:val="0"/>
        <w:autoSpaceDN w:val="0"/>
        <w:adjustRightInd w:val="0"/>
        <w:textAlignment w:val="baseline"/>
        <w:outlineLvl w:val="1"/>
        <w:rPr>
          <w:szCs w:val="20"/>
        </w:rPr>
      </w:pPr>
      <w:r w:rsidRPr="00A14846">
        <w:rPr>
          <w:szCs w:val="20"/>
        </w:rPr>
        <w:t>warns of the consequences of limiting the transport of animals for slaughter to short journeys of less than nine hours;</w:t>
      </w:r>
    </w:p>
    <w:p w:rsidRPr="00A14846" w:rsidR="00A329C8" w:rsidP="00270FBE" w:rsidRDefault="00A329C8" w14:paraId="6F8515E2" w14:textId="77777777">
      <w:pPr>
        <w:numPr>
          <w:ilvl w:val="0"/>
          <w:numId w:val="22"/>
        </w:numPr>
        <w:overflowPunct w:val="0"/>
        <w:autoSpaceDE w:val="0"/>
        <w:autoSpaceDN w:val="0"/>
        <w:adjustRightInd w:val="0"/>
        <w:textAlignment w:val="baseline"/>
        <w:outlineLvl w:val="1"/>
        <w:rPr>
          <w:szCs w:val="20"/>
        </w:rPr>
      </w:pPr>
      <w:r w:rsidRPr="00A14846">
        <w:rPr>
          <w:szCs w:val="20"/>
        </w:rPr>
        <w:t xml:space="preserve">considers that new </w:t>
      </w:r>
      <w:r w:rsidRPr="00A14846">
        <w:rPr>
          <w:b/>
          <w:bCs/>
          <w:szCs w:val="20"/>
        </w:rPr>
        <w:t>proposed technical standards</w:t>
      </w:r>
      <w:r w:rsidRPr="00A14846">
        <w:rPr>
          <w:szCs w:val="20"/>
        </w:rPr>
        <w:t xml:space="preserve"> on the fitness for transport of terrestrial animals </w:t>
      </w:r>
      <w:r w:rsidRPr="00A14846">
        <w:rPr>
          <w:b/>
          <w:bCs/>
          <w:szCs w:val="20"/>
        </w:rPr>
        <w:t>could lead to the closure of many livestock farms</w:t>
      </w:r>
      <w:r w:rsidRPr="00A14846">
        <w:rPr>
          <w:szCs w:val="20"/>
        </w:rPr>
        <w:t>;</w:t>
      </w:r>
    </w:p>
    <w:p w:rsidRPr="00A14846" w:rsidR="00A329C8" w:rsidP="00270FBE" w:rsidRDefault="00A329C8" w14:paraId="5FA5848C" w14:textId="77777777">
      <w:pPr>
        <w:numPr>
          <w:ilvl w:val="0"/>
          <w:numId w:val="22"/>
        </w:numPr>
        <w:overflowPunct w:val="0"/>
        <w:autoSpaceDE w:val="0"/>
        <w:autoSpaceDN w:val="0"/>
        <w:adjustRightInd w:val="0"/>
        <w:textAlignment w:val="baseline"/>
        <w:outlineLvl w:val="1"/>
        <w:rPr>
          <w:szCs w:val="20"/>
        </w:rPr>
      </w:pPr>
      <w:r w:rsidRPr="00A14846">
        <w:rPr>
          <w:szCs w:val="20"/>
        </w:rPr>
        <w:t xml:space="preserve">believes that the </w:t>
      </w:r>
      <w:r w:rsidRPr="00A14846">
        <w:rPr>
          <w:b/>
          <w:bCs/>
          <w:szCs w:val="20"/>
        </w:rPr>
        <w:t>ban on transporting young animals</w:t>
      </w:r>
      <w:r w:rsidRPr="00A14846">
        <w:rPr>
          <w:szCs w:val="20"/>
        </w:rPr>
        <w:t xml:space="preserve"> (such as calves, lambs, kids, piglets and foals, which have not been weaned) </w:t>
      </w:r>
      <w:r w:rsidRPr="00A14846">
        <w:rPr>
          <w:b/>
          <w:bCs/>
          <w:szCs w:val="20"/>
        </w:rPr>
        <w:t xml:space="preserve">on long road journeys will have a significant impact on imports of animal breeds </w:t>
      </w:r>
      <w:r w:rsidRPr="00A14846">
        <w:rPr>
          <w:szCs w:val="20"/>
        </w:rPr>
        <w:t>from other EU Member States;</w:t>
      </w:r>
    </w:p>
    <w:p w:rsidRPr="00A14846" w:rsidR="00A329C8" w:rsidP="00270FBE" w:rsidRDefault="00A329C8" w14:paraId="6BDADC07" w14:textId="77777777">
      <w:pPr>
        <w:numPr>
          <w:ilvl w:val="0"/>
          <w:numId w:val="22"/>
        </w:numPr>
        <w:overflowPunct w:val="0"/>
        <w:autoSpaceDE w:val="0"/>
        <w:autoSpaceDN w:val="0"/>
        <w:adjustRightInd w:val="0"/>
        <w:textAlignment w:val="baseline"/>
        <w:outlineLvl w:val="1"/>
        <w:rPr>
          <w:szCs w:val="20"/>
        </w:rPr>
      </w:pPr>
      <w:r w:rsidRPr="00A14846">
        <w:rPr>
          <w:szCs w:val="20"/>
        </w:rPr>
        <w:t xml:space="preserve">calls on the Commission to </w:t>
      </w:r>
      <w:r w:rsidRPr="00A14846">
        <w:rPr>
          <w:b/>
          <w:bCs/>
          <w:szCs w:val="20"/>
        </w:rPr>
        <w:t>consider the climate-related characteristics</w:t>
      </w:r>
      <w:r w:rsidRPr="00A14846">
        <w:rPr>
          <w:szCs w:val="20"/>
        </w:rPr>
        <w:t xml:space="preserve"> of each Member State in relation to Article 31 of the proposal;</w:t>
      </w:r>
    </w:p>
    <w:p w:rsidRPr="00A14846" w:rsidR="00A329C8" w:rsidP="00270FBE" w:rsidRDefault="00A329C8" w14:paraId="4637EB55" w14:textId="77777777">
      <w:pPr>
        <w:numPr>
          <w:ilvl w:val="0"/>
          <w:numId w:val="22"/>
        </w:numPr>
        <w:overflowPunct w:val="0"/>
        <w:autoSpaceDE w:val="0"/>
        <w:autoSpaceDN w:val="0"/>
        <w:adjustRightInd w:val="0"/>
        <w:textAlignment w:val="baseline"/>
        <w:outlineLvl w:val="1"/>
        <w:rPr>
          <w:szCs w:val="20"/>
        </w:rPr>
      </w:pPr>
      <w:r w:rsidRPr="00A14846">
        <w:rPr>
          <w:szCs w:val="20"/>
        </w:rPr>
        <w:t xml:space="preserve">maintains that it is essential to </w:t>
      </w:r>
      <w:r w:rsidRPr="00A14846">
        <w:rPr>
          <w:b/>
          <w:bCs/>
          <w:szCs w:val="20"/>
        </w:rPr>
        <w:t>promote short supply chains</w:t>
      </w:r>
      <w:r w:rsidRPr="00A14846">
        <w:rPr>
          <w:szCs w:val="20"/>
        </w:rPr>
        <w:t xml:space="preserve"> as an effective solution for reducing the need for long journeys by shortening the distance between the places the animals are reared, fattened, slaughtered and consumed;</w:t>
      </w:r>
    </w:p>
    <w:p w:rsidRPr="00A14846" w:rsidR="00A329C8" w:rsidP="00270FBE" w:rsidRDefault="00A329C8" w14:paraId="6A4C0035" w14:textId="77777777">
      <w:pPr>
        <w:numPr>
          <w:ilvl w:val="0"/>
          <w:numId w:val="22"/>
        </w:numPr>
        <w:overflowPunct w:val="0"/>
        <w:autoSpaceDE w:val="0"/>
        <w:autoSpaceDN w:val="0"/>
        <w:adjustRightInd w:val="0"/>
        <w:textAlignment w:val="baseline"/>
        <w:outlineLvl w:val="1"/>
      </w:pPr>
      <w:r w:rsidRPr="00A14846">
        <w:rPr>
          <w:szCs w:val="20"/>
        </w:rPr>
        <w:t xml:space="preserve">supports the initiatives activating sanitary, economic and legal levers to </w:t>
      </w:r>
      <w:r w:rsidRPr="00A14846">
        <w:rPr>
          <w:b/>
          <w:bCs/>
          <w:szCs w:val="20"/>
        </w:rPr>
        <w:t>preserve local slaughterhouses and encourage on-farm slaughtering</w:t>
      </w:r>
      <w:r w:rsidRPr="00A14846">
        <w:rPr>
          <w:szCs w:val="20"/>
        </w:rPr>
        <w:t xml:space="preserve"> where appropriate to the size of the farm and the local context.</w:t>
      </w:r>
    </w:p>
    <w:p w:rsidRPr="00A14846" w:rsidR="00A329C8" w:rsidP="00A329C8" w:rsidRDefault="00A329C8" w14:paraId="00B0D36A" w14:textId="77777777">
      <w:pPr>
        <w:widowControl w:val="0"/>
        <w:overflowPunct w:val="0"/>
        <w:autoSpaceDE w:val="0"/>
        <w:autoSpaceDN w:val="0"/>
        <w:adjustRightInd w:val="0"/>
        <w:textAlignment w:val="baseline"/>
        <w:rPr>
          <w:sz w:val="16"/>
          <w:szCs w:val="16"/>
        </w:rPr>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14846" w:rsidR="00A329C8" w:rsidTr="00FE3058" w14:paraId="6B2AC513" w14:textId="77777777">
        <w:tc>
          <w:tcPr>
            <w:tcW w:w="2127" w:type="dxa"/>
          </w:tcPr>
          <w:p w:rsidRPr="00A14846" w:rsidR="00A329C8" w:rsidP="00FE3058" w:rsidRDefault="00A329C8" w14:paraId="1AAB3B0A" w14:textId="77777777">
            <w:pPr>
              <w:overflowPunct w:val="0"/>
              <w:autoSpaceDE w:val="0"/>
              <w:autoSpaceDN w:val="0"/>
              <w:adjustRightInd w:val="0"/>
              <w:spacing w:line="240" w:lineRule="auto"/>
              <w:textAlignment w:val="baseline"/>
              <w:rPr>
                <w:i/>
              </w:rPr>
            </w:pPr>
            <w:r w:rsidRPr="00A14846">
              <w:rPr>
                <w:b/>
                <w:i/>
              </w:rPr>
              <w:t xml:space="preserve">Contact </w:t>
            </w:r>
          </w:p>
        </w:tc>
        <w:tc>
          <w:tcPr>
            <w:tcW w:w="4252" w:type="dxa"/>
          </w:tcPr>
          <w:p w:rsidRPr="00A14846" w:rsidR="00A329C8" w:rsidP="00FE3058" w:rsidRDefault="00A329C8" w14:paraId="3604A495" w14:textId="158CA49A">
            <w:pPr>
              <w:overflowPunct w:val="0"/>
              <w:autoSpaceDE w:val="0"/>
              <w:autoSpaceDN w:val="0"/>
              <w:adjustRightInd w:val="0"/>
              <w:spacing w:line="240" w:lineRule="auto"/>
              <w:textAlignment w:val="baseline"/>
              <w:rPr>
                <w:i/>
              </w:rPr>
            </w:pPr>
            <w:r w:rsidRPr="00A14846">
              <w:rPr>
                <w:i/>
              </w:rPr>
              <w:t>Arturo Í</w:t>
            </w:r>
            <w:r w:rsidRPr="00A14846" w:rsidR="00D704BD">
              <w:rPr>
                <w:i/>
              </w:rPr>
              <w:t>ñiguez</w:t>
            </w:r>
          </w:p>
        </w:tc>
      </w:tr>
      <w:tr w:rsidRPr="00A14846" w:rsidR="00A329C8" w:rsidTr="00FE3058" w14:paraId="54FCBA8B" w14:textId="77777777">
        <w:tc>
          <w:tcPr>
            <w:tcW w:w="2127" w:type="dxa"/>
          </w:tcPr>
          <w:p w:rsidRPr="00A14846" w:rsidR="00A329C8" w:rsidP="00FE3058" w:rsidRDefault="00A329C8" w14:paraId="62D7636F" w14:textId="77777777">
            <w:pPr>
              <w:overflowPunct w:val="0"/>
              <w:autoSpaceDE w:val="0"/>
              <w:autoSpaceDN w:val="0"/>
              <w:adjustRightInd w:val="0"/>
              <w:spacing w:line="240" w:lineRule="auto"/>
              <w:textAlignment w:val="baseline"/>
              <w:rPr>
                <w:i/>
              </w:rPr>
            </w:pPr>
            <w:r w:rsidRPr="00A14846">
              <w:rPr>
                <w:i/>
              </w:rPr>
              <w:t>Tel.</w:t>
            </w:r>
          </w:p>
        </w:tc>
        <w:tc>
          <w:tcPr>
            <w:tcW w:w="4252" w:type="dxa"/>
          </w:tcPr>
          <w:p w:rsidRPr="00A14846" w:rsidR="00A329C8" w:rsidP="00FE3058" w:rsidRDefault="00A329C8" w14:paraId="7C0E8B23" w14:textId="77777777">
            <w:pPr>
              <w:overflowPunct w:val="0"/>
              <w:autoSpaceDE w:val="0"/>
              <w:autoSpaceDN w:val="0"/>
              <w:adjustRightInd w:val="0"/>
              <w:spacing w:line="240" w:lineRule="auto"/>
              <w:textAlignment w:val="baseline"/>
              <w:rPr>
                <w:i/>
              </w:rPr>
            </w:pPr>
            <w:r w:rsidRPr="00A14846">
              <w:rPr>
                <w:i/>
              </w:rPr>
              <w:t>+32 25468768</w:t>
            </w:r>
          </w:p>
        </w:tc>
      </w:tr>
      <w:tr w:rsidRPr="00A14846" w:rsidR="00A329C8" w:rsidTr="00FE3058" w14:paraId="485043FF" w14:textId="77777777">
        <w:tc>
          <w:tcPr>
            <w:tcW w:w="2127" w:type="dxa"/>
          </w:tcPr>
          <w:p w:rsidRPr="00A14846" w:rsidR="00A329C8" w:rsidP="00FE3058" w:rsidRDefault="00D704BD" w14:paraId="7E8D5802" w14:textId="6C0D3D1A">
            <w:pPr>
              <w:overflowPunct w:val="0"/>
              <w:autoSpaceDE w:val="0"/>
              <w:autoSpaceDN w:val="0"/>
              <w:adjustRightInd w:val="0"/>
              <w:spacing w:line="240" w:lineRule="auto"/>
              <w:textAlignment w:val="baseline"/>
              <w:rPr>
                <w:i/>
              </w:rPr>
            </w:pPr>
            <w:r>
              <w:rPr>
                <w:i/>
              </w:rPr>
              <w:t>E</w:t>
            </w:r>
            <w:r w:rsidRPr="00A14846" w:rsidR="00A329C8">
              <w:rPr>
                <w:i/>
              </w:rPr>
              <w:t>mail</w:t>
            </w:r>
          </w:p>
        </w:tc>
        <w:tc>
          <w:tcPr>
            <w:tcW w:w="4252" w:type="dxa"/>
          </w:tcPr>
          <w:p w:rsidRPr="00A14846" w:rsidR="00A329C8" w:rsidP="00FE3058" w:rsidRDefault="0015356A" w14:paraId="0F764C0D" w14:textId="77777777">
            <w:pPr>
              <w:overflowPunct w:val="0"/>
              <w:autoSpaceDE w:val="0"/>
              <w:autoSpaceDN w:val="0"/>
              <w:adjustRightInd w:val="0"/>
              <w:spacing w:line="240" w:lineRule="auto"/>
              <w:textAlignment w:val="baseline"/>
              <w:rPr>
                <w:i/>
                <w:iCs/>
              </w:rPr>
            </w:pPr>
            <w:hyperlink w:history="1" r:id="rId33">
              <w:r w:rsidRPr="00A14846" w:rsidR="00A329C8">
                <w:rPr>
                  <w:i/>
                  <w:iCs/>
                  <w:color w:val="0000FF"/>
                  <w:u w:val="single"/>
                </w:rPr>
                <w:t>Arturo.Iniguez@eesc.europa.eu</w:t>
              </w:r>
            </w:hyperlink>
          </w:p>
        </w:tc>
      </w:tr>
    </w:tbl>
    <w:p w:rsidR="00A329C8" w:rsidP="00A329C8" w:rsidRDefault="00A329C8" w14:paraId="4A4D6D18" w14:textId="77777777">
      <w:pPr>
        <w:spacing w:after="160" w:line="259" w:lineRule="auto"/>
        <w:jc w:val="left"/>
        <w:rPr>
          <w:b/>
          <w:bCs/>
        </w:rPr>
      </w:pPr>
    </w:p>
    <w:p w:rsidR="00386C01" w:rsidRDefault="00386C01" w14:paraId="783F6CD8" w14:textId="765D6A7F">
      <w:pPr>
        <w:spacing w:after="160" w:line="259" w:lineRule="auto"/>
        <w:jc w:val="left"/>
        <w:rPr>
          <w:b/>
          <w:bCs/>
        </w:rPr>
      </w:pPr>
      <w:r>
        <w:rPr>
          <w:b/>
          <w:bCs/>
        </w:rPr>
        <w:br w:type="page"/>
      </w:r>
    </w:p>
    <w:p w:rsidR="00895853" w:rsidP="00770F41" w:rsidRDefault="00895853" w14:paraId="1C46B2C3" w14:textId="7E834008">
      <w:pPr>
        <w:pStyle w:val="Heading1"/>
        <w:tabs>
          <w:tab w:val="clear" w:pos="440"/>
          <w:tab w:val="left" w:pos="567"/>
        </w:tabs>
        <w:ind w:left="567" w:hanging="567"/>
        <w:rPr>
          <w:b/>
          <w:bCs/>
        </w:rPr>
      </w:pPr>
      <w:bookmarkStart w:name="_Toc166847138" w:id="5"/>
      <w:bookmarkStart w:name="_Toc168332493" w:id="6"/>
      <w:bookmarkEnd w:id="5"/>
      <w:r w:rsidRPr="000B1C30">
        <w:rPr>
          <w:b/>
          <w:bCs/>
        </w:rPr>
        <w:t>TRANSPORT, ENERGY, INFRASTRUCTURE AND THE INFORMATION SOCIETY</w:t>
      </w:r>
      <w:bookmarkEnd w:id="6"/>
    </w:p>
    <w:p w:rsidR="005C28F2" w:rsidP="00895853" w:rsidRDefault="005C28F2" w14:paraId="089CB383" w14:textId="77777777"/>
    <w:p w:rsidR="00EC48BE" w:rsidP="00895853" w:rsidRDefault="00EC48BE" w14:paraId="2F9D2873" w14:textId="2ADBE64F"/>
    <w:p w:rsidRPr="00EC48BE" w:rsidR="00EC48BE" w:rsidP="00C26C81" w:rsidRDefault="0015356A" w14:paraId="50FF3C6A" w14:textId="0ECC497A">
      <w:pPr>
        <w:widowControl w:val="0"/>
        <w:numPr>
          <w:ilvl w:val="0"/>
          <w:numId w:val="7"/>
        </w:numPr>
        <w:overflowPunct w:val="0"/>
        <w:autoSpaceDE w:val="0"/>
        <w:autoSpaceDN w:val="0"/>
        <w:adjustRightInd w:val="0"/>
        <w:ind w:hanging="567"/>
        <w:textAlignment w:val="baseline"/>
        <w:rPr>
          <w:sz w:val="20"/>
          <w:szCs w:val="20"/>
        </w:rPr>
      </w:pPr>
      <w:hyperlink w:history="1" r:id="rId34">
        <w:r w:rsidRPr="00EC48BE" w:rsidR="00EC48BE">
          <w:rPr>
            <w:b/>
            <w:bCs/>
            <w:i/>
            <w:iCs/>
            <w:color w:val="0000FF"/>
            <w:sz w:val="28"/>
            <w:szCs w:val="28"/>
            <w:u w:val="single"/>
          </w:rPr>
          <w:t>Europe’s Beating Cancer Plan:</w:t>
        </w:r>
        <w:r w:rsidRPr="00EC48BE" w:rsidR="00EC48BE">
          <w:rPr>
            <w:color w:val="0000FF"/>
            <w:szCs w:val="20"/>
            <w:u w:val="single"/>
          </w:rPr>
          <w:t xml:space="preserve"> </w:t>
        </w:r>
        <w:r w:rsidRPr="00EC48BE" w:rsidR="00EC48BE">
          <w:rPr>
            <w:b/>
            <w:bCs/>
            <w:i/>
            <w:iCs/>
            <w:color w:val="0000FF"/>
            <w:sz w:val="28"/>
            <w:szCs w:val="28"/>
            <w:u w:val="single"/>
          </w:rPr>
          <w:t>Driving forces for the security of medical radioisotopes supply</w:t>
        </w:r>
      </w:hyperlink>
    </w:p>
    <w:p w:rsidRPr="00EC48BE" w:rsidR="00EC48BE" w:rsidP="00EC48BE"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840"/>
      </w:tblGrid>
      <w:tr w:rsidRPr="00EC48BE" w:rsidR="00EC48BE" w:rsidTr="00270FBE" w14:paraId="5D69D1D6" w14:textId="77777777">
        <w:tc>
          <w:tcPr>
            <w:tcW w:w="1276" w:type="pct"/>
          </w:tcPr>
          <w:p w:rsidRPr="00EC48BE" w:rsidR="00EC48BE" w:rsidP="00EC48BE" w:rsidRDefault="00EC48BE" w14:paraId="0629F8BB" w14:textId="77777777">
            <w:pPr>
              <w:tabs>
                <w:tab w:val="center" w:pos="284"/>
              </w:tabs>
              <w:overflowPunct w:val="0"/>
              <w:autoSpaceDE w:val="0"/>
              <w:autoSpaceDN w:val="0"/>
              <w:adjustRightInd w:val="0"/>
              <w:ind w:left="266" w:right="318" w:hanging="266"/>
              <w:textAlignment w:val="baseline"/>
              <w:rPr>
                <w:b/>
              </w:rPr>
            </w:pPr>
            <w:r w:rsidRPr="00EC48BE">
              <w:rPr>
                <w:b/>
              </w:rPr>
              <w:t>Rapporteur</w:t>
            </w:r>
          </w:p>
        </w:tc>
        <w:tc>
          <w:tcPr>
            <w:tcW w:w="3724" w:type="pct"/>
          </w:tcPr>
          <w:p w:rsidRPr="00EC48BE" w:rsidR="00EC48BE" w:rsidP="00EC48BE" w:rsidRDefault="00EC48BE" w14:paraId="1337C413" w14:textId="74E21053">
            <w:pPr>
              <w:tabs>
                <w:tab w:val="center" w:pos="284"/>
              </w:tabs>
              <w:overflowPunct w:val="0"/>
              <w:autoSpaceDE w:val="0"/>
              <w:autoSpaceDN w:val="0"/>
              <w:adjustRightInd w:val="0"/>
              <w:ind w:left="266" w:hanging="266"/>
              <w:textAlignment w:val="baseline"/>
            </w:pPr>
            <w:r w:rsidRPr="00EC48BE">
              <w:t xml:space="preserve">Alena MASTANTUONO </w:t>
            </w:r>
            <w:r w:rsidR="001C643F">
              <w:t>(</w:t>
            </w:r>
            <w:r w:rsidR="00802E2B">
              <w:t xml:space="preserve">Employers' Group </w:t>
            </w:r>
            <w:r w:rsidR="001C643F">
              <w:t>-</w:t>
            </w:r>
            <w:r w:rsidR="00802E2B">
              <w:t xml:space="preserve"> </w:t>
            </w:r>
            <w:r w:rsidRPr="00EC48BE">
              <w:t>CZ</w:t>
            </w:r>
            <w:r w:rsidR="001C643F">
              <w:t>)</w:t>
            </w:r>
          </w:p>
        </w:tc>
      </w:tr>
      <w:tr w:rsidRPr="00EC48BE" w:rsidR="00EC48BE" w:rsidTr="00270FBE" w14:paraId="63F1C4BD" w14:textId="77777777">
        <w:tc>
          <w:tcPr>
            <w:tcW w:w="1276" w:type="pct"/>
          </w:tcPr>
          <w:p w:rsidRPr="00EC48BE" w:rsidR="00EC48BE" w:rsidP="00EC48BE" w:rsidRDefault="00EC48BE" w14:paraId="3FA3DCC7" w14:textId="77777777">
            <w:pPr>
              <w:tabs>
                <w:tab w:val="center" w:pos="284"/>
              </w:tabs>
              <w:overflowPunct w:val="0"/>
              <w:autoSpaceDE w:val="0"/>
              <w:autoSpaceDN w:val="0"/>
              <w:adjustRightInd w:val="0"/>
              <w:ind w:left="266" w:hanging="266"/>
              <w:textAlignment w:val="baseline"/>
              <w:rPr>
                <w:b/>
              </w:rPr>
            </w:pPr>
            <w:r w:rsidRPr="00EC48BE">
              <w:rPr>
                <w:b/>
                <w:lang w:val="fr-FR"/>
              </w:rPr>
              <w:t>Co-rapporteur</w:t>
            </w:r>
          </w:p>
        </w:tc>
        <w:tc>
          <w:tcPr>
            <w:tcW w:w="3724" w:type="pct"/>
          </w:tcPr>
          <w:p w:rsidRPr="00EC48BE" w:rsidR="00EC48BE" w:rsidP="00EC48BE" w:rsidRDefault="00EC48BE" w14:paraId="0C599690" w14:textId="51DFBBEA">
            <w:pPr>
              <w:tabs>
                <w:tab w:val="center" w:pos="284"/>
              </w:tabs>
              <w:overflowPunct w:val="0"/>
              <w:autoSpaceDE w:val="0"/>
              <w:autoSpaceDN w:val="0"/>
              <w:adjustRightInd w:val="0"/>
              <w:ind w:left="266" w:hanging="266"/>
              <w:textAlignment w:val="baseline"/>
            </w:pPr>
            <w:r w:rsidRPr="00EC48BE">
              <w:t xml:space="preserve">Philippe CHARRY </w:t>
            </w:r>
            <w:r w:rsidR="001C643F">
              <w:t>(</w:t>
            </w:r>
            <w:r w:rsidR="00802E2B">
              <w:t xml:space="preserve">Workers' Group </w:t>
            </w:r>
            <w:r w:rsidR="001C643F">
              <w:t xml:space="preserve">- </w:t>
            </w:r>
            <w:r w:rsidRPr="00EC48BE">
              <w:t>FR</w:t>
            </w:r>
            <w:r w:rsidR="001C643F">
              <w:t>)</w:t>
            </w:r>
          </w:p>
        </w:tc>
      </w:tr>
      <w:tr w:rsidRPr="00EC48BE" w:rsidR="00EC48BE" w:rsidTr="00270FBE" w14:paraId="498B3001" w14:textId="77777777">
        <w:tc>
          <w:tcPr>
            <w:tcW w:w="5000" w:type="pct"/>
            <w:gridSpan w:val="2"/>
          </w:tcPr>
          <w:p w:rsidRPr="00EC48BE" w:rsidR="00EC48BE" w:rsidP="00EC48BE" w:rsidRDefault="00EC48BE" w14:paraId="4D1569DD" w14:textId="77777777">
            <w:pPr>
              <w:tabs>
                <w:tab w:val="center" w:pos="284"/>
              </w:tabs>
              <w:overflowPunct w:val="0"/>
              <w:autoSpaceDE w:val="0"/>
              <w:autoSpaceDN w:val="0"/>
              <w:adjustRightInd w:val="0"/>
              <w:spacing w:line="160" w:lineRule="exact"/>
              <w:ind w:left="266" w:hanging="266"/>
              <w:textAlignment w:val="baseline"/>
            </w:pPr>
          </w:p>
        </w:tc>
      </w:tr>
      <w:tr w:rsidRPr="00EC48BE" w:rsidR="00EC48BE" w:rsidTr="00270FBE" w14:paraId="3524C066" w14:textId="77777777">
        <w:tc>
          <w:tcPr>
            <w:tcW w:w="1276" w:type="pct"/>
            <w:vMerge w:val="restart"/>
          </w:tcPr>
          <w:p w:rsidRPr="00EC48BE" w:rsidR="00EC48BE" w:rsidP="00EC48BE" w:rsidRDefault="00EC48BE" w14:paraId="7BBD85B4" w14:textId="77777777">
            <w:pPr>
              <w:tabs>
                <w:tab w:val="center" w:pos="284"/>
              </w:tabs>
              <w:overflowPunct w:val="0"/>
              <w:autoSpaceDE w:val="0"/>
              <w:autoSpaceDN w:val="0"/>
              <w:adjustRightInd w:val="0"/>
              <w:ind w:left="266" w:hanging="266"/>
              <w:textAlignment w:val="baseline"/>
              <w:rPr>
                <w:b/>
              </w:rPr>
            </w:pPr>
            <w:r w:rsidRPr="00EC48BE">
              <w:rPr>
                <w:b/>
              </w:rPr>
              <w:t>References</w:t>
            </w:r>
          </w:p>
        </w:tc>
        <w:tc>
          <w:tcPr>
            <w:tcW w:w="3724" w:type="pct"/>
          </w:tcPr>
          <w:p w:rsidR="00802E2B" w:rsidP="00EC48BE" w:rsidRDefault="00802E2B" w14:paraId="3EA8129C" w14:textId="253FD17D">
            <w:pPr>
              <w:tabs>
                <w:tab w:val="center" w:pos="284"/>
              </w:tabs>
              <w:overflowPunct w:val="0"/>
              <w:autoSpaceDE w:val="0"/>
              <w:autoSpaceDN w:val="0"/>
              <w:adjustRightInd w:val="0"/>
              <w:ind w:left="266" w:hanging="266"/>
              <w:textAlignment w:val="baseline"/>
            </w:pPr>
            <w:r>
              <w:t>O</w:t>
            </w:r>
            <w:r w:rsidRPr="00802E2B">
              <w:t>wn-initiative opinion</w:t>
            </w:r>
          </w:p>
          <w:p w:rsidRPr="00EC48BE" w:rsidR="00EC48BE" w:rsidP="00EC48BE" w:rsidRDefault="00EC48BE" w14:paraId="30BF4772" w14:textId="5A3BAEA7">
            <w:pPr>
              <w:tabs>
                <w:tab w:val="center" w:pos="284"/>
              </w:tabs>
              <w:overflowPunct w:val="0"/>
              <w:autoSpaceDE w:val="0"/>
              <w:autoSpaceDN w:val="0"/>
              <w:adjustRightInd w:val="0"/>
              <w:ind w:left="266" w:hanging="266"/>
              <w:textAlignment w:val="baseline"/>
            </w:pPr>
            <w:r w:rsidRPr="00EC48BE">
              <w:t>EESC-2024-00265-00-00-AC</w:t>
            </w:r>
          </w:p>
        </w:tc>
      </w:tr>
      <w:tr w:rsidRPr="00EC48BE" w:rsidR="00EC48BE" w:rsidTr="00270FBE" w14:paraId="2F6C577F" w14:textId="77777777">
        <w:tc>
          <w:tcPr>
            <w:tcW w:w="1276" w:type="pct"/>
            <w:vMerge/>
          </w:tcPr>
          <w:p w:rsidRPr="00EC48BE" w:rsidR="00EC48BE" w:rsidP="00EC48BE" w:rsidRDefault="00EC48BE" w14:paraId="5DF5D6AE" w14:textId="77777777">
            <w:pPr>
              <w:tabs>
                <w:tab w:val="center" w:pos="284"/>
              </w:tabs>
              <w:overflowPunct w:val="0"/>
              <w:autoSpaceDE w:val="0"/>
              <w:autoSpaceDN w:val="0"/>
              <w:adjustRightInd w:val="0"/>
              <w:ind w:left="266" w:hanging="266"/>
              <w:textAlignment w:val="baseline"/>
              <w:rPr>
                <w:b/>
              </w:rPr>
            </w:pPr>
          </w:p>
        </w:tc>
        <w:tc>
          <w:tcPr>
            <w:tcW w:w="3724" w:type="pct"/>
          </w:tcPr>
          <w:p w:rsidRPr="00EC48BE" w:rsidR="00EC48BE" w:rsidP="00EC48BE" w:rsidRDefault="00EC48BE" w14:paraId="3B39B1F2" w14:textId="77777777">
            <w:pPr>
              <w:tabs>
                <w:tab w:val="center" w:pos="284"/>
              </w:tabs>
              <w:overflowPunct w:val="0"/>
              <w:autoSpaceDE w:val="0"/>
              <w:autoSpaceDN w:val="0"/>
              <w:adjustRightInd w:val="0"/>
              <w:ind w:left="266" w:hanging="266"/>
              <w:textAlignment w:val="baseline"/>
            </w:pPr>
          </w:p>
        </w:tc>
      </w:tr>
    </w:tbl>
    <w:p w:rsidRPr="00EC48BE" w:rsidR="00EC48BE" w:rsidP="00EC48BE" w:rsidRDefault="00EC48BE" w14:paraId="6A658105" w14:textId="77777777">
      <w:pPr>
        <w:tabs>
          <w:tab w:val="center" w:pos="284"/>
        </w:tabs>
        <w:overflowPunct w:val="0"/>
        <w:autoSpaceDE w:val="0"/>
        <w:autoSpaceDN w:val="0"/>
        <w:adjustRightInd w:val="0"/>
        <w:ind w:left="266" w:hanging="266"/>
        <w:textAlignment w:val="baseline"/>
      </w:pPr>
    </w:p>
    <w:p w:rsidRPr="00EC48BE" w:rsidR="00EC48BE" w:rsidP="00EC48BE" w:rsidRDefault="00EC48BE" w14:paraId="53138D82" w14:textId="77777777">
      <w:pPr>
        <w:keepNext/>
        <w:keepLines/>
        <w:tabs>
          <w:tab w:val="center" w:pos="284"/>
        </w:tabs>
        <w:overflowPunct w:val="0"/>
        <w:autoSpaceDE w:val="0"/>
        <w:autoSpaceDN w:val="0"/>
        <w:adjustRightInd w:val="0"/>
        <w:ind w:left="266" w:hanging="266"/>
        <w:textAlignment w:val="baseline"/>
        <w:rPr>
          <w:b/>
        </w:rPr>
      </w:pPr>
      <w:r w:rsidRPr="00EC48BE">
        <w:rPr>
          <w:b/>
        </w:rPr>
        <w:t>Key points</w:t>
      </w:r>
    </w:p>
    <w:p w:rsidRPr="00EC48BE" w:rsidR="00EC48BE" w:rsidP="00EC48BE" w:rsidRDefault="00EC48BE" w14:paraId="30289543" w14:textId="77777777">
      <w:pPr>
        <w:keepNext/>
        <w:keepLines/>
        <w:tabs>
          <w:tab w:val="center" w:pos="284"/>
        </w:tabs>
        <w:overflowPunct w:val="0"/>
        <w:autoSpaceDE w:val="0"/>
        <w:autoSpaceDN w:val="0"/>
        <w:adjustRightInd w:val="0"/>
        <w:ind w:left="266" w:hanging="266"/>
        <w:textAlignment w:val="baseline"/>
        <w:rPr>
          <w:b/>
        </w:rPr>
      </w:pPr>
    </w:p>
    <w:p w:rsidRPr="00EC48BE" w:rsidR="00EC48BE" w:rsidP="00EC48BE" w:rsidRDefault="00EC48BE" w14:paraId="1FF2E76F" w14:textId="77777777">
      <w:pPr>
        <w:overflowPunct w:val="0"/>
        <w:autoSpaceDE w:val="0"/>
        <w:autoSpaceDN w:val="0"/>
        <w:adjustRightInd w:val="0"/>
        <w:textAlignment w:val="baseline"/>
        <w:rPr>
          <w:bCs/>
          <w:iCs/>
        </w:rPr>
      </w:pPr>
      <w:r w:rsidRPr="00EC48BE">
        <w:rPr>
          <w:bCs/>
          <w:iCs/>
        </w:rPr>
        <w:t>The EESC:</w:t>
      </w:r>
    </w:p>
    <w:p w:rsidRPr="00EC48BE" w:rsidR="00EC48BE" w:rsidP="00EC48BE" w:rsidRDefault="00EC48BE" w14:paraId="44A55ABA" w14:textId="77777777">
      <w:pPr>
        <w:overflowPunct w:val="0"/>
        <w:autoSpaceDE w:val="0"/>
        <w:autoSpaceDN w:val="0"/>
        <w:adjustRightInd w:val="0"/>
        <w:textAlignment w:val="baseline"/>
        <w:rPr>
          <w:bCs/>
          <w:iCs/>
        </w:rPr>
      </w:pPr>
    </w:p>
    <w:p w:rsidRPr="00EC48BE" w:rsidR="00EC48BE" w:rsidP="00270FBE" w:rsidRDefault="00EC48BE" w14:paraId="16965D67" w14:textId="77777777">
      <w:pPr>
        <w:widowControl w:val="0"/>
        <w:numPr>
          <w:ilvl w:val="0"/>
          <w:numId w:val="23"/>
        </w:numPr>
        <w:overflowPunct w:val="0"/>
        <w:autoSpaceDE w:val="0"/>
        <w:autoSpaceDN w:val="0"/>
        <w:adjustRightInd w:val="0"/>
        <w:ind w:left="284" w:hanging="284"/>
        <w:textAlignment w:val="baseline"/>
        <w:rPr>
          <w:bCs/>
          <w:iCs/>
        </w:rPr>
      </w:pPr>
      <w:r w:rsidRPr="00EC48BE">
        <w:rPr>
          <w:szCs w:val="20"/>
        </w:rPr>
        <w:t>highlights that nuclear medicine saves millions of lives and represents a source of great hope for the fight against cancer. The Committee stresses the need to address patients’ needs in Europe and ensure that all of them have equal access to cancer treatment;</w:t>
      </w:r>
    </w:p>
    <w:p w:rsidRPr="00EC48BE" w:rsidR="00EC48BE" w:rsidP="00270FBE" w:rsidRDefault="00EC48BE" w14:paraId="2189E501" w14:textId="77777777">
      <w:pPr>
        <w:widowControl w:val="0"/>
        <w:numPr>
          <w:ilvl w:val="0"/>
          <w:numId w:val="23"/>
        </w:numPr>
        <w:overflowPunct w:val="0"/>
        <w:autoSpaceDE w:val="0"/>
        <w:autoSpaceDN w:val="0"/>
        <w:adjustRightInd w:val="0"/>
        <w:ind w:left="284" w:hanging="284"/>
        <w:textAlignment w:val="baseline"/>
        <w:rPr>
          <w:bCs/>
          <w:iCs/>
        </w:rPr>
      </w:pPr>
      <w:r w:rsidRPr="00EC48BE">
        <w:rPr>
          <w:szCs w:val="20"/>
        </w:rPr>
        <w:t>In Europe, ten million diagnosis and therapy procedures per year are based on radiopharmaceuticals. Priority should be given to radionuclide targeted therapies, which are precise and often less harmful than other treatments;</w:t>
      </w:r>
    </w:p>
    <w:p w:rsidRPr="00EC48BE" w:rsidR="00EC48BE" w:rsidP="00270FBE" w:rsidRDefault="00EC48BE" w14:paraId="42230DC3" w14:textId="77777777">
      <w:pPr>
        <w:widowControl w:val="0"/>
        <w:numPr>
          <w:ilvl w:val="0"/>
          <w:numId w:val="23"/>
        </w:numPr>
        <w:overflowPunct w:val="0"/>
        <w:autoSpaceDE w:val="0"/>
        <w:autoSpaceDN w:val="0"/>
        <w:adjustRightInd w:val="0"/>
        <w:ind w:left="284" w:hanging="284"/>
        <w:textAlignment w:val="baseline"/>
        <w:rPr>
          <w:bCs/>
          <w:iCs/>
        </w:rPr>
      </w:pPr>
      <w:r w:rsidRPr="00EC48BE">
        <w:rPr>
          <w:szCs w:val="20"/>
        </w:rPr>
        <w:t>calls for production incentives ensuring better strategic autonomy in the supply of radioisotopes. Europe is the world leader in the supply of radioisotopes for medicine. At the same time, it has critical dependencies on third countries for key source materials and specific processing operations. Therefore, the Committee calls on the Critical Medicines Alliance to carefully monitor the supply of radioisotopes in Europe and support bolstering industrial competitiveness in this sector;</w:t>
      </w:r>
    </w:p>
    <w:p w:rsidRPr="00EC48BE" w:rsidR="00EC48BE" w:rsidP="00270FBE"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rsidRPr="00EC48BE">
        <w:rPr>
          <w:bCs/>
          <w:iCs/>
        </w:rPr>
        <w:t>requests that due care to be taken to ensure that staff safety and security measures are respected throughout the supply chain and calls for urgent investment in the planning, education and training of the people needed in this sector and in staff mobility.</w:t>
      </w:r>
    </w:p>
    <w:p w:rsidRPr="00EC48BE" w:rsidR="00EC48BE" w:rsidP="00EC48BE" w:rsidRDefault="00EC48BE" w14:paraId="387BEC6B" w14:textId="77777777">
      <w:pPr>
        <w:widowControl w:val="0"/>
        <w:overflowPunct w:val="0"/>
        <w:autoSpaceDE w:val="0"/>
        <w:autoSpaceDN w:val="0"/>
        <w:adjustRightInd w:val="0"/>
        <w:ind w:left="709"/>
        <w:textAlignment w:val="baseline"/>
      </w:pPr>
    </w:p>
    <w:p w:rsidRPr="00EC48BE" w:rsidR="00EC48BE" w:rsidP="00EC48BE" w:rsidRDefault="00EC48BE" w14:paraId="0529A1B6" w14:textId="77777777">
      <w:pPr>
        <w:widowControl w:val="0"/>
        <w:overflowPunct w:val="0"/>
        <w:autoSpaceDE w:val="0"/>
        <w:autoSpaceDN w:val="0"/>
        <w:adjustRightInd w:val="0"/>
        <w:ind w:left="709"/>
        <w:textAlignment w:val="baseline"/>
        <w:rPr>
          <w:szCs w:val="20"/>
        </w:rPr>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C48BE" w:rsidR="00EC48BE" w:rsidTr="00FE3058" w14:paraId="4FEA0D44" w14:textId="77777777">
        <w:tc>
          <w:tcPr>
            <w:tcW w:w="1556" w:type="pct"/>
          </w:tcPr>
          <w:p w:rsidRPr="00EC48BE" w:rsidR="00EC48BE" w:rsidP="00EC48BE" w:rsidRDefault="00EC48BE" w14:paraId="292D789E" w14:textId="77777777">
            <w:pPr>
              <w:overflowPunct w:val="0"/>
              <w:autoSpaceDE w:val="0"/>
              <w:autoSpaceDN w:val="0"/>
              <w:adjustRightInd w:val="0"/>
              <w:spacing w:line="240" w:lineRule="auto"/>
              <w:textAlignment w:val="baseline"/>
              <w:rPr>
                <w:i/>
              </w:rPr>
            </w:pPr>
            <w:r w:rsidRPr="00EC48BE">
              <w:rPr>
                <w:b/>
                <w:i/>
              </w:rPr>
              <w:t>Contact</w:t>
            </w:r>
          </w:p>
        </w:tc>
        <w:tc>
          <w:tcPr>
            <w:tcW w:w="3444" w:type="pct"/>
          </w:tcPr>
          <w:p w:rsidRPr="00EC48BE" w:rsidR="00EC48BE" w:rsidP="00EC48BE" w:rsidRDefault="00EC48BE" w14:paraId="50791366" w14:textId="2071A688">
            <w:pPr>
              <w:overflowPunct w:val="0"/>
              <w:autoSpaceDE w:val="0"/>
              <w:autoSpaceDN w:val="0"/>
              <w:adjustRightInd w:val="0"/>
              <w:spacing w:line="240" w:lineRule="auto"/>
              <w:textAlignment w:val="baseline"/>
              <w:rPr>
                <w:i/>
              </w:rPr>
            </w:pPr>
            <w:r w:rsidRPr="00EC48BE">
              <w:rPr>
                <w:i/>
              </w:rPr>
              <w:t>Maja R</w:t>
            </w:r>
            <w:r w:rsidRPr="00EC48BE" w:rsidR="006E1137">
              <w:rPr>
                <w:i/>
              </w:rPr>
              <w:t>adman</w:t>
            </w:r>
          </w:p>
        </w:tc>
      </w:tr>
      <w:tr w:rsidRPr="00EC48BE" w:rsidR="00EC48BE" w:rsidTr="00FE3058" w14:paraId="35A36E33" w14:textId="77777777">
        <w:tc>
          <w:tcPr>
            <w:tcW w:w="1556" w:type="pct"/>
          </w:tcPr>
          <w:p w:rsidRPr="00EC48BE" w:rsidR="00EC48BE" w:rsidP="00EC48BE" w:rsidRDefault="00EC48BE" w14:paraId="610BC20B" w14:textId="77777777">
            <w:pPr>
              <w:overflowPunct w:val="0"/>
              <w:autoSpaceDE w:val="0"/>
              <w:autoSpaceDN w:val="0"/>
              <w:adjustRightInd w:val="0"/>
              <w:spacing w:line="240" w:lineRule="auto"/>
              <w:textAlignment w:val="baseline"/>
              <w:rPr>
                <w:i/>
              </w:rPr>
            </w:pPr>
            <w:r w:rsidRPr="00EC48BE">
              <w:rPr>
                <w:i/>
              </w:rPr>
              <w:t>Tel.</w:t>
            </w:r>
          </w:p>
        </w:tc>
        <w:tc>
          <w:tcPr>
            <w:tcW w:w="3444" w:type="pct"/>
          </w:tcPr>
          <w:p w:rsidRPr="00EC48BE" w:rsidR="00EC48BE" w:rsidP="00EC48BE" w:rsidRDefault="00EC48BE" w14:paraId="1B1FFFC2" w14:textId="77777777">
            <w:pPr>
              <w:overflowPunct w:val="0"/>
              <w:autoSpaceDE w:val="0"/>
              <w:autoSpaceDN w:val="0"/>
              <w:adjustRightInd w:val="0"/>
              <w:spacing w:line="240" w:lineRule="auto"/>
              <w:textAlignment w:val="baseline"/>
              <w:rPr>
                <w:i/>
              </w:rPr>
            </w:pPr>
            <w:r w:rsidRPr="00EC48BE">
              <w:rPr>
                <w:i/>
              </w:rPr>
              <w:t>+32 25469051</w:t>
            </w:r>
          </w:p>
        </w:tc>
      </w:tr>
      <w:tr w:rsidRPr="00EC48BE" w:rsidR="00EC48BE" w:rsidTr="00FE3058" w14:paraId="6456D68F" w14:textId="77777777">
        <w:tc>
          <w:tcPr>
            <w:tcW w:w="1556" w:type="pct"/>
          </w:tcPr>
          <w:p w:rsidRPr="00EC48BE" w:rsidR="00EC48BE" w:rsidP="00EC48BE" w:rsidRDefault="00EC48BE" w14:paraId="59C76142" w14:textId="77777777">
            <w:pPr>
              <w:overflowPunct w:val="0"/>
              <w:autoSpaceDE w:val="0"/>
              <w:autoSpaceDN w:val="0"/>
              <w:adjustRightInd w:val="0"/>
              <w:spacing w:line="240" w:lineRule="auto"/>
              <w:textAlignment w:val="baseline"/>
              <w:rPr>
                <w:i/>
              </w:rPr>
            </w:pPr>
            <w:r w:rsidRPr="00EC48BE">
              <w:rPr>
                <w:i/>
              </w:rPr>
              <w:t>Email</w:t>
            </w:r>
          </w:p>
        </w:tc>
        <w:tc>
          <w:tcPr>
            <w:tcW w:w="3444" w:type="pct"/>
          </w:tcPr>
          <w:p w:rsidRPr="00EC48BE" w:rsidR="00EC48BE" w:rsidP="00EC48BE" w:rsidRDefault="0015356A" w14:paraId="50EB0CCC" w14:textId="77777777">
            <w:pPr>
              <w:overflowPunct w:val="0"/>
              <w:autoSpaceDE w:val="0"/>
              <w:autoSpaceDN w:val="0"/>
              <w:adjustRightInd w:val="0"/>
              <w:spacing w:line="240" w:lineRule="auto"/>
              <w:textAlignment w:val="baseline"/>
              <w:rPr>
                <w:i/>
              </w:rPr>
            </w:pPr>
            <w:hyperlink w:history="1" r:id="rId35">
              <w:r w:rsidRPr="00EC48BE" w:rsidR="00EC48BE">
                <w:rPr>
                  <w:i/>
                  <w:color w:val="0000FF"/>
                  <w:u w:val="single"/>
                </w:rPr>
                <w:t>Maja.Radman@eesc.europa.eu</w:t>
              </w:r>
            </w:hyperlink>
            <w:r w:rsidRPr="00EC48BE" w:rsidR="00EC48BE">
              <w:rPr>
                <w:i/>
              </w:rPr>
              <w:t xml:space="preserve"> </w:t>
            </w:r>
          </w:p>
        </w:tc>
      </w:tr>
    </w:tbl>
    <w:p w:rsidR="00516A59" w:rsidRDefault="00516A59" w14:paraId="7DD6A790" w14:textId="77777777">
      <w:pPr>
        <w:spacing w:after="160" w:line="259" w:lineRule="auto"/>
        <w:jc w:val="left"/>
      </w:pPr>
    </w:p>
    <w:p w:rsidR="00516A59" w:rsidRDefault="00516A59" w14:paraId="77C764C5" w14:textId="77777777">
      <w:pPr>
        <w:spacing w:after="160" w:line="259" w:lineRule="auto"/>
        <w:jc w:val="left"/>
      </w:pPr>
      <w:r>
        <w:br w:type="page"/>
      </w:r>
    </w:p>
    <w:p w:rsidRPr="000B1C30" w:rsidR="00E110D0" w:rsidP="00770F41" w:rsidRDefault="00895853" w14:paraId="268D0B18" w14:textId="09AC0A5F">
      <w:pPr>
        <w:pStyle w:val="Heading1"/>
        <w:tabs>
          <w:tab w:val="clear" w:pos="440"/>
          <w:tab w:val="left" w:pos="567"/>
        </w:tabs>
        <w:ind w:left="567" w:hanging="567"/>
        <w:rPr>
          <w:b/>
          <w:bCs/>
        </w:rPr>
      </w:pPr>
      <w:bookmarkStart w:name="_Toc166847140" w:id="7"/>
      <w:bookmarkStart w:name="_Toc168332494" w:id="8"/>
      <w:bookmarkEnd w:id="7"/>
      <w:r w:rsidRPr="00810736">
        <w:rPr>
          <w:b/>
          <w:bCs/>
        </w:rPr>
        <w:t>CONSULTATIVE COMMISSION ON INDUSTRIAL CHANGE</w:t>
      </w:r>
      <w:bookmarkEnd w:id="8"/>
    </w:p>
    <w:p w:rsidR="004351D4" w:rsidP="00895853" w:rsidRDefault="004351D4" w14:paraId="0AE04AB9" w14:textId="7E9F637B">
      <w:pPr>
        <w:overflowPunct w:val="0"/>
        <w:autoSpaceDE w:val="0"/>
        <w:autoSpaceDN w:val="0"/>
        <w:adjustRightInd w:val="0"/>
        <w:jc w:val="left"/>
        <w:textAlignment w:val="baseline"/>
        <w:rPr>
          <w:lang w:val="nl-BE"/>
        </w:rPr>
      </w:pPr>
    </w:p>
    <w:p w:rsidR="005C28F2" w:rsidP="00895853" w:rsidRDefault="005C28F2" w14:paraId="43B85D0B" w14:textId="77777777">
      <w:pPr>
        <w:overflowPunct w:val="0"/>
        <w:autoSpaceDE w:val="0"/>
        <w:autoSpaceDN w:val="0"/>
        <w:adjustRightInd w:val="0"/>
        <w:jc w:val="left"/>
        <w:textAlignment w:val="baseline"/>
        <w:rPr>
          <w:lang w:val="nl-BE"/>
        </w:rPr>
      </w:pPr>
    </w:p>
    <w:p w:rsidRPr="00B612CA" w:rsidR="00B612CA" w:rsidP="00C26C81" w:rsidRDefault="0015356A" w14:paraId="3FFD2060" w14:textId="7DD78D2F">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lang w:val="en-US"/>
        </w:rPr>
      </w:pPr>
      <w:hyperlink w:history="1" r:id="rId36">
        <w:r w:rsidRPr="00B612CA" w:rsidR="00B612CA">
          <w:rPr>
            <w:rFonts w:eastAsiaTheme="minorHAnsi"/>
            <w:b/>
            <w:bCs/>
            <w:i/>
            <w:iCs/>
            <w:color w:val="0000FF"/>
            <w:sz w:val="28"/>
            <w:szCs w:val="28"/>
            <w:u w:val="single"/>
          </w:rPr>
          <w:t>European defence industry programme</w:t>
        </w:r>
      </w:hyperlink>
    </w:p>
    <w:p w:rsidRPr="00B612CA" w:rsidR="00B612CA" w:rsidP="00B612CA" w:rsidRDefault="00B612CA" w14:paraId="6CCFE10F" w14:textId="59BC7F1E">
      <w:pPr>
        <w:widowControl w:val="0"/>
        <w:tabs>
          <w:tab w:val="center" w:pos="284"/>
        </w:tabs>
        <w:overflowPunct w:val="0"/>
        <w:autoSpaceDE w:val="0"/>
        <w:autoSpaceDN w:val="0"/>
        <w:adjustRightInd w:val="0"/>
        <w:textAlignment w:val="baseline"/>
        <w:rPr>
          <w:rFonts w:eastAsiaTheme="minorHAnsi"/>
          <w:b/>
          <w:lang w:val="en-US"/>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B612CA" w:rsidR="00B612CA" w:rsidTr="00FE3058" w14:paraId="18CAAF03" w14:textId="77777777">
        <w:tc>
          <w:tcPr>
            <w:tcW w:w="1258" w:type="pct"/>
          </w:tcPr>
          <w:p w:rsidRPr="00270FBE" w:rsidR="00B612CA" w:rsidP="00270FBE" w:rsidRDefault="00B612CA" w14:paraId="7DF9E2A6" w14:textId="77777777">
            <w:pPr>
              <w:tabs>
                <w:tab w:val="center" w:pos="284"/>
              </w:tabs>
              <w:spacing w:line="259" w:lineRule="auto"/>
              <w:ind w:left="266" w:hanging="266"/>
              <w:jc w:val="left"/>
              <w:rPr>
                <w:rFonts w:eastAsiaTheme="minorHAnsi"/>
                <w:b/>
                <w:szCs w:val="24"/>
              </w:rPr>
            </w:pPr>
            <w:r w:rsidRPr="00270FBE">
              <w:rPr>
                <w:rFonts w:eastAsiaTheme="minorHAnsi"/>
                <w:b/>
                <w:szCs w:val="24"/>
              </w:rPr>
              <w:t>Rapporteur</w:t>
            </w:r>
          </w:p>
        </w:tc>
        <w:tc>
          <w:tcPr>
            <w:tcW w:w="3742" w:type="pct"/>
          </w:tcPr>
          <w:p w:rsidRPr="00270FBE" w:rsidR="00B612CA" w:rsidP="00270FBE" w:rsidRDefault="00B612CA" w14:paraId="7678F137" w14:textId="77777777">
            <w:pPr>
              <w:tabs>
                <w:tab w:val="center" w:pos="33"/>
              </w:tabs>
              <w:spacing w:line="259" w:lineRule="auto"/>
              <w:ind w:left="33" w:hanging="33"/>
              <w:jc w:val="left"/>
              <w:rPr>
                <w:rFonts w:eastAsiaTheme="minorHAnsi"/>
                <w:szCs w:val="24"/>
              </w:rPr>
            </w:pPr>
            <w:r w:rsidRPr="00270FBE">
              <w:rPr>
                <w:rFonts w:eastAsiaTheme="minorHAnsi"/>
                <w:szCs w:val="24"/>
                <w:lang w:val="fr-FR"/>
              </w:rPr>
              <w:t>Tomasz Andrzej WRÓBLEWSKI</w:t>
            </w:r>
            <w:r w:rsidRPr="00270FBE">
              <w:rPr>
                <w:rFonts w:eastAsiaTheme="minorHAnsi"/>
                <w:b/>
                <w:bCs/>
                <w:szCs w:val="24"/>
                <w:lang w:val="fr-FR"/>
              </w:rPr>
              <w:t xml:space="preserve"> </w:t>
            </w:r>
            <w:r w:rsidRPr="00270FBE">
              <w:rPr>
                <w:rFonts w:eastAsiaTheme="minorHAnsi"/>
                <w:szCs w:val="24"/>
                <w:lang w:val="fr-FR"/>
              </w:rPr>
              <w:t>(Employers' Group - PL)</w:t>
            </w:r>
          </w:p>
        </w:tc>
      </w:tr>
      <w:tr w:rsidRPr="00B612CA" w:rsidR="00B612CA" w:rsidTr="00FE3058" w14:paraId="02CD892C" w14:textId="77777777">
        <w:tc>
          <w:tcPr>
            <w:tcW w:w="1258" w:type="pct"/>
          </w:tcPr>
          <w:p w:rsidRPr="00270FBE" w:rsidR="00B612CA" w:rsidP="00270FBE" w:rsidRDefault="00B612CA" w14:paraId="32A8CC73" w14:textId="77777777">
            <w:pPr>
              <w:tabs>
                <w:tab w:val="center" w:pos="284"/>
              </w:tabs>
              <w:spacing w:line="259" w:lineRule="auto"/>
              <w:ind w:left="266" w:hanging="266"/>
              <w:jc w:val="left"/>
              <w:rPr>
                <w:rFonts w:eastAsiaTheme="minorHAnsi"/>
                <w:b/>
                <w:szCs w:val="24"/>
              </w:rPr>
            </w:pPr>
            <w:r w:rsidRPr="00270FBE">
              <w:rPr>
                <w:rFonts w:eastAsiaTheme="minorHAnsi"/>
                <w:b/>
                <w:szCs w:val="24"/>
                <w:lang w:val="fr-FR"/>
              </w:rPr>
              <w:t>Co-rapporteur</w:t>
            </w:r>
          </w:p>
        </w:tc>
        <w:tc>
          <w:tcPr>
            <w:tcW w:w="3742" w:type="pct"/>
          </w:tcPr>
          <w:p w:rsidRPr="00270FBE" w:rsidR="00B612CA" w:rsidP="00270FBE" w:rsidRDefault="00B612CA" w14:paraId="10B820C3" w14:textId="4AB00E12">
            <w:pPr>
              <w:tabs>
                <w:tab w:val="center" w:pos="284"/>
              </w:tabs>
              <w:spacing w:line="259" w:lineRule="auto"/>
              <w:ind w:left="266" w:hanging="266"/>
              <w:jc w:val="left"/>
              <w:rPr>
                <w:rFonts w:eastAsiaTheme="minorHAnsi"/>
                <w:szCs w:val="24"/>
              </w:rPr>
            </w:pPr>
            <w:r w:rsidRPr="00270FBE">
              <w:rPr>
                <w:rFonts w:eastAsiaTheme="minorHAnsi"/>
                <w:szCs w:val="24"/>
                <w:lang w:val="fr-FR"/>
              </w:rPr>
              <w:t>Franck UHLIG</w:t>
            </w:r>
            <w:r w:rsidRPr="00270FBE">
              <w:rPr>
                <w:rFonts w:eastAsiaTheme="minorHAnsi"/>
                <w:b/>
                <w:bCs/>
                <w:szCs w:val="24"/>
                <w:lang w:val="fr-FR"/>
              </w:rPr>
              <w:t xml:space="preserve"> </w:t>
            </w:r>
            <w:r w:rsidRPr="00270FBE">
              <w:rPr>
                <w:rFonts w:eastAsiaTheme="minorHAnsi"/>
                <w:szCs w:val="24"/>
                <w:lang w:val="fr-FR"/>
              </w:rPr>
              <w:t>(Cat. 2 - FR)</w:t>
            </w:r>
          </w:p>
        </w:tc>
      </w:tr>
      <w:tr w:rsidRPr="00B612CA" w:rsidR="00B612CA" w:rsidTr="00FE3058" w14:paraId="77B12610" w14:textId="77777777">
        <w:tc>
          <w:tcPr>
            <w:tcW w:w="5000" w:type="pct"/>
            <w:gridSpan w:val="2"/>
          </w:tcPr>
          <w:p w:rsidRPr="00270FBE" w:rsidR="00B612CA" w:rsidP="00B612CA" w:rsidRDefault="00B612CA" w14:paraId="22141688" w14:textId="77777777">
            <w:pPr>
              <w:tabs>
                <w:tab w:val="center" w:pos="284"/>
              </w:tabs>
              <w:spacing w:after="160" w:line="160" w:lineRule="exact"/>
              <w:ind w:left="266" w:hanging="266"/>
              <w:jc w:val="left"/>
              <w:rPr>
                <w:rFonts w:eastAsiaTheme="minorHAnsi"/>
                <w:szCs w:val="24"/>
              </w:rPr>
            </w:pPr>
          </w:p>
        </w:tc>
      </w:tr>
      <w:tr w:rsidRPr="00B612CA" w:rsidR="00B612CA" w:rsidTr="00FE3058" w14:paraId="366D3A3A" w14:textId="77777777">
        <w:tc>
          <w:tcPr>
            <w:tcW w:w="1258" w:type="pct"/>
            <w:vMerge w:val="restart"/>
          </w:tcPr>
          <w:p w:rsidRPr="00270FBE" w:rsidR="00B612CA" w:rsidP="00270FBE" w:rsidRDefault="00B612CA" w14:paraId="620E2FAB" w14:textId="77777777">
            <w:pPr>
              <w:tabs>
                <w:tab w:val="center" w:pos="284"/>
              </w:tabs>
              <w:spacing w:line="259" w:lineRule="auto"/>
              <w:ind w:left="266" w:hanging="266"/>
              <w:jc w:val="left"/>
              <w:rPr>
                <w:rFonts w:eastAsiaTheme="minorHAnsi"/>
                <w:b/>
                <w:szCs w:val="24"/>
              </w:rPr>
            </w:pPr>
            <w:r w:rsidRPr="00270FBE">
              <w:rPr>
                <w:rFonts w:eastAsiaTheme="minorHAnsi"/>
                <w:b/>
                <w:szCs w:val="24"/>
              </w:rPr>
              <w:t>References</w:t>
            </w:r>
          </w:p>
        </w:tc>
        <w:tc>
          <w:tcPr>
            <w:tcW w:w="3742" w:type="pct"/>
          </w:tcPr>
          <w:p w:rsidRPr="00270FBE" w:rsidR="00B612CA" w:rsidP="00270FBE" w:rsidRDefault="00B612CA" w14:paraId="554796B3" w14:textId="77777777">
            <w:pPr>
              <w:tabs>
                <w:tab w:val="center" w:pos="284"/>
              </w:tabs>
              <w:spacing w:line="259" w:lineRule="auto"/>
              <w:ind w:left="266" w:hanging="266"/>
              <w:jc w:val="left"/>
              <w:rPr>
                <w:rFonts w:eastAsiaTheme="minorHAnsi"/>
                <w:szCs w:val="24"/>
              </w:rPr>
            </w:pPr>
            <w:r w:rsidRPr="00270FBE">
              <w:rPr>
                <w:rFonts w:eastAsiaTheme="minorHAnsi"/>
                <w:szCs w:val="24"/>
              </w:rPr>
              <w:t>COM(2024) 150 final</w:t>
            </w:r>
          </w:p>
        </w:tc>
      </w:tr>
      <w:tr w:rsidRPr="00B612CA" w:rsidR="00B612CA" w:rsidTr="00FE3058" w14:paraId="10E2BB82" w14:textId="77777777">
        <w:tc>
          <w:tcPr>
            <w:tcW w:w="1258" w:type="pct"/>
            <w:vMerge/>
          </w:tcPr>
          <w:p w:rsidRPr="00270FBE" w:rsidR="00B612CA" w:rsidP="00270FBE" w:rsidRDefault="00B612CA" w14:paraId="175F9DD0" w14:textId="77777777">
            <w:pPr>
              <w:tabs>
                <w:tab w:val="center" w:pos="284"/>
              </w:tabs>
              <w:spacing w:line="259" w:lineRule="auto"/>
              <w:ind w:left="266" w:hanging="266"/>
              <w:jc w:val="left"/>
              <w:rPr>
                <w:rFonts w:eastAsiaTheme="minorHAnsi"/>
                <w:b/>
                <w:szCs w:val="24"/>
              </w:rPr>
            </w:pPr>
          </w:p>
        </w:tc>
        <w:tc>
          <w:tcPr>
            <w:tcW w:w="3742" w:type="pct"/>
          </w:tcPr>
          <w:p w:rsidRPr="00270FBE" w:rsidR="00B612CA" w:rsidP="00270FBE" w:rsidRDefault="00B612CA" w14:paraId="4A35E6C4" w14:textId="77777777">
            <w:pPr>
              <w:tabs>
                <w:tab w:val="center" w:pos="284"/>
              </w:tabs>
              <w:spacing w:line="259" w:lineRule="auto"/>
              <w:ind w:left="266" w:hanging="266"/>
              <w:jc w:val="left"/>
              <w:rPr>
                <w:rFonts w:eastAsiaTheme="minorHAnsi"/>
                <w:szCs w:val="24"/>
              </w:rPr>
            </w:pPr>
            <w:r w:rsidRPr="00270FBE">
              <w:rPr>
                <w:rFonts w:eastAsiaTheme="minorHAnsi"/>
                <w:szCs w:val="24"/>
              </w:rPr>
              <w:t>EESC-2024-00813-00-00-AC</w:t>
            </w:r>
          </w:p>
        </w:tc>
      </w:tr>
    </w:tbl>
    <w:p w:rsidRPr="00B612CA" w:rsidR="00B612CA" w:rsidP="00B612CA" w:rsidRDefault="00B612CA" w14:paraId="65401695" w14:textId="77777777">
      <w:pPr>
        <w:widowControl w:val="0"/>
        <w:tabs>
          <w:tab w:val="center" w:pos="284"/>
        </w:tabs>
        <w:overflowPunct w:val="0"/>
        <w:autoSpaceDE w:val="0"/>
        <w:autoSpaceDN w:val="0"/>
        <w:adjustRightInd w:val="0"/>
        <w:textAlignment w:val="baseline"/>
        <w:rPr>
          <w:rFonts w:eastAsiaTheme="minorHAnsi"/>
          <w:b/>
          <w:lang w:val="en-US"/>
        </w:rPr>
      </w:pPr>
    </w:p>
    <w:p w:rsidR="00B612CA" w:rsidP="00B612CA" w:rsidRDefault="00B612CA" w14:paraId="66AF4059" w14:textId="103542FE">
      <w:pPr>
        <w:keepNext/>
        <w:keepLines/>
        <w:spacing w:after="160" w:line="259" w:lineRule="auto"/>
        <w:ind w:left="142" w:hanging="142"/>
        <w:jc w:val="left"/>
        <w:rPr>
          <w:rFonts w:eastAsiaTheme="minorHAnsi"/>
          <w:b/>
          <w:lang w:val="en-US"/>
        </w:rPr>
      </w:pPr>
      <w:r w:rsidRPr="00B612CA">
        <w:rPr>
          <w:rFonts w:eastAsiaTheme="minorHAnsi"/>
          <w:b/>
          <w:lang w:val="en-US"/>
        </w:rPr>
        <w:t>Key points</w:t>
      </w:r>
    </w:p>
    <w:p w:rsidRPr="00B612CA" w:rsidR="007724A0" w:rsidP="00B612CA" w:rsidRDefault="007724A0" w14:paraId="6657CF81" w14:textId="77777777">
      <w:pPr>
        <w:keepNext/>
        <w:keepLines/>
        <w:spacing w:after="160" w:line="259" w:lineRule="auto"/>
        <w:ind w:left="142" w:hanging="142"/>
        <w:jc w:val="left"/>
        <w:rPr>
          <w:rFonts w:eastAsiaTheme="minorHAnsi"/>
          <w:b/>
          <w:lang w:val="en-US"/>
        </w:rPr>
      </w:pPr>
    </w:p>
    <w:p w:rsidR="00B612CA" w:rsidP="00270FBE" w:rsidRDefault="00B612CA" w14:paraId="6C447796" w14:textId="188E9CB3">
      <w:pPr>
        <w:spacing w:after="160" w:line="259" w:lineRule="auto"/>
        <w:ind w:left="142" w:hanging="142"/>
        <w:jc w:val="left"/>
        <w:rPr>
          <w:rFonts w:eastAsiaTheme="minorHAnsi"/>
        </w:rPr>
      </w:pPr>
      <w:r w:rsidRPr="00B612CA">
        <w:rPr>
          <w:rFonts w:eastAsiaTheme="minorHAnsi"/>
          <w:lang w:val="fr-FR"/>
        </w:rPr>
        <w:t xml:space="preserve">The </w:t>
      </w:r>
      <w:r w:rsidRPr="00B612CA">
        <w:rPr>
          <w:rFonts w:eastAsiaTheme="minorHAnsi"/>
        </w:rPr>
        <w:t>EESC:</w:t>
      </w:r>
    </w:p>
    <w:p w:rsidRPr="00B612CA" w:rsidR="00B612CA" w:rsidP="00270FBE" w:rsidRDefault="00B612CA" w14:paraId="19ACACDB" w14:textId="77777777">
      <w:pPr>
        <w:numPr>
          <w:ilvl w:val="0"/>
          <w:numId w:val="24"/>
        </w:numPr>
        <w:spacing w:after="160" w:line="259" w:lineRule="auto"/>
        <w:ind w:left="284" w:hanging="284"/>
        <w:contextualSpacing/>
        <w:rPr>
          <w:rFonts w:eastAsiaTheme="minorHAnsi"/>
        </w:rPr>
      </w:pPr>
      <w:r w:rsidRPr="00B612CA">
        <w:rPr>
          <w:rFonts w:eastAsiaTheme="minorHAnsi"/>
        </w:rPr>
        <w:t xml:space="preserve">recommends that the European Commission </w:t>
      </w:r>
      <w:r w:rsidRPr="00B612CA">
        <w:rPr>
          <w:rFonts w:eastAsiaTheme="minorHAnsi"/>
          <w:b/>
          <w:bCs/>
        </w:rPr>
        <w:t>communicate extensively with European citizens to broadly convey the challenges of joint defence financing</w:t>
      </w:r>
      <w:r w:rsidRPr="00B612CA">
        <w:rPr>
          <w:rFonts w:eastAsiaTheme="minorHAnsi"/>
        </w:rPr>
        <w:t xml:space="preserve"> in the current geopolitical context, and with a view to building common security, while continuing to base European integration on a project of peace and solidarity;</w:t>
      </w:r>
    </w:p>
    <w:p w:rsidRPr="00B612CA" w:rsidR="00B612CA" w:rsidP="00270FBE" w:rsidRDefault="00B612CA" w14:paraId="10700EAD" w14:textId="77777777">
      <w:pPr>
        <w:numPr>
          <w:ilvl w:val="0"/>
          <w:numId w:val="24"/>
        </w:numPr>
        <w:spacing w:after="160" w:line="259" w:lineRule="auto"/>
        <w:ind w:left="284" w:hanging="284"/>
        <w:contextualSpacing/>
        <w:rPr>
          <w:rFonts w:eastAsiaTheme="minorHAnsi"/>
        </w:rPr>
      </w:pPr>
      <w:r w:rsidRPr="00B612CA">
        <w:rPr>
          <w:rFonts w:eastAsiaTheme="minorHAnsi"/>
        </w:rPr>
        <w:t xml:space="preserve">asks for an </w:t>
      </w:r>
      <w:r w:rsidRPr="00B612CA">
        <w:rPr>
          <w:rFonts w:eastAsiaTheme="minorHAnsi"/>
          <w:b/>
          <w:bCs/>
        </w:rPr>
        <w:t>increase to the current limited funding (EUR 1.5 billion)</w:t>
      </w:r>
      <w:r w:rsidRPr="00B612CA">
        <w:rPr>
          <w:rFonts w:eastAsiaTheme="minorHAnsi"/>
        </w:rPr>
        <w:t xml:space="preserve"> in the medium term;</w:t>
      </w:r>
    </w:p>
    <w:p w:rsidRPr="00B612CA" w:rsidR="00B612CA" w:rsidP="00270FBE" w:rsidRDefault="00B612CA" w14:paraId="35EFB068" w14:textId="77777777">
      <w:pPr>
        <w:numPr>
          <w:ilvl w:val="0"/>
          <w:numId w:val="24"/>
        </w:numPr>
        <w:spacing w:after="160" w:line="259" w:lineRule="auto"/>
        <w:ind w:left="284" w:hanging="284"/>
        <w:contextualSpacing/>
        <w:rPr>
          <w:rFonts w:eastAsiaTheme="minorHAnsi"/>
        </w:rPr>
      </w:pPr>
      <w:r w:rsidRPr="00B612CA">
        <w:rPr>
          <w:rFonts w:eastAsiaTheme="minorHAnsi"/>
        </w:rPr>
        <w:t xml:space="preserve">stresses that the EDIP must, in addition to the necessary response to Ukraine’s urgent needs, lead to a </w:t>
      </w:r>
      <w:r w:rsidRPr="00B612CA">
        <w:rPr>
          <w:rFonts w:eastAsiaTheme="minorHAnsi"/>
          <w:b/>
          <w:bCs/>
        </w:rPr>
        <w:t>structural evolution of the European approach to defence</w:t>
      </w:r>
      <w:r w:rsidRPr="00B612CA">
        <w:rPr>
          <w:rFonts w:eastAsiaTheme="minorHAnsi"/>
        </w:rPr>
        <w:t xml:space="preserve"> and the associated European Defence Industrial and Technological Base (EDTIB);</w:t>
      </w:r>
    </w:p>
    <w:p w:rsidRPr="00B612CA" w:rsidR="00B612CA" w:rsidP="00270FBE" w:rsidRDefault="00B612CA" w14:paraId="474F4A0A" w14:textId="77777777">
      <w:pPr>
        <w:numPr>
          <w:ilvl w:val="0"/>
          <w:numId w:val="24"/>
        </w:numPr>
        <w:spacing w:after="160" w:line="259" w:lineRule="auto"/>
        <w:ind w:left="284" w:hanging="284"/>
        <w:contextualSpacing/>
        <w:rPr>
          <w:rFonts w:eastAsiaTheme="minorHAnsi"/>
        </w:rPr>
      </w:pPr>
      <w:r w:rsidRPr="00B612CA">
        <w:rPr>
          <w:rFonts w:eastAsiaTheme="minorHAnsi"/>
        </w:rPr>
        <w:t xml:space="preserve">recommends that the European Parliament, the Member States, the public and private financial sectors and the European Commission outline a </w:t>
      </w:r>
      <w:r w:rsidRPr="00B612CA">
        <w:rPr>
          <w:rFonts w:eastAsiaTheme="minorHAnsi"/>
          <w:b/>
          <w:bCs/>
        </w:rPr>
        <w:t>long-term plan for increased arms spending and procurement</w:t>
      </w:r>
      <w:r w:rsidRPr="00B612CA">
        <w:rPr>
          <w:rFonts w:eastAsiaTheme="minorHAnsi"/>
        </w:rPr>
        <w:t>, which will facilitate private sector long-term investment and support production plans for military equipment by the EDTIB, and provide support to the DTIB for Ukraine;</w:t>
      </w:r>
    </w:p>
    <w:p w:rsidRPr="00B612CA" w:rsidR="00B612CA" w:rsidP="00270FBE" w:rsidRDefault="00B612CA" w14:paraId="47D84DAE" w14:textId="77777777">
      <w:pPr>
        <w:numPr>
          <w:ilvl w:val="0"/>
          <w:numId w:val="24"/>
        </w:numPr>
        <w:spacing w:after="160" w:line="259" w:lineRule="auto"/>
        <w:ind w:left="284" w:hanging="284"/>
        <w:contextualSpacing/>
        <w:rPr>
          <w:rFonts w:eastAsiaTheme="minorHAnsi"/>
        </w:rPr>
      </w:pPr>
      <w:r w:rsidRPr="00B612CA">
        <w:rPr>
          <w:rFonts w:eastAsiaTheme="minorHAnsi"/>
        </w:rPr>
        <w:t xml:space="preserve">recommends that the European Commission </w:t>
      </w:r>
      <w:r w:rsidRPr="00B612CA">
        <w:rPr>
          <w:rFonts w:eastAsiaTheme="minorHAnsi"/>
          <w:b/>
          <w:bCs/>
        </w:rPr>
        <w:t>clarify the origin and use of funds earmarked for the EDIP</w:t>
      </w:r>
      <w:r w:rsidRPr="00B612CA">
        <w:rPr>
          <w:rFonts w:eastAsiaTheme="minorHAnsi"/>
        </w:rPr>
        <w:t>;</w:t>
      </w:r>
    </w:p>
    <w:p w:rsidRPr="00B612CA" w:rsidR="00B612CA" w:rsidP="00270FBE" w:rsidRDefault="00B612CA" w14:paraId="5028E334" w14:textId="77777777">
      <w:pPr>
        <w:numPr>
          <w:ilvl w:val="0"/>
          <w:numId w:val="24"/>
        </w:numPr>
        <w:spacing w:after="160" w:line="259" w:lineRule="auto"/>
        <w:ind w:left="284" w:hanging="284"/>
        <w:contextualSpacing/>
        <w:rPr>
          <w:rFonts w:eastAsiaTheme="minorHAnsi"/>
        </w:rPr>
      </w:pPr>
      <w:r w:rsidRPr="00B612CA">
        <w:rPr>
          <w:rFonts w:eastAsiaTheme="minorHAnsi"/>
        </w:rPr>
        <w:t xml:space="preserve">recommends that </w:t>
      </w:r>
      <w:r w:rsidRPr="00B612CA">
        <w:rPr>
          <w:rFonts w:eastAsiaTheme="minorHAnsi"/>
          <w:b/>
          <w:bCs/>
        </w:rPr>
        <w:t>EDTIB companies strengthen cooperation, especially with SMEs and across borders</w:t>
      </w:r>
      <w:r w:rsidRPr="00B612CA">
        <w:rPr>
          <w:rFonts w:eastAsiaTheme="minorHAnsi"/>
        </w:rPr>
        <w:t>;</w:t>
      </w:r>
    </w:p>
    <w:p w:rsidRPr="00B612CA" w:rsidR="00B612CA" w:rsidP="00270FBE" w:rsidRDefault="00B612CA" w14:paraId="4BA1174F" w14:textId="77777777">
      <w:pPr>
        <w:numPr>
          <w:ilvl w:val="0"/>
          <w:numId w:val="24"/>
        </w:numPr>
        <w:spacing w:after="160" w:line="259" w:lineRule="auto"/>
        <w:ind w:left="284" w:hanging="284"/>
        <w:contextualSpacing/>
        <w:rPr>
          <w:rFonts w:eastAsiaTheme="minorHAnsi"/>
        </w:rPr>
      </w:pPr>
      <w:r w:rsidRPr="00B612CA">
        <w:rPr>
          <w:rFonts w:eastAsiaTheme="minorHAnsi"/>
        </w:rPr>
        <w:t xml:space="preserve">highlights the importance of </w:t>
      </w:r>
      <w:r w:rsidRPr="00B612CA">
        <w:rPr>
          <w:rFonts w:eastAsiaTheme="minorHAnsi"/>
          <w:b/>
          <w:bCs/>
        </w:rPr>
        <w:t>industrial cooperation with Ukraine</w:t>
      </w:r>
      <w:r w:rsidRPr="00B612CA">
        <w:rPr>
          <w:rFonts w:eastAsiaTheme="minorHAnsi"/>
        </w:rPr>
        <w:t xml:space="preserve"> within the framework of the EDIP;</w:t>
      </w:r>
    </w:p>
    <w:p w:rsidRPr="00B612CA" w:rsidR="00B612CA" w:rsidP="00270FBE" w:rsidRDefault="00B612CA" w14:paraId="7E080E3B" w14:textId="77777777">
      <w:pPr>
        <w:numPr>
          <w:ilvl w:val="0"/>
          <w:numId w:val="24"/>
        </w:numPr>
        <w:spacing w:after="160" w:line="259" w:lineRule="auto"/>
        <w:ind w:left="284" w:hanging="284"/>
        <w:contextualSpacing/>
        <w:rPr>
          <w:rFonts w:eastAsiaTheme="minorHAnsi"/>
        </w:rPr>
      </w:pPr>
      <w:r w:rsidRPr="00B612CA">
        <w:rPr>
          <w:rFonts w:eastAsiaTheme="minorHAnsi"/>
        </w:rPr>
        <w:t xml:space="preserve">suggests further promoting </w:t>
      </w:r>
      <w:r w:rsidRPr="00B612CA">
        <w:rPr>
          <w:rFonts w:eastAsiaTheme="minorHAnsi"/>
          <w:b/>
          <w:bCs/>
        </w:rPr>
        <w:t>synergies between defence and civilian industries</w:t>
      </w:r>
      <w:r w:rsidRPr="00B612CA">
        <w:rPr>
          <w:rFonts w:eastAsiaTheme="minorHAnsi"/>
        </w:rPr>
        <w:t>, including SMEs and start-ups;</w:t>
      </w:r>
    </w:p>
    <w:p w:rsidRPr="00B612CA" w:rsidR="00B612CA" w:rsidP="00270FBE" w:rsidRDefault="00B612CA" w14:paraId="1616FA27" w14:textId="77777777">
      <w:pPr>
        <w:numPr>
          <w:ilvl w:val="0"/>
          <w:numId w:val="24"/>
        </w:numPr>
        <w:spacing w:after="160" w:line="259" w:lineRule="auto"/>
        <w:ind w:left="284" w:hanging="284"/>
        <w:contextualSpacing/>
        <w:rPr>
          <w:rFonts w:eastAsiaTheme="minorHAnsi"/>
        </w:rPr>
      </w:pPr>
      <w:r w:rsidRPr="00B612CA">
        <w:rPr>
          <w:rFonts w:eastAsiaTheme="minorHAnsi"/>
        </w:rPr>
        <w:t xml:space="preserve">recommends </w:t>
      </w:r>
      <w:r w:rsidRPr="00B612CA">
        <w:rPr>
          <w:rFonts w:eastAsiaTheme="minorHAnsi"/>
          <w:b/>
          <w:bCs/>
        </w:rPr>
        <w:t>integrating the percentage of cooperative and intra-European purchasing targets</w:t>
      </w:r>
      <w:r w:rsidRPr="00B612CA">
        <w:rPr>
          <w:rFonts w:eastAsiaTheme="minorHAnsi"/>
        </w:rPr>
        <w:t xml:space="preserve"> expressed in the ‘EDIS’ communication, in the EDIP regulatory document.</w:t>
      </w:r>
    </w:p>
    <w:p w:rsidR="00B612CA" w:rsidP="007724A0" w:rsidRDefault="00B612CA" w14:paraId="0A876271" w14:textId="1EEC993C">
      <w:pPr>
        <w:spacing w:after="160" w:line="259" w:lineRule="auto"/>
        <w:ind w:left="720"/>
        <w:contextualSpacing/>
        <w:rPr>
          <w:rFonts w:eastAsiaTheme="minorHAnsi"/>
        </w:rPr>
      </w:pPr>
    </w:p>
    <w:p w:rsidRPr="00B612CA" w:rsidR="007724A0" w:rsidP="00270FBE" w:rsidRDefault="007724A0" w14:paraId="75BF54F5" w14:textId="77777777">
      <w:pPr>
        <w:spacing w:after="160" w:line="259" w:lineRule="auto"/>
        <w:ind w:left="720"/>
        <w:contextualSpacing/>
        <w:rPr>
          <w:rFonts w:eastAsiaTheme="minorHAnsi"/>
        </w:rPr>
      </w:pPr>
    </w:p>
    <w:tbl>
      <w:tblPr>
        <w:tblStyle w:val="TableGrid220"/>
        <w:tblW w:w="36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3781"/>
      </w:tblGrid>
      <w:tr w:rsidRPr="00B612CA" w:rsidR="00B612CA" w:rsidTr="00270FBE" w14:paraId="0A0E04CE" w14:textId="77777777">
        <w:tc>
          <w:tcPr>
            <w:tcW w:w="2148" w:type="pct"/>
          </w:tcPr>
          <w:p w:rsidRPr="00270FBE" w:rsidR="00B612CA" w:rsidP="00270FBE" w:rsidRDefault="00B612CA" w14:paraId="06D84C57" w14:textId="77777777">
            <w:pPr>
              <w:spacing w:line="240" w:lineRule="auto"/>
              <w:jc w:val="left"/>
              <w:rPr>
                <w:rFonts w:eastAsiaTheme="minorHAnsi"/>
                <w:i/>
              </w:rPr>
            </w:pPr>
            <w:r w:rsidRPr="00270FBE">
              <w:rPr>
                <w:rFonts w:eastAsiaTheme="minorHAnsi"/>
                <w:b/>
                <w:i/>
              </w:rPr>
              <w:t>Contact</w:t>
            </w:r>
          </w:p>
        </w:tc>
        <w:tc>
          <w:tcPr>
            <w:tcW w:w="2852" w:type="pct"/>
            <w:tcBorders>
              <w:left w:val="nil"/>
            </w:tcBorders>
          </w:tcPr>
          <w:p w:rsidRPr="00270FBE" w:rsidR="00B612CA" w:rsidP="00270FBE" w:rsidRDefault="00B612CA" w14:paraId="32F55D6E" w14:textId="496A8A95">
            <w:pPr>
              <w:spacing w:line="240" w:lineRule="auto"/>
              <w:ind w:firstLine="177"/>
              <w:jc w:val="left"/>
              <w:rPr>
                <w:rFonts w:eastAsiaTheme="minorHAnsi"/>
                <w:i/>
              </w:rPr>
            </w:pPr>
            <w:r w:rsidRPr="00270FBE">
              <w:rPr>
                <w:rFonts w:eastAsiaTheme="minorHAnsi"/>
                <w:bCs/>
                <w:i/>
              </w:rPr>
              <w:t>Ioannis D</w:t>
            </w:r>
            <w:r w:rsidRPr="007724A0" w:rsidR="00B75BEF">
              <w:rPr>
                <w:rFonts w:eastAsiaTheme="minorHAnsi"/>
                <w:bCs/>
                <w:i/>
              </w:rPr>
              <w:t>iamantopoulos</w:t>
            </w:r>
          </w:p>
        </w:tc>
      </w:tr>
      <w:tr w:rsidRPr="00B612CA" w:rsidR="00B612CA" w:rsidTr="00270FBE" w14:paraId="170A473F" w14:textId="77777777">
        <w:tc>
          <w:tcPr>
            <w:tcW w:w="2148" w:type="pct"/>
          </w:tcPr>
          <w:p w:rsidRPr="00270FBE" w:rsidR="00B612CA" w:rsidP="00270FBE" w:rsidRDefault="00B612CA" w14:paraId="56DAFD05" w14:textId="77777777">
            <w:pPr>
              <w:spacing w:line="240" w:lineRule="auto"/>
              <w:jc w:val="left"/>
              <w:rPr>
                <w:rFonts w:eastAsiaTheme="minorHAnsi"/>
                <w:i/>
              </w:rPr>
            </w:pPr>
            <w:r w:rsidRPr="00270FBE">
              <w:rPr>
                <w:rFonts w:eastAsiaTheme="minorHAnsi"/>
                <w:i/>
              </w:rPr>
              <w:t xml:space="preserve">Tel. </w:t>
            </w:r>
          </w:p>
        </w:tc>
        <w:tc>
          <w:tcPr>
            <w:tcW w:w="2852" w:type="pct"/>
            <w:tcBorders>
              <w:left w:val="nil"/>
            </w:tcBorders>
          </w:tcPr>
          <w:p w:rsidRPr="00270FBE" w:rsidR="00B612CA" w:rsidP="00270FBE" w:rsidRDefault="00B612CA" w14:paraId="2A298CC6" w14:textId="77777777">
            <w:pPr>
              <w:spacing w:line="240" w:lineRule="auto"/>
              <w:ind w:firstLine="177"/>
              <w:jc w:val="left"/>
              <w:rPr>
                <w:rFonts w:eastAsiaTheme="minorHAnsi"/>
                <w:i/>
              </w:rPr>
            </w:pPr>
            <w:r w:rsidRPr="00270FBE">
              <w:rPr>
                <w:rFonts w:eastAsiaTheme="minorHAnsi"/>
                <w:i/>
              </w:rPr>
              <w:t>+32 25469170</w:t>
            </w:r>
          </w:p>
        </w:tc>
      </w:tr>
      <w:tr w:rsidRPr="00B612CA" w:rsidR="00B612CA" w:rsidTr="00270FBE" w14:paraId="279B24AC" w14:textId="77777777">
        <w:tc>
          <w:tcPr>
            <w:tcW w:w="2148" w:type="pct"/>
          </w:tcPr>
          <w:p w:rsidRPr="00270FBE" w:rsidR="00B612CA" w:rsidP="00270FBE" w:rsidRDefault="007724A0" w14:paraId="005C0206" w14:textId="51502C99">
            <w:pPr>
              <w:spacing w:line="240" w:lineRule="auto"/>
              <w:jc w:val="left"/>
              <w:rPr>
                <w:rFonts w:eastAsiaTheme="minorHAnsi"/>
                <w:i/>
                <w:iCs/>
                <w:lang w:val="fr-FR"/>
              </w:rPr>
            </w:pPr>
            <w:r>
              <w:rPr>
                <w:rFonts w:eastAsiaTheme="minorHAnsi"/>
                <w:i/>
                <w:lang w:val="fr-FR"/>
              </w:rPr>
              <w:t>E</w:t>
            </w:r>
            <w:r w:rsidRPr="00270FBE" w:rsidR="00B612CA">
              <w:rPr>
                <w:rFonts w:eastAsiaTheme="minorHAnsi"/>
                <w:i/>
                <w:lang w:val="fr-FR"/>
              </w:rPr>
              <w:t>mail</w:t>
            </w:r>
          </w:p>
        </w:tc>
        <w:tc>
          <w:tcPr>
            <w:tcW w:w="2852" w:type="pct"/>
            <w:tcBorders>
              <w:left w:val="nil"/>
            </w:tcBorders>
          </w:tcPr>
          <w:p w:rsidRPr="00270FBE" w:rsidR="00B612CA" w:rsidP="00270FBE" w:rsidRDefault="005C28F2" w14:paraId="64C65441" w14:textId="2972B3EB">
            <w:pPr>
              <w:spacing w:line="240" w:lineRule="auto"/>
              <w:ind w:firstLine="177"/>
              <w:jc w:val="left"/>
              <w:rPr>
                <w:rFonts w:eastAsiaTheme="minorHAnsi"/>
                <w:i/>
                <w:iCs/>
                <w:lang w:val="fr-FR"/>
              </w:rPr>
            </w:pPr>
            <w:hyperlink w:history="1" r:id="rId37">
              <w:r w:rsidRPr="00270FBE" w:rsidR="00B612CA">
                <w:rPr>
                  <w:rStyle w:val="Hyperlink"/>
                  <w:rFonts w:eastAsiaTheme="minorHAnsi"/>
                </w:rPr>
                <w:t>Ioannis.Diamantopoulos@eesc.europa.eu</w:t>
              </w:r>
            </w:hyperlink>
          </w:p>
        </w:tc>
      </w:tr>
    </w:tbl>
    <w:p w:rsidR="00B612CA" w:rsidP="00895853" w:rsidRDefault="00B612CA" w14:paraId="1175548C" w14:textId="715AB7C7">
      <w:pPr>
        <w:overflowPunct w:val="0"/>
        <w:autoSpaceDE w:val="0"/>
        <w:autoSpaceDN w:val="0"/>
        <w:adjustRightInd w:val="0"/>
        <w:jc w:val="left"/>
        <w:textAlignment w:val="baseline"/>
        <w:rPr>
          <w:lang w:val="nl-BE"/>
        </w:rPr>
      </w:pPr>
    </w:p>
    <w:p w:rsidR="00B612CA" w:rsidRDefault="00B612CA" w14:paraId="4049531D" w14:textId="77777777">
      <w:pPr>
        <w:spacing w:after="160" w:line="259" w:lineRule="auto"/>
        <w:jc w:val="left"/>
        <w:rPr>
          <w:lang w:val="nl-BE"/>
        </w:rPr>
      </w:pPr>
      <w:r>
        <w:rPr>
          <w:lang w:val="nl-BE"/>
        </w:rPr>
        <w:br w:type="page"/>
      </w:r>
    </w:p>
    <w:p w:rsidRPr="00B612CA" w:rsidR="00B612CA" w:rsidP="00C26C81" w:rsidRDefault="0015356A" w14:paraId="2A9B1900" w14:textId="18AE72CE">
      <w:pPr>
        <w:widowControl w:val="0"/>
        <w:numPr>
          <w:ilvl w:val="0"/>
          <w:numId w:val="4"/>
        </w:numPr>
        <w:tabs>
          <w:tab w:val="center" w:pos="567"/>
        </w:tabs>
        <w:overflowPunct w:val="0"/>
        <w:autoSpaceDE w:val="0"/>
        <w:autoSpaceDN w:val="0"/>
        <w:adjustRightInd w:val="0"/>
        <w:spacing w:after="160" w:line="259" w:lineRule="auto"/>
        <w:ind w:left="567" w:hanging="567"/>
        <w:jc w:val="left"/>
        <w:textAlignment w:val="baseline"/>
        <w:rPr>
          <w:rFonts w:eastAsiaTheme="minorHAnsi"/>
          <w:b/>
          <w:sz w:val="28"/>
          <w:szCs w:val="28"/>
          <w:lang w:val="en-US"/>
        </w:rPr>
      </w:pPr>
      <w:hyperlink w:history="1" r:id="rId38">
        <w:r w:rsidRPr="00B612CA" w:rsidR="00B612CA">
          <w:rPr>
            <w:rFonts w:eastAsiaTheme="minorHAnsi"/>
            <w:b/>
            <w:bCs/>
            <w:color w:val="0000FF"/>
            <w:sz w:val="28"/>
            <w:szCs w:val="28"/>
            <w:u w:val="single"/>
          </w:rPr>
          <w:t>Drone industry: a case study for strategic autonomy</w:t>
        </w:r>
      </w:hyperlink>
    </w:p>
    <w:p w:rsidRPr="00B612CA" w:rsidR="00DD6D07" w:rsidP="00270FBE" w:rsidRDefault="00DD6D07" w14:paraId="4DADB4F0" w14:textId="77777777">
      <w:pPr>
        <w:widowControl w:val="0"/>
        <w:overflowPunct w:val="0"/>
        <w:autoSpaceDE w:val="0"/>
        <w:autoSpaceDN w:val="0"/>
        <w:adjustRightInd w:val="0"/>
        <w:textAlignment w:val="baseline"/>
        <w:rPr>
          <w:rFonts w:eastAsiaTheme="minorHAnsi"/>
          <w:b/>
          <w:sz w:val="16"/>
          <w:szCs w:val="16"/>
          <w:lang w:val="en-US"/>
        </w:rPr>
      </w:pPr>
    </w:p>
    <w:tbl>
      <w:tblPr>
        <w:tblStyle w:val="TableGrid221"/>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B612CA" w:rsidR="00B612CA" w:rsidTr="00FE3058" w14:paraId="3BDDEC70" w14:textId="77777777">
        <w:tc>
          <w:tcPr>
            <w:tcW w:w="1258" w:type="pct"/>
          </w:tcPr>
          <w:p w:rsidRPr="00270FBE" w:rsidR="00B612CA" w:rsidP="00270FBE" w:rsidRDefault="00B612CA" w14:paraId="72524AE6" w14:textId="77777777">
            <w:pPr>
              <w:tabs>
                <w:tab w:val="center" w:pos="284"/>
              </w:tabs>
              <w:ind w:left="266" w:hanging="266"/>
              <w:jc w:val="left"/>
              <w:rPr>
                <w:rFonts w:eastAsiaTheme="minorHAnsi"/>
                <w:b/>
                <w:szCs w:val="24"/>
              </w:rPr>
            </w:pPr>
            <w:r w:rsidRPr="00270FBE">
              <w:rPr>
                <w:rFonts w:eastAsiaTheme="minorHAnsi"/>
                <w:b/>
                <w:szCs w:val="24"/>
              </w:rPr>
              <w:t>Rapporteur</w:t>
            </w:r>
          </w:p>
        </w:tc>
        <w:tc>
          <w:tcPr>
            <w:tcW w:w="3742" w:type="pct"/>
          </w:tcPr>
          <w:p w:rsidRPr="00270FBE" w:rsidR="00B612CA" w:rsidP="00270FBE" w:rsidRDefault="00B612CA" w14:paraId="5A103C16" w14:textId="77777777">
            <w:pPr>
              <w:tabs>
                <w:tab w:val="center" w:pos="0"/>
              </w:tabs>
              <w:ind w:left="27" w:hanging="27"/>
              <w:jc w:val="left"/>
              <w:rPr>
                <w:rFonts w:eastAsiaTheme="minorHAnsi"/>
                <w:szCs w:val="24"/>
              </w:rPr>
            </w:pPr>
            <w:r w:rsidRPr="00270FBE">
              <w:rPr>
                <w:rFonts w:eastAsiaTheme="minorHAnsi"/>
                <w:szCs w:val="24"/>
                <w:lang w:val="fr-FR"/>
              </w:rPr>
              <w:t>Panagiotis GKOFAS (Civil Society Organisations' Group - EL)</w:t>
            </w:r>
          </w:p>
        </w:tc>
      </w:tr>
      <w:tr w:rsidRPr="00B612CA" w:rsidR="00B612CA" w:rsidTr="00FE3058" w14:paraId="4789CE29" w14:textId="77777777">
        <w:tc>
          <w:tcPr>
            <w:tcW w:w="1258" w:type="pct"/>
          </w:tcPr>
          <w:p w:rsidRPr="00270FBE" w:rsidR="00B612CA" w:rsidP="00270FBE" w:rsidRDefault="00B612CA" w14:paraId="4BC4535D" w14:textId="77777777">
            <w:pPr>
              <w:tabs>
                <w:tab w:val="center" w:pos="284"/>
              </w:tabs>
              <w:ind w:left="266" w:hanging="266"/>
              <w:jc w:val="left"/>
              <w:rPr>
                <w:rFonts w:eastAsiaTheme="minorHAnsi"/>
                <w:b/>
                <w:szCs w:val="24"/>
              </w:rPr>
            </w:pPr>
            <w:r w:rsidRPr="00270FBE">
              <w:rPr>
                <w:rFonts w:eastAsiaTheme="minorHAnsi"/>
                <w:b/>
                <w:szCs w:val="24"/>
                <w:lang w:val="fr-FR"/>
              </w:rPr>
              <w:t>Co-rapporteur</w:t>
            </w:r>
          </w:p>
        </w:tc>
        <w:tc>
          <w:tcPr>
            <w:tcW w:w="3742" w:type="pct"/>
          </w:tcPr>
          <w:p w:rsidRPr="00270FBE" w:rsidR="00B612CA" w:rsidP="00270FBE" w:rsidRDefault="00B612CA" w14:paraId="45BEE5FC" w14:textId="77777777">
            <w:pPr>
              <w:tabs>
                <w:tab w:val="center" w:pos="284"/>
              </w:tabs>
              <w:ind w:left="266" w:hanging="266"/>
              <w:jc w:val="left"/>
              <w:rPr>
                <w:rFonts w:eastAsiaTheme="minorHAnsi"/>
                <w:szCs w:val="24"/>
              </w:rPr>
            </w:pPr>
            <w:r w:rsidRPr="00270FBE">
              <w:rPr>
                <w:rFonts w:eastAsiaTheme="minorHAnsi"/>
                <w:szCs w:val="24"/>
                <w:lang w:val="fr-FR"/>
              </w:rPr>
              <w:t>Patrice François CHAZERAND (Cat. 1 - FR)</w:t>
            </w:r>
          </w:p>
        </w:tc>
      </w:tr>
      <w:tr w:rsidRPr="00B612CA" w:rsidR="00B612CA" w:rsidTr="00FE3058" w14:paraId="5E7071EE" w14:textId="77777777">
        <w:tc>
          <w:tcPr>
            <w:tcW w:w="5000" w:type="pct"/>
            <w:gridSpan w:val="2"/>
          </w:tcPr>
          <w:p w:rsidRPr="00270FBE" w:rsidR="00B612CA" w:rsidP="00B612CA" w:rsidRDefault="00B612CA" w14:paraId="0CB6DE07" w14:textId="77777777">
            <w:pPr>
              <w:tabs>
                <w:tab w:val="center" w:pos="284"/>
              </w:tabs>
              <w:spacing w:after="160"/>
              <w:ind w:left="266" w:hanging="266"/>
              <w:jc w:val="left"/>
              <w:rPr>
                <w:rFonts w:eastAsiaTheme="minorHAnsi"/>
                <w:sz w:val="16"/>
                <w:szCs w:val="18"/>
              </w:rPr>
            </w:pPr>
          </w:p>
        </w:tc>
      </w:tr>
      <w:tr w:rsidRPr="00B612CA" w:rsidR="00B612CA" w:rsidTr="00FE3058" w14:paraId="5C97F1F0" w14:textId="77777777">
        <w:tc>
          <w:tcPr>
            <w:tcW w:w="1258" w:type="pct"/>
            <w:vMerge w:val="restart"/>
          </w:tcPr>
          <w:p w:rsidRPr="00270FBE" w:rsidR="00B612CA" w:rsidP="00B612CA" w:rsidRDefault="00B612CA" w14:paraId="1ACFAAEE" w14:textId="77777777">
            <w:pPr>
              <w:tabs>
                <w:tab w:val="center" w:pos="284"/>
              </w:tabs>
              <w:spacing w:after="160"/>
              <w:ind w:left="266" w:hanging="266"/>
              <w:jc w:val="left"/>
              <w:rPr>
                <w:rFonts w:eastAsiaTheme="minorHAnsi"/>
                <w:b/>
                <w:szCs w:val="24"/>
              </w:rPr>
            </w:pPr>
            <w:r w:rsidRPr="00270FBE">
              <w:rPr>
                <w:rFonts w:eastAsiaTheme="minorHAnsi"/>
                <w:b/>
                <w:szCs w:val="24"/>
              </w:rPr>
              <w:t>References</w:t>
            </w:r>
          </w:p>
        </w:tc>
        <w:tc>
          <w:tcPr>
            <w:tcW w:w="3742" w:type="pct"/>
          </w:tcPr>
          <w:p w:rsidR="008E5F1F" w:rsidP="00270FBE" w:rsidRDefault="008E5F1F" w14:paraId="4FD72709" w14:textId="77777777">
            <w:pPr>
              <w:tabs>
                <w:tab w:val="center" w:pos="284"/>
              </w:tabs>
              <w:ind w:left="266" w:hanging="266"/>
              <w:jc w:val="left"/>
              <w:rPr>
                <w:rFonts w:eastAsiaTheme="minorHAnsi"/>
                <w:szCs w:val="24"/>
              </w:rPr>
            </w:pPr>
            <w:r>
              <w:rPr>
                <w:rFonts w:eastAsiaTheme="minorHAnsi"/>
                <w:szCs w:val="24"/>
              </w:rPr>
              <w:t>O</w:t>
            </w:r>
            <w:r w:rsidRPr="008E5F1F">
              <w:rPr>
                <w:rFonts w:eastAsiaTheme="minorHAnsi"/>
                <w:szCs w:val="24"/>
              </w:rPr>
              <w:t>wn-initiative opinion</w:t>
            </w:r>
          </w:p>
          <w:p w:rsidRPr="00270FBE" w:rsidR="00B612CA" w:rsidP="00270FBE" w:rsidRDefault="00B612CA" w14:paraId="2BDD1C6B" w14:textId="29BCECDA">
            <w:pPr>
              <w:tabs>
                <w:tab w:val="center" w:pos="284"/>
              </w:tabs>
              <w:ind w:left="266" w:hanging="266"/>
              <w:jc w:val="left"/>
              <w:rPr>
                <w:rFonts w:eastAsiaTheme="minorHAnsi"/>
                <w:szCs w:val="24"/>
              </w:rPr>
            </w:pPr>
            <w:r w:rsidRPr="00270FBE">
              <w:rPr>
                <w:rFonts w:eastAsiaTheme="minorHAnsi"/>
                <w:szCs w:val="24"/>
              </w:rPr>
              <w:t>EESC-2024-00046-00-00-AC</w:t>
            </w:r>
          </w:p>
        </w:tc>
      </w:tr>
      <w:tr w:rsidRPr="00B612CA" w:rsidR="00B612CA" w:rsidTr="00FE3058" w14:paraId="262D674B" w14:textId="77777777">
        <w:tc>
          <w:tcPr>
            <w:tcW w:w="1258" w:type="pct"/>
            <w:vMerge/>
          </w:tcPr>
          <w:p w:rsidRPr="00B612CA" w:rsidR="00B612CA" w:rsidP="00B612CA" w:rsidRDefault="00B612CA" w14:paraId="4C295F73" w14:textId="77777777">
            <w:pPr>
              <w:tabs>
                <w:tab w:val="center" w:pos="284"/>
              </w:tabs>
              <w:spacing w:after="160"/>
              <w:ind w:left="266" w:hanging="266"/>
              <w:jc w:val="left"/>
              <w:rPr>
                <w:rFonts w:asciiTheme="minorHAnsi" w:hAnsiTheme="minorHAnsi" w:eastAsiaTheme="minorHAnsi" w:cstheme="minorBidi"/>
                <w:b/>
                <w:szCs w:val="24"/>
              </w:rPr>
            </w:pPr>
          </w:p>
        </w:tc>
        <w:tc>
          <w:tcPr>
            <w:tcW w:w="3742" w:type="pct"/>
          </w:tcPr>
          <w:p w:rsidRPr="00B612CA" w:rsidR="00B612CA" w:rsidP="00B612CA" w:rsidRDefault="00B612CA" w14:paraId="6A3FA1C1" w14:textId="77777777">
            <w:pPr>
              <w:tabs>
                <w:tab w:val="center" w:pos="284"/>
              </w:tabs>
              <w:spacing w:after="160"/>
              <w:ind w:left="266" w:hanging="266"/>
              <w:jc w:val="left"/>
              <w:rPr>
                <w:rFonts w:asciiTheme="minorHAnsi" w:hAnsiTheme="minorHAnsi" w:eastAsiaTheme="minorHAnsi" w:cstheme="minorBidi"/>
                <w:szCs w:val="24"/>
              </w:rPr>
            </w:pPr>
          </w:p>
        </w:tc>
      </w:tr>
    </w:tbl>
    <w:p w:rsidRPr="00B612CA" w:rsidR="00B612CA" w:rsidP="00B612CA" w:rsidRDefault="00B612CA" w14:paraId="5D3EDF6C" w14:textId="77777777">
      <w:pPr>
        <w:keepNext/>
        <w:keepLines/>
        <w:spacing w:after="160"/>
        <w:ind w:left="142" w:hanging="142"/>
        <w:jc w:val="left"/>
        <w:rPr>
          <w:rFonts w:eastAsiaTheme="minorHAnsi"/>
          <w:b/>
          <w:lang w:val="en-US"/>
        </w:rPr>
      </w:pPr>
      <w:r w:rsidRPr="00B612CA">
        <w:rPr>
          <w:rFonts w:eastAsiaTheme="minorHAnsi"/>
          <w:b/>
          <w:lang w:val="en-US"/>
        </w:rPr>
        <w:t>Key points</w:t>
      </w:r>
    </w:p>
    <w:p w:rsidR="00B612CA" w:rsidP="002F57E9" w:rsidRDefault="00B612CA" w14:paraId="500E1CB5" w14:textId="1961B0BC">
      <w:pPr>
        <w:spacing w:after="160"/>
        <w:ind w:left="142" w:hanging="142"/>
        <w:jc w:val="left"/>
        <w:rPr>
          <w:rFonts w:eastAsiaTheme="minorHAnsi"/>
        </w:rPr>
      </w:pPr>
      <w:r w:rsidRPr="00B612CA">
        <w:rPr>
          <w:rFonts w:eastAsiaTheme="minorHAnsi"/>
          <w:lang w:val="fr-FR"/>
        </w:rPr>
        <w:t xml:space="preserve">The </w:t>
      </w:r>
      <w:r w:rsidRPr="00B612CA">
        <w:rPr>
          <w:rFonts w:eastAsiaTheme="minorHAnsi"/>
        </w:rPr>
        <w:t>EESC:</w:t>
      </w:r>
    </w:p>
    <w:p w:rsidRPr="00B612CA" w:rsidR="00B612CA" w:rsidP="00270FBE" w:rsidRDefault="00B612CA" w14:paraId="487029DD" w14:textId="77777777">
      <w:pPr>
        <w:numPr>
          <w:ilvl w:val="0"/>
          <w:numId w:val="25"/>
        </w:numPr>
        <w:spacing w:line="259" w:lineRule="auto"/>
        <w:ind w:left="284" w:hanging="284"/>
        <w:rPr>
          <w:rFonts w:eastAsiaTheme="minorHAnsi"/>
        </w:rPr>
      </w:pPr>
      <w:r w:rsidRPr="00B612CA">
        <w:rPr>
          <w:rFonts w:eastAsiaTheme="minorHAnsi"/>
        </w:rPr>
        <w:t xml:space="preserve">believes that the connection of the </w:t>
      </w:r>
      <w:r w:rsidRPr="00B612CA">
        <w:rPr>
          <w:rFonts w:eastAsiaTheme="minorHAnsi"/>
          <w:b/>
          <w:bCs/>
        </w:rPr>
        <w:t xml:space="preserve">European Drone Strategy </w:t>
      </w:r>
      <w:r w:rsidRPr="00B612CA">
        <w:rPr>
          <w:rFonts w:eastAsiaTheme="minorHAnsi"/>
        </w:rPr>
        <w:t>with the</w:t>
      </w:r>
      <w:r w:rsidRPr="00B612CA">
        <w:rPr>
          <w:rFonts w:eastAsiaTheme="minorHAnsi"/>
          <w:b/>
          <w:bCs/>
        </w:rPr>
        <w:t xml:space="preserve"> European Defence Industrial Strategy</w:t>
      </w:r>
      <w:r w:rsidRPr="00B612CA">
        <w:rPr>
          <w:rFonts w:eastAsiaTheme="minorHAnsi"/>
        </w:rPr>
        <w:t xml:space="preserve"> and the integration of the </w:t>
      </w:r>
      <w:r w:rsidRPr="00B612CA">
        <w:rPr>
          <w:rFonts w:eastAsiaTheme="minorHAnsi"/>
          <w:b/>
          <w:bCs/>
        </w:rPr>
        <w:t>European Defence Technological and Industrial Base (EDTIB)</w:t>
      </w:r>
      <w:r w:rsidRPr="00B612CA">
        <w:rPr>
          <w:rFonts w:eastAsiaTheme="minorHAnsi"/>
        </w:rPr>
        <w:t xml:space="preserve"> to support </w:t>
      </w:r>
      <w:r w:rsidRPr="00B612CA">
        <w:rPr>
          <w:rFonts w:eastAsiaTheme="minorHAnsi"/>
          <w:b/>
          <w:bCs/>
        </w:rPr>
        <w:t>domestic production of high quality/capacity drones</w:t>
      </w:r>
      <w:r w:rsidRPr="00B612CA">
        <w:rPr>
          <w:rFonts w:eastAsiaTheme="minorHAnsi"/>
        </w:rPr>
        <w:t xml:space="preserve"> by way of a </w:t>
      </w:r>
      <w:r w:rsidRPr="00B612CA">
        <w:rPr>
          <w:rFonts w:eastAsiaTheme="minorHAnsi"/>
          <w:b/>
          <w:bCs/>
        </w:rPr>
        <w:t>steady flow of procurement contracts</w:t>
      </w:r>
      <w:r w:rsidRPr="00B612CA">
        <w:rPr>
          <w:rFonts w:eastAsiaTheme="minorHAnsi"/>
        </w:rPr>
        <w:t xml:space="preserve"> is essential for Europe’s critical independence;</w:t>
      </w:r>
    </w:p>
    <w:p w:rsidRPr="00B612CA" w:rsidR="00B612CA" w:rsidP="00270FBE" w:rsidRDefault="00B612CA" w14:paraId="1202E286" w14:textId="77777777">
      <w:pPr>
        <w:numPr>
          <w:ilvl w:val="0"/>
          <w:numId w:val="25"/>
        </w:numPr>
        <w:spacing w:line="259" w:lineRule="auto"/>
        <w:ind w:left="284" w:hanging="284"/>
        <w:rPr>
          <w:rFonts w:eastAsiaTheme="minorHAnsi"/>
        </w:rPr>
      </w:pPr>
      <w:r w:rsidRPr="00B612CA">
        <w:rPr>
          <w:rFonts w:eastAsiaTheme="minorHAnsi"/>
        </w:rPr>
        <w:t xml:space="preserve">continues to advocate </w:t>
      </w:r>
      <w:r w:rsidRPr="00B612CA">
        <w:rPr>
          <w:rFonts w:eastAsiaTheme="minorHAnsi"/>
          <w:b/>
          <w:bCs/>
        </w:rPr>
        <w:t>improved collaboration and innovation</w:t>
      </w:r>
      <w:r w:rsidRPr="00B612CA">
        <w:rPr>
          <w:rFonts w:eastAsiaTheme="minorHAnsi"/>
        </w:rPr>
        <w:t xml:space="preserve"> and leveraging legislation like the AI Act and Chips Act to </w:t>
      </w:r>
      <w:r w:rsidRPr="00B612CA">
        <w:rPr>
          <w:rFonts w:eastAsiaTheme="minorHAnsi"/>
          <w:b/>
          <w:bCs/>
        </w:rPr>
        <w:t>enhance strategic autonomy</w:t>
      </w:r>
      <w:r w:rsidRPr="00B612CA">
        <w:rPr>
          <w:rFonts w:eastAsiaTheme="minorHAnsi"/>
        </w:rPr>
        <w:t xml:space="preserve"> and bolster national security and economic growth;</w:t>
      </w:r>
    </w:p>
    <w:p w:rsidRPr="00B612CA" w:rsidR="00B612CA" w:rsidP="00270FBE" w:rsidRDefault="00B612CA" w14:paraId="13B8DCFD" w14:textId="77777777">
      <w:pPr>
        <w:numPr>
          <w:ilvl w:val="0"/>
          <w:numId w:val="25"/>
        </w:numPr>
        <w:spacing w:line="259" w:lineRule="auto"/>
        <w:ind w:left="284" w:hanging="284"/>
        <w:rPr>
          <w:rFonts w:eastAsiaTheme="minorHAnsi"/>
        </w:rPr>
      </w:pPr>
      <w:r w:rsidRPr="00B612CA">
        <w:rPr>
          <w:rFonts w:eastAsiaTheme="minorHAnsi"/>
        </w:rPr>
        <w:t xml:space="preserve">emphasises that the need for </w:t>
      </w:r>
      <w:r w:rsidRPr="00B612CA">
        <w:rPr>
          <w:rFonts w:eastAsiaTheme="minorHAnsi"/>
          <w:b/>
          <w:bCs/>
        </w:rPr>
        <w:t>coherence between military and civilian R&amp;D</w:t>
      </w:r>
      <w:r w:rsidRPr="00B612CA">
        <w:rPr>
          <w:rFonts w:eastAsiaTheme="minorHAnsi"/>
        </w:rPr>
        <w:t xml:space="preserve"> will only grow as drones will use more automation, machine learning and Artificial Intelligence (AI);</w:t>
      </w:r>
    </w:p>
    <w:p w:rsidRPr="00B612CA" w:rsidR="00B612CA" w:rsidP="00270FBE" w:rsidRDefault="00B612CA" w14:paraId="36029321" w14:textId="77777777">
      <w:pPr>
        <w:numPr>
          <w:ilvl w:val="0"/>
          <w:numId w:val="25"/>
        </w:numPr>
        <w:spacing w:line="259" w:lineRule="auto"/>
        <w:ind w:left="284" w:hanging="284"/>
        <w:rPr>
          <w:rFonts w:eastAsiaTheme="minorHAnsi"/>
        </w:rPr>
      </w:pPr>
      <w:r w:rsidRPr="00B612CA">
        <w:rPr>
          <w:rFonts w:eastAsiaTheme="minorHAnsi"/>
        </w:rPr>
        <w:t xml:space="preserve">believes that a </w:t>
      </w:r>
      <w:r w:rsidRPr="00B612CA">
        <w:rPr>
          <w:rFonts w:eastAsiaTheme="minorHAnsi"/>
          <w:b/>
          <w:bCs/>
        </w:rPr>
        <w:t>strategic Drone Technology Roadmap for Europe</w:t>
      </w:r>
      <w:r w:rsidRPr="00B612CA">
        <w:rPr>
          <w:rFonts w:eastAsiaTheme="minorHAnsi"/>
        </w:rPr>
        <w:t xml:space="preserve"> is essential for critical drone technologies and dual-use drone systems likely to provide a structured approach to advancing drone technology;</w:t>
      </w:r>
    </w:p>
    <w:p w:rsidRPr="00B612CA" w:rsidR="00B612CA" w:rsidP="00270FBE" w:rsidRDefault="00B612CA" w14:paraId="1BD31BD4" w14:textId="77777777">
      <w:pPr>
        <w:numPr>
          <w:ilvl w:val="0"/>
          <w:numId w:val="25"/>
        </w:numPr>
        <w:spacing w:line="259" w:lineRule="auto"/>
        <w:ind w:left="284" w:hanging="284"/>
        <w:rPr>
          <w:rFonts w:eastAsiaTheme="minorHAnsi"/>
        </w:rPr>
      </w:pPr>
      <w:r w:rsidRPr="00B612CA">
        <w:rPr>
          <w:rFonts w:eastAsiaTheme="minorHAnsi"/>
        </w:rPr>
        <w:t xml:space="preserve">emphasises that thorough consideration should be given to </w:t>
      </w:r>
      <w:r w:rsidRPr="00B612CA">
        <w:rPr>
          <w:rFonts w:eastAsiaTheme="minorHAnsi"/>
          <w:b/>
          <w:bCs/>
        </w:rPr>
        <w:t>financially supporting potential investments in drone production and in integrating supply and value chains</w:t>
      </w:r>
      <w:r w:rsidRPr="00B612CA">
        <w:rPr>
          <w:rFonts w:eastAsiaTheme="minorHAnsi"/>
        </w:rPr>
        <w:t>;</w:t>
      </w:r>
    </w:p>
    <w:p w:rsidRPr="00B612CA" w:rsidR="00B612CA" w:rsidP="00270FBE" w:rsidRDefault="00B612CA" w14:paraId="0CDF4865" w14:textId="77777777">
      <w:pPr>
        <w:numPr>
          <w:ilvl w:val="0"/>
          <w:numId w:val="25"/>
        </w:numPr>
        <w:spacing w:line="259" w:lineRule="auto"/>
        <w:ind w:left="284" w:hanging="284"/>
        <w:rPr>
          <w:rFonts w:eastAsiaTheme="minorHAnsi"/>
        </w:rPr>
      </w:pPr>
      <w:r w:rsidRPr="00B612CA">
        <w:rPr>
          <w:rFonts w:eastAsiaTheme="minorHAnsi"/>
        </w:rPr>
        <w:t>stresses that the EU should engage more actively at the global level, especially with regards to certification procedures;</w:t>
      </w:r>
    </w:p>
    <w:p w:rsidRPr="00B612CA" w:rsidR="00B612CA" w:rsidP="00270FBE" w:rsidRDefault="00B612CA" w14:paraId="6CE8FCE4" w14:textId="77777777">
      <w:pPr>
        <w:numPr>
          <w:ilvl w:val="0"/>
          <w:numId w:val="25"/>
        </w:numPr>
        <w:spacing w:line="259" w:lineRule="auto"/>
        <w:ind w:left="284" w:hanging="284"/>
        <w:rPr>
          <w:rFonts w:eastAsiaTheme="minorHAnsi"/>
        </w:rPr>
      </w:pPr>
      <w:r w:rsidRPr="00B612CA">
        <w:rPr>
          <w:rFonts w:eastAsiaTheme="minorHAnsi"/>
        </w:rPr>
        <w:t xml:space="preserve">notes that </w:t>
      </w:r>
      <w:r w:rsidRPr="00B612CA">
        <w:rPr>
          <w:rFonts w:eastAsiaTheme="minorHAnsi"/>
          <w:b/>
          <w:bCs/>
        </w:rPr>
        <w:t>societal acceptance</w:t>
      </w:r>
      <w:r w:rsidRPr="00B612CA">
        <w:rPr>
          <w:rFonts w:eastAsiaTheme="minorHAnsi"/>
        </w:rPr>
        <w:t xml:space="preserve"> of innovative air mobility operations is of the essence: EU support can bolster the overall aviation ecosystem, contributing to its growth and sustainability;</w:t>
      </w:r>
    </w:p>
    <w:p w:rsidRPr="00B612CA" w:rsidR="00B612CA" w:rsidP="00270FBE" w:rsidRDefault="00B612CA" w14:paraId="413AAB7E" w14:textId="77777777">
      <w:pPr>
        <w:numPr>
          <w:ilvl w:val="0"/>
          <w:numId w:val="25"/>
        </w:numPr>
        <w:spacing w:line="259" w:lineRule="auto"/>
        <w:ind w:left="284" w:hanging="284"/>
        <w:rPr>
          <w:rFonts w:eastAsiaTheme="minorHAnsi"/>
        </w:rPr>
      </w:pPr>
      <w:r w:rsidRPr="00B612CA">
        <w:rPr>
          <w:rFonts w:eastAsiaTheme="minorHAnsi"/>
        </w:rPr>
        <w:t xml:space="preserve">stresses that the EU should also be prepared to create a consolidated </w:t>
      </w:r>
      <w:r w:rsidRPr="00B612CA">
        <w:rPr>
          <w:rFonts w:eastAsiaTheme="minorHAnsi"/>
          <w:b/>
          <w:bCs/>
        </w:rPr>
        <w:t>strategy on developing a common counter-drone umbrella</w:t>
      </w:r>
      <w:r w:rsidRPr="00B612CA">
        <w:rPr>
          <w:rFonts w:eastAsiaTheme="minorHAnsi"/>
        </w:rPr>
        <w:t xml:space="preserve"> to face multiple risks related to hybrid threats, terrorist actions, aggression from other states, and even abuse at civilian level.</w:t>
      </w:r>
    </w:p>
    <w:p w:rsidRPr="00B612CA" w:rsidR="00B612CA" w:rsidP="00B612CA" w:rsidRDefault="00B612CA" w14:paraId="02D1D393" w14:textId="77777777">
      <w:pPr>
        <w:ind w:left="714"/>
        <w:rPr>
          <w:rFonts w:eastAsiaTheme="minorHAnsi"/>
        </w:rPr>
      </w:pPr>
    </w:p>
    <w:p w:rsidRPr="00B612CA" w:rsidR="00B612CA" w:rsidP="00B612CA" w:rsidRDefault="00B612CA" w14:paraId="46AE56DD"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7"/>
        <w:gridCol w:w="3744"/>
      </w:tblGrid>
      <w:tr w:rsidRPr="00B612CA" w:rsidR="00B612CA" w:rsidTr="00FE3058" w14:paraId="4B20577C" w14:textId="77777777">
        <w:tc>
          <w:tcPr>
            <w:tcW w:w="2089" w:type="pct"/>
          </w:tcPr>
          <w:p w:rsidRPr="00270FBE" w:rsidR="00B612CA" w:rsidP="00270FBE" w:rsidRDefault="00B612CA" w14:paraId="2947396D" w14:textId="77777777">
            <w:pPr>
              <w:spacing w:line="259" w:lineRule="auto"/>
              <w:jc w:val="left"/>
              <w:rPr>
                <w:rFonts w:eastAsiaTheme="minorHAnsi"/>
                <w:i/>
              </w:rPr>
            </w:pPr>
            <w:r w:rsidRPr="00270FBE">
              <w:rPr>
                <w:rFonts w:eastAsiaTheme="minorHAnsi"/>
                <w:b/>
                <w:i/>
              </w:rPr>
              <w:t>Contact</w:t>
            </w:r>
          </w:p>
        </w:tc>
        <w:tc>
          <w:tcPr>
            <w:tcW w:w="2911" w:type="pct"/>
            <w:tcBorders>
              <w:left w:val="nil"/>
            </w:tcBorders>
          </w:tcPr>
          <w:p w:rsidRPr="00270FBE" w:rsidR="00B612CA" w:rsidP="00270FBE" w:rsidRDefault="00B612CA" w14:paraId="2C72CC9C" w14:textId="59DEF34B">
            <w:pPr>
              <w:spacing w:line="259" w:lineRule="auto"/>
              <w:jc w:val="left"/>
              <w:rPr>
                <w:rFonts w:eastAsiaTheme="minorHAnsi"/>
                <w:i/>
              </w:rPr>
            </w:pPr>
            <w:r w:rsidRPr="00270FBE">
              <w:rPr>
                <w:rFonts w:eastAsiaTheme="minorHAnsi"/>
                <w:bCs/>
                <w:i/>
              </w:rPr>
              <w:t>Ioannis D</w:t>
            </w:r>
            <w:r w:rsidRPr="002F57E9" w:rsidR="002F57E9">
              <w:rPr>
                <w:rFonts w:eastAsiaTheme="minorHAnsi"/>
                <w:bCs/>
                <w:i/>
              </w:rPr>
              <w:t>iamantopoulos</w:t>
            </w:r>
          </w:p>
        </w:tc>
      </w:tr>
      <w:tr w:rsidRPr="00B612CA" w:rsidR="00B612CA" w:rsidTr="00FE3058" w14:paraId="2E3E56CC" w14:textId="77777777">
        <w:tc>
          <w:tcPr>
            <w:tcW w:w="2089" w:type="pct"/>
          </w:tcPr>
          <w:p w:rsidRPr="00270FBE" w:rsidR="00B612CA" w:rsidP="00270FBE" w:rsidRDefault="00B612CA" w14:paraId="32C90F95" w14:textId="77777777">
            <w:pPr>
              <w:spacing w:line="259" w:lineRule="auto"/>
              <w:jc w:val="left"/>
              <w:rPr>
                <w:rFonts w:eastAsiaTheme="minorHAnsi"/>
                <w:i/>
              </w:rPr>
            </w:pPr>
            <w:r w:rsidRPr="00270FBE">
              <w:rPr>
                <w:rFonts w:eastAsiaTheme="minorHAnsi"/>
                <w:i/>
              </w:rPr>
              <w:t xml:space="preserve">Tel. </w:t>
            </w:r>
          </w:p>
        </w:tc>
        <w:tc>
          <w:tcPr>
            <w:tcW w:w="2911" w:type="pct"/>
            <w:tcBorders>
              <w:left w:val="nil"/>
            </w:tcBorders>
          </w:tcPr>
          <w:p w:rsidRPr="00270FBE" w:rsidR="00B612CA" w:rsidP="00270FBE" w:rsidRDefault="00B612CA" w14:paraId="6667914E" w14:textId="77777777">
            <w:pPr>
              <w:spacing w:line="259" w:lineRule="auto"/>
              <w:jc w:val="left"/>
              <w:rPr>
                <w:rFonts w:eastAsiaTheme="minorHAnsi"/>
                <w:i/>
              </w:rPr>
            </w:pPr>
            <w:r w:rsidRPr="00270FBE">
              <w:rPr>
                <w:rFonts w:eastAsiaTheme="minorHAnsi"/>
                <w:i/>
              </w:rPr>
              <w:t>+32 25469170</w:t>
            </w:r>
          </w:p>
        </w:tc>
      </w:tr>
      <w:tr w:rsidRPr="00B612CA" w:rsidR="00B612CA" w:rsidTr="00FE3058" w14:paraId="5E62AD0C" w14:textId="77777777">
        <w:tc>
          <w:tcPr>
            <w:tcW w:w="2089" w:type="pct"/>
          </w:tcPr>
          <w:p w:rsidRPr="00270FBE" w:rsidR="00B612CA" w:rsidP="00270FBE" w:rsidRDefault="00B612CA" w14:paraId="28949472" w14:textId="77777777">
            <w:pPr>
              <w:spacing w:line="259" w:lineRule="auto"/>
              <w:jc w:val="left"/>
              <w:rPr>
                <w:rFonts w:eastAsiaTheme="minorHAnsi"/>
                <w:i/>
                <w:iCs/>
                <w:lang w:val="fr-FR"/>
              </w:rPr>
            </w:pPr>
            <w:r w:rsidRPr="00270FBE">
              <w:rPr>
                <w:rFonts w:eastAsiaTheme="minorHAnsi"/>
                <w:i/>
                <w:lang w:val="fr-FR"/>
              </w:rPr>
              <w:t>Email</w:t>
            </w:r>
          </w:p>
        </w:tc>
        <w:tc>
          <w:tcPr>
            <w:tcW w:w="2911" w:type="pct"/>
            <w:tcBorders>
              <w:left w:val="nil"/>
            </w:tcBorders>
          </w:tcPr>
          <w:p w:rsidRPr="00270FBE" w:rsidR="00B612CA" w:rsidP="00270FBE" w:rsidRDefault="005C28F2" w14:paraId="670FA610" w14:textId="3DD50747">
            <w:pPr>
              <w:spacing w:line="259" w:lineRule="auto"/>
              <w:jc w:val="left"/>
              <w:rPr>
                <w:rFonts w:eastAsiaTheme="minorHAnsi"/>
                <w:i/>
                <w:iCs/>
                <w:lang w:val="fr-FR"/>
              </w:rPr>
            </w:pPr>
            <w:hyperlink w:history="1" r:id="rId39">
              <w:r w:rsidRPr="00270FBE" w:rsidR="00B612CA">
                <w:rPr>
                  <w:rStyle w:val="Hyperlink"/>
                  <w:rFonts w:eastAsiaTheme="minorHAnsi"/>
                </w:rPr>
                <w:t>Ioannis.Diamantopoulos@eesc.europa.eu</w:t>
              </w:r>
            </w:hyperlink>
          </w:p>
        </w:tc>
      </w:tr>
    </w:tbl>
    <w:p w:rsidR="00DD6D07" w:rsidP="00895853" w:rsidRDefault="00DD6D07" w14:paraId="4B14A069" w14:textId="5E80731A">
      <w:pPr>
        <w:overflowPunct w:val="0"/>
        <w:autoSpaceDE w:val="0"/>
        <w:autoSpaceDN w:val="0"/>
        <w:adjustRightInd w:val="0"/>
        <w:jc w:val="left"/>
        <w:textAlignment w:val="baseline"/>
        <w:rPr>
          <w:lang w:val="nl-BE"/>
        </w:rPr>
      </w:pPr>
    </w:p>
    <w:p w:rsidR="00DD6D07" w:rsidRDefault="00DD6D07" w14:paraId="00CC9B58" w14:textId="77777777">
      <w:pPr>
        <w:spacing w:after="160" w:line="259" w:lineRule="auto"/>
        <w:jc w:val="left"/>
        <w:rPr>
          <w:lang w:val="nl-BE"/>
        </w:rPr>
      </w:pPr>
      <w:r>
        <w:rPr>
          <w:lang w:val="nl-BE"/>
        </w:rPr>
        <w:br w:type="page"/>
      </w:r>
    </w:p>
    <w:p w:rsidR="00B612CA" w:rsidP="00895853" w:rsidRDefault="00B612CA" w14:paraId="57B89030" w14:textId="77777777">
      <w:pPr>
        <w:overflowPunct w:val="0"/>
        <w:autoSpaceDE w:val="0"/>
        <w:autoSpaceDN w:val="0"/>
        <w:adjustRightInd w:val="0"/>
        <w:jc w:val="left"/>
        <w:textAlignment w:val="baseline"/>
        <w:rPr>
          <w:lang w:val="nl-BE"/>
        </w:rPr>
      </w:pPr>
    </w:p>
    <w:p w:rsidRPr="000120E1" w:rsidR="000120E1" w:rsidP="00C26C81" w:rsidRDefault="0015356A" w14:paraId="55A70BD2" w14:textId="3BCF755A">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lang w:val="en-US"/>
        </w:rPr>
      </w:pPr>
      <w:hyperlink w:history="1" r:id="rId40">
        <w:r w:rsidRPr="000120E1" w:rsidR="000120E1">
          <w:rPr>
            <w:rFonts w:eastAsiaTheme="minorHAnsi"/>
            <w:b/>
            <w:bCs/>
            <w:i/>
            <w:iCs/>
            <w:color w:val="0000FF"/>
            <w:sz w:val="28"/>
            <w:szCs w:val="28"/>
            <w:u w:val="single"/>
          </w:rPr>
          <w:t>Communication on industrial carbon management</w:t>
        </w:r>
      </w:hyperlink>
    </w:p>
    <w:p w:rsidRPr="000120E1" w:rsidR="000120E1" w:rsidP="000120E1" w:rsidRDefault="000120E1" w14:paraId="047D66DC" w14:textId="726FFD6D">
      <w:pPr>
        <w:widowControl w:val="0"/>
        <w:tabs>
          <w:tab w:val="center" w:pos="284"/>
        </w:tabs>
        <w:overflowPunct w:val="0"/>
        <w:autoSpaceDE w:val="0"/>
        <w:autoSpaceDN w:val="0"/>
        <w:adjustRightInd w:val="0"/>
        <w:textAlignment w:val="baseline"/>
        <w:rPr>
          <w:rFonts w:eastAsiaTheme="minorHAnsi"/>
          <w:b/>
          <w:lang w:val="en-US"/>
        </w:rPr>
      </w:pP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0"/>
        <w:gridCol w:w="6225"/>
      </w:tblGrid>
      <w:tr w:rsidRPr="000120E1" w:rsidR="000120E1" w:rsidTr="00FE3058" w14:paraId="7AA7740B" w14:textId="77777777">
        <w:tc>
          <w:tcPr>
            <w:tcW w:w="1216" w:type="pct"/>
          </w:tcPr>
          <w:p w:rsidRPr="00270FBE" w:rsidR="000120E1" w:rsidP="00270FBE" w:rsidRDefault="000120E1" w14:paraId="59DFCB28" w14:textId="77777777">
            <w:pPr>
              <w:tabs>
                <w:tab w:val="center" w:pos="284"/>
              </w:tabs>
              <w:spacing w:line="259" w:lineRule="auto"/>
              <w:ind w:left="266" w:hanging="266"/>
              <w:jc w:val="left"/>
              <w:rPr>
                <w:rFonts w:eastAsiaTheme="minorHAnsi"/>
                <w:b/>
                <w:szCs w:val="24"/>
              </w:rPr>
            </w:pPr>
            <w:r w:rsidRPr="00270FBE">
              <w:rPr>
                <w:rFonts w:eastAsiaTheme="minorHAnsi"/>
                <w:b/>
                <w:szCs w:val="24"/>
              </w:rPr>
              <w:t>Rapporteur</w:t>
            </w:r>
          </w:p>
        </w:tc>
        <w:tc>
          <w:tcPr>
            <w:tcW w:w="3784" w:type="pct"/>
          </w:tcPr>
          <w:p w:rsidRPr="00270FBE" w:rsidR="000120E1" w:rsidP="00270FBE" w:rsidRDefault="000120E1" w14:paraId="79819113" w14:textId="77777777">
            <w:pPr>
              <w:tabs>
                <w:tab w:val="center" w:pos="284"/>
              </w:tabs>
              <w:spacing w:line="259" w:lineRule="auto"/>
              <w:ind w:left="266" w:hanging="266"/>
              <w:jc w:val="left"/>
              <w:rPr>
                <w:rFonts w:eastAsiaTheme="minorHAnsi"/>
                <w:szCs w:val="24"/>
              </w:rPr>
            </w:pPr>
            <w:r w:rsidRPr="00270FBE">
              <w:rPr>
                <w:rFonts w:eastAsiaTheme="minorHAnsi"/>
                <w:szCs w:val="24"/>
                <w:lang w:val="fr-FR"/>
              </w:rPr>
              <w:t>Gonçalo LOBO XAVIER (Employers' Group - PT)</w:t>
            </w:r>
          </w:p>
        </w:tc>
      </w:tr>
      <w:tr w:rsidRPr="000120E1" w:rsidR="000120E1" w:rsidTr="00FE3058" w14:paraId="2A3124EA" w14:textId="77777777">
        <w:tc>
          <w:tcPr>
            <w:tcW w:w="1216" w:type="pct"/>
          </w:tcPr>
          <w:p w:rsidRPr="00270FBE" w:rsidR="000120E1" w:rsidP="00270FBE" w:rsidRDefault="000120E1" w14:paraId="051BCACD" w14:textId="77777777">
            <w:pPr>
              <w:tabs>
                <w:tab w:val="center" w:pos="284"/>
              </w:tabs>
              <w:spacing w:line="259" w:lineRule="auto"/>
              <w:ind w:left="266" w:hanging="266"/>
              <w:jc w:val="left"/>
              <w:rPr>
                <w:rFonts w:eastAsiaTheme="minorHAnsi"/>
                <w:b/>
                <w:szCs w:val="24"/>
              </w:rPr>
            </w:pPr>
            <w:r w:rsidRPr="00270FBE">
              <w:rPr>
                <w:rFonts w:eastAsiaTheme="minorHAnsi"/>
                <w:b/>
                <w:szCs w:val="24"/>
                <w:lang w:val="fr-FR"/>
              </w:rPr>
              <w:t>Co-rapporteur</w:t>
            </w:r>
          </w:p>
        </w:tc>
        <w:tc>
          <w:tcPr>
            <w:tcW w:w="3784" w:type="pct"/>
          </w:tcPr>
          <w:p w:rsidRPr="00270FBE" w:rsidR="000120E1" w:rsidP="00270FBE" w:rsidRDefault="000120E1" w14:paraId="163FD73E" w14:textId="77777777">
            <w:pPr>
              <w:tabs>
                <w:tab w:val="center" w:pos="284"/>
              </w:tabs>
              <w:spacing w:line="259" w:lineRule="auto"/>
              <w:ind w:left="266" w:hanging="266"/>
              <w:jc w:val="left"/>
              <w:rPr>
                <w:rFonts w:eastAsiaTheme="minorHAnsi"/>
                <w:szCs w:val="24"/>
              </w:rPr>
            </w:pPr>
            <w:r w:rsidRPr="00270FBE">
              <w:rPr>
                <w:rFonts w:eastAsiaTheme="minorHAnsi"/>
                <w:szCs w:val="24"/>
                <w:lang w:val="fr-FR"/>
              </w:rPr>
              <w:t>Jean-Michel POURTEAU (Cat. 2 - FR)</w:t>
            </w:r>
          </w:p>
        </w:tc>
      </w:tr>
      <w:tr w:rsidRPr="000120E1" w:rsidR="000120E1" w:rsidTr="00FE3058" w14:paraId="5A91F27D" w14:textId="77777777">
        <w:tc>
          <w:tcPr>
            <w:tcW w:w="5000" w:type="pct"/>
            <w:gridSpan w:val="2"/>
          </w:tcPr>
          <w:p w:rsidRPr="00270FBE" w:rsidR="000120E1" w:rsidP="000120E1" w:rsidRDefault="000120E1" w14:paraId="3A61F21C" w14:textId="77777777">
            <w:pPr>
              <w:tabs>
                <w:tab w:val="center" w:pos="284"/>
              </w:tabs>
              <w:spacing w:after="160" w:line="160" w:lineRule="exact"/>
              <w:ind w:left="266" w:hanging="266"/>
              <w:jc w:val="left"/>
              <w:rPr>
                <w:rFonts w:eastAsiaTheme="minorHAnsi"/>
                <w:szCs w:val="24"/>
              </w:rPr>
            </w:pPr>
          </w:p>
        </w:tc>
      </w:tr>
      <w:tr w:rsidRPr="000120E1" w:rsidR="000120E1" w:rsidTr="00FE3058" w14:paraId="70AFA820" w14:textId="77777777">
        <w:tc>
          <w:tcPr>
            <w:tcW w:w="1216" w:type="pct"/>
            <w:vMerge w:val="restart"/>
          </w:tcPr>
          <w:p w:rsidRPr="00270FBE" w:rsidR="000120E1" w:rsidP="00270FBE" w:rsidRDefault="000120E1" w14:paraId="2C1088D7" w14:textId="77777777">
            <w:pPr>
              <w:tabs>
                <w:tab w:val="center" w:pos="284"/>
              </w:tabs>
              <w:spacing w:line="259" w:lineRule="auto"/>
              <w:ind w:left="266" w:hanging="266"/>
              <w:jc w:val="left"/>
              <w:rPr>
                <w:rFonts w:eastAsiaTheme="minorHAnsi"/>
                <w:b/>
                <w:szCs w:val="24"/>
              </w:rPr>
            </w:pPr>
            <w:r w:rsidRPr="00270FBE">
              <w:rPr>
                <w:rFonts w:eastAsiaTheme="minorHAnsi"/>
                <w:b/>
                <w:szCs w:val="24"/>
              </w:rPr>
              <w:t>References</w:t>
            </w:r>
          </w:p>
        </w:tc>
        <w:tc>
          <w:tcPr>
            <w:tcW w:w="3784" w:type="pct"/>
          </w:tcPr>
          <w:p w:rsidRPr="00270FBE" w:rsidR="000120E1" w:rsidP="00270FBE" w:rsidRDefault="000120E1" w14:paraId="115E7B5F" w14:textId="77777777">
            <w:pPr>
              <w:tabs>
                <w:tab w:val="center" w:pos="284"/>
              </w:tabs>
              <w:spacing w:line="259" w:lineRule="auto"/>
              <w:ind w:left="266" w:hanging="266"/>
              <w:jc w:val="left"/>
              <w:rPr>
                <w:rFonts w:eastAsiaTheme="minorHAnsi"/>
                <w:szCs w:val="24"/>
              </w:rPr>
            </w:pPr>
            <w:r w:rsidRPr="00270FBE">
              <w:rPr>
                <w:rFonts w:eastAsiaTheme="minorHAnsi"/>
                <w:szCs w:val="24"/>
              </w:rPr>
              <w:t>COM(2024) 62 final</w:t>
            </w:r>
          </w:p>
        </w:tc>
      </w:tr>
      <w:tr w:rsidRPr="000120E1" w:rsidR="000120E1" w:rsidTr="00FE3058" w14:paraId="36B63748" w14:textId="77777777">
        <w:tc>
          <w:tcPr>
            <w:tcW w:w="1216" w:type="pct"/>
            <w:vMerge/>
          </w:tcPr>
          <w:p w:rsidRPr="000120E1" w:rsidR="000120E1" w:rsidP="00270FBE" w:rsidRDefault="000120E1" w14:paraId="1DD1D1CF" w14:textId="77777777">
            <w:pPr>
              <w:tabs>
                <w:tab w:val="center" w:pos="284"/>
              </w:tabs>
              <w:spacing w:line="259" w:lineRule="auto"/>
              <w:ind w:left="266" w:hanging="266"/>
              <w:jc w:val="left"/>
              <w:rPr>
                <w:rFonts w:asciiTheme="minorHAnsi" w:hAnsiTheme="minorHAnsi" w:eastAsiaTheme="minorHAnsi" w:cstheme="minorBidi"/>
                <w:b/>
                <w:szCs w:val="24"/>
              </w:rPr>
            </w:pPr>
          </w:p>
        </w:tc>
        <w:tc>
          <w:tcPr>
            <w:tcW w:w="3784" w:type="pct"/>
          </w:tcPr>
          <w:p w:rsidRPr="00270FBE" w:rsidR="000120E1" w:rsidP="00270FBE" w:rsidRDefault="000120E1" w14:paraId="156AA12F" w14:textId="77777777">
            <w:pPr>
              <w:tabs>
                <w:tab w:val="center" w:pos="284"/>
              </w:tabs>
              <w:spacing w:line="259" w:lineRule="auto"/>
              <w:ind w:left="266" w:hanging="266"/>
              <w:jc w:val="left"/>
              <w:rPr>
                <w:rFonts w:eastAsiaTheme="minorHAnsi"/>
                <w:szCs w:val="24"/>
              </w:rPr>
            </w:pPr>
            <w:r w:rsidRPr="00270FBE">
              <w:rPr>
                <w:rFonts w:eastAsiaTheme="minorHAnsi"/>
                <w:szCs w:val="24"/>
              </w:rPr>
              <w:t>EESC-2024-00878-00-00-AC</w:t>
            </w:r>
          </w:p>
        </w:tc>
      </w:tr>
    </w:tbl>
    <w:p w:rsidRPr="000120E1" w:rsidR="000120E1" w:rsidP="000120E1" w:rsidRDefault="000120E1" w14:paraId="07738945" w14:textId="77777777">
      <w:pPr>
        <w:widowControl w:val="0"/>
        <w:tabs>
          <w:tab w:val="left" w:pos="1843"/>
        </w:tabs>
        <w:overflowPunct w:val="0"/>
        <w:autoSpaceDE w:val="0"/>
        <w:autoSpaceDN w:val="0"/>
        <w:adjustRightInd w:val="0"/>
        <w:textAlignment w:val="baseline"/>
        <w:rPr>
          <w:rFonts w:eastAsiaTheme="minorHAnsi"/>
          <w:b/>
          <w:lang w:val="en-US"/>
        </w:rPr>
      </w:pPr>
    </w:p>
    <w:p w:rsidRPr="000120E1" w:rsidR="000120E1" w:rsidP="000120E1" w:rsidRDefault="000120E1" w14:paraId="7665D3CF" w14:textId="77777777">
      <w:pPr>
        <w:keepNext/>
        <w:keepLines/>
        <w:spacing w:after="160" w:line="259" w:lineRule="auto"/>
        <w:ind w:left="142" w:hanging="142"/>
        <w:jc w:val="left"/>
        <w:rPr>
          <w:rFonts w:eastAsiaTheme="minorHAnsi"/>
          <w:b/>
          <w:lang w:val="en-US"/>
        </w:rPr>
      </w:pPr>
      <w:r w:rsidRPr="000120E1">
        <w:rPr>
          <w:rFonts w:eastAsiaTheme="minorHAnsi"/>
          <w:b/>
          <w:lang w:val="en-US"/>
        </w:rPr>
        <w:t>Key points</w:t>
      </w:r>
    </w:p>
    <w:p w:rsidRPr="000120E1" w:rsidR="000120E1" w:rsidP="00270FBE" w:rsidRDefault="000120E1" w14:paraId="3B7BB1CC" w14:textId="77777777">
      <w:pPr>
        <w:spacing w:after="160" w:line="259" w:lineRule="auto"/>
        <w:jc w:val="left"/>
        <w:rPr>
          <w:rFonts w:eastAsiaTheme="minorHAnsi"/>
        </w:rPr>
      </w:pPr>
      <w:r w:rsidRPr="000120E1">
        <w:rPr>
          <w:rFonts w:eastAsiaTheme="minorHAnsi"/>
          <w:lang w:val="fr-FR"/>
        </w:rPr>
        <w:t xml:space="preserve">The </w:t>
      </w:r>
      <w:r w:rsidRPr="000120E1">
        <w:rPr>
          <w:rFonts w:eastAsiaTheme="minorHAnsi"/>
        </w:rPr>
        <w:t>EESC:</w:t>
      </w:r>
    </w:p>
    <w:p w:rsidRPr="000120E1" w:rsidR="000120E1" w:rsidP="00270FBE" w:rsidRDefault="000120E1" w14:paraId="1360B3DB" w14:textId="77777777">
      <w:pPr>
        <w:numPr>
          <w:ilvl w:val="0"/>
          <w:numId w:val="26"/>
        </w:numPr>
        <w:spacing w:after="160" w:line="259" w:lineRule="auto"/>
        <w:ind w:left="284" w:hanging="284"/>
        <w:contextualSpacing/>
        <w:rPr>
          <w:rFonts w:eastAsiaTheme="minorHAnsi"/>
        </w:rPr>
      </w:pPr>
      <w:r w:rsidRPr="000120E1">
        <w:rPr>
          <w:rFonts w:eastAsiaTheme="minorHAnsi"/>
        </w:rPr>
        <w:t xml:space="preserve">believes that </w:t>
      </w:r>
      <w:r w:rsidRPr="000120E1">
        <w:rPr>
          <w:rFonts w:eastAsiaTheme="minorHAnsi"/>
          <w:b/>
          <w:bCs/>
        </w:rPr>
        <w:t>the Industrial Carbon Management Strategy</w:t>
      </w:r>
      <w:r w:rsidRPr="000120E1">
        <w:rPr>
          <w:rFonts w:eastAsiaTheme="minorHAnsi"/>
        </w:rPr>
        <w:t xml:space="preserve"> </w:t>
      </w:r>
      <w:r w:rsidRPr="000120E1">
        <w:rPr>
          <w:rFonts w:eastAsiaTheme="minorHAnsi"/>
          <w:b/>
          <w:bCs/>
        </w:rPr>
        <w:t>is very welcomed and balanced,</w:t>
      </w:r>
      <w:r w:rsidRPr="000120E1">
        <w:rPr>
          <w:rFonts w:eastAsiaTheme="minorHAnsi"/>
        </w:rPr>
        <w:t xml:space="preserve"> covering elements crucial for </w:t>
      </w:r>
      <w:r w:rsidRPr="000120E1">
        <w:rPr>
          <w:rFonts w:eastAsiaTheme="minorHAnsi"/>
          <w:b/>
          <w:bCs/>
        </w:rPr>
        <w:t>deploying Carbon Capture and Storage (CCS) and Carbon Capture and Utilisation (CCU) at industrial scale in the EU</w:t>
      </w:r>
      <w:r w:rsidRPr="000120E1">
        <w:rPr>
          <w:rFonts w:eastAsiaTheme="minorHAnsi"/>
        </w:rPr>
        <w:t>;</w:t>
      </w:r>
    </w:p>
    <w:p w:rsidRPr="000120E1" w:rsidR="000120E1" w:rsidP="00270FBE" w:rsidRDefault="000120E1" w14:paraId="7FE09CBD" w14:textId="77777777">
      <w:pPr>
        <w:numPr>
          <w:ilvl w:val="0"/>
          <w:numId w:val="26"/>
        </w:numPr>
        <w:spacing w:after="160" w:line="259" w:lineRule="auto"/>
        <w:ind w:left="284" w:hanging="284"/>
        <w:contextualSpacing/>
        <w:rPr>
          <w:rFonts w:eastAsiaTheme="minorHAnsi"/>
        </w:rPr>
      </w:pPr>
      <w:r w:rsidRPr="000120E1">
        <w:rPr>
          <w:rFonts w:eastAsiaTheme="minorHAnsi"/>
        </w:rPr>
        <w:t xml:space="preserve">recognises that in order to build </w:t>
      </w:r>
      <w:r w:rsidRPr="000120E1">
        <w:rPr>
          <w:rFonts w:eastAsiaTheme="minorHAnsi"/>
          <w:b/>
          <w:bCs/>
        </w:rPr>
        <w:t>a single market in carbon</w:t>
      </w:r>
      <w:r w:rsidRPr="000120E1">
        <w:rPr>
          <w:rFonts w:eastAsiaTheme="minorHAnsi"/>
        </w:rPr>
        <w:t xml:space="preserve">, </w:t>
      </w:r>
      <w:r w:rsidRPr="000120E1">
        <w:rPr>
          <w:rFonts w:eastAsiaTheme="minorHAnsi"/>
          <w:b/>
          <w:bCs/>
        </w:rPr>
        <w:t xml:space="preserve">establishing storage and transport infrastructure (including cross-border) </w:t>
      </w:r>
      <w:r w:rsidRPr="000120E1">
        <w:rPr>
          <w:rFonts w:eastAsiaTheme="minorHAnsi"/>
        </w:rPr>
        <w:t>together with</w:t>
      </w:r>
      <w:r w:rsidRPr="000120E1">
        <w:rPr>
          <w:rFonts w:eastAsiaTheme="minorHAnsi"/>
          <w:b/>
          <w:bCs/>
        </w:rPr>
        <w:t xml:space="preserve"> market rules </w:t>
      </w:r>
      <w:r w:rsidRPr="000120E1">
        <w:rPr>
          <w:rFonts w:eastAsiaTheme="minorHAnsi"/>
        </w:rPr>
        <w:t xml:space="preserve">is necessary; </w:t>
      </w:r>
    </w:p>
    <w:p w:rsidRPr="000120E1" w:rsidR="000120E1" w:rsidP="00270FBE" w:rsidRDefault="000120E1" w14:paraId="66EA0A1A" w14:textId="77777777">
      <w:pPr>
        <w:numPr>
          <w:ilvl w:val="0"/>
          <w:numId w:val="26"/>
        </w:numPr>
        <w:spacing w:after="160" w:line="259" w:lineRule="auto"/>
        <w:ind w:left="284" w:hanging="284"/>
        <w:contextualSpacing/>
        <w:rPr>
          <w:rFonts w:eastAsiaTheme="minorHAnsi"/>
        </w:rPr>
      </w:pPr>
      <w:r w:rsidRPr="000120E1">
        <w:rPr>
          <w:rFonts w:eastAsiaTheme="minorHAnsi"/>
        </w:rPr>
        <w:t xml:space="preserve">draws attention to the need to </w:t>
      </w:r>
      <w:r w:rsidRPr="000120E1">
        <w:rPr>
          <w:rFonts w:eastAsiaTheme="minorHAnsi"/>
          <w:b/>
          <w:bCs/>
        </w:rPr>
        <w:t>tailor carbon management strategies to specific industrial sectors</w:t>
      </w:r>
      <w:r w:rsidRPr="000120E1">
        <w:rPr>
          <w:rFonts w:eastAsiaTheme="minorHAnsi"/>
        </w:rPr>
        <w:t>;</w:t>
      </w:r>
    </w:p>
    <w:p w:rsidRPr="000120E1" w:rsidR="000120E1" w:rsidP="00270FBE" w:rsidRDefault="000120E1" w14:paraId="3B9262A2" w14:textId="77777777">
      <w:pPr>
        <w:numPr>
          <w:ilvl w:val="0"/>
          <w:numId w:val="26"/>
        </w:numPr>
        <w:spacing w:after="160" w:line="259" w:lineRule="auto"/>
        <w:ind w:left="284" w:hanging="284"/>
        <w:contextualSpacing/>
        <w:rPr>
          <w:rFonts w:eastAsiaTheme="minorHAnsi"/>
        </w:rPr>
      </w:pPr>
      <w:r w:rsidRPr="000120E1">
        <w:rPr>
          <w:rFonts w:eastAsiaTheme="minorHAnsi"/>
        </w:rPr>
        <w:t xml:space="preserve">maintains that it is fundamental </w:t>
      </w:r>
      <w:r w:rsidRPr="000120E1">
        <w:rPr>
          <w:rFonts w:eastAsiaTheme="minorHAnsi"/>
          <w:b/>
          <w:bCs/>
        </w:rPr>
        <w:t>to identify the barriers undermining effective implementation of existing carbon management practices</w:t>
      </w:r>
      <w:r w:rsidRPr="000120E1">
        <w:rPr>
          <w:rFonts w:eastAsiaTheme="minorHAnsi"/>
        </w:rPr>
        <w:t>, in order to implement changes and define strategies;</w:t>
      </w:r>
    </w:p>
    <w:p w:rsidRPr="000120E1" w:rsidR="000120E1" w:rsidP="00270FBE" w:rsidRDefault="000120E1" w14:paraId="79DEBCDC" w14:textId="77777777">
      <w:pPr>
        <w:numPr>
          <w:ilvl w:val="0"/>
          <w:numId w:val="26"/>
        </w:numPr>
        <w:spacing w:after="160" w:line="259" w:lineRule="auto"/>
        <w:ind w:left="284" w:hanging="284"/>
        <w:contextualSpacing/>
        <w:rPr>
          <w:rFonts w:eastAsiaTheme="minorHAnsi"/>
        </w:rPr>
      </w:pPr>
      <w:r w:rsidRPr="000120E1">
        <w:rPr>
          <w:rFonts w:eastAsiaTheme="minorHAnsi"/>
        </w:rPr>
        <w:t xml:space="preserve">believes that the EU needs an </w:t>
      </w:r>
      <w:r w:rsidRPr="000120E1">
        <w:rPr>
          <w:rFonts w:eastAsiaTheme="minorHAnsi"/>
          <w:b/>
          <w:bCs/>
        </w:rPr>
        <w:t>industrial strategy for carbon, boosting growth in a sustainable manner,</w:t>
      </w:r>
      <w:r w:rsidRPr="000120E1">
        <w:rPr>
          <w:rFonts w:eastAsiaTheme="minorHAnsi"/>
        </w:rPr>
        <w:t xml:space="preserve"> that not only </w:t>
      </w:r>
      <w:r w:rsidRPr="000120E1">
        <w:rPr>
          <w:rFonts w:eastAsiaTheme="minorHAnsi"/>
          <w:b/>
          <w:bCs/>
        </w:rPr>
        <w:t>delivers the Green Deal</w:t>
      </w:r>
      <w:r w:rsidRPr="000120E1">
        <w:rPr>
          <w:rFonts w:eastAsiaTheme="minorHAnsi"/>
        </w:rPr>
        <w:t xml:space="preserve"> but also </w:t>
      </w:r>
      <w:r w:rsidRPr="000120E1">
        <w:rPr>
          <w:rFonts w:eastAsiaTheme="minorHAnsi"/>
          <w:b/>
          <w:bCs/>
        </w:rPr>
        <w:t>ensures quality jobs and a just transition for workers,</w:t>
      </w:r>
      <w:r w:rsidRPr="000120E1">
        <w:rPr>
          <w:rFonts w:eastAsiaTheme="minorHAnsi"/>
        </w:rPr>
        <w:t xml:space="preserve"> while identifying </w:t>
      </w:r>
      <w:r w:rsidRPr="000120E1">
        <w:rPr>
          <w:rFonts w:eastAsiaTheme="minorHAnsi"/>
          <w:b/>
          <w:bCs/>
        </w:rPr>
        <w:t>labour and skills shortages mitigated by reskilling and upskilling</w:t>
      </w:r>
      <w:r w:rsidRPr="000120E1">
        <w:rPr>
          <w:rFonts w:eastAsiaTheme="minorHAnsi"/>
        </w:rPr>
        <w:t>;</w:t>
      </w:r>
    </w:p>
    <w:p w:rsidRPr="000120E1" w:rsidR="000120E1" w:rsidP="00270FBE" w:rsidRDefault="000120E1" w14:paraId="71004638" w14:textId="77777777">
      <w:pPr>
        <w:numPr>
          <w:ilvl w:val="0"/>
          <w:numId w:val="26"/>
        </w:numPr>
        <w:spacing w:after="160" w:line="259" w:lineRule="auto"/>
        <w:ind w:left="284" w:hanging="284"/>
        <w:contextualSpacing/>
        <w:rPr>
          <w:rFonts w:eastAsiaTheme="minorHAnsi"/>
        </w:rPr>
      </w:pPr>
      <w:r w:rsidRPr="000120E1">
        <w:rPr>
          <w:rFonts w:eastAsiaTheme="minorHAnsi"/>
        </w:rPr>
        <w:t xml:space="preserve">recommends </w:t>
      </w:r>
      <w:r w:rsidRPr="000120E1">
        <w:rPr>
          <w:rFonts w:eastAsiaTheme="minorHAnsi"/>
          <w:b/>
          <w:bCs/>
        </w:rPr>
        <w:t>a clear investment plan</w:t>
      </w:r>
      <w:r w:rsidRPr="000120E1">
        <w:rPr>
          <w:rFonts w:eastAsiaTheme="minorHAnsi"/>
        </w:rPr>
        <w:t xml:space="preserve"> </w:t>
      </w:r>
      <w:r w:rsidRPr="000120E1">
        <w:rPr>
          <w:rFonts w:eastAsiaTheme="minorHAnsi"/>
          <w:b/>
          <w:bCs/>
        </w:rPr>
        <w:t>for developing CCS/CCU technologies</w:t>
      </w:r>
      <w:r w:rsidRPr="000120E1">
        <w:rPr>
          <w:rFonts w:eastAsiaTheme="minorHAnsi"/>
        </w:rPr>
        <w:t xml:space="preserve">, while </w:t>
      </w:r>
      <w:r w:rsidRPr="000120E1">
        <w:rPr>
          <w:rFonts w:eastAsiaTheme="minorHAnsi"/>
          <w:b/>
          <w:bCs/>
        </w:rPr>
        <w:t>public funding should have a social conditionality mechanism geared to creating and maintaining quality jobs</w:t>
      </w:r>
      <w:r w:rsidRPr="000120E1">
        <w:rPr>
          <w:rFonts w:eastAsiaTheme="minorHAnsi"/>
        </w:rPr>
        <w:t>;</w:t>
      </w:r>
    </w:p>
    <w:p w:rsidRPr="000120E1" w:rsidR="000120E1" w:rsidP="00270FBE" w:rsidRDefault="000120E1" w14:paraId="3292CDC0" w14:textId="77777777">
      <w:pPr>
        <w:numPr>
          <w:ilvl w:val="0"/>
          <w:numId w:val="26"/>
        </w:numPr>
        <w:spacing w:after="160" w:line="259" w:lineRule="auto"/>
        <w:ind w:left="284" w:hanging="284"/>
        <w:contextualSpacing/>
        <w:rPr>
          <w:rFonts w:eastAsiaTheme="minorHAnsi"/>
        </w:rPr>
      </w:pPr>
      <w:r w:rsidRPr="000120E1">
        <w:rPr>
          <w:rFonts w:eastAsiaTheme="minorHAnsi"/>
        </w:rPr>
        <w:t xml:space="preserve">believes that carbon reduction projects should involve in a balanced way both, </w:t>
      </w:r>
      <w:r w:rsidRPr="000120E1">
        <w:rPr>
          <w:rFonts w:eastAsiaTheme="minorHAnsi"/>
          <w:b/>
          <w:bCs/>
        </w:rPr>
        <w:t>carbon removal and carbon avoidance</w:t>
      </w:r>
      <w:r w:rsidRPr="000120E1">
        <w:rPr>
          <w:rFonts w:eastAsiaTheme="minorHAnsi"/>
        </w:rPr>
        <w:t xml:space="preserve"> however, </w:t>
      </w:r>
      <w:r w:rsidRPr="000120E1">
        <w:rPr>
          <w:rFonts w:eastAsiaTheme="minorHAnsi"/>
          <w:b/>
          <w:bCs/>
        </w:rPr>
        <w:t>carbon avoidance is currently insufficiently supported</w:t>
      </w:r>
      <w:r w:rsidRPr="000120E1">
        <w:rPr>
          <w:rFonts w:eastAsiaTheme="minorHAnsi"/>
        </w:rPr>
        <w:t>;</w:t>
      </w:r>
    </w:p>
    <w:p w:rsidRPr="000120E1" w:rsidR="000120E1" w:rsidP="00270FBE" w:rsidRDefault="000120E1" w14:paraId="44EC1EE2" w14:textId="77777777">
      <w:pPr>
        <w:numPr>
          <w:ilvl w:val="0"/>
          <w:numId w:val="26"/>
        </w:numPr>
        <w:spacing w:after="160" w:line="259" w:lineRule="auto"/>
        <w:ind w:left="284" w:hanging="284"/>
        <w:contextualSpacing/>
        <w:rPr>
          <w:rFonts w:eastAsiaTheme="minorHAnsi"/>
        </w:rPr>
      </w:pPr>
      <w:r w:rsidRPr="000120E1">
        <w:rPr>
          <w:rFonts w:eastAsiaTheme="minorHAnsi"/>
        </w:rPr>
        <w:t xml:space="preserve">recommends </w:t>
      </w:r>
      <w:r w:rsidRPr="000120E1">
        <w:rPr>
          <w:rFonts w:eastAsiaTheme="minorHAnsi"/>
          <w:b/>
          <w:bCs/>
        </w:rPr>
        <w:t>establishing a new, separate, well-designed, high-integrity and robust credit scheme for carbon avoidance</w:t>
      </w:r>
      <w:r w:rsidRPr="000120E1">
        <w:rPr>
          <w:rFonts w:eastAsiaTheme="minorHAnsi"/>
        </w:rPr>
        <w:t>, offering incentives to decarbonise;</w:t>
      </w:r>
    </w:p>
    <w:p w:rsidRPr="000120E1" w:rsidR="000120E1" w:rsidP="00270FBE" w:rsidRDefault="000120E1" w14:paraId="31699FAA" w14:textId="77777777">
      <w:pPr>
        <w:numPr>
          <w:ilvl w:val="0"/>
          <w:numId w:val="26"/>
        </w:numPr>
        <w:spacing w:after="160" w:line="259" w:lineRule="auto"/>
        <w:ind w:left="284" w:hanging="284"/>
        <w:contextualSpacing/>
        <w:rPr>
          <w:rFonts w:eastAsiaTheme="minorHAnsi"/>
        </w:rPr>
      </w:pPr>
      <w:r w:rsidRPr="000120E1">
        <w:rPr>
          <w:rFonts w:eastAsiaTheme="minorHAnsi"/>
        </w:rPr>
        <w:t xml:space="preserve">claims that </w:t>
      </w:r>
      <w:r w:rsidRPr="000120E1">
        <w:rPr>
          <w:rFonts w:eastAsiaTheme="minorHAnsi"/>
          <w:b/>
          <w:bCs/>
        </w:rPr>
        <w:t>EU Emissions Trading System (ETS) allowances should not be used as ‘credits’</w:t>
      </w:r>
      <w:r w:rsidRPr="000120E1">
        <w:rPr>
          <w:rFonts w:eastAsiaTheme="minorHAnsi"/>
        </w:rPr>
        <w:t>, as this could undermine the current market-based nature of the EU’s carbon trading system.</w:t>
      </w:r>
    </w:p>
    <w:p w:rsidR="000120E1" w:rsidP="000120E1" w:rsidRDefault="000120E1" w14:paraId="3C1F1540" w14:textId="33153725">
      <w:pPr>
        <w:spacing w:after="160" w:line="259" w:lineRule="auto"/>
        <w:ind w:left="720"/>
        <w:contextualSpacing/>
        <w:jc w:val="left"/>
        <w:rPr>
          <w:rFonts w:eastAsiaTheme="minorHAnsi"/>
        </w:rPr>
      </w:pPr>
    </w:p>
    <w:p w:rsidRPr="000120E1" w:rsidR="00DD6D07" w:rsidP="000120E1" w:rsidRDefault="00DD6D07" w14:paraId="4FF166B9" w14:textId="77777777">
      <w:pPr>
        <w:spacing w:after="160" w:line="259" w:lineRule="auto"/>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2"/>
        <w:gridCol w:w="3039"/>
      </w:tblGrid>
      <w:tr w:rsidRPr="000120E1" w:rsidR="000120E1" w:rsidTr="00FE3058" w14:paraId="5D2D90F0" w14:textId="77777777">
        <w:tc>
          <w:tcPr>
            <w:tcW w:w="3998" w:type="pct"/>
          </w:tcPr>
          <w:p w:rsidRPr="00270FBE" w:rsidR="000120E1" w:rsidP="00270FBE" w:rsidRDefault="000120E1" w14:paraId="0F7EFF96" w14:textId="77777777">
            <w:pPr>
              <w:spacing w:line="259" w:lineRule="auto"/>
              <w:jc w:val="left"/>
              <w:rPr>
                <w:rFonts w:eastAsiaTheme="minorHAnsi"/>
                <w:i/>
              </w:rPr>
            </w:pPr>
            <w:r w:rsidRPr="00270FBE">
              <w:rPr>
                <w:rFonts w:eastAsiaTheme="minorHAnsi"/>
                <w:b/>
                <w:i/>
              </w:rPr>
              <w:t>Contact</w:t>
            </w:r>
          </w:p>
        </w:tc>
        <w:tc>
          <w:tcPr>
            <w:tcW w:w="1002" w:type="pct"/>
            <w:tcBorders>
              <w:left w:val="nil"/>
            </w:tcBorders>
          </w:tcPr>
          <w:p w:rsidRPr="00270FBE" w:rsidR="000120E1" w:rsidP="00270FBE" w:rsidRDefault="000120E1" w14:paraId="161FCDF9" w14:textId="041A1233">
            <w:pPr>
              <w:spacing w:line="259" w:lineRule="auto"/>
              <w:jc w:val="left"/>
              <w:rPr>
                <w:rFonts w:eastAsiaTheme="minorHAnsi"/>
                <w:i/>
              </w:rPr>
            </w:pPr>
            <w:r w:rsidRPr="00270FBE">
              <w:rPr>
                <w:rFonts w:eastAsiaTheme="minorHAnsi"/>
                <w:bCs/>
                <w:i/>
              </w:rPr>
              <w:t>Adam D</w:t>
            </w:r>
            <w:r w:rsidRPr="00DD6D07" w:rsidR="00DD6D07">
              <w:rPr>
                <w:rFonts w:eastAsiaTheme="minorHAnsi"/>
                <w:bCs/>
                <w:i/>
              </w:rPr>
              <w:t>orywalski</w:t>
            </w:r>
          </w:p>
        </w:tc>
      </w:tr>
      <w:tr w:rsidRPr="000120E1" w:rsidR="000120E1" w:rsidTr="00FE3058" w14:paraId="4F400A68" w14:textId="77777777">
        <w:tc>
          <w:tcPr>
            <w:tcW w:w="3998" w:type="pct"/>
          </w:tcPr>
          <w:p w:rsidRPr="00270FBE" w:rsidR="000120E1" w:rsidP="00270FBE" w:rsidRDefault="000120E1" w14:paraId="381E2BF8" w14:textId="77777777">
            <w:pPr>
              <w:spacing w:line="259" w:lineRule="auto"/>
              <w:jc w:val="left"/>
              <w:rPr>
                <w:rFonts w:eastAsiaTheme="minorHAnsi"/>
                <w:i/>
              </w:rPr>
            </w:pPr>
            <w:r w:rsidRPr="00270FBE">
              <w:rPr>
                <w:rFonts w:eastAsiaTheme="minorHAnsi"/>
                <w:i/>
              </w:rPr>
              <w:t xml:space="preserve">Tel. </w:t>
            </w:r>
          </w:p>
        </w:tc>
        <w:tc>
          <w:tcPr>
            <w:tcW w:w="1002" w:type="pct"/>
            <w:tcBorders>
              <w:left w:val="nil"/>
            </w:tcBorders>
          </w:tcPr>
          <w:p w:rsidRPr="00270FBE" w:rsidR="000120E1" w:rsidP="00270FBE" w:rsidRDefault="000120E1" w14:paraId="78898855" w14:textId="77777777">
            <w:pPr>
              <w:spacing w:line="259" w:lineRule="auto"/>
              <w:jc w:val="left"/>
              <w:rPr>
                <w:rFonts w:eastAsiaTheme="minorHAnsi"/>
                <w:i/>
              </w:rPr>
            </w:pPr>
            <w:r w:rsidRPr="00270FBE">
              <w:rPr>
                <w:rFonts w:eastAsiaTheme="minorHAnsi"/>
                <w:i/>
              </w:rPr>
              <w:t>+32 25469397</w:t>
            </w:r>
          </w:p>
        </w:tc>
      </w:tr>
      <w:tr w:rsidRPr="000120E1" w:rsidR="000120E1" w:rsidTr="00FE3058" w14:paraId="63DC3EB7" w14:textId="77777777">
        <w:tc>
          <w:tcPr>
            <w:tcW w:w="3998" w:type="pct"/>
          </w:tcPr>
          <w:p w:rsidRPr="00270FBE" w:rsidR="000120E1" w:rsidP="00270FBE" w:rsidRDefault="00DD6D07" w14:paraId="66DC166A" w14:textId="20D5DC8F">
            <w:pPr>
              <w:spacing w:line="259" w:lineRule="auto"/>
              <w:jc w:val="left"/>
              <w:rPr>
                <w:rFonts w:eastAsiaTheme="minorHAnsi"/>
                <w:i/>
                <w:iCs/>
                <w:lang w:val="fr-FR"/>
              </w:rPr>
            </w:pPr>
            <w:r>
              <w:rPr>
                <w:rFonts w:eastAsiaTheme="minorHAnsi"/>
                <w:i/>
                <w:lang w:val="fr-FR"/>
              </w:rPr>
              <w:t>E</w:t>
            </w:r>
            <w:r w:rsidRPr="00270FBE" w:rsidR="000120E1">
              <w:rPr>
                <w:rFonts w:eastAsiaTheme="minorHAnsi"/>
                <w:i/>
                <w:lang w:val="fr-FR"/>
              </w:rPr>
              <w:t>mail</w:t>
            </w:r>
          </w:p>
        </w:tc>
        <w:tc>
          <w:tcPr>
            <w:tcW w:w="1002" w:type="pct"/>
            <w:tcBorders>
              <w:left w:val="nil"/>
            </w:tcBorders>
          </w:tcPr>
          <w:p w:rsidRPr="00270FBE" w:rsidR="000120E1" w:rsidP="00270FBE" w:rsidRDefault="00D63208" w14:paraId="2454CA29" w14:textId="77777777">
            <w:pPr>
              <w:spacing w:line="259" w:lineRule="auto"/>
              <w:jc w:val="left"/>
              <w:rPr>
                <w:rFonts w:eastAsiaTheme="minorHAnsi"/>
                <w:i/>
                <w:iCs/>
                <w:lang w:val="fr-FR"/>
              </w:rPr>
            </w:pPr>
            <w:hyperlink w:history="1" r:id="rId41">
              <w:r w:rsidRPr="00270FBE" w:rsidR="000120E1">
                <w:rPr>
                  <w:rFonts w:eastAsiaTheme="minorHAnsi"/>
                  <w:i/>
                  <w:iCs/>
                  <w:color w:val="0000FF"/>
                  <w:u w:val="single"/>
                  <w:lang w:val="fr-FR"/>
                </w:rPr>
                <w:t>Adam.Dorywalski@eesc.europa.eu</w:t>
              </w:r>
            </w:hyperlink>
          </w:p>
        </w:tc>
      </w:tr>
    </w:tbl>
    <w:p w:rsidR="00B612CA" w:rsidP="00895853" w:rsidRDefault="00B612CA" w14:paraId="761EE0FB" w14:textId="19A9F226">
      <w:pPr>
        <w:overflowPunct w:val="0"/>
        <w:autoSpaceDE w:val="0"/>
        <w:autoSpaceDN w:val="0"/>
        <w:adjustRightInd w:val="0"/>
        <w:jc w:val="left"/>
        <w:textAlignment w:val="baseline"/>
        <w:rPr>
          <w:lang w:val="nl-BE"/>
        </w:rPr>
      </w:pPr>
    </w:p>
    <w:p w:rsidR="003C2FB3" w:rsidRDefault="003C2FB3" w14:paraId="27BB641D" w14:textId="1147CAD7">
      <w:pPr>
        <w:spacing w:after="160" w:line="259" w:lineRule="auto"/>
        <w:jc w:val="left"/>
        <w:rPr>
          <w:lang w:val="nl-BE"/>
        </w:rPr>
      </w:pPr>
      <w:r>
        <w:rPr>
          <w:lang w:val="nl-BE"/>
        </w:rPr>
        <w:br w:type="page"/>
      </w:r>
    </w:p>
    <w:p w:rsidRPr="003C2FB3" w:rsidR="003C2FB3" w:rsidP="00C26C81" w:rsidRDefault="0015356A" w14:paraId="2D57F018" w14:textId="567FA31D">
      <w:pPr>
        <w:widowControl w:val="0"/>
        <w:numPr>
          <w:ilvl w:val="0"/>
          <w:numId w:val="7"/>
        </w:numPr>
        <w:overflowPunct w:val="0"/>
        <w:autoSpaceDE w:val="0"/>
        <w:autoSpaceDN w:val="0"/>
        <w:adjustRightInd w:val="0"/>
        <w:ind w:hanging="567"/>
        <w:textAlignment w:val="baseline"/>
        <w:rPr>
          <w:sz w:val="20"/>
          <w:szCs w:val="20"/>
        </w:rPr>
      </w:pPr>
      <w:hyperlink w:history="1" r:id="rId42">
        <w:r w:rsidRPr="003C2FB3" w:rsidR="003C2FB3">
          <w:rPr>
            <w:b/>
            <w:bCs/>
            <w:i/>
            <w:iCs/>
            <w:color w:val="0000FF"/>
            <w:sz w:val="28"/>
            <w:szCs w:val="28"/>
            <w:u w:val="single"/>
          </w:rPr>
          <w:t>European defence industrial strategy</w:t>
        </w:r>
      </w:hyperlink>
    </w:p>
    <w:p w:rsidR="003C2FB3" w:rsidP="003C2FB3" w:rsidRDefault="003C2FB3" w14:paraId="21A2A52F" w14:textId="2BFA8D76">
      <w:pPr>
        <w:tabs>
          <w:tab w:val="center" w:pos="284"/>
        </w:tabs>
        <w:overflowPunct w:val="0"/>
        <w:autoSpaceDE w:val="0"/>
        <w:autoSpaceDN w:val="0"/>
        <w:adjustRightInd w:val="0"/>
        <w:ind w:left="266" w:hanging="266"/>
        <w:textAlignment w:val="baseline"/>
        <w:rPr>
          <w:b/>
        </w:rPr>
      </w:pPr>
    </w:p>
    <w:p w:rsidRPr="003C2FB3" w:rsidR="003C2FB3" w:rsidP="003C2FB3" w:rsidRDefault="003C2FB3" w14:paraId="4611B857" w14:textId="0220734C">
      <w:pPr>
        <w:tabs>
          <w:tab w:val="center" w:pos="284"/>
        </w:tabs>
        <w:overflowPunct w:val="0"/>
        <w:autoSpaceDE w:val="0"/>
        <w:autoSpaceDN w:val="0"/>
        <w:adjustRightInd w:val="0"/>
        <w:ind w:left="266" w:hanging="266"/>
        <w:textAlignment w:val="baseline"/>
        <w:rPr>
          <w:b/>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3C2FB3" w:rsidR="003C2FB3" w:rsidTr="00FE3058" w14:paraId="30A6177E" w14:textId="77777777">
        <w:tc>
          <w:tcPr>
            <w:tcW w:w="1148" w:type="pct"/>
          </w:tcPr>
          <w:p w:rsidRPr="003C2FB3" w:rsidR="003C2FB3" w:rsidP="003C2FB3" w:rsidRDefault="003C2FB3" w14:paraId="77A7B517" w14:textId="77777777">
            <w:pPr>
              <w:tabs>
                <w:tab w:val="center" w:pos="284"/>
              </w:tabs>
              <w:overflowPunct w:val="0"/>
              <w:autoSpaceDE w:val="0"/>
              <w:autoSpaceDN w:val="0"/>
              <w:adjustRightInd w:val="0"/>
              <w:ind w:left="266" w:hanging="266"/>
              <w:textAlignment w:val="baseline"/>
              <w:rPr>
                <w:b/>
              </w:rPr>
            </w:pPr>
            <w:r w:rsidRPr="003C2FB3">
              <w:rPr>
                <w:b/>
              </w:rPr>
              <w:t>Rapporteur</w:t>
            </w:r>
          </w:p>
        </w:tc>
        <w:tc>
          <w:tcPr>
            <w:tcW w:w="3852" w:type="pct"/>
          </w:tcPr>
          <w:p w:rsidRPr="00270FBE" w:rsidR="003C2FB3" w:rsidP="003C2FB3" w:rsidRDefault="003C2FB3" w14:paraId="77DB3C52" w14:textId="79A176DC">
            <w:pPr>
              <w:tabs>
                <w:tab w:val="center" w:pos="284"/>
              </w:tabs>
              <w:overflowPunct w:val="0"/>
              <w:autoSpaceDE w:val="0"/>
              <w:autoSpaceDN w:val="0"/>
              <w:adjustRightInd w:val="0"/>
              <w:ind w:left="266" w:hanging="266"/>
              <w:textAlignment w:val="baseline"/>
            </w:pPr>
            <w:r w:rsidRPr="00270FBE">
              <w:t xml:space="preserve">Maurizio MENSI (Civil Society Organisations' Group </w:t>
            </w:r>
            <w:r w:rsidRPr="00270FBE" w:rsidR="005706B8">
              <w:t>-</w:t>
            </w:r>
            <w:r w:rsidRPr="00270FBE">
              <w:t xml:space="preserve"> IT)</w:t>
            </w:r>
          </w:p>
        </w:tc>
      </w:tr>
      <w:tr w:rsidRPr="003C2FB3" w:rsidR="003C2FB3" w:rsidTr="00FE3058" w14:paraId="4330C7A8" w14:textId="77777777">
        <w:tc>
          <w:tcPr>
            <w:tcW w:w="1148" w:type="pct"/>
          </w:tcPr>
          <w:p w:rsidRPr="003C2FB3" w:rsidR="003C2FB3" w:rsidP="003C2FB3" w:rsidRDefault="003C2FB3" w14:paraId="6EE0006E" w14:textId="77777777">
            <w:pPr>
              <w:tabs>
                <w:tab w:val="center" w:pos="284"/>
              </w:tabs>
              <w:overflowPunct w:val="0"/>
              <w:autoSpaceDE w:val="0"/>
              <w:autoSpaceDN w:val="0"/>
              <w:adjustRightInd w:val="0"/>
              <w:ind w:left="266" w:hanging="266"/>
              <w:textAlignment w:val="baseline"/>
              <w:rPr>
                <w:b/>
              </w:rPr>
            </w:pPr>
            <w:r w:rsidRPr="003C2FB3">
              <w:rPr>
                <w:b/>
                <w:lang w:val="fr-FR"/>
              </w:rPr>
              <w:t>Co-rapporteur</w:t>
            </w:r>
          </w:p>
        </w:tc>
        <w:tc>
          <w:tcPr>
            <w:tcW w:w="3852" w:type="pct"/>
          </w:tcPr>
          <w:p w:rsidRPr="00270FBE" w:rsidR="003C2FB3" w:rsidP="003C2FB3" w:rsidRDefault="003C2FB3" w14:paraId="227D7CFD" w14:textId="4259C245">
            <w:pPr>
              <w:tabs>
                <w:tab w:val="center" w:pos="284"/>
              </w:tabs>
              <w:overflowPunct w:val="0"/>
              <w:autoSpaceDE w:val="0"/>
              <w:autoSpaceDN w:val="0"/>
              <w:adjustRightInd w:val="0"/>
              <w:ind w:left="266" w:hanging="266"/>
              <w:textAlignment w:val="baseline"/>
            </w:pPr>
            <w:r w:rsidRPr="00270FBE">
              <w:t xml:space="preserve">Jan PIE (Cat. 1 </w:t>
            </w:r>
            <w:r w:rsidRPr="00270FBE" w:rsidR="005706B8">
              <w:t>-</w:t>
            </w:r>
            <w:r w:rsidRPr="00270FBE">
              <w:t xml:space="preserve"> SE)</w:t>
            </w:r>
          </w:p>
        </w:tc>
      </w:tr>
      <w:tr w:rsidRPr="003C2FB3" w:rsidR="003C2FB3" w:rsidTr="00FE3058" w14:paraId="5B13BE6E" w14:textId="77777777">
        <w:tc>
          <w:tcPr>
            <w:tcW w:w="5000" w:type="pct"/>
            <w:gridSpan w:val="2"/>
          </w:tcPr>
          <w:p w:rsidRPr="003C2FB3" w:rsidR="003C2FB3" w:rsidP="003C2FB3" w:rsidRDefault="003C2FB3" w14:paraId="41685864" w14:textId="77777777">
            <w:pPr>
              <w:tabs>
                <w:tab w:val="center" w:pos="284"/>
              </w:tabs>
              <w:overflowPunct w:val="0"/>
              <w:autoSpaceDE w:val="0"/>
              <w:autoSpaceDN w:val="0"/>
              <w:adjustRightInd w:val="0"/>
              <w:spacing w:line="160" w:lineRule="exact"/>
              <w:ind w:left="266" w:hanging="266"/>
              <w:textAlignment w:val="baseline"/>
            </w:pPr>
          </w:p>
        </w:tc>
      </w:tr>
      <w:tr w:rsidRPr="003C2FB3" w:rsidR="003C2FB3" w:rsidTr="00FE3058" w14:paraId="53790FDC" w14:textId="77777777">
        <w:tc>
          <w:tcPr>
            <w:tcW w:w="1148" w:type="pct"/>
          </w:tcPr>
          <w:p w:rsidRPr="003C2FB3" w:rsidR="003C2FB3" w:rsidP="003C2FB3" w:rsidRDefault="003C2FB3" w14:paraId="1F7D7474" w14:textId="77777777">
            <w:pPr>
              <w:tabs>
                <w:tab w:val="center" w:pos="284"/>
              </w:tabs>
              <w:overflowPunct w:val="0"/>
              <w:autoSpaceDE w:val="0"/>
              <w:autoSpaceDN w:val="0"/>
              <w:adjustRightInd w:val="0"/>
              <w:ind w:left="266" w:hanging="266"/>
              <w:textAlignment w:val="baseline"/>
              <w:rPr>
                <w:b/>
              </w:rPr>
            </w:pPr>
            <w:r w:rsidRPr="003C2FB3">
              <w:rPr>
                <w:b/>
              </w:rPr>
              <w:t>References</w:t>
            </w:r>
          </w:p>
        </w:tc>
        <w:tc>
          <w:tcPr>
            <w:tcW w:w="3852" w:type="pct"/>
          </w:tcPr>
          <w:p w:rsidR="00DD6911" w:rsidP="003C2FB3" w:rsidRDefault="00DD6911" w14:paraId="716A7B7A" w14:textId="397FFFB3">
            <w:pPr>
              <w:tabs>
                <w:tab w:val="center" w:pos="284"/>
              </w:tabs>
              <w:overflowPunct w:val="0"/>
              <w:autoSpaceDE w:val="0"/>
              <w:autoSpaceDN w:val="0"/>
              <w:adjustRightInd w:val="0"/>
              <w:ind w:left="266" w:hanging="266"/>
              <w:textAlignment w:val="baseline"/>
            </w:pPr>
            <w:r w:rsidRPr="00DD6911">
              <w:t>JOIN(2024) 10 final</w:t>
            </w:r>
          </w:p>
          <w:p w:rsidRPr="003C2FB3" w:rsidR="003C2FB3" w:rsidP="003C2FB3" w:rsidRDefault="003C2FB3" w14:paraId="2AE94E99" w14:textId="087E9DB9">
            <w:pPr>
              <w:tabs>
                <w:tab w:val="center" w:pos="284"/>
              </w:tabs>
              <w:overflowPunct w:val="0"/>
              <w:autoSpaceDE w:val="0"/>
              <w:autoSpaceDN w:val="0"/>
              <w:adjustRightInd w:val="0"/>
              <w:ind w:left="266" w:hanging="266"/>
              <w:textAlignment w:val="baseline"/>
            </w:pPr>
            <w:r w:rsidRPr="003C2FB3">
              <w:t>EESC-2024-00782-00-00-A</w:t>
            </w:r>
            <w:r w:rsidR="005706B8">
              <w:t>C</w:t>
            </w:r>
          </w:p>
        </w:tc>
      </w:tr>
    </w:tbl>
    <w:p w:rsidRPr="003C2FB3" w:rsidR="003C2FB3" w:rsidP="003C2FB3" w:rsidRDefault="003C2FB3" w14:paraId="66624150" w14:textId="77777777">
      <w:pPr>
        <w:tabs>
          <w:tab w:val="center" w:pos="284"/>
        </w:tabs>
        <w:overflowPunct w:val="0"/>
        <w:autoSpaceDE w:val="0"/>
        <w:autoSpaceDN w:val="0"/>
        <w:adjustRightInd w:val="0"/>
        <w:ind w:left="266" w:hanging="266"/>
        <w:textAlignment w:val="baseline"/>
      </w:pPr>
    </w:p>
    <w:p w:rsidRPr="003C2FB3" w:rsidR="003C2FB3" w:rsidP="003C2FB3" w:rsidRDefault="003C2FB3" w14:paraId="62708475" w14:textId="77777777">
      <w:pPr>
        <w:keepNext/>
        <w:keepLines/>
        <w:tabs>
          <w:tab w:val="center" w:pos="284"/>
        </w:tabs>
        <w:overflowPunct w:val="0"/>
        <w:autoSpaceDE w:val="0"/>
        <w:autoSpaceDN w:val="0"/>
        <w:adjustRightInd w:val="0"/>
        <w:ind w:left="266" w:hanging="266"/>
        <w:textAlignment w:val="baseline"/>
        <w:rPr>
          <w:b/>
        </w:rPr>
      </w:pPr>
      <w:r w:rsidRPr="003C2FB3">
        <w:rPr>
          <w:b/>
        </w:rPr>
        <w:t>Key points</w:t>
      </w:r>
    </w:p>
    <w:p w:rsidRPr="003C2FB3" w:rsidR="003C2FB3" w:rsidP="003C2FB3" w:rsidRDefault="003C2FB3" w14:paraId="11967A03" w14:textId="77777777">
      <w:pPr>
        <w:keepNext/>
        <w:keepLines/>
        <w:tabs>
          <w:tab w:val="center" w:pos="284"/>
        </w:tabs>
        <w:overflowPunct w:val="0"/>
        <w:autoSpaceDE w:val="0"/>
        <w:autoSpaceDN w:val="0"/>
        <w:adjustRightInd w:val="0"/>
        <w:ind w:left="266" w:hanging="266"/>
        <w:textAlignment w:val="baseline"/>
        <w:rPr>
          <w:b/>
        </w:rPr>
      </w:pPr>
    </w:p>
    <w:p w:rsidRPr="003C2FB3" w:rsidR="003C2FB3" w:rsidP="003C2FB3" w:rsidRDefault="003C2FB3" w14:paraId="54D38215" w14:textId="77777777">
      <w:pPr>
        <w:overflowPunct w:val="0"/>
        <w:autoSpaceDE w:val="0"/>
        <w:autoSpaceDN w:val="0"/>
        <w:adjustRightInd w:val="0"/>
        <w:textAlignment w:val="baseline"/>
        <w:rPr>
          <w:bCs/>
          <w:iCs/>
        </w:rPr>
      </w:pPr>
      <w:r w:rsidRPr="003C2FB3">
        <w:rPr>
          <w:bCs/>
          <w:iCs/>
        </w:rPr>
        <w:t>The EESC:</w:t>
      </w:r>
    </w:p>
    <w:p w:rsidRPr="003C2FB3" w:rsidR="003C2FB3" w:rsidP="003C2FB3" w:rsidRDefault="003C2FB3" w14:paraId="513233EC" w14:textId="77777777">
      <w:pPr>
        <w:overflowPunct w:val="0"/>
        <w:autoSpaceDE w:val="0"/>
        <w:autoSpaceDN w:val="0"/>
        <w:adjustRightInd w:val="0"/>
        <w:ind w:left="567" w:hanging="567"/>
        <w:textAlignment w:val="baseline"/>
        <w:rPr>
          <w:szCs w:val="20"/>
        </w:rPr>
      </w:pPr>
    </w:p>
    <w:p w:rsidRPr="003C2FB3" w:rsidR="003C2FB3" w:rsidP="00270FBE"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rsidRPr="003C2FB3">
        <w:rPr>
          <w:bCs/>
          <w:iCs/>
        </w:rPr>
        <w:t>welcomes the European Defence Industrial Strategy as an important step towards strengthening Europe’s defence readiness and thus its capacity to protect its citizens, its territory, and its core values and way of life;</w:t>
      </w:r>
    </w:p>
    <w:p w:rsidRPr="003C2FB3" w:rsidR="003C2FB3" w:rsidP="00270FBE"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rsidRPr="003C2FB3">
        <w:rPr>
          <w:bCs/>
          <w:iCs/>
        </w:rPr>
        <w:t>welcomes the shift in approach from emergency measures to a longer-term, structural response. In particular, it welcomes the focus on the need to increase European sourcing for European needs;</w:t>
      </w:r>
    </w:p>
    <w:p w:rsidRPr="003C2FB3" w:rsidR="003C2FB3" w:rsidP="00270FBE"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rsidRPr="003C2FB3">
        <w:rPr>
          <w:bCs/>
          <w:iCs/>
        </w:rPr>
        <w:t>highlights the importance of leveraging partnerships with friendly countries with common values to meet the strategy’s objectives;</w:t>
      </w:r>
    </w:p>
    <w:p w:rsidRPr="003C2FB3" w:rsidR="003C2FB3" w:rsidP="00270FBE"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rsidRPr="003C2FB3">
        <w:rPr>
          <w:bCs/>
          <w:iCs/>
        </w:rPr>
        <w:t>regrets that the strategy does not address public perception since this is a key factor in democratic societies;</w:t>
      </w:r>
    </w:p>
    <w:p w:rsidRPr="003C2FB3" w:rsidR="003C2FB3" w:rsidP="00270FBE"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rsidRPr="003C2FB3">
        <w:rPr>
          <w:bCs/>
          <w:iCs/>
        </w:rPr>
        <w:t>notes that the key instrument for the strategy's implementation (EDIP) is unlikely to be operational before late 2025. Therefore, the strategy must be complemented by other, short-term measures aimed at addressing immediate needs.</w:t>
      </w:r>
    </w:p>
    <w:p w:rsidRPr="003C2FB3" w:rsidR="003C2FB3" w:rsidP="00270FBE"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rsidRPr="003C2FB3">
        <w:rPr>
          <w:bCs/>
          <w:iCs/>
        </w:rPr>
        <w:t>calls on Member States to accept the Commission’s invitation to look for in the short-term options for boosting, through available instruments, large-scale joint defence procurements, the large-scale ramp-up of the EDTIB, and the launch of defence flagship projects.</w:t>
      </w:r>
    </w:p>
    <w:p w:rsidRPr="003C2FB3" w:rsidR="003C2FB3" w:rsidP="00270FBE" w:rsidRDefault="003C2FB3" w14:paraId="02B3EC61" w14:textId="77777777">
      <w:pPr>
        <w:widowControl w:val="0"/>
        <w:numPr>
          <w:ilvl w:val="0"/>
          <w:numId w:val="27"/>
        </w:numPr>
        <w:overflowPunct w:val="0"/>
        <w:autoSpaceDE w:val="0"/>
        <w:autoSpaceDN w:val="0"/>
        <w:adjustRightInd w:val="0"/>
        <w:ind w:left="284" w:hanging="284"/>
        <w:textAlignment w:val="baseline"/>
        <w:rPr>
          <w:bCs/>
          <w:iCs/>
        </w:rPr>
      </w:pPr>
      <w:r w:rsidRPr="003C2FB3">
        <w:rPr>
          <w:bCs/>
          <w:iCs/>
        </w:rPr>
        <w:t>is of the view that ensuring the defence industry’s access to skills, technology and research, is crucial from both an industrial and a strategic perspective;</w:t>
      </w:r>
    </w:p>
    <w:p w:rsidRPr="003C2FB3" w:rsidR="003C2FB3" w:rsidP="00270FBE"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rsidRPr="003C2FB3">
        <w:rPr>
          <w:bCs/>
          <w:iCs/>
        </w:rPr>
        <w:t>underscores that the success of the strategy will depend primarily on Member States’ full engagement and recognition of the added value of a European approach.</w:t>
      </w:r>
    </w:p>
    <w:p w:rsidRPr="003C2FB3" w:rsidR="003C2FB3" w:rsidP="003C2FB3" w:rsidRDefault="003C2FB3" w14:paraId="0544CF61" w14:textId="77777777">
      <w:pPr>
        <w:widowControl w:val="0"/>
        <w:overflowPunct w:val="0"/>
        <w:autoSpaceDE w:val="0"/>
        <w:autoSpaceDN w:val="0"/>
        <w:adjustRightInd w:val="0"/>
        <w:ind w:left="709"/>
        <w:textAlignment w:val="baseline"/>
        <w:rPr>
          <w:szCs w:val="20"/>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3C2FB3" w:rsidTr="00FE3058" w14:paraId="0D2CEC95" w14:textId="77777777">
        <w:tc>
          <w:tcPr>
            <w:tcW w:w="1556" w:type="pct"/>
          </w:tcPr>
          <w:p w:rsidRPr="003C2FB3" w:rsidR="003C2FB3" w:rsidP="003C2FB3" w:rsidRDefault="003C2FB3" w14:paraId="3BD45DE2" w14:textId="77777777">
            <w:pPr>
              <w:overflowPunct w:val="0"/>
              <w:autoSpaceDE w:val="0"/>
              <w:autoSpaceDN w:val="0"/>
              <w:adjustRightInd w:val="0"/>
              <w:spacing w:line="240" w:lineRule="auto"/>
              <w:textAlignment w:val="baseline"/>
              <w:rPr>
                <w:i/>
              </w:rPr>
            </w:pPr>
            <w:r w:rsidRPr="003C2FB3">
              <w:rPr>
                <w:b/>
                <w:i/>
              </w:rPr>
              <w:t>Contact</w:t>
            </w:r>
          </w:p>
        </w:tc>
        <w:tc>
          <w:tcPr>
            <w:tcW w:w="3444" w:type="pct"/>
          </w:tcPr>
          <w:p w:rsidRPr="00270FBE" w:rsidR="003C2FB3" w:rsidP="003C2FB3" w:rsidRDefault="003C2FB3" w14:paraId="5D226FEE" w14:textId="7F8C40FE">
            <w:pPr>
              <w:overflowPunct w:val="0"/>
              <w:autoSpaceDE w:val="0"/>
              <w:autoSpaceDN w:val="0"/>
              <w:adjustRightInd w:val="0"/>
              <w:spacing w:line="240" w:lineRule="auto"/>
              <w:textAlignment w:val="baseline"/>
              <w:rPr>
                <w:i/>
              </w:rPr>
            </w:pPr>
            <w:r w:rsidRPr="00270FBE">
              <w:rPr>
                <w:i/>
              </w:rPr>
              <w:t>Ioannis D</w:t>
            </w:r>
            <w:r w:rsidRPr="005706B8" w:rsidR="005706B8">
              <w:rPr>
                <w:i/>
              </w:rPr>
              <w:t>iamantopoulos</w:t>
            </w:r>
          </w:p>
        </w:tc>
      </w:tr>
      <w:tr w:rsidRPr="003C2FB3" w:rsidR="003C2FB3" w:rsidTr="00FE3058" w14:paraId="596191B0" w14:textId="77777777">
        <w:tc>
          <w:tcPr>
            <w:tcW w:w="1556" w:type="pct"/>
          </w:tcPr>
          <w:p w:rsidRPr="003C2FB3" w:rsidR="003C2FB3" w:rsidP="003C2FB3" w:rsidRDefault="003C2FB3" w14:paraId="0F7CD1EB" w14:textId="77777777">
            <w:pPr>
              <w:overflowPunct w:val="0"/>
              <w:autoSpaceDE w:val="0"/>
              <w:autoSpaceDN w:val="0"/>
              <w:adjustRightInd w:val="0"/>
              <w:spacing w:line="240" w:lineRule="auto"/>
              <w:textAlignment w:val="baseline"/>
              <w:rPr>
                <w:i/>
              </w:rPr>
            </w:pPr>
            <w:r w:rsidRPr="003C2FB3">
              <w:rPr>
                <w:i/>
              </w:rPr>
              <w:t>Tel.</w:t>
            </w:r>
          </w:p>
        </w:tc>
        <w:tc>
          <w:tcPr>
            <w:tcW w:w="3444" w:type="pct"/>
          </w:tcPr>
          <w:p w:rsidRPr="003C2FB3" w:rsidR="003C2FB3" w:rsidP="003C2FB3" w:rsidRDefault="003C2FB3" w14:paraId="428DEA48" w14:textId="77777777">
            <w:pPr>
              <w:overflowPunct w:val="0"/>
              <w:autoSpaceDE w:val="0"/>
              <w:autoSpaceDN w:val="0"/>
              <w:adjustRightInd w:val="0"/>
              <w:spacing w:line="240" w:lineRule="auto"/>
              <w:textAlignment w:val="baseline"/>
              <w:rPr>
                <w:i/>
              </w:rPr>
            </w:pPr>
            <w:r w:rsidRPr="003C2FB3">
              <w:rPr>
                <w:i/>
              </w:rPr>
              <w:t>+32 25469170</w:t>
            </w:r>
          </w:p>
        </w:tc>
      </w:tr>
      <w:tr w:rsidRPr="003C2FB3" w:rsidR="003C2FB3" w:rsidTr="00FE3058" w14:paraId="2628CAA2" w14:textId="77777777">
        <w:tc>
          <w:tcPr>
            <w:tcW w:w="1556" w:type="pct"/>
          </w:tcPr>
          <w:p w:rsidRPr="003C2FB3" w:rsidR="003C2FB3" w:rsidP="003C2FB3" w:rsidRDefault="003C2FB3" w14:paraId="0F1EFC5C" w14:textId="77777777">
            <w:pPr>
              <w:overflowPunct w:val="0"/>
              <w:autoSpaceDE w:val="0"/>
              <w:autoSpaceDN w:val="0"/>
              <w:adjustRightInd w:val="0"/>
              <w:spacing w:line="240" w:lineRule="auto"/>
              <w:textAlignment w:val="baseline"/>
              <w:rPr>
                <w:i/>
              </w:rPr>
            </w:pPr>
            <w:r w:rsidRPr="003C2FB3">
              <w:rPr>
                <w:i/>
              </w:rPr>
              <w:t>Email</w:t>
            </w:r>
          </w:p>
        </w:tc>
        <w:tc>
          <w:tcPr>
            <w:tcW w:w="3444" w:type="pct"/>
          </w:tcPr>
          <w:p w:rsidRPr="003C2FB3" w:rsidR="003C2FB3" w:rsidP="003C2FB3" w:rsidRDefault="0015356A" w14:paraId="32C40CB8" w14:textId="77777777">
            <w:pPr>
              <w:overflowPunct w:val="0"/>
              <w:autoSpaceDE w:val="0"/>
              <w:autoSpaceDN w:val="0"/>
              <w:adjustRightInd w:val="0"/>
              <w:spacing w:line="240" w:lineRule="auto"/>
              <w:textAlignment w:val="baseline"/>
              <w:rPr>
                <w:i/>
              </w:rPr>
            </w:pPr>
            <w:hyperlink w:history="1" r:id="rId43">
              <w:r w:rsidRPr="003C2FB3" w:rsidR="003C2FB3">
                <w:rPr>
                  <w:i/>
                  <w:color w:val="0000FF"/>
                  <w:u w:val="single"/>
                </w:rPr>
                <w:t>Ioannis.Diamantopoulos@eesc.europa.eu</w:t>
              </w:r>
            </w:hyperlink>
          </w:p>
        </w:tc>
      </w:tr>
    </w:tbl>
    <w:p w:rsidR="00B612CA" w:rsidP="00895853" w:rsidRDefault="00B612CA" w14:paraId="0A3D4AF6" w14:textId="77777777">
      <w:pPr>
        <w:overflowPunct w:val="0"/>
        <w:autoSpaceDE w:val="0"/>
        <w:autoSpaceDN w:val="0"/>
        <w:adjustRightInd w:val="0"/>
        <w:jc w:val="left"/>
        <w:textAlignment w:val="baseline"/>
        <w:rPr>
          <w:lang w:val="nl-BE"/>
        </w:rPr>
      </w:pPr>
    </w:p>
    <w:p w:rsidR="00C26C81" w:rsidRDefault="00C26C81" w14:paraId="209CF203" w14:textId="6268DD8D">
      <w:pPr>
        <w:spacing w:after="160" w:line="259" w:lineRule="auto"/>
        <w:jc w:val="left"/>
        <w:rPr>
          <w:lang w:val="nl-BE"/>
        </w:rPr>
      </w:pPr>
      <w:r>
        <w:rPr>
          <w:lang w:val="nl-BE"/>
        </w:rPr>
        <w:br w:type="page"/>
      </w:r>
    </w:p>
    <w:p w:rsidRPr="00C26C81" w:rsidR="00C26C81" w:rsidP="00C26C81" w:rsidRDefault="0015356A" w14:paraId="216DA7D4" w14:textId="40253846">
      <w:pPr>
        <w:widowControl w:val="0"/>
        <w:numPr>
          <w:ilvl w:val="0"/>
          <w:numId w:val="7"/>
        </w:numPr>
        <w:overflowPunct w:val="0"/>
        <w:autoSpaceDE w:val="0"/>
        <w:autoSpaceDN w:val="0"/>
        <w:adjustRightInd w:val="0"/>
        <w:ind w:hanging="567"/>
        <w:textAlignment w:val="baseline"/>
        <w:rPr>
          <w:sz w:val="20"/>
          <w:szCs w:val="20"/>
        </w:rPr>
      </w:pPr>
      <w:hyperlink w:history="1" r:id="rId44">
        <w:r w:rsidRPr="00C26C81" w:rsidR="00C26C81">
          <w:rPr>
            <w:b/>
            <w:bCs/>
            <w:i/>
            <w:iCs/>
            <w:color w:val="0000FF"/>
            <w:sz w:val="28"/>
            <w:szCs w:val="28"/>
            <w:u w:val="single"/>
          </w:rPr>
          <w:t>Industrial and technological approaches and best practices supporting a water resilient society</w:t>
        </w:r>
      </w:hyperlink>
    </w:p>
    <w:p w:rsidR="00DF1937" w:rsidP="00C26C81" w:rsidRDefault="00DF1937" w14:paraId="48918DB7" w14:textId="77777777">
      <w:pPr>
        <w:tabs>
          <w:tab w:val="center" w:pos="284"/>
        </w:tabs>
        <w:overflowPunct w:val="0"/>
        <w:autoSpaceDE w:val="0"/>
        <w:autoSpaceDN w:val="0"/>
        <w:adjustRightInd w:val="0"/>
        <w:ind w:left="266" w:hanging="266"/>
        <w:textAlignment w:val="baseline"/>
        <w:rPr>
          <w:b/>
          <w:sz w:val="16"/>
          <w:szCs w:val="16"/>
        </w:rPr>
      </w:pPr>
    </w:p>
    <w:tbl>
      <w:tblPr>
        <w:tblStyle w:val="TableGrid224"/>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C26C81" w:rsidR="00C26C81" w:rsidTr="00FE3058" w14:paraId="120DFBE2" w14:textId="77777777">
        <w:tc>
          <w:tcPr>
            <w:tcW w:w="1148" w:type="pct"/>
          </w:tcPr>
          <w:p w:rsidRPr="00C26C81" w:rsidR="00C26C81" w:rsidP="00C26C81" w:rsidRDefault="00C26C81" w14:paraId="622F56C9" w14:textId="77777777">
            <w:pPr>
              <w:tabs>
                <w:tab w:val="center" w:pos="284"/>
              </w:tabs>
              <w:overflowPunct w:val="0"/>
              <w:autoSpaceDE w:val="0"/>
              <w:autoSpaceDN w:val="0"/>
              <w:adjustRightInd w:val="0"/>
              <w:ind w:left="266" w:hanging="266"/>
              <w:textAlignment w:val="baseline"/>
              <w:rPr>
                <w:b/>
              </w:rPr>
            </w:pPr>
            <w:r w:rsidRPr="00C26C81">
              <w:rPr>
                <w:b/>
              </w:rPr>
              <w:t>Rapporteur</w:t>
            </w:r>
          </w:p>
        </w:tc>
        <w:tc>
          <w:tcPr>
            <w:tcW w:w="3852" w:type="pct"/>
          </w:tcPr>
          <w:p w:rsidRPr="00270FBE" w:rsidR="00C26C81" w:rsidP="00C26C81" w:rsidRDefault="00C26C81" w14:paraId="4D21502F" w14:textId="6EECAE84">
            <w:pPr>
              <w:tabs>
                <w:tab w:val="center" w:pos="284"/>
              </w:tabs>
              <w:overflowPunct w:val="0"/>
              <w:autoSpaceDE w:val="0"/>
              <w:autoSpaceDN w:val="0"/>
              <w:adjustRightInd w:val="0"/>
              <w:ind w:left="266" w:hanging="266"/>
              <w:textAlignment w:val="baseline"/>
            </w:pPr>
            <w:r w:rsidRPr="00270FBE">
              <w:t xml:space="preserve">Florian MARIN (Workers' Group </w:t>
            </w:r>
            <w:r w:rsidR="008C790D">
              <w:t>-</w:t>
            </w:r>
            <w:r w:rsidRPr="00270FBE">
              <w:t xml:space="preserve"> RO)</w:t>
            </w:r>
          </w:p>
        </w:tc>
      </w:tr>
      <w:tr w:rsidRPr="00C26C81" w:rsidR="00C26C81" w:rsidTr="00FE3058" w14:paraId="1F60F708" w14:textId="77777777">
        <w:tc>
          <w:tcPr>
            <w:tcW w:w="1148" w:type="pct"/>
          </w:tcPr>
          <w:p w:rsidRPr="00C26C81" w:rsidR="00C26C81" w:rsidP="00C26C81" w:rsidRDefault="00C26C81" w14:paraId="3D84DAA7" w14:textId="77777777">
            <w:pPr>
              <w:tabs>
                <w:tab w:val="center" w:pos="284"/>
              </w:tabs>
              <w:overflowPunct w:val="0"/>
              <w:autoSpaceDE w:val="0"/>
              <w:autoSpaceDN w:val="0"/>
              <w:adjustRightInd w:val="0"/>
              <w:ind w:left="266" w:hanging="266"/>
              <w:textAlignment w:val="baseline"/>
              <w:rPr>
                <w:b/>
              </w:rPr>
            </w:pPr>
            <w:r w:rsidRPr="00C26C81">
              <w:rPr>
                <w:b/>
                <w:lang w:val="fr-FR"/>
              </w:rPr>
              <w:t>Co-rapporteur</w:t>
            </w:r>
          </w:p>
        </w:tc>
        <w:tc>
          <w:tcPr>
            <w:tcW w:w="3852" w:type="pct"/>
          </w:tcPr>
          <w:p w:rsidRPr="00270FBE" w:rsidR="00C26C81" w:rsidP="00C26C81" w:rsidRDefault="00C26C81" w14:paraId="2CC5126F" w14:textId="08EFFD09">
            <w:pPr>
              <w:tabs>
                <w:tab w:val="center" w:pos="284"/>
              </w:tabs>
              <w:overflowPunct w:val="0"/>
              <w:autoSpaceDE w:val="0"/>
              <w:autoSpaceDN w:val="0"/>
              <w:adjustRightInd w:val="0"/>
              <w:ind w:left="266" w:hanging="266"/>
              <w:textAlignment w:val="baseline"/>
            </w:pPr>
            <w:r w:rsidRPr="00270FBE">
              <w:t xml:space="preserve">John BRYAN (Cat. 3 </w:t>
            </w:r>
            <w:r w:rsidR="008C790D">
              <w:t>-</w:t>
            </w:r>
            <w:r w:rsidRPr="00270FBE">
              <w:t xml:space="preserve"> IE)</w:t>
            </w:r>
          </w:p>
        </w:tc>
      </w:tr>
      <w:tr w:rsidRPr="00C26C81" w:rsidR="00C26C81" w:rsidTr="00FE3058" w14:paraId="0255D7F1" w14:textId="77777777">
        <w:tc>
          <w:tcPr>
            <w:tcW w:w="5000" w:type="pct"/>
            <w:gridSpan w:val="2"/>
          </w:tcPr>
          <w:p w:rsidRPr="00C26C81" w:rsidR="00C26C81" w:rsidP="00C26C81" w:rsidRDefault="00C26C81" w14:paraId="65F1A50D" w14:textId="77777777">
            <w:pPr>
              <w:tabs>
                <w:tab w:val="center" w:pos="284"/>
              </w:tabs>
              <w:overflowPunct w:val="0"/>
              <w:autoSpaceDE w:val="0"/>
              <w:autoSpaceDN w:val="0"/>
              <w:adjustRightInd w:val="0"/>
              <w:spacing w:line="160" w:lineRule="exact"/>
              <w:ind w:left="266" w:hanging="266"/>
              <w:textAlignment w:val="baseline"/>
            </w:pPr>
          </w:p>
        </w:tc>
      </w:tr>
      <w:tr w:rsidRPr="00C26C81" w:rsidR="00C26C81" w:rsidTr="00FE3058" w14:paraId="6490CDCA" w14:textId="77777777">
        <w:tc>
          <w:tcPr>
            <w:tcW w:w="1148" w:type="pct"/>
            <w:vMerge w:val="restart"/>
          </w:tcPr>
          <w:p w:rsidRPr="00C26C81" w:rsidR="00C26C81" w:rsidP="00C26C81" w:rsidRDefault="00C26C81" w14:paraId="3249E176" w14:textId="77777777">
            <w:pPr>
              <w:tabs>
                <w:tab w:val="center" w:pos="284"/>
              </w:tabs>
              <w:overflowPunct w:val="0"/>
              <w:autoSpaceDE w:val="0"/>
              <w:autoSpaceDN w:val="0"/>
              <w:adjustRightInd w:val="0"/>
              <w:ind w:left="266" w:hanging="266"/>
              <w:textAlignment w:val="baseline"/>
              <w:rPr>
                <w:b/>
              </w:rPr>
            </w:pPr>
            <w:r w:rsidRPr="00C26C81">
              <w:rPr>
                <w:b/>
              </w:rPr>
              <w:t>References</w:t>
            </w:r>
          </w:p>
        </w:tc>
        <w:tc>
          <w:tcPr>
            <w:tcW w:w="3852" w:type="pct"/>
          </w:tcPr>
          <w:p w:rsidR="00DF1937" w:rsidP="00C26C81" w:rsidRDefault="00DF1937" w14:paraId="62B42CB3" w14:textId="689EBFFE">
            <w:pPr>
              <w:tabs>
                <w:tab w:val="center" w:pos="284"/>
              </w:tabs>
              <w:overflowPunct w:val="0"/>
              <w:autoSpaceDE w:val="0"/>
              <w:autoSpaceDN w:val="0"/>
              <w:adjustRightInd w:val="0"/>
              <w:ind w:left="266" w:hanging="266"/>
              <w:textAlignment w:val="baseline"/>
            </w:pPr>
            <w:r>
              <w:t>E</w:t>
            </w:r>
            <w:r w:rsidRPr="00DF1937">
              <w:t>xploratory opinion at the request of the European Commission</w:t>
            </w:r>
          </w:p>
          <w:p w:rsidRPr="00C26C81" w:rsidR="00C26C81" w:rsidP="00C26C81" w:rsidRDefault="00C26C81" w14:paraId="575B4C73" w14:textId="570E8293">
            <w:pPr>
              <w:tabs>
                <w:tab w:val="center" w:pos="284"/>
              </w:tabs>
              <w:overflowPunct w:val="0"/>
              <w:autoSpaceDE w:val="0"/>
              <w:autoSpaceDN w:val="0"/>
              <w:adjustRightInd w:val="0"/>
              <w:ind w:left="266" w:hanging="266"/>
              <w:textAlignment w:val="baseline"/>
            </w:pPr>
            <w:r w:rsidRPr="00C26C81">
              <w:t>EESC-2024-00209-00-00-AC</w:t>
            </w:r>
          </w:p>
        </w:tc>
      </w:tr>
      <w:tr w:rsidRPr="00C26C81" w:rsidR="00C26C81" w:rsidTr="00FE3058" w14:paraId="7D13EFEC" w14:textId="77777777">
        <w:tc>
          <w:tcPr>
            <w:tcW w:w="1148" w:type="pct"/>
            <w:vMerge/>
          </w:tcPr>
          <w:p w:rsidRPr="00C26C81" w:rsidR="00C26C81" w:rsidP="00C26C81" w:rsidRDefault="00C26C81" w14:paraId="22339B72" w14:textId="77777777">
            <w:pPr>
              <w:tabs>
                <w:tab w:val="center" w:pos="284"/>
              </w:tabs>
              <w:overflowPunct w:val="0"/>
              <w:autoSpaceDE w:val="0"/>
              <w:autoSpaceDN w:val="0"/>
              <w:adjustRightInd w:val="0"/>
              <w:ind w:left="266" w:hanging="266"/>
              <w:textAlignment w:val="baseline"/>
              <w:rPr>
                <w:b/>
              </w:rPr>
            </w:pPr>
          </w:p>
        </w:tc>
        <w:tc>
          <w:tcPr>
            <w:tcW w:w="3852" w:type="pct"/>
          </w:tcPr>
          <w:p w:rsidRPr="00C26C81" w:rsidR="00C26C81" w:rsidP="00C26C81" w:rsidRDefault="00C26C81" w14:paraId="30DF2ED2" w14:textId="77777777">
            <w:pPr>
              <w:tabs>
                <w:tab w:val="center" w:pos="284"/>
              </w:tabs>
              <w:overflowPunct w:val="0"/>
              <w:autoSpaceDE w:val="0"/>
              <w:autoSpaceDN w:val="0"/>
              <w:adjustRightInd w:val="0"/>
              <w:ind w:left="266" w:hanging="266"/>
              <w:textAlignment w:val="baseline"/>
            </w:pPr>
          </w:p>
        </w:tc>
      </w:tr>
    </w:tbl>
    <w:p w:rsidRPr="00C26C81" w:rsidR="00C26C81" w:rsidP="00C26C81" w:rsidRDefault="00C26C81" w14:paraId="6756B12C" w14:textId="77777777">
      <w:pPr>
        <w:keepNext/>
        <w:keepLines/>
        <w:tabs>
          <w:tab w:val="center" w:pos="284"/>
        </w:tabs>
        <w:overflowPunct w:val="0"/>
        <w:autoSpaceDE w:val="0"/>
        <w:autoSpaceDN w:val="0"/>
        <w:adjustRightInd w:val="0"/>
        <w:ind w:left="266" w:hanging="266"/>
        <w:textAlignment w:val="baseline"/>
        <w:rPr>
          <w:b/>
        </w:rPr>
      </w:pPr>
      <w:r w:rsidRPr="00C26C81">
        <w:rPr>
          <w:b/>
        </w:rPr>
        <w:t>Key points</w:t>
      </w:r>
    </w:p>
    <w:p w:rsidRPr="00C26C81" w:rsidR="00C26C81" w:rsidP="00C26C81" w:rsidRDefault="00C26C81" w14:paraId="03D7DAA1" w14:textId="77777777">
      <w:pPr>
        <w:keepNext/>
        <w:keepLines/>
        <w:tabs>
          <w:tab w:val="center" w:pos="284"/>
        </w:tabs>
        <w:overflowPunct w:val="0"/>
        <w:autoSpaceDE w:val="0"/>
        <w:autoSpaceDN w:val="0"/>
        <w:adjustRightInd w:val="0"/>
        <w:ind w:left="266" w:hanging="266"/>
        <w:textAlignment w:val="baseline"/>
        <w:rPr>
          <w:b/>
          <w:sz w:val="16"/>
          <w:szCs w:val="16"/>
        </w:rPr>
      </w:pPr>
    </w:p>
    <w:p w:rsidR="00C26C81" w:rsidP="00C26C81" w:rsidRDefault="00C26C81" w14:paraId="0AEAF1D0" w14:textId="370DE955">
      <w:pPr>
        <w:overflowPunct w:val="0"/>
        <w:autoSpaceDE w:val="0"/>
        <w:autoSpaceDN w:val="0"/>
        <w:adjustRightInd w:val="0"/>
        <w:textAlignment w:val="baseline"/>
        <w:rPr>
          <w:bCs/>
          <w:iCs/>
        </w:rPr>
      </w:pPr>
      <w:r w:rsidRPr="00C26C81">
        <w:rPr>
          <w:bCs/>
          <w:iCs/>
        </w:rPr>
        <w:t>The EESC:</w:t>
      </w:r>
    </w:p>
    <w:p w:rsidRPr="00C26C81" w:rsidR="002B7841" w:rsidP="00C26C81" w:rsidRDefault="002B7841" w14:paraId="2BBD3487" w14:textId="77777777">
      <w:pPr>
        <w:overflowPunct w:val="0"/>
        <w:autoSpaceDE w:val="0"/>
        <w:autoSpaceDN w:val="0"/>
        <w:adjustRightInd w:val="0"/>
        <w:textAlignment w:val="baseline"/>
        <w:rPr>
          <w:bCs/>
          <w:iCs/>
        </w:rPr>
      </w:pPr>
    </w:p>
    <w:p w:rsidRPr="00C26C81" w:rsidR="00C26C81" w:rsidP="00270FBE" w:rsidRDefault="00C26C81" w14:paraId="724B6930" w14:textId="77777777">
      <w:pPr>
        <w:numPr>
          <w:ilvl w:val="0"/>
          <w:numId w:val="28"/>
        </w:numPr>
        <w:overflowPunct w:val="0"/>
        <w:autoSpaceDE w:val="0"/>
        <w:autoSpaceDN w:val="0"/>
        <w:adjustRightInd w:val="0"/>
        <w:spacing w:after="200" w:line="276" w:lineRule="auto"/>
        <w:ind w:left="284" w:hanging="284"/>
        <w:contextualSpacing/>
        <w:textAlignment w:val="baseline"/>
        <w:rPr>
          <w:bCs/>
          <w:iCs/>
          <w:lang w:eastAsia="zh-CN"/>
        </w:rPr>
      </w:pPr>
      <w:r w:rsidRPr="00C26C81">
        <w:rPr>
          <w:lang w:eastAsia="zh-CN"/>
        </w:rPr>
        <w:t xml:space="preserve">calls for a </w:t>
      </w:r>
      <w:r w:rsidRPr="00C26C81">
        <w:rPr>
          <w:b/>
          <w:bCs/>
          <w:lang w:eastAsia="zh-CN"/>
        </w:rPr>
        <w:t>stand-alone strategy</w:t>
      </w:r>
      <w:r w:rsidRPr="00C26C81">
        <w:rPr>
          <w:lang w:eastAsia="zh-CN"/>
        </w:rPr>
        <w:t xml:space="preserve"> – an EU Blue Deal - and for an action plan </w:t>
      </w:r>
      <w:r w:rsidRPr="00C26C81">
        <w:rPr>
          <w:b/>
          <w:bCs/>
          <w:lang w:eastAsia="zh-CN"/>
        </w:rPr>
        <w:t>on water to ensure water resilience, security and sustainability, complementing the EU Green Deal</w:t>
      </w:r>
      <w:r w:rsidRPr="00C26C81">
        <w:rPr>
          <w:lang w:eastAsia="zh-CN"/>
        </w:rPr>
        <w:t>;</w:t>
      </w:r>
    </w:p>
    <w:p w:rsidRPr="00C26C81" w:rsidR="00C26C81" w:rsidP="00270FBE" w:rsidRDefault="00C26C81" w14:paraId="520F5238" w14:textId="77777777">
      <w:pPr>
        <w:numPr>
          <w:ilvl w:val="0"/>
          <w:numId w:val="28"/>
        </w:numPr>
        <w:overflowPunct w:val="0"/>
        <w:autoSpaceDE w:val="0"/>
        <w:autoSpaceDN w:val="0"/>
        <w:adjustRightInd w:val="0"/>
        <w:spacing w:after="200" w:line="276" w:lineRule="auto"/>
        <w:ind w:left="284" w:hanging="284"/>
        <w:contextualSpacing/>
        <w:textAlignment w:val="baseline"/>
        <w:rPr>
          <w:bCs/>
          <w:iCs/>
          <w:lang w:eastAsia="zh-CN"/>
        </w:rPr>
      </w:pPr>
      <w:r w:rsidRPr="00C26C81">
        <w:rPr>
          <w:bCs/>
          <w:iCs/>
          <w:lang w:eastAsia="zh-CN"/>
        </w:rPr>
        <w:t xml:space="preserve">urges the EU to </w:t>
      </w:r>
      <w:r w:rsidRPr="00C26C81">
        <w:rPr>
          <w:b/>
          <w:iCs/>
          <w:lang w:eastAsia="zh-CN"/>
        </w:rPr>
        <w:t>integrate water in a revised industrial strategic framework</w:t>
      </w:r>
      <w:r w:rsidRPr="00C26C81">
        <w:rPr>
          <w:bCs/>
          <w:iCs/>
          <w:lang w:eastAsia="zh-CN"/>
        </w:rPr>
        <w:t xml:space="preserve"> and in the transition pathways with a sectoral approach;</w:t>
      </w:r>
    </w:p>
    <w:p w:rsidRPr="00C26C81" w:rsidR="00C26C81" w:rsidP="00270FBE" w:rsidRDefault="00C26C81" w14:paraId="30D20AE2" w14:textId="77777777">
      <w:pPr>
        <w:numPr>
          <w:ilvl w:val="0"/>
          <w:numId w:val="28"/>
        </w:numPr>
        <w:overflowPunct w:val="0"/>
        <w:autoSpaceDE w:val="0"/>
        <w:autoSpaceDN w:val="0"/>
        <w:adjustRightInd w:val="0"/>
        <w:spacing w:after="200" w:line="276" w:lineRule="auto"/>
        <w:ind w:left="284" w:hanging="284"/>
        <w:contextualSpacing/>
        <w:textAlignment w:val="baseline"/>
        <w:rPr>
          <w:bCs/>
          <w:iCs/>
          <w:lang w:eastAsia="zh-CN"/>
        </w:rPr>
      </w:pPr>
      <w:r w:rsidRPr="00C26C81">
        <w:rPr>
          <w:lang w:eastAsia="zh-CN"/>
        </w:rPr>
        <w:t xml:space="preserve">notes that this revision should explore the idea of establishing a </w:t>
      </w:r>
      <w:r w:rsidRPr="00C26C81">
        <w:rPr>
          <w:b/>
          <w:bCs/>
          <w:lang w:eastAsia="zh-CN"/>
        </w:rPr>
        <w:t>new industrial deal to offer European industry a consolidated strategy</w:t>
      </w:r>
      <w:r w:rsidRPr="00C26C81">
        <w:rPr>
          <w:lang w:eastAsia="zh-CN"/>
        </w:rPr>
        <w:t xml:space="preserve"> that responds to the multiple challenges it faces (on water, energy, critical raw materials, digitalisation and strategic autonomy) within four years;</w:t>
      </w:r>
    </w:p>
    <w:p w:rsidRPr="00C26C81" w:rsidR="00C26C81" w:rsidP="00270FBE" w:rsidRDefault="00C26C81" w14:paraId="04F84018" w14:textId="77777777">
      <w:pPr>
        <w:numPr>
          <w:ilvl w:val="0"/>
          <w:numId w:val="28"/>
        </w:numPr>
        <w:overflowPunct w:val="0"/>
        <w:autoSpaceDE w:val="0"/>
        <w:autoSpaceDN w:val="0"/>
        <w:adjustRightInd w:val="0"/>
        <w:spacing w:after="200" w:line="276" w:lineRule="auto"/>
        <w:ind w:left="284" w:hanging="284"/>
        <w:contextualSpacing/>
        <w:textAlignment w:val="baseline"/>
        <w:rPr>
          <w:bCs/>
          <w:iCs/>
          <w:lang w:eastAsia="zh-CN"/>
        </w:rPr>
      </w:pPr>
      <w:r w:rsidRPr="00C26C81">
        <w:rPr>
          <w:bCs/>
          <w:iCs/>
          <w:lang w:eastAsia="zh-CN"/>
        </w:rPr>
        <w:t xml:space="preserve">stresses that </w:t>
      </w:r>
      <w:r w:rsidRPr="00C26C81">
        <w:rPr>
          <w:lang w:eastAsia="zh-CN"/>
        </w:rPr>
        <w:t xml:space="preserve">industrial and technological approaches supporting a water-smart society must be firmly structured around </w:t>
      </w:r>
      <w:r w:rsidRPr="00C26C81">
        <w:rPr>
          <w:b/>
          <w:bCs/>
          <w:lang w:eastAsia="zh-CN"/>
        </w:rPr>
        <w:t>a comprehensive sustainable water management policy for industry</w:t>
      </w:r>
      <w:r w:rsidRPr="00C26C81">
        <w:rPr>
          <w:lang w:eastAsia="zh-CN"/>
        </w:rPr>
        <w:t xml:space="preserve"> based on reducing, reusing and recycling water, decreasing pollution and including the incremental introduction and use of water-efficient technologies, whilst ensuring a just transition that </w:t>
      </w:r>
      <w:r w:rsidRPr="00C26C81">
        <w:rPr>
          <w:b/>
          <w:bCs/>
          <w:lang w:eastAsia="zh-CN"/>
        </w:rPr>
        <w:t>safeguards industrial competitiveness</w:t>
      </w:r>
      <w:r w:rsidRPr="00C26C81">
        <w:rPr>
          <w:lang w:eastAsia="zh-CN"/>
        </w:rPr>
        <w:t>;</w:t>
      </w:r>
    </w:p>
    <w:p w:rsidRPr="00C26C81" w:rsidR="00C26C81" w:rsidP="00270FBE" w:rsidRDefault="00C26C81" w14:paraId="42BF90D7" w14:textId="77777777">
      <w:pPr>
        <w:numPr>
          <w:ilvl w:val="0"/>
          <w:numId w:val="28"/>
        </w:numPr>
        <w:overflowPunct w:val="0"/>
        <w:autoSpaceDE w:val="0"/>
        <w:autoSpaceDN w:val="0"/>
        <w:adjustRightInd w:val="0"/>
        <w:spacing w:after="200" w:line="276" w:lineRule="auto"/>
        <w:ind w:left="284" w:hanging="284"/>
        <w:contextualSpacing/>
        <w:textAlignment w:val="baseline"/>
        <w:rPr>
          <w:bCs/>
          <w:iCs/>
          <w:lang w:eastAsia="zh-CN"/>
        </w:rPr>
      </w:pPr>
      <w:r w:rsidRPr="00C26C81">
        <w:rPr>
          <w:bCs/>
          <w:iCs/>
          <w:lang w:eastAsia="zh-CN"/>
        </w:rPr>
        <w:t xml:space="preserve">underlines the need for a </w:t>
      </w:r>
      <w:r w:rsidRPr="00C26C81">
        <w:rPr>
          <w:b/>
          <w:iCs/>
          <w:lang w:eastAsia="zh-CN"/>
        </w:rPr>
        <w:t>European water data management ecosystem</w:t>
      </w:r>
      <w:r w:rsidRPr="00C26C81">
        <w:rPr>
          <w:bCs/>
          <w:iCs/>
          <w:lang w:eastAsia="zh-CN"/>
        </w:rPr>
        <w:t>, as well as the need to measure water consumption throughout production processes and minimise the use of drinking water for industrial purposes;</w:t>
      </w:r>
    </w:p>
    <w:p w:rsidRPr="00C26C81" w:rsidR="00C26C81" w:rsidP="00270FBE" w:rsidRDefault="00C26C81" w14:paraId="4A2463D1" w14:textId="77777777">
      <w:pPr>
        <w:numPr>
          <w:ilvl w:val="0"/>
          <w:numId w:val="28"/>
        </w:numPr>
        <w:overflowPunct w:val="0"/>
        <w:autoSpaceDE w:val="0"/>
        <w:autoSpaceDN w:val="0"/>
        <w:adjustRightInd w:val="0"/>
        <w:spacing w:after="200" w:line="276" w:lineRule="auto"/>
        <w:ind w:left="284" w:hanging="284"/>
        <w:contextualSpacing/>
        <w:textAlignment w:val="baseline"/>
        <w:rPr>
          <w:bCs/>
          <w:iCs/>
          <w:lang w:eastAsia="zh-CN"/>
        </w:rPr>
      </w:pPr>
      <w:r w:rsidRPr="00C26C81">
        <w:rPr>
          <w:lang w:eastAsia="zh-CN"/>
        </w:rPr>
        <w:t xml:space="preserve">highlights the need to </w:t>
      </w:r>
      <w:r w:rsidRPr="00C26C81">
        <w:rPr>
          <w:b/>
          <w:bCs/>
          <w:lang w:eastAsia="zh-CN"/>
        </w:rPr>
        <w:t>ensure water access for the most critical industries during crisis</w:t>
      </w:r>
      <w:r w:rsidRPr="00C26C81">
        <w:rPr>
          <w:lang w:eastAsia="zh-CN"/>
        </w:rPr>
        <w:t xml:space="preserve"> situations;</w:t>
      </w:r>
    </w:p>
    <w:p w:rsidRPr="00C26C81" w:rsidR="00C26C81" w:rsidP="00270FBE" w:rsidRDefault="00C26C81" w14:paraId="71162F5A" w14:textId="77777777">
      <w:pPr>
        <w:numPr>
          <w:ilvl w:val="0"/>
          <w:numId w:val="28"/>
        </w:numPr>
        <w:overflowPunct w:val="0"/>
        <w:autoSpaceDE w:val="0"/>
        <w:autoSpaceDN w:val="0"/>
        <w:adjustRightInd w:val="0"/>
        <w:spacing w:after="200" w:line="276" w:lineRule="auto"/>
        <w:ind w:left="284" w:hanging="284"/>
        <w:contextualSpacing/>
        <w:textAlignment w:val="baseline"/>
        <w:rPr>
          <w:bCs/>
          <w:iCs/>
          <w:lang w:eastAsia="zh-CN"/>
        </w:rPr>
      </w:pPr>
      <w:r w:rsidRPr="00C26C81">
        <w:rPr>
          <w:lang w:eastAsia="zh-CN"/>
        </w:rPr>
        <w:t xml:space="preserve">calls for a </w:t>
      </w:r>
      <w:r w:rsidRPr="00C26C81">
        <w:rPr>
          <w:b/>
          <w:bCs/>
          <w:lang w:eastAsia="zh-CN"/>
        </w:rPr>
        <w:t>transitional pathway to develop the clean and water-efficient tech sector</w:t>
      </w:r>
      <w:r w:rsidRPr="00C26C81">
        <w:rPr>
          <w:lang w:eastAsia="zh-CN"/>
        </w:rPr>
        <w:t>, including a human dimension roadmap to ensure the availability of the required skills, quality jobs and decent working conditions;</w:t>
      </w:r>
    </w:p>
    <w:p w:rsidRPr="00C26C81" w:rsidR="00C26C81" w:rsidP="00270FBE" w:rsidRDefault="00C26C81" w14:paraId="7B237525" w14:textId="77777777">
      <w:pPr>
        <w:numPr>
          <w:ilvl w:val="0"/>
          <w:numId w:val="28"/>
        </w:numPr>
        <w:overflowPunct w:val="0"/>
        <w:autoSpaceDE w:val="0"/>
        <w:autoSpaceDN w:val="0"/>
        <w:adjustRightInd w:val="0"/>
        <w:spacing w:after="200" w:line="276" w:lineRule="auto"/>
        <w:ind w:left="284" w:hanging="284"/>
        <w:contextualSpacing/>
        <w:textAlignment w:val="baseline"/>
        <w:rPr>
          <w:bCs/>
          <w:iCs/>
          <w:lang w:eastAsia="zh-CN"/>
        </w:rPr>
      </w:pPr>
      <w:r w:rsidRPr="00C26C81">
        <w:rPr>
          <w:bCs/>
          <w:iCs/>
          <w:lang w:eastAsia="zh-CN"/>
        </w:rPr>
        <w:t xml:space="preserve">proposes measures supporting the </w:t>
      </w:r>
      <w:r w:rsidRPr="00C26C81">
        <w:rPr>
          <w:b/>
          <w:iCs/>
          <w:lang w:eastAsia="zh-CN"/>
        </w:rPr>
        <w:t>implementation of the EU Blue Deal transition fund</w:t>
      </w:r>
      <w:r w:rsidRPr="00C26C81">
        <w:rPr>
          <w:bCs/>
          <w:iCs/>
          <w:lang w:eastAsia="zh-CN"/>
        </w:rPr>
        <w:t xml:space="preserve"> in the industrial field;</w:t>
      </w:r>
    </w:p>
    <w:p w:rsidRPr="00C26C81" w:rsidR="00C26C81" w:rsidP="00270FBE" w:rsidRDefault="00C26C81" w14:paraId="1A520A8C" w14:textId="77777777">
      <w:pPr>
        <w:numPr>
          <w:ilvl w:val="0"/>
          <w:numId w:val="28"/>
        </w:numPr>
        <w:overflowPunct w:val="0"/>
        <w:autoSpaceDE w:val="0"/>
        <w:autoSpaceDN w:val="0"/>
        <w:adjustRightInd w:val="0"/>
        <w:spacing w:after="40" w:line="276" w:lineRule="auto"/>
        <w:ind w:left="284" w:hanging="284"/>
        <w:contextualSpacing/>
        <w:textAlignment w:val="baseline"/>
        <w:rPr>
          <w:bCs/>
          <w:iCs/>
          <w:lang w:eastAsia="zh-CN"/>
        </w:rPr>
      </w:pPr>
      <w:r w:rsidRPr="00C26C81">
        <w:rPr>
          <w:bCs/>
          <w:iCs/>
          <w:lang w:eastAsia="zh-CN"/>
        </w:rPr>
        <w:t xml:space="preserve">supports the creation of the </w:t>
      </w:r>
      <w:r w:rsidRPr="00C26C81">
        <w:rPr>
          <w:b/>
          <w:iCs/>
          <w:lang w:eastAsia="zh-CN"/>
        </w:rPr>
        <w:t>water knowledge and innovation community (KIC)</w:t>
      </w:r>
      <w:r w:rsidRPr="00C26C81">
        <w:rPr>
          <w:rFonts w:ascii="Calibri" w:hAnsi="Calibri"/>
          <w:b/>
          <w:lang w:eastAsia="zh-CN"/>
        </w:rPr>
        <w:t xml:space="preserve"> </w:t>
      </w:r>
      <w:r w:rsidRPr="00C26C81">
        <w:rPr>
          <w:bCs/>
          <w:iCs/>
          <w:lang w:eastAsia="zh-CN"/>
        </w:rPr>
        <w:t>by the European Institute of Innovation and Technology (EIT).</w:t>
      </w:r>
    </w:p>
    <w:p w:rsidRPr="00C26C81" w:rsidR="00C26C81" w:rsidP="00C26C81" w:rsidRDefault="00C26C81" w14:paraId="586B6B4F" w14:textId="6B11469E">
      <w:pPr>
        <w:spacing w:after="40" w:line="276" w:lineRule="auto"/>
        <w:ind w:left="1276"/>
        <w:contextualSpacing/>
        <w:rPr>
          <w:bCs/>
          <w:iCs/>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4F1302" w:rsidTr="0066006A" w14:paraId="598DD9AC" w14:textId="77777777">
        <w:tc>
          <w:tcPr>
            <w:tcW w:w="1556" w:type="pct"/>
          </w:tcPr>
          <w:p w:rsidRPr="003C2FB3" w:rsidR="004F1302" w:rsidP="0066006A" w:rsidRDefault="004F1302" w14:paraId="15B56178" w14:textId="77777777">
            <w:pPr>
              <w:overflowPunct w:val="0"/>
              <w:autoSpaceDE w:val="0"/>
              <w:autoSpaceDN w:val="0"/>
              <w:adjustRightInd w:val="0"/>
              <w:spacing w:line="240" w:lineRule="auto"/>
              <w:textAlignment w:val="baseline"/>
              <w:rPr>
                <w:i/>
              </w:rPr>
            </w:pPr>
            <w:r w:rsidRPr="003C2FB3">
              <w:rPr>
                <w:b/>
                <w:i/>
              </w:rPr>
              <w:t>Contact</w:t>
            </w:r>
          </w:p>
        </w:tc>
        <w:tc>
          <w:tcPr>
            <w:tcW w:w="3444" w:type="pct"/>
          </w:tcPr>
          <w:p w:rsidRPr="0066006A" w:rsidR="004F1302" w:rsidP="0066006A" w:rsidRDefault="004F1302" w14:paraId="6A690265" w14:textId="1C17A6F4">
            <w:pPr>
              <w:overflowPunct w:val="0"/>
              <w:autoSpaceDE w:val="0"/>
              <w:autoSpaceDN w:val="0"/>
              <w:adjustRightInd w:val="0"/>
              <w:spacing w:line="240" w:lineRule="auto"/>
              <w:textAlignment w:val="baseline"/>
              <w:rPr>
                <w:i/>
              </w:rPr>
            </w:pPr>
            <w:r>
              <w:rPr>
                <w:i/>
              </w:rPr>
              <w:t>Heli Niemelä-Farrer</w:t>
            </w:r>
          </w:p>
        </w:tc>
      </w:tr>
      <w:tr w:rsidRPr="003C2FB3" w:rsidR="004F1302" w:rsidTr="0066006A" w14:paraId="2972FB5B" w14:textId="77777777">
        <w:tc>
          <w:tcPr>
            <w:tcW w:w="1556" w:type="pct"/>
          </w:tcPr>
          <w:p w:rsidRPr="003C2FB3" w:rsidR="004F1302" w:rsidP="0066006A" w:rsidRDefault="004F1302" w14:paraId="31E4746D" w14:textId="77777777">
            <w:pPr>
              <w:overflowPunct w:val="0"/>
              <w:autoSpaceDE w:val="0"/>
              <w:autoSpaceDN w:val="0"/>
              <w:adjustRightInd w:val="0"/>
              <w:spacing w:line="240" w:lineRule="auto"/>
              <w:textAlignment w:val="baseline"/>
              <w:rPr>
                <w:i/>
              </w:rPr>
            </w:pPr>
            <w:r w:rsidRPr="003C2FB3">
              <w:rPr>
                <w:i/>
              </w:rPr>
              <w:t>Tel.</w:t>
            </w:r>
          </w:p>
        </w:tc>
        <w:tc>
          <w:tcPr>
            <w:tcW w:w="3444" w:type="pct"/>
          </w:tcPr>
          <w:p w:rsidRPr="003C2FB3" w:rsidR="004F1302" w:rsidP="0066006A" w:rsidRDefault="004F1302" w14:paraId="24534461" w14:textId="0D1989E1">
            <w:pPr>
              <w:overflowPunct w:val="0"/>
              <w:autoSpaceDE w:val="0"/>
              <w:autoSpaceDN w:val="0"/>
              <w:adjustRightInd w:val="0"/>
              <w:spacing w:line="240" w:lineRule="auto"/>
              <w:textAlignment w:val="baseline"/>
              <w:rPr>
                <w:i/>
              </w:rPr>
            </w:pPr>
            <w:r w:rsidRPr="003C2FB3">
              <w:rPr>
                <w:i/>
              </w:rPr>
              <w:t>+32 2</w:t>
            </w:r>
            <w:r>
              <w:rPr>
                <w:i/>
              </w:rPr>
              <w:t>28224</w:t>
            </w:r>
            <w:r w:rsidRPr="003C2FB3">
              <w:rPr>
                <w:i/>
              </w:rPr>
              <w:t>6</w:t>
            </w:r>
            <w:r>
              <w:rPr>
                <w:i/>
              </w:rPr>
              <w:t>4</w:t>
            </w:r>
          </w:p>
        </w:tc>
      </w:tr>
      <w:tr w:rsidRPr="003C2FB3" w:rsidR="004F1302" w:rsidTr="0066006A" w14:paraId="40A463F8" w14:textId="77777777">
        <w:tc>
          <w:tcPr>
            <w:tcW w:w="1556" w:type="pct"/>
          </w:tcPr>
          <w:p w:rsidRPr="003C2FB3" w:rsidR="004F1302" w:rsidP="0066006A" w:rsidRDefault="004F1302" w14:paraId="3B219BCA" w14:textId="77777777">
            <w:pPr>
              <w:overflowPunct w:val="0"/>
              <w:autoSpaceDE w:val="0"/>
              <w:autoSpaceDN w:val="0"/>
              <w:adjustRightInd w:val="0"/>
              <w:spacing w:line="240" w:lineRule="auto"/>
              <w:textAlignment w:val="baseline"/>
              <w:rPr>
                <w:i/>
              </w:rPr>
            </w:pPr>
            <w:r w:rsidRPr="003C2FB3">
              <w:rPr>
                <w:i/>
              </w:rPr>
              <w:t>Email</w:t>
            </w:r>
          </w:p>
        </w:tc>
        <w:tc>
          <w:tcPr>
            <w:tcW w:w="3444" w:type="pct"/>
          </w:tcPr>
          <w:p w:rsidR="004F1302" w:rsidP="0066006A" w:rsidRDefault="004F1302" w14:paraId="0FED9690" w14:textId="7A8281DF">
            <w:pPr>
              <w:overflowPunct w:val="0"/>
              <w:autoSpaceDE w:val="0"/>
              <w:autoSpaceDN w:val="0"/>
              <w:adjustRightInd w:val="0"/>
              <w:spacing w:line="240" w:lineRule="auto"/>
              <w:textAlignment w:val="baseline"/>
              <w:rPr>
                <w:i/>
                <w:color w:val="0000FF"/>
                <w:u w:val="single"/>
              </w:rPr>
            </w:pPr>
            <w:hyperlink w:history="1" r:id="rId45">
              <w:r w:rsidRPr="002152B5">
                <w:rPr>
                  <w:rStyle w:val="Hyperlink"/>
                </w:rPr>
                <w:t>Heli.Niemela-Farrer</w:t>
              </w:r>
              <w:r w:rsidRPr="002152B5">
                <w:rPr>
                  <w:rStyle w:val="Hyperlink"/>
                  <w:i/>
                </w:rPr>
                <w:t>@eesc.europa.eu</w:t>
              </w:r>
            </w:hyperlink>
          </w:p>
          <w:p w:rsidRPr="003C2FB3" w:rsidR="004F1302" w:rsidP="0066006A" w:rsidRDefault="004F1302" w14:paraId="13626409" w14:textId="51178F9F">
            <w:pPr>
              <w:overflowPunct w:val="0"/>
              <w:autoSpaceDE w:val="0"/>
              <w:autoSpaceDN w:val="0"/>
              <w:adjustRightInd w:val="0"/>
              <w:spacing w:line="240" w:lineRule="auto"/>
              <w:textAlignment w:val="baseline"/>
              <w:rPr>
                <w:i/>
              </w:rPr>
            </w:pPr>
          </w:p>
        </w:tc>
      </w:tr>
    </w:tbl>
    <w:p w:rsidRPr="006C7863" w:rsidR="0092772D" w:rsidP="006C7863" w:rsidRDefault="00556EDF" w14:paraId="7379A588" w14:textId="3EDEF816">
      <w:pPr>
        <w:overflowPunct w:val="0"/>
        <w:autoSpaceDE w:val="0"/>
        <w:autoSpaceDN w:val="0"/>
        <w:adjustRightInd w:val="0"/>
        <w:jc w:val="center"/>
        <w:textAlignment w:val="baseline"/>
        <w:rPr>
          <w:lang w:val="nl-BE"/>
        </w:rPr>
      </w:pPr>
      <w:r>
        <w:rPr>
          <w:lang w:val="nl-BE"/>
        </w:rPr>
        <w:t>_____________</w:t>
      </w:r>
    </w:p>
    <w:sectPr w:rsidRPr="006C7863" w:rsidR="0092772D" w:rsidSect="00386C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8F2" w:rsidP="003B0516" w:rsidRDefault="002578F2" w14:paraId="6C920479" w14:textId="77777777">
      <w:pPr>
        <w:spacing w:line="240" w:lineRule="auto"/>
      </w:pPr>
      <w:r>
        <w:separator/>
      </w:r>
    </w:p>
  </w:endnote>
  <w:endnote w:type="continuationSeparator" w:id="0">
    <w:p w:rsidR="002578F2" w:rsidP="003B0516" w:rsidRDefault="002578F2" w14:paraId="18869CF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92" w:rsidP="005C28F2" w:rsidRDefault="00631992" w14:paraId="639663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C28F2" w:rsidR="00765C4F" w:rsidP="005C28F2" w:rsidRDefault="005C28F2" w14:paraId="02F89D38" w14:textId="4CEA6EE0">
    <w:pPr>
      <w:pStyle w:val="Footer"/>
    </w:pPr>
    <w:r>
      <w:t xml:space="preserve">EESC-2024-01704-00-00-TCD-TRA (EN) </w:t>
    </w:r>
    <w:r>
      <w:fldChar w:fldCharType="begin"/>
    </w:r>
    <w:r>
      <w:instrText xml:space="preserve"> PAGE  \* Arabic  \* MERGEFORMAT </w:instrText>
    </w:r>
    <w:r>
      <w:fldChar w:fldCharType="separate"/>
    </w:r>
    <w:r w:rsidR="00635B31">
      <w:rPr>
        <w:noProof/>
      </w:rPr>
      <w:t>1</w:t>
    </w:r>
    <w:r>
      <w:fldChar w:fldCharType="end"/>
    </w:r>
    <w:r>
      <w:t>/</w:t>
    </w:r>
    <w:r w:rsidR="0015356A">
      <w:fldChar w:fldCharType="begin"/>
    </w:r>
    <w:r w:rsidR="0015356A">
      <w:instrText xml:space="preserve"> NUMPAGES </w:instrText>
    </w:r>
    <w:r w:rsidR="0015356A">
      <w:fldChar w:fldCharType="separate"/>
    </w:r>
    <w:r w:rsidR="00635B31">
      <w:rPr>
        <w:noProof/>
      </w:rPr>
      <w:t>1</w:t>
    </w:r>
    <w:r w:rsidR="0015356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92" w:rsidP="005C28F2" w:rsidRDefault="00631992" w14:paraId="2E7F63D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E4258F" w:rsidP="005C28F2" w:rsidRDefault="00E4258F" w14:paraId="33C088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C28F2" w:rsidR="00E4258F" w:rsidP="005C28F2" w:rsidRDefault="005C28F2" w14:paraId="7CB2C8A9" w14:textId="6DACB8BF">
    <w:pPr>
      <w:pStyle w:val="Footer"/>
    </w:pPr>
    <w:r>
      <w:t xml:space="preserve">EESC-2024-01704-00-00-TCD-TRA (EN) </w:t>
    </w:r>
    <w:r>
      <w:fldChar w:fldCharType="begin"/>
    </w:r>
    <w:r>
      <w:instrText xml:space="preserve"> PAGE  \* Arabic  \* MERGEFORMAT </w:instrText>
    </w:r>
    <w:r>
      <w:fldChar w:fldCharType="separate"/>
    </w:r>
    <w:r>
      <w:rPr>
        <w:noProof/>
      </w:rPr>
      <w:t>1</w:t>
    </w:r>
    <w:r>
      <w:fldChar w:fldCharType="end"/>
    </w:r>
    <w:r>
      <w:t>/</w:t>
    </w:r>
    <w:r w:rsidR="0015356A">
      <w:fldChar w:fldCharType="begin"/>
    </w:r>
    <w:r w:rsidR="0015356A">
      <w:instrText xml:space="preserve"> NUMPAGES </w:instrText>
    </w:r>
    <w:r w:rsidR="0015356A">
      <w:fldChar w:fldCharType="separate"/>
    </w:r>
    <w:r>
      <w:rPr>
        <w:noProof/>
      </w:rPr>
      <w:t>1</w:t>
    </w:r>
    <w:r w:rsidR="0015356A">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E4258F" w:rsidP="005C28F2" w:rsidRDefault="00E4258F" w14:paraId="05A47D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8F2" w:rsidP="003B0516" w:rsidRDefault="002578F2" w14:paraId="32E86F73" w14:textId="77777777">
      <w:pPr>
        <w:spacing w:line="240" w:lineRule="auto"/>
      </w:pPr>
      <w:r>
        <w:separator/>
      </w:r>
    </w:p>
  </w:footnote>
  <w:footnote w:type="continuationSeparator" w:id="0">
    <w:p w:rsidR="002578F2" w:rsidP="003B0516" w:rsidRDefault="002578F2" w14:paraId="5065BE4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92" w:rsidRDefault="00631992" w14:paraId="3C2475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92" w:rsidRDefault="00631992" w14:paraId="59655A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92" w:rsidRDefault="00631992" w14:paraId="33117C3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E4258F" w:rsidP="00386C01" w:rsidRDefault="00E4258F" w14:paraId="423098D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E4258F" w:rsidP="00386C01" w:rsidRDefault="00E4258F" w14:paraId="6A3A0FFF" w14:textId="6655C0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E4258F" w:rsidP="00386C01" w:rsidRDefault="00E4258F" w14:paraId="2566BE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0FBE"/>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5B31"/>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n-GB"/>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UnresolvedMention">
    <w:name w:val="Unresolved Mention"/>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en/our-work/opinions-information-reports/opinions/revision-de-la-directive-relative-au-comite-dentreprise-europeen" TargetMode="External"/><Relationship Id="rId39" Type="http://schemas.openxmlformats.org/officeDocument/2006/relationships/hyperlink" Target="mailto:Ioannis.Diamantopoulos@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en/our-work/opinions-information-reports/opinions/plan-europeen-pour-vaincre-le-cancer-vers-un-approvisionnement-sur-en-radio-isotopes-usage-medical" TargetMode="External"/><Relationship Id="rId42" Type="http://schemas.openxmlformats.org/officeDocument/2006/relationships/hyperlink" Target="https://www.eesc.europa.eu/en/our-work/opinions-information-reports/opinions/european-defence-industrial-strategy"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en/our-work/opinions-information-reports/opinions/vaccine-preventable-cancers" TargetMode="External"/><Relationship Id="rId32" Type="http://schemas.openxmlformats.org/officeDocument/2006/relationships/hyperlink" Target="https://www.eesc.europa.eu/en/our-work/opinions-information-reports/opinions/revision-animal-welfare-legislation" TargetMode="External"/><Relationship Id="rId37" Type="http://schemas.openxmlformats.org/officeDocument/2006/relationships/hyperlink" Target="mailto:Ioannis.Diamantopoulos@eesc.europa.eu" TargetMode="External"/><Relationship Id="rId40" Type="http://schemas.openxmlformats.org/officeDocument/2006/relationships/hyperlink" Target="https://www.eesc.europa.eu/en/our-work/opinions-information-reports/opinions/communication-sur-la-gestion-industrielle-du-carbone"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udit.CarrerasGarcia@eesc.europa.eu" TargetMode="External"/><Relationship Id="rId44" Type="http://schemas.openxmlformats.org/officeDocument/2006/relationships/hyperlink" Target="https://www.eesc.europa.eu/en/our-work/opinions-information-reports/opinions/industrial-and-technological-approaches-and-best-practices-supporting-water-resilient-society"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n/our-work/opinions-information-reports/opinions/ninth-report-economic-social-and-territorial-cohesion"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en/our-work/opinions-information-reports/opinions/eu-climate-target-2040" TargetMode="External"/><Relationship Id="rId35" Type="http://schemas.openxmlformats.org/officeDocument/2006/relationships/hyperlink" Target="mailto:Maja.Radman@eesc.europa.eu" TargetMode="External"/><Relationship Id="rId43" Type="http://schemas.openxmlformats.org/officeDocument/2006/relationships/hyperlink" Target="mailto:Ioannis.Diamantopoulos@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en/our-work/opinions-information-reports/opinions/drone-manufacturing-industry-case-study-assess-outcome-strategic-sector-different-policies-place-enhance-european" TargetMode="External"/><Relationship Id="rId46" Type="http://schemas.openxmlformats.org/officeDocument/2006/relationships/header" Target="header4.xml"/><Relationship Id="rId20" Type="http://schemas.openxmlformats.org/officeDocument/2006/relationships/hyperlink" Target="https://www.eesc.europa.eu/en/our-work/opinions-information-reports/opinions/role-cohesion-policy-upcoming-rounds-eu-enlargement" TargetMode="External"/><Relationship Id="rId41" Type="http://schemas.openxmlformats.org/officeDocument/2006/relationships/hyperlink" Target="mailto:Adam.Dorywalski@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en/our-work/opinions-information-reports/opinions/un-lieu-ou-il-est-exclu-de-hair-une-europe-unie-contre-la-haine" TargetMode="External"/><Relationship Id="rId36" Type="http://schemas.openxmlformats.org/officeDocument/2006/relationships/hyperlink" Target="https://www.eesc.europa.eu/en/our-work/opinions-information-reports/opinions/european-defence-industry-programme" TargetMode="External"/><Relationship Id="rId49" Type="http://schemas.openxmlformats.org/officeDocument/2006/relationships/footer" Target="footer5.xml"/><Relationship Id="rId5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F7M6YNZUATRX-917472228-5805</_dlc_DocId>
    <_dlc_DocIdUrl xmlns="59ace41b-6786-4ce3-be71-52c27066c6ef">
      <Url>http://dm/eesc/2024/_layouts/15/DocIdRedir.aspx?ID=F7M6YNZUATRX-917472228-5805</Url>
      <Description>F7M6YNZUATRX-917472228-5805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2024-06-14T12:00:00+00:00</ProductionDate>
    <FicheYear xmlns="59ace41b-6786-4ce3-be71-52c27066c6ef" xsi:nil="true"/>
    <DocumentNumber xmlns="14d11ec3-fd82-4994-a217-1a91de9b2d2a">1704</DocumentNumber>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1EFA2-6B09-4A94-97B1-1CA48DD46C47}"/>
</file>

<file path=customXml/itemProps2.xml><?xml version="1.0" encoding="utf-8"?>
<ds:datastoreItem xmlns:ds="http://schemas.openxmlformats.org/officeDocument/2006/customXml" ds:itemID="{6CB713D4-6ACA-43D6-B9D1-2A154A2D1389}"/>
</file>

<file path=customXml/itemProps3.xml><?xml version="1.0" encoding="utf-8"?>
<ds:datastoreItem xmlns:ds="http://schemas.openxmlformats.org/officeDocument/2006/customXml" ds:itemID="{620E7710-3674-4307-951B-427AC71588F8}"/>
</file>

<file path=customXml/itemProps4.xml><?xml version="1.0" encoding="utf-8"?>
<ds:datastoreItem xmlns:ds="http://schemas.openxmlformats.org/officeDocument/2006/customXml" ds:itemID="{3A686AFE-313D-43D0-BBAA-5CE93D93244F}"/>
</file>

<file path=docProps/app.xml><?xml version="1.0" encoding="utf-8"?>
<Properties xmlns="http://schemas.openxmlformats.org/officeDocument/2006/extended-properties" xmlns:vt="http://schemas.openxmlformats.org/officeDocument/2006/docPropsVTypes">
  <Template>Normal</Template>
  <TotalTime>0</TotalTime>
  <Pages>1</Pages>
  <Words>5247</Words>
  <Characters>29910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35087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- 588th plenary session - May 2024  </dc:title>
  <dc:subject>Consultative work, various</dc:subject>
  <dc:creator>Nieddu Emma</dc:creator>
  <cp:keywords>EESC-2024-01704-00-00-TCD-TRA-EN</cp:keywords>
  <dc:description>Rapporteur: -  Original language: - EN Date of document: - 14/06/2024 Date of meeting: - 10/07/2024 External documents: -  Administrator responsible: - MME TAMASAUSKIENE Julija</dc:description>
  <cp:lastModifiedBy>TDriveSVCUserProd</cp:lastModifiedBy>
  <cp:revision>5</cp:revision>
  <cp:lastPrinted>2023-06-15T08:00:00Z</cp:lastPrinted>
  <dcterms:created xsi:type="dcterms:W3CDTF">2024-06-14T14:52:00Z</dcterms:created>
  <dcterms:modified xsi:type="dcterms:W3CDTF">2024-06-14T14:55:00Z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5a80df65-726b-412a-b16a-042f5f5c2a93</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FicheYear">
    <vt:i4>2024</vt:i4>
  </property>
  <property fmtid="{D5CDD505-2E9C-101B-9397-08002B2CF9AE}" pid="16" name="DocumentVersion">
    <vt:i4>0</vt:i4>
  </property>
  <property fmtid="{D5CDD505-2E9C-101B-9397-08002B2CF9AE}" pid="17" name="DocumentStatus">
    <vt:lpwstr>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6;#Unrestricted|826e22d7-d029-4ec0-a450-0c28ff673572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7;#SPL-CES|32d8cb1f-c9ec-4365-95c7-8385a18618ac</vt:lpwstr>
  </property>
  <property fmtid="{D5CDD505-2E9C-101B-9397-08002B2CF9AE}" pid="25" name="MeetingDate">
    <vt:filetime>2024-07-10T12:00:00Z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6412</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13;#TCD|cd9d6eb6-3f4f-424a-b2d1-57c9d450eaaf</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